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glossary/settings.xml" ContentType="application/vnd.openxmlformats-officedocument.wordprocessingml.settings+xml"/>
  <Override PartName="/word/settings.xml" ContentType="application/vnd.openxmlformats-officedocument.wordprocessingml.settings+xml"/>
  <Override PartName="/word/glossary/document.xml" ContentType="application/vnd.openxmlformats-officedocument.wordprocessingml.document.glossary+xml"/>
  <Override PartName="/word/webSettings.xml" ContentType="application/vnd.openxmlformats-officedocument.wordprocessingml.webSettings+xml"/>
  <Override PartName="/docProps/app.xml" ContentType="application/vnd.openxmlformats-officedocument.extended-properties+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numbering.xml" ContentType="application/vnd.openxmlformats-officedocument.wordprocessingml.numbering+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word/intelligence2.xml" ContentType="application/vnd.ms-office.intelligence2+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724C50" w14:textId="2481AFFB" w:rsidR="0012388D" w:rsidRDefault="0012388D" w:rsidP="00CA5734">
      <w:pPr>
        <w:rPr>
          <w:rFonts w:cs="Arial"/>
        </w:rPr>
      </w:pPr>
    </w:p>
    <w:p w14:paraId="4A54ED24" w14:textId="0D873404" w:rsidR="00EB6590" w:rsidRPr="00CF136E" w:rsidRDefault="00410C76" w:rsidP="00CF136E">
      <w:pPr>
        <w:pStyle w:val="Heading1"/>
        <w:numPr>
          <w:ilvl w:val="0"/>
          <w:numId w:val="0"/>
        </w:numPr>
        <w:ind w:left="432" w:hanging="432"/>
      </w:pPr>
      <w:bookmarkStart w:id="0" w:name="_Attachment_C_–"/>
      <w:bookmarkStart w:id="1" w:name="_Toc11735637"/>
      <w:bookmarkStart w:id="2" w:name="_Toc29883122"/>
      <w:bookmarkStart w:id="3" w:name="_Toc41906809"/>
      <w:bookmarkStart w:id="4" w:name="_Toc41907556"/>
      <w:bookmarkStart w:id="5" w:name="_Toc120358587"/>
      <w:bookmarkStart w:id="6" w:name="_Toc175381446"/>
      <w:bookmarkStart w:id="7" w:name="_Toc109300436"/>
      <w:bookmarkStart w:id="8" w:name="_Toc121311409"/>
      <w:bookmarkStart w:id="9" w:name="_Toc175381454"/>
      <w:bookmarkEnd w:id="0"/>
      <w:r w:rsidRPr="00CF136E">
        <w:rPr>
          <w:rFonts w:cs="Arial"/>
          <w:sz w:val="28"/>
          <w:szCs w:val="22"/>
        </w:rPr>
        <w:t>Regulat</w:t>
      </w:r>
      <w:r w:rsidR="0063455F" w:rsidRPr="00CF136E">
        <w:rPr>
          <w:rFonts w:cs="Arial"/>
          <w:sz w:val="28"/>
          <w:szCs w:val="22"/>
        </w:rPr>
        <w:t>ion</w:t>
      </w:r>
      <w:r w:rsidR="00BD49FF" w:rsidRPr="00CF136E">
        <w:rPr>
          <w:rFonts w:cs="Arial"/>
          <w:sz w:val="28"/>
          <w:szCs w:val="22"/>
        </w:rPr>
        <w:t xml:space="preserve"> </w:t>
      </w:r>
      <w:r w:rsidRPr="00CF136E">
        <w:rPr>
          <w:rFonts w:cs="Arial"/>
          <w:sz w:val="28"/>
          <w:szCs w:val="22"/>
        </w:rPr>
        <w:t xml:space="preserve">Impact </w:t>
      </w:r>
      <w:bookmarkEnd w:id="1"/>
      <w:bookmarkEnd w:id="2"/>
      <w:bookmarkEnd w:id="3"/>
      <w:bookmarkEnd w:id="4"/>
      <w:bookmarkEnd w:id="5"/>
      <w:r w:rsidR="00381E07" w:rsidRPr="00CF136E">
        <w:rPr>
          <w:rFonts w:cs="Arial"/>
          <w:sz w:val="28"/>
          <w:szCs w:val="22"/>
        </w:rPr>
        <w:t>Statement</w:t>
      </w:r>
      <w:r w:rsidRPr="00CF136E">
        <w:rPr>
          <w:rFonts w:cs="Arial"/>
          <w:sz w:val="28"/>
          <w:szCs w:val="22"/>
        </w:rPr>
        <w:t xml:space="preserve"> (</w:t>
      </w:r>
      <w:r w:rsidR="00380106" w:rsidRPr="00CF136E">
        <w:rPr>
          <w:rFonts w:cs="Arial"/>
          <w:sz w:val="28"/>
          <w:szCs w:val="22"/>
        </w:rPr>
        <w:t>OBPR</w:t>
      </w:r>
      <w:r w:rsidRPr="00CF136E">
        <w:rPr>
          <w:rFonts w:cs="Arial"/>
          <w:sz w:val="28"/>
          <w:szCs w:val="22"/>
        </w:rPr>
        <w:t xml:space="preserve"> ID:</w:t>
      </w:r>
      <w:r w:rsidR="00582EC1" w:rsidRPr="00CF136E">
        <w:rPr>
          <w:rFonts w:cs="Arial"/>
          <w:sz w:val="28"/>
          <w:szCs w:val="22"/>
        </w:rPr>
        <w:t xml:space="preserve"> </w:t>
      </w:r>
      <w:r w:rsidR="00337A02" w:rsidRPr="00CF136E">
        <w:rPr>
          <w:rFonts w:cs="Arial"/>
          <w:sz w:val="28"/>
          <w:szCs w:val="22"/>
        </w:rPr>
        <w:t>21-01217</w:t>
      </w:r>
      <w:r w:rsidRPr="00CF136E">
        <w:rPr>
          <w:rFonts w:cs="Arial"/>
          <w:sz w:val="28"/>
          <w:szCs w:val="22"/>
        </w:rPr>
        <w:t>)</w:t>
      </w:r>
      <w:bookmarkEnd w:id="6"/>
      <w:bookmarkEnd w:id="7"/>
      <w:bookmarkEnd w:id="8"/>
    </w:p>
    <w:p w14:paraId="0DB6B375" w14:textId="5BB130A0" w:rsidR="008962CE" w:rsidRDefault="008962CE" w:rsidP="008962CE">
      <w:pPr>
        <w:rPr>
          <w:lang w:bidi="ar-SA"/>
        </w:rPr>
      </w:pPr>
    </w:p>
    <w:p w14:paraId="5654D44C" w14:textId="06576C5E" w:rsidR="008962CE" w:rsidRDefault="008962CE" w:rsidP="008962CE">
      <w:pPr>
        <w:rPr>
          <w:lang w:bidi="ar-SA"/>
        </w:rPr>
      </w:pPr>
    </w:p>
    <w:p w14:paraId="7CADC12B" w14:textId="77777777" w:rsidR="00CB7716" w:rsidRDefault="00CB7716" w:rsidP="00CB7716">
      <w:pPr>
        <w:pStyle w:val="Header"/>
      </w:pPr>
      <w:r>
        <w:rPr>
          <w:noProof/>
          <w:lang w:val="en-AU" w:eastAsia="en-AU" w:bidi="ar-SA"/>
        </w:rPr>
        <w:drawing>
          <wp:inline distT="0" distB="0" distL="0" distR="0" wp14:anchorId="2C807EA5" wp14:editId="58875476">
            <wp:extent cx="3495600" cy="612000"/>
            <wp:effectExtent l="0" t="0" r="0" b="0"/>
            <wp:docPr id="5" name="Picture 5" descr="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S_Logo_K"/>
                    <pic:cNvPicPr>
                      <a:picLocks noChangeAspect="1" noChangeArrowheads="1"/>
                    </pic:cNvPicPr>
                  </pic:nvPicPr>
                  <pic:blipFill>
                    <a:blip r:embed="rId7" cstate="print"/>
                    <a:srcRect/>
                    <a:stretch>
                      <a:fillRect/>
                    </a:stretch>
                  </pic:blipFill>
                  <pic:spPr bwMode="auto">
                    <a:xfrm>
                      <a:off x="0" y="0"/>
                      <a:ext cx="3495600" cy="612000"/>
                    </a:xfrm>
                    <a:prstGeom prst="rect">
                      <a:avLst/>
                    </a:prstGeom>
                    <a:noFill/>
                    <a:ln w="9525">
                      <a:noFill/>
                      <a:miter lim="800000"/>
                      <a:headEnd/>
                      <a:tailEnd/>
                    </a:ln>
                  </pic:spPr>
                </pic:pic>
              </a:graphicData>
            </a:graphic>
          </wp:inline>
        </w:drawing>
      </w:r>
    </w:p>
    <w:p w14:paraId="30D88A7B" w14:textId="77777777" w:rsidR="00CB7716" w:rsidRPr="00A671E6" w:rsidRDefault="00CB7716" w:rsidP="00CB7716">
      <w:pPr>
        <w:rPr>
          <w:color w:val="FF0000"/>
        </w:rPr>
      </w:pPr>
    </w:p>
    <w:p w14:paraId="7E454DE6" w14:textId="77777777" w:rsidR="00CB7716" w:rsidRPr="000B427A" w:rsidRDefault="00CB7716" w:rsidP="00CB7716">
      <w:pPr>
        <w:pStyle w:val="FSTitle"/>
      </w:pPr>
      <w:r>
        <w:t>Decision Regulation Impact Statement – P1053 Food Safety Management Tools</w:t>
      </w:r>
    </w:p>
    <w:p w14:paraId="43CA59C1" w14:textId="77777777" w:rsidR="00CB7716" w:rsidRPr="00E327A6" w:rsidRDefault="00CB7716" w:rsidP="00CB7716">
      <w:pPr>
        <w:pBdr>
          <w:bottom w:val="single" w:sz="12" w:space="1" w:color="auto"/>
        </w:pBdr>
        <w:tabs>
          <w:tab w:val="left" w:pos="1140"/>
        </w:tabs>
        <w:rPr>
          <w:rFonts w:cs="Arial"/>
          <w:bCs/>
        </w:rPr>
      </w:pPr>
    </w:p>
    <w:p w14:paraId="44E21BDA" w14:textId="77777777" w:rsidR="00CB7716" w:rsidRPr="006D619E" w:rsidRDefault="00CB7716" w:rsidP="006D619E">
      <w:pPr>
        <w:pStyle w:val="Heading2"/>
        <w:numPr>
          <w:ilvl w:val="0"/>
          <w:numId w:val="0"/>
        </w:numPr>
        <w:ind w:left="576" w:hanging="576"/>
      </w:pPr>
      <w:bookmarkStart w:id="10" w:name="_Toc94172820"/>
      <w:bookmarkStart w:id="11" w:name="_Toc107412672"/>
      <w:bookmarkStart w:id="12" w:name="_Toc109300437"/>
      <w:bookmarkStart w:id="13" w:name="_Toc121311410"/>
      <w:bookmarkStart w:id="14" w:name="_Toc385256257"/>
      <w:bookmarkStart w:id="15" w:name="_Toc426380819"/>
      <w:bookmarkStart w:id="16" w:name="_Toc426380884"/>
      <w:bookmarkStart w:id="17" w:name="_Toc426380915"/>
      <w:r w:rsidRPr="006D619E">
        <w:t>Executive summary</w:t>
      </w:r>
      <w:bookmarkEnd w:id="10"/>
      <w:bookmarkEnd w:id="11"/>
      <w:bookmarkEnd w:id="12"/>
      <w:bookmarkEnd w:id="13"/>
      <w:r w:rsidRPr="006D619E">
        <w:tab/>
      </w:r>
      <w:bookmarkEnd w:id="14"/>
      <w:bookmarkEnd w:id="15"/>
      <w:bookmarkEnd w:id="16"/>
      <w:bookmarkEnd w:id="17"/>
    </w:p>
    <w:p w14:paraId="315352C3" w14:textId="77777777" w:rsidR="00CB7716" w:rsidRPr="00AB7684" w:rsidRDefault="00CB7716" w:rsidP="004F36C6">
      <w:pPr>
        <w:spacing w:after="240"/>
        <w:rPr>
          <w:lang w:val="en-AU"/>
        </w:rPr>
      </w:pPr>
      <w:r>
        <w:rPr>
          <w:lang w:val="en-AU"/>
        </w:rPr>
        <w:t>Food Standards Australia New Zealand (</w:t>
      </w:r>
      <w:r w:rsidRPr="00AB7684">
        <w:rPr>
          <w:lang w:val="en-AU"/>
        </w:rPr>
        <w:t>FSANZ</w:t>
      </w:r>
      <w:r>
        <w:rPr>
          <w:lang w:val="en-AU"/>
        </w:rPr>
        <w:t>)</w:t>
      </w:r>
      <w:r w:rsidRPr="00AB7684">
        <w:rPr>
          <w:lang w:val="en-AU"/>
        </w:rPr>
        <w:t xml:space="preserve"> </w:t>
      </w:r>
      <w:r>
        <w:rPr>
          <w:lang w:val="en-AU"/>
        </w:rPr>
        <w:t>commenced</w:t>
      </w:r>
      <w:r w:rsidRPr="00AB7684">
        <w:rPr>
          <w:lang w:val="en-AU"/>
        </w:rPr>
        <w:t xml:space="preserve"> Proposal P1053 – Food Safety Management Tools to consider </w:t>
      </w:r>
      <w:r>
        <w:rPr>
          <w:lang w:val="en-AU"/>
        </w:rPr>
        <w:t>whether regulatory measures should be mandated to</w:t>
      </w:r>
      <w:r w:rsidRPr="00AB7684">
        <w:rPr>
          <w:lang w:val="en-AU"/>
        </w:rPr>
        <w:t xml:space="preserve"> </w:t>
      </w:r>
      <w:proofErr w:type="gramStart"/>
      <w:r w:rsidRPr="00AB7684">
        <w:rPr>
          <w:lang w:val="en-AU"/>
        </w:rPr>
        <w:t>manag</w:t>
      </w:r>
      <w:r>
        <w:rPr>
          <w:lang w:val="en-AU"/>
        </w:rPr>
        <w:t>e</w:t>
      </w:r>
      <w:proofErr w:type="gramEnd"/>
      <w:r w:rsidRPr="00AB7684">
        <w:rPr>
          <w:lang w:val="en-AU"/>
        </w:rPr>
        <w:t xml:space="preserve"> food safety</w:t>
      </w:r>
      <w:r w:rsidRPr="0017083D">
        <w:rPr>
          <w:lang w:val="en-AU"/>
        </w:rPr>
        <w:t xml:space="preserve"> </w:t>
      </w:r>
      <w:r w:rsidRPr="00AB7684">
        <w:rPr>
          <w:lang w:val="en-AU"/>
        </w:rPr>
        <w:t>risks</w:t>
      </w:r>
      <w:r w:rsidRPr="005E4FAC">
        <w:rPr>
          <w:lang w:val="en-AU"/>
        </w:rPr>
        <w:t xml:space="preserve"> </w:t>
      </w:r>
      <w:r>
        <w:rPr>
          <w:lang w:val="en-AU"/>
        </w:rPr>
        <w:t>in food service and related retail sectors</w:t>
      </w:r>
      <w:r w:rsidRPr="00AB7684">
        <w:rPr>
          <w:lang w:val="en-AU"/>
        </w:rPr>
        <w:t xml:space="preserve">. </w:t>
      </w:r>
    </w:p>
    <w:p w14:paraId="649AD123" w14:textId="7BD93C43" w:rsidR="00CB7716" w:rsidRDefault="00CB7716" w:rsidP="004F36C6">
      <w:pPr>
        <w:spacing w:after="240"/>
        <w:rPr>
          <w:lang w:val="en-AU"/>
        </w:rPr>
      </w:pPr>
      <w:r w:rsidRPr="4A34C5A5">
        <w:rPr>
          <w:lang w:val="en-AU"/>
        </w:rPr>
        <w:t xml:space="preserve">The purpose of this decision regulation impact statement (DRIS) is to explain and analyse the options considered and make a final recommendation as to which is the best option. It provides the likely costs and benefits of each option and </w:t>
      </w:r>
      <w:bookmarkStart w:id="18" w:name="_Int_4dfOHb4I"/>
      <w:r w:rsidRPr="4A34C5A5">
        <w:rPr>
          <w:lang w:val="en-AU"/>
        </w:rPr>
        <w:t>takes into account</w:t>
      </w:r>
      <w:bookmarkEnd w:id="18"/>
      <w:r w:rsidRPr="4A34C5A5">
        <w:rPr>
          <w:lang w:val="en-AU"/>
        </w:rPr>
        <w:t xml:space="preserve"> relevant risk analysis.</w:t>
      </w:r>
    </w:p>
    <w:p w14:paraId="225624CD" w14:textId="77777777" w:rsidR="00CB7716" w:rsidRPr="00AB7684" w:rsidRDefault="00CB7716" w:rsidP="004F36C6">
      <w:pPr>
        <w:spacing w:after="240"/>
        <w:rPr>
          <w:lang w:val="en-AU"/>
        </w:rPr>
      </w:pPr>
      <w:r w:rsidRPr="68C0CA2D">
        <w:rPr>
          <w:lang w:val="en-AU"/>
        </w:rPr>
        <w:t xml:space="preserve">This DRIS has relied on the best available information, </w:t>
      </w:r>
      <w:r>
        <w:rPr>
          <w:lang w:val="en-AU"/>
        </w:rPr>
        <w:t xml:space="preserve">and several assumptions have been made in </w:t>
      </w:r>
      <w:r w:rsidRPr="68C0CA2D">
        <w:rPr>
          <w:lang w:val="en-AU"/>
        </w:rPr>
        <w:t xml:space="preserve">the analysis </w:t>
      </w:r>
      <w:r>
        <w:rPr>
          <w:lang w:val="en-AU"/>
        </w:rPr>
        <w:t xml:space="preserve">to address </w:t>
      </w:r>
      <w:r w:rsidRPr="48861835">
        <w:rPr>
          <w:lang w:val="en-AU"/>
        </w:rPr>
        <w:t>data gaps.</w:t>
      </w:r>
      <w:r w:rsidRPr="68C0CA2D">
        <w:rPr>
          <w:lang w:val="en-AU"/>
        </w:rPr>
        <w:t xml:space="preserve"> These gaps and assumptions are identified. </w:t>
      </w:r>
    </w:p>
    <w:p w14:paraId="5DCE9454" w14:textId="3D5269DA" w:rsidR="00CB7716" w:rsidRDefault="00CB7716" w:rsidP="004F36C6">
      <w:pPr>
        <w:spacing w:after="240"/>
        <w:rPr>
          <w:rFonts w:cs="Arial"/>
        </w:rPr>
      </w:pPr>
      <w:r w:rsidRPr="001C3859">
        <w:rPr>
          <w:rFonts w:cs="Calibri"/>
          <w:lang w:val="en-AU"/>
        </w:rPr>
        <w:t xml:space="preserve">Over the past decade, foodborne illness outbreaks have been consistently linked to food service and </w:t>
      </w:r>
      <w:r>
        <w:rPr>
          <w:rFonts w:cs="Calibri"/>
          <w:lang w:val="en-AU"/>
        </w:rPr>
        <w:t>related</w:t>
      </w:r>
      <w:r w:rsidRPr="001C3859">
        <w:rPr>
          <w:rFonts w:cs="Calibri"/>
          <w:lang w:val="en-AU"/>
        </w:rPr>
        <w:t xml:space="preserve"> retail businesses</w:t>
      </w:r>
      <w:r>
        <w:rPr>
          <w:rFonts w:cs="Calibri"/>
          <w:lang w:val="en-AU"/>
        </w:rPr>
        <w:t xml:space="preserve">. </w:t>
      </w:r>
      <w:r w:rsidRPr="001C3859">
        <w:rPr>
          <w:rFonts w:cs="Arial"/>
        </w:rPr>
        <w:t xml:space="preserve">The total number of probable and </w:t>
      </w:r>
      <w:r>
        <w:rPr>
          <w:rFonts w:cs="Arial"/>
        </w:rPr>
        <w:t xml:space="preserve">actual </w:t>
      </w:r>
      <w:r w:rsidRPr="001C3859">
        <w:rPr>
          <w:rFonts w:cs="Arial"/>
        </w:rPr>
        <w:t>foodborne ou</w:t>
      </w:r>
      <w:r>
        <w:rPr>
          <w:rFonts w:cs="Arial"/>
        </w:rPr>
        <w:t>tbreaks in Australia for 2010–</w:t>
      </w:r>
      <w:r w:rsidRPr="001C3859">
        <w:rPr>
          <w:rFonts w:cs="Arial"/>
        </w:rPr>
        <w:t xml:space="preserve">2017 was 1,257. Of these, 970 </w:t>
      </w:r>
      <w:r>
        <w:rPr>
          <w:rFonts w:cs="Arial"/>
        </w:rPr>
        <w:t xml:space="preserve">(77%) </w:t>
      </w:r>
      <w:r w:rsidRPr="001C3859">
        <w:rPr>
          <w:rFonts w:cs="Arial"/>
        </w:rPr>
        <w:t>were associated with food prepared in the food servi</w:t>
      </w:r>
      <w:r>
        <w:rPr>
          <w:rFonts w:cs="Arial"/>
        </w:rPr>
        <w:t>ce and retail settings that are</w:t>
      </w:r>
      <w:r w:rsidRPr="001C3859">
        <w:rPr>
          <w:rFonts w:cs="Arial"/>
        </w:rPr>
        <w:t xml:space="preserve"> </w:t>
      </w:r>
      <w:r>
        <w:rPr>
          <w:rFonts w:cs="Arial"/>
        </w:rPr>
        <w:t>the focus of</w:t>
      </w:r>
      <w:r w:rsidRPr="001C3859">
        <w:rPr>
          <w:rFonts w:cs="Arial"/>
        </w:rPr>
        <w:t xml:space="preserve"> this proposal. The 970 outbreaks resulted in 15,286 people being reported ill, 1,371 of </w:t>
      </w:r>
      <w:r>
        <w:rPr>
          <w:rFonts w:cs="Arial"/>
        </w:rPr>
        <w:t>which were</w:t>
      </w:r>
      <w:r w:rsidRPr="001C3859">
        <w:rPr>
          <w:rFonts w:cs="Arial"/>
        </w:rPr>
        <w:t xml:space="preserve"> hospitalised, and 34 fatalities. </w:t>
      </w:r>
      <w:r>
        <w:rPr>
          <w:rFonts w:cs="Arial"/>
        </w:rPr>
        <w:t>However, the true nature and size of the problem is likely to be much larger as many cases are not reported.</w:t>
      </w:r>
    </w:p>
    <w:p w14:paraId="591D3BC5" w14:textId="17FA1852" w:rsidR="00CB7716" w:rsidRDefault="00CB7716" w:rsidP="004F36C6">
      <w:pPr>
        <w:spacing w:after="240"/>
      </w:pPr>
      <w:r>
        <w:t xml:space="preserve">FSANZ categorised food businesses based on risk profiling their food handling activities and association with foodborne illness outbreaks. This categorisation allows for graduated regulation, based on the risk the business potentially poses. </w:t>
      </w:r>
    </w:p>
    <w:p w14:paraId="518AEBED" w14:textId="77777777" w:rsidR="00CB7716" w:rsidRDefault="00CB7716" w:rsidP="00CB7716">
      <w:pPr>
        <w:spacing w:after="240"/>
        <w:rPr>
          <w:rFonts w:cs="Arial"/>
          <w:color w:val="000000"/>
        </w:rPr>
      </w:pPr>
      <w:r>
        <w:rPr>
          <w:rFonts w:cs="Arial"/>
          <w:b/>
          <w:color w:val="000000"/>
        </w:rPr>
        <w:t>Businesses in-scope for P1053</w:t>
      </w:r>
      <w:r w:rsidRPr="0034278D">
        <w:rPr>
          <w:rFonts w:cs="Arial"/>
          <w:color w:val="00000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3119"/>
        <w:gridCol w:w="2977"/>
      </w:tblGrid>
      <w:tr w:rsidR="00CB7716" w:rsidRPr="00661A6E" w14:paraId="003E20FE" w14:textId="77777777" w:rsidTr="6A61D147">
        <w:tc>
          <w:tcPr>
            <w:tcW w:w="2830" w:type="dxa"/>
            <w:shd w:val="clear" w:color="auto" w:fill="D9D9D9" w:themeFill="background1" w:themeFillShade="D9"/>
          </w:tcPr>
          <w:p w14:paraId="5989CA7F" w14:textId="77777777" w:rsidR="00CB7716" w:rsidRPr="00661A6E" w:rsidRDefault="00CB7716" w:rsidP="00CB7716">
            <w:pPr>
              <w:spacing w:after="170"/>
              <w:rPr>
                <w:rFonts w:cs="Arial"/>
                <w:color w:val="000000"/>
                <w:sz w:val="20"/>
              </w:rPr>
            </w:pPr>
            <w:r w:rsidRPr="00FB58FD">
              <w:rPr>
                <w:rFonts w:cs="Arial"/>
                <w:color w:val="000000"/>
                <w:sz w:val="20"/>
              </w:rPr>
              <w:t>Category 1</w:t>
            </w:r>
            <w:r w:rsidRPr="00661A6E">
              <w:rPr>
                <w:rFonts w:cs="Arial"/>
                <w:color w:val="000000"/>
                <w:sz w:val="20"/>
              </w:rPr>
              <w:t xml:space="preserve"> </w:t>
            </w:r>
          </w:p>
        </w:tc>
        <w:tc>
          <w:tcPr>
            <w:tcW w:w="3119" w:type="dxa"/>
            <w:shd w:val="clear" w:color="auto" w:fill="D9D9D9" w:themeFill="background1" w:themeFillShade="D9"/>
          </w:tcPr>
          <w:p w14:paraId="162A5D74" w14:textId="77777777" w:rsidR="00CB7716" w:rsidRPr="00FB58FD" w:rsidRDefault="00CB7716" w:rsidP="00CB7716">
            <w:pPr>
              <w:spacing w:after="170"/>
              <w:rPr>
                <w:rFonts w:cs="Arial"/>
                <w:color w:val="000000"/>
                <w:sz w:val="20"/>
              </w:rPr>
            </w:pPr>
            <w:r w:rsidRPr="00FB58FD">
              <w:rPr>
                <w:rFonts w:cs="Arial"/>
                <w:color w:val="000000"/>
                <w:sz w:val="20"/>
              </w:rPr>
              <w:t xml:space="preserve">Category 2 </w:t>
            </w:r>
          </w:p>
        </w:tc>
        <w:tc>
          <w:tcPr>
            <w:tcW w:w="2977" w:type="dxa"/>
            <w:shd w:val="clear" w:color="auto" w:fill="D9D9D9" w:themeFill="background1" w:themeFillShade="D9"/>
          </w:tcPr>
          <w:p w14:paraId="724FF385" w14:textId="77777777" w:rsidR="00CB7716" w:rsidRPr="00FB58FD" w:rsidRDefault="00CB7716" w:rsidP="00CB7716">
            <w:pPr>
              <w:spacing w:after="170"/>
              <w:rPr>
                <w:rFonts w:cs="Arial"/>
                <w:color w:val="000000"/>
                <w:sz w:val="20"/>
              </w:rPr>
            </w:pPr>
            <w:r w:rsidRPr="00FB58FD">
              <w:rPr>
                <w:rFonts w:cs="Arial"/>
                <w:color w:val="000000"/>
                <w:sz w:val="20"/>
              </w:rPr>
              <w:t xml:space="preserve">Category 3 </w:t>
            </w:r>
          </w:p>
        </w:tc>
      </w:tr>
      <w:tr w:rsidR="006E77ED" w:rsidRPr="00661A6E" w14:paraId="331437A0" w14:textId="77777777" w:rsidTr="6A61D147">
        <w:trPr>
          <w:trHeight w:val="1950"/>
        </w:trPr>
        <w:tc>
          <w:tcPr>
            <w:tcW w:w="2830" w:type="dxa"/>
          </w:tcPr>
          <w:p w14:paraId="164936AF" w14:textId="450E132B" w:rsidR="006E77ED" w:rsidRPr="00FB58FD" w:rsidRDefault="006E77ED" w:rsidP="6A61D147">
            <w:pPr>
              <w:spacing w:after="170"/>
              <w:rPr>
                <w:rFonts w:cs="Arial"/>
                <w:color w:val="000000"/>
                <w:sz w:val="20"/>
                <w:szCs w:val="20"/>
              </w:rPr>
            </w:pPr>
            <w:r w:rsidRPr="6A61D147">
              <w:rPr>
                <w:rFonts w:cs="Arial"/>
                <w:color w:val="000000" w:themeColor="text1"/>
                <w:sz w:val="20"/>
                <w:szCs w:val="20"/>
              </w:rPr>
              <w:t>Food service/caterers that both make and sell potentially hazardous food (PHF)</w:t>
            </w:r>
          </w:p>
          <w:p w14:paraId="6A84647F" w14:textId="587EAA0B" w:rsidR="006E77ED" w:rsidRPr="00FB58FD" w:rsidRDefault="006E77ED" w:rsidP="6A61D147">
            <w:pPr>
              <w:spacing w:after="170"/>
              <w:rPr>
                <w:rFonts w:cs="Arial"/>
                <w:color w:val="000000"/>
                <w:sz w:val="20"/>
                <w:szCs w:val="20"/>
              </w:rPr>
            </w:pPr>
            <w:r w:rsidRPr="6A61D147">
              <w:rPr>
                <w:rFonts w:cs="Arial"/>
                <w:color w:val="000000" w:themeColor="text1"/>
                <w:sz w:val="20"/>
                <w:szCs w:val="20"/>
              </w:rPr>
              <w:t>e.g. restaurants, takeaways, caterers, bakeries and delis that make and sell PHF</w:t>
            </w:r>
          </w:p>
        </w:tc>
        <w:tc>
          <w:tcPr>
            <w:tcW w:w="3119" w:type="dxa"/>
          </w:tcPr>
          <w:p w14:paraId="03F76632" w14:textId="0A94C286" w:rsidR="006E77ED" w:rsidRPr="00FB58FD" w:rsidRDefault="006E77ED" w:rsidP="6A61D147">
            <w:pPr>
              <w:spacing w:after="170"/>
              <w:rPr>
                <w:rFonts w:cs="Arial"/>
                <w:color w:val="000000"/>
                <w:sz w:val="20"/>
                <w:szCs w:val="20"/>
              </w:rPr>
            </w:pPr>
            <w:r w:rsidRPr="6A61D147">
              <w:rPr>
                <w:rFonts w:cs="Arial"/>
                <w:color w:val="000000" w:themeColor="text1"/>
                <w:sz w:val="20"/>
                <w:szCs w:val="20"/>
              </w:rPr>
              <w:t>Retailers that only sell PHF (do not make it)</w:t>
            </w:r>
          </w:p>
          <w:p w14:paraId="74104D21" w14:textId="2F718222" w:rsidR="006E77ED" w:rsidRPr="00FB58FD" w:rsidRDefault="006E77ED" w:rsidP="6A61D147">
            <w:pPr>
              <w:spacing w:after="170"/>
              <w:rPr>
                <w:rFonts w:cs="Arial"/>
                <w:color w:val="000000"/>
                <w:sz w:val="20"/>
                <w:szCs w:val="20"/>
              </w:rPr>
            </w:pPr>
            <w:r w:rsidRPr="6A61D147">
              <w:rPr>
                <w:rFonts w:cs="Arial"/>
                <w:color w:val="000000" w:themeColor="text1"/>
                <w:sz w:val="20"/>
                <w:szCs w:val="20"/>
              </w:rPr>
              <w:t>e.g. delicatessens and bakeries that don't make PHF onsite, cafes selling PHF made by another business</w:t>
            </w:r>
          </w:p>
        </w:tc>
        <w:tc>
          <w:tcPr>
            <w:tcW w:w="2977" w:type="dxa"/>
          </w:tcPr>
          <w:p w14:paraId="7AB9C5DE" w14:textId="53C99BCA" w:rsidR="006E77ED" w:rsidRPr="00FB58FD" w:rsidRDefault="006E77ED" w:rsidP="6A61D147">
            <w:pPr>
              <w:spacing w:after="170"/>
              <w:rPr>
                <w:rFonts w:cs="Arial"/>
                <w:color w:val="000000"/>
                <w:sz w:val="20"/>
                <w:szCs w:val="20"/>
              </w:rPr>
            </w:pPr>
            <w:r w:rsidRPr="6A61D147">
              <w:rPr>
                <w:rFonts w:cs="Arial"/>
                <w:color w:val="000000" w:themeColor="text1"/>
                <w:sz w:val="20"/>
                <w:szCs w:val="20"/>
              </w:rPr>
              <w:t>Businesses that only sell pre-packaged PHF (that remains packaged for sale)</w:t>
            </w:r>
          </w:p>
          <w:p w14:paraId="306BCFEB" w14:textId="106FAA54" w:rsidR="006E77ED" w:rsidRPr="00FB58FD" w:rsidRDefault="006E77ED" w:rsidP="6A61D147">
            <w:pPr>
              <w:spacing w:after="170"/>
              <w:rPr>
                <w:rFonts w:cs="Arial"/>
                <w:color w:val="000000"/>
                <w:sz w:val="20"/>
                <w:szCs w:val="20"/>
              </w:rPr>
            </w:pPr>
            <w:r w:rsidRPr="6A61D147">
              <w:rPr>
                <w:rFonts w:cs="Arial"/>
                <w:color w:val="000000" w:themeColor="text1"/>
                <w:sz w:val="20"/>
                <w:szCs w:val="20"/>
              </w:rPr>
              <w:t>e.g. service stations, some cafes or stalls</w:t>
            </w:r>
          </w:p>
        </w:tc>
      </w:tr>
    </w:tbl>
    <w:p w14:paraId="18CEDAB8" w14:textId="77777777" w:rsidR="00CB7716" w:rsidRDefault="00CB7716" w:rsidP="00CB7716"/>
    <w:p w14:paraId="52A97792" w14:textId="22C9663A" w:rsidR="00CB7716" w:rsidRDefault="00CB7716" w:rsidP="004F36C6">
      <w:pPr>
        <w:spacing w:after="240"/>
      </w:pPr>
      <w:r>
        <w:lastRenderedPageBreak/>
        <w:t>In managing the risks occurring within each businesses’ risk category, FSANZ considered the status quo, self-regulation, food safety management tools as regulatory requirements that apply to all businesses in these sectors, and a targeted combination of regulatory measures based on differing food safety risks.</w:t>
      </w:r>
    </w:p>
    <w:p w14:paraId="1E0A084B" w14:textId="77777777" w:rsidR="00643567" w:rsidRDefault="00CB7716" w:rsidP="004F36C6">
      <w:pPr>
        <w:spacing w:after="240"/>
        <w:rPr>
          <w:rFonts w:cs="Arial"/>
        </w:rPr>
      </w:pPr>
      <w:r>
        <w:rPr>
          <w:rFonts w:cs="Arial"/>
        </w:rPr>
        <w:t xml:space="preserve">States and territories currently regulate these differently; </w:t>
      </w:r>
      <w:bookmarkStart w:id="19" w:name="_Int_semblidX"/>
      <w:r>
        <w:rPr>
          <w:rFonts w:cs="Arial"/>
        </w:rPr>
        <w:t>thus</w:t>
      </w:r>
      <w:bookmarkEnd w:id="19"/>
      <w:r>
        <w:rPr>
          <w:rFonts w:cs="Arial"/>
        </w:rPr>
        <w:t xml:space="preserve"> there are different ‘gaps’ between the options proposed and status quo in each jurisdiction.</w:t>
      </w:r>
    </w:p>
    <w:p w14:paraId="6B266C59" w14:textId="4352DF3F" w:rsidR="00CB7716" w:rsidRDefault="00CB7716" w:rsidP="004F36C6">
      <w:pPr>
        <w:rPr>
          <w:rFonts w:cs="Arial"/>
          <w:b/>
          <w:color w:val="000000"/>
        </w:rPr>
      </w:pPr>
      <w:r w:rsidRPr="00BC1C8E">
        <w:rPr>
          <w:rFonts w:cs="Arial"/>
          <w:b/>
          <w:color w:val="000000"/>
        </w:rPr>
        <w:t>Proposed regulatory requirements</w:t>
      </w:r>
    </w:p>
    <w:p w14:paraId="3C17832D" w14:textId="77777777" w:rsidR="00CB7716" w:rsidRPr="00BC1C8E" w:rsidRDefault="00CB7716" w:rsidP="004F36C6">
      <w:pPr>
        <w:spacing w:after="240"/>
        <w:rPr>
          <w:rFonts w:cs="Arial"/>
          <w:b/>
          <w:color w:val="000000"/>
        </w:rPr>
      </w:pPr>
      <w:r>
        <w:t xml:space="preserve">Our preferred approach is to amend the Australia New Zealand Food Standards Code to require a food safety supervisor (FSS), food handler training (FHT), and </w:t>
      </w:r>
      <w:r w:rsidRPr="002F2193">
        <w:t>evidence to substantiate food safety management</w:t>
      </w:r>
      <w:r>
        <w:t xml:space="preserve"> (E) depending on the category of food business. Our assessment is that there </w:t>
      </w:r>
      <w:bookmarkStart w:id="20" w:name="_Int_3ebH5Kvy"/>
      <w:r>
        <w:t>is</w:t>
      </w:r>
      <w:bookmarkEnd w:id="20"/>
      <w:r>
        <w:t xml:space="preserve"> no one-approach-fits-all businesses; measures need to be tailored based on the risk of a business’s food handling activities. These regulatory measures will be supported by </w:t>
      </w:r>
      <w:r w:rsidRPr="002F2193">
        <w:t xml:space="preserve">non-regulatory tools that focus on food safety culture and education.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4"/>
        <w:gridCol w:w="2254"/>
        <w:gridCol w:w="2251"/>
        <w:gridCol w:w="2257"/>
      </w:tblGrid>
      <w:tr w:rsidR="00CB7716" w14:paraId="20D4288A" w14:textId="77777777" w:rsidTr="006E77ED">
        <w:tc>
          <w:tcPr>
            <w:tcW w:w="2265" w:type="dxa"/>
            <w:shd w:val="clear" w:color="auto" w:fill="D9D9D9" w:themeFill="background1" w:themeFillShade="D9"/>
          </w:tcPr>
          <w:p w14:paraId="6D101E1A" w14:textId="77777777" w:rsidR="00CB7716" w:rsidRDefault="00CB7716" w:rsidP="00CB7716">
            <w:pPr>
              <w:spacing w:after="170"/>
              <w:rPr>
                <w:lang w:val="en-AU"/>
              </w:rPr>
            </w:pPr>
            <w:r>
              <w:rPr>
                <w:lang w:val="en-AU"/>
              </w:rPr>
              <w:t>Business category</w:t>
            </w:r>
          </w:p>
        </w:tc>
        <w:tc>
          <w:tcPr>
            <w:tcW w:w="2265" w:type="dxa"/>
            <w:shd w:val="clear" w:color="auto" w:fill="D9D9D9" w:themeFill="background1" w:themeFillShade="D9"/>
          </w:tcPr>
          <w:p w14:paraId="1E5FB399" w14:textId="77777777" w:rsidR="00CB7716" w:rsidRDefault="00CB7716" w:rsidP="00CB7716">
            <w:pPr>
              <w:spacing w:after="170"/>
              <w:rPr>
                <w:lang w:val="en-AU"/>
              </w:rPr>
            </w:pPr>
            <w:r>
              <w:rPr>
                <w:lang w:val="en-AU"/>
              </w:rPr>
              <w:t>Food safety supervisor</w:t>
            </w:r>
          </w:p>
        </w:tc>
        <w:tc>
          <w:tcPr>
            <w:tcW w:w="2265" w:type="dxa"/>
            <w:shd w:val="clear" w:color="auto" w:fill="D9D9D9" w:themeFill="background1" w:themeFillShade="D9"/>
          </w:tcPr>
          <w:p w14:paraId="5879BAA4" w14:textId="77777777" w:rsidR="00CB7716" w:rsidRDefault="00CB7716" w:rsidP="00CB7716">
            <w:pPr>
              <w:spacing w:after="170"/>
              <w:rPr>
                <w:lang w:val="en-AU"/>
              </w:rPr>
            </w:pPr>
            <w:r>
              <w:rPr>
                <w:lang w:val="en-AU"/>
              </w:rPr>
              <w:t>Food handler training</w:t>
            </w:r>
          </w:p>
        </w:tc>
        <w:tc>
          <w:tcPr>
            <w:tcW w:w="2265" w:type="dxa"/>
            <w:shd w:val="clear" w:color="auto" w:fill="D9D9D9" w:themeFill="background1" w:themeFillShade="D9"/>
          </w:tcPr>
          <w:p w14:paraId="50F9F90C" w14:textId="77777777" w:rsidR="00CB7716" w:rsidRDefault="00CB7716" w:rsidP="00CB7716">
            <w:pPr>
              <w:spacing w:after="170"/>
              <w:rPr>
                <w:lang w:val="en-AU"/>
              </w:rPr>
            </w:pPr>
            <w:r>
              <w:rPr>
                <w:lang w:val="en-AU"/>
              </w:rPr>
              <w:t>Keeping evidence of critical process management</w:t>
            </w:r>
          </w:p>
        </w:tc>
      </w:tr>
      <w:tr w:rsidR="00CB7716" w14:paraId="4C771C91" w14:textId="77777777" w:rsidTr="006E77ED">
        <w:tc>
          <w:tcPr>
            <w:tcW w:w="2265" w:type="dxa"/>
            <w:shd w:val="clear" w:color="auto" w:fill="D9D9D9" w:themeFill="background1" w:themeFillShade="D9"/>
          </w:tcPr>
          <w:p w14:paraId="0623EE2F" w14:textId="3FD7C66B" w:rsidR="00CB7716" w:rsidRPr="00661A6E" w:rsidRDefault="00CB7716" w:rsidP="00CB7716">
            <w:pPr>
              <w:spacing w:after="170"/>
              <w:rPr>
                <w:rFonts w:cs="Arial"/>
                <w:color w:val="000000"/>
                <w:sz w:val="20"/>
              </w:rPr>
            </w:pPr>
            <w:r w:rsidRPr="009C45BF">
              <w:rPr>
                <w:rFonts w:cs="Arial"/>
                <w:color w:val="000000"/>
                <w:sz w:val="20"/>
              </w:rPr>
              <w:t>Category 1</w:t>
            </w:r>
          </w:p>
        </w:tc>
        <w:tc>
          <w:tcPr>
            <w:tcW w:w="2265" w:type="dxa"/>
          </w:tcPr>
          <w:p w14:paraId="2B752F75" w14:textId="77777777" w:rsidR="00CB7716" w:rsidRDefault="00CB7716" w:rsidP="00CB7716">
            <w:pPr>
              <w:spacing w:after="170"/>
              <w:jc w:val="center"/>
              <w:rPr>
                <w:lang w:val="en-AU"/>
              </w:rPr>
            </w:pPr>
            <w:r w:rsidRPr="00661A6E">
              <w:rPr>
                <w:rFonts w:ascii="Wingdings 2" w:eastAsia="Wingdings 2" w:hAnsi="Wingdings 2" w:cs="Wingdings 2"/>
                <w:sz w:val="24"/>
                <w:lang w:val="en-AU"/>
              </w:rPr>
              <w:t></w:t>
            </w:r>
          </w:p>
        </w:tc>
        <w:tc>
          <w:tcPr>
            <w:tcW w:w="2265" w:type="dxa"/>
          </w:tcPr>
          <w:p w14:paraId="49AA5FB0" w14:textId="77777777" w:rsidR="00CB7716" w:rsidRDefault="00CB7716" w:rsidP="00CB7716">
            <w:pPr>
              <w:spacing w:after="170"/>
              <w:jc w:val="center"/>
              <w:rPr>
                <w:lang w:val="en-AU"/>
              </w:rPr>
            </w:pPr>
            <w:r w:rsidRPr="00B54EE6">
              <w:rPr>
                <w:rFonts w:ascii="Wingdings 2" w:eastAsia="Wingdings 2" w:hAnsi="Wingdings 2" w:cs="Wingdings 2"/>
                <w:sz w:val="24"/>
                <w:lang w:val="en-AU"/>
              </w:rPr>
              <w:t></w:t>
            </w:r>
          </w:p>
        </w:tc>
        <w:tc>
          <w:tcPr>
            <w:tcW w:w="2265" w:type="dxa"/>
          </w:tcPr>
          <w:p w14:paraId="2825C804" w14:textId="77777777" w:rsidR="00CB7716" w:rsidRDefault="00CB7716" w:rsidP="00CB7716">
            <w:pPr>
              <w:spacing w:after="170"/>
              <w:jc w:val="center"/>
              <w:rPr>
                <w:lang w:val="en-AU"/>
              </w:rPr>
            </w:pPr>
            <w:r w:rsidRPr="00B54EE6">
              <w:rPr>
                <w:rFonts w:ascii="Wingdings 2" w:eastAsia="Wingdings 2" w:hAnsi="Wingdings 2" w:cs="Wingdings 2"/>
                <w:sz w:val="24"/>
                <w:lang w:val="en-AU"/>
              </w:rPr>
              <w:t></w:t>
            </w:r>
          </w:p>
        </w:tc>
      </w:tr>
      <w:tr w:rsidR="00CB7716" w14:paraId="06729EB9" w14:textId="77777777" w:rsidTr="006E77ED">
        <w:tc>
          <w:tcPr>
            <w:tcW w:w="2265" w:type="dxa"/>
            <w:shd w:val="clear" w:color="auto" w:fill="D9D9D9" w:themeFill="background1" w:themeFillShade="D9"/>
          </w:tcPr>
          <w:p w14:paraId="108FBBB9" w14:textId="77777777" w:rsidR="00CB7716" w:rsidRPr="00661A6E" w:rsidRDefault="00CB7716" w:rsidP="00CB7716">
            <w:pPr>
              <w:spacing w:after="170"/>
              <w:rPr>
                <w:rFonts w:cs="Arial"/>
                <w:color w:val="000000"/>
                <w:sz w:val="20"/>
              </w:rPr>
            </w:pPr>
            <w:r w:rsidRPr="009C45BF">
              <w:rPr>
                <w:rFonts w:cs="Arial"/>
                <w:color w:val="000000"/>
                <w:sz w:val="20"/>
              </w:rPr>
              <w:t xml:space="preserve">Category 2 </w:t>
            </w:r>
          </w:p>
        </w:tc>
        <w:tc>
          <w:tcPr>
            <w:tcW w:w="2265" w:type="dxa"/>
          </w:tcPr>
          <w:p w14:paraId="752161E6" w14:textId="77777777" w:rsidR="00CB7716" w:rsidRDefault="00CB7716" w:rsidP="00CB7716">
            <w:pPr>
              <w:spacing w:after="170"/>
              <w:jc w:val="center"/>
              <w:rPr>
                <w:lang w:val="en-AU"/>
              </w:rPr>
            </w:pPr>
            <w:r w:rsidRPr="003F59BB">
              <w:rPr>
                <w:rFonts w:ascii="Wingdings 2" w:eastAsia="Wingdings 2" w:hAnsi="Wingdings 2" w:cs="Wingdings 2"/>
                <w:sz w:val="24"/>
                <w:lang w:val="en-AU"/>
              </w:rPr>
              <w:t></w:t>
            </w:r>
          </w:p>
        </w:tc>
        <w:tc>
          <w:tcPr>
            <w:tcW w:w="2265" w:type="dxa"/>
          </w:tcPr>
          <w:p w14:paraId="1CB5AF84" w14:textId="77777777" w:rsidR="00CB7716" w:rsidRDefault="00CB7716" w:rsidP="00CB7716">
            <w:pPr>
              <w:spacing w:after="170"/>
              <w:jc w:val="center"/>
              <w:rPr>
                <w:lang w:val="en-AU"/>
              </w:rPr>
            </w:pPr>
            <w:r w:rsidRPr="003F59BB">
              <w:rPr>
                <w:rFonts w:ascii="Wingdings 2" w:eastAsia="Wingdings 2" w:hAnsi="Wingdings 2" w:cs="Wingdings 2"/>
                <w:sz w:val="24"/>
                <w:lang w:val="en-AU"/>
              </w:rPr>
              <w:t></w:t>
            </w:r>
          </w:p>
        </w:tc>
        <w:tc>
          <w:tcPr>
            <w:tcW w:w="2265" w:type="dxa"/>
          </w:tcPr>
          <w:p w14:paraId="011B1148" w14:textId="77777777" w:rsidR="00CB7716" w:rsidRDefault="00CB7716" w:rsidP="00CB7716">
            <w:pPr>
              <w:spacing w:after="170"/>
              <w:jc w:val="center"/>
              <w:rPr>
                <w:lang w:val="en-AU"/>
              </w:rPr>
            </w:pPr>
            <w:r>
              <w:rPr>
                <w:lang w:val="en-AU"/>
              </w:rPr>
              <w:t>X</w:t>
            </w:r>
          </w:p>
        </w:tc>
      </w:tr>
      <w:tr w:rsidR="00CB7716" w14:paraId="23EEAA10" w14:textId="77777777" w:rsidTr="006E77ED">
        <w:tc>
          <w:tcPr>
            <w:tcW w:w="2265" w:type="dxa"/>
            <w:vMerge w:val="restart"/>
            <w:shd w:val="clear" w:color="auto" w:fill="D9D9D9" w:themeFill="background1" w:themeFillShade="D9"/>
          </w:tcPr>
          <w:p w14:paraId="763FCF16" w14:textId="77777777" w:rsidR="00CB7716" w:rsidRPr="00661A6E" w:rsidRDefault="00CB7716" w:rsidP="00CB7716">
            <w:pPr>
              <w:spacing w:after="170"/>
              <w:rPr>
                <w:rFonts w:cs="Arial"/>
                <w:color w:val="000000"/>
                <w:sz w:val="20"/>
              </w:rPr>
            </w:pPr>
            <w:r w:rsidRPr="009C45BF">
              <w:rPr>
                <w:rFonts w:cs="Arial"/>
                <w:color w:val="000000"/>
                <w:sz w:val="20"/>
              </w:rPr>
              <w:t xml:space="preserve">Category 3 </w:t>
            </w:r>
          </w:p>
        </w:tc>
        <w:tc>
          <w:tcPr>
            <w:tcW w:w="2265" w:type="dxa"/>
          </w:tcPr>
          <w:p w14:paraId="08F866F4" w14:textId="77777777" w:rsidR="00CB7716" w:rsidRDefault="00CB7716" w:rsidP="00CB7716">
            <w:pPr>
              <w:spacing w:after="170"/>
              <w:jc w:val="center"/>
              <w:rPr>
                <w:lang w:val="en-AU"/>
              </w:rPr>
            </w:pPr>
            <w:r>
              <w:rPr>
                <w:lang w:val="en-AU"/>
              </w:rPr>
              <w:t>X</w:t>
            </w:r>
          </w:p>
        </w:tc>
        <w:tc>
          <w:tcPr>
            <w:tcW w:w="2265" w:type="dxa"/>
          </w:tcPr>
          <w:p w14:paraId="3C925EB4" w14:textId="77777777" w:rsidR="00CB7716" w:rsidRDefault="00CB7716" w:rsidP="00CB7716">
            <w:pPr>
              <w:spacing w:after="170"/>
              <w:jc w:val="center"/>
              <w:rPr>
                <w:lang w:val="en-AU"/>
              </w:rPr>
            </w:pPr>
            <w:r>
              <w:rPr>
                <w:lang w:val="en-AU"/>
              </w:rPr>
              <w:t>X</w:t>
            </w:r>
          </w:p>
        </w:tc>
        <w:tc>
          <w:tcPr>
            <w:tcW w:w="2265" w:type="dxa"/>
          </w:tcPr>
          <w:p w14:paraId="564804D8" w14:textId="77777777" w:rsidR="00CB7716" w:rsidRDefault="00CB7716" w:rsidP="00CB7716">
            <w:pPr>
              <w:spacing w:after="170"/>
              <w:jc w:val="center"/>
              <w:rPr>
                <w:lang w:val="en-AU"/>
              </w:rPr>
            </w:pPr>
            <w:r>
              <w:rPr>
                <w:lang w:val="en-AU"/>
              </w:rPr>
              <w:t>X</w:t>
            </w:r>
          </w:p>
        </w:tc>
      </w:tr>
      <w:tr w:rsidR="00CB7716" w14:paraId="569FEB0F" w14:textId="77777777" w:rsidTr="006E77ED">
        <w:trPr>
          <w:trHeight w:val="261"/>
        </w:trPr>
        <w:tc>
          <w:tcPr>
            <w:tcW w:w="2265" w:type="dxa"/>
            <w:vMerge/>
            <w:shd w:val="clear" w:color="auto" w:fill="D9D9D9" w:themeFill="background1" w:themeFillShade="D9"/>
          </w:tcPr>
          <w:p w14:paraId="15FEE841" w14:textId="77777777" w:rsidR="00CB7716" w:rsidRPr="00661A6E" w:rsidRDefault="00CB7716" w:rsidP="00CB7716">
            <w:pPr>
              <w:spacing w:after="170"/>
              <w:rPr>
                <w:rFonts w:cs="Arial"/>
                <w:color w:val="000000"/>
                <w:sz w:val="20"/>
              </w:rPr>
            </w:pPr>
          </w:p>
        </w:tc>
        <w:tc>
          <w:tcPr>
            <w:tcW w:w="6795" w:type="dxa"/>
            <w:gridSpan w:val="3"/>
          </w:tcPr>
          <w:p w14:paraId="6F20C12E" w14:textId="77777777" w:rsidR="00CB7716" w:rsidRDefault="00CB7716" w:rsidP="00CB7716">
            <w:pPr>
              <w:spacing w:after="170"/>
              <w:rPr>
                <w:lang w:val="en-AU"/>
              </w:rPr>
            </w:pPr>
            <w:r>
              <w:rPr>
                <w:lang w:val="en-AU"/>
              </w:rPr>
              <w:t>non-regulatory measures</w:t>
            </w:r>
            <w:r w:rsidRPr="001806A3">
              <w:rPr>
                <w:bCs/>
              </w:rPr>
              <w:t xml:space="preserve"> </w:t>
            </w:r>
            <w:r>
              <w:rPr>
                <w:bCs/>
              </w:rPr>
              <w:t xml:space="preserve">only - </w:t>
            </w:r>
            <w:r w:rsidRPr="001806A3">
              <w:rPr>
                <w:bCs/>
              </w:rPr>
              <w:t>targeted education on temperature control</w:t>
            </w:r>
          </w:p>
        </w:tc>
      </w:tr>
    </w:tbl>
    <w:p w14:paraId="50098746" w14:textId="77777777" w:rsidR="00CB7716" w:rsidRDefault="00CB7716" w:rsidP="00CB7716"/>
    <w:p w14:paraId="189766B1" w14:textId="42A2CED4" w:rsidR="00CB7716" w:rsidRDefault="00CB7716" w:rsidP="004F36C6">
      <w:pPr>
        <w:spacing w:after="240"/>
      </w:pPr>
      <w:r>
        <w:t>Our cost–benefit analysis demonstrates net benefits for the preferred options. In addition to cost-benefit, we also considered ‘fit-for-purpose’ or appropriateness of each food safety management tool, rather than relying on economic modelling alone. Therefore, the option with the largest net benefit is not necessarily the preferred option. Less onerous regulatory options have been determined to fit better with the capabilities and resources of industry and regulators in some instances. The regulatory tools identified are considered practical, readily implementable and sustainable. There are also existing resources available to support their understanding and implementation.</w:t>
      </w:r>
    </w:p>
    <w:p w14:paraId="034B5B1D" w14:textId="1E4A3213" w:rsidR="00CB7716" w:rsidRDefault="00CB7716" w:rsidP="004F36C6">
      <w:pPr>
        <w:spacing w:after="240"/>
        <w:rPr>
          <w:lang w:val="en-AU"/>
        </w:rPr>
      </w:pPr>
      <w:r w:rsidRPr="68C0CA2D">
        <w:rPr>
          <w:lang w:val="en-AU"/>
        </w:rPr>
        <w:t xml:space="preserve">There has already been consultation on this Proposal P1053. This included consultation on a Consultation RIS (CRIS) that was approved by the Office of Best Practice Regulation (OBPR), Ref ID </w:t>
      </w:r>
      <w:r w:rsidRPr="68C0CA2D">
        <w:rPr>
          <w:lang w:val="en-US"/>
        </w:rPr>
        <w:t>OBPR21-01217</w:t>
      </w:r>
      <w:r w:rsidRPr="68C0CA2D">
        <w:rPr>
          <w:lang w:val="en-AU"/>
        </w:rPr>
        <w:t xml:space="preserve">. </w:t>
      </w:r>
    </w:p>
    <w:p w14:paraId="7CF30D98" w14:textId="08790F80" w:rsidR="00CB7716" w:rsidRDefault="00CB7716" w:rsidP="004F36C6">
      <w:pPr>
        <w:spacing w:after="240"/>
        <w:rPr>
          <w:lang w:val="en-AU"/>
        </w:rPr>
      </w:pPr>
      <w:r>
        <w:rPr>
          <w:lang w:val="en-AU"/>
        </w:rPr>
        <w:t>Since the CRIS</w:t>
      </w:r>
      <w:r w:rsidRPr="1E7A4307">
        <w:rPr>
          <w:lang w:val="en-AU"/>
        </w:rPr>
        <w:t>,</w:t>
      </w:r>
      <w:r>
        <w:rPr>
          <w:lang w:val="en-AU"/>
        </w:rPr>
        <w:t xml:space="preserve"> FSANZ has also received finalised estimates from the Australian National University of the cost of illness</w:t>
      </w:r>
      <w:r w:rsidRPr="1E7A4307">
        <w:rPr>
          <w:lang w:val="en-AU"/>
        </w:rPr>
        <w:t>,</w:t>
      </w:r>
      <w:r>
        <w:rPr>
          <w:lang w:val="en-AU"/>
        </w:rPr>
        <w:t xml:space="preserve"> which has resulted in some revisions to the cost of illness used in the modelling (Glass et al. 2022). These revisions have resulted in a relatively small increase in the estimated net benefit.</w:t>
      </w:r>
    </w:p>
    <w:p w14:paraId="135D8AEB" w14:textId="77777777" w:rsidR="00CB7716" w:rsidRPr="0053081F" w:rsidRDefault="00CB7716" w:rsidP="004F36C6">
      <w:pPr>
        <w:rPr>
          <w:rFonts w:cs="Arial"/>
          <w:b/>
          <w:bCs/>
        </w:rPr>
      </w:pPr>
      <w:r w:rsidRPr="68C0CA2D">
        <w:rPr>
          <w:rFonts w:cs="Arial"/>
          <w:b/>
          <w:bCs/>
        </w:rPr>
        <w:t>Commencement period</w:t>
      </w:r>
    </w:p>
    <w:p w14:paraId="06A705CF" w14:textId="77777777" w:rsidR="00CB7716" w:rsidRPr="00530035" w:rsidRDefault="00CB7716" w:rsidP="004F36C6">
      <w:pPr>
        <w:spacing w:after="240"/>
      </w:pPr>
      <w:r>
        <w:t>FSANZ is proposing</w:t>
      </w:r>
      <w:r w:rsidRPr="006B7E0B">
        <w:t xml:space="preserve"> a </w:t>
      </w:r>
      <w:r>
        <w:t>12-</w:t>
      </w:r>
      <w:r w:rsidRPr="00196D7E">
        <w:t xml:space="preserve">month </w:t>
      </w:r>
      <w:r>
        <w:t>commencement</w:t>
      </w:r>
      <w:r w:rsidRPr="00196D7E">
        <w:t xml:space="preserve"> period</w:t>
      </w:r>
      <w:r w:rsidRPr="006B7E0B">
        <w:t xml:space="preserve"> </w:t>
      </w:r>
      <w:r>
        <w:t>for the new standard, if it is gazetted</w:t>
      </w:r>
      <w:r w:rsidRPr="006B7E0B">
        <w:t xml:space="preserve">. </w:t>
      </w:r>
      <w:r>
        <w:t>Compliance with the proposed requirements would not be mandatory before then.</w:t>
      </w:r>
    </w:p>
    <w:p w14:paraId="50967EA9" w14:textId="77777777" w:rsidR="00CB7716" w:rsidRDefault="00CB7716" w:rsidP="00CB7716">
      <w:pPr>
        <w:rPr>
          <w:rFonts w:cs="Arial"/>
        </w:rPr>
        <w:sectPr w:rsidR="00CB7716" w:rsidSect="00CB7716">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9" w:footer="709" w:gutter="0"/>
          <w:cols w:space="708"/>
          <w:docGrid w:linePitch="360"/>
        </w:sectPr>
      </w:pPr>
    </w:p>
    <w:p w14:paraId="3885F688" w14:textId="77777777" w:rsidR="00CB7716" w:rsidRDefault="00CB7716" w:rsidP="00CF136E">
      <w:pPr>
        <w:pStyle w:val="Heading2"/>
        <w:numPr>
          <w:ilvl w:val="0"/>
          <w:numId w:val="0"/>
        </w:numPr>
        <w:ind w:left="576" w:hanging="576"/>
      </w:pPr>
      <w:bookmarkStart w:id="21" w:name="_Toc107412673"/>
      <w:bookmarkStart w:id="22" w:name="_Toc109300438"/>
      <w:bookmarkStart w:id="23" w:name="_Toc121311411"/>
      <w:r>
        <w:t>Table of Contents</w:t>
      </w:r>
      <w:bookmarkEnd w:id="21"/>
      <w:bookmarkEnd w:id="22"/>
      <w:bookmarkEnd w:id="23"/>
    </w:p>
    <w:p w14:paraId="43EA67EF" w14:textId="45A5C80A" w:rsidR="0012399E" w:rsidRDefault="00CB7716">
      <w:pPr>
        <w:pStyle w:val="TOC1"/>
        <w:rPr>
          <w:rFonts w:eastAsiaTheme="minorEastAsia" w:cstheme="minorBidi"/>
          <w:caps w:val="0"/>
          <w:sz w:val="22"/>
          <w:szCs w:val="22"/>
          <w:lang w:val="en-AU" w:eastAsia="en-AU" w:bidi="ar-SA"/>
        </w:rPr>
      </w:pPr>
      <w:r>
        <w:rPr>
          <w:rFonts w:ascii="Arial" w:hAnsi="Arial"/>
          <w:sz w:val="22"/>
          <w:szCs w:val="22"/>
        </w:rPr>
        <w:fldChar w:fldCharType="begin"/>
      </w:r>
      <w:r>
        <w:rPr>
          <w:rFonts w:ascii="Arial" w:hAnsi="Arial"/>
          <w:sz w:val="22"/>
          <w:szCs w:val="22"/>
        </w:rPr>
        <w:instrText xml:space="preserve"> TOC \o "1-2" \h \z \u </w:instrText>
      </w:r>
      <w:r>
        <w:rPr>
          <w:rFonts w:ascii="Arial" w:hAnsi="Arial"/>
          <w:sz w:val="22"/>
          <w:szCs w:val="22"/>
        </w:rPr>
        <w:fldChar w:fldCharType="separate"/>
      </w:r>
      <w:hyperlink w:anchor="_Toc121311409" w:history="1">
        <w:r w:rsidR="0012399E" w:rsidRPr="00C11EA8">
          <w:rPr>
            <w:rStyle w:val="Hyperlink"/>
            <w:rFonts w:cs="Arial"/>
          </w:rPr>
          <w:t>Regulation Impact Statement (OBPR ID: 21-01217)</w:t>
        </w:r>
        <w:r w:rsidR="0012399E">
          <w:rPr>
            <w:webHidden/>
          </w:rPr>
          <w:tab/>
        </w:r>
        <w:r w:rsidR="0012399E">
          <w:rPr>
            <w:webHidden/>
          </w:rPr>
          <w:fldChar w:fldCharType="begin"/>
        </w:r>
        <w:r w:rsidR="0012399E">
          <w:rPr>
            <w:webHidden/>
          </w:rPr>
          <w:instrText xml:space="preserve"> PAGEREF _Toc121311409 \h </w:instrText>
        </w:r>
        <w:r w:rsidR="0012399E">
          <w:rPr>
            <w:webHidden/>
          </w:rPr>
        </w:r>
        <w:r w:rsidR="0012399E">
          <w:rPr>
            <w:webHidden/>
          </w:rPr>
          <w:fldChar w:fldCharType="separate"/>
        </w:r>
        <w:r w:rsidR="00EB0B9D">
          <w:rPr>
            <w:webHidden/>
          </w:rPr>
          <w:t>1</w:t>
        </w:r>
        <w:r w:rsidR="0012399E">
          <w:rPr>
            <w:webHidden/>
          </w:rPr>
          <w:fldChar w:fldCharType="end"/>
        </w:r>
      </w:hyperlink>
    </w:p>
    <w:p w14:paraId="12A207CE" w14:textId="5923F421" w:rsidR="0012399E" w:rsidRDefault="00EB0B9D">
      <w:pPr>
        <w:pStyle w:val="TOC2"/>
        <w:tabs>
          <w:tab w:val="right" w:leader="dot" w:pos="9060"/>
        </w:tabs>
        <w:rPr>
          <w:rFonts w:eastAsiaTheme="minorEastAsia" w:cstheme="minorBidi"/>
          <w:smallCaps w:val="0"/>
          <w:noProof/>
          <w:sz w:val="22"/>
          <w:szCs w:val="22"/>
          <w:lang w:val="en-AU" w:eastAsia="en-AU" w:bidi="ar-SA"/>
        </w:rPr>
      </w:pPr>
      <w:hyperlink w:anchor="_Toc121311410" w:history="1">
        <w:r w:rsidR="0012399E" w:rsidRPr="00C11EA8">
          <w:rPr>
            <w:rStyle w:val="Hyperlink"/>
            <w:noProof/>
          </w:rPr>
          <w:t>Executive summary</w:t>
        </w:r>
        <w:r w:rsidR="0012399E">
          <w:rPr>
            <w:noProof/>
            <w:webHidden/>
          </w:rPr>
          <w:tab/>
        </w:r>
        <w:r w:rsidR="0012399E">
          <w:rPr>
            <w:noProof/>
            <w:webHidden/>
          </w:rPr>
          <w:fldChar w:fldCharType="begin"/>
        </w:r>
        <w:r w:rsidR="0012399E">
          <w:rPr>
            <w:noProof/>
            <w:webHidden/>
          </w:rPr>
          <w:instrText xml:space="preserve"> PAGEREF _Toc121311410 \h </w:instrText>
        </w:r>
        <w:r w:rsidR="0012399E">
          <w:rPr>
            <w:noProof/>
            <w:webHidden/>
          </w:rPr>
        </w:r>
        <w:r w:rsidR="0012399E">
          <w:rPr>
            <w:noProof/>
            <w:webHidden/>
          </w:rPr>
          <w:fldChar w:fldCharType="separate"/>
        </w:r>
        <w:r>
          <w:rPr>
            <w:noProof/>
            <w:webHidden/>
          </w:rPr>
          <w:t>1</w:t>
        </w:r>
        <w:r w:rsidR="0012399E">
          <w:rPr>
            <w:noProof/>
            <w:webHidden/>
          </w:rPr>
          <w:fldChar w:fldCharType="end"/>
        </w:r>
      </w:hyperlink>
    </w:p>
    <w:p w14:paraId="6D12245A" w14:textId="289FAFA3" w:rsidR="0012399E" w:rsidRDefault="00EB0B9D">
      <w:pPr>
        <w:pStyle w:val="TOC2"/>
        <w:tabs>
          <w:tab w:val="right" w:leader="dot" w:pos="9060"/>
        </w:tabs>
        <w:rPr>
          <w:rFonts w:eastAsiaTheme="minorEastAsia" w:cstheme="minorBidi"/>
          <w:smallCaps w:val="0"/>
          <w:noProof/>
          <w:sz w:val="22"/>
          <w:szCs w:val="22"/>
          <w:lang w:val="en-AU" w:eastAsia="en-AU" w:bidi="ar-SA"/>
        </w:rPr>
      </w:pPr>
      <w:hyperlink w:anchor="_Toc121311411" w:history="1">
        <w:r w:rsidR="0012399E" w:rsidRPr="00C11EA8">
          <w:rPr>
            <w:rStyle w:val="Hyperlink"/>
            <w:noProof/>
          </w:rPr>
          <w:t>Table of Contents</w:t>
        </w:r>
        <w:r w:rsidR="0012399E">
          <w:rPr>
            <w:noProof/>
            <w:webHidden/>
          </w:rPr>
          <w:tab/>
        </w:r>
        <w:r w:rsidR="0012399E">
          <w:rPr>
            <w:noProof/>
            <w:webHidden/>
          </w:rPr>
          <w:fldChar w:fldCharType="begin"/>
        </w:r>
        <w:r w:rsidR="0012399E">
          <w:rPr>
            <w:noProof/>
            <w:webHidden/>
          </w:rPr>
          <w:instrText xml:space="preserve"> PAGEREF _Toc121311411 \h </w:instrText>
        </w:r>
        <w:r w:rsidR="0012399E">
          <w:rPr>
            <w:noProof/>
            <w:webHidden/>
          </w:rPr>
        </w:r>
        <w:r w:rsidR="0012399E">
          <w:rPr>
            <w:noProof/>
            <w:webHidden/>
          </w:rPr>
          <w:fldChar w:fldCharType="separate"/>
        </w:r>
        <w:r>
          <w:rPr>
            <w:noProof/>
            <w:webHidden/>
          </w:rPr>
          <w:t>3</w:t>
        </w:r>
        <w:r w:rsidR="0012399E">
          <w:rPr>
            <w:noProof/>
            <w:webHidden/>
          </w:rPr>
          <w:fldChar w:fldCharType="end"/>
        </w:r>
      </w:hyperlink>
    </w:p>
    <w:p w14:paraId="6C098B93" w14:textId="5A4FA16A" w:rsidR="0012399E" w:rsidRDefault="00EB0B9D">
      <w:pPr>
        <w:pStyle w:val="TOC2"/>
        <w:tabs>
          <w:tab w:val="right" w:leader="dot" w:pos="9060"/>
        </w:tabs>
        <w:rPr>
          <w:rFonts w:eastAsiaTheme="minorEastAsia" w:cstheme="minorBidi"/>
          <w:smallCaps w:val="0"/>
          <w:noProof/>
          <w:sz w:val="22"/>
          <w:szCs w:val="22"/>
          <w:lang w:val="en-AU" w:eastAsia="en-AU" w:bidi="ar-SA"/>
        </w:rPr>
      </w:pPr>
      <w:hyperlink w:anchor="_Toc121311412" w:history="1">
        <w:r w:rsidR="0012399E" w:rsidRPr="00C11EA8">
          <w:rPr>
            <w:rStyle w:val="Hyperlink"/>
            <w:noProof/>
          </w:rPr>
          <w:t>Abbreviations</w:t>
        </w:r>
        <w:r w:rsidR="0012399E">
          <w:rPr>
            <w:noProof/>
            <w:webHidden/>
          </w:rPr>
          <w:tab/>
        </w:r>
        <w:r w:rsidR="0012399E">
          <w:rPr>
            <w:noProof/>
            <w:webHidden/>
          </w:rPr>
          <w:fldChar w:fldCharType="begin"/>
        </w:r>
        <w:r w:rsidR="0012399E">
          <w:rPr>
            <w:noProof/>
            <w:webHidden/>
          </w:rPr>
          <w:instrText xml:space="preserve"> PAGEREF _Toc121311412 \h </w:instrText>
        </w:r>
        <w:r w:rsidR="0012399E">
          <w:rPr>
            <w:noProof/>
            <w:webHidden/>
          </w:rPr>
        </w:r>
        <w:r w:rsidR="0012399E">
          <w:rPr>
            <w:noProof/>
            <w:webHidden/>
          </w:rPr>
          <w:fldChar w:fldCharType="separate"/>
        </w:r>
        <w:r>
          <w:rPr>
            <w:noProof/>
            <w:webHidden/>
          </w:rPr>
          <w:t>4</w:t>
        </w:r>
        <w:r w:rsidR="0012399E">
          <w:rPr>
            <w:noProof/>
            <w:webHidden/>
          </w:rPr>
          <w:fldChar w:fldCharType="end"/>
        </w:r>
      </w:hyperlink>
    </w:p>
    <w:p w14:paraId="453C8269" w14:textId="09002694" w:rsidR="0012399E" w:rsidRDefault="00EB0B9D">
      <w:pPr>
        <w:pStyle w:val="TOC2"/>
        <w:tabs>
          <w:tab w:val="left" w:pos="660"/>
          <w:tab w:val="right" w:leader="dot" w:pos="9060"/>
        </w:tabs>
        <w:rPr>
          <w:rFonts w:eastAsiaTheme="minorEastAsia" w:cstheme="minorBidi"/>
          <w:smallCaps w:val="0"/>
          <w:noProof/>
          <w:sz w:val="22"/>
          <w:szCs w:val="22"/>
          <w:lang w:val="en-AU" w:eastAsia="en-AU" w:bidi="ar-SA"/>
        </w:rPr>
      </w:pPr>
      <w:hyperlink w:anchor="_Toc121311413" w:history="1">
        <w:r w:rsidR="0012399E" w:rsidRPr="00C11EA8">
          <w:rPr>
            <w:rStyle w:val="Hyperlink"/>
            <w:noProof/>
          </w:rPr>
          <w:t>1</w:t>
        </w:r>
        <w:r w:rsidR="0012399E">
          <w:rPr>
            <w:rFonts w:eastAsiaTheme="minorEastAsia" w:cstheme="minorBidi"/>
            <w:smallCaps w:val="0"/>
            <w:noProof/>
            <w:sz w:val="22"/>
            <w:szCs w:val="22"/>
            <w:lang w:val="en-AU" w:eastAsia="en-AU" w:bidi="ar-SA"/>
          </w:rPr>
          <w:tab/>
        </w:r>
        <w:r w:rsidR="0012399E" w:rsidRPr="00C11EA8">
          <w:rPr>
            <w:rStyle w:val="Hyperlink"/>
            <w:noProof/>
          </w:rPr>
          <w:t>Introduction</w:t>
        </w:r>
        <w:r w:rsidR="0012399E">
          <w:rPr>
            <w:noProof/>
            <w:webHidden/>
          </w:rPr>
          <w:tab/>
        </w:r>
        <w:r w:rsidR="0012399E">
          <w:rPr>
            <w:noProof/>
            <w:webHidden/>
          </w:rPr>
          <w:fldChar w:fldCharType="begin"/>
        </w:r>
        <w:r w:rsidR="0012399E">
          <w:rPr>
            <w:noProof/>
            <w:webHidden/>
          </w:rPr>
          <w:instrText xml:space="preserve"> PAGEREF _Toc121311413 \h </w:instrText>
        </w:r>
        <w:r w:rsidR="0012399E">
          <w:rPr>
            <w:noProof/>
            <w:webHidden/>
          </w:rPr>
        </w:r>
        <w:r w:rsidR="0012399E">
          <w:rPr>
            <w:noProof/>
            <w:webHidden/>
          </w:rPr>
          <w:fldChar w:fldCharType="separate"/>
        </w:r>
        <w:r>
          <w:rPr>
            <w:noProof/>
            <w:webHidden/>
          </w:rPr>
          <w:t>5</w:t>
        </w:r>
        <w:r w:rsidR="0012399E">
          <w:rPr>
            <w:noProof/>
            <w:webHidden/>
          </w:rPr>
          <w:fldChar w:fldCharType="end"/>
        </w:r>
      </w:hyperlink>
    </w:p>
    <w:p w14:paraId="3D63C14C" w14:textId="2AF7B356" w:rsidR="0012399E" w:rsidRDefault="00EB0B9D">
      <w:pPr>
        <w:pStyle w:val="TOC2"/>
        <w:tabs>
          <w:tab w:val="left" w:pos="660"/>
          <w:tab w:val="right" w:leader="dot" w:pos="9060"/>
        </w:tabs>
        <w:rPr>
          <w:rFonts w:eastAsiaTheme="minorEastAsia" w:cstheme="minorBidi"/>
          <w:smallCaps w:val="0"/>
          <w:noProof/>
          <w:sz w:val="22"/>
          <w:szCs w:val="22"/>
          <w:lang w:val="en-AU" w:eastAsia="en-AU" w:bidi="ar-SA"/>
        </w:rPr>
      </w:pPr>
      <w:hyperlink w:anchor="_Toc121311414" w:history="1">
        <w:r w:rsidR="0012399E" w:rsidRPr="00C11EA8">
          <w:rPr>
            <w:rStyle w:val="Hyperlink"/>
            <w:noProof/>
          </w:rPr>
          <w:t>2</w:t>
        </w:r>
        <w:r w:rsidR="0012399E">
          <w:rPr>
            <w:rFonts w:eastAsiaTheme="minorEastAsia" w:cstheme="minorBidi"/>
            <w:smallCaps w:val="0"/>
            <w:noProof/>
            <w:sz w:val="22"/>
            <w:szCs w:val="22"/>
            <w:lang w:val="en-AU" w:eastAsia="en-AU" w:bidi="ar-SA"/>
          </w:rPr>
          <w:tab/>
        </w:r>
        <w:r w:rsidR="0012399E" w:rsidRPr="00C11EA8">
          <w:rPr>
            <w:rStyle w:val="Hyperlink"/>
            <w:noProof/>
          </w:rPr>
          <w:t>What is the problem and why is government action needed?</w:t>
        </w:r>
        <w:r w:rsidR="0012399E">
          <w:rPr>
            <w:noProof/>
            <w:webHidden/>
          </w:rPr>
          <w:tab/>
        </w:r>
        <w:r w:rsidR="0012399E">
          <w:rPr>
            <w:noProof/>
            <w:webHidden/>
          </w:rPr>
          <w:fldChar w:fldCharType="begin"/>
        </w:r>
        <w:r w:rsidR="0012399E">
          <w:rPr>
            <w:noProof/>
            <w:webHidden/>
          </w:rPr>
          <w:instrText xml:space="preserve"> PAGEREF _Toc121311414 \h </w:instrText>
        </w:r>
        <w:r w:rsidR="0012399E">
          <w:rPr>
            <w:noProof/>
            <w:webHidden/>
          </w:rPr>
        </w:r>
        <w:r w:rsidR="0012399E">
          <w:rPr>
            <w:noProof/>
            <w:webHidden/>
          </w:rPr>
          <w:fldChar w:fldCharType="separate"/>
        </w:r>
        <w:r>
          <w:rPr>
            <w:noProof/>
            <w:webHidden/>
          </w:rPr>
          <w:t>10</w:t>
        </w:r>
        <w:r w:rsidR="0012399E">
          <w:rPr>
            <w:noProof/>
            <w:webHidden/>
          </w:rPr>
          <w:fldChar w:fldCharType="end"/>
        </w:r>
      </w:hyperlink>
    </w:p>
    <w:p w14:paraId="36FB6191" w14:textId="6ACD1152" w:rsidR="0012399E" w:rsidRDefault="00EB0B9D">
      <w:pPr>
        <w:pStyle w:val="TOC2"/>
        <w:tabs>
          <w:tab w:val="left" w:pos="660"/>
          <w:tab w:val="right" w:leader="dot" w:pos="9060"/>
        </w:tabs>
        <w:rPr>
          <w:rFonts w:eastAsiaTheme="minorEastAsia" w:cstheme="minorBidi"/>
          <w:smallCaps w:val="0"/>
          <w:noProof/>
          <w:sz w:val="22"/>
          <w:szCs w:val="22"/>
          <w:lang w:val="en-AU" w:eastAsia="en-AU" w:bidi="ar-SA"/>
        </w:rPr>
      </w:pPr>
      <w:hyperlink w:anchor="_Toc121311415" w:history="1">
        <w:r w:rsidR="0012399E" w:rsidRPr="00C11EA8">
          <w:rPr>
            <w:rStyle w:val="Hyperlink"/>
            <w:noProof/>
          </w:rPr>
          <w:t>3</w:t>
        </w:r>
        <w:r w:rsidR="0012399E">
          <w:rPr>
            <w:rFonts w:eastAsiaTheme="minorEastAsia" w:cstheme="minorBidi"/>
            <w:smallCaps w:val="0"/>
            <w:noProof/>
            <w:sz w:val="22"/>
            <w:szCs w:val="22"/>
            <w:lang w:val="en-AU" w:eastAsia="en-AU" w:bidi="ar-SA"/>
          </w:rPr>
          <w:tab/>
        </w:r>
        <w:r w:rsidR="0012399E" w:rsidRPr="00C11EA8">
          <w:rPr>
            <w:rStyle w:val="Hyperlink"/>
            <w:noProof/>
          </w:rPr>
          <w:t>What policy options are being considered?</w:t>
        </w:r>
        <w:r w:rsidR="0012399E">
          <w:rPr>
            <w:noProof/>
            <w:webHidden/>
          </w:rPr>
          <w:tab/>
        </w:r>
        <w:r w:rsidR="0012399E">
          <w:rPr>
            <w:noProof/>
            <w:webHidden/>
          </w:rPr>
          <w:fldChar w:fldCharType="begin"/>
        </w:r>
        <w:r w:rsidR="0012399E">
          <w:rPr>
            <w:noProof/>
            <w:webHidden/>
          </w:rPr>
          <w:instrText xml:space="preserve"> PAGEREF _Toc121311415 \h </w:instrText>
        </w:r>
        <w:r w:rsidR="0012399E">
          <w:rPr>
            <w:noProof/>
            <w:webHidden/>
          </w:rPr>
        </w:r>
        <w:r w:rsidR="0012399E">
          <w:rPr>
            <w:noProof/>
            <w:webHidden/>
          </w:rPr>
          <w:fldChar w:fldCharType="separate"/>
        </w:r>
        <w:r>
          <w:rPr>
            <w:noProof/>
            <w:webHidden/>
          </w:rPr>
          <w:t>11</w:t>
        </w:r>
        <w:r w:rsidR="0012399E">
          <w:rPr>
            <w:noProof/>
            <w:webHidden/>
          </w:rPr>
          <w:fldChar w:fldCharType="end"/>
        </w:r>
      </w:hyperlink>
    </w:p>
    <w:p w14:paraId="64DAD329" w14:textId="214F5C79" w:rsidR="0012399E" w:rsidRDefault="00EB0B9D">
      <w:pPr>
        <w:pStyle w:val="TOC2"/>
        <w:tabs>
          <w:tab w:val="left" w:pos="660"/>
          <w:tab w:val="right" w:leader="dot" w:pos="9060"/>
        </w:tabs>
        <w:rPr>
          <w:rFonts w:eastAsiaTheme="minorEastAsia" w:cstheme="minorBidi"/>
          <w:smallCaps w:val="0"/>
          <w:noProof/>
          <w:sz w:val="22"/>
          <w:szCs w:val="22"/>
          <w:lang w:val="en-AU" w:eastAsia="en-AU" w:bidi="ar-SA"/>
        </w:rPr>
      </w:pPr>
      <w:hyperlink w:anchor="_Toc121311416" w:history="1">
        <w:r w:rsidR="0012399E" w:rsidRPr="00C11EA8">
          <w:rPr>
            <w:rStyle w:val="Hyperlink"/>
            <w:noProof/>
          </w:rPr>
          <w:t>4</w:t>
        </w:r>
        <w:r w:rsidR="0012399E">
          <w:rPr>
            <w:rFonts w:eastAsiaTheme="minorEastAsia" w:cstheme="minorBidi"/>
            <w:smallCaps w:val="0"/>
            <w:noProof/>
            <w:sz w:val="22"/>
            <w:szCs w:val="22"/>
            <w:lang w:val="en-AU" w:eastAsia="en-AU" w:bidi="ar-SA"/>
          </w:rPr>
          <w:tab/>
        </w:r>
        <w:r w:rsidR="0012399E" w:rsidRPr="00C11EA8">
          <w:rPr>
            <w:rStyle w:val="Hyperlink"/>
            <w:noProof/>
          </w:rPr>
          <w:t>What are the likely net benefits of each option?</w:t>
        </w:r>
        <w:r w:rsidR="0012399E">
          <w:rPr>
            <w:noProof/>
            <w:webHidden/>
          </w:rPr>
          <w:tab/>
        </w:r>
        <w:r w:rsidR="0012399E">
          <w:rPr>
            <w:noProof/>
            <w:webHidden/>
          </w:rPr>
          <w:fldChar w:fldCharType="begin"/>
        </w:r>
        <w:r w:rsidR="0012399E">
          <w:rPr>
            <w:noProof/>
            <w:webHidden/>
          </w:rPr>
          <w:instrText xml:space="preserve"> PAGEREF _Toc121311416 \h </w:instrText>
        </w:r>
        <w:r w:rsidR="0012399E">
          <w:rPr>
            <w:noProof/>
            <w:webHidden/>
          </w:rPr>
        </w:r>
        <w:r w:rsidR="0012399E">
          <w:rPr>
            <w:noProof/>
            <w:webHidden/>
          </w:rPr>
          <w:fldChar w:fldCharType="separate"/>
        </w:r>
        <w:r>
          <w:rPr>
            <w:noProof/>
            <w:webHidden/>
          </w:rPr>
          <w:t>13</w:t>
        </w:r>
        <w:r w:rsidR="0012399E">
          <w:rPr>
            <w:noProof/>
            <w:webHidden/>
          </w:rPr>
          <w:fldChar w:fldCharType="end"/>
        </w:r>
      </w:hyperlink>
    </w:p>
    <w:p w14:paraId="39E3C3C8" w14:textId="6FC77BD7" w:rsidR="0012399E" w:rsidRDefault="00EB0B9D">
      <w:pPr>
        <w:pStyle w:val="TOC2"/>
        <w:tabs>
          <w:tab w:val="left" w:pos="660"/>
          <w:tab w:val="right" w:leader="dot" w:pos="9060"/>
        </w:tabs>
        <w:rPr>
          <w:rFonts w:eastAsiaTheme="minorEastAsia" w:cstheme="minorBidi"/>
          <w:smallCaps w:val="0"/>
          <w:noProof/>
          <w:sz w:val="22"/>
          <w:szCs w:val="22"/>
          <w:lang w:val="en-AU" w:eastAsia="en-AU" w:bidi="ar-SA"/>
        </w:rPr>
      </w:pPr>
      <w:hyperlink w:anchor="_Toc121311417" w:history="1">
        <w:r w:rsidR="0012399E" w:rsidRPr="00C11EA8">
          <w:rPr>
            <w:rStyle w:val="Hyperlink"/>
            <w:noProof/>
          </w:rPr>
          <w:t>5</w:t>
        </w:r>
        <w:r w:rsidR="0012399E">
          <w:rPr>
            <w:rFonts w:eastAsiaTheme="minorEastAsia" w:cstheme="minorBidi"/>
            <w:smallCaps w:val="0"/>
            <w:noProof/>
            <w:sz w:val="22"/>
            <w:szCs w:val="22"/>
            <w:lang w:val="en-AU" w:eastAsia="en-AU" w:bidi="ar-SA"/>
          </w:rPr>
          <w:tab/>
        </w:r>
        <w:r w:rsidR="0012399E" w:rsidRPr="00C11EA8">
          <w:rPr>
            <w:rStyle w:val="Hyperlink"/>
            <w:noProof/>
          </w:rPr>
          <w:t>Who was consulted and how was their feedback incorporated?</w:t>
        </w:r>
        <w:r w:rsidR="0012399E">
          <w:rPr>
            <w:noProof/>
            <w:webHidden/>
          </w:rPr>
          <w:tab/>
        </w:r>
        <w:r w:rsidR="0012399E">
          <w:rPr>
            <w:noProof/>
            <w:webHidden/>
          </w:rPr>
          <w:fldChar w:fldCharType="begin"/>
        </w:r>
        <w:r w:rsidR="0012399E">
          <w:rPr>
            <w:noProof/>
            <w:webHidden/>
          </w:rPr>
          <w:instrText xml:space="preserve"> PAGEREF _Toc121311417 \h </w:instrText>
        </w:r>
        <w:r w:rsidR="0012399E">
          <w:rPr>
            <w:noProof/>
            <w:webHidden/>
          </w:rPr>
        </w:r>
        <w:r w:rsidR="0012399E">
          <w:rPr>
            <w:noProof/>
            <w:webHidden/>
          </w:rPr>
          <w:fldChar w:fldCharType="separate"/>
        </w:r>
        <w:r>
          <w:rPr>
            <w:noProof/>
            <w:webHidden/>
          </w:rPr>
          <w:t>29</w:t>
        </w:r>
        <w:r w:rsidR="0012399E">
          <w:rPr>
            <w:noProof/>
            <w:webHidden/>
          </w:rPr>
          <w:fldChar w:fldCharType="end"/>
        </w:r>
      </w:hyperlink>
    </w:p>
    <w:p w14:paraId="71DA9B1B" w14:textId="7E58DE0C" w:rsidR="0012399E" w:rsidRDefault="00EB0B9D">
      <w:pPr>
        <w:pStyle w:val="TOC2"/>
        <w:tabs>
          <w:tab w:val="left" w:pos="660"/>
          <w:tab w:val="right" w:leader="dot" w:pos="9060"/>
        </w:tabs>
        <w:rPr>
          <w:rFonts w:eastAsiaTheme="minorEastAsia" w:cstheme="minorBidi"/>
          <w:smallCaps w:val="0"/>
          <w:noProof/>
          <w:sz w:val="22"/>
          <w:szCs w:val="22"/>
          <w:lang w:val="en-AU" w:eastAsia="en-AU" w:bidi="ar-SA"/>
        </w:rPr>
      </w:pPr>
      <w:hyperlink w:anchor="_Toc121311418" w:history="1">
        <w:r w:rsidR="0012399E" w:rsidRPr="00C11EA8">
          <w:rPr>
            <w:rStyle w:val="Hyperlink"/>
            <w:noProof/>
          </w:rPr>
          <w:t>6</w:t>
        </w:r>
        <w:r w:rsidR="0012399E">
          <w:rPr>
            <w:rFonts w:eastAsiaTheme="minorEastAsia" w:cstheme="minorBidi"/>
            <w:smallCaps w:val="0"/>
            <w:noProof/>
            <w:sz w:val="22"/>
            <w:szCs w:val="22"/>
            <w:lang w:val="en-AU" w:eastAsia="en-AU" w:bidi="ar-SA"/>
          </w:rPr>
          <w:tab/>
        </w:r>
        <w:r w:rsidR="0012399E" w:rsidRPr="00C11EA8">
          <w:rPr>
            <w:rStyle w:val="Hyperlink"/>
            <w:noProof/>
          </w:rPr>
          <w:t>What is the best option from those considered?</w:t>
        </w:r>
        <w:r w:rsidR="0012399E">
          <w:rPr>
            <w:noProof/>
            <w:webHidden/>
          </w:rPr>
          <w:tab/>
        </w:r>
        <w:r w:rsidR="0012399E">
          <w:rPr>
            <w:noProof/>
            <w:webHidden/>
          </w:rPr>
          <w:fldChar w:fldCharType="begin"/>
        </w:r>
        <w:r w:rsidR="0012399E">
          <w:rPr>
            <w:noProof/>
            <w:webHidden/>
          </w:rPr>
          <w:instrText xml:space="preserve"> PAGEREF _Toc121311418 \h </w:instrText>
        </w:r>
        <w:r w:rsidR="0012399E">
          <w:rPr>
            <w:noProof/>
            <w:webHidden/>
          </w:rPr>
        </w:r>
        <w:r w:rsidR="0012399E">
          <w:rPr>
            <w:noProof/>
            <w:webHidden/>
          </w:rPr>
          <w:fldChar w:fldCharType="separate"/>
        </w:r>
        <w:r>
          <w:rPr>
            <w:noProof/>
            <w:webHidden/>
          </w:rPr>
          <w:t>31</w:t>
        </w:r>
        <w:r w:rsidR="0012399E">
          <w:rPr>
            <w:noProof/>
            <w:webHidden/>
          </w:rPr>
          <w:fldChar w:fldCharType="end"/>
        </w:r>
      </w:hyperlink>
    </w:p>
    <w:p w14:paraId="6A7D57A3" w14:textId="13573169" w:rsidR="0012399E" w:rsidRDefault="00EB0B9D">
      <w:pPr>
        <w:pStyle w:val="TOC2"/>
        <w:tabs>
          <w:tab w:val="left" w:pos="660"/>
          <w:tab w:val="right" w:leader="dot" w:pos="9060"/>
        </w:tabs>
        <w:rPr>
          <w:rFonts w:eastAsiaTheme="minorEastAsia" w:cstheme="minorBidi"/>
          <w:smallCaps w:val="0"/>
          <w:noProof/>
          <w:sz w:val="22"/>
          <w:szCs w:val="22"/>
          <w:lang w:val="en-AU" w:eastAsia="en-AU" w:bidi="ar-SA"/>
        </w:rPr>
      </w:pPr>
      <w:hyperlink w:anchor="_Toc121311419" w:history="1">
        <w:r w:rsidR="0012399E" w:rsidRPr="00C11EA8">
          <w:rPr>
            <w:rStyle w:val="Hyperlink"/>
            <w:noProof/>
          </w:rPr>
          <w:t>7</w:t>
        </w:r>
        <w:r w:rsidR="0012399E">
          <w:rPr>
            <w:rFonts w:eastAsiaTheme="minorEastAsia" w:cstheme="minorBidi"/>
            <w:smallCaps w:val="0"/>
            <w:noProof/>
            <w:sz w:val="22"/>
            <w:szCs w:val="22"/>
            <w:lang w:val="en-AU" w:eastAsia="en-AU" w:bidi="ar-SA"/>
          </w:rPr>
          <w:tab/>
        </w:r>
        <w:r w:rsidR="0012399E" w:rsidRPr="00C11EA8">
          <w:rPr>
            <w:rStyle w:val="Hyperlink"/>
            <w:noProof/>
          </w:rPr>
          <w:t>How will the chosen option be implemented and evaluated?</w:t>
        </w:r>
        <w:r w:rsidR="0012399E">
          <w:rPr>
            <w:noProof/>
            <w:webHidden/>
          </w:rPr>
          <w:tab/>
        </w:r>
        <w:r w:rsidR="0012399E">
          <w:rPr>
            <w:noProof/>
            <w:webHidden/>
          </w:rPr>
          <w:fldChar w:fldCharType="begin"/>
        </w:r>
        <w:r w:rsidR="0012399E">
          <w:rPr>
            <w:noProof/>
            <w:webHidden/>
          </w:rPr>
          <w:instrText xml:space="preserve"> PAGEREF _Toc121311419 \h </w:instrText>
        </w:r>
        <w:r w:rsidR="0012399E">
          <w:rPr>
            <w:noProof/>
            <w:webHidden/>
          </w:rPr>
        </w:r>
        <w:r w:rsidR="0012399E">
          <w:rPr>
            <w:noProof/>
            <w:webHidden/>
          </w:rPr>
          <w:fldChar w:fldCharType="separate"/>
        </w:r>
        <w:r>
          <w:rPr>
            <w:noProof/>
            <w:webHidden/>
          </w:rPr>
          <w:t>32</w:t>
        </w:r>
        <w:r w:rsidR="0012399E">
          <w:rPr>
            <w:noProof/>
            <w:webHidden/>
          </w:rPr>
          <w:fldChar w:fldCharType="end"/>
        </w:r>
      </w:hyperlink>
    </w:p>
    <w:p w14:paraId="6597F9BB" w14:textId="4B8F862F" w:rsidR="0012399E" w:rsidRDefault="00EB0B9D">
      <w:pPr>
        <w:pStyle w:val="TOC2"/>
        <w:tabs>
          <w:tab w:val="left" w:pos="660"/>
          <w:tab w:val="right" w:leader="dot" w:pos="9060"/>
        </w:tabs>
        <w:rPr>
          <w:rFonts w:eastAsiaTheme="minorEastAsia" w:cstheme="minorBidi"/>
          <w:smallCaps w:val="0"/>
          <w:noProof/>
          <w:sz w:val="22"/>
          <w:szCs w:val="22"/>
          <w:lang w:val="en-AU" w:eastAsia="en-AU" w:bidi="ar-SA"/>
        </w:rPr>
      </w:pPr>
      <w:hyperlink w:anchor="_Toc121311420" w:history="1">
        <w:r w:rsidR="0012399E" w:rsidRPr="00C11EA8">
          <w:rPr>
            <w:rStyle w:val="Hyperlink"/>
            <w:noProof/>
          </w:rPr>
          <w:t>8</w:t>
        </w:r>
        <w:r w:rsidR="0012399E">
          <w:rPr>
            <w:rFonts w:eastAsiaTheme="minorEastAsia" w:cstheme="minorBidi"/>
            <w:smallCaps w:val="0"/>
            <w:noProof/>
            <w:sz w:val="22"/>
            <w:szCs w:val="22"/>
            <w:lang w:val="en-AU" w:eastAsia="en-AU" w:bidi="ar-SA"/>
          </w:rPr>
          <w:tab/>
        </w:r>
        <w:r w:rsidR="0012399E" w:rsidRPr="00C11EA8">
          <w:rPr>
            <w:rStyle w:val="Hyperlink"/>
            <w:noProof/>
          </w:rPr>
          <w:t>Case studies</w:t>
        </w:r>
        <w:r w:rsidR="0012399E">
          <w:rPr>
            <w:noProof/>
            <w:webHidden/>
          </w:rPr>
          <w:tab/>
        </w:r>
        <w:r w:rsidR="0012399E">
          <w:rPr>
            <w:noProof/>
            <w:webHidden/>
          </w:rPr>
          <w:fldChar w:fldCharType="begin"/>
        </w:r>
        <w:r w:rsidR="0012399E">
          <w:rPr>
            <w:noProof/>
            <w:webHidden/>
          </w:rPr>
          <w:instrText xml:space="preserve"> PAGEREF _Toc121311420 \h </w:instrText>
        </w:r>
        <w:r w:rsidR="0012399E">
          <w:rPr>
            <w:noProof/>
            <w:webHidden/>
          </w:rPr>
        </w:r>
        <w:r w:rsidR="0012399E">
          <w:rPr>
            <w:noProof/>
            <w:webHidden/>
          </w:rPr>
          <w:fldChar w:fldCharType="separate"/>
        </w:r>
        <w:r>
          <w:rPr>
            <w:noProof/>
            <w:webHidden/>
          </w:rPr>
          <w:t>32</w:t>
        </w:r>
        <w:r w:rsidR="0012399E">
          <w:rPr>
            <w:noProof/>
            <w:webHidden/>
          </w:rPr>
          <w:fldChar w:fldCharType="end"/>
        </w:r>
      </w:hyperlink>
    </w:p>
    <w:p w14:paraId="12545BE5" w14:textId="26D1E459" w:rsidR="0012399E" w:rsidRDefault="00EB0B9D">
      <w:pPr>
        <w:pStyle w:val="TOC2"/>
        <w:tabs>
          <w:tab w:val="right" w:leader="dot" w:pos="9060"/>
        </w:tabs>
        <w:rPr>
          <w:rFonts w:eastAsiaTheme="minorEastAsia" w:cstheme="minorBidi"/>
          <w:smallCaps w:val="0"/>
          <w:noProof/>
          <w:sz w:val="22"/>
          <w:szCs w:val="22"/>
          <w:lang w:val="en-AU" w:eastAsia="en-AU" w:bidi="ar-SA"/>
        </w:rPr>
      </w:pPr>
      <w:hyperlink w:anchor="_Toc121311421" w:history="1">
        <w:r w:rsidR="0012399E" w:rsidRPr="00C11EA8">
          <w:rPr>
            <w:rStyle w:val="Hyperlink"/>
            <w:noProof/>
          </w:rPr>
          <w:t>References</w:t>
        </w:r>
        <w:r w:rsidR="0012399E">
          <w:rPr>
            <w:noProof/>
            <w:webHidden/>
          </w:rPr>
          <w:tab/>
        </w:r>
        <w:r w:rsidR="0012399E">
          <w:rPr>
            <w:noProof/>
            <w:webHidden/>
          </w:rPr>
          <w:fldChar w:fldCharType="begin"/>
        </w:r>
        <w:r w:rsidR="0012399E">
          <w:rPr>
            <w:noProof/>
            <w:webHidden/>
          </w:rPr>
          <w:instrText xml:space="preserve"> PAGEREF _Toc121311421 \h </w:instrText>
        </w:r>
        <w:r w:rsidR="0012399E">
          <w:rPr>
            <w:noProof/>
            <w:webHidden/>
          </w:rPr>
        </w:r>
        <w:r w:rsidR="0012399E">
          <w:rPr>
            <w:noProof/>
            <w:webHidden/>
          </w:rPr>
          <w:fldChar w:fldCharType="separate"/>
        </w:r>
        <w:r>
          <w:rPr>
            <w:noProof/>
            <w:webHidden/>
          </w:rPr>
          <w:t>38</w:t>
        </w:r>
        <w:r w:rsidR="0012399E">
          <w:rPr>
            <w:noProof/>
            <w:webHidden/>
          </w:rPr>
          <w:fldChar w:fldCharType="end"/>
        </w:r>
      </w:hyperlink>
    </w:p>
    <w:p w14:paraId="49561551" w14:textId="60CE9510" w:rsidR="0012399E" w:rsidRDefault="00EB0B9D">
      <w:pPr>
        <w:pStyle w:val="TOC2"/>
        <w:tabs>
          <w:tab w:val="right" w:leader="dot" w:pos="9060"/>
        </w:tabs>
        <w:rPr>
          <w:rFonts w:eastAsiaTheme="minorEastAsia" w:cstheme="minorBidi"/>
          <w:smallCaps w:val="0"/>
          <w:noProof/>
          <w:sz w:val="22"/>
          <w:szCs w:val="22"/>
          <w:lang w:val="en-AU" w:eastAsia="en-AU" w:bidi="ar-SA"/>
        </w:rPr>
      </w:pPr>
      <w:hyperlink w:anchor="_Toc121311422" w:history="1">
        <w:r w:rsidR="0012399E" w:rsidRPr="00C11EA8">
          <w:rPr>
            <w:rStyle w:val="Hyperlink"/>
            <w:noProof/>
          </w:rPr>
          <w:t>Appendix 1 – Cost–benefit analysis</w:t>
        </w:r>
        <w:r w:rsidR="0012399E">
          <w:rPr>
            <w:noProof/>
            <w:webHidden/>
          </w:rPr>
          <w:tab/>
        </w:r>
        <w:r w:rsidR="0012399E">
          <w:rPr>
            <w:noProof/>
            <w:webHidden/>
          </w:rPr>
          <w:fldChar w:fldCharType="begin"/>
        </w:r>
        <w:r w:rsidR="0012399E">
          <w:rPr>
            <w:noProof/>
            <w:webHidden/>
          </w:rPr>
          <w:instrText xml:space="preserve"> PAGEREF _Toc121311422 \h </w:instrText>
        </w:r>
        <w:r w:rsidR="0012399E">
          <w:rPr>
            <w:noProof/>
            <w:webHidden/>
          </w:rPr>
        </w:r>
        <w:r w:rsidR="0012399E">
          <w:rPr>
            <w:noProof/>
            <w:webHidden/>
          </w:rPr>
          <w:fldChar w:fldCharType="separate"/>
        </w:r>
        <w:r>
          <w:rPr>
            <w:noProof/>
            <w:webHidden/>
          </w:rPr>
          <w:t>41</w:t>
        </w:r>
        <w:r w:rsidR="0012399E">
          <w:rPr>
            <w:noProof/>
            <w:webHidden/>
          </w:rPr>
          <w:fldChar w:fldCharType="end"/>
        </w:r>
      </w:hyperlink>
    </w:p>
    <w:p w14:paraId="067C95F4" w14:textId="66B8FBC2" w:rsidR="0012399E" w:rsidRDefault="00EB0B9D">
      <w:pPr>
        <w:pStyle w:val="TOC2"/>
        <w:tabs>
          <w:tab w:val="right" w:leader="dot" w:pos="9060"/>
        </w:tabs>
        <w:rPr>
          <w:rFonts w:eastAsiaTheme="minorEastAsia" w:cstheme="minorBidi"/>
          <w:smallCaps w:val="0"/>
          <w:noProof/>
          <w:sz w:val="22"/>
          <w:szCs w:val="22"/>
          <w:lang w:val="en-AU" w:eastAsia="en-AU" w:bidi="ar-SA"/>
        </w:rPr>
      </w:pPr>
      <w:hyperlink w:anchor="_Toc121311423" w:history="1">
        <w:r w:rsidR="0012399E" w:rsidRPr="00C11EA8">
          <w:rPr>
            <w:rStyle w:val="Hyperlink"/>
            <w:noProof/>
          </w:rPr>
          <w:t>Appendix 2 – Food safety culture initiatives and education</w:t>
        </w:r>
        <w:r w:rsidR="0012399E">
          <w:rPr>
            <w:noProof/>
            <w:webHidden/>
          </w:rPr>
          <w:tab/>
        </w:r>
        <w:r w:rsidR="0012399E">
          <w:rPr>
            <w:noProof/>
            <w:webHidden/>
          </w:rPr>
          <w:fldChar w:fldCharType="begin"/>
        </w:r>
        <w:r w:rsidR="0012399E">
          <w:rPr>
            <w:noProof/>
            <w:webHidden/>
          </w:rPr>
          <w:instrText xml:space="preserve"> PAGEREF _Toc121311423 \h </w:instrText>
        </w:r>
        <w:r w:rsidR="0012399E">
          <w:rPr>
            <w:noProof/>
            <w:webHidden/>
          </w:rPr>
        </w:r>
        <w:r w:rsidR="0012399E">
          <w:rPr>
            <w:noProof/>
            <w:webHidden/>
          </w:rPr>
          <w:fldChar w:fldCharType="separate"/>
        </w:r>
        <w:r>
          <w:rPr>
            <w:noProof/>
            <w:webHidden/>
          </w:rPr>
          <w:t>48</w:t>
        </w:r>
        <w:r w:rsidR="0012399E">
          <w:rPr>
            <w:noProof/>
            <w:webHidden/>
          </w:rPr>
          <w:fldChar w:fldCharType="end"/>
        </w:r>
      </w:hyperlink>
    </w:p>
    <w:p w14:paraId="749156BA" w14:textId="3157B38C" w:rsidR="0012399E" w:rsidRDefault="00EB0B9D">
      <w:pPr>
        <w:pStyle w:val="TOC2"/>
        <w:tabs>
          <w:tab w:val="right" w:leader="dot" w:pos="9060"/>
        </w:tabs>
        <w:rPr>
          <w:rFonts w:eastAsiaTheme="minorEastAsia" w:cstheme="minorBidi"/>
          <w:smallCaps w:val="0"/>
          <w:noProof/>
          <w:sz w:val="22"/>
          <w:szCs w:val="22"/>
          <w:lang w:val="en-AU" w:eastAsia="en-AU" w:bidi="ar-SA"/>
        </w:rPr>
      </w:pPr>
      <w:hyperlink w:anchor="_Toc121311424" w:history="1">
        <w:r w:rsidR="0012399E" w:rsidRPr="00C11EA8">
          <w:rPr>
            <w:rStyle w:val="Hyperlink"/>
            <w:noProof/>
          </w:rPr>
          <w:t>Appendix 3 – International approaches</w:t>
        </w:r>
        <w:r w:rsidR="0012399E">
          <w:rPr>
            <w:noProof/>
            <w:webHidden/>
          </w:rPr>
          <w:tab/>
        </w:r>
        <w:r w:rsidR="0012399E">
          <w:rPr>
            <w:noProof/>
            <w:webHidden/>
          </w:rPr>
          <w:fldChar w:fldCharType="begin"/>
        </w:r>
        <w:r w:rsidR="0012399E">
          <w:rPr>
            <w:noProof/>
            <w:webHidden/>
          </w:rPr>
          <w:instrText xml:space="preserve"> PAGEREF _Toc121311424 \h </w:instrText>
        </w:r>
        <w:r w:rsidR="0012399E">
          <w:rPr>
            <w:noProof/>
            <w:webHidden/>
          </w:rPr>
        </w:r>
        <w:r w:rsidR="0012399E">
          <w:rPr>
            <w:noProof/>
            <w:webHidden/>
          </w:rPr>
          <w:fldChar w:fldCharType="separate"/>
        </w:r>
        <w:r>
          <w:rPr>
            <w:noProof/>
            <w:webHidden/>
          </w:rPr>
          <w:t>49</w:t>
        </w:r>
        <w:r w:rsidR="0012399E">
          <w:rPr>
            <w:noProof/>
            <w:webHidden/>
          </w:rPr>
          <w:fldChar w:fldCharType="end"/>
        </w:r>
      </w:hyperlink>
    </w:p>
    <w:p w14:paraId="5940A74B" w14:textId="06B91A68" w:rsidR="0012399E" w:rsidRDefault="00CB7716" w:rsidP="0012399E">
      <w:pPr>
        <w:pStyle w:val="TOC1"/>
      </w:pPr>
      <w:r>
        <w:fldChar w:fldCharType="end"/>
      </w:r>
    </w:p>
    <w:p w14:paraId="3A31B184" w14:textId="77777777" w:rsidR="0012399E" w:rsidRDefault="0012399E">
      <w:pPr>
        <w:widowControl/>
        <w:rPr>
          <w:rFonts w:cs="Arial"/>
          <w:b/>
          <w:bCs/>
          <w:caps/>
          <w:szCs w:val="22"/>
        </w:rPr>
      </w:pPr>
      <w:r>
        <w:rPr>
          <w:rFonts w:cs="Arial"/>
          <w:szCs w:val="22"/>
        </w:rPr>
        <w:br w:type="page"/>
      </w:r>
    </w:p>
    <w:p w14:paraId="66479B8C" w14:textId="50CE6A65" w:rsidR="00CB7716" w:rsidRPr="0012399E" w:rsidRDefault="00CB7716" w:rsidP="0012399E">
      <w:pPr>
        <w:pStyle w:val="Heading2"/>
        <w:numPr>
          <w:ilvl w:val="0"/>
          <w:numId w:val="0"/>
        </w:numPr>
        <w:ind w:left="576" w:hanging="576"/>
        <w:rPr>
          <w:b w:val="0"/>
          <w:bCs w:val="0"/>
        </w:rPr>
      </w:pPr>
      <w:bookmarkStart w:id="24" w:name="_Toc107412674"/>
      <w:bookmarkStart w:id="25" w:name="_Toc109300439"/>
      <w:bookmarkStart w:id="26" w:name="_Toc121311412"/>
      <w:bookmarkStart w:id="27" w:name="_Toc426380820"/>
      <w:bookmarkStart w:id="28" w:name="_Toc426380885"/>
      <w:bookmarkStart w:id="29" w:name="_Toc426380916"/>
      <w:r w:rsidRPr="0012399E">
        <w:rPr>
          <w:b w:val="0"/>
          <w:bCs w:val="0"/>
        </w:rPr>
        <w:t>Abbreviations</w:t>
      </w:r>
      <w:bookmarkEnd w:id="24"/>
      <w:bookmarkEnd w:id="25"/>
      <w:bookmarkEnd w:id="26"/>
    </w:p>
    <w:p w14:paraId="642744AA" w14:textId="77777777" w:rsidR="00CB7716" w:rsidRDefault="00CB7716" w:rsidP="00CB7716">
      <w:r>
        <w:t xml:space="preserve">CRIS </w:t>
      </w:r>
      <w:r>
        <w:tab/>
        <w:t>consultation regulatory impact statement</w:t>
      </w:r>
    </w:p>
    <w:p w14:paraId="518222CC" w14:textId="77777777" w:rsidR="00CB7716" w:rsidRDefault="00CB7716" w:rsidP="00CB7716">
      <w:r>
        <w:t>DRIS</w:t>
      </w:r>
      <w:r>
        <w:tab/>
      </w:r>
      <w:r>
        <w:tab/>
        <w:t>decision regulatory impact statement</w:t>
      </w:r>
    </w:p>
    <w:p w14:paraId="087DBB50" w14:textId="77777777" w:rsidR="00CB7716" w:rsidRPr="00E843B5" w:rsidRDefault="00CB7716" w:rsidP="00CB7716">
      <w:r>
        <w:t>E</w:t>
      </w:r>
      <w:r>
        <w:tab/>
      </w:r>
      <w:r>
        <w:tab/>
        <w:t>evidence to substantiate food safety management</w:t>
      </w:r>
    </w:p>
    <w:p w14:paraId="5A879F50" w14:textId="77777777" w:rsidR="00CB7716" w:rsidRDefault="00CB7716" w:rsidP="00CB7716">
      <w:r>
        <w:t>EHO</w:t>
      </w:r>
      <w:r>
        <w:tab/>
      </w:r>
      <w:r>
        <w:tab/>
        <w:t>environmental health officer</w:t>
      </w:r>
    </w:p>
    <w:p w14:paraId="1FF7A332" w14:textId="77777777" w:rsidR="00CB7716" w:rsidRDefault="00CB7716" w:rsidP="00CB7716">
      <w:r>
        <w:t>FHT</w:t>
      </w:r>
      <w:r>
        <w:tab/>
      </w:r>
      <w:r>
        <w:tab/>
        <w:t>food handler training</w:t>
      </w:r>
    </w:p>
    <w:p w14:paraId="7A3C748D" w14:textId="77777777" w:rsidR="00CB7716" w:rsidRDefault="00CB7716" w:rsidP="00CB7716">
      <w:r>
        <w:t>FRSC</w:t>
      </w:r>
      <w:r>
        <w:tab/>
        <w:t>Food Regulation Standing Committee</w:t>
      </w:r>
    </w:p>
    <w:p w14:paraId="7C5038AF" w14:textId="77777777" w:rsidR="00CB7716" w:rsidRDefault="00CB7716" w:rsidP="00CB7716">
      <w:r>
        <w:t>FSANZ</w:t>
      </w:r>
      <w:r>
        <w:tab/>
        <w:t>Food Standards Australia New Zealand</w:t>
      </w:r>
    </w:p>
    <w:p w14:paraId="2C9B8E55" w14:textId="77777777" w:rsidR="00CB7716" w:rsidRDefault="00CB7716" w:rsidP="00CB7716">
      <w:r>
        <w:t>FSM WG</w:t>
      </w:r>
      <w:r>
        <w:tab/>
        <w:t>Food Safety Management Working Group</w:t>
      </w:r>
    </w:p>
    <w:p w14:paraId="66B016FD" w14:textId="77777777" w:rsidR="00CB7716" w:rsidRDefault="00CB7716" w:rsidP="00CB7716">
      <w:r>
        <w:t>FSP</w:t>
      </w:r>
      <w:r>
        <w:tab/>
      </w:r>
      <w:r>
        <w:tab/>
        <w:t>food safety program</w:t>
      </w:r>
    </w:p>
    <w:p w14:paraId="0C6EC606" w14:textId="77777777" w:rsidR="00CB7716" w:rsidRDefault="00CB7716" w:rsidP="00CB7716">
      <w:r>
        <w:t>FSS</w:t>
      </w:r>
      <w:r>
        <w:tab/>
      </w:r>
      <w:r>
        <w:tab/>
        <w:t>food safety supervisor</w:t>
      </w:r>
    </w:p>
    <w:p w14:paraId="10AF8D0E" w14:textId="77777777" w:rsidR="00CB7716" w:rsidRDefault="00CB7716" w:rsidP="00CB7716">
      <w:r w:rsidRPr="68C0CA2D">
        <w:rPr>
          <w:rFonts w:cs="Arial"/>
        </w:rPr>
        <w:t>ISFR</w:t>
      </w:r>
      <w:r>
        <w:tab/>
      </w:r>
      <w:r>
        <w:tab/>
      </w:r>
      <w:r w:rsidRPr="68C0CA2D">
        <w:rPr>
          <w:rFonts w:cs="Arial"/>
          <w:lang w:val="en-AU"/>
        </w:rPr>
        <w:t>Implementation Subcommittee for Food Regulation</w:t>
      </w:r>
    </w:p>
    <w:p w14:paraId="39C30064" w14:textId="77777777" w:rsidR="00CB7716" w:rsidRDefault="00CB7716" w:rsidP="00CB7716">
      <w:r>
        <w:t>P1</w:t>
      </w:r>
      <w:r>
        <w:tab/>
      </w:r>
      <w:r>
        <w:tab/>
        <w:t>Priority 1 business (using the national Risk Profiling Framework)</w:t>
      </w:r>
    </w:p>
    <w:p w14:paraId="08F2DFE9" w14:textId="77777777" w:rsidR="00CB7716" w:rsidRDefault="00CB7716" w:rsidP="00CB7716">
      <w:r>
        <w:t>P2</w:t>
      </w:r>
      <w:r>
        <w:tab/>
      </w:r>
      <w:r>
        <w:tab/>
        <w:t>Priority 2 business (using the national Risk Profiling Framework)</w:t>
      </w:r>
    </w:p>
    <w:p w14:paraId="6884B07A" w14:textId="77777777" w:rsidR="00CB7716" w:rsidRDefault="00CB7716" w:rsidP="00CB7716">
      <w:r>
        <w:t>PHF</w:t>
      </w:r>
      <w:r>
        <w:tab/>
      </w:r>
      <w:r>
        <w:tab/>
        <w:t>potentially hazardous food</w:t>
      </w:r>
    </w:p>
    <w:p w14:paraId="4573396C" w14:textId="77777777" w:rsidR="00CB7716" w:rsidRDefault="00CB7716" w:rsidP="00CB7716">
      <w:r>
        <w:t>RTE</w:t>
      </w:r>
      <w:r>
        <w:tab/>
      </w:r>
      <w:r>
        <w:tab/>
        <w:t>ready to eat</w:t>
      </w:r>
    </w:p>
    <w:p w14:paraId="706EBCCC" w14:textId="39117807" w:rsidR="00CB7716" w:rsidRDefault="0081747A" w:rsidP="00CB7716">
      <w:pPr>
        <w:rPr>
          <w:rFonts w:eastAsia="Calibri"/>
        </w:rPr>
      </w:pPr>
      <w:r>
        <w:rPr>
          <w:rFonts w:eastAsia="Calibri"/>
        </w:rPr>
        <w:t xml:space="preserve">SOP </w:t>
      </w:r>
      <w:r>
        <w:rPr>
          <w:rFonts w:eastAsia="Calibri"/>
        </w:rPr>
        <w:tab/>
      </w:r>
      <w:r>
        <w:rPr>
          <w:rFonts w:eastAsia="Calibri"/>
        </w:rPr>
        <w:tab/>
      </w:r>
      <w:r w:rsidR="00CB7716" w:rsidRPr="68C0CA2D">
        <w:rPr>
          <w:rFonts w:eastAsia="Calibri"/>
        </w:rPr>
        <w:t>standard operating procedure</w:t>
      </w:r>
    </w:p>
    <w:p w14:paraId="634DD2C5" w14:textId="77777777" w:rsidR="00CB7716" w:rsidRDefault="00CB7716" w:rsidP="00CB7716"/>
    <w:p w14:paraId="3B9BC8BA" w14:textId="77777777" w:rsidR="00CB7716" w:rsidRDefault="00CB7716" w:rsidP="00CB7716">
      <w:pPr>
        <w:rPr>
          <w:rStyle w:val="Heading1Char"/>
          <w:b w:val="0"/>
        </w:rPr>
      </w:pPr>
      <w:r>
        <w:rPr>
          <w:rStyle w:val="Heading1Char"/>
          <w:b w:val="0"/>
        </w:rPr>
        <w:br w:type="page"/>
      </w:r>
    </w:p>
    <w:p w14:paraId="62705665" w14:textId="77777777" w:rsidR="00CB7716" w:rsidRPr="006D619E" w:rsidRDefault="00CB7716" w:rsidP="006D619E">
      <w:pPr>
        <w:pStyle w:val="Heading2"/>
        <w:numPr>
          <w:ilvl w:val="0"/>
          <w:numId w:val="0"/>
        </w:numPr>
        <w:ind w:left="576" w:hanging="576"/>
        <w:rPr>
          <w:bCs w:val="0"/>
        </w:rPr>
      </w:pPr>
      <w:bookmarkStart w:id="30" w:name="_Toc107412675"/>
      <w:bookmarkStart w:id="31" w:name="_Toc109300440"/>
      <w:bookmarkStart w:id="32" w:name="_Toc121311413"/>
      <w:r w:rsidRPr="006D619E">
        <w:rPr>
          <w:bCs w:val="0"/>
        </w:rPr>
        <w:t>1</w:t>
      </w:r>
      <w:r w:rsidRPr="006D619E">
        <w:tab/>
        <w:t>Introduction</w:t>
      </w:r>
      <w:bookmarkEnd w:id="27"/>
      <w:bookmarkEnd w:id="28"/>
      <w:bookmarkEnd w:id="29"/>
      <w:bookmarkEnd w:id="30"/>
      <w:bookmarkEnd w:id="31"/>
      <w:bookmarkEnd w:id="32"/>
    </w:p>
    <w:p w14:paraId="0AAF3DD5" w14:textId="70C6CE40" w:rsidR="00CB7716" w:rsidRDefault="00CB7716" w:rsidP="004F36C6">
      <w:pPr>
        <w:spacing w:after="240"/>
      </w:pPr>
      <w:r w:rsidRPr="00F14AA9">
        <w:rPr>
          <w:lang w:val="en-AU"/>
        </w:rPr>
        <w:t>FSA</w:t>
      </w:r>
      <w:r>
        <w:rPr>
          <w:lang w:val="en-AU"/>
        </w:rPr>
        <w:t>NZ Proposal P1053 – Food Safety Management Tools</w:t>
      </w:r>
      <w:r w:rsidRPr="00F14AA9">
        <w:rPr>
          <w:lang w:val="en-AU"/>
        </w:rPr>
        <w:t xml:space="preserve"> </w:t>
      </w:r>
      <w:r w:rsidRPr="00AB7684">
        <w:rPr>
          <w:lang w:val="en-AU"/>
        </w:rPr>
        <w:t>consider</w:t>
      </w:r>
      <w:r>
        <w:rPr>
          <w:lang w:val="en-AU"/>
        </w:rPr>
        <w:t>ed</w:t>
      </w:r>
      <w:r w:rsidRPr="00AB7684">
        <w:rPr>
          <w:lang w:val="en-AU"/>
        </w:rPr>
        <w:t xml:space="preserve"> </w:t>
      </w:r>
      <w:r>
        <w:rPr>
          <w:lang w:val="en-AU"/>
        </w:rPr>
        <w:t>whether regulatory measures over and above existing general requirements should be mandated to</w:t>
      </w:r>
      <w:r w:rsidRPr="00AB7684">
        <w:rPr>
          <w:lang w:val="en-AU"/>
        </w:rPr>
        <w:t xml:space="preserve"> manag</w:t>
      </w:r>
      <w:r>
        <w:rPr>
          <w:lang w:val="en-AU"/>
        </w:rPr>
        <w:t>e</w:t>
      </w:r>
      <w:r w:rsidRPr="00AB7684">
        <w:rPr>
          <w:lang w:val="en-AU"/>
        </w:rPr>
        <w:t xml:space="preserve"> food safety</w:t>
      </w:r>
      <w:r w:rsidRPr="0017083D">
        <w:rPr>
          <w:lang w:val="en-AU"/>
        </w:rPr>
        <w:t xml:space="preserve"> </w:t>
      </w:r>
      <w:r w:rsidRPr="00AB7684">
        <w:rPr>
          <w:lang w:val="en-AU"/>
        </w:rPr>
        <w:t>risks</w:t>
      </w:r>
      <w:r w:rsidRPr="005E4FAC">
        <w:rPr>
          <w:lang w:val="en-AU"/>
        </w:rPr>
        <w:t xml:space="preserve"> </w:t>
      </w:r>
      <w:r>
        <w:rPr>
          <w:lang w:val="en-AU"/>
        </w:rPr>
        <w:t>in food service and related retail sectors</w:t>
      </w:r>
      <w:r w:rsidRPr="00AB7684">
        <w:rPr>
          <w:lang w:val="en-AU"/>
        </w:rPr>
        <w:t xml:space="preserve">. </w:t>
      </w:r>
      <w:r>
        <w:t xml:space="preserve">This DRIS has been prepared in accordance with the </w:t>
      </w:r>
      <w:r w:rsidRPr="3C0957AF">
        <w:rPr>
          <w:i/>
          <w:iCs/>
        </w:rPr>
        <w:t>Regulatory Impact Analysis Guide for Ministers’ Meetings and National Standard Setting Bodies</w:t>
      </w:r>
      <w:r>
        <w:t xml:space="preserve"> (May 2021)</w:t>
      </w:r>
      <w:r>
        <w:rPr>
          <w:rStyle w:val="FootnoteReference"/>
        </w:rPr>
        <w:footnoteReference w:id="2"/>
      </w:r>
      <w:r>
        <w:t xml:space="preserve"> and answers the following seven questions using the best available information:</w:t>
      </w:r>
    </w:p>
    <w:p w14:paraId="7FE3BF62" w14:textId="77777777" w:rsidR="00CB7716" w:rsidRDefault="00CB7716" w:rsidP="004E6D96">
      <w:pPr>
        <w:pStyle w:val="ListParagraph"/>
        <w:numPr>
          <w:ilvl w:val="0"/>
          <w:numId w:val="13"/>
        </w:numPr>
        <w:spacing w:after="240"/>
      </w:pPr>
      <w:r>
        <w:t>What is the problem?</w:t>
      </w:r>
    </w:p>
    <w:p w14:paraId="5F321CD8" w14:textId="77777777" w:rsidR="00CB7716" w:rsidRDefault="00CB7716" w:rsidP="004E6D96">
      <w:pPr>
        <w:pStyle w:val="ListParagraph"/>
        <w:numPr>
          <w:ilvl w:val="0"/>
          <w:numId w:val="13"/>
        </w:numPr>
        <w:spacing w:after="240"/>
      </w:pPr>
      <w:r>
        <w:t>Why is government action needed?</w:t>
      </w:r>
    </w:p>
    <w:p w14:paraId="20896941" w14:textId="77777777" w:rsidR="00CB7716" w:rsidRDefault="00CB7716" w:rsidP="004E6D96">
      <w:pPr>
        <w:pStyle w:val="ListParagraph"/>
        <w:numPr>
          <w:ilvl w:val="0"/>
          <w:numId w:val="13"/>
        </w:numPr>
        <w:spacing w:after="240"/>
      </w:pPr>
      <w:r>
        <w:t>What policy options are to be considered?</w:t>
      </w:r>
    </w:p>
    <w:p w14:paraId="5297B3D6" w14:textId="77777777" w:rsidR="00CB7716" w:rsidRDefault="00CB7716" w:rsidP="004E6D96">
      <w:pPr>
        <w:pStyle w:val="ListParagraph"/>
        <w:numPr>
          <w:ilvl w:val="0"/>
          <w:numId w:val="13"/>
        </w:numPr>
        <w:spacing w:after="240"/>
      </w:pPr>
      <w:r>
        <w:t>What is the likely net benefit of each option?</w:t>
      </w:r>
    </w:p>
    <w:p w14:paraId="20DAEEB0" w14:textId="77777777" w:rsidR="00CB7716" w:rsidRDefault="00CB7716" w:rsidP="004E6D96">
      <w:pPr>
        <w:pStyle w:val="ListParagraph"/>
        <w:numPr>
          <w:ilvl w:val="0"/>
          <w:numId w:val="13"/>
        </w:numPr>
        <w:spacing w:after="240"/>
      </w:pPr>
      <w:r>
        <w:t>Who was consulted and how was their feedback incorporated?</w:t>
      </w:r>
    </w:p>
    <w:p w14:paraId="0A039688" w14:textId="77777777" w:rsidR="00CB7716" w:rsidRDefault="00CB7716" w:rsidP="004E6D96">
      <w:pPr>
        <w:pStyle w:val="ListParagraph"/>
        <w:numPr>
          <w:ilvl w:val="0"/>
          <w:numId w:val="13"/>
        </w:numPr>
        <w:spacing w:after="240"/>
      </w:pPr>
      <w:r>
        <w:t>What is the best option from those considered?</w:t>
      </w:r>
    </w:p>
    <w:p w14:paraId="46B2828C" w14:textId="77777777" w:rsidR="00CB7716" w:rsidRDefault="00CB7716" w:rsidP="004E6D96">
      <w:pPr>
        <w:pStyle w:val="ListParagraph"/>
        <w:numPr>
          <w:ilvl w:val="0"/>
          <w:numId w:val="13"/>
        </w:numPr>
        <w:spacing w:after="240"/>
      </w:pPr>
      <w:r>
        <w:t>How will the chosen option be implemented and evaluated?</w:t>
      </w:r>
    </w:p>
    <w:p w14:paraId="494715F7" w14:textId="14EC2DE7" w:rsidR="00CB7716" w:rsidRDefault="00CB7716" w:rsidP="004F36C6">
      <w:pPr>
        <w:spacing w:after="240"/>
        <w:rPr>
          <w:lang w:val="en-US"/>
        </w:rPr>
      </w:pPr>
      <w:r w:rsidRPr="00722E1C">
        <w:rPr>
          <w:lang w:val="en-US"/>
        </w:rPr>
        <w:t xml:space="preserve">In our assessment, FSANZ considered the extent of foodborne illness caused by food service </w:t>
      </w:r>
      <w:r>
        <w:rPr>
          <w:lang w:val="en-US"/>
        </w:rPr>
        <w:t xml:space="preserve">and retail </w:t>
      </w:r>
      <w:r w:rsidRPr="00722E1C">
        <w:rPr>
          <w:lang w:val="en-US"/>
        </w:rPr>
        <w:t>businesses in Australia</w:t>
      </w:r>
      <w:r>
        <w:rPr>
          <w:rStyle w:val="FootnoteReference"/>
          <w:lang w:val="en-US"/>
        </w:rPr>
        <w:footnoteReference w:id="3"/>
      </w:r>
      <w:r>
        <w:rPr>
          <w:lang w:val="en-US"/>
        </w:rPr>
        <w:t>,</w:t>
      </w:r>
      <w:r w:rsidRPr="00722E1C">
        <w:rPr>
          <w:lang w:val="en-US"/>
        </w:rPr>
        <w:t xml:space="preserve"> and where improvements in food safety management are needed. We examined current regulatory arrangements in Australia and international approaches. We</w:t>
      </w:r>
      <w:r w:rsidRPr="00722E1C" w:rsidDel="003D6941">
        <w:rPr>
          <w:lang w:val="en-US"/>
        </w:rPr>
        <w:t xml:space="preserve"> </w:t>
      </w:r>
      <w:r w:rsidRPr="00722E1C">
        <w:rPr>
          <w:lang w:val="en-US"/>
        </w:rPr>
        <w:t>considered</w:t>
      </w:r>
      <w:r>
        <w:rPr>
          <w:lang w:val="en-US"/>
        </w:rPr>
        <w:t xml:space="preserve"> </w:t>
      </w:r>
      <w:r w:rsidRPr="00722E1C">
        <w:rPr>
          <w:lang w:val="en-US"/>
        </w:rPr>
        <w:t>options by assessing risks, costs, benefits and appropriateness</w:t>
      </w:r>
      <w:r>
        <w:rPr>
          <w:lang w:val="en-US"/>
        </w:rPr>
        <w:t xml:space="preserve"> of the interventions. </w:t>
      </w:r>
    </w:p>
    <w:p w14:paraId="407635EC" w14:textId="31784FB6" w:rsidR="00643567" w:rsidRPr="00643567" w:rsidRDefault="00CB7716" w:rsidP="004F36C6">
      <w:pPr>
        <w:spacing w:after="240"/>
      </w:pPr>
      <w:r w:rsidRPr="00A41684">
        <w:t xml:space="preserve">The </w:t>
      </w:r>
      <w:r>
        <w:t>food service and retail</w:t>
      </w:r>
      <w:r w:rsidRPr="00A41684">
        <w:t xml:space="preserve"> sector</w:t>
      </w:r>
      <w:r>
        <w:t>s</w:t>
      </w:r>
      <w:r w:rsidRPr="00A41684">
        <w:t xml:space="preserve"> cover a </w:t>
      </w:r>
      <w:r>
        <w:t>broad range</w:t>
      </w:r>
      <w:r w:rsidRPr="00A41684">
        <w:t xml:space="preserve"> of business types</w:t>
      </w:r>
      <w:r>
        <w:t>,</w:t>
      </w:r>
      <w:r w:rsidRPr="00A41684">
        <w:t xml:space="preserve"> including restaurants, takeaways, commercial caterers, camps, cruise/airline, national franchised fast</w:t>
      </w:r>
      <w:r>
        <w:t>-</w:t>
      </w:r>
      <w:r w:rsidRPr="00A41684">
        <w:t>food outlets an</w:t>
      </w:r>
      <w:r>
        <w:t>d delicatessens (Abelson 2006</w:t>
      </w:r>
      <w:r w:rsidRPr="00A41684">
        <w:t>).</w:t>
      </w:r>
      <w:r>
        <w:t xml:space="preserve"> Many</w:t>
      </w:r>
      <w:r w:rsidRPr="00A41684">
        <w:t xml:space="preserve"> of these businesses are </w:t>
      </w:r>
      <w:r>
        <w:t>small-to-medium enterprises</w:t>
      </w:r>
      <w:r w:rsidRPr="00A41684">
        <w:t xml:space="preserve"> </w:t>
      </w:r>
      <w:r>
        <w:t>with</w:t>
      </w:r>
      <w:r w:rsidRPr="00A41684">
        <w:t xml:space="preserve"> a transient workforce</w:t>
      </w:r>
      <w:r>
        <w:t>,</w:t>
      </w:r>
      <w:r w:rsidRPr="00A41684">
        <w:t xml:space="preserve"> not affiliated with industry </w:t>
      </w:r>
      <w:r>
        <w:t>associations</w:t>
      </w:r>
      <w:r w:rsidR="00643567">
        <w:t>.</w:t>
      </w:r>
    </w:p>
    <w:p w14:paraId="13B45DD0" w14:textId="1066B4B9" w:rsidR="00CB7716" w:rsidRPr="00EB7634" w:rsidRDefault="00CB7716" w:rsidP="004F36C6">
      <w:pPr>
        <w:spacing w:after="240"/>
      </w:pPr>
      <w:r>
        <w:t>By their n</w:t>
      </w:r>
      <w:r w:rsidRPr="00EB7634">
        <w:t>ature, food service and retail businesses are challenging environments for adequately controlling food safe</w:t>
      </w:r>
      <w:r>
        <w:t>ty risks. They deal with high-r</w:t>
      </w:r>
      <w:r w:rsidRPr="00EB7634">
        <w:t>isk food that is often substantially and directly handled (i.e. unpackaged food) during preparation, often under time pressures and with no further treatm</w:t>
      </w:r>
      <w:r>
        <w:t xml:space="preserve">ent by consumers before eating. </w:t>
      </w:r>
      <w:r w:rsidRPr="00EB7634">
        <w:rPr>
          <w:lang w:val="en"/>
        </w:rPr>
        <w:t>Food businesses have reported challenges dealing with competing and often complex priorities including staffing, managing suppliers, increasing costs, remaining co</w:t>
      </w:r>
      <w:r>
        <w:rPr>
          <w:lang w:val="en"/>
        </w:rPr>
        <w:t>mpetitive, providing high-</w:t>
      </w:r>
      <w:r w:rsidRPr="00EB7634">
        <w:rPr>
          <w:lang w:val="en"/>
        </w:rPr>
        <w:t>quality products at affordable price</w:t>
      </w:r>
      <w:r>
        <w:rPr>
          <w:lang w:val="en"/>
        </w:rPr>
        <w:t>s, and working long hours</w:t>
      </w:r>
      <w:r w:rsidRPr="00EB7634">
        <w:rPr>
          <w:lang w:val="en"/>
        </w:rPr>
        <w:t xml:space="preserve">. </w:t>
      </w:r>
      <w:r w:rsidRPr="00EB7634">
        <w:t xml:space="preserve">Compounding these issues, food service sectors are characterised by high staff turnover and relatively high proportions of workers who are inexperienced, casual staff and/or migrants from diverse cultural and language backgrounds. </w:t>
      </w:r>
    </w:p>
    <w:p w14:paraId="097FC0C5" w14:textId="35717E75" w:rsidR="00CB7716" w:rsidRDefault="00CB7716" w:rsidP="006D619E">
      <w:pPr>
        <w:pStyle w:val="Heading3"/>
        <w:numPr>
          <w:ilvl w:val="0"/>
          <w:numId w:val="0"/>
        </w:numPr>
        <w:ind w:left="720" w:hanging="720"/>
      </w:pPr>
      <w:bookmarkStart w:id="33" w:name="_Toc107412676"/>
      <w:bookmarkStart w:id="34" w:name="_Toc109300441"/>
      <w:r>
        <w:t>1.1</w:t>
      </w:r>
      <w:r>
        <w:tab/>
        <w:t>Background</w:t>
      </w:r>
      <w:bookmarkEnd w:id="33"/>
      <w:bookmarkEnd w:id="34"/>
      <w:r>
        <w:t xml:space="preserve"> </w:t>
      </w:r>
    </w:p>
    <w:p w14:paraId="0512EEA2" w14:textId="047132FF" w:rsidR="00CB7716" w:rsidRDefault="00CB7716" w:rsidP="004F36C6">
      <w:pPr>
        <w:spacing w:after="240"/>
      </w:pPr>
      <w:r>
        <w:t xml:space="preserve">In June 2018, ministers responsible for food regulation agreed to strengthen food safety management in food service and retail priority business sectors, to reduce foodborne illness. </w:t>
      </w:r>
      <w:r w:rsidRPr="00685F1A">
        <w:t xml:space="preserve">The </w:t>
      </w:r>
      <w:r w:rsidRPr="007C38BB">
        <w:t>2011 Revised Ministerial Policy Guideline on Food Safety Management for General Food Service and Closely Related Retail Sectors</w:t>
      </w:r>
      <w:r>
        <w:t xml:space="preserve"> </w:t>
      </w:r>
      <w:r>
        <w:rPr>
          <w:rStyle w:val="FootnoteReference"/>
        </w:rPr>
        <w:footnoteReference w:id="4"/>
      </w:r>
      <w:r>
        <w:t>(</w:t>
      </w:r>
      <w:bookmarkStart w:id="35" w:name="_Int_ysBGl4bQ"/>
      <w:r>
        <w:t>the</w:t>
      </w:r>
      <w:bookmarkEnd w:id="35"/>
      <w:r>
        <w:t xml:space="preserve"> Policy Guideline) </w:t>
      </w:r>
      <w:r>
        <w:rPr>
          <w:lang w:val="en-AU"/>
        </w:rPr>
        <w:t>identifies these priority business sectors</w:t>
      </w:r>
      <w:r>
        <w:t>.</w:t>
      </w:r>
    </w:p>
    <w:p w14:paraId="42595EA5" w14:textId="41E8F12D" w:rsidR="00CB7716" w:rsidRDefault="00CB7716" w:rsidP="004F36C6">
      <w:pPr>
        <w:spacing w:after="240"/>
      </w:pPr>
      <w:r>
        <w:t xml:space="preserve">A multijurisdictional food safety management working group (FSM WG) evaluated current requirements and concluded that extra measures would improve food safety </w:t>
      </w:r>
      <w:r w:rsidRPr="00CB1E5A">
        <w:t xml:space="preserve">outcomes </w:t>
      </w:r>
      <w:r>
        <w:t>in these sectors</w:t>
      </w:r>
      <w:r w:rsidDel="009C5600">
        <w:t xml:space="preserve"> </w:t>
      </w:r>
      <w:r w:rsidRPr="00CB1E5A" w:rsidDel="009C5600">
        <w:t>(</w:t>
      </w:r>
      <w:r w:rsidDel="009C5600">
        <w:t>see</w:t>
      </w:r>
      <w:r w:rsidRPr="00CB1E5A" w:rsidDel="009C5600">
        <w:t xml:space="preserve"> </w:t>
      </w:r>
      <w:r w:rsidDel="009C5600">
        <w:t xml:space="preserve">the </w:t>
      </w:r>
      <w:r>
        <w:t>P1053 Call for Submissions report</w:t>
      </w:r>
      <w:r w:rsidRPr="48861835">
        <w:rPr>
          <w:rStyle w:val="FootnoteReference"/>
        </w:rPr>
        <w:footnoteReference w:id="5"/>
      </w:r>
      <w:r>
        <w:t xml:space="preserve">). It proposed additional food safety management tools, both regulatory and non-regulatory. </w:t>
      </w:r>
    </w:p>
    <w:p w14:paraId="7990B6B5" w14:textId="77777777" w:rsidR="00CB7716" w:rsidRDefault="00CB7716" w:rsidP="004F36C6">
      <w:pPr>
        <w:spacing w:after="240"/>
      </w:pPr>
      <w:r>
        <w:t>Following stakeholder consultation</w:t>
      </w:r>
      <w:r>
        <w:rPr>
          <w:rStyle w:val="FootnoteReference"/>
        </w:rPr>
        <w:footnoteReference w:id="6"/>
      </w:r>
      <w:r>
        <w:t>, the FSM WG presented a package of regulatory and non-regulatory food safety tools to the Food Regulation Standing Committee</w:t>
      </w:r>
      <w:r>
        <w:rPr>
          <w:rStyle w:val="FootnoteReference"/>
          <w:rFonts w:cs="Arial"/>
        </w:rPr>
        <w:footnoteReference w:id="7"/>
      </w:r>
      <w:r>
        <w:t xml:space="preserve"> (FRSC). The regulatory measures proposed were:</w:t>
      </w:r>
    </w:p>
    <w:p w14:paraId="3FBE24A1" w14:textId="77777777" w:rsidR="00CB7716" w:rsidRDefault="00CB7716" w:rsidP="004E6D96">
      <w:pPr>
        <w:pStyle w:val="ListParagraph"/>
        <w:numPr>
          <w:ilvl w:val="0"/>
          <w:numId w:val="14"/>
        </w:numPr>
        <w:spacing w:after="240"/>
      </w:pPr>
      <w:r>
        <w:t>the requirement for a food safety supervisor (competency-based training)</w:t>
      </w:r>
    </w:p>
    <w:p w14:paraId="7C901D76" w14:textId="77777777" w:rsidR="00CB7716" w:rsidRDefault="00CB7716" w:rsidP="004E6D96">
      <w:pPr>
        <w:pStyle w:val="ListParagraph"/>
        <w:numPr>
          <w:ilvl w:val="0"/>
          <w:numId w:val="14"/>
        </w:numPr>
        <w:spacing w:after="240"/>
      </w:pPr>
      <w:r>
        <w:t>mandatory training for all food handlers (non-competency based)</w:t>
      </w:r>
    </w:p>
    <w:p w14:paraId="3FC72410" w14:textId="77777777" w:rsidR="00CB7716" w:rsidRDefault="00CB7716" w:rsidP="004E6D96">
      <w:pPr>
        <w:pStyle w:val="ListParagraph"/>
        <w:numPr>
          <w:ilvl w:val="0"/>
          <w:numId w:val="14"/>
        </w:numPr>
        <w:spacing w:after="240"/>
      </w:pPr>
      <w:proofErr w:type="gramStart"/>
      <w:r>
        <w:t>requiring</w:t>
      </w:r>
      <w:proofErr w:type="gramEnd"/>
      <w:r>
        <w:t xml:space="preserve"> evidence be provided to demonstrate that key activities or control measures are managed.</w:t>
      </w:r>
    </w:p>
    <w:p w14:paraId="55BF5EBD" w14:textId="77777777" w:rsidR="00CB7716" w:rsidRDefault="00CB7716" w:rsidP="004E6D96">
      <w:pPr>
        <w:pStyle w:val="ListParagraph"/>
        <w:numPr>
          <w:ilvl w:val="0"/>
          <w:numId w:val="14"/>
        </w:numPr>
        <w:spacing w:after="240"/>
      </w:pPr>
      <w:r>
        <w:t>The non-regulatory tools proposed were:</w:t>
      </w:r>
    </w:p>
    <w:p w14:paraId="29A26C34" w14:textId="77777777" w:rsidR="00CB7716" w:rsidRDefault="00CB7716" w:rsidP="004E6D96">
      <w:pPr>
        <w:pStyle w:val="ListParagraph"/>
        <w:numPr>
          <w:ilvl w:val="0"/>
          <w:numId w:val="14"/>
        </w:numPr>
        <w:spacing w:after="240"/>
      </w:pPr>
      <w:r>
        <w:t>food safety culture initiatives</w:t>
      </w:r>
    </w:p>
    <w:p w14:paraId="571DBDD0" w14:textId="77777777" w:rsidR="00CB7716" w:rsidRDefault="00CB7716" w:rsidP="004E6D96">
      <w:pPr>
        <w:pStyle w:val="ListParagraph"/>
        <w:numPr>
          <w:ilvl w:val="0"/>
          <w:numId w:val="14"/>
        </w:numPr>
        <w:spacing w:after="240"/>
      </w:pPr>
      <w:proofErr w:type="gramStart"/>
      <w:r>
        <w:t>a</w:t>
      </w:r>
      <w:proofErr w:type="gramEnd"/>
      <w:r>
        <w:t xml:space="preserve"> </w:t>
      </w:r>
      <w:r w:rsidRPr="00A32F53">
        <w:t>comprehensive</w:t>
      </w:r>
      <w:r>
        <w:t xml:space="preserve"> and integrated, support and education package to guide both food businesses and local government as key regulatory partners.</w:t>
      </w:r>
    </w:p>
    <w:p w14:paraId="2B07B3DF" w14:textId="19892309" w:rsidR="00CB7716" w:rsidRDefault="00CB7716" w:rsidP="004F36C6">
      <w:pPr>
        <w:spacing w:after="240"/>
      </w:pPr>
      <w:r w:rsidRPr="004677A1">
        <w:t xml:space="preserve">Ministers endorsed this work and referred the package to FSANZ for assessment. Ministers also recommended the </w:t>
      </w:r>
      <w:hyperlink r:id="rId14" w:history="1">
        <w:r w:rsidRPr="3C0957AF">
          <w:rPr>
            <w:rStyle w:val="Hyperlink"/>
            <w:rFonts w:cstheme="minorBidi"/>
          </w:rPr>
          <w:t>Integrated Model for Standards Development and Consistent Implementation</w:t>
        </w:r>
      </w:hyperlink>
      <w:r>
        <w:rPr>
          <w:rStyle w:val="FootnoteReference"/>
        </w:rPr>
        <w:footnoteReference w:id="8"/>
      </w:r>
      <w:r w:rsidRPr="004677A1">
        <w:t xml:space="preserve"> (</w:t>
      </w:r>
      <w:bookmarkStart w:id="36" w:name="_Int_qgpx1V2l"/>
      <w:r w:rsidRPr="004677A1">
        <w:t>integrated</w:t>
      </w:r>
      <w:bookmarkEnd w:id="36"/>
      <w:r w:rsidRPr="004677A1">
        <w:t xml:space="preserve"> model) be used. </w:t>
      </w:r>
      <w:r>
        <w:t>This m</w:t>
      </w:r>
      <w:r w:rsidRPr="0062032E">
        <w:t xml:space="preserve">odel </w:t>
      </w:r>
      <w:r>
        <w:t xml:space="preserve">involves FSANZ working closely with food regulators, to </w:t>
      </w:r>
      <w:r w:rsidRPr="0062032E">
        <w:t xml:space="preserve">ensure </w:t>
      </w:r>
      <w:r>
        <w:t xml:space="preserve">new regulatory measures </w:t>
      </w:r>
      <w:r w:rsidRPr="0062032E">
        <w:t>can be consistently implemented in all jurisdictions</w:t>
      </w:r>
      <w:r>
        <w:t>,</w:t>
      </w:r>
      <w:r w:rsidRPr="0062032E">
        <w:t xml:space="preserve"> and that guidance is available to industry </w:t>
      </w:r>
      <w:r>
        <w:t>upon commencement of a new standard</w:t>
      </w:r>
      <w:r w:rsidRPr="0062032E">
        <w:t>.</w:t>
      </w:r>
    </w:p>
    <w:p w14:paraId="618C4DA6" w14:textId="7401270C" w:rsidR="00CB7716" w:rsidRDefault="00CB7716" w:rsidP="004F36C6">
      <w:pPr>
        <w:spacing w:after="240"/>
      </w:pPr>
      <w:r>
        <w:t>FSANZ</w:t>
      </w:r>
      <w:r w:rsidDel="00EA691D">
        <w:t xml:space="preserve"> </w:t>
      </w:r>
      <w:r>
        <w:t xml:space="preserve">prepared Proposal P1053 to consider whether to amend the </w:t>
      </w:r>
      <w:hyperlink r:id="rId15" w:history="1">
        <w:r w:rsidRPr="00DA2CA1">
          <w:rPr>
            <w:rStyle w:val="Hyperlink"/>
            <w:rFonts w:cstheme="minorBidi"/>
          </w:rPr>
          <w:t>Australia New Zealand Food Standards Code</w:t>
        </w:r>
      </w:hyperlink>
      <w:r>
        <w:t xml:space="preserve"> (the Code) to mandate any of the food regulatory measures in the package endorsed by ministers. The </w:t>
      </w:r>
      <w:r w:rsidRPr="0062032E">
        <w:rPr>
          <w:i/>
        </w:rPr>
        <w:t>Food Standards Australia New Zealand Act 1991</w:t>
      </w:r>
      <w:r>
        <w:t xml:space="preserve"> (FSANZ Act) requires FSANZ to assess the proposed food regulatory measures in accordance with that Act, and to make its own decision on mandating these or other measures. </w:t>
      </w:r>
    </w:p>
    <w:p w14:paraId="5E8BB8C3" w14:textId="196762C1" w:rsidR="00CB7716" w:rsidRDefault="00CB7716" w:rsidP="006D619E">
      <w:pPr>
        <w:pStyle w:val="Heading3"/>
        <w:numPr>
          <w:ilvl w:val="0"/>
          <w:numId w:val="0"/>
        </w:numPr>
        <w:ind w:left="720" w:hanging="720"/>
      </w:pPr>
      <w:bookmarkStart w:id="37" w:name="_Toc107412677"/>
      <w:bookmarkStart w:id="38" w:name="_Toc109300442"/>
      <w:bookmarkStart w:id="39" w:name="_Toc33094504"/>
      <w:bookmarkStart w:id="40" w:name="_Toc70953231"/>
      <w:r>
        <w:t>1.2</w:t>
      </w:r>
      <w:r>
        <w:tab/>
        <w:t>Scope</w:t>
      </w:r>
      <w:bookmarkEnd w:id="37"/>
      <w:bookmarkEnd w:id="38"/>
      <w:r>
        <w:t xml:space="preserve"> </w:t>
      </w:r>
      <w:bookmarkEnd w:id="39"/>
      <w:bookmarkEnd w:id="40"/>
    </w:p>
    <w:p w14:paraId="313BFA6A" w14:textId="77777777" w:rsidR="00CB7716" w:rsidRPr="004657C0" w:rsidRDefault="00CB7716" w:rsidP="004F36C6">
      <w:pPr>
        <w:spacing w:after="240"/>
      </w:pPr>
      <w:r>
        <w:t>The Policy Guideline</w:t>
      </w:r>
      <w:r w:rsidRPr="004657C0">
        <w:t xml:space="preserve"> identifie</w:t>
      </w:r>
      <w:r>
        <w:t>s</w:t>
      </w:r>
      <w:r w:rsidRPr="004657C0">
        <w:t xml:space="preserve"> </w:t>
      </w:r>
      <w:r w:rsidRPr="004657C0">
        <w:rPr>
          <w:rFonts w:cs="Arial"/>
        </w:rPr>
        <w:t xml:space="preserve">eight business sectors </w:t>
      </w:r>
      <w:r>
        <w:rPr>
          <w:rFonts w:cs="Arial"/>
        </w:rPr>
        <w:t xml:space="preserve">as high priorities for improving </w:t>
      </w:r>
      <w:r w:rsidRPr="004657C0">
        <w:rPr>
          <w:rFonts w:cs="Arial"/>
        </w:rPr>
        <w:t xml:space="preserve">food safety management. </w:t>
      </w:r>
      <w:r w:rsidRPr="004657C0">
        <w:t xml:space="preserve">These sectors have been assigned Priority 1 (P1) and Priority 2 (P2) classification using the national </w:t>
      </w:r>
      <w:r w:rsidRPr="3C0957AF">
        <w:rPr>
          <w:i/>
          <w:iCs/>
        </w:rPr>
        <w:t>Risk Profiling Framework</w:t>
      </w:r>
      <w:r>
        <w:t xml:space="preserve"> (the Framework)</w:t>
      </w:r>
      <w:r w:rsidRPr="004657C0">
        <w:rPr>
          <w:rStyle w:val="FootnoteReference"/>
        </w:rPr>
        <w:footnoteReference w:id="9"/>
      </w:r>
      <w:r>
        <w:t xml:space="preserve">, </w:t>
      </w:r>
      <w:r w:rsidRPr="004657C0">
        <w:t xml:space="preserve">the endorsed national methodology for </w:t>
      </w:r>
      <w:r>
        <w:t>classifying</w:t>
      </w:r>
      <w:r w:rsidRPr="004657C0">
        <w:t xml:space="preserve"> food businesses</w:t>
      </w:r>
      <w:r>
        <w:t xml:space="preserve"> by food safety risk</w:t>
      </w:r>
      <w:r w:rsidRPr="004657C0">
        <w:t xml:space="preserve">. </w:t>
      </w:r>
      <w:r w:rsidRPr="004657C0">
        <w:rPr>
          <w:rFonts w:cs="Arial"/>
        </w:rPr>
        <w:t>The sectors are:</w:t>
      </w:r>
    </w:p>
    <w:p w14:paraId="65028BB9" w14:textId="77777777" w:rsidR="00CB7716" w:rsidRPr="004657C0" w:rsidRDefault="00CB7716" w:rsidP="004E6D96">
      <w:pPr>
        <w:pStyle w:val="ListParagraph"/>
        <w:numPr>
          <w:ilvl w:val="0"/>
          <w:numId w:val="15"/>
        </w:numPr>
        <w:spacing w:after="240"/>
      </w:pPr>
      <w:r w:rsidRPr="004657C0">
        <w:t>on-site and off-site caterers</w:t>
      </w:r>
    </w:p>
    <w:p w14:paraId="2DB72288" w14:textId="77777777" w:rsidR="00CB7716" w:rsidRPr="004657C0" w:rsidRDefault="00CB7716" w:rsidP="004E6D96">
      <w:pPr>
        <w:pStyle w:val="ListParagraph"/>
        <w:numPr>
          <w:ilvl w:val="0"/>
          <w:numId w:val="15"/>
        </w:numPr>
        <w:spacing w:after="240"/>
      </w:pPr>
      <w:r w:rsidRPr="004657C0">
        <w:t>food service for ready-to-eat (RTE) food prepared in advance</w:t>
      </w:r>
    </w:p>
    <w:p w14:paraId="65B48B94" w14:textId="77777777" w:rsidR="00CB7716" w:rsidRPr="004657C0" w:rsidRDefault="00CB7716" w:rsidP="004E6D96">
      <w:pPr>
        <w:pStyle w:val="ListParagraph"/>
        <w:numPr>
          <w:ilvl w:val="0"/>
          <w:numId w:val="15"/>
        </w:numPr>
        <w:spacing w:after="240"/>
      </w:pPr>
      <w:r w:rsidRPr="004657C0">
        <w:t>retailers that process bakery products containing potentially hazardous foods (PHF</w:t>
      </w:r>
      <w:r>
        <w:t>), see below</w:t>
      </w:r>
    </w:p>
    <w:p w14:paraId="5A5B943E" w14:textId="77777777" w:rsidR="00CB7716" w:rsidRPr="004657C0" w:rsidRDefault="00CB7716" w:rsidP="004E6D96">
      <w:pPr>
        <w:pStyle w:val="ListParagraph"/>
        <w:numPr>
          <w:ilvl w:val="0"/>
          <w:numId w:val="15"/>
        </w:numPr>
        <w:spacing w:after="240"/>
      </w:pPr>
      <w:r w:rsidRPr="004657C0">
        <w:t xml:space="preserve">food service for express order </w:t>
      </w:r>
    </w:p>
    <w:p w14:paraId="0652E272" w14:textId="77777777" w:rsidR="00CB7716" w:rsidRPr="004657C0" w:rsidRDefault="00CB7716" w:rsidP="004E6D96">
      <w:pPr>
        <w:pStyle w:val="ListParagraph"/>
        <w:numPr>
          <w:ilvl w:val="0"/>
          <w:numId w:val="15"/>
        </w:numPr>
        <w:spacing w:after="240"/>
      </w:pPr>
      <w:r w:rsidRPr="004657C0">
        <w:t>retailers of bakery products containing PHF</w:t>
      </w:r>
    </w:p>
    <w:p w14:paraId="34C5F3AD" w14:textId="77777777" w:rsidR="00CB7716" w:rsidRPr="004657C0" w:rsidRDefault="00CB7716" w:rsidP="004E6D96">
      <w:pPr>
        <w:pStyle w:val="ListParagraph"/>
        <w:numPr>
          <w:ilvl w:val="0"/>
          <w:numId w:val="15"/>
        </w:numPr>
        <w:spacing w:after="240"/>
      </w:pPr>
      <w:r w:rsidRPr="004657C0">
        <w:t xml:space="preserve">retailers of RTE </w:t>
      </w:r>
      <w:r>
        <w:t>pre-</w:t>
      </w:r>
      <w:r w:rsidRPr="004657C0">
        <w:t xml:space="preserve">packaged PHF </w:t>
      </w:r>
    </w:p>
    <w:p w14:paraId="2921F988" w14:textId="77777777" w:rsidR="00CB7716" w:rsidRPr="004657C0" w:rsidRDefault="00CB7716" w:rsidP="004E6D96">
      <w:pPr>
        <w:pStyle w:val="ListParagraph"/>
        <w:numPr>
          <w:ilvl w:val="0"/>
          <w:numId w:val="15"/>
        </w:numPr>
        <w:spacing w:after="240"/>
      </w:pPr>
      <w:r w:rsidRPr="004657C0">
        <w:t>retailers of RTE processed seafood products</w:t>
      </w:r>
    </w:p>
    <w:p w14:paraId="176EAD67" w14:textId="77777777" w:rsidR="00CB7716" w:rsidRPr="004657C0" w:rsidRDefault="00CB7716" w:rsidP="004E6D96">
      <w:pPr>
        <w:pStyle w:val="ListParagraph"/>
        <w:numPr>
          <w:ilvl w:val="0"/>
          <w:numId w:val="15"/>
        </w:numPr>
        <w:spacing w:after="240"/>
      </w:pPr>
      <w:proofErr w:type="gramStart"/>
      <w:r w:rsidRPr="004657C0">
        <w:t>retailers</w:t>
      </w:r>
      <w:proofErr w:type="gramEnd"/>
      <w:r w:rsidRPr="004657C0">
        <w:t xml:space="preserve"> of RTE delicatessen products</w:t>
      </w:r>
      <w:r>
        <w:t>.</w:t>
      </w:r>
    </w:p>
    <w:p w14:paraId="0BFEF77A" w14:textId="77777777" w:rsidR="00CB7716" w:rsidRDefault="00CB7716" w:rsidP="004F36C6">
      <w:pPr>
        <w:spacing w:after="240"/>
        <w:rPr>
          <w:color w:val="00B050"/>
        </w:rPr>
      </w:pPr>
      <w:r>
        <w:t>The scope of P1053 includes these businesses, as well as other food service and related retail businesses with similar risks (i.e. handling unpackaged RTE PHF).</w:t>
      </w:r>
    </w:p>
    <w:p w14:paraId="4F68B97E" w14:textId="434052B8" w:rsidR="00CB7716" w:rsidRPr="004F36C6" w:rsidRDefault="00CB7716" w:rsidP="004F36C6">
      <w:pPr>
        <w:spacing w:after="240"/>
        <w:rPr>
          <w:b/>
        </w:rPr>
      </w:pPr>
      <w:bookmarkStart w:id="41" w:name="_Toc107412678"/>
      <w:r w:rsidRPr="004F36C6">
        <w:rPr>
          <w:b/>
        </w:rPr>
        <w:t>Characteristics of in-scope businesses</w:t>
      </w:r>
      <w:bookmarkEnd w:id="41"/>
    </w:p>
    <w:p w14:paraId="7FA0FD1F" w14:textId="00A7B6C6" w:rsidR="00CB7716" w:rsidRDefault="00CB7716" w:rsidP="004F36C6">
      <w:pPr>
        <w:spacing w:after="240"/>
      </w:pPr>
      <w:r>
        <w:t>Many food handling activities of f</w:t>
      </w:r>
      <w:r w:rsidRPr="00563957">
        <w:t xml:space="preserve">ood service and related retail food businesses </w:t>
      </w:r>
      <w:r>
        <w:t>are inherently risky because they involve</w:t>
      </w:r>
      <w:r w:rsidRPr="00563957">
        <w:t xml:space="preserve"> </w:t>
      </w:r>
      <w:r>
        <w:t xml:space="preserve">PHF. This </w:t>
      </w:r>
      <w:r w:rsidRPr="00563957">
        <w:t xml:space="preserve">food </w:t>
      </w:r>
      <w:r>
        <w:t>has</w:t>
      </w:r>
      <w:r w:rsidRPr="00563957">
        <w:t xml:space="preserve"> certain characteristics that support the growth of pathogenic microorganisms or the production of toxins that may cause foodborne illness. Examples of PHF include products containing </w:t>
      </w:r>
      <w:r>
        <w:t xml:space="preserve">raw </w:t>
      </w:r>
      <w:r w:rsidRPr="00563957">
        <w:t xml:space="preserve">eggs, poultry, meat, seafood, </w:t>
      </w:r>
      <w:r>
        <w:t>prepared fruits and vegetables</w:t>
      </w:r>
      <w:r w:rsidRPr="00563957">
        <w:t>, and cooked rice and pasta.</w:t>
      </w:r>
    </w:p>
    <w:p w14:paraId="5E1B931C" w14:textId="744ABA0A" w:rsidR="00CB7716" w:rsidRDefault="00CB7716" w:rsidP="004F36C6">
      <w:pPr>
        <w:spacing w:after="240"/>
      </w:pPr>
      <w:r w:rsidRPr="00563957">
        <w:t>Food service and related retail</w:t>
      </w:r>
      <w:r>
        <w:t>ers</w:t>
      </w:r>
      <w:r w:rsidRPr="00563957">
        <w:t xml:space="preserve"> provide consumers with PHF that will be either eaten raw or is ready to eat without further cooking—there is no further step before consumption that would destroy any pathogens present. These foods are high risk because of potential pathogen growth, especially if not immediately consumed. </w:t>
      </w:r>
      <w:r>
        <w:t>T</w:t>
      </w:r>
      <w:r w:rsidRPr="00563957">
        <w:t>hey require careful handling to avoid contamination. They must also be kept under stri</w:t>
      </w:r>
      <w:r>
        <w:t>ct</w:t>
      </w:r>
      <w:r w:rsidRPr="00563957">
        <w:t xml:space="preserve"> temperature control to minimise the growth of any pathogens that may already be present in the food, and to prevent formation of toxins. </w:t>
      </w:r>
    </w:p>
    <w:p w14:paraId="62E774F5" w14:textId="7EE0F665" w:rsidR="00CB7716" w:rsidRDefault="00CB7716" w:rsidP="004F36C6">
      <w:pPr>
        <w:spacing w:after="240"/>
      </w:pPr>
      <w:r w:rsidRPr="00097F03">
        <w:t xml:space="preserve">Under the Framework, </w:t>
      </w:r>
      <w:r w:rsidRPr="00320349">
        <w:t xml:space="preserve">food </w:t>
      </w:r>
      <w:r w:rsidRPr="00097F03">
        <w:t xml:space="preserve">businesses are characterised by the type of </w:t>
      </w:r>
      <w:r>
        <w:t xml:space="preserve">food handling </w:t>
      </w:r>
      <w:r w:rsidRPr="00097F03">
        <w:t xml:space="preserve">activities they engage in. </w:t>
      </w:r>
      <w:r>
        <w:t>The F</w:t>
      </w:r>
      <w:r w:rsidRPr="00320349">
        <w:t xml:space="preserve">ramework </w:t>
      </w:r>
      <w:r>
        <w:t>has</w:t>
      </w:r>
      <w:r w:rsidRPr="00320349">
        <w:t xml:space="preserve"> a series of decision trees intend</w:t>
      </w:r>
      <w:r>
        <w:t>ed</w:t>
      </w:r>
      <w:r w:rsidRPr="00320349">
        <w:t xml:space="preserve"> to identify whether </w:t>
      </w:r>
      <w:r>
        <w:t>a</w:t>
      </w:r>
      <w:r w:rsidRPr="00320349">
        <w:t xml:space="preserve"> business</w:t>
      </w:r>
      <w:r>
        <w:t>’s</w:t>
      </w:r>
      <w:r w:rsidRPr="00320349">
        <w:t xml:space="preserve"> </w:t>
      </w:r>
      <w:r>
        <w:t>food handling activities impact</w:t>
      </w:r>
      <w:r w:rsidRPr="00320349">
        <w:t xml:space="preserve"> the risk</w:t>
      </w:r>
      <w:r>
        <w:t xml:space="preserve"> </w:t>
      </w:r>
      <w:r w:rsidRPr="00320349">
        <w:t xml:space="preserve">of </w:t>
      </w:r>
      <w:r>
        <w:t xml:space="preserve">the </w:t>
      </w:r>
      <w:r w:rsidRPr="00320349">
        <w:t xml:space="preserve">food eaten by </w:t>
      </w:r>
      <w:r>
        <w:t>a</w:t>
      </w:r>
      <w:r w:rsidRPr="00320349">
        <w:t xml:space="preserve"> consumer. It also </w:t>
      </w:r>
      <w:r>
        <w:t>gauges</w:t>
      </w:r>
      <w:r w:rsidRPr="00320349">
        <w:t xml:space="preserve"> how critical that business sector’s contribution is to overall consumer safety. </w:t>
      </w:r>
    </w:p>
    <w:p w14:paraId="647EC866" w14:textId="04EAED57" w:rsidR="00CB7716" w:rsidRDefault="00CB7716" w:rsidP="004F36C6">
      <w:pPr>
        <w:spacing w:after="240"/>
      </w:pPr>
      <w:r>
        <w:t>W</w:t>
      </w:r>
      <w:r w:rsidRPr="00320349">
        <w:t>hether a business has or requires at least one critical control step</w:t>
      </w:r>
      <w:r>
        <w:t xml:space="preserve"> (</w:t>
      </w:r>
      <w:r w:rsidRPr="00320349">
        <w:t xml:space="preserve">in the sense used in </w:t>
      </w:r>
      <w:r w:rsidRPr="00A83AD8">
        <w:t xml:space="preserve">Hazard Analysis and Critical Control Point </w:t>
      </w:r>
      <w:r>
        <w:t>(</w:t>
      </w:r>
      <w:r w:rsidRPr="00320349">
        <w:t>HACCP</w:t>
      </w:r>
      <w:r w:rsidRPr="00320349">
        <w:rPr>
          <w:rStyle w:val="FootnoteReference"/>
        </w:rPr>
        <w:footnoteReference w:id="10"/>
      </w:r>
      <w:r>
        <w:t>) systems) also needs to be determined</w:t>
      </w:r>
      <w:r w:rsidRPr="00320349">
        <w:t xml:space="preserve">. </w:t>
      </w:r>
      <w:r>
        <w:rPr>
          <w:shd w:val="clear" w:color="auto" w:fill="FFFFFF"/>
        </w:rPr>
        <w:t xml:space="preserve">Critical controls ensure the food is as safe as practically possible. </w:t>
      </w:r>
      <w:r w:rsidRPr="00320349">
        <w:t>Classification is based on known risk-affecting factors</w:t>
      </w:r>
      <w:r>
        <w:t>,</w:t>
      </w:r>
      <w:r w:rsidRPr="00320349">
        <w:t xml:space="preserve"> including the need </w:t>
      </w:r>
      <w:r>
        <w:t>to</w:t>
      </w:r>
      <w:r w:rsidRPr="00320349">
        <w:t xml:space="preserve"> eliminat</w:t>
      </w:r>
      <w:r>
        <w:t>e</w:t>
      </w:r>
      <w:r w:rsidRPr="00320349">
        <w:t xml:space="preserve"> pathogens, potential for microbial (re)contamination and growth, potential for inadvertent introduction of physical or chemical hazards that will not be detected, and the size and health status of the population served.</w:t>
      </w:r>
    </w:p>
    <w:p w14:paraId="6EDAD262" w14:textId="77777777" w:rsidR="00CB7716" w:rsidRPr="00804228" w:rsidRDefault="00CB7716" w:rsidP="004F36C6">
      <w:pPr>
        <w:spacing w:after="240"/>
        <w:rPr>
          <w:rFonts w:cs="Arial"/>
        </w:rPr>
      </w:pPr>
      <w:r>
        <w:t>FSANZ considered</w:t>
      </w:r>
      <w:r w:rsidRPr="00FF40B0">
        <w:t xml:space="preserve"> </w:t>
      </w:r>
      <w:r>
        <w:t xml:space="preserve">characteristics </w:t>
      </w:r>
      <w:r w:rsidRPr="00FF40B0">
        <w:t xml:space="preserve">of </w:t>
      </w:r>
      <w:r>
        <w:t xml:space="preserve">food handling </w:t>
      </w:r>
      <w:r w:rsidRPr="00FF40B0">
        <w:t xml:space="preserve">activities </w:t>
      </w:r>
      <w:r>
        <w:t>typically</w:t>
      </w:r>
      <w:r w:rsidRPr="00FF40B0">
        <w:t xml:space="preserve"> undertaken by </w:t>
      </w:r>
      <w:r>
        <w:t>in-</w:t>
      </w:r>
      <w:r w:rsidRPr="0012232E">
        <w:t>scope business sectors</w:t>
      </w:r>
      <w:r>
        <w:t xml:space="preserve"> (FSANZ, 2022)</w:t>
      </w:r>
      <w:r w:rsidRPr="0012232E">
        <w:t>. We used details of previous classifications by Ross et al (2009</w:t>
      </w:r>
      <w:r w:rsidRPr="0012232E">
        <w:rPr>
          <w:rStyle w:val="FootnoteReference"/>
        </w:rPr>
        <w:footnoteReference w:id="11"/>
      </w:r>
      <w:r w:rsidRPr="0012232E">
        <w:t>).</w:t>
      </w:r>
      <w:r w:rsidRPr="004F198D">
        <w:t xml:space="preserve"> We</w:t>
      </w:r>
      <w:r w:rsidRPr="00FF40B0">
        <w:t xml:space="preserve"> assigned </w:t>
      </w:r>
      <w:r>
        <w:t>category</w:t>
      </w:r>
      <w:r w:rsidRPr="00FF40B0">
        <w:t xml:space="preserve"> </w:t>
      </w:r>
      <w:r>
        <w:t>levels and within each level included</w:t>
      </w:r>
      <w:r w:rsidRPr="00FF40B0">
        <w:t xml:space="preserve"> a common set of controls to mitigate the food safety risks of that level.</w:t>
      </w:r>
      <w:r>
        <w:t xml:space="preserve"> </w:t>
      </w:r>
      <w:r w:rsidRPr="00097F03">
        <w:rPr>
          <w:rFonts w:cs="Arial"/>
        </w:rPr>
        <w:t xml:space="preserve">The </w:t>
      </w:r>
      <w:r>
        <w:rPr>
          <w:rFonts w:cs="Arial"/>
        </w:rPr>
        <w:t>category</w:t>
      </w:r>
      <w:r w:rsidRPr="00097F03">
        <w:rPr>
          <w:rFonts w:cs="Arial"/>
        </w:rPr>
        <w:t xml:space="preserve"> levels are:</w:t>
      </w:r>
    </w:p>
    <w:p w14:paraId="5BC5F7EE" w14:textId="02302305" w:rsidR="00CB7716" w:rsidRPr="00097F03" w:rsidRDefault="00CB7716" w:rsidP="004F36C6">
      <w:pPr>
        <w:spacing w:after="240"/>
        <w:rPr>
          <w:b/>
          <w:u w:val="single"/>
          <w:shd w:val="clear" w:color="auto" w:fill="FFFFFF"/>
        </w:rPr>
      </w:pPr>
      <w:r>
        <w:rPr>
          <w:b/>
          <w:u w:val="single"/>
          <w:shd w:val="clear" w:color="auto" w:fill="FFFFFF"/>
        </w:rPr>
        <w:t>Category</w:t>
      </w:r>
      <w:r w:rsidRPr="00097F03">
        <w:rPr>
          <w:b/>
          <w:u w:val="single"/>
          <w:shd w:val="clear" w:color="auto" w:fill="FFFFFF"/>
        </w:rPr>
        <w:t xml:space="preserve"> 1</w:t>
      </w:r>
      <w:r>
        <w:rPr>
          <w:b/>
          <w:u w:val="single"/>
          <w:shd w:val="clear" w:color="auto" w:fill="FFFFFF"/>
        </w:rPr>
        <w:t>:</w:t>
      </w:r>
    </w:p>
    <w:p w14:paraId="54C548E4" w14:textId="77777777" w:rsidR="00CB7716" w:rsidRPr="00097F03" w:rsidRDefault="00CB7716" w:rsidP="004F36C6">
      <w:pPr>
        <w:spacing w:after="240"/>
        <w:rPr>
          <w:shd w:val="clear" w:color="auto" w:fill="FFFFFF"/>
        </w:rPr>
      </w:pPr>
      <w:r w:rsidRPr="00227DC2">
        <w:rPr>
          <w:i/>
          <w:shd w:val="clear" w:color="auto" w:fill="FFFFFF"/>
        </w:rPr>
        <w:t>Handling activity 1:</w:t>
      </w:r>
      <w:r>
        <w:rPr>
          <w:shd w:val="clear" w:color="auto" w:fill="FFFFFF"/>
        </w:rPr>
        <w:t xml:space="preserve"> process high-</w:t>
      </w:r>
      <w:r w:rsidRPr="00097F03">
        <w:rPr>
          <w:shd w:val="clear" w:color="auto" w:fill="FFFFFF"/>
        </w:rPr>
        <w:t xml:space="preserve">risk </w:t>
      </w:r>
      <w:r>
        <w:rPr>
          <w:shd w:val="clear" w:color="auto" w:fill="FFFFFF"/>
        </w:rPr>
        <w:t>PHF</w:t>
      </w:r>
      <w:r w:rsidRPr="00097F03">
        <w:rPr>
          <w:shd w:val="clear" w:color="auto" w:fill="FFFFFF"/>
        </w:rPr>
        <w:t xml:space="preserve"> in advance of serving </w:t>
      </w:r>
      <w:r>
        <w:rPr>
          <w:shd w:val="clear" w:color="auto" w:fill="FFFFFF"/>
        </w:rPr>
        <w:t>RTE</w:t>
      </w:r>
      <w:r w:rsidRPr="00097F03">
        <w:rPr>
          <w:shd w:val="clear" w:color="auto" w:fill="FFFFFF"/>
        </w:rPr>
        <w:t xml:space="preserve"> food to the consumer.</w:t>
      </w:r>
    </w:p>
    <w:p w14:paraId="2F8A2E18" w14:textId="77777777" w:rsidR="00CB7716" w:rsidRPr="00097F03" w:rsidRDefault="00CB7716" w:rsidP="004F36C6">
      <w:pPr>
        <w:spacing w:after="240"/>
        <w:rPr>
          <w:shd w:val="clear" w:color="auto" w:fill="FFFFFF"/>
        </w:rPr>
      </w:pPr>
      <w:r w:rsidRPr="00227DC2">
        <w:rPr>
          <w:i/>
          <w:shd w:val="clear" w:color="auto" w:fill="FFFFFF"/>
        </w:rPr>
        <w:t>Handling activity 2:</w:t>
      </w:r>
      <w:r>
        <w:rPr>
          <w:shd w:val="clear" w:color="auto" w:fill="FFFFFF"/>
        </w:rPr>
        <w:t xml:space="preserve"> process and serve high-</w:t>
      </w:r>
      <w:r w:rsidRPr="00097F03">
        <w:rPr>
          <w:shd w:val="clear" w:color="auto" w:fill="FFFFFF"/>
        </w:rPr>
        <w:t xml:space="preserve">risk </w:t>
      </w:r>
      <w:r>
        <w:rPr>
          <w:shd w:val="clear" w:color="auto" w:fill="FFFFFF"/>
        </w:rPr>
        <w:t>PHF</w:t>
      </w:r>
      <w:r w:rsidRPr="00097F03">
        <w:rPr>
          <w:shd w:val="clear" w:color="auto" w:fill="FFFFFF"/>
        </w:rPr>
        <w:t xml:space="preserve"> as </w:t>
      </w:r>
      <w:r>
        <w:rPr>
          <w:shd w:val="clear" w:color="auto" w:fill="FFFFFF"/>
        </w:rPr>
        <w:t>RTE</w:t>
      </w:r>
      <w:r w:rsidRPr="00097F03">
        <w:rPr>
          <w:shd w:val="clear" w:color="auto" w:fill="FFFFFF"/>
        </w:rPr>
        <w:t xml:space="preserve"> food to the consumer </w:t>
      </w:r>
      <w:r>
        <w:rPr>
          <w:shd w:val="clear" w:color="auto" w:fill="FFFFFF"/>
        </w:rPr>
        <w:t>with</w:t>
      </w:r>
      <w:r w:rsidRPr="00097F03">
        <w:rPr>
          <w:shd w:val="clear" w:color="auto" w:fill="FFFFFF"/>
        </w:rPr>
        <w:t xml:space="preserve">in a time period </w:t>
      </w:r>
      <w:r>
        <w:rPr>
          <w:shd w:val="clear" w:color="auto" w:fill="FFFFFF"/>
        </w:rPr>
        <w:t>that</w:t>
      </w:r>
      <w:r w:rsidRPr="00097F03">
        <w:rPr>
          <w:shd w:val="clear" w:color="auto" w:fill="FFFFFF"/>
        </w:rPr>
        <w:t xml:space="preserve"> does not adversely affect the micr</w:t>
      </w:r>
      <w:r>
        <w:rPr>
          <w:shd w:val="clear" w:color="auto" w:fill="FFFFFF"/>
        </w:rPr>
        <w:t>obiological safety of the food.</w:t>
      </w:r>
    </w:p>
    <w:p w14:paraId="63170B55" w14:textId="77777777" w:rsidR="00CB7716" w:rsidRPr="00097F03" w:rsidRDefault="00CB7716" w:rsidP="004F36C6">
      <w:pPr>
        <w:spacing w:after="240"/>
      </w:pPr>
      <w:r>
        <w:rPr>
          <w:shd w:val="clear" w:color="auto" w:fill="FFFFFF"/>
        </w:rPr>
        <w:t>F</w:t>
      </w:r>
      <w:r w:rsidRPr="00097F03">
        <w:t xml:space="preserve">ive controls are critical to </w:t>
      </w:r>
      <w:r>
        <w:t>ensuring food remains safe during these activities</w:t>
      </w:r>
      <w:r w:rsidRPr="00097F03">
        <w:t>:</w:t>
      </w:r>
    </w:p>
    <w:p w14:paraId="061ABA10" w14:textId="77777777" w:rsidR="00CB7716" w:rsidRPr="00097F03" w:rsidRDefault="00CB7716" w:rsidP="004E6D96">
      <w:pPr>
        <w:pStyle w:val="ListParagraph"/>
        <w:numPr>
          <w:ilvl w:val="0"/>
          <w:numId w:val="16"/>
        </w:numPr>
        <w:spacing w:after="240"/>
      </w:pPr>
      <w:r w:rsidRPr="00097F03">
        <w:t>storage of PHF at appropriate temperatures before processing</w:t>
      </w:r>
    </w:p>
    <w:p w14:paraId="4A60A6CB" w14:textId="77777777" w:rsidR="00CB7716" w:rsidRPr="00097F03" w:rsidRDefault="00CB7716" w:rsidP="004E6D96">
      <w:pPr>
        <w:pStyle w:val="ListParagraph"/>
        <w:numPr>
          <w:ilvl w:val="0"/>
          <w:numId w:val="16"/>
        </w:numPr>
        <w:spacing w:after="240"/>
      </w:pPr>
      <w:r>
        <w:t>a</w:t>
      </w:r>
      <w:r w:rsidRPr="00097F03">
        <w:t xml:space="preserve">dequate cooking or reheating </w:t>
      </w:r>
    </w:p>
    <w:p w14:paraId="78EB8F50" w14:textId="77777777" w:rsidR="00CB7716" w:rsidRPr="00097F03" w:rsidRDefault="00CB7716" w:rsidP="004E6D96">
      <w:pPr>
        <w:pStyle w:val="ListParagraph"/>
        <w:numPr>
          <w:ilvl w:val="0"/>
          <w:numId w:val="16"/>
        </w:numPr>
        <w:spacing w:after="240"/>
      </w:pPr>
      <w:r>
        <w:t>a</w:t>
      </w:r>
      <w:r w:rsidRPr="00097F03">
        <w:t xml:space="preserve">dequate cooling of cooked foods </w:t>
      </w:r>
    </w:p>
    <w:p w14:paraId="7FE5DA88" w14:textId="77777777" w:rsidR="00CB7716" w:rsidRPr="00097F03" w:rsidRDefault="00CB7716" w:rsidP="004E6D96">
      <w:pPr>
        <w:pStyle w:val="ListParagraph"/>
        <w:numPr>
          <w:ilvl w:val="0"/>
          <w:numId w:val="16"/>
        </w:numPr>
        <w:spacing w:after="240"/>
      </w:pPr>
      <w:r>
        <w:t>m</w:t>
      </w:r>
      <w:r w:rsidRPr="00097F03">
        <w:t xml:space="preserve">inimising cross-contamination and re-contamination </w:t>
      </w:r>
    </w:p>
    <w:p w14:paraId="2FFD97F5" w14:textId="77777777" w:rsidR="00CB7716" w:rsidRPr="00227DC2" w:rsidRDefault="00CB7716" w:rsidP="004E6D96">
      <w:pPr>
        <w:pStyle w:val="ListParagraph"/>
        <w:numPr>
          <w:ilvl w:val="0"/>
          <w:numId w:val="16"/>
        </w:numPr>
        <w:spacing w:after="240"/>
        <w:rPr>
          <w:shd w:val="clear" w:color="auto" w:fill="FFFFFF"/>
        </w:rPr>
      </w:pPr>
      <w:proofErr w:type="gramStart"/>
      <w:r w:rsidRPr="00097F03">
        <w:t>storage</w:t>
      </w:r>
      <w:proofErr w:type="gramEnd"/>
      <w:r w:rsidRPr="00097F03">
        <w:t xml:space="preserve"> </w:t>
      </w:r>
      <w:r>
        <w:t xml:space="preserve">of processed </w:t>
      </w:r>
      <w:r w:rsidRPr="00097F03">
        <w:t>RTE food at appropriate temperatures before service to the consumer</w:t>
      </w:r>
      <w:r>
        <w:t>.</w:t>
      </w:r>
      <w:r w:rsidRPr="00097F03">
        <w:t xml:space="preserve"> </w:t>
      </w:r>
    </w:p>
    <w:p w14:paraId="2EBB51EB" w14:textId="77777777" w:rsidR="00CB7716" w:rsidRPr="00097F03" w:rsidRDefault="00CB7716" w:rsidP="004F36C6">
      <w:pPr>
        <w:spacing w:after="240"/>
        <w:rPr>
          <w:shd w:val="clear" w:color="auto" w:fill="FFFFFF"/>
        </w:rPr>
      </w:pPr>
      <w:r>
        <w:rPr>
          <w:shd w:val="clear" w:color="auto" w:fill="FFFFFF"/>
        </w:rPr>
        <w:t xml:space="preserve">Cooking should eliminate pathogens in the food. Other controls should prevent introduction of pathogens to the food and prevent (or minimise) bacterial growth and toxin production. </w:t>
      </w:r>
    </w:p>
    <w:p w14:paraId="63427BE3" w14:textId="5F5258C2" w:rsidR="00CB7716" w:rsidRPr="00097F03" w:rsidRDefault="00CB7716" w:rsidP="004F36C6">
      <w:pPr>
        <w:spacing w:after="240"/>
        <w:rPr>
          <w:b/>
          <w:u w:val="single"/>
          <w:shd w:val="clear" w:color="auto" w:fill="FFFFFF"/>
        </w:rPr>
      </w:pPr>
      <w:r>
        <w:rPr>
          <w:b/>
          <w:u w:val="single"/>
          <w:shd w:val="clear" w:color="auto" w:fill="FFFFFF"/>
        </w:rPr>
        <w:t>Category</w:t>
      </w:r>
      <w:r w:rsidRPr="00097F03">
        <w:rPr>
          <w:b/>
          <w:u w:val="single"/>
          <w:shd w:val="clear" w:color="auto" w:fill="FFFFFF"/>
        </w:rPr>
        <w:t xml:space="preserve"> 2</w:t>
      </w:r>
      <w:r>
        <w:rPr>
          <w:b/>
          <w:u w:val="single"/>
          <w:shd w:val="clear" w:color="auto" w:fill="FFFFFF"/>
        </w:rPr>
        <w:t>:</w:t>
      </w:r>
    </w:p>
    <w:p w14:paraId="0897934D" w14:textId="77777777" w:rsidR="00CB7716" w:rsidRPr="00DA7FDA" w:rsidRDefault="00CB7716" w:rsidP="004F36C6">
      <w:pPr>
        <w:spacing w:after="240"/>
        <w:rPr>
          <w:iCs/>
          <w:lang w:val="en-AU"/>
        </w:rPr>
      </w:pPr>
      <w:r w:rsidRPr="00227DC2">
        <w:rPr>
          <w:i/>
        </w:rPr>
        <w:t>Handling</w:t>
      </w:r>
      <w:r w:rsidRPr="00227DC2">
        <w:rPr>
          <w:i/>
          <w:iCs/>
          <w:lang w:val="en-AU"/>
        </w:rPr>
        <w:t xml:space="preserve"> activity 3:</w:t>
      </w:r>
      <w:r>
        <w:rPr>
          <w:iCs/>
          <w:lang w:val="en-AU"/>
        </w:rPr>
        <w:t xml:space="preserve"> serve unpackaged high-</w:t>
      </w:r>
      <w:r w:rsidRPr="00097F03">
        <w:rPr>
          <w:iCs/>
          <w:lang w:val="en-AU"/>
        </w:rPr>
        <w:t xml:space="preserve">risk </w:t>
      </w:r>
      <w:r>
        <w:rPr>
          <w:iCs/>
          <w:lang w:val="en-AU"/>
        </w:rPr>
        <w:t>PHF</w:t>
      </w:r>
      <w:r w:rsidRPr="00097F03">
        <w:rPr>
          <w:iCs/>
          <w:lang w:val="en-AU"/>
        </w:rPr>
        <w:t xml:space="preserve"> as </w:t>
      </w:r>
      <w:r>
        <w:rPr>
          <w:iCs/>
          <w:lang w:val="en-AU"/>
        </w:rPr>
        <w:t>RTE</w:t>
      </w:r>
      <w:r w:rsidRPr="00097F03">
        <w:rPr>
          <w:iCs/>
          <w:lang w:val="en-AU"/>
        </w:rPr>
        <w:t xml:space="preserve"> food for retail</w:t>
      </w:r>
      <w:r>
        <w:rPr>
          <w:iCs/>
          <w:lang w:val="en-AU"/>
        </w:rPr>
        <w:t xml:space="preserve"> sale</w:t>
      </w:r>
      <w:r w:rsidRPr="00097F03">
        <w:rPr>
          <w:iCs/>
          <w:lang w:val="en-AU"/>
        </w:rPr>
        <w:t>.</w:t>
      </w:r>
    </w:p>
    <w:p w14:paraId="39FAB0AA" w14:textId="77777777" w:rsidR="00CB7716" w:rsidRPr="00097F03" w:rsidRDefault="00CB7716" w:rsidP="004F36C6">
      <w:pPr>
        <w:spacing w:after="240"/>
      </w:pPr>
      <w:r>
        <w:rPr>
          <w:shd w:val="clear" w:color="auto" w:fill="FFFFFF"/>
        </w:rPr>
        <w:t>T</w:t>
      </w:r>
      <w:r w:rsidRPr="00097F03">
        <w:rPr>
          <w:shd w:val="clear" w:color="auto" w:fill="FFFFFF"/>
        </w:rPr>
        <w:t xml:space="preserve">wo </w:t>
      </w:r>
      <w:r w:rsidRPr="00097F03">
        <w:t xml:space="preserve">controls are critical to </w:t>
      </w:r>
      <w:r>
        <w:t>ensuring</w:t>
      </w:r>
      <w:r w:rsidRPr="00097F03">
        <w:t xml:space="preserve"> food</w:t>
      </w:r>
      <w:r>
        <w:t xml:space="preserve"> remains safe during this activity</w:t>
      </w:r>
      <w:r w:rsidRPr="00097F03">
        <w:t>:</w:t>
      </w:r>
    </w:p>
    <w:p w14:paraId="61582C5E" w14:textId="77777777" w:rsidR="00CB7716" w:rsidRPr="00227DC2" w:rsidRDefault="00CB7716" w:rsidP="004E6D96">
      <w:pPr>
        <w:pStyle w:val="ListParagraph"/>
        <w:numPr>
          <w:ilvl w:val="0"/>
          <w:numId w:val="17"/>
        </w:numPr>
        <w:spacing w:after="240"/>
        <w:rPr>
          <w:shd w:val="clear" w:color="auto" w:fill="FFFFFF"/>
        </w:rPr>
      </w:pPr>
      <w:r w:rsidRPr="00097F03">
        <w:t xml:space="preserve">storage of PHF at appropriate temperatures </w:t>
      </w:r>
    </w:p>
    <w:p w14:paraId="0EAAFE59" w14:textId="77777777" w:rsidR="00CB7716" w:rsidRPr="00097F03" w:rsidRDefault="00CB7716" w:rsidP="004E6D96">
      <w:pPr>
        <w:pStyle w:val="ListParagraph"/>
        <w:numPr>
          <w:ilvl w:val="0"/>
          <w:numId w:val="17"/>
        </w:numPr>
        <w:spacing w:after="240"/>
      </w:pPr>
      <w:proofErr w:type="gramStart"/>
      <w:r>
        <w:t>m</w:t>
      </w:r>
      <w:r w:rsidRPr="00097F03">
        <w:t>inimising</w:t>
      </w:r>
      <w:proofErr w:type="gramEnd"/>
      <w:r w:rsidRPr="00097F03">
        <w:t xml:space="preserve"> cross-contamination and re-contamination</w:t>
      </w:r>
      <w:r>
        <w:t>.</w:t>
      </w:r>
      <w:r w:rsidRPr="00097F03">
        <w:t xml:space="preserve"> </w:t>
      </w:r>
    </w:p>
    <w:p w14:paraId="50EC5AE5" w14:textId="77777777" w:rsidR="00CB7716" w:rsidRPr="00097F03" w:rsidRDefault="00CB7716" w:rsidP="004F36C6">
      <w:pPr>
        <w:spacing w:after="240"/>
        <w:rPr>
          <w:b/>
          <w:u w:val="single"/>
          <w:shd w:val="clear" w:color="auto" w:fill="FFFFFF"/>
        </w:rPr>
      </w:pPr>
      <w:r>
        <w:rPr>
          <w:b/>
          <w:u w:val="single"/>
          <w:shd w:val="clear" w:color="auto" w:fill="FFFFFF"/>
        </w:rPr>
        <w:t>Category</w:t>
      </w:r>
      <w:r w:rsidRPr="00097F03">
        <w:rPr>
          <w:b/>
          <w:u w:val="single"/>
          <w:shd w:val="clear" w:color="auto" w:fill="FFFFFF"/>
        </w:rPr>
        <w:t xml:space="preserve"> 3:</w:t>
      </w:r>
    </w:p>
    <w:p w14:paraId="1667F6BC" w14:textId="77777777" w:rsidR="00CB7716" w:rsidRPr="00DA7FDA" w:rsidRDefault="00CB7716" w:rsidP="004F36C6">
      <w:pPr>
        <w:spacing w:after="240"/>
        <w:rPr>
          <w:shd w:val="clear" w:color="auto" w:fill="FFFFFF"/>
        </w:rPr>
      </w:pPr>
      <w:r w:rsidRPr="00227DC2">
        <w:rPr>
          <w:i/>
          <w:lang w:val="en-AU"/>
        </w:rPr>
        <w:t>Handling activity 4:</w:t>
      </w:r>
      <w:r w:rsidRPr="00097F03">
        <w:rPr>
          <w:lang w:val="en-AU"/>
        </w:rPr>
        <w:t xml:space="preserve"> serve packaged high</w:t>
      </w:r>
      <w:r>
        <w:rPr>
          <w:lang w:val="en-AU"/>
        </w:rPr>
        <w:t>-</w:t>
      </w:r>
      <w:r w:rsidRPr="00097F03">
        <w:rPr>
          <w:lang w:val="en-AU"/>
        </w:rPr>
        <w:t xml:space="preserve">risk </w:t>
      </w:r>
      <w:r>
        <w:rPr>
          <w:lang w:val="en-AU"/>
        </w:rPr>
        <w:t>PHF</w:t>
      </w:r>
      <w:r w:rsidRPr="00097F03">
        <w:rPr>
          <w:lang w:val="en-AU"/>
        </w:rPr>
        <w:t xml:space="preserve"> as </w:t>
      </w:r>
      <w:r>
        <w:rPr>
          <w:lang w:val="en-AU"/>
        </w:rPr>
        <w:t>RTE</w:t>
      </w:r>
      <w:r w:rsidRPr="00097F03">
        <w:rPr>
          <w:lang w:val="en-AU"/>
        </w:rPr>
        <w:t xml:space="preserve"> food. The food is packaged prior to receipt by the food business for retail </w:t>
      </w:r>
      <w:r>
        <w:rPr>
          <w:lang w:val="en-AU"/>
        </w:rPr>
        <w:t xml:space="preserve">sale </w:t>
      </w:r>
      <w:r w:rsidRPr="00097F03">
        <w:rPr>
          <w:lang w:val="en-AU"/>
        </w:rPr>
        <w:t xml:space="preserve">and sold to the consumer </w:t>
      </w:r>
      <w:r>
        <w:rPr>
          <w:lang w:val="en-AU"/>
        </w:rPr>
        <w:t>in its packaging</w:t>
      </w:r>
      <w:r w:rsidRPr="00097F03">
        <w:rPr>
          <w:lang w:val="en-AU"/>
        </w:rPr>
        <w:t xml:space="preserve">. </w:t>
      </w:r>
    </w:p>
    <w:p w14:paraId="2D714139" w14:textId="77777777" w:rsidR="00CB7716" w:rsidRPr="00097F03" w:rsidRDefault="00CB7716" w:rsidP="004F36C6">
      <w:pPr>
        <w:spacing w:after="240"/>
      </w:pPr>
      <w:r>
        <w:rPr>
          <w:shd w:val="clear" w:color="auto" w:fill="FFFFFF"/>
        </w:rPr>
        <w:t>O</w:t>
      </w:r>
      <w:r w:rsidRPr="00097F03">
        <w:rPr>
          <w:shd w:val="clear" w:color="auto" w:fill="FFFFFF"/>
        </w:rPr>
        <w:t xml:space="preserve">ne </w:t>
      </w:r>
      <w:r w:rsidRPr="00097F03">
        <w:t>control is required for the safety of food</w:t>
      </w:r>
      <w:r>
        <w:t xml:space="preserve"> during this activity</w:t>
      </w:r>
      <w:r w:rsidRPr="00097F03">
        <w:t>:</w:t>
      </w:r>
    </w:p>
    <w:p w14:paraId="6CDFE0A6" w14:textId="77777777" w:rsidR="00CB7716" w:rsidRPr="00227DC2" w:rsidRDefault="00CB7716" w:rsidP="004E6D96">
      <w:pPr>
        <w:pStyle w:val="ListParagraph"/>
        <w:numPr>
          <w:ilvl w:val="0"/>
          <w:numId w:val="18"/>
        </w:numPr>
        <w:spacing w:after="240"/>
        <w:rPr>
          <w:shd w:val="clear" w:color="auto" w:fill="FFFFFF"/>
        </w:rPr>
      </w:pPr>
      <w:proofErr w:type="gramStart"/>
      <w:r w:rsidRPr="00097F03">
        <w:t>storage</w:t>
      </w:r>
      <w:proofErr w:type="gramEnd"/>
      <w:r w:rsidRPr="00097F03">
        <w:t xml:space="preserve"> of PHF at appropriate temperatures.</w:t>
      </w:r>
    </w:p>
    <w:p w14:paraId="63BA424E" w14:textId="14631179" w:rsidR="00CB7716" w:rsidRDefault="00CB7716" w:rsidP="004F36C6">
      <w:pPr>
        <w:spacing w:after="240"/>
      </w:pPr>
      <w:r>
        <w:t>Each of these categories has been considered individually to assess if a net benefit is likely to be achieved when applying the options identified.</w:t>
      </w:r>
    </w:p>
    <w:p w14:paraId="7B8E89DE" w14:textId="44EC5E8B" w:rsidR="00CB7716" w:rsidRDefault="00CB7716" w:rsidP="006D619E">
      <w:pPr>
        <w:pStyle w:val="Heading3"/>
        <w:numPr>
          <w:ilvl w:val="0"/>
          <w:numId w:val="0"/>
        </w:numPr>
        <w:ind w:left="720" w:hanging="720"/>
      </w:pPr>
      <w:bookmarkStart w:id="42" w:name="_1.3_Current_status"/>
      <w:bookmarkStart w:id="43" w:name="_Toc107412679"/>
      <w:bookmarkStart w:id="44" w:name="_Toc109300443"/>
      <w:bookmarkEnd w:id="42"/>
      <w:r>
        <w:t>1.3</w:t>
      </w:r>
      <w:r>
        <w:tab/>
        <w:t>Current status of food safety management</w:t>
      </w:r>
      <w:bookmarkEnd w:id="43"/>
      <w:bookmarkEnd w:id="44"/>
    </w:p>
    <w:p w14:paraId="264BFA31" w14:textId="13DD379C" w:rsidR="00CB7716" w:rsidRDefault="00CB7716" w:rsidP="00227DC2">
      <w:pPr>
        <w:spacing w:after="240"/>
      </w:pPr>
      <w:r w:rsidRPr="004657C0">
        <w:t>In Australia, state and territory food regulators use a wide range of food safety management tools aimed at reducing foodborne illness. Tools can be regulatory or non-regulatory and include legislation, guidance material, education and training. Tools are used to varying degrees in different jurisdictions</w:t>
      </w:r>
      <w:r>
        <w:t>,</w:t>
      </w:r>
      <w:r w:rsidRPr="004657C0">
        <w:t xml:space="preserve"> to require or encourage food businesses to manage their food safety risks and strengthen their food safety culture. </w:t>
      </w:r>
    </w:p>
    <w:p w14:paraId="4BC9FD0C" w14:textId="5202B562" w:rsidR="00CB7716" w:rsidRDefault="00CB7716" w:rsidP="00227DC2">
      <w:pPr>
        <w:spacing w:after="240"/>
      </w:pPr>
      <w:r w:rsidRPr="004657C0">
        <w:t xml:space="preserve">Food safety </w:t>
      </w:r>
      <w:r>
        <w:t xml:space="preserve">requirements are contained </w:t>
      </w:r>
      <w:r w:rsidRPr="004657C0">
        <w:t>in several standards in the Code</w:t>
      </w:r>
      <w:r>
        <w:t>, particularly</w:t>
      </w:r>
      <w:r w:rsidRPr="004657C0">
        <w:t xml:space="preserve"> </w:t>
      </w:r>
      <w:r>
        <w:t>the food safety s</w:t>
      </w:r>
      <w:r w:rsidRPr="004657C0">
        <w:t xml:space="preserve">tandards of Chapter 3. </w:t>
      </w:r>
      <w:r>
        <w:t>This c</w:t>
      </w:r>
      <w:r w:rsidRPr="004657C0">
        <w:t xml:space="preserve">hapter provides </w:t>
      </w:r>
      <w:r>
        <w:t>general food handling controls that all food business must follow</w:t>
      </w:r>
      <w:r w:rsidRPr="004657C0">
        <w:t xml:space="preserve"> to ensure </w:t>
      </w:r>
      <w:r>
        <w:t xml:space="preserve">only </w:t>
      </w:r>
      <w:r w:rsidRPr="004657C0">
        <w:t>safe and suitable food</w:t>
      </w:r>
      <w:r>
        <w:t xml:space="preserve"> is produced and sold</w:t>
      </w:r>
      <w:r w:rsidRPr="004657C0">
        <w:t>. In particular, Standard 3.2.2 outlines base-level food safety requirements for each step of the food handling process: food receipt, storage, processing, display, packaging, transport, disposal and food recall. Other requirements relate to skills and knowledge of food handlers and their supervisors</w:t>
      </w:r>
      <w:r>
        <w:t>;</w:t>
      </w:r>
      <w:r w:rsidRPr="004657C0">
        <w:t xml:space="preserve"> food handler health and hygiene</w:t>
      </w:r>
      <w:r>
        <w:t>;</w:t>
      </w:r>
      <w:r w:rsidRPr="004657C0">
        <w:t xml:space="preserve"> and cleaning, sanitising and maintenance of </w:t>
      </w:r>
      <w:r>
        <w:t xml:space="preserve">premises and </w:t>
      </w:r>
      <w:r w:rsidRPr="004657C0">
        <w:t>equipment.</w:t>
      </w:r>
    </w:p>
    <w:p w14:paraId="1EFD87A2" w14:textId="413EDE4F" w:rsidR="00CB7716" w:rsidRDefault="00CB7716" w:rsidP="00227DC2">
      <w:pPr>
        <w:spacing w:after="240"/>
      </w:pPr>
      <w:r w:rsidRPr="004657C0">
        <w:t>A complementary gui</w:t>
      </w:r>
      <w:r>
        <w:t>de to the food safety s</w:t>
      </w:r>
      <w:r w:rsidRPr="004657C0">
        <w:t xml:space="preserve">tandards, </w:t>
      </w:r>
      <w:r w:rsidRPr="48861835">
        <w:rPr>
          <w:i/>
        </w:rPr>
        <w:t>Safe Food Australia</w:t>
      </w:r>
      <w:r>
        <w:rPr>
          <w:i/>
        </w:rPr>
        <w:t xml:space="preserve"> </w:t>
      </w:r>
      <w:r w:rsidRPr="00BA1B61">
        <w:t>(FSANZ, 2016)</w:t>
      </w:r>
      <w:r w:rsidRPr="004657C0">
        <w:t xml:space="preserve">, provides information for food regulators and businesses on how the requirements may be met. </w:t>
      </w:r>
    </w:p>
    <w:p w14:paraId="7F491642" w14:textId="6412E84E" w:rsidR="00CB7716" w:rsidRDefault="00CB7716" w:rsidP="00227DC2">
      <w:pPr>
        <w:spacing w:after="240"/>
      </w:pPr>
      <w:r>
        <w:t xml:space="preserve">Standards in the Code are adopted into legislation through state and territory food acts. </w:t>
      </w:r>
      <w:r w:rsidRPr="004657C0">
        <w:t xml:space="preserve">In addition to </w:t>
      </w:r>
      <w:r>
        <w:t>the s</w:t>
      </w:r>
      <w:r w:rsidRPr="004657C0">
        <w:t>tandards, several jurisdictions have i</w:t>
      </w:r>
      <w:r>
        <w:t>ncorporated</w:t>
      </w:r>
      <w:r w:rsidRPr="004657C0">
        <w:t xml:space="preserve"> extra </w:t>
      </w:r>
      <w:r w:rsidRPr="004657C0">
        <w:rPr>
          <w:lang w:eastAsia="en-AU"/>
        </w:rPr>
        <w:t>food safety requirements in</w:t>
      </w:r>
      <w:r>
        <w:rPr>
          <w:lang w:eastAsia="en-AU"/>
        </w:rPr>
        <w:t>to</w:t>
      </w:r>
      <w:r w:rsidRPr="004657C0">
        <w:rPr>
          <w:lang w:eastAsia="en-AU"/>
        </w:rPr>
        <w:t xml:space="preserve"> their </w:t>
      </w:r>
      <w:r>
        <w:rPr>
          <w:lang w:eastAsia="en-AU"/>
        </w:rPr>
        <w:t>f</w:t>
      </w:r>
      <w:r w:rsidRPr="004657C0">
        <w:rPr>
          <w:lang w:eastAsia="en-AU"/>
        </w:rPr>
        <w:t xml:space="preserve">ood </w:t>
      </w:r>
      <w:r>
        <w:rPr>
          <w:lang w:eastAsia="en-AU"/>
        </w:rPr>
        <w:t>a</w:t>
      </w:r>
      <w:r w:rsidRPr="004657C0">
        <w:rPr>
          <w:lang w:eastAsia="en-AU"/>
        </w:rPr>
        <w:t xml:space="preserve">cts </w:t>
      </w:r>
      <w:r w:rsidRPr="004657C0">
        <w:t>to manage risks associated with the food service and retail sectors. Four jurisdictions (Victoria, N</w:t>
      </w:r>
      <w:r>
        <w:t xml:space="preserve">ew </w:t>
      </w:r>
      <w:r w:rsidRPr="004657C0">
        <w:t>S</w:t>
      </w:r>
      <w:r>
        <w:t xml:space="preserve">outh </w:t>
      </w:r>
      <w:r w:rsidRPr="004657C0">
        <w:t>W</w:t>
      </w:r>
      <w:r>
        <w:t>ales</w:t>
      </w:r>
      <w:r w:rsidRPr="004657C0">
        <w:t xml:space="preserve">, Queensland and ACT) have requirements for </w:t>
      </w:r>
      <w:r>
        <w:t>FSS</w:t>
      </w:r>
      <w:r w:rsidRPr="004657C0">
        <w:t xml:space="preserve"> with competency-based training. Victoria and Queensland also have template-based food safety programs, which include</w:t>
      </w:r>
      <w:r>
        <w:rPr>
          <w:lang w:val="en-AU"/>
        </w:rPr>
        <w:t xml:space="preserve"> record </w:t>
      </w:r>
      <w:r w:rsidRPr="004657C0">
        <w:rPr>
          <w:lang w:val="en-AU"/>
        </w:rPr>
        <w:t xml:space="preserve">keeping requirements for </w:t>
      </w:r>
      <w:r w:rsidRPr="004657C0">
        <w:t xml:space="preserve">key activities. </w:t>
      </w:r>
      <w:r>
        <w:t>Record keeping may be one way a business might keep evidence that key processes are managed.</w:t>
      </w:r>
    </w:p>
    <w:p w14:paraId="31E7DBF6" w14:textId="77777777" w:rsidR="00CB7716" w:rsidRPr="004657C0" w:rsidRDefault="00CB7716" w:rsidP="00227DC2">
      <w:pPr>
        <w:spacing w:after="240"/>
      </w:pPr>
      <w:r w:rsidRPr="004657C0">
        <w:t>There are differences in how these extra requirements are implemented in each jurisdiction, including the business classifications used and attainment and duration of qualifications</w:t>
      </w:r>
      <w:r>
        <w:t xml:space="preserve">. </w:t>
      </w:r>
    </w:p>
    <w:p w14:paraId="26EE3B1E" w14:textId="7765916D" w:rsidR="00CB7716" w:rsidRDefault="00CB7716" w:rsidP="00227DC2">
      <w:pPr>
        <w:spacing w:after="240"/>
      </w:pPr>
      <w:r>
        <w:t xml:space="preserve">The nationally agreed Framework has been adopted for use in some Australian jurisdictions, while other jurisdictions use an alternative classification system. The different approaches across Australian jurisdictions are summarised in Table 1. </w:t>
      </w:r>
    </w:p>
    <w:p w14:paraId="1C5EC412" w14:textId="3B06D57F" w:rsidR="00CB7716" w:rsidRPr="006B6E19" w:rsidRDefault="00CB7716" w:rsidP="00CB7716">
      <w:pPr>
        <w:pStyle w:val="Caption"/>
        <w:keepNext/>
        <w:rPr>
          <w:b/>
          <w:color w:val="auto"/>
          <w:sz w:val="20"/>
        </w:rPr>
      </w:pPr>
      <w:r w:rsidRPr="006B6E19">
        <w:rPr>
          <w:b/>
          <w:color w:val="auto"/>
          <w:sz w:val="20"/>
        </w:rPr>
        <w:t xml:space="preserve">Table </w:t>
      </w:r>
      <w:r w:rsidRPr="006B6E19">
        <w:rPr>
          <w:b/>
          <w:color w:val="auto"/>
          <w:sz w:val="20"/>
        </w:rPr>
        <w:fldChar w:fldCharType="begin"/>
      </w:r>
      <w:r w:rsidRPr="006B6E19">
        <w:rPr>
          <w:b/>
          <w:color w:val="auto"/>
          <w:sz w:val="20"/>
        </w:rPr>
        <w:instrText xml:space="preserve"> SEQ Table \* ARABIC </w:instrText>
      </w:r>
      <w:r w:rsidRPr="006B6E19">
        <w:rPr>
          <w:b/>
          <w:color w:val="auto"/>
          <w:sz w:val="20"/>
        </w:rPr>
        <w:fldChar w:fldCharType="separate"/>
      </w:r>
      <w:r w:rsidR="00EB0B9D">
        <w:rPr>
          <w:b/>
          <w:noProof/>
          <w:color w:val="auto"/>
          <w:sz w:val="20"/>
        </w:rPr>
        <w:t>1</w:t>
      </w:r>
      <w:r w:rsidRPr="006B6E19">
        <w:rPr>
          <w:b/>
          <w:color w:val="auto"/>
          <w:sz w:val="20"/>
        </w:rPr>
        <w:fldChar w:fldCharType="end"/>
      </w:r>
      <w:r w:rsidRPr="006B6E19">
        <w:rPr>
          <w:b/>
          <w:color w:val="auto"/>
          <w:sz w:val="20"/>
        </w:rPr>
        <w:t>: Summary of risk classification systems used in each Australian jurisdiction</w:t>
      </w:r>
    </w:p>
    <w:tbl>
      <w:tblPr>
        <w:tblStyle w:val="TableClassic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0"/>
        <w:gridCol w:w="6336"/>
      </w:tblGrid>
      <w:tr w:rsidR="00CB7716" w14:paraId="4B3E705B" w14:textId="77777777" w:rsidTr="006E77E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0" w:type="dxa"/>
          </w:tcPr>
          <w:p w14:paraId="7A9495AA" w14:textId="77777777" w:rsidR="00CB7716" w:rsidRPr="00174656" w:rsidRDefault="00CB7716" w:rsidP="00CB7716">
            <w:pPr>
              <w:spacing w:after="85"/>
              <w:rPr>
                <w:b/>
                <w:sz w:val="20"/>
                <w:szCs w:val="20"/>
              </w:rPr>
            </w:pPr>
            <w:r w:rsidRPr="00174656">
              <w:rPr>
                <w:b/>
                <w:sz w:val="20"/>
                <w:szCs w:val="20"/>
              </w:rPr>
              <w:t>Jurisdiction</w:t>
            </w:r>
          </w:p>
        </w:tc>
        <w:tc>
          <w:tcPr>
            <w:tcW w:w="6336" w:type="dxa"/>
          </w:tcPr>
          <w:p w14:paraId="313EA4A1" w14:textId="77777777" w:rsidR="00CB7716" w:rsidRPr="00174656" w:rsidRDefault="00CB7716" w:rsidP="00CB7716">
            <w:pPr>
              <w:spacing w:after="85"/>
              <w:cnfStyle w:val="100000000000" w:firstRow="1" w:lastRow="0" w:firstColumn="0" w:lastColumn="0" w:oddVBand="0" w:evenVBand="0" w:oddHBand="0" w:evenHBand="0" w:firstRowFirstColumn="0" w:firstRowLastColumn="0" w:lastRowFirstColumn="0" w:lastRowLastColumn="0"/>
              <w:rPr>
                <w:b/>
                <w:sz w:val="20"/>
                <w:szCs w:val="20"/>
              </w:rPr>
            </w:pPr>
            <w:r w:rsidRPr="00174656">
              <w:rPr>
                <w:b/>
                <w:sz w:val="20"/>
                <w:szCs w:val="20"/>
              </w:rPr>
              <w:t>Risk classification system used</w:t>
            </w:r>
          </w:p>
        </w:tc>
      </w:tr>
      <w:tr w:rsidR="00CB7716" w14:paraId="45965222" w14:textId="77777777" w:rsidTr="006E77ED">
        <w:tc>
          <w:tcPr>
            <w:cnfStyle w:val="001000000000" w:firstRow="0" w:lastRow="0" w:firstColumn="1" w:lastColumn="0" w:oddVBand="0" w:evenVBand="0" w:oddHBand="0" w:evenHBand="0" w:firstRowFirstColumn="0" w:firstRowLastColumn="0" w:lastRowFirstColumn="0" w:lastRowLastColumn="0"/>
            <w:tcW w:w="2680" w:type="dxa"/>
          </w:tcPr>
          <w:p w14:paraId="356931EB" w14:textId="77777777" w:rsidR="00CB7716" w:rsidRPr="006E77ED" w:rsidRDefault="00CB7716" w:rsidP="00CB7716">
            <w:pPr>
              <w:spacing w:after="85"/>
              <w:rPr>
                <w:b/>
                <w:sz w:val="20"/>
                <w:szCs w:val="20"/>
              </w:rPr>
            </w:pPr>
            <w:r w:rsidRPr="006E77ED">
              <w:rPr>
                <w:b/>
                <w:sz w:val="20"/>
                <w:szCs w:val="20"/>
              </w:rPr>
              <w:t>Australian Capital Territory</w:t>
            </w:r>
          </w:p>
        </w:tc>
        <w:tc>
          <w:tcPr>
            <w:tcW w:w="6336" w:type="dxa"/>
          </w:tcPr>
          <w:p w14:paraId="1FACDC90" w14:textId="77777777" w:rsidR="00CB7716" w:rsidRPr="00174656" w:rsidRDefault="00CB7716" w:rsidP="00CB7716">
            <w:pPr>
              <w:spacing w:after="85"/>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Currently uses ANZFA* priority classification system for food businesses (low, medium, high)</w:t>
            </w:r>
            <w:r>
              <w:rPr>
                <w:rStyle w:val="FootnoteReference"/>
                <w:sz w:val="20"/>
                <w:szCs w:val="20"/>
              </w:rPr>
              <w:footnoteReference w:id="12"/>
            </w:r>
            <w:r>
              <w:rPr>
                <w:sz w:val="20"/>
                <w:szCs w:val="20"/>
              </w:rPr>
              <w:t xml:space="preserve">. </w:t>
            </w:r>
          </w:p>
        </w:tc>
      </w:tr>
      <w:tr w:rsidR="00CB7716" w14:paraId="69CAF0AA" w14:textId="77777777" w:rsidTr="006E77ED">
        <w:tc>
          <w:tcPr>
            <w:cnfStyle w:val="001000000000" w:firstRow="0" w:lastRow="0" w:firstColumn="1" w:lastColumn="0" w:oddVBand="0" w:evenVBand="0" w:oddHBand="0" w:evenHBand="0" w:firstRowFirstColumn="0" w:firstRowLastColumn="0" w:lastRowFirstColumn="0" w:lastRowLastColumn="0"/>
            <w:tcW w:w="2680" w:type="dxa"/>
          </w:tcPr>
          <w:p w14:paraId="32D9C9AE" w14:textId="77777777" w:rsidR="00CB7716" w:rsidRPr="006E77ED" w:rsidRDefault="00CB7716" w:rsidP="00CB7716">
            <w:pPr>
              <w:spacing w:after="85"/>
              <w:rPr>
                <w:b/>
                <w:sz w:val="20"/>
                <w:szCs w:val="20"/>
              </w:rPr>
            </w:pPr>
            <w:r w:rsidRPr="006E77ED">
              <w:rPr>
                <w:b/>
                <w:sz w:val="20"/>
                <w:szCs w:val="20"/>
              </w:rPr>
              <w:t>New South Wales</w:t>
            </w:r>
          </w:p>
        </w:tc>
        <w:tc>
          <w:tcPr>
            <w:tcW w:w="6336" w:type="dxa"/>
          </w:tcPr>
          <w:p w14:paraId="681ADE31" w14:textId="77777777" w:rsidR="00CB7716" w:rsidRPr="00174656" w:rsidRDefault="00CB7716" w:rsidP="00CB7716">
            <w:pPr>
              <w:spacing w:after="85"/>
              <w:cnfStyle w:val="000000000000" w:firstRow="0" w:lastRow="0" w:firstColumn="0" w:lastColumn="0" w:oddVBand="0" w:evenVBand="0" w:oddHBand="0" w:evenHBand="0" w:firstRowFirstColumn="0" w:firstRowLastColumn="0" w:lastRowFirstColumn="0" w:lastRowLastColumn="0"/>
              <w:rPr>
                <w:sz w:val="20"/>
                <w:szCs w:val="20"/>
              </w:rPr>
            </w:pPr>
            <w:r w:rsidRPr="68C0CA2D">
              <w:rPr>
                <w:sz w:val="20"/>
                <w:szCs w:val="20"/>
              </w:rPr>
              <w:t xml:space="preserve">Adopted the nationally agreed risk profiling framework. </w:t>
            </w:r>
          </w:p>
        </w:tc>
      </w:tr>
      <w:tr w:rsidR="00CB7716" w14:paraId="19583588" w14:textId="77777777" w:rsidTr="006E77ED">
        <w:tc>
          <w:tcPr>
            <w:cnfStyle w:val="001000000000" w:firstRow="0" w:lastRow="0" w:firstColumn="1" w:lastColumn="0" w:oddVBand="0" w:evenVBand="0" w:oddHBand="0" w:evenHBand="0" w:firstRowFirstColumn="0" w:firstRowLastColumn="0" w:lastRowFirstColumn="0" w:lastRowLastColumn="0"/>
            <w:tcW w:w="2680" w:type="dxa"/>
          </w:tcPr>
          <w:p w14:paraId="297F950F" w14:textId="77777777" w:rsidR="00CB7716" w:rsidRPr="006E77ED" w:rsidRDefault="00CB7716" w:rsidP="00CB7716">
            <w:pPr>
              <w:spacing w:after="85"/>
              <w:rPr>
                <w:b/>
                <w:sz w:val="20"/>
                <w:szCs w:val="20"/>
              </w:rPr>
            </w:pPr>
            <w:r w:rsidRPr="006E77ED">
              <w:rPr>
                <w:b/>
                <w:sz w:val="20"/>
                <w:szCs w:val="20"/>
              </w:rPr>
              <w:t>Northern Territory</w:t>
            </w:r>
          </w:p>
        </w:tc>
        <w:tc>
          <w:tcPr>
            <w:tcW w:w="6336" w:type="dxa"/>
          </w:tcPr>
          <w:p w14:paraId="1E861820" w14:textId="77777777" w:rsidR="00CB7716" w:rsidRDefault="00CB7716" w:rsidP="00CB7716">
            <w:pPr>
              <w:spacing w:after="85"/>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Adopted the nationally agreed risk profiling framework.</w:t>
            </w:r>
          </w:p>
        </w:tc>
      </w:tr>
      <w:tr w:rsidR="00CB7716" w14:paraId="1D1E0ADA" w14:textId="77777777" w:rsidTr="006E77ED">
        <w:tc>
          <w:tcPr>
            <w:cnfStyle w:val="001000000000" w:firstRow="0" w:lastRow="0" w:firstColumn="1" w:lastColumn="0" w:oddVBand="0" w:evenVBand="0" w:oddHBand="0" w:evenHBand="0" w:firstRowFirstColumn="0" w:firstRowLastColumn="0" w:lastRowFirstColumn="0" w:lastRowLastColumn="0"/>
            <w:tcW w:w="2680" w:type="dxa"/>
          </w:tcPr>
          <w:p w14:paraId="680A54D5" w14:textId="77777777" w:rsidR="00CB7716" w:rsidRPr="006E77ED" w:rsidRDefault="00CB7716" w:rsidP="00CB7716">
            <w:pPr>
              <w:spacing w:after="85"/>
              <w:rPr>
                <w:b/>
                <w:sz w:val="20"/>
                <w:szCs w:val="20"/>
              </w:rPr>
            </w:pPr>
            <w:r w:rsidRPr="006E77ED">
              <w:rPr>
                <w:b/>
                <w:sz w:val="20"/>
                <w:szCs w:val="20"/>
              </w:rPr>
              <w:t>Queensland</w:t>
            </w:r>
          </w:p>
        </w:tc>
        <w:tc>
          <w:tcPr>
            <w:tcW w:w="6336" w:type="dxa"/>
          </w:tcPr>
          <w:p w14:paraId="6F655295" w14:textId="77777777" w:rsidR="00CB7716" w:rsidRPr="00174656" w:rsidRDefault="00CB7716" w:rsidP="00CB7716">
            <w:pPr>
              <w:spacing w:after="85"/>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Adopted a hybrid model based on nationally agreed risk profiling framework and ANZFA priority classification system</w:t>
            </w:r>
            <w:r>
              <w:rPr>
                <w:rStyle w:val="FootnoteReference"/>
                <w:sz w:val="20"/>
                <w:szCs w:val="20"/>
              </w:rPr>
              <w:footnoteReference w:id="13"/>
            </w:r>
            <w:r>
              <w:rPr>
                <w:sz w:val="20"/>
                <w:szCs w:val="20"/>
              </w:rPr>
              <w:t>.</w:t>
            </w:r>
          </w:p>
        </w:tc>
      </w:tr>
      <w:tr w:rsidR="00CB7716" w14:paraId="004A3070" w14:textId="77777777" w:rsidTr="006E77ED">
        <w:tc>
          <w:tcPr>
            <w:cnfStyle w:val="001000000000" w:firstRow="0" w:lastRow="0" w:firstColumn="1" w:lastColumn="0" w:oddVBand="0" w:evenVBand="0" w:oddHBand="0" w:evenHBand="0" w:firstRowFirstColumn="0" w:firstRowLastColumn="0" w:lastRowFirstColumn="0" w:lastRowLastColumn="0"/>
            <w:tcW w:w="2680" w:type="dxa"/>
          </w:tcPr>
          <w:p w14:paraId="24931641" w14:textId="77777777" w:rsidR="00CB7716" w:rsidRPr="006E77ED" w:rsidRDefault="00CB7716" w:rsidP="00CB7716">
            <w:pPr>
              <w:spacing w:after="85"/>
              <w:rPr>
                <w:b/>
                <w:sz w:val="20"/>
                <w:szCs w:val="20"/>
              </w:rPr>
            </w:pPr>
            <w:r w:rsidRPr="006E77ED">
              <w:rPr>
                <w:b/>
                <w:sz w:val="20"/>
                <w:szCs w:val="20"/>
              </w:rPr>
              <w:t>South Australia</w:t>
            </w:r>
          </w:p>
        </w:tc>
        <w:tc>
          <w:tcPr>
            <w:tcW w:w="6336" w:type="dxa"/>
          </w:tcPr>
          <w:p w14:paraId="39C972E9" w14:textId="77777777" w:rsidR="00CB7716" w:rsidRPr="00174656" w:rsidRDefault="00CB7716" w:rsidP="00CB7716">
            <w:pPr>
              <w:spacing w:after="85"/>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Adopted the nationally agreed risk profiling framework.</w:t>
            </w:r>
          </w:p>
        </w:tc>
      </w:tr>
      <w:tr w:rsidR="00CB7716" w14:paraId="41E537AE" w14:textId="77777777" w:rsidTr="006E77ED">
        <w:tc>
          <w:tcPr>
            <w:cnfStyle w:val="001000000000" w:firstRow="0" w:lastRow="0" w:firstColumn="1" w:lastColumn="0" w:oddVBand="0" w:evenVBand="0" w:oddHBand="0" w:evenHBand="0" w:firstRowFirstColumn="0" w:firstRowLastColumn="0" w:lastRowFirstColumn="0" w:lastRowLastColumn="0"/>
            <w:tcW w:w="2680" w:type="dxa"/>
          </w:tcPr>
          <w:p w14:paraId="3930D95B" w14:textId="77777777" w:rsidR="00CB7716" w:rsidRPr="006E77ED" w:rsidRDefault="00CB7716" w:rsidP="00CB7716">
            <w:pPr>
              <w:spacing w:after="85"/>
              <w:rPr>
                <w:b/>
                <w:sz w:val="20"/>
                <w:szCs w:val="20"/>
              </w:rPr>
            </w:pPr>
            <w:r w:rsidRPr="006E77ED">
              <w:rPr>
                <w:b/>
                <w:sz w:val="20"/>
                <w:szCs w:val="20"/>
              </w:rPr>
              <w:t>Tasmania</w:t>
            </w:r>
          </w:p>
        </w:tc>
        <w:tc>
          <w:tcPr>
            <w:tcW w:w="6336" w:type="dxa"/>
          </w:tcPr>
          <w:p w14:paraId="220F5965" w14:textId="77777777" w:rsidR="00CB7716" w:rsidRPr="00174656" w:rsidRDefault="00CB7716" w:rsidP="00CB7716">
            <w:pPr>
              <w:spacing w:after="85"/>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Adopted the nationally agreed risk profiling framework.</w:t>
            </w:r>
          </w:p>
        </w:tc>
      </w:tr>
      <w:tr w:rsidR="00CB7716" w14:paraId="6899FD4D" w14:textId="77777777" w:rsidTr="006E77ED">
        <w:tc>
          <w:tcPr>
            <w:cnfStyle w:val="001000000000" w:firstRow="0" w:lastRow="0" w:firstColumn="1" w:lastColumn="0" w:oddVBand="0" w:evenVBand="0" w:oddHBand="0" w:evenHBand="0" w:firstRowFirstColumn="0" w:firstRowLastColumn="0" w:lastRowFirstColumn="0" w:lastRowLastColumn="0"/>
            <w:tcW w:w="2680" w:type="dxa"/>
          </w:tcPr>
          <w:p w14:paraId="1195ECB3" w14:textId="77777777" w:rsidR="00CB7716" w:rsidRPr="006E77ED" w:rsidRDefault="00CB7716" w:rsidP="00CB7716">
            <w:pPr>
              <w:spacing w:after="85"/>
              <w:rPr>
                <w:b/>
                <w:sz w:val="20"/>
                <w:szCs w:val="20"/>
              </w:rPr>
            </w:pPr>
            <w:r w:rsidRPr="006E77ED">
              <w:rPr>
                <w:b/>
                <w:sz w:val="20"/>
                <w:szCs w:val="20"/>
              </w:rPr>
              <w:t>Victoria</w:t>
            </w:r>
          </w:p>
        </w:tc>
        <w:tc>
          <w:tcPr>
            <w:tcW w:w="6336" w:type="dxa"/>
          </w:tcPr>
          <w:p w14:paraId="3FA64460" w14:textId="77777777" w:rsidR="00CB7716" w:rsidRPr="00174656" w:rsidRDefault="00CB7716" w:rsidP="00CB7716">
            <w:pPr>
              <w:spacing w:after="85"/>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Uses VIC food business classifications, Class 1 to 4 with Class 1 being highest risk</w:t>
            </w:r>
            <w:r>
              <w:rPr>
                <w:rStyle w:val="FootnoteReference"/>
                <w:sz w:val="20"/>
                <w:szCs w:val="20"/>
              </w:rPr>
              <w:footnoteReference w:id="14"/>
            </w:r>
            <w:r>
              <w:rPr>
                <w:sz w:val="20"/>
                <w:szCs w:val="20"/>
              </w:rPr>
              <w:t xml:space="preserve">. </w:t>
            </w:r>
          </w:p>
        </w:tc>
      </w:tr>
      <w:tr w:rsidR="00CB7716" w14:paraId="4A278950" w14:textId="77777777" w:rsidTr="006E77ED">
        <w:tc>
          <w:tcPr>
            <w:cnfStyle w:val="001000000000" w:firstRow="0" w:lastRow="0" w:firstColumn="1" w:lastColumn="0" w:oddVBand="0" w:evenVBand="0" w:oddHBand="0" w:evenHBand="0" w:firstRowFirstColumn="0" w:firstRowLastColumn="0" w:lastRowFirstColumn="0" w:lastRowLastColumn="0"/>
            <w:tcW w:w="2680" w:type="dxa"/>
          </w:tcPr>
          <w:p w14:paraId="7697586C" w14:textId="77777777" w:rsidR="00CB7716" w:rsidRPr="006E77ED" w:rsidRDefault="00CB7716" w:rsidP="00CB7716">
            <w:pPr>
              <w:spacing w:after="85"/>
              <w:rPr>
                <w:b/>
                <w:sz w:val="20"/>
                <w:szCs w:val="20"/>
              </w:rPr>
            </w:pPr>
            <w:r w:rsidRPr="006E77ED">
              <w:rPr>
                <w:b/>
                <w:sz w:val="20"/>
                <w:szCs w:val="20"/>
              </w:rPr>
              <w:t>Western Australia</w:t>
            </w:r>
          </w:p>
        </w:tc>
        <w:tc>
          <w:tcPr>
            <w:tcW w:w="6336" w:type="dxa"/>
          </w:tcPr>
          <w:p w14:paraId="27282531" w14:textId="77777777" w:rsidR="00CB7716" w:rsidRPr="004D0772" w:rsidRDefault="00CB7716" w:rsidP="00CB7716">
            <w:pPr>
              <w:spacing w:after="85"/>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Uses an amended ANZFA priority classification system (low, medium, high)</w:t>
            </w:r>
            <w:r>
              <w:rPr>
                <w:rStyle w:val="FootnoteReference"/>
                <w:sz w:val="20"/>
                <w:szCs w:val="20"/>
              </w:rPr>
              <w:footnoteReference w:id="15"/>
            </w:r>
            <w:r>
              <w:rPr>
                <w:sz w:val="20"/>
                <w:szCs w:val="20"/>
              </w:rPr>
              <w:t xml:space="preserve">. </w:t>
            </w:r>
          </w:p>
        </w:tc>
      </w:tr>
    </w:tbl>
    <w:p w14:paraId="69CBAAF6" w14:textId="5F6FF7D7" w:rsidR="00CB7716" w:rsidRDefault="00CB7716" w:rsidP="00CB7716">
      <w:pPr>
        <w:rPr>
          <w:sz w:val="18"/>
        </w:rPr>
      </w:pPr>
      <w:r w:rsidRPr="006A159A">
        <w:rPr>
          <w:sz w:val="18"/>
        </w:rPr>
        <w:t xml:space="preserve">* Food Standards Australia New Zealand (FSANZ) was formerly the Australia New Zealand Food Authority (ANZFA). </w:t>
      </w:r>
    </w:p>
    <w:p w14:paraId="6583EB97" w14:textId="77777777" w:rsidR="00643567" w:rsidRPr="006A159A" w:rsidRDefault="00643567" w:rsidP="00CB7716">
      <w:pPr>
        <w:rPr>
          <w:sz w:val="18"/>
        </w:rPr>
      </w:pPr>
    </w:p>
    <w:p w14:paraId="456A8498" w14:textId="120DF8F9" w:rsidR="00CB7716" w:rsidRDefault="00CB7716" w:rsidP="00227DC2">
      <w:pPr>
        <w:spacing w:after="240"/>
        <w:rPr>
          <w:lang w:val="en-AU"/>
        </w:rPr>
      </w:pPr>
      <w:r w:rsidRPr="004657C0">
        <w:rPr>
          <w:lang w:val="en-AU"/>
        </w:rPr>
        <w:t xml:space="preserve">Given ongoing </w:t>
      </w:r>
      <w:r w:rsidRPr="004657C0">
        <w:rPr>
          <w:lang w:eastAsia="en-AU"/>
        </w:rPr>
        <w:t xml:space="preserve">foodborne illness </w:t>
      </w:r>
      <w:r w:rsidRPr="004657C0">
        <w:rPr>
          <w:lang w:val="en-AU"/>
        </w:rPr>
        <w:t xml:space="preserve">linked to </w:t>
      </w:r>
      <w:r w:rsidRPr="004657C0">
        <w:rPr>
          <w:lang w:eastAsia="en-AU"/>
        </w:rPr>
        <w:t xml:space="preserve">food service businesses and related retailers, </w:t>
      </w:r>
      <w:r w:rsidRPr="004657C0">
        <w:rPr>
          <w:lang w:val="en-AU"/>
        </w:rPr>
        <w:t>regulators ha</w:t>
      </w:r>
      <w:r>
        <w:rPr>
          <w:lang w:val="en-AU"/>
        </w:rPr>
        <w:t xml:space="preserve">ve recognised that current risk </w:t>
      </w:r>
      <w:r w:rsidRPr="004657C0">
        <w:rPr>
          <w:lang w:val="en-AU"/>
        </w:rPr>
        <w:t xml:space="preserve">management measures are not enough for these sectors. </w:t>
      </w:r>
    </w:p>
    <w:p w14:paraId="2B642E5D" w14:textId="77777777" w:rsidR="00643567" w:rsidRDefault="00CB7716" w:rsidP="00227DC2">
      <w:pPr>
        <w:spacing w:after="240"/>
        <w:rPr>
          <w:lang w:val="en-AU"/>
        </w:rPr>
      </w:pPr>
      <w:r w:rsidRPr="004657C0">
        <w:rPr>
          <w:lang w:val="en-AU"/>
        </w:rPr>
        <w:t xml:space="preserve">Considerable work has been done to review the existing measures </w:t>
      </w:r>
      <w:r>
        <w:rPr>
          <w:lang w:val="en-AU"/>
        </w:rPr>
        <w:t xml:space="preserve">both nationally </w:t>
      </w:r>
      <w:bookmarkStart w:id="45" w:name="_Int_RPmGV5ci"/>
      <w:r w:rsidRPr="004657C0">
        <w:rPr>
          <w:lang w:val="en-AU"/>
        </w:rPr>
        <w:t xml:space="preserve">and </w:t>
      </w:r>
      <w:r>
        <w:rPr>
          <w:lang w:val="en-AU"/>
        </w:rPr>
        <w:t>in each jurisdiction</w:t>
      </w:r>
      <w:r w:rsidRPr="48861835">
        <w:rPr>
          <w:lang w:val="en-AU"/>
        </w:rPr>
        <w:t>,</w:t>
      </w:r>
      <w:bookmarkEnd w:id="45"/>
      <w:r>
        <w:rPr>
          <w:lang w:val="en-AU"/>
        </w:rPr>
        <w:t xml:space="preserve"> </w:t>
      </w:r>
      <w:r w:rsidRPr="004657C0">
        <w:rPr>
          <w:lang w:val="en-AU"/>
        </w:rPr>
        <w:t xml:space="preserve">and identify best options for moving forward. This work has included government-commissioned research, technical analyses and stakeholder consultations. </w:t>
      </w:r>
    </w:p>
    <w:p w14:paraId="226DA445" w14:textId="39189B4D" w:rsidR="00CB7716" w:rsidRPr="004657C0" w:rsidRDefault="00CB7716" w:rsidP="00227DC2">
      <w:pPr>
        <w:spacing w:after="240"/>
        <w:rPr>
          <w:lang w:val="en-AU"/>
        </w:rPr>
      </w:pPr>
      <w:r w:rsidRPr="004657C0">
        <w:rPr>
          <w:lang w:val="en-AU"/>
        </w:rPr>
        <w:t>Much of the work has been completed by the FSM WG under FRSC. Key activities include:</w:t>
      </w:r>
    </w:p>
    <w:p w14:paraId="6343B7DE" w14:textId="77777777" w:rsidR="00CB7716" w:rsidRPr="00227DC2" w:rsidRDefault="00CB7716" w:rsidP="004E6D96">
      <w:pPr>
        <w:pStyle w:val="ListParagraph"/>
        <w:numPr>
          <w:ilvl w:val="0"/>
          <w:numId w:val="18"/>
        </w:numPr>
        <w:spacing w:after="240"/>
        <w:rPr>
          <w:b/>
          <w:lang w:eastAsia="en-AU"/>
        </w:rPr>
      </w:pPr>
      <w:r w:rsidRPr="00227DC2">
        <w:rPr>
          <w:lang w:val="en-AU"/>
        </w:rPr>
        <w:t>developing ministerial policy guidelines:</w:t>
      </w:r>
    </w:p>
    <w:p w14:paraId="37F1A075" w14:textId="77777777" w:rsidR="00CB7716" w:rsidRPr="00227DC2" w:rsidRDefault="00CB7716" w:rsidP="004E6D96">
      <w:pPr>
        <w:pStyle w:val="ListParagraph"/>
        <w:numPr>
          <w:ilvl w:val="1"/>
          <w:numId w:val="19"/>
        </w:numPr>
        <w:spacing w:after="240"/>
        <w:rPr>
          <w:b/>
          <w:lang w:eastAsia="en-AU"/>
        </w:rPr>
      </w:pPr>
      <w:r w:rsidRPr="00227DC2">
        <w:rPr>
          <w:i/>
        </w:rPr>
        <w:t>Ministerial Policy Guideline on Food Safety Management in Australia</w:t>
      </w:r>
      <w:r w:rsidRPr="004657C0">
        <w:t xml:space="preserve"> (2003)</w:t>
      </w:r>
    </w:p>
    <w:p w14:paraId="4BA5760E" w14:textId="77777777" w:rsidR="00CB7716" w:rsidRPr="00227DC2" w:rsidRDefault="00CB7716" w:rsidP="004E6D96">
      <w:pPr>
        <w:pStyle w:val="ListParagraph"/>
        <w:numPr>
          <w:ilvl w:val="1"/>
          <w:numId w:val="19"/>
        </w:numPr>
        <w:spacing w:after="240"/>
        <w:rPr>
          <w:b/>
          <w:lang w:eastAsia="en-AU"/>
        </w:rPr>
      </w:pPr>
      <w:r w:rsidRPr="00227DC2">
        <w:rPr>
          <w:i/>
        </w:rPr>
        <w:t>Ministerial Policy Guideline on Food Safety Management for General Food Service and Closely Related Retail Sectors</w:t>
      </w:r>
      <w:r w:rsidRPr="004657C0">
        <w:t xml:space="preserve"> (2011)</w:t>
      </w:r>
    </w:p>
    <w:p w14:paraId="25AED0DA" w14:textId="77777777" w:rsidR="00CB7716" w:rsidRPr="004657C0" w:rsidRDefault="00CB7716" w:rsidP="004E6D96">
      <w:pPr>
        <w:pStyle w:val="ListParagraph"/>
        <w:numPr>
          <w:ilvl w:val="0"/>
          <w:numId w:val="18"/>
        </w:numPr>
        <w:spacing w:after="240"/>
        <w:rPr>
          <w:lang w:eastAsia="en-AU"/>
        </w:rPr>
      </w:pPr>
      <w:r w:rsidRPr="004657C0">
        <w:rPr>
          <w:lang w:eastAsia="en-AU"/>
        </w:rPr>
        <w:t>risk profiling work, identifying food service and related retailers as priority business sectors</w:t>
      </w:r>
    </w:p>
    <w:p w14:paraId="3E8F05E6" w14:textId="77777777" w:rsidR="00CB7716" w:rsidRPr="004657C0" w:rsidRDefault="00CB7716" w:rsidP="004E6D96">
      <w:pPr>
        <w:pStyle w:val="ListParagraph"/>
        <w:numPr>
          <w:ilvl w:val="0"/>
          <w:numId w:val="18"/>
        </w:numPr>
        <w:spacing w:after="240"/>
        <w:rPr>
          <w:lang w:eastAsia="en-AU"/>
        </w:rPr>
      </w:pPr>
      <w:r w:rsidRPr="004657C0">
        <w:rPr>
          <w:lang w:eastAsia="en-AU"/>
        </w:rPr>
        <w:t>evaluating the adequacy of existing measures to manage food safety in these sectors</w:t>
      </w:r>
    </w:p>
    <w:p w14:paraId="0FE22612" w14:textId="77777777" w:rsidR="00CB7716" w:rsidRPr="004657C0" w:rsidRDefault="00CB7716" w:rsidP="004E6D96">
      <w:pPr>
        <w:pStyle w:val="ListParagraph"/>
        <w:numPr>
          <w:ilvl w:val="0"/>
          <w:numId w:val="18"/>
        </w:numPr>
        <w:spacing w:after="240"/>
        <w:rPr>
          <w:lang w:eastAsia="en-AU"/>
        </w:rPr>
      </w:pPr>
      <w:r w:rsidRPr="004657C0">
        <w:rPr>
          <w:lang w:eastAsia="en-AU"/>
        </w:rPr>
        <w:t>identifying potential additional tools to improve food safety in these sectors</w:t>
      </w:r>
    </w:p>
    <w:p w14:paraId="71DB2806" w14:textId="77777777" w:rsidR="00CB7716" w:rsidRPr="004657C0" w:rsidRDefault="00CB7716" w:rsidP="004E6D96">
      <w:pPr>
        <w:pStyle w:val="ListParagraph"/>
        <w:numPr>
          <w:ilvl w:val="0"/>
          <w:numId w:val="18"/>
        </w:numPr>
        <w:spacing w:after="240"/>
        <w:rPr>
          <w:lang w:eastAsia="en-AU"/>
        </w:rPr>
      </w:pPr>
      <w:r w:rsidRPr="004657C0">
        <w:rPr>
          <w:lang w:eastAsia="en-AU"/>
        </w:rPr>
        <w:t>consulting with stakeholders on these tools</w:t>
      </w:r>
    </w:p>
    <w:p w14:paraId="7F9B63D0" w14:textId="77777777" w:rsidR="00CB7716" w:rsidRPr="004657C0" w:rsidRDefault="00CB7716" w:rsidP="004E6D96">
      <w:pPr>
        <w:pStyle w:val="ListParagraph"/>
        <w:numPr>
          <w:ilvl w:val="0"/>
          <w:numId w:val="18"/>
        </w:numPr>
        <w:spacing w:after="240"/>
        <w:rPr>
          <w:lang w:eastAsia="en-AU"/>
        </w:rPr>
      </w:pPr>
      <w:proofErr w:type="gramStart"/>
      <w:r w:rsidRPr="004657C0">
        <w:rPr>
          <w:lang w:eastAsia="en-AU"/>
        </w:rPr>
        <w:t>develop</w:t>
      </w:r>
      <w:r>
        <w:rPr>
          <w:lang w:eastAsia="en-AU"/>
        </w:rPr>
        <w:t>ing</w:t>
      </w:r>
      <w:proofErr w:type="gramEnd"/>
      <w:r>
        <w:rPr>
          <w:lang w:eastAsia="en-AU"/>
        </w:rPr>
        <w:t xml:space="preserve"> </w:t>
      </w:r>
      <w:r w:rsidRPr="00227DC2">
        <w:rPr>
          <w:i/>
          <w:iCs/>
          <w:lang w:eastAsia="en-AU"/>
        </w:rPr>
        <w:t xml:space="preserve">Australia’s </w:t>
      </w:r>
      <w:r w:rsidRPr="00227DC2">
        <w:rPr>
          <w:i/>
          <w:iCs/>
        </w:rPr>
        <w:t>Foodborne Illness Reduction Strategy 2018–2021</w:t>
      </w:r>
      <w:r w:rsidRPr="00227DC2">
        <w:rPr>
          <w:vertAlign w:val="superscript"/>
        </w:rPr>
        <w:t>+</w:t>
      </w:r>
      <w:r w:rsidRPr="004657C0">
        <w:rPr>
          <w:rStyle w:val="FootnoteReference"/>
        </w:rPr>
        <w:footnoteReference w:id="16"/>
      </w:r>
      <w:r w:rsidRPr="004657C0">
        <w:rPr>
          <w:lang w:eastAsia="en-AU"/>
        </w:rPr>
        <w:t>.</w:t>
      </w:r>
    </w:p>
    <w:p w14:paraId="075129A9" w14:textId="77777777" w:rsidR="00CB7716" w:rsidRPr="004657C0" w:rsidRDefault="00CB7716" w:rsidP="00227DC2">
      <w:pPr>
        <w:spacing w:after="240"/>
        <w:rPr>
          <w:lang w:eastAsia="en-AU"/>
        </w:rPr>
      </w:pPr>
      <w:r w:rsidRPr="004657C0">
        <w:rPr>
          <w:lang w:eastAsia="en-AU"/>
        </w:rPr>
        <w:t xml:space="preserve">These activities have culminated in the package of tools </w:t>
      </w:r>
      <w:r>
        <w:rPr>
          <w:lang w:eastAsia="en-AU"/>
        </w:rPr>
        <w:t>being considered in this proposal</w:t>
      </w:r>
      <w:r w:rsidRPr="00781584">
        <w:rPr>
          <w:lang w:eastAsia="en-AU"/>
        </w:rPr>
        <w:t>.</w:t>
      </w:r>
      <w:r>
        <w:rPr>
          <w:lang w:eastAsia="en-AU"/>
        </w:rPr>
        <w:t xml:space="preserve"> </w:t>
      </w:r>
    </w:p>
    <w:p w14:paraId="4FB7FF0D" w14:textId="6F7DFFBE" w:rsidR="00CB7716" w:rsidRDefault="00CB7716" w:rsidP="00227DC2">
      <w:pPr>
        <w:spacing w:after="240"/>
      </w:pPr>
      <w:r>
        <w:t xml:space="preserve">Under the national foodborne illness reduction strategy, </w:t>
      </w:r>
      <w:r>
        <w:rPr>
          <w:lang w:val="en-AU"/>
        </w:rPr>
        <w:t>m</w:t>
      </w:r>
      <w:r w:rsidRPr="004657C0">
        <w:rPr>
          <w:lang w:val="en-AU"/>
        </w:rPr>
        <w:t xml:space="preserve">inisters prioritised nationally consistent arrangements for </w:t>
      </w:r>
      <w:r w:rsidRPr="004657C0">
        <w:t xml:space="preserve">food service and retail sectors. FSANZ </w:t>
      </w:r>
      <w:r>
        <w:t xml:space="preserve">has </w:t>
      </w:r>
      <w:r w:rsidRPr="004657C0">
        <w:t>assessed whether</w:t>
      </w:r>
      <w:r>
        <w:t>,</w:t>
      </w:r>
      <w:r w:rsidRPr="004657C0">
        <w:t xml:space="preserve"> </w:t>
      </w:r>
      <w:r>
        <w:rPr>
          <w:lang w:val="en-AU"/>
        </w:rPr>
        <w:t xml:space="preserve">and how, a national approach could </w:t>
      </w:r>
      <w:r w:rsidRPr="004657C0">
        <w:t xml:space="preserve">strengthen food </w:t>
      </w:r>
      <w:r>
        <w:t>safety management</w:t>
      </w:r>
      <w:r w:rsidRPr="004657C0">
        <w:t xml:space="preserve"> </w:t>
      </w:r>
      <w:r>
        <w:t xml:space="preserve">in these sectors </w:t>
      </w:r>
      <w:r w:rsidRPr="004657C0">
        <w:t xml:space="preserve">and reduce </w:t>
      </w:r>
      <w:r>
        <w:t>Australia’s foodborne illness.</w:t>
      </w:r>
    </w:p>
    <w:p w14:paraId="60C07A93" w14:textId="6915F592" w:rsidR="00CB7716" w:rsidRPr="006D619E" w:rsidRDefault="00CB7716" w:rsidP="006D619E">
      <w:pPr>
        <w:pStyle w:val="Heading2"/>
        <w:numPr>
          <w:ilvl w:val="0"/>
          <w:numId w:val="0"/>
        </w:numPr>
        <w:ind w:left="576" w:hanging="576"/>
      </w:pPr>
      <w:bookmarkStart w:id="46" w:name="_Toc107412680"/>
      <w:bookmarkStart w:id="47" w:name="_Toc109300444"/>
      <w:bookmarkStart w:id="48" w:name="_Toc121311414"/>
      <w:r w:rsidRPr="006D619E">
        <w:t>2</w:t>
      </w:r>
      <w:r w:rsidRPr="006D619E">
        <w:tab/>
        <w:t>What is the problem and why is government action needed?</w:t>
      </w:r>
      <w:bookmarkEnd w:id="46"/>
      <w:bookmarkEnd w:id="47"/>
      <w:bookmarkEnd w:id="48"/>
    </w:p>
    <w:p w14:paraId="532B45F9" w14:textId="79237C65" w:rsidR="00CB7716" w:rsidRDefault="00CB7716" w:rsidP="007C01C0">
      <w:pPr>
        <w:spacing w:after="240"/>
      </w:pPr>
      <w:r w:rsidRPr="00725670">
        <w:t>While the vast majority of food in Australia is safe, foodborne illness is an ongoing and sometimes serious problem that is largely preventable.</w:t>
      </w:r>
      <w:r>
        <w:t xml:space="preserve"> Foodborne illness results in pain and suffering, productivity losses and medical expenses. It even results in death for a small percentage of the population.</w:t>
      </w:r>
    </w:p>
    <w:p w14:paraId="3E2842DD" w14:textId="779641AB" w:rsidR="00CB7716" w:rsidRDefault="00CB7716" w:rsidP="007C01C0">
      <w:pPr>
        <w:spacing w:after="240"/>
      </w:pPr>
      <w:r w:rsidRPr="00725670">
        <w:t xml:space="preserve">Over the past decade, foodborne illness outbreaks have been consistently linked to food service and </w:t>
      </w:r>
      <w:r>
        <w:t>r</w:t>
      </w:r>
      <w:r w:rsidRPr="00725670">
        <w:t>etail businesses</w:t>
      </w:r>
      <w:r>
        <w:t xml:space="preserve"> that handle PHF </w:t>
      </w:r>
      <w:r w:rsidRPr="00725670" w:rsidDel="009C5600">
        <w:t>(</w:t>
      </w:r>
      <w:r>
        <w:t>FSANZ, 2022</w:t>
      </w:r>
      <w:r w:rsidRPr="00725670" w:rsidDel="009C5600">
        <w:t>)</w:t>
      </w:r>
      <w:r w:rsidRPr="00725670">
        <w:t xml:space="preserve">. </w:t>
      </w:r>
      <w:r>
        <w:t>The term ‘outbreak’</w:t>
      </w:r>
      <w:r w:rsidRPr="00725670">
        <w:t xml:space="preserve"> </w:t>
      </w:r>
      <w:r>
        <w:t xml:space="preserve">is used </w:t>
      </w:r>
      <w:r w:rsidRPr="00725670">
        <w:t>wh</w:t>
      </w:r>
      <w:r>
        <w:t>en</w:t>
      </w:r>
      <w:r w:rsidRPr="00725670">
        <w:t xml:space="preserve"> health departments are notified of multiple people becoming sick from the same source.</w:t>
      </w:r>
    </w:p>
    <w:p w14:paraId="2999F739" w14:textId="314F4C65" w:rsidR="00CB7716" w:rsidRDefault="00CB7716" w:rsidP="007C01C0">
      <w:pPr>
        <w:spacing w:after="240"/>
      </w:pPr>
      <w:r w:rsidRPr="00725670">
        <w:t xml:space="preserve">The total number of </w:t>
      </w:r>
      <w:r>
        <w:t>actual</w:t>
      </w:r>
      <w:r w:rsidRPr="00725670">
        <w:t xml:space="preserve"> and probable foodborne ou</w:t>
      </w:r>
      <w:r>
        <w:t>tbreaks in Australia for 2010–</w:t>
      </w:r>
      <w:r w:rsidRPr="00725670">
        <w:t>2017 was 1,257</w:t>
      </w:r>
      <w:r>
        <w:t>.</w:t>
      </w:r>
      <w:r w:rsidRPr="00725670">
        <w:t xml:space="preserve"> Of these, 970 foodborne outbreaks were associated with food prepared in the </w:t>
      </w:r>
      <w:r>
        <w:t xml:space="preserve">business </w:t>
      </w:r>
      <w:r w:rsidRPr="00725670">
        <w:t xml:space="preserve">settings considered in this proposal. The 970 outbreaks resulted in 15,286 people being reported ill, of </w:t>
      </w:r>
      <w:r>
        <w:t xml:space="preserve">whom </w:t>
      </w:r>
      <w:r w:rsidRPr="00725670">
        <w:t xml:space="preserve">1,371 </w:t>
      </w:r>
      <w:r>
        <w:t>were</w:t>
      </w:r>
      <w:r w:rsidRPr="00725670">
        <w:t xml:space="preserve"> hospitalised, and 34 fatalities. </w:t>
      </w:r>
    </w:p>
    <w:p w14:paraId="12ADFE81" w14:textId="79CC7EFA" w:rsidR="00CB7716" w:rsidRDefault="00CB7716" w:rsidP="007C01C0">
      <w:pPr>
        <w:spacing w:after="240"/>
      </w:pPr>
      <w:proofErr w:type="spellStart"/>
      <w:r w:rsidRPr="00725670">
        <w:t>OzFoodNet</w:t>
      </w:r>
      <w:proofErr w:type="spellEnd"/>
      <w:r w:rsidRPr="00107B07">
        <w:rPr>
          <w:vertAlign w:val="superscript"/>
        </w:rPr>
        <w:footnoteReference w:id="17"/>
      </w:r>
      <w:r w:rsidRPr="00107B07">
        <w:rPr>
          <w:vertAlign w:val="superscript"/>
        </w:rPr>
        <w:t xml:space="preserve"> </w:t>
      </w:r>
      <w:r w:rsidRPr="00725670">
        <w:t>reports that there are over 200 different types of illness that may be transmitted by food, although only a handful are notifiable</w:t>
      </w:r>
      <w:r w:rsidRPr="00107B07">
        <w:rPr>
          <w:vertAlign w:val="superscript"/>
        </w:rPr>
        <w:footnoteReference w:id="18"/>
      </w:r>
      <w:r>
        <w:t xml:space="preserve"> to health departments.</w:t>
      </w:r>
    </w:p>
    <w:p w14:paraId="38096891" w14:textId="72487931" w:rsidR="00CB7716" w:rsidRDefault="00CB7716" w:rsidP="007C01C0">
      <w:pPr>
        <w:spacing w:after="240"/>
      </w:pPr>
      <w:r w:rsidRPr="00725670">
        <w:t xml:space="preserve">Due to the </w:t>
      </w:r>
      <w:r>
        <w:t>often-</w:t>
      </w:r>
      <w:r w:rsidRPr="00725670">
        <w:t xml:space="preserve">mild nature of foodborne diseases, most cases do not appear in surveillance statistics collected by health departments. To understand the </w:t>
      </w:r>
      <w:r>
        <w:t xml:space="preserve">real </w:t>
      </w:r>
      <w:r w:rsidRPr="00725670">
        <w:t xml:space="preserve">magnitude of foodborne illness linked to food service and retail sectors, FSANZ developed population estimates to reflect current foodborne illness rates. </w:t>
      </w:r>
    </w:p>
    <w:p w14:paraId="5BFD4403" w14:textId="584C5AD1" w:rsidR="00CB7716" w:rsidRDefault="00CB7716" w:rsidP="007C01C0">
      <w:pPr>
        <w:spacing w:after="240"/>
      </w:pPr>
      <w:r w:rsidRPr="004B3692">
        <w:t xml:space="preserve">FSANZ estimates that </w:t>
      </w:r>
      <w:r>
        <w:t>up to</w:t>
      </w:r>
      <w:r w:rsidRPr="004B3692">
        <w:t xml:space="preserve"> 3.</w:t>
      </w:r>
      <w:r>
        <w:t>2</w:t>
      </w:r>
      <w:r w:rsidRPr="004B3692">
        <w:t xml:space="preserve"> million cases of foodborne illness a year are likely linked to these sectors. </w:t>
      </w:r>
      <w:r>
        <w:t>The cost–benefit analysis attributes the current cost of illness from PHF consumed in these settings around $</w:t>
      </w:r>
      <w:r w:rsidRPr="002E7E5C">
        <w:t>1.6 billion per year</w:t>
      </w:r>
      <w:r>
        <w:t>, including medical costs, productivity losses and pain and suffering.</w:t>
      </w:r>
    </w:p>
    <w:p w14:paraId="1E270FEB" w14:textId="77777777" w:rsidR="00CB7716" w:rsidRDefault="00CB7716" w:rsidP="007C01C0">
      <w:pPr>
        <w:spacing w:after="240"/>
      </w:pPr>
      <w:r>
        <w:t>This is a considerable burden on Australian society. It appears the population estimates of foodborne illness have increased since they were last estimated in 2010, but we need to consider an increased population size, changing consumption patterns, revised methodological approaches in terms of measurement and detection and public health behaviour in response to COVID. Therefore, there are clear challenges in estimating whether there has been a significant change since they were last estimated.</w:t>
      </w:r>
    </w:p>
    <w:p w14:paraId="5B9A6244" w14:textId="71AE6623" w:rsidR="00CB7716" w:rsidRDefault="00CB7716" w:rsidP="007C01C0">
      <w:pPr>
        <w:spacing w:after="240"/>
      </w:pPr>
      <w:r w:rsidRPr="00107B07">
        <w:t>From the early 2000s, specific food handling errors have been consistently reported as contributing to foodborne illness outbreaks</w:t>
      </w:r>
      <w:r>
        <w:t>. These include</w:t>
      </w:r>
      <w:r w:rsidRPr="00107B07">
        <w:t xml:space="preserve"> improper temperature control, poor personal hygiene and cross contamination (</w:t>
      </w:r>
      <w:proofErr w:type="spellStart"/>
      <w:r w:rsidRPr="00107B07">
        <w:t>Ashbolt</w:t>
      </w:r>
      <w:proofErr w:type="spellEnd"/>
      <w:r w:rsidRPr="00107B07">
        <w:t xml:space="preserve"> et al. 2003; Todd 2007; FSANZ 2009). </w:t>
      </w:r>
    </w:p>
    <w:p w14:paraId="4CB8B7E0" w14:textId="6B4B12C0" w:rsidR="00CB7716" w:rsidRDefault="00CB7716" w:rsidP="007C01C0">
      <w:pPr>
        <w:spacing w:after="240"/>
        <w:rPr>
          <w:rFonts w:cs="Arial"/>
        </w:rPr>
      </w:pPr>
      <w:r w:rsidRPr="00107B07">
        <w:rPr>
          <w:rFonts w:cs="Arial"/>
        </w:rPr>
        <w:t xml:space="preserve">FSANZ reviewed </w:t>
      </w:r>
      <w:r>
        <w:rPr>
          <w:rFonts w:cs="Arial"/>
        </w:rPr>
        <w:t xml:space="preserve">more recent </w:t>
      </w:r>
      <w:r w:rsidRPr="00107B07">
        <w:rPr>
          <w:rFonts w:cs="Arial"/>
        </w:rPr>
        <w:t xml:space="preserve">foodborne outbreaks attributed to Australian food service and retail sectors. Data was sourced from the </w:t>
      </w:r>
      <w:proofErr w:type="spellStart"/>
      <w:r w:rsidRPr="00107B07">
        <w:rPr>
          <w:rFonts w:cs="Arial"/>
        </w:rPr>
        <w:t>OzFoodNet</w:t>
      </w:r>
      <w:proofErr w:type="spellEnd"/>
      <w:r w:rsidRPr="00107B07">
        <w:rPr>
          <w:rFonts w:cs="Arial"/>
        </w:rPr>
        <w:t xml:space="preserve"> outbreak register for 2010–2017</w:t>
      </w:r>
      <w:r>
        <w:rPr>
          <w:rFonts w:cs="Arial"/>
        </w:rPr>
        <w:t xml:space="preserve"> (FSANZ, 2022)</w:t>
      </w:r>
      <w:r w:rsidRPr="00107B07">
        <w:rPr>
          <w:rFonts w:cs="Arial"/>
        </w:rPr>
        <w:t xml:space="preserve">. </w:t>
      </w:r>
      <w:r>
        <w:rPr>
          <w:rFonts w:cs="Arial"/>
        </w:rPr>
        <w:t>During</w:t>
      </w:r>
      <w:r w:rsidRPr="00107B07">
        <w:rPr>
          <w:rFonts w:cs="Arial"/>
        </w:rPr>
        <w:t xml:space="preserve"> this period 70% </w:t>
      </w:r>
      <w:r>
        <w:rPr>
          <w:rFonts w:cs="Arial"/>
        </w:rPr>
        <w:t>(879/</w:t>
      </w:r>
      <w:r w:rsidRPr="00107B07">
        <w:rPr>
          <w:rFonts w:cs="Arial"/>
        </w:rPr>
        <w:t>1</w:t>
      </w:r>
      <w:r>
        <w:rPr>
          <w:rFonts w:cs="Arial"/>
        </w:rPr>
        <w:t>,</w:t>
      </w:r>
      <w:r w:rsidRPr="00107B07">
        <w:rPr>
          <w:rFonts w:cs="Arial"/>
        </w:rPr>
        <w:t>257</w:t>
      </w:r>
      <w:r>
        <w:rPr>
          <w:rFonts w:cs="Arial"/>
        </w:rPr>
        <w:t>)</w:t>
      </w:r>
      <w:r w:rsidRPr="00107B07">
        <w:rPr>
          <w:rFonts w:cs="Arial"/>
        </w:rPr>
        <w:t xml:space="preserve"> of outbreaks were associated with food prepared in priority food service and retail businesses. Restaurant settings accounted for the largest proportion (</w:t>
      </w:r>
      <w:r w:rsidRPr="00107B07">
        <w:t>45.1%, 567/1</w:t>
      </w:r>
      <w:r>
        <w:t>,</w:t>
      </w:r>
      <w:r w:rsidRPr="00107B07">
        <w:t>257</w:t>
      </w:r>
      <w:r w:rsidRPr="00107B07">
        <w:rPr>
          <w:rFonts w:cs="Arial"/>
        </w:rPr>
        <w:t>) of all foodborne outbreaks.</w:t>
      </w:r>
    </w:p>
    <w:p w14:paraId="6572D8CD" w14:textId="4E928F19" w:rsidR="00CB7716" w:rsidRDefault="00CB7716" w:rsidP="007C01C0">
      <w:pPr>
        <w:spacing w:after="240"/>
        <w:rPr>
          <w:rFonts w:cs="Arial"/>
        </w:rPr>
      </w:pPr>
      <w:r w:rsidRPr="00107B07">
        <w:rPr>
          <w:rFonts w:cs="Arial"/>
          <w:i/>
        </w:rPr>
        <w:t xml:space="preserve">Salmonella </w:t>
      </w:r>
      <w:r w:rsidRPr="00107B07">
        <w:rPr>
          <w:rFonts w:cs="Arial"/>
        </w:rPr>
        <w:t xml:space="preserve">spp. was the most frequently reported agent responsible for foodborne outbreaks in the priority food service and retail business sectors. It also accounted for the largest proportion of people ill and hospitalised. The majority of the </w:t>
      </w:r>
      <w:r w:rsidRPr="00107B07">
        <w:rPr>
          <w:rFonts w:cs="Arial"/>
          <w:i/>
        </w:rPr>
        <w:t>Salmonella</w:t>
      </w:r>
      <w:r w:rsidRPr="00107B07">
        <w:rPr>
          <w:rFonts w:cs="Arial"/>
        </w:rPr>
        <w:t xml:space="preserve"> spp. outbreaks were </w:t>
      </w:r>
      <w:r>
        <w:rPr>
          <w:rFonts w:cs="Arial"/>
        </w:rPr>
        <w:t>linked</w:t>
      </w:r>
      <w:r w:rsidRPr="00107B07">
        <w:rPr>
          <w:rFonts w:cs="Arial"/>
        </w:rPr>
        <w:t xml:space="preserve"> to eggs (45.5%, 205/450).</w:t>
      </w:r>
      <w:r w:rsidRPr="00107B07">
        <w:t xml:space="preserve"> </w:t>
      </w:r>
      <w:r w:rsidRPr="00107B07">
        <w:rPr>
          <w:rFonts w:cs="Arial"/>
        </w:rPr>
        <w:t>However, the causa</w:t>
      </w:r>
      <w:r>
        <w:rPr>
          <w:rFonts w:cs="Arial"/>
        </w:rPr>
        <w:t>l</w:t>
      </w:r>
      <w:r w:rsidRPr="00107B07">
        <w:rPr>
          <w:rFonts w:cs="Arial"/>
        </w:rPr>
        <w:t xml:space="preserve"> agent or food </w:t>
      </w:r>
      <w:r>
        <w:rPr>
          <w:rFonts w:cs="Arial"/>
        </w:rPr>
        <w:t>could not be</w:t>
      </w:r>
      <w:r w:rsidRPr="00107B07">
        <w:rPr>
          <w:rFonts w:cs="Arial"/>
        </w:rPr>
        <w:t xml:space="preserve"> identified</w:t>
      </w:r>
      <w:r w:rsidRPr="004618A5">
        <w:rPr>
          <w:rFonts w:cs="Arial"/>
        </w:rPr>
        <w:t xml:space="preserve"> </w:t>
      </w:r>
      <w:r w:rsidRPr="00107B07">
        <w:rPr>
          <w:rFonts w:cs="Arial"/>
        </w:rPr>
        <w:t xml:space="preserve">for </w:t>
      </w:r>
      <w:r>
        <w:rPr>
          <w:rFonts w:cs="Arial"/>
        </w:rPr>
        <w:t>many</w:t>
      </w:r>
      <w:r w:rsidRPr="00107B07">
        <w:rPr>
          <w:rFonts w:cs="Arial"/>
        </w:rPr>
        <w:t xml:space="preserve"> outbreaks.</w:t>
      </w:r>
    </w:p>
    <w:p w14:paraId="01F414CE" w14:textId="580BE78A" w:rsidR="00CB7716" w:rsidRDefault="00CB7716" w:rsidP="007C01C0">
      <w:pPr>
        <w:spacing w:after="240"/>
        <w:rPr>
          <w:rFonts w:cs="Arial"/>
        </w:rPr>
      </w:pPr>
      <w:r w:rsidRPr="00107B07">
        <w:rPr>
          <w:rFonts w:cs="Arial"/>
        </w:rPr>
        <w:t xml:space="preserve">Numerous factors enabling bacterial growth were reported to have contributed to the outbreaks. These factors include insufficient cooking, foods left at room or warm temperature, inadequate refrigeration, and delay between </w:t>
      </w:r>
      <w:r>
        <w:rPr>
          <w:rFonts w:cs="Arial"/>
        </w:rPr>
        <w:t xml:space="preserve">food </w:t>
      </w:r>
      <w:r w:rsidRPr="00107B07">
        <w:rPr>
          <w:rFonts w:cs="Arial"/>
        </w:rPr>
        <w:t xml:space="preserve">preparation and consumption. Key </w:t>
      </w:r>
      <w:r>
        <w:rPr>
          <w:rFonts w:cs="Arial"/>
        </w:rPr>
        <w:t xml:space="preserve">reported </w:t>
      </w:r>
      <w:r w:rsidRPr="00107B07">
        <w:rPr>
          <w:rFonts w:cs="Arial"/>
        </w:rPr>
        <w:t xml:space="preserve">factors affecting bacterial survival were insufficient time/temperature during cooking, inadequate acidification of food and inadequate sanitisation. </w:t>
      </w:r>
    </w:p>
    <w:p w14:paraId="0BCEDEA2" w14:textId="611A95DB" w:rsidR="00CB7716" w:rsidRDefault="00CB7716" w:rsidP="007C01C0">
      <w:pPr>
        <w:spacing w:after="240"/>
        <w:rPr>
          <w:rFonts w:cs="Arial"/>
        </w:rPr>
      </w:pPr>
      <w:r w:rsidRPr="00107B07">
        <w:rPr>
          <w:rFonts w:cs="Arial"/>
        </w:rPr>
        <w:t>This analysis</w:t>
      </w:r>
      <w:r w:rsidRPr="00107B07" w:rsidDel="00E57530">
        <w:rPr>
          <w:rFonts w:cs="Arial"/>
        </w:rPr>
        <w:t xml:space="preserve"> </w:t>
      </w:r>
      <w:r w:rsidRPr="00107B07">
        <w:rPr>
          <w:rFonts w:cs="Arial"/>
        </w:rPr>
        <w:t xml:space="preserve">indicates failings in the food service and retail business sectors to effectively mitigate food safety risks, resulting in foodborne illness. </w:t>
      </w:r>
      <w:r>
        <w:rPr>
          <w:rFonts w:cs="Arial"/>
        </w:rPr>
        <w:t xml:space="preserve">This confirms the proposition by ministers and the </w:t>
      </w:r>
      <w:r>
        <w:rPr>
          <w:rFonts w:cs="Arial"/>
          <w:lang w:val="en-AU"/>
        </w:rPr>
        <w:t>Implementation Subcommittee for Food Regulation</w:t>
      </w:r>
      <w:r>
        <w:rPr>
          <w:rFonts w:cs="Arial"/>
        </w:rPr>
        <w:t xml:space="preserve"> (ISFR) that illness would be reduced by</w:t>
      </w:r>
      <w:r w:rsidRPr="00107B07">
        <w:rPr>
          <w:rFonts w:cs="Arial"/>
        </w:rPr>
        <w:t xml:space="preserve"> targeting improvements in food handling skills and </w:t>
      </w:r>
      <w:bookmarkStart w:id="49" w:name="_Int_G3LQyh62"/>
      <w:r w:rsidRPr="00107B07">
        <w:rPr>
          <w:rFonts w:cs="Arial"/>
        </w:rPr>
        <w:t>knowledge, and</w:t>
      </w:r>
      <w:bookmarkEnd w:id="49"/>
      <w:r w:rsidRPr="00107B07">
        <w:rPr>
          <w:rFonts w:cs="Arial"/>
        </w:rPr>
        <w:t xml:space="preserve"> </w:t>
      </w:r>
      <w:r>
        <w:rPr>
          <w:rFonts w:cs="Arial"/>
        </w:rPr>
        <w:t>managing</w:t>
      </w:r>
      <w:r w:rsidRPr="00107B07">
        <w:rPr>
          <w:rFonts w:cs="Arial"/>
        </w:rPr>
        <w:t xml:space="preserve"> </w:t>
      </w:r>
      <w:r>
        <w:rPr>
          <w:rFonts w:cs="Arial"/>
        </w:rPr>
        <w:t>critical</w:t>
      </w:r>
      <w:r w:rsidRPr="00107B07">
        <w:rPr>
          <w:rFonts w:cs="Arial"/>
        </w:rPr>
        <w:t xml:space="preserve"> factors enabling bacterial growth and survival.</w:t>
      </w:r>
    </w:p>
    <w:p w14:paraId="1A3F9E62" w14:textId="77777777" w:rsidR="00CB7716" w:rsidRDefault="00CB7716" w:rsidP="007C01C0">
      <w:pPr>
        <w:spacing w:after="240"/>
        <w:rPr>
          <w:rFonts w:cs="Arial"/>
        </w:rPr>
      </w:pPr>
      <w:r>
        <w:rPr>
          <w:rFonts w:cs="Arial"/>
        </w:rPr>
        <w:t xml:space="preserve">There are several justifications for direct government intervention: </w:t>
      </w:r>
    </w:p>
    <w:p w14:paraId="15ABE28C" w14:textId="77777777" w:rsidR="00CB7716" w:rsidRDefault="00CB7716" w:rsidP="004E6D96">
      <w:pPr>
        <w:pStyle w:val="ListParagraph"/>
        <w:numPr>
          <w:ilvl w:val="0"/>
          <w:numId w:val="20"/>
        </w:numPr>
        <w:spacing w:after="240"/>
      </w:pPr>
      <w:r>
        <w:t xml:space="preserve">There is a market failure, in that, in these settings, consumers are typically unable to assess the safety of a product and/or unlikely to take any control measures (e.g. cooking) before they consume it. This is further compounded by potentially inadequate restorative remedies (such as compensation) for consumers once they become sick. It is unlikely that civil action will be taken in most circumstances, due to evidentiary challenges of establishing causation when food has already been consumed, and the often-small costs borne by an individual. </w:t>
      </w:r>
    </w:p>
    <w:p w14:paraId="7E1ECDFD" w14:textId="77777777" w:rsidR="00CB7716" w:rsidRDefault="00CB7716" w:rsidP="004E6D96">
      <w:pPr>
        <w:pStyle w:val="ListParagraph"/>
        <w:numPr>
          <w:ilvl w:val="0"/>
          <w:numId w:val="20"/>
        </w:numPr>
        <w:spacing w:after="240"/>
      </w:pPr>
      <w:r>
        <w:t>Current regulation does not seem to be adequately managing risk. Businesses may need to take further responsibility for safe food, rather than relying on periodic inspections to reduce their day-to-day risks.</w:t>
      </w:r>
    </w:p>
    <w:p w14:paraId="7ED16325" w14:textId="77777777" w:rsidR="00CB7716" w:rsidRDefault="00CB7716" w:rsidP="004E6D96">
      <w:pPr>
        <w:pStyle w:val="ListParagraph"/>
        <w:numPr>
          <w:ilvl w:val="0"/>
          <w:numId w:val="20"/>
        </w:numPr>
        <w:spacing w:after="240"/>
      </w:pPr>
      <w:r>
        <w:t xml:space="preserve">The current situation represents an unacceptable and possibly growing risk to members of the community. Consumers are unaware and not able to manage this risk, other than by avoiding food prepared by somebody else. </w:t>
      </w:r>
    </w:p>
    <w:p w14:paraId="41D5912E" w14:textId="77777777" w:rsidR="00CB7716" w:rsidRDefault="00CB7716" w:rsidP="004E6D96">
      <w:pPr>
        <w:pStyle w:val="ListParagraph"/>
        <w:numPr>
          <w:ilvl w:val="0"/>
          <w:numId w:val="20"/>
        </w:numPr>
        <w:spacing w:after="240"/>
      </w:pPr>
      <w:r>
        <w:t>Foodborne illness threatens not only individuals’ health but has the potential to do economy-wide damage.</w:t>
      </w:r>
    </w:p>
    <w:p w14:paraId="392F6C9A" w14:textId="77777777" w:rsidR="00CB7716" w:rsidRPr="006D619E" w:rsidRDefault="00CB7716" w:rsidP="006D619E">
      <w:pPr>
        <w:pStyle w:val="Heading2"/>
        <w:numPr>
          <w:ilvl w:val="0"/>
          <w:numId w:val="0"/>
        </w:numPr>
        <w:ind w:left="576" w:hanging="576"/>
      </w:pPr>
      <w:bookmarkStart w:id="50" w:name="_Toc426380825"/>
      <w:bookmarkStart w:id="51" w:name="_Toc426380890"/>
      <w:bookmarkStart w:id="52" w:name="_Toc426380921"/>
      <w:bookmarkStart w:id="53" w:name="_Toc107412681"/>
      <w:bookmarkStart w:id="54" w:name="_Toc109300445"/>
      <w:bookmarkStart w:id="55" w:name="_Toc121311415"/>
      <w:r w:rsidRPr="006D619E">
        <w:t>3</w:t>
      </w:r>
      <w:r w:rsidRPr="006D619E">
        <w:tab/>
      </w:r>
      <w:bookmarkEnd w:id="50"/>
      <w:bookmarkEnd w:id="51"/>
      <w:bookmarkEnd w:id="52"/>
      <w:r w:rsidRPr="006D619E">
        <w:t>What policy options are being considered?</w:t>
      </w:r>
      <w:bookmarkEnd w:id="53"/>
      <w:bookmarkEnd w:id="54"/>
      <w:bookmarkEnd w:id="55"/>
    </w:p>
    <w:p w14:paraId="6B661015" w14:textId="4588BDA1" w:rsidR="00CB7716" w:rsidRDefault="00CB7716" w:rsidP="003B2774">
      <w:pPr>
        <w:spacing w:after="240"/>
      </w:pPr>
      <w:bookmarkStart w:id="56" w:name="_Toc426380826"/>
      <w:bookmarkStart w:id="57" w:name="_Toc426380891"/>
      <w:bookmarkStart w:id="58" w:name="_Toc426380922"/>
      <w:r>
        <w:t xml:space="preserve">In our assessment, FSANZ determined that the community, government, and industry as a whole are likely to benefit, on balance, from a move from the status quo. </w:t>
      </w:r>
    </w:p>
    <w:p w14:paraId="4583E20D" w14:textId="77777777" w:rsidR="00CB7716" w:rsidRDefault="00CB7716" w:rsidP="003B2774">
      <w:pPr>
        <w:spacing w:after="240"/>
      </w:pPr>
      <w:r>
        <w:t xml:space="preserve">As indicated in section 1.3, jurisdictions currently have different approaches to managing food safety. </w:t>
      </w:r>
      <w:r w:rsidRPr="00DF65A6">
        <w:t>The proposed options will have different impacts across jurisdictions</w:t>
      </w:r>
      <w:r>
        <w:t>, reflecting</w:t>
      </w:r>
      <w:r w:rsidRPr="00DF65A6">
        <w:t xml:space="preserve"> the different way businesses are currently regulated across Australia. In some jurisdictions </w:t>
      </w:r>
      <w:r>
        <w:t>the proposed requirements</w:t>
      </w:r>
      <w:r w:rsidRPr="00DF65A6">
        <w:t xml:space="preserve"> will mean </w:t>
      </w:r>
      <w:r>
        <w:t>little</w:t>
      </w:r>
      <w:r w:rsidRPr="00DF65A6">
        <w:t xml:space="preserve"> change</w:t>
      </w:r>
      <w:r>
        <w:t>,</w:t>
      </w:r>
      <w:r w:rsidRPr="00DF65A6">
        <w:t xml:space="preserve"> with low costs and small changes in risks</w:t>
      </w:r>
      <w:r>
        <w:t xml:space="preserve">. </w:t>
      </w:r>
      <w:r w:rsidRPr="00DF65A6">
        <w:t>In other jurisdictions</w:t>
      </w:r>
      <w:r>
        <w:t>,</w:t>
      </w:r>
      <w:r w:rsidRPr="00DF65A6">
        <w:t xml:space="preserve"> </w:t>
      </w:r>
      <w:r>
        <w:t xml:space="preserve">it </w:t>
      </w:r>
      <w:r w:rsidRPr="00DF65A6">
        <w:t xml:space="preserve">will mean larger change, </w:t>
      </w:r>
      <w:r>
        <w:t xml:space="preserve">higher </w:t>
      </w:r>
      <w:r w:rsidRPr="00DF65A6">
        <w:t xml:space="preserve">costs and </w:t>
      </w:r>
      <w:r>
        <w:t xml:space="preserve">bigger </w:t>
      </w:r>
      <w:r w:rsidRPr="00DF65A6">
        <w:t>decreases in risk</w:t>
      </w:r>
      <w:r>
        <w:t xml:space="preserve">. </w:t>
      </w:r>
      <w:r w:rsidRPr="00DF65A6">
        <w:t>Th</w:t>
      </w:r>
      <w:r>
        <w:t>ese differences were</w:t>
      </w:r>
      <w:r w:rsidRPr="00DF65A6">
        <w:t xml:space="preserve"> reflected in </w:t>
      </w:r>
      <w:r>
        <w:t>our</w:t>
      </w:r>
      <w:r w:rsidRPr="00DF65A6">
        <w:t xml:space="preserve"> analysis</w:t>
      </w:r>
      <w:r>
        <w:t xml:space="preserve">. </w:t>
      </w:r>
    </w:p>
    <w:p w14:paraId="6F83E044" w14:textId="788123B0" w:rsidR="00CB7716" w:rsidRDefault="00CB7716" w:rsidP="006D619E">
      <w:pPr>
        <w:pStyle w:val="Heading3"/>
        <w:numPr>
          <w:ilvl w:val="0"/>
          <w:numId w:val="0"/>
        </w:numPr>
        <w:ind w:left="720" w:hanging="720"/>
      </w:pPr>
      <w:bookmarkStart w:id="59" w:name="_Toc107412682"/>
      <w:bookmarkStart w:id="60" w:name="_Toc109300446"/>
      <w:r>
        <w:t>3</w:t>
      </w:r>
      <w:r w:rsidRPr="00D15F61">
        <w:t>.1</w:t>
      </w:r>
      <w:r w:rsidRPr="00D15F61">
        <w:tab/>
        <w:t>Opt</w:t>
      </w:r>
      <w:r>
        <w:t>ion 1 – Maintain the status quo</w:t>
      </w:r>
      <w:bookmarkEnd w:id="56"/>
      <w:bookmarkEnd w:id="57"/>
      <w:bookmarkEnd w:id="58"/>
      <w:bookmarkEnd w:id="59"/>
      <w:bookmarkEnd w:id="60"/>
    </w:p>
    <w:p w14:paraId="313F7ED9" w14:textId="77777777" w:rsidR="00CB7716" w:rsidRDefault="00CB7716" w:rsidP="003B2774">
      <w:pPr>
        <w:spacing w:after="240"/>
      </w:pPr>
      <w:r w:rsidRPr="48861835">
        <w:t xml:space="preserve">This is the benchmark option against which we compared all other options. </w:t>
      </w:r>
    </w:p>
    <w:p w14:paraId="6BF22545" w14:textId="5D9C5C0A" w:rsidR="00CB7716" w:rsidRDefault="00CB7716" w:rsidP="003B2774">
      <w:pPr>
        <w:spacing w:after="240"/>
      </w:pPr>
      <w:r>
        <w:t xml:space="preserve">Under the status quo option, proposal P1053 would be abandoned, </w:t>
      </w:r>
      <w:r w:rsidRPr="004621B4">
        <w:t xml:space="preserve">and the current regulatory </w:t>
      </w:r>
      <w:r>
        <w:t>environment</w:t>
      </w:r>
      <w:r w:rsidRPr="004621B4">
        <w:t xml:space="preserve"> would continue. </w:t>
      </w:r>
      <w:r>
        <w:t xml:space="preserve">The general requirements of </w:t>
      </w:r>
      <w:r w:rsidRPr="00D90680">
        <w:t xml:space="preserve">Chapter 3 of the Code </w:t>
      </w:r>
      <w:r>
        <w:t xml:space="preserve">apply broadly to all food businesses. Given some jurisdictions have implemented additional jurisdiction-specific measures, </w:t>
      </w:r>
      <w:r w:rsidRPr="48861835">
        <w:t>there would be no nationally consistent set of food safety requirements specifically covering food service and related retail. A</w:t>
      </w:r>
      <w:r>
        <w:t>s such, there would be no differentiation of food safety regulatory measures based on</w:t>
      </w:r>
      <w:r w:rsidRPr="00D90680">
        <w:t xml:space="preserve"> risk</w:t>
      </w:r>
      <w:r>
        <w:t xml:space="preserve"> that are applied consistently at a national level</w:t>
      </w:r>
      <w:r w:rsidRPr="00D90680">
        <w:t>.</w:t>
      </w:r>
    </w:p>
    <w:p w14:paraId="438CAB1F" w14:textId="77777777" w:rsidR="00CB7716" w:rsidRDefault="00CB7716" w:rsidP="003B2774">
      <w:pPr>
        <w:spacing w:after="240"/>
      </w:pPr>
      <w:r w:rsidRPr="00986631">
        <w:t xml:space="preserve">Efforts to improve education within the industry and its food safety culture will be implemented regardless of what option is chosen. </w:t>
      </w:r>
      <w:r>
        <w:t>Such</w:t>
      </w:r>
      <w:r w:rsidRPr="00986631">
        <w:t xml:space="preserve"> non-regulatory initiatives </w:t>
      </w:r>
      <w:r>
        <w:t xml:space="preserve">are </w:t>
      </w:r>
      <w:r w:rsidRPr="00986631">
        <w:t>already underway as part of Australia's foodborne illness reduction strategy. This work has strong support from regulators and will both complement and facilitate the implementation of new regulation. These are relatively low</w:t>
      </w:r>
      <w:r>
        <w:t>-</w:t>
      </w:r>
      <w:r w:rsidRPr="00986631">
        <w:t>cost interventions for regulators and industry</w:t>
      </w:r>
      <w:r>
        <w:t xml:space="preserve">. </w:t>
      </w:r>
      <w:r w:rsidRPr="00986631">
        <w:t xml:space="preserve">Therefore, </w:t>
      </w:r>
      <w:r>
        <w:t>they</w:t>
      </w:r>
      <w:r w:rsidRPr="00986631">
        <w:t xml:space="preserve"> have not been considered as a separate option</w:t>
      </w:r>
      <w:r>
        <w:t xml:space="preserve"> here. They </w:t>
      </w:r>
      <w:r w:rsidRPr="00986631">
        <w:t>should be considered as part of the status quo</w:t>
      </w:r>
      <w:r>
        <w:t>,</w:t>
      </w:r>
      <w:r w:rsidRPr="00986631">
        <w:t xml:space="preserve"> even though they will better enable the options considered below</w:t>
      </w:r>
      <w:r>
        <w:t xml:space="preserve">. </w:t>
      </w:r>
    </w:p>
    <w:p w14:paraId="068DA333" w14:textId="77777777" w:rsidR="00CB7716" w:rsidRPr="00986631" w:rsidRDefault="00CB7716" w:rsidP="003B2774">
      <w:pPr>
        <w:spacing w:after="240"/>
      </w:pPr>
      <w:r>
        <w:t>Further discussion on education and food safety culture is</w:t>
      </w:r>
      <w:r w:rsidRPr="00986631">
        <w:t xml:space="preserve"> </w:t>
      </w:r>
      <w:r>
        <w:t>contained</w:t>
      </w:r>
      <w:r w:rsidRPr="00986631">
        <w:t xml:space="preserve"> in Appendix 2.</w:t>
      </w:r>
    </w:p>
    <w:p w14:paraId="02BA9454" w14:textId="0709F08D" w:rsidR="00CB7716" w:rsidRDefault="00CB7716" w:rsidP="006D619E">
      <w:pPr>
        <w:pStyle w:val="Heading3"/>
        <w:numPr>
          <w:ilvl w:val="0"/>
          <w:numId w:val="0"/>
        </w:numPr>
        <w:ind w:left="720" w:hanging="720"/>
      </w:pPr>
      <w:bookmarkStart w:id="61" w:name="_Toc107412683"/>
      <w:bookmarkStart w:id="62" w:name="_Toc109300447"/>
      <w:r>
        <w:t>3.2</w:t>
      </w:r>
      <w:r>
        <w:tab/>
      </w:r>
      <w:r w:rsidRPr="00D15F61">
        <w:t xml:space="preserve">Option </w:t>
      </w:r>
      <w:r>
        <w:t>2</w:t>
      </w:r>
      <w:r w:rsidRPr="00D15F61">
        <w:t xml:space="preserve"> – </w:t>
      </w:r>
      <w:r>
        <w:t>Self-regulation</w:t>
      </w:r>
      <w:bookmarkEnd w:id="61"/>
      <w:bookmarkEnd w:id="62"/>
    </w:p>
    <w:p w14:paraId="4AD901DA" w14:textId="31876C9C" w:rsidR="00CB7716" w:rsidRDefault="00CB7716" w:rsidP="003B2774">
      <w:pPr>
        <w:spacing w:after="240"/>
      </w:pPr>
      <w:r>
        <w:t xml:space="preserve">Self-regulation would involve food businesses putting their own (voluntary) systems in place to improve food safety, such as a record keeping system that documents food handling practices. These systems would be similar to measures under option 3 and involve similar costs, but would not be subject to regulatory oversight. Self-regulation provides an alternative to regulation where businesses are appropriately incentivised or </w:t>
      </w:r>
      <w:proofErr w:type="spellStart"/>
      <w:r>
        <w:t>disincentivised</w:t>
      </w:r>
      <w:proofErr w:type="spellEnd"/>
      <w:r>
        <w:t xml:space="preserve"> to participate and comply. This approach works best where there is significant industry body membership across the sector. </w:t>
      </w:r>
    </w:p>
    <w:p w14:paraId="0228EFE7" w14:textId="3C0A1D12" w:rsidR="00CB7716" w:rsidRPr="00B63E38" w:rsidRDefault="00CB7716" w:rsidP="003B2774">
      <w:pPr>
        <w:spacing w:after="240"/>
      </w:pPr>
      <w:r>
        <w:t>Given the diverse nature of these sectors, there would be no consistency in what each business implemented nor any single/major peak industry body that would drive a particular action or measure</w:t>
      </w:r>
      <w:r w:rsidDel="005D5F6B">
        <w:t>.</w:t>
      </w:r>
      <w:r w:rsidR="0081747A">
        <w:t xml:space="preserve"> </w:t>
      </w:r>
    </w:p>
    <w:p w14:paraId="77882404" w14:textId="466137C0" w:rsidR="00CB7716" w:rsidRDefault="00CB7716" w:rsidP="006D619E">
      <w:pPr>
        <w:pStyle w:val="Heading3"/>
        <w:numPr>
          <w:ilvl w:val="0"/>
          <w:numId w:val="0"/>
        </w:numPr>
        <w:ind w:left="720" w:hanging="720"/>
      </w:pPr>
      <w:bookmarkStart w:id="63" w:name="_Toc426380828"/>
      <w:bookmarkStart w:id="64" w:name="_Toc426380893"/>
      <w:bookmarkStart w:id="65" w:name="_Toc426380924"/>
      <w:bookmarkStart w:id="66" w:name="_Toc107412684"/>
      <w:bookmarkStart w:id="67" w:name="_Toc109300448"/>
      <w:r>
        <w:t>3</w:t>
      </w:r>
      <w:r w:rsidRPr="00D15F61">
        <w:t>.</w:t>
      </w:r>
      <w:r>
        <w:t>3</w:t>
      </w:r>
      <w:r w:rsidRPr="00D15F61">
        <w:tab/>
        <w:t xml:space="preserve">Option </w:t>
      </w:r>
      <w:r>
        <w:t>3</w:t>
      </w:r>
      <w:r w:rsidRPr="00D15F61">
        <w:t xml:space="preserve"> – </w:t>
      </w:r>
      <w:bookmarkEnd w:id="63"/>
      <w:bookmarkEnd w:id="64"/>
      <w:bookmarkEnd w:id="65"/>
      <w:r>
        <w:t>Regulated food safety management tools</w:t>
      </w:r>
      <w:bookmarkEnd w:id="66"/>
      <w:bookmarkEnd w:id="67"/>
    </w:p>
    <w:p w14:paraId="3CDAA903" w14:textId="77777777" w:rsidR="00CB7716" w:rsidRDefault="00CB7716" w:rsidP="003B2774">
      <w:pPr>
        <w:spacing w:after="240"/>
      </w:pPr>
      <w:r>
        <w:t>This option involves amending the Code to mandate one or more of the three tools endorsed by ministers. The tools are referred to as:</w:t>
      </w:r>
    </w:p>
    <w:p w14:paraId="2B92B6BA" w14:textId="77777777" w:rsidR="00CB7716" w:rsidRDefault="00CB7716" w:rsidP="004E6D96">
      <w:pPr>
        <w:pStyle w:val="ListParagraph"/>
        <w:numPr>
          <w:ilvl w:val="0"/>
          <w:numId w:val="21"/>
        </w:numPr>
        <w:spacing w:after="240"/>
      </w:pPr>
      <w:r>
        <w:t>food safety supervisor (FSS)</w:t>
      </w:r>
    </w:p>
    <w:p w14:paraId="3678C0DB" w14:textId="77777777" w:rsidR="00CB7716" w:rsidRDefault="00CB7716" w:rsidP="004E6D96">
      <w:pPr>
        <w:pStyle w:val="ListParagraph"/>
        <w:numPr>
          <w:ilvl w:val="0"/>
          <w:numId w:val="21"/>
        </w:numPr>
        <w:spacing w:after="240"/>
      </w:pPr>
      <w:r>
        <w:t>food handler training (FHT)</w:t>
      </w:r>
    </w:p>
    <w:p w14:paraId="518B6FBE" w14:textId="77777777" w:rsidR="00CB7716" w:rsidRDefault="00CB7716" w:rsidP="004E6D96">
      <w:pPr>
        <w:pStyle w:val="ListParagraph"/>
        <w:numPr>
          <w:ilvl w:val="0"/>
          <w:numId w:val="21"/>
        </w:numPr>
        <w:spacing w:after="240"/>
      </w:pPr>
      <w:proofErr w:type="gramStart"/>
      <w:r w:rsidRPr="002F2193">
        <w:t>evidence</w:t>
      </w:r>
      <w:proofErr w:type="gramEnd"/>
      <w:r w:rsidRPr="002F2193">
        <w:t xml:space="preserve"> to substantiate food safety management</w:t>
      </w:r>
      <w:r>
        <w:t xml:space="preserve"> (E).</w:t>
      </w:r>
    </w:p>
    <w:p w14:paraId="6D4AB239" w14:textId="77777777" w:rsidR="00CB7716" w:rsidRDefault="00CB7716" w:rsidP="003B2774">
      <w:pPr>
        <w:spacing w:after="240"/>
      </w:pPr>
      <w:r>
        <w:t>FSANZ considered different combinations of these tools. In our cost–benefit analysis, we condensed these down to two options:</w:t>
      </w:r>
    </w:p>
    <w:p w14:paraId="65A42B9E" w14:textId="77777777" w:rsidR="00CB7716" w:rsidRDefault="00CB7716" w:rsidP="003B2774">
      <w:pPr>
        <w:spacing w:after="240"/>
      </w:pPr>
      <w:r>
        <w:rPr>
          <w:b/>
        </w:rPr>
        <w:t>Option 3.1</w:t>
      </w:r>
      <w:r w:rsidRPr="00354C94">
        <w:rPr>
          <w:b/>
        </w:rPr>
        <w:t>:</w:t>
      </w:r>
      <w:r>
        <w:t xml:space="preserve"> Requiring a certified </w:t>
      </w:r>
      <w:r w:rsidDel="0076382D">
        <w:t>food safety supervisor (</w:t>
      </w:r>
      <w:r>
        <w:t>FSS</w:t>
      </w:r>
      <w:r w:rsidDel="0076382D">
        <w:t>)</w:t>
      </w:r>
      <w:r>
        <w:t>, and food handler staff to complete food handler training (FHT)</w:t>
      </w:r>
    </w:p>
    <w:p w14:paraId="662A306D" w14:textId="77777777" w:rsidR="00CB7716" w:rsidRDefault="00CB7716" w:rsidP="003B2774">
      <w:pPr>
        <w:spacing w:after="240"/>
      </w:pPr>
      <w:r w:rsidRPr="00935345">
        <w:rPr>
          <w:b/>
        </w:rPr>
        <w:t>Option 3.2:</w:t>
      </w:r>
      <w:r>
        <w:rPr>
          <w:b/>
        </w:rPr>
        <w:t xml:space="preserve"> </w:t>
      </w:r>
      <w:r>
        <w:t xml:space="preserve">Requiring all three tools (FSS, FHT, </w:t>
      </w:r>
      <w:proofErr w:type="gramStart"/>
      <w:r>
        <w:t>E</w:t>
      </w:r>
      <w:proofErr w:type="gramEnd"/>
      <w:r>
        <w:t>).</w:t>
      </w:r>
    </w:p>
    <w:p w14:paraId="7B90B23E" w14:textId="22FBF184" w:rsidR="00CB7716" w:rsidRDefault="00CB7716" w:rsidP="0025246D">
      <w:pPr>
        <w:rPr>
          <w:rStyle w:val="Heading1Char"/>
          <w:b w:val="0"/>
        </w:rPr>
      </w:pPr>
      <w:r>
        <w:t xml:space="preserve">In addition to looking at the cost–benefit analysis outcomes of options 3.1 and 3.2, our assessment also considered whether these options were practical and implementable, in the context of our risk profiling of food handling activities in each of our business categories. </w:t>
      </w:r>
      <w:bookmarkStart w:id="68" w:name="_Toc426380830"/>
      <w:bookmarkStart w:id="69" w:name="_Toc426380895"/>
      <w:bookmarkStart w:id="70" w:name="_Toc426380926"/>
    </w:p>
    <w:p w14:paraId="7912DCE5" w14:textId="6D063089" w:rsidR="00CB7716" w:rsidRPr="0025246D" w:rsidRDefault="00CB7716" w:rsidP="0025246D">
      <w:pPr>
        <w:pStyle w:val="Heading2"/>
        <w:numPr>
          <w:ilvl w:val="0"/>
          <w:numId w:val="0"/>
        </w:numPr>
        <w:ind w:left="576" w:hanging="576"/>
      </w:pPr>
      <w:bookmarkStart w:id="71" w:name="_Toc107412685"/>
      <w:bookmarkStart w:id="72" w:name="_Toc109300449"/>
      <w:bookmarkStart w:id="73" w:name="_Toc121311416"/>
      <w:r w:rsidRPr="0025246D">
        <w:rPr>
          <w:rStyle w:val="Heading1Char"/>
          <w:b/>
          <w:bCs/>
          <w:sz w:val="28"/>
          <w:szCs w:val="22"/>
        </w:rPr>
        <w:t>4</w:t>
      </w:r>
      <w:r w:rsidRPr="0025246D">
        <w:rPr>
          <w:rStyle w:val="Heading1Char"/>
          <w:b/>
          <w:bCs/>
          <w:sz w:val="28"/>
          <w:szCs w:val="22"/>
        </w:rPr>
        <w:tab/>
      </w:r>
      <w:bookmarkEnd w:id="68"/>
      <w:bookmarkEnd w:id="69"/>
      <w:bookmarkEnd w:id="70"/>
      <w:r w:rsidRPr="0025246D">
        <w:rPr>
          <w:rStyle w:val="Heading1Char"/>
          <w:b/>
          <w:bCs/>
          <w:sz w:val="28"/>
          <w:szCs w:val="22"/>
        </w:rPr>
        <w:t>What are the likely net benefits of each option?</w:t>
      </w:r>
      <w:bookmarkEnd w:id="71"/>
      <w:bookmarkEnd w:id="72"/>
      <w:bookmarkEnd w:id="73"/>
    </w:p>
    <w:p w14:paraId="63B13E71" w14:textId="20AE8575" w:rsidR="00CB7716" w:rsidRPr="00720A23" w:rsidRDefault="00CB7716" w:rsidP="006D619E">
      <w:pPr>
        <w:pStyle w:val="Heading3"/>
        <w:numPr>
          <w:ilvl w:val="0"/>
          <w:numId w:val="0"/>
        </w:numPr>
        <w:ind w:left="720" w:hanging="720"/>
      </w:pPr>
      <w:bookmarkStart w:id="74" w:name="_Toc107412686"/>
      <w:bookmarkStart w:id="75" w:name="_Toc109300450"/>
      <w:bookmarkStart w:id="76" w:name="_Toc426380832"/>
      <w:bookmarkStart w:id="77" w:name="_Toc426380897"/>
      <w:bookmarkStart w:id="78" w:name="_Toc426380928"/>
      <w:r>
        <w:t>4.1</w:t>
      </w:r>
      <w:r>
        <w:tab/>
      </w:r>
      <w:r w:rsidRPr="00720A23">
        <w:t>Introduction</w:t>
      </w:r>
      <w:bookmarkEnd w:id="74"/>
      <w:bookmarkEnd w:id="75"/>
    </w:p>
    <w:p w14:paraId="21B55BA1" w14:textId="31ABEC7C" w:rsidR="00CB7716" w:rsidRDefault="00CB7716" w:rsidP="003B2774">
      <w:pPr>
        <w:spacing w:after="240"/>
      </w:pPr>
      <w:r>
        <w:t>FSANZ considers</w:t>
      </w:r>
      <w:r w:rsidRPr="00720A23">
        <w:t xml:space="preserve"> </w:t>
      </w:r>
      <w:r>
        <w:t xml:space="preserve">that small </w:t>
      </w:r>
      <w:r w:rsidRPr="00720A23">
        <w:t xml:space="preserve">businesses </w:t>
      </w:r>
      <w:r>
        <w:t xml:space="preserve">would be the ones most affected by new </w:t>
      </w:r>
      <w:r w:rsidRPr="00720A23">
        <w:t>regulat</w:t>
      </w:r>
      <w:r>
        <w:t xml:space="preserve">ion. </w:t>
      </w:r>
      <w:r w:rsidRPr="00720A23">
        <w:t>Larger</w:t>
      </w:r>
      <w:r>
        <w:t>,</w:t>
      </w:r>
      <w:r w:rsidRPr="00720A23">
        <w:t xml:space="preserve"> more complex businesses </w:t>
      </w:r>
      <w:r>
        <w:t>are</w:t>
      </w:r>
      <w:r w:rsidRPr="00720A23">
        <w:t xml:space="preserve"> likely </w:t>
      </w:r>
      <w:r>
        <w:t xml:space="preserve">to </w:t>
      </w:r>
      <w:r w:rsidRPr="00720A23">
        <w:t xml:space="preserve">already have systems and processes in place that meet or exceed the </w:t>
      </w:r>
      <w:r>
        <w:t>proposed</w:t>
      </w:r>
      <w:r w:rsidRPr="00720A23">
        <w:t xml:space="preserve"> requirements</w:t>
      </w:r>
      <w:r>
        <w:t>.</w:t>
      </w:r>
    </w:p>
    <w:p w14:paraId="4588FC84" w14:textId="77777777" w:rsidR="00CB7716" w:rsidRDefault="00CB7716" w:rsidP="003B2774">
      <w:pPr>
        <w:spacing w:after="240"/>
      </w:pPr>
      <w:r>
        <w:t xml:space="preserve">The details underpinning the cost–benefit analysis are set out in </w:t>
      </w:r>
      <w:r w:rsidRPr="002B0592">
        <w:t>Appendix 1</w:t>
      </w:r>
      <w:r>
        <w:t>. We</w:t>
      </w:r>
      <w:r w:rsidDel="002054D5">
        <w:t xml:space="preserve"> </w:t>
      </w:r>
      <w:r>
        <w:t xml:space="preserve">drew heavily on previous work </w:t>
      </w:r>
      <w:r w:rsidDel="0007784D">
        <w:t>in this area</w:t>
      </w:r>
      <w:r>
        <w:t xml:space="preserve"> to develop key assumptions. The analysis is sensitive to a number of these assumptions; however, no additional evidence was provided by stakeholders to change the conclusion reached in the analysis presented in our</w:t>
      </w:r>
      <w:r w:rsidDel="002054D5">
        <w:t xml:space="preserve"> </w:t>
      </w:r>
      <w:r>
        <w:t xml:space="preserve">CRIS. </w:t>
      </w:r>
    </w:p>
    <w:p w14:paraId="334C234E" w14:textId="62D10F27" w:rsidR="00CB7716" w:rsidRDefault="00CB7716" w:rsidP="006D619E">
      <w:pPr>
        <w:pStyle w:val="Heading3"/>
        <w:numPr>
          <w:ilvl w:val="0"/>
          <w:numId w:val="0"/>
        </w:numPr>
        <w:ind w:left="720" w:hanging="720"/>
      </w:pPr>
      <w:bookmarkStart w:id="79" w:name="_Toc107412687"/>
      <w:bookmarkStart w:id="80" w:name="_Toc109300451"/>
      <w:r>
        <w:t>4.2</w:t>
      </w:r>
      <w:r>
        <w:tab/>
        <w:t>Option 1 – Maintain the status quo</w:t>
      </w:r>
      <w:bookmarkEnd w:id="76"/>
      <w:bookmarkEnd w:id="77"/>
      <w:bookmarkEnd w:id="78"/>
      <w:r>
        <w:t xml:space="preserve"> (abandon the proposal)</w:t>
      </w:r>
      <w:bookmarkEnd w:id="79"/>
      <w:bookmarkEnd w:id="80"/>
    </w:p>
    <w:p w14:paraId="0AF32887" w14:textId="2A745B67" w:rsidR="00CB7716" w:rsidRDefault="00CB7716" w:rsidP="003B2774">
      <w:pPr>
        <w:spacing w:after="240"/>
      </w:pPr>
      <w:bookmarkStart w:id="81" w:name="_Toc426380833"/>
      <w:bookmarkStart w:id="82" w:name="_Toc426380898"/>
      <w:bookmarkStart w:id="83" w:name="_Toc426380929"/>
      <w:r>
        <w:t>Under the status quo option, proposal P1053 would be abandoned, and the current regulatory settings would continue. As noted above, food safety culture and educational initiatives would still continue under this option. While culture and education initiatives are important in increasing awareness and uptake of food safety practices, these measures alone are unlikely to reduce foodborne illness significantly.</w:t>
      </w:r>
    </w:p>
    <w:p w14:paraId="2D667792" w14:textId="289A957F" w:rsidR="00CB7716" w:rsidRDefault="00CB7716" w:rsidP="003B2774">
      <w:pPr>
        <w:spacing w:after="240"/>
      </w:pPr>
      <w:r w:rsidRPr="00AF5189">
        <w:t xml:space="preserve">Foodborne illness management occurs at an individual jurisdictional and business level. Food safety is managed by </w:t>
      </w:r>
      <w:r>
        <w:t>several</w:t>
      </w:r>
      <w:r w:rsidRPr="00AF5189">
        <w:t xml:space="preserve"> standards in the Code</w:t>
      </w:r>
      <w:r>
        <w:rPr>
          <w:lang w:eastAsia="en-AU"/>
        </w:rPr>
        <w:t xml:space="preserve">, which are </w:t>
      </w:r>
      <w:r>
        <w:t xml:space="preserve">largely outcomes-based rather than prescriptive. These standards are generally enforced by local governments. </w:t>
      </w:r>
    </w:p>
    <w:p w14:paraId="4F05DC2D" w14:textId="152EC251" w:rsidR="00CB7716" w:rsidRDefault="00CB7716" w:rsidP="003B2774">
      <w:pPr>
        <w:spacing w:after="240"/>
      </w:pPr>
      <w:r>
        <w:t>The food safety standards in Chapter 3 contain minimum food safety requirements designed to ensure a food business only sells food that is safe and suitable. Standard 3.2.2 outlines base requirements for good hygienic practices. It</w:t>
      </w:r>
      <w:r w:rsidRPr="00D72C86">
        <w:t xml:space="preserve"> specifies process control at each step of the food handling process</w:t>
      </w:r>
      <w:r>
        <w:t>, including</w:t>
      </w:r>
      <w:r w:rsidRPr="00D72C86">
        <w:t xml:space="preserve"> receipt, storage, processing, display, packaging, distribution</w:t>
      </w:r>
      <w:r>
        <w:t>,</w:t>
      </w:r>
      <w:r w:rsidRPr="00D72C86">
        <w:t xml:space="preserve"> disposal, and recall of food. Other requirements relate to skills and knowledge of food handlers and their supervisors, health and hygiene of food handlers, and the cleaning, sanitising, and maintenance of premises and equipment. </w:t>
      </w:r>
    </w:p>
    <w:p w14:paraId="2EDC96C5" w14:textId="722CD7CD" w:rsidR="00CB7716" w:rsidRDefault="00CB7716" w:rsidP="003B2774">
      <w:pPr>
        <w:spacing w:after="240"/>
      </w:pPr>
      <w:r>
        <w:t xml:space="preserve">The food safety standards are supported by the </w:t>
      </w:r>
      <w:r w:rsidRPr="68C0CA2D">
        <w:rPr>
          <w:i/>
          <w:iCs/>
        </w:rPr>
        <w:t>Safe Food Australia</w:t>
      </w:r>
      <w:r>
        <w:t xml:space="preserve"> guide</w:t>
      </w:r>
      <w:r w:rsidRPr="68C0CA2D">
        <w:rPr>
          <w:i/>
          <w:iCs/>
        </w:rPr>
        <w:t>,</w:t>
      </w:r>
      <w:r>
        <w:t xml:space="preserve"> which provides examples of how businesses could meet requirements. However, this guide and the best practice examples are not mandatory.</w:t>
      </w:r>
    </w:p>
    <w:p w14:paraId="5F90D709" w14:textId="77777777" w:rsidR="00CB7716" w:rsidRDefault="00CB7716" w:rsidP="003B2774">
      <w:pPr>
        <w:spacing w:after="240"/>
      </w:pPr>
      <w:r w:rsidRPr="000B073D">
        <w:rPr>
          <w:i/>
        </w:rPr>
        <w:t xml:space="preserve">Safe Food Australia </w:t>
      </w:r>
      <w:r w:rsidRPr="00BA1B61">
        <w:t>(FSANZ, 2016)</w:t>
      </w:r>
      <w:r>
        <w:rPr>
          <w:i/>
        </w:rPr>
        <w:t xml:space="preserve"> </w:t>
      </w:r>
      <w:r>
        <w:t>does not suggest businesses have FSS where they are not currently mandated by the Code. It</w:t>
      </w:r>
      <w:r w:rsidDel="009508FB">
        <w:t xml:space="preserve"> </w:t>
      </w:r>
      <w:r>
        <w:t>notes that all food handlers (including any FSS) must have the skills and knowledge in food safety and hygiene commensurate with their responsibilities. It also outlines examples of how staff could gain the required skills and knowledge, listed below:</w:t>
      </w:r>
    </w:p>
    <w:p w14:paraId="52965B72" w14:textId="77777777" w:rsidR="00CB7716" w:rsidRPr="00653065" w:rsidRDefault="00CB7716" w:rsidP="004E6D96">
      <w:pPr>
        <w:pStyle w:val="ListParagraph"/>
        <w:numPr>
          <w:ilvl w:val="0"/>
          <w:numId w:val="22"/>
        </w:numPr>
        <w:spacing w:after="240"/>
      </w:pPr>
      <w:r w:rsidRPr="00653065">
        <w:t xml:space="preserve">in-house training </w:t>
      </w:r>
    </w:p>
    <w:p w14:paraId="6D3F02D2" w14:textId="77777777" w:rsidR="00CB7716" w:rsidRPr="00653065" w:rsidRDefault="00CB7716" w:rsidP="004E6D96">
      <w:pPr>
        <w:pStyle w:val="ListParagraph"/>
        <w:numPr>
          <w:ilvl w:val="0"/>
          <w:numId w:val="22"/>
        </w:numPr>
        <w:spacing w:after="240"/>
      </w:pPr>
      <w:r w:rsidRPr="00653065">
        <w:t xml:space="preserve">distribution of relevant documentation to employees </w:t>
      </w:r>
    </w:p>
    <w:p w14:paraId="255C2D66" w14:textId="77777777" w:rsidR="00CB7716" w:rsidRPr="00653065" w:rsidRDefault="00CB7716" w:rsidP="004E6D96">
      <w:pPr>
        <w:pStyle w:val="ListParagraph"/>
        <w:numPr>
          <w:ilvl w:val="0"/>
          <w:numId w:val="22"/>
        </w:numPr>
        <w:spacing w:after="240"/>
      </w:pPr>
      <w:r w:rsidRPr="00653065">
        <w:t xml:space="preserve">having operating procedures in place that clarify the responsibilities of food handlers and supervisors </w:t>
      </w:r>
    </w:p>
    <w:p w14:paraId="5C466650" w14:textId="77777777" w:rsidR="00CB7716" w:rsidRPr="00653065" w:rsidRDefault="00CB7716" w:rsidP="004E6D96">
      <w:pPr>
        <w:pStyle w:val="ListParagraph"/>
        <w:numPr>
          <w:ilvl w:val="0"/>
          <w:numId w:val="22"/>
        </w:numPr>
        <w:spacing w:after="240"/>
      </w:pPr>
      <w:r w:rsidRPr="00653065">
        <w:t xml:space="preserve">attendance at food safety courses run by local councils or other bodies </w:t>
      </w:r>
    </w:p>
    <w:p w14:paraId="13CFF71D" w14:textId="77777777" w:rsidR="00CB7716" w:rsidRPr="00653065" w:rsidRDefault="00CB7716" w:rsidP="004E6D96">
      <w:pPr>
        <w:pStyle w:val="ListParagraph"/>
        <w:numPr>
          <w:ilvl w:val="0"/>
          <w:numId w:val="22"/>
        </w:numPr>
        <w:spacing w:after="240"/>
      </w:pPr>
      <w:r w:rsidRPr="00653065">
        <w:t xml:space="preserve">completion of online food safety training courses </w:t>
      </w:r>
    </w:p>
    <w:p w14:paraId="2C47C42A" w14:textId="77777777" w:rsidR="00CB7716" w:rsidRPr="00653065" w:rsidRDefault="00CB7716" w:rsidP="004E6D96">
      <w:pPr>
        <w:pStyle w:val="ListParagraph"/>
        <w:numPr>
          <w:ilvl w:val="0"/>
          <w:numId w:val="22"/>
        </w:numPr>
        <w:spacing w:after="240"/>
      </w:pPr>
      <w:r w:rsidRPr="00653065">
        <w:t xml:space="preserve">hiring a consultant to present a course </w:t>
      </w:r>
    </w:p>
    <w:p w14:paraId="583D54AD" w14:textId="77777777" w:rsidR="00CB7716" w:rsidRPr="00653065" w:rsidRDefault="00CB7716" w:rsidP="004E6D96">
      <w:pPr>
        <w:pStyle w:val="ListParagraph"/>
        <w:numPr>
          <w:ilvl w:val="0"/>
          <w:numId w:val="22"/>
        </w:numPr>
        <w:spacing w:after="240"/>
      </w:pPr>
      <w:proofErr w:type="gramStart"/>
      <w:r w:rsidRPr="00653065">
        <w:t>formal</w:t>
      </w:r>
      <w:proofErr w:type="gramEnd"/>
      <w:r w:rsidRPr="00653065">
        <w:t xml:space="preserve"> training courses. </w:t>
      </w:r>
    </w:p>
    <w:p w14:paraId="43E64D62" w14:textId="3CA6FB30" w:rsidR="00CB7716" w:rsidRDefault="00CB7716" w:rsidP="003B2774">
      <w:pPr>
        <w:spacing w:after="240"/>
      </w:pPr>
      <w:r>
        <w:t xml:space="preserve">The guide recommends best practice is to monitor and record the outcome of processes important for food safety, such as time and temperature controls. This is recommended to help businesses in managing their high-risk activities, and in demonstrating compliance to food regulators. </w:t>
      </w:r>
    </w:p>
    <w:p w14:paraId="0E64BD72" w14:textId="6D3814C4" w:rsidR="00643567" w:rsidRDefault="00CB7716" w:rsidP="003B2774">
      <w:pPr>
        <w:spacing w:after="240"/>
      </w:pPr>
      <w:r w:rsidRPr="00AF5189">
        <w:t xml:space="preserve">In the absence of an agreed national approach, several jurisdictions </w:t>
      </w:r>
      <w:r>
        <w:t xml:space="preserve">have </w:t>
      </w:r>
      <w:r w:rsidRPr="00AF5189">
        <w:t xml:space="preserve">moved unilaterally to manage risks associated with the </w:t>
      </w:r>
      <w:r>
        <w:t>food service</w:t>
      </w:r>
      <w:r w:rsidRPr="00AF5189">
        <w:t xml:space="preserve"> </w:t>
      </w:r>
      <w:r>
        <w:t>and retail sectors,</w:t>
      </w:r>
      <w:r w:rsidRPr="00AF5189">
        <w:t xml:space="preserve"> </w:t>
      </w:r>
      <w:r>
        <w:t>through additional</w:t>
      </w:r>
      <w:r w:rsidRPr="00AF5189">
        <w:t xml:space="preserve"> requirements in their respective </w:t>
      </w:r>
      <w:r>
        <w:t>f</w:t>
      </w:r>
      <w:r w:rsidRPr="00AF5189">
        <w:t xml:space="preserve">ood </w:t>
      </w:r>
      <w:r>
        <w:t>a</w:t>
      </w:r>
      <w:r w:rsidRPr="00AF5189">
        <w:t>cts</w:t>
      </w:r>
      <w:r>
        <w:t xml:space="preserve"> (Table 2).</w:t>
      </w:r>
    </w:p>
    <w:p w14:paraId="56000520" w14:textId="77777777" w:rsidR="00CB7716" w:rsidRPr="00D919F1" w:rsidRDefault="00CB7716" w:rsidP="00CB7716">
      <w:pPr>
        <w:pStyle w:val="Caption"/>
        <w:keepNext/>
        <w:rPr>
          <w:b/>
          <w:color w:val="auto"/>
          <w:sz w:val="20"/>
          <w:szCs w:val="20"/>
        </w:rPr>
      </w:pPr>
      <w:r w:rsidRPr="00D919F1">
        <w:rPr>
          <w:b/>
          <w:color w:val="auto"/>
          <w:sz w:val="20"/>
          <w:szCs w:val="20"/>
        </w:rPr>
        <w:t>Table 2: Additional* food safety management measures regulated by some jurisdictions</w:t>
      </w:r>
    </w:p>
    <w:tbl>
      <w:tblPr>
        <w:tblStyle w:val="TableClassic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7"/>
        <w:gridCol w:w="1703"/>
        <w:gridCol w:w="1700"/>
        <w:gridCol w:w="1703"/>
        <w:gridCol w:w="1703"/>
      </w:tblGrid>
      <w:tr w:rsidR="00CB7716" w14:paraId="6D8AD0BD" w14:textId="77777777" w:rsidTr="006E77E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7" w:type="dxa"/>
          </w:tcPr>
          <w:p w14:paraId="59D17869" w14:textId="77777777" w:rsidR="00CB7716" w:rsidRDefault="00CB7716" w:rsidP="00CB7716">
            <w:pPr>
              <w:pStyle w:val="FSTableColumnRowheading"/>
              <w:spacing w:before="85" w:after="85"/>
            </w:pPr>
            <w:r>
              <w:t>Tool / Jurisdiction</w:t>
            </w:r>
          </w:p>
        </w:tc>
        <w:tc>
          <w:tcPr>
            <w:tcW w:w="1703" w:type="dxa"/>
          </w:tcPr>
          <w:p w14:paraId="5405418A" w14:textId="77777777" w:rsidR="00CB7716" w:rsidRDefault="00CB7716" w:rsidP="00CB7716">
            <w:pPr>
              <w:pStyle w:val="FSTableColumnRowheading"/>
              <w:spacing w:before="85" w:after="85"/>
              <w:cnfStyle w:val="100000000000" w:firstRow="1" w:lastRow="0" w:firstColumn="0" w:lastColumn="0" w:oddVBand="0" w:evenVBand="0" w:oddHBand="0" w:evenHBand="0" w:firstRowFirstColumn="0" w:firstRowLastColumn="0" w:lastRowFirstColumn="0" w:lastRowLastColumn="0"/>
            </w:pPr>
            <w:r>
              <w:t>Victoria</w:t>
            </w:r>
          </w:p>
        </w:tc>
        <w:tc>
          <w:tcPr>
            <w:tcW w:w="1700" w:type="dxa"/>
          </w:tcPr>
          <w:p w14:paraId="68B02C76" w14:textId="77777777" w:rsidR="00CB7716" w:rsidRDefault="00CB7716" w:rsidP="00CB7716">
            <w:pPr>
              <w:pStyle w:val="FSTableColumnRowheading"/>
              <w:spacing w:before="85" w:after="85"/>
              <w:cnfStyle w:val="100000000000" w:firstRow="1" w:lastRow="0" w:firstColumn="0" w:lastColumn="0" w:oddVBand="0" w:evenVBand="0" w:oddHBand="0" w:evenHBand="0" w:firstRowFirstColumn="0" w:firstRowLastColumn="0" w:lastRowFirstColumn="0" w:lastRowLastColumn="0"/>
            </w:pPr>
            <w:r>
              <w:t>NSW</w:t>
            </w:r>
          </w:p>
        </w:tc>
        <w:tc>
          <w:tcPr>
            <w:tcW w:w="1703" w:type="dxa"/>
          </w:tcPr>
          <w:p w14:paraId="49A6A932" w14:textId="77777777" w:rsidR="00CB7716" w:rsidRDefault="00CB7716" w:rsidP="00CB7716">
            <w:pPr>
              <w:pStyle w:val="FSTableColumnRowheading"/>
              <w:spacing w:before="85" w:after="85"/>
              <w:cnfStyle w:val="100000000000" w:firstRow="1" w:lastRow="0" w:firstColumn="0" w:lastColumn="0" w:oddVBand="0" w:evenVBand="0" w:oddHBand="0" w:evenHBand="0" w:firstRowFirstColumn="0" w:firstRowLastColumn="0" w:lastRowFirstColumn="0" w:lastRowLastColumn="0"/>
            </w:pPr>
            <w:r>
              <w:t>Queensland</w:t>
            </w:r>
          </w:p>
        </w:tc>
        <w:tc>
          <w:tcPr>
            <w:tcW w:w="1703" w:type="dxa"/>
          </w:tcPr>
          <w:p w14:paraId="19B5C672" w14:textId="77777777" w:rsidR="00CB7716" w:rsidRDefault="00CB7716" w:rsidP="00CB7716">
            <w:pPr>
              <w:pStyle w:val="FSTableColumnRowheading"/>
              <w:spacing w:before="85" w:after="85"/>
              <w:cnfStyle w:val="100000000000" w:firstRow="1" w:lastRow="0" w:firstColumn="0" w:lastColumn="0" w:oddVBand="0" w:evenVBand="0" w:oddHBand="0" w:evenHBand="0" w:firstRowFirstColumn="0" w:firstRowLastColumn="0" w:lastRowFirstColumn="0" w:lastRowLastColumn="0"/>
            </w:pPr>
            <w:r>
              <w:t>ACT</w:t>
            </w:r>
          </w:p>
        </w:tc>
      </w:tr>
      <w:tr w:rsidR="00CB7716" w14:paraId="15193A71" w14:textId="77777777" w:rsidTr="006E77ED">
        <w:tc>
          <w:tcPr>
            <w:cnfStyle w:val="001000000000" w:firstRow="0" w:lastRow="0" w:firstColumn="1" w:lastColumn="0" w:oddVBand="0" w:evenVBand="0" w:oddHBand="0" w:evenHBand="0" w:firstRowFirstColumn="0" w:firstRowLastColumn="0" w:lastRowFirstColumn="0" w:lastRowLastColumn="0"/>
            <w:tcW w:w="2207" w:type="dxa"/>
          </w:tcPr>
          <w:p w14:paraId="0176CDE3" w14:textId="77777777" w:rsidR="00CB7716" w:rsidRPr="006E77ED" w:rsidRDefault="00CB7716" w:rsidP="00CB7716">
            <w:pPr>
              <w:pStyle w:val="TableText"/>
              <w:spacing w:before="85" w:after="85"/>
              <w:rPr>
                <w:b/>
              </w:rPr>
            </w:pPr>
            <w:r w:rsidRPr="006E77ED">
              <w:rPr>
                <w:b/>
              </w:rPr>
              <w:t>Food safety supervisor</w:t>
            </w:r>
          </w:p>
        </w:tc>
        <w:tc>
          <w:tcPr>
            <w:tcW w:w="1703" w:type="dxa"/>
          </w:tcPr>
          <w:p w14:paraId="45C52E3E" w14:textId="77777777" w:rsidR="00CB7716" w:rsidRDefault="00CB7716" w:rsidP="00CB7716">
            <w:pPr>
              <w:pStyle w:val="TableText"/>
              <w:spacing w:before="85" w:after="85"/>
              <w:cnfStyle w:val="000000000000" w:firstRow="0" w:lastRow="0" w:firstColumn="0" w:lastColumn="0" w:oddVBand="0" w:evenVBand="0" w:oddHBand="0" w:evenHBand="0" w:firstRowFirstColumn="0" w:firstRowLastColumn="0" w:lastRowFirstColumn="0" w:lastRowLastColumn="0"/>
            </w:pPr>
            <w:r>
              <w:t>yes</w:t>
            </w:r>
          </w:p>
        </w:tc>
        <w:tc>
          <w:tcPr>
            <w:tcW w:w="1700" w:type="dxa"/>
          </w:tcPr>
          <w:p w14:paraId="388BE3E1" w14:textId="77777777" w:rsidR="00CB7716" w:rsidRDefault="00CB7716" w:rsidP="00CB7716">
            <w:pPr>
              <w:pStyle w:val="TableText"/>
              <w:spacing w:before="85" w:after="85"/>
              <w:cnfStyle w:val="000000000000" w:firstRow="0" w:lastRow="0" w:firstColumn="0" w:lastColumn="0" w:oddVBand="0" w:evenVBand="0" w:oddHBand="0" w:evenHBand="0" w:firstRowFirstColumn="0" w:firstRowLastColumn="0" w:lastRowFirstColumn="0" w:lastRowLastColumn="0"/>
            </w:pPr>
            <w:r>
              <w:t>yes</w:t>
            </w:r>
          </w:p>
        </w:tc>
        <w:tc>
          <w:tcPr>
            <w:tcW w:w="1703" w:type="dxa"/>
          </w:tcPr>
          <w:p w14:paraId="69B20E7F" w14:textId="77777777" w:rsidR="00CB7716" w:rsidRDefault="00CB7716" w:rsidP="00CB7716">
            <w:pPr>
              <w:pStyle w:val="TableText"/>
              <w:spacing w:before="85" w:after="85"/>
              <w:cnfStyle w:val="000000000000" w:firstRow="0" w:lastRow="0" w:firstColumn="0" w:lastColumn="0" w:oddVBand="0" w:evenVBand="0" w:oddHBand="0" w:evenHBand="0" w:firstRowFirstColumn="0" w:firstRowLastColumn="0" w:lastRowFirstColumn="0" w:lastRowLastColumn="0"/>
            </w:pPr>
            <w:r>
              <w:t>yes</w:t>
            </w:r>
          </w:p>
        </w:tc>
        <w:tc>
          <w:tcPr>
            <w:tcW w:w="1703" w:type="dxa"/>
          </w:tcPr>
          <w:p w14:paraId="6EE2FD38" w14:textId="77777777" w:rsidR="00CB7716" w:rsidRDefault="00CB7716" w:rsidP="00CB7716">
            <w:pPr>
              <w:pStyle w:val="TableText"/>
              <w:spacing w:before="85" w:after="85"/>
              <w:cnfStyle w:val="000000000000" w:firstRow="0" w:lastRow="0" w:firstColumn="0" w:lastColumn="0" w:oddVBand="0" w:evenVBand="0" w:oddHBand="0" w:evenHBand="0" w:firstRowFirstColumn="0" w:firstRowLastColumn="0" w:lastRowFirstColumn="0" w:lastRowLastColumn="0"/>
            </w:pPr>
            <w:r>
              <w:t>yes</w:t>
            </w:r>
          </w:p>
        </w:tc>
      </w:tr>
      <w:tr w:rsidR="00CB7716" w14:paraId="0A5DF389" w14:textId="77777777" w:rsidTr="006E77ED">
        <w:tc>
          <w:tcPr>
            <w:cnfStyle w:val="001000000000" w:firstRow="0" w:lastRow="0" w:firstColumn="1" w:lastColumn="0" w:oddVBand="0" w:evenVBand="0" w:oddHBand="0" w:evenHBand="0" w:firstRowFirstColumn="0" w:firstRowLastColumn="0" w:lastRowFirstColumn="0" w:lastRowLastColumn="0"/>
            <w:tcW w:w="2207" w:type="dxa"/>
          </w:tcPr>
          <w:p w14:paraId="03E3C683" w14:textId="77777777" w:rsidR="00CB7716" w:rsidRPr="006E77ED" w:rsidRDefault="00CB7716" w:rsidP="00CB7716">
            <w:pPr>
              <w:pStyle w:val="TableText"/>
              <w:spacing w:before="85" w:after="85"/>
              <w:rPr>
                <w:b/>
              </w:rPr>
            </w:pPr>
            <w:r w:rsidRPr="006E77ED">
              <w:rPr>
                <w:b/>
              </w:rPr>
              <w:t xml:space="preserve">Food safety supervisor (competency training) </w:t>
            </w:r>
          </w:p>
        </w:tc>
        <w:tc>
          <w:tcPr>
            <w:tcW w:w="1703" w:type="dxa"/>
          </w:tcPr>
          <w:p w14:paraId="544351AD" w14:textId="77777777" w:rsidR="00CB7716" w:rsidRDefault="00CB7716" w:rsidP="00CB7716">
            <w:pPr>
              <w:pStyle w:val="TableText"/>
              <w:spacing w:before="85" w:after="85"/>
              <w:cnfStyle w:val="000000000000" w:firstRow="0" w:lastRow="0" w:firstColumn="0" w:lastColumn="0" w:oddVBand="0" w:evenVBand="0" w:oddHBand="0" w:evenHBand="0" w:firstRowFirstColumn="0" w:firstRowLastColumn="0" w:lastRowFirstColumn="0" w:lastRowLastColumn="0"/>
            </w:pPr>
            <w:r>
              <w:t>yes</w:t>
            </w:r>
          </w:p>
        </w:tc>
        <w:tc>
          <w:tcPr>
            <w:tcW w:w="1700" w:type="dxa"/>
          </w:tcPr>
          <w:p w14:paraId="35A13BA1" w14:textId="77777777" w:rsidR="00CB7716" w:rsidRDefault="00CB7716" w:rsidP="00CB7716">
            <w:pPr>
              <w:pStyle w:val="TableText"/>
              <w:spacing w:before="85" w:after="85"/>
              <w:cnfStyle w:val="000000000000" w:firstRow="0" w:lastRow="0" w:firstColumn="0" w:lastColumn="0" w:oddVBand="0" w:evenVBand="0" w:oddHBand="0" w:evenHBand="0" w:firstRowFirstColumn="0" w:firstRowLastColumn="0" w:lastRowFirstColumn="0" w:lastRowLastColumn="0"/>
            </w:pPr>
            <w:r>
              <w:t>yes</w:t>
            </w:r>
          </w:p>
        </w:tc>
        <w:tc>
          <w:tcPr>
            <w:tcW w:w="1703" w:type="dxa"/>
          </w:tcPr>
          <w:p w14:paraId="05796AE8" w14:textId="77777777" w:rsidR="00CB7716" w:rsidRDefault="00CB7716" w:rsidP="00CB7716">
            <w:pPr>
              <w:pStyle w:val="TableText"/>
              <w:spacing w:before="85" w:after="85"/>
              <w:cnfStyle w:val="000000000000" w:firstRow="0" w:lastRow="0" w:firstColumn="0" w:lastColumn="0" w:oddVBand="0" w:evenVBand="0" w:oddHBand="0" w:evenHBand="0" w:firstRowFirstColumn="0" w:firstRowLastColumn="0" w:lastRowFirstColumn="0" w:lastRowLastColumn="0"/>
            </w:pPr>
            <w:r>
              <w:t>yes</w:t>
            </w:r>
          </w:p>
        </w:tc>
        <w:tc>
          <w:tcPr>
            <w:tcW w:w="1703" w:type="dxa"/>
          </w:tcPr>
          <w:p w14:paraId="1E06EA79" w14:textId="77777777" w:rsidR="00CB7716" w:rsidRDefault="00CB7716" w:rsidP="00CB7716">
            <w:pPr>
              <w:pStyle w:val="TableText"/>
              <w:spacing w:before="85" w:after="85"/>
              <w:cnfStyle w:val="000000000000" w:firstRow="0" w:lastRow="0" w:firstColumn="0" w:lastColumn="0" w:oddVBand="0" w:evenVBand="0" w:oddHBand="0" w:evenHBand="0" w:firstRowFirstColumn="0" w:firstRowLastColumn="0" w:lastRowFirstColumn="0" w:lastRowLastColumn="0"/>
            </w:pPr>
            <w:r>
              <w:t>yes</w:t>
            </w:r>
          </w:p>
        </w:tc>
      </w:tr>
      <w:tr w:rsidR="00CB7716" w14:paraId="78213C74" w14:textId="77777777" w:rsidTr="006E77ED">
        <w:tc>
          <w:tcPr>
            <w:cnfStyle w:val="001000000000" w:firstRow="0" w:lastRow="0" w:firstColumn="1" w:lastColumn="0" w:oddVBand="0" w:evenVBand="0" w:oddHBand="0" w:evenHBand="0" w:firstRowFirstColumn="0" w:firstRowLastColumn="0" w:lastRowFirstColumn="0" w:lastRowLastColumn="0"/>
            <w:tcW w:w="2207" w:type="dxa"/>
          </w:tcPr>
          <w:p w14:paraId="51547E80" w14:textId="77777777" w:rsidR="00CB7716" w:rsidRPr="006E77ED" w:rsidRDefault="00CB7716" w:rsidP="00CB7716">
            <w:pPr>
              <w:pStyle w:val="TableText"/>
              <w:spacing w:before="85" w:after="85"/>
              <w:rPr>
                <w:b/>
              </w:rPr>
            </w:pPr>
            <w:r w:rsidRPr="006E77ED">
              <w:rPr>
                <w:b/>
              </w:rPr>
              <w:t>Food handler training</w:t>
            </w:r>
          </w:p>
          <w:p w14:paraId="3185C307" w14:textId="77777777" w:rsidR="00CB7716" w:rsidRPr="006E77ED" w:rsidRDefault="00CB7716" w:rsidP="00CB7716">
            <w:pPr>
              <w:pStyle w:val="TableText"/>
              <w:spacing w:before="85" w:after="85"/>
              <w:rPr>
                <w:b/>
              </w:rPr>
            </w:pPr>
            <w:r w:rsidRPr="006E77ED">
              <w:rPr>
                <w:b/>
              </w:rPr>
              <w:t>(non-competency)</w:t>
            </w:r>
          </w:p>
        </w:tc>
        <w:tc>
          <w:tcPr>
            <w:tcW w:w="1703" w:type="dxa"/>
          </w:tcPr>
          <w:p w14:paraId="7397A4CD" w14:textId="77777777" w:rsidR="00CB7716" w:rsidRDefault="00CB7716" w:rsidP="00CB7716">
            <w:pPr>
              <w:pStyle w:val="TableText"/>
              <w:spacing w:before="85" w:after="85"/>
              <w:cnfStyle w:val="000000000000" w:firstRow="0" w:lastRow="0" w:firstColumn="0" w:lastColumn="0" w:oddVBand="0" w:evenVBand="0" w:oddHBand="0" w:evenHBand="0" w:firstRowFirstColumn="0" w:firstRowLastColumn="0" w:lastRowFirstColumn="0" w:lastRowLastColumn="0"/>
            </w:pPr>
            <w:r>
              <w:t>no</w:t>
            </w:r>
          </w:p>
        </w:tc>
        <w:tc>
          <w:tcPr>
            <w:tcW w:w="1700" w:type="dxa"/>
          </w:tcPr>
          <w:p w14:paraId="1B9A54B2" w14:textId="77777777" w:rsidR="00CB7716" w:rsidRDefault="00CB7716" w:rsidP="00CB7716">
            <w:pPr>
              <w:pStyle w:val="TableText"/>
              <w:spacing w:before="85" w:after="85"/>
              <w:cnfStyle w:val="000000000000" w:firstRow="0" w:lastRow="0" w:firstColumn="0" w:lastColumn="0" w:oddVBand="0" w:evenVBand="0" w:oddHBand="0" w:evenHBand="0" w:firstRowFirstColumn="0" w:firstRowLastColumn="0" w:lastRowFirstColumn="0" w:lastRowLastColumn="0"/>
            </w:pPr>
            <w:r>
              <w:t>no</w:t>
            </w:r>
          </w:p>
        </w:tc>
        <w:tc>
          <w:tcPr>
            <w:tcW w:w="1703" w:type="dxa"/>
          </w:tcPr>
          <w:p w14:paraId="0AAFECD6" w14:textId="77777777" w:rsidR="00CB7716" w:rsidRDefault="00CB7716" w:rsidP="00CB7716">
            <w:pPr>
              <w:pStyle w:val="TableText"/>
              <w:spacing w:before="85" w:after="85"/>
              <w:cnfStyle w:val="000000000000" w:firstRow="0" w:lastRow="0" w:firstColumn="0" w:lastColumn="0" w:oddVBand="0" w:evenVBand="0" w:oddHBand="0" w:evenHBand="0" w:firstRowFirstColumn="0" w:firstRowLastColumn="0" w:lastRowFirstColumn="0" w:lastRowLastColumn="0"/>
            </w:pPr>
            <w:r>
              <w:t>no</w:t>
            </w:r>
          </w:p>
        </w:tc>
        <w:tc>
          <w:tcPr>
            <w:tcW w:w="1703" w:type="dxa"/>
          </w:tcPr>
          <w:p w14:paraId="1A1D7BC0" w14:textId="77777777" w:rsidR="00CB7716" w:rsidRDefault="00CB7716" w:rsidP="00CB7716">
            <w:pPr>
              <w:pStyle w:val="TableText"/>
              <w:spacing w:before="85" w:after="85"/>
              <w:cnfStyle w:val="000000000000" w:firstRow="0" w:lastRow="0" w:firstColumn="0" w:lastColumn="0" w:oddVBand="0" w:evenVBand="0" w:oddHBand="0" w:evenHBand="0" w:firstRowFirstColumn="0" w:firstRowLastColumn="0" w:lastRowFirstColumn="0" w:lastRowLastColumn="0"/>
            </w:pPr>
            <w:r>
              <w:t>no</w:t>
            </w:r>
          </w:p>
        </w:tc>
      </w:tr>
      <w:tr w:rsidR="00CB7716" w14:paraId="45C69F7C" w14:textId="77777777" w:rsidTr="006E77ED">
        <w:tc>
          <w:tcPr>
            <w:cnfStyle w:val="001000000000" w:firstRow="0" w:lastRow="0" w:firstColumn="1" w:lastColumn="0" w:oddVBand="0" w:evenVBand="0" w:oddHBand="0" w:evenHBand="0" w:firstRowFirstColumn="0" w:firstRowLastColumn="0" w:lastRowFirstColumn="0" w:lastRowLastColumn="0"/>
            <w:tcW w:w="2207" w:type="dxa"/>
          </w:tcPr>
          <w:p w14:paraId="2E1927D3" w14:textId="77777777" w:rsidR="00CB7716" w:rsidRPr="006E77ED" w:rsidRDefault="00CB7716" w:rsidP="00CB7716">
            <w:pPr>
              <w:pStyle w:val="TableText"/>
              <w:spacing w:before="85" w:after="85"/>
              <w:rPr>
                <w:b/>
              </w:rPr>
            </w:pPr>
            <w:r w:rsidRPr="006E77ED">
              <w:rPr>
                <w:b/>
              </w:rPr>
              <w:t>Evidence of food safety management</w:t>
            </w:r>
          </w:p>
        </w:tc>
        <w:tc>
          <w:tcPr>
            <w:tcW w:w="1703" w:type="dxa"/>
          </w:tcPr>
          <w:p w14:paraId="1619A2E5" w14:textId="77777777" w:rsidR="00CB7716" w:rsidRDefault="00CB7716" w:rsidP="00CB7716">
            <w:pPr>
              <w:pStyle w:val="TableText"/>
              <w:spacing w:before="85" w:after="85"/>
              <w:cnfStyle w:val="000000000000" w:firstRow="0" w:lastRow="0" w:firstColumn="0" w:lastColumn="0" w:oddVBand="0" w:evenVBand="0" w:oddHBand="0" w:evenHBand="0" w:firstRowFirstColumn="0" w:firstRowLastColumn="0" w:lastRowFirstColumn="0" w:lastRowLastColumn="0"/>
            </w:pPr>
            <w:r w:rsidRPr="00AF5189">
              <w:t>template-based food safety programs</w:t>
            </w:r>
          </w:p>
        </w:tc>
        <w:tc>
          <w:tcPr>
            <w:tcW w:w="1700" w:type="dxa"/>
          </w:tcPr>
          <w:p w14:paraId="708AEB7A" w14:textId="77777777" w:rsidR="00CB7716" w:rsidRPr="004F3242" w:rsidRDefault="00CB7716" w:rsidP="00CB7716">
            <w:pPr>
              <w:pStyle w:val="TableText"/>
              <w:spacing w:before="85" w:after="85"/>
              <w:cnfStyle w:val="000000000000" w:firstRow="0" w:lastRow="0" w:firstColumn="0" w:lastColumn="0" w:oddVBand="0" w:evenVBand="0" w:oddHBand="0" w:evenHBand="0" w:firstRowFirstColumn="0" w:firstRowLastColumn="0" w:lastRowFirstColumn="0" w:lastRowLastColumn="0"/>
            </w:pPr>
            <w:r w:rsidRPr="004F3242">
              <w:t>for raw egg handling</w:t>
            </w:r>
          </w:p>
        </w:tc>
        <w:tc>
          <w:tcPr>
            <w:tcW w:w="1703" w:type="dxa"/>
          </w:tcPr>
          <w:p w14:paraId="1C78A1AE" w14:textId="77777777" w:rsidR="00CB7716" w:rsidRDefault="00CB7716" w:rsidP="00CB7716">
            <w:pPr>
              <w:pStyle w:val="TableText"/>
              <w:spacing w:before="85" w:after="85"/>
              <w:cnfStyle w:val="000000000000" w:firstRow="0" w:lastRow="0" w:firstColumn="0" w:lastColumn="0" w:oddVBand="0" w:evenVBand="0" w:oddHBand="0" w:evenHBand="0" w:firstRowFirstColumn="0" w:firstRowLastColumn="0" w:lastRowFirstColumn="0" w:lastRowLastColumn="0"/>
            </w:pPr>
            <w:r w:rsidRPr="00AF5189">
              <w:t>template-based food safety programs</w:t>
            </w:r>
          </w:p>
        </w:tc>
        <w:tc>
          <w:tcPr>
            <w:tcW w:w="1703" w:type="dxa"/>
          </w:tcPr>
          <w:p w14:paraId="5ADF5B83" w14:textId="77777777" w:rsidR="00CB7716" w:rsidRDefault="00CB7716" w:rsidP="00CB7716">
            <w:pPr>
              <w:pStyle w:val="TableText"/>
              <w:spacing w:before="85" w:after="85"/>
              <w:cnfStyle w:val="000000000000" w:firstRow="0" w:lastRow="0" w:firstColumn="0" w:lastColumn="0" w:oddVBand="0" w:evenVBand="0" w:oddHBand="0" w:evenHBand="0" w:firstRowFirstColumn="0" w:firstRowLastColumn="0" w:lastRowFirstColumn="0" w:lastRowLastColumn="0"/>
            </w:pPr>
            <w:r>
              <w:t>no</w:t>
            </w:r>
          </w:p>
        </w:tc>
      </w:tr>
      <w:tr w:rsidR="00CB7716" w14:paraId="003578CD" w14:textId="77777777" w:rsidTr="006E77ED">
        <w:tc>
          <w:tcPr>
            <w:cnfStyle w:val="001000000000" w:firstRow="0" w:lastRow="0" w:firstColumn="1" w:lastColumn="0" w:oddVBand="0" w:evenVBand="0" w:oddHBand="0" w:evenHBand="0" w:firstRowFirstColumn="0" w:firstRowLastColumn="0" w:lastRowFirstColumn="0" w:lastRowLastColumn="0"/>
            <w:tcW w:w="2207" w:type="dxa"/>
          </w:tcPr>
          <w:p w14:paraId="6FE12B4A" w14:textId="77777777" w:rsidR="00CB7716" w:rsidRPr="006E77ED" w:rsidRDefault="00CB7716" w:rsidP="00CB7716">
            <w:pPr>
              <w:pStyle w:val="TableText"/>
              <w:spacing w:before="85" w:after="85"/>
              <w:rPr>
                <w:b/>
              </w:rPr>
            </w:pPr>
            <w:r w:rsidRPr="006E77ED">
              <w:rPr>
                <w:b/>
              </w:rPr>
              <w:t>Target businesses</w:t>
            </w:r>
          </w:p>
        </w:tc>
        <w:tc>
          <w:tcPr>
            <w:tcW w:w="1703" w:type="dxa"/>
          </w:tcPr>
          <w:p w14:paraId="2C46AE85" w14:textId="77777777" w:rsidR="00CB7716" w:rsidRDefault="00CB7716" w:rsidP="00CB7716">
            <w:pPr>
              <w:pStyle w:val="TableText"/>
              <w:spacing w:before="85" w:after="85"/>
              <w:cnfStyle w:val="000000000000" w:firstRow="0" w:lastRow="0" w:firstColumn="0" w:lastColumn="0" w:oddVBand="0" w:evenVBand="0" w:oddHBand="0" w:evenHBand="0" w:firstRowFirstColumn="0" w:firstRowLastColumn="0" w:lastRowFirstColumn="0" w:lastRowLastColumn="0"/>
            </w:pPr>
            <w:r w:rsidRPr="00AF5189">
              <w:t>class 1 and class 2 businesses</w:t>
            </w:r>
            <w:r w:rsidRPr="00AF5189">
              <w:rPr>
                <w:vertAlign w:val="superscript"/>
              </w:rPr>
              <w:footnoteReference w:id="19"/>
            </w:r>
          </w:p>
        </w:tc>
        <w:tc>
          <w:tcPr>
            <w:tcW w:w="1700" w:type="dxa"/>
          </w:tcPr>
          <w:p w14:paraId="2EA1E8E1" w14:textId="77777777" w:rsidR="00CB7716" w:rsidRPr="004F3242" w:rsidRDefault="00CB7716" w:rsidP="00CB7716">
            <w:pPr>
              <w:pStyle w:val="TableText"/>
              <w:spacing w:before="85" w:after="85"/>
              <w:cnfStyle w:val="000000000000" w:firstRow="0" w:lastRow="0" w:firstColumn="0" w:lastColumn="0" w:oddVBand="0" w:evenVBand="0" w:oddHBand="0" w:evenHBand="0" w:firstRowFirstColumn="0" w:firstRowLastColumn="0" w:lastRowFirstColumn="0" w:lastRowLastColumn="0"/>
            </w:pPr>
            <w:r>
              <w:t>b</w:t>
            </w:r>
            <w:r w:rsidRPr="004F3242">
              <w:t xml:space="preserve">usinesses serving ready-to-eat </w:t>
            </w:r>
            <w:r>
              <w:t xml:space="preserve">PHF which are </w:t>
            </w:r>
            <w:r w:rsidRPr="004F3242">
              <w:t>not sold and served in their package</w:t>
            </w:r>
          </w:p>
        </w:tc>
        <w:tc>
          <w:tcPr>
            <w:tcW w:w="1703" w:type="dxa"/>
          </w:tcPr>
          <w:p w14:paraId="146FBAEF" w14:textId="77777777" w:rsidR="00CB7716" w:rsidRDefault="00CB7716" w:rsidP="00CB7716">
            <w:pPr>
              <w:pStyle w:val="TableText"/>
              <w:spacing w:before="85" w:after="85"/>
              <w:cnfStyle w:val="000000000000" w:firstRow="0" w:lastRow="0" w:firstColumn="0" w:lastColumn="0" w:oddVBand="0" w:evenVBand="0" w:oddHBand="0" w:evenHBand="0" w:firstRowFirstColumn="0" w:firstRowLastColumn="0" w:lastRowFirstColumn="0" w:lastRowLastColumn="0"/>
            </w:pPr>
            <w:r w:rsidRPr="00AF5189">
              <w:t>businesses which meet specific food service or catering criteria</w:t>
            </w:r>
            <w:r w:rsidRPr="00AF5189">
              <w:rPr>
                <w:vertAlign w:val="superscript"/>
              </w:rPr>
              <w:footnoteReference w:id="20"/>
            </w:r>
          </w:p>
        </w:tc>
        <w:tc>
          <w:tcPr>
            <w:tcW w:w="1703" w:type="dxa"/>
          </w:tcPr>
          <w:p w14:paraId="1D632956" w14:textId="77777777" w:rsidR="00CB7716" w:rsidRDefault="00CB7716" w:rsidP="00CB7716">
            <w:pPr>
              <w:pStyle w:val="TableText"/>
              <w:spacing w:before="85" w:after="85"/>
              <w:cnfStyle w:val="000000000000" w:firstRow="0" w:lastRow="0" w:firstColumn="0" w:lastColumn="0" w:oddVBand="0" w:evenVBand="0" w:oddHBand="0" w:evenHBand="0" w:firstRowFirstColumn="0" w:firstRowLastColumn="0" w:lastRowFirstColumn="0" w:lastRowLastColumn="0"/>
            </w:pPr>
            <w:r w:rsidRPr="00AF5189">
              <w:t xml:space="preserve">all </w:t>
            </w:r>
            <w:r>
              <w:t>registered</w:t>
            </w:r>
            <w:r w:rsidRPr="00AF5189">
              <w:t xml:space="preserve"> food businesses</w:t>
            </w:r>
            <w:r>
              <w:rPr>
                <w:rStyle w:val="FootnoteReference"/>
              </w:rPr>
              <w:footnoteReference w:id="21"/>
            </w:r>
          </w:p>
        </w:tc>
      </w:tr>
    </w:tbl>
    <w:p w14:paraId="1E67F890" w14:textId="77777777" w:rsidR="00CB7716" w:rsidRPr="002B0592" w:rsidRDefault="00CB7716" w:rsidP="00CB7716">
      <w:pPr>
        <w:rPr>
          <w:sz w:val="20"/>
        </w:rPr>
      </w:pPr>
      <w:r>
        <w:rPr>
          <w:sz w:val="20"/>
        </w:rPr>
        <w:t>*A</w:t>
      </w:r>
      <w:r w:rsidRPr="002B0592">
        <w:rPr>
          <w:sz w:val="20"/>
        </w:rPr>
        <w:t>ddition</w:t>
      </w:r>
      <w:r>
        <w:rPr>
          <w:sz w:val="20"/>
        </w:rPr>
        <w:t>al</w:t>
      </w:r>
      <w:r w:rsidRPr="002B0592">
        <w:rPr>
          <w:sz w:val="20"/>
        </w:rPr>
        <w:t xml:space="preserve"> to </w:t>
      </w:r>
      <w:r>
        <w:rPr>
          <w:sz w:val="20"/>
        </w:rPr>
        <w:t xml:space="preserve">national </w:t>
      </w:r>
      <w:r w:rsidRPr="002B0592">
        <w:rPr>
          <w:sz w:val="20"/>
        </w:rPr>
        <w:t xml:space="preserve">requirements in </w:t>
      </w:r>
      <w:r>
        <w:rPr>
          <w:sz w:val="20"/>
        </w:rPr>
        <w:t>Chapter 3 standards in the</w:t>
      </w:r>
      <w:r w:rsidRPr="002B0592">
        <w:rPr>
          <w:sz w:val="20"/>
        </w:rPr>
        <w:t xml:space="preserve"> Code</w:t>
      </w:r>
      <w:r>
        <w:rPr>
          <w:sz w:val="20"/>
        </w:rPr>
        <w:t>.</w:t>
      </w:r>
    </w:p>
    <w:p w14:paraId="27584591" w14:textId="77777777" w:rsidR="00F72B9F" w:rsidRDefault="00F72B9F" w:rsidP="00CB7716">
      <w:pPr>
        <w:rPr>
          <w:lang w:eastAsia="en-AU"/>
        </w:rPr>
      </w:pPr>
    </w:p>
    <w:p w14:paraId="15B7669C" w14:textId="4A4DD7B0" w:rsidR="00CB7716" w:rsidRDefault="00CB7716" w:rsidP="003B2774">
      <w:pPr>
        <w:spacing w:after="240"/>
        <w:rPr>
          <w:lang w:eastAsia="en-AU"/>
        </w:rPr>
      </w:pPr>
      <w:r>
        <w:rPr>
          <w:lang w:eastAsia="en-AU"/>
        </w:rPr>
        <w:t>These</w:t>
      </w:r>
      <w:r w:rsidDel="009508FB">
        <w:rPr>
          <w:lang w:eastAsia="en-AU"/>
        </w:rPr>
        <w:t xml:space="preserve"> </w:t>
      </w:r>
      <w:r>
        <w:rPr>
          <w:lang w:eastAsia="en-AU"/>
        </w:rPr>
        <w:t xml:space="preserve">jurisdictional </w:t>
      </w:r>
      <w:r w:rsidRPr="00D62958">
        <w:rPr>
          <w:lang w:eastAsia="en-AU"/>
        </w:rPr>
        <w:t>arrangements</w:t>
      </w:r>
      <w:r>
        <w:rPr>
          <w:lang w:eastAsia="en-AU"/>
        </w:rPr>
        <w:t xml:space="preserve"> have some similarities. For instance, all require FSS to have competency-</w:t>
      </w:r>
      <w:r>
        <w:rPr>
          <w:lang w:eastAsia="en-AU"/>
        </w:rPr>
        <w:noBreakHyphen/>
        <w:t>based training by a registered training organisation, and all cover hospitality businesses (restaurants, cafes and hotels). However, there are differences across the arrangements. In particular, the range of food businesses covered differs</w:t>
      </w:r>
      <w:r w:rsidDel="00D66A38">
        <w:rPr>
          <w:lang w:eastAsia="en-AU"/>
        </w:rPr>
        <w:t>,</w:t>
      </w:r>
      <w:r>
        <w:rPr>
          <w:lang w:eastAsia="en-AU"/>
        </w:rPr>
        <w:t xml:space="preserve"> the validity of; the FSS qualification varies between five years and no expiry; and the required competency units differ. Additionally, the FSS certification from an RTO is set out in legislation in some jurisdictions and in guidance material in others. </w:t>
      </w:r>
      <w:r w:rsidRPr="006F0709">
        <w:rPr>
          <w:lang w:eastAsia="en-AU"/>
        </w:rPr>
        <w:t>A full compa</w:t>
      </w:r>
      <w:r>
        <w:rPr>
          <w:lang w:eastAsia="en-AU"/>
        </w:rPr>
        <w:t>rison is provided in section 4.4</w:t>
      </w:r>
      <w:r w:rsidRPr="006F0709">
        <w:rPr>
          <w:lang w:eastAsia="en-AU"/>
        </w:rPr>
        <w:t>.</w:t>
      </w:r>
    </w:p>
    <w:p w14:paraId="37E83CAC" w14:textId="07969263" w:rsidR="00CB7716" w:rsidRDefault="00CB7716" w:rsidP="003B2774">
      <w:pPr>
        <w:spacing w:after="240"/>
        <w:rPr>
          <w:lang w:eastAsia="en-AU"/>
        </w:rPr>
      </w:pPr>
      <w:r>
        <w:rPr>
          <w:lang w:eastAsia="en-AU"/>
        </w:rPr>
        <w:t xml:space="preserve">This option is the point of reference against which the other options were compared. Abandoning this proposal does not address the problem of persistent foodborne illness outbreaks associated with the food service and related retail businesses, nor the costs for business of inconsistent legislation across jurisdictions. </w:t>
      </w:r>
    </w:p>
    <w:p w14:paraId="636C6FB1" w14:textId="1424E5C6" w:rsidR="00CB7716" w:rsidRPr="00F72B9F" w:rsidRDefault="00CB7716" w:rsidP="003B2774">
      <w:pPr>
        <w:spacing w:after="240"/>
        <w:rPr>
          <w:lang w:eastAsia="en-AU"/>
        </w:rPr>
      </w:pPr>
      <w:r w:rsidRPr="00F72B9F">
        <w:rPr>
          <w:lang w:eastAsia="en-AU"/>
        </w:rPr>
        <w:t>Stakeholders’ views were sought on our consideration of the status quo, particularly whether there were any other costs or benefits that should be taken into account. Diverse views were provided by</w:t>
      </w:r>
      <w:r w:rsidR="0081747A">
        <w:rPr>
          <w:lang w:eastAsia="en-AU"/>
        </w:rPr>
        <w:t xml:space="preserve"> </w:t>
      </w:r>
      <w:r w:rsidRPr="00F72B9F">
        <w:rPr>
          <w:lang w:eastAsia="en-AU"/>
        </w:rPr>
        <w:t>stakeholders. Some suggested the status quo be maintained for a few more years to enable industry to rebuild before introducing regulatory requirements. Others noted concern that the status quo would not lead to improvements in food safety.</w:t>
      </w:r>
    </w:p>
    <w:p w14:paraId="5205D801" w14:textId="495B4F2E" w:rsidR="00CB7716" w:rsidRDefault="00CB7716" w:rsidP="003B2774">
      <w:pPr>
        <w:spacing w:after="240"/>
        <w:rPr>
          <w:lang w:eastAsia="en-AU"/>
        </w:rPr>
      </w:pPr>
      <w:r w:rsidRPr="68C0CA2D">
        <w:rPr>
          <w:lang w:eastAsia="en-AU"/>
        </w:rPr>
        <w:t xml:space="preserve">FSANZ’s assessment is that the 12-month commencement period takes into account time needed to prepare for introduction of regulatory requirements, which are needed to address the ongoing foodborne illness associated with </w:t>
      </w:r>
      <w:r w:rsidRPr="48861835">
        <w:rPr>
          <w:lang w:eastAsia="en-AU"/>
        </w:rPr>
        <w:t>these sectors.</w:t>
      </w:r>
      <w:r w:rsidRPr="68C0CA2D">
        <w:rPr>
          <w:lang w:eastAsia="en-AU"/>
        </w:rPr>
        <w:t xml:space="preserve"> Therefore, option 1 is not the preferred option.</w:t>
      </w:r>
    </w:p>
    <w:p w14:paraId="453C7E1F" w14:textId="4C82F2D4" w:rsidR="00CB7716" w:rsidRDefault="00CB7716" w:rsidP="006D619E">
      <w:pPr>
        <w:pStyle w:val="Heading3"/>
        <w:numPr>
          <w:ilvl w:val="0"/>
          <w:numId w:val="0"/>
        </w:numPr>
        <w:ind w:left="720" w:hanging="720"/>
      </w:pPr>
      <w:bookmarkStart w:id="84" w:name="_Toc107412688"/>
      <w:bookmarkStart w:id="85" w:name="_Toc109300452"/>
      <w:r>
        <w:t>4</w:t>
      </w:r>
      <w:r w:rsidRPr="00D15F61">
        <w:t>.</w:t>
      </w:r>
      <w:r>
        <w:t>3</w:t>
      </w:r>
      <w:r w:rsidRPr="00D15F61">
        <w:tab/>
      </w:r>
      <w:r>
        <w:t>Option 2 – Self-regulation</w:t>
      </w:r>
      <w:bookmarkEnd w:id="84"/>
      <w:bookmarkEnd w:id="85"/>
    </w:p>
    <w:p w14:paraId="3CBF4A59" w14:textId="48ABD733" w:rsidR="00CB7716" w:rsidRDefault="00CB7716" w:rsidP="003B2774">
      <w:pPr>
        <w:spacing w:after="240"/>
      </w:pPr>
      <w:r>
        <w:t xml:space="preserve">Jurisdictions anecdotally report non-compliances with Standard 3.2.2 are significant contributors to foodborne illness from the food service and related retail sectors. Poor temperature control, inadequate cleanliness and a lack of hygiene skills and knowledge are common reported non-compliances. These occur despite enforcement action applied by regulators, against current but inadequate regulatory requirements, and best practice guidelines (e.g. in </w:t>
      </w:r>
      <w:r w:rsidRPr="68C0CA2D">
        <w:rPr>
          <w:i/>
          <w:iCs/>
        </w:rPr>
        <w:t>Safe Food Australia</w:t>
      </w:r>
      <w:r>
        <w:t xml:space="preserve">). </w:t>
      </w:r>
    </w:p>
    <w:p w14:paraId="1193FF11" w14:textId="184A1201" w:rsidR="00CB7716" w:rsidRDefault="00CB7716" w:rsidP="003B2774">
      <w:pPr>
        <w:spacing w:after="240"/>
      </w:pPr>
      <w:r>
        <w:t xml:space="preserve">Where there is persistent </w:t>
      </w:r>
      <w:r w:rsidRPr="00A41684">
        <w:t>non-compliance and high risk of serious and widespread harm to consumers</w:t>
      </w:r>
      <w:r>
        <w:t xml:space="preserve"> (e.g. as with foodborne illness)</w:t>
      </w:r>
      <w:r w:rsidRPr="00A41684">
        <w:t>, self-re</w:t>
      </w:r>
      <w:r>
        <w:t>gulation is not considered</w:t>
      </w:r>
      <w:r w:rsidRPr="00A41684">
        <w:t xml:space="preserve"> an appropriate solution (Treasury Taskforce</w:t>
      </w:r>
      <w:r>
        <w:t>,</w:t>
      </w:r>
      <w:r w:rsidRPr="00A41684">
        <w:t xml:space="preserve"> 2000). Greater control over food handling practices</w:t>
      </w:r>
      <w:r w:rsidRPr="009210FC">
        <w:t xml:space="preserve"> </w:t>
      </w:r>
      <w:r w:rsidRPr="00A41684">
        <w:t xml:space="preserve">is </w:t>
      </w:r>
      <w:r>
        <w:t>needed</w:t>
      </w:r>
      <w:r w:rsidRPr="00A41684">
        <w:t xml:space="preserve">, especially with businesses that sell </w:t>
      </w:r>
      <w:r>
        <w:t>PHF</w:t>
      </w:r>
      <w:r w:rsidRPr="00A41684">
        <w:t xml:space="preserve">. </w:t>
      </w:r>
    </w:p>
    <w:p w14:paraId="75ACF4A2" w14:textId="5DD1B935" w:rsidR="00CB7716" w:rsidRDefault="00CB7716" w:rsidP="003B2774">
      <w:pPr>
        <w:spacing w:after="240"/>
      </w:pPr>
      <w:r>
        <w:t>The food service and retail sectors cover a broad range of business types with many small-to-medium enterprises and a transient workforce, and not affiliated with industry associations. Unlike other sectors, these businesses are not a cohesive group with like-minded participants. The</w:t>
      </w:r>
      <w:r w:rsidDel="005D5F6B">
        <w:t xml:space="preserve"> </w:t>
      </w:r>
      <w:r>
        <w:t>multitude of small, family-owned business in these sectors is not conducive to adoption of a self-regulatory approach.</w:t>
      </w:r>
    </w:p>
    <w:p w14:paraId="0731D34E" w14:textId="221CE7FD" w:rsidR="00CB7716" w:rsidRDefault="00CB7716" w:rsidP="003B2774">
      <w:pPr>
        <w:spacing w:after="240"/>
        <w:rPr>
          <w:rFonts w:cs="Arial"/>
        </w:rPr>
      </w:pPr>
      <w:r>
        <w:rPr>
          <w:rFonts w:cs="Arial"/>
        </w:rPr>
        <w:t>In theory,</w:t>
      </w:r>
      <w:r w:rsidRPr="00A41684">
        <w:rPr>
          <w:rFonts w:cs="Arial"/>
        </w:rPr>
        <w:t xml:space="preserve"> an industry scheme could be implemented relatively quickly and provide </w:t>
      </w:r>
      <w:r>
        <w:rPr>
          <w:rFonts w:cs="Arial"/>
        </w:rPr>
        <w:t xml:space="preserve">greater </w:t>
      </w:r>
      <w:r w:rsidRPr="00A41684">
        <w:rPr>
          <w:rFonts w:cs="Arial"/>
        </w:rPr>
        <w:t>flexibility</w:t>
      </w:r>
      <w:r>
        <w:rPr>
          <w:rFonts w:cs="Arial"/>
        </w:rPr>
        <w:t xml:space="preserve"> than regulation. However, </w:t>
      </w:r>
      <w:r w:rsidRPr="00A41684">
        <w:t xml:space="preserve">the lack of </w:t>
      </w:r>
      <w:r>
        <w:t>membership of</w:t>
      </w:r>
      <w:r w:rsidRPr="00A41684">
        <w:t xml:space="preserve"> industry </w:t>
      </w:r>
      <w:r>
        <w:t>associations</w:t>
      </w:r>
      <w:r w:rsidRPr="00A41684">
        <w:t xml:space="preserve"> means </w:t>
      </w:r>
      <w:r>
        <w:t>many individual businesses in these sectors are</w:t>
      </w:r>
      <w:r w:rsidRPr="00A41684">
        <w:t xml:space="preserve"> </w:t>
      </w:r>
      <w:r>
        <w:t>not receiving a group ‘push’ to comply</w:t>
      </w:r>
      <w:r w:rsidRPr="00A41684">
        <w:t xml:space="preserve">. </w:t>
      </w:r>
      <w:r>
        <w:rPr>
          <w:rFonts w:cs="Arial"/>
        </w:rPr>
        <w:t>In addition, w</w:t>
      </w:r>
      <w:r w:rsidRPr="00A41684">
        <w:rPr>
          <w:rFonts w:cs="Arial"/>
        </w:rPr>
        <w:t>he</w:t>
      </w:r>
      <w:r>
        <w:rPr>
          <w:rFonts w:cs="Arial"/>
        </w:rPr>
        <w:t xml:space="preserve">n businesses’ </w:t>
      </w:r>
      <w:r w:rsidRPr="00A41684">
        <w:rPr>
          <w:rFonts w:cs="Arial"/>
        </w:rPr>
        <w:t>resources are limited</w:t>
      </w:r>
      <w:r>
        <w:rPr>
          <w:rFonts w:cs="Arial"/>
        </w:rPr>
        <w:t>,</w:t>
      </w:r>
      <w:r w:rsidRPr="00A41684">
        <w:rPr>
          <w:rFonts w:cs="Arial"/>
        </w:rPr>
        <w:t xml:space="preserve"> </w:t>
      </w:r>
      <w:r>
        <w:rPr>
          <w:rFonts w:cs="Arial"/>
        </w:rPr>
        <w:t>they</w:t>
      </w:r>
      <w:r w:rsidRPr="00A41684">
        <w:rPr>
          <w:rFonts w:cs="Arial"/>
        </w:rPr>
        <w:t xml:space="preserve"> </w:t>
      </w:r>
      <w:r>
        <w:rPr>
          <w:rFonts w:cs="Arial"/>
        </w:rPr>
        <w:t xml:space="preserve">tend to </w:t>
      </w:r>
      <w:r w:rsidRPr="00A41684">
        <w:rPr>
          <w:rFonts w:cs="Arial"/>
        </w:rPr>
        <w:t xml:space="preserve">focus on </w:t>
      </w:r>
      <w:r>
        <w:rPr>
          <w:rFonts w:cs="Arial"/>
        </w:rPr>
        <w:t xml:space="preserve">regulatory </w:t>
      </w:r>
      <w:r w:rsidRPr="00A41684">
        <w:rPr>
          <w:rFonts w:cs="Arial"/>
        </w:rPr>
        <w:t>requirements</w:t>
      </w:r>
      <w:r>
        <w:rPr>
          <w:rFonts w:cs="Arial"/>
        </w:rPr>
        <w:t>—voluntary measures become lower priority</w:t>
      </w:r>
      <w:r w:rsidRPr="00A41684">
        <w:rPr>
          <w:rFonts w:cs="Arial"/>
        </w:rPr>
        <w:t>.</w:t>
      </w:r>
    </w:p>
    <w:p w14:paraId="1D8412E8" w14:textId="77777777" w:rsidR="00CB7716" w:rsidRPr="00461CD2" w:rsidRDefault="00CB7716" w:rsidP="003B2774">
      <w:pPr>
        <w:spacing w:after="240"/>
        <w:rPr>
          <w:lang w:eastAsia="en-AU"/>
        </w:rPr>
      </w:pPr>
      <w:r>
        <w:t xml:space="preserve">The Office of Best Practice Regulation’s </w:t>
      </w:r>
      <w:r w:rsidRPr="3C0957AF">
        <w:rPr>
          <w:i/>
          <w:iCs/>
        </w:rPr>
        <w:t>Best Practice Regulation Handbook</w:t>
      </w:r>
      <w:r>
        <w:t>, August 2007 provides guidance</w:t>
      </w:r>
      <w:r w:rsidRPr="48861835">
        <w:rPr>
          <w:vertAlign w:val="superscript"/>
          <w:lang w:eastAsia="en-AU"/>
        </w:rPr>
        <w:footnoteReference w:id="22"/>
      </w:r>
      <w:r>
        <w:t xml:space="preserve"> that s</w:t>
      </w:r>
      <w:r w:rsidRPr="00461CD2">
        <w:rPr>
          <w:lang w:eastAsia="en-AU"/>
        </w:rPr>
        <w:t>elf-regulation should be considered where:</w:t>
      </w:r>
    </w:p>
    <w:p w14:paraId="6ED61144" w14:textId="3E8B5FC2" w:rsidR="00CB7716" w:rsidRPr="00461CD2" w:rsidRDefault="00CB7716" w:rsidP="004E6D96">
      <w:pPr>
        <w:pStyle w:val="ListParagraph"/>
        <w:numPr>
          <w:ilvl w:val="0"/>
          <w:numId w:val="23"/>
        </w:numPr>
        <w:spacing w:after="240"/>
        <w:rPr>
          <w:lang w:eastAsia="en-AU"/>
        </w:rPr>
      </w:pPr>
      <w:r w:rsidRPr="00461CD2">
        <w:rPr>
          <w:lang w:eastAsia="en-AU"/>
        </w:rPr>
        <w:t xml:space="preserve">there is no strong public interest or concern </w:t>
      </w:r>
      <w:bookmarkStart w:id="86" w:name="_Int_lzA2X4mD"/>
      <w:r w:rsidRPr="00461CD2">
        <w:rPr>
          <w:lang w:eastAsia="en-AU"/>
        </w:rPr>
        <w:t>and in particular, no</w:t>
      </w:r>
      <w:bookmarkEnd w:id="86"/>
      <w:r w:rsidRPr="00461CD2">
        <w:rPr>
          <w:lang w:eastAsia="en-AU"/>
        </w:rPr>
        <w:t xml:space="preserve"> major public health and safety concern</w:t>
      </w:r>
    </w:p>
    <w:p w14:paraId="25614661" w14:textId="2D8E7B75" w:rsidR="00CB7716" w:rsidRPr="00461CD2" w:rsidRDefault="00CB7716" w:rsidP="004E6D96">
      <w:pPr>
        <w:pStyle w:val="ListParagraph"/>
        <w:numPr>
          <w:ilvl w:val="0"/>
          <w:numId w:val="23"/>
        </w:numPr>
        <w:spacing w:after="240"/>
        <w:rPr>
          <w:lang w:eastAsia="en-AU"/>
        </w:rPr>
      </w:pPr>
      <w:r w:rsidRPr="00461CD2">
        <w:rPr>
          <w:lang w:eastAsia="en-AU"/>
        </w:rPr>
        <w:t>the problem is low-risk,</w:t>
      </w:r>
      <w:r w:rsidRPr="00461CD2" w:rsidDel="008B17FE">
        <w:rPr>
          <w:lang w:eastAsia="en-AU"/>
        </w:rPr>
        <w:t xml:space="preserve"> </w:t>
      </w:r>
      <w:r w:rsidRPr="00461CD2">
        <w:rPr>
          <w:lang w:eastAsia="en-AU"/>
        </w:rPr>
        <w:t>low impact or of low significance</w:t>
      </w:r>
    </w:p>
    <w:p w14:paraId="1FD5C7A3" w14:textId="4E0FEE11" w:rsidR="00CB7716" w:rsidRPr="00461CD2" w:rsidRDefault="00CB7716" w:rsidP="004E6D96">
      <w:pPr>
        <w:pStyle w:val="ListParagraph"/>
        <w:numPr>
          <w:ilvl w:val="0"/>
          <w:numId w:val="23"/>
        </w:numPr>
        <w:spacing w:after="240"/>
        <w:rPr>
          <w:lang w:eastAsia="en-AU"/>
        </w:rPr>
      </w:pPr>
      <w:r w:rsidRPr="00461CD2">
        <w:rPr>
          <w:lang w:eastAsia="en-AU"/>
        </w:rPr>
        <w:t>the problem ca</w:t>
      </w:r>
      <w:r w:rsidR="003B2774">
        <w:rPr>
          <w:lang w:eastAsia="en-AU"/>
        </w:rPr>
        <w:t>n be fixed by the market itself</w:t>
      </w:r>
    </w:p>
    <w:p w14:paraId="67588E3B" w14:textId="5204547D" w:rsidR="00CB7716" w:rsidRPr="00461CD2" w:rsidRDefault="003B2774" w:rsidP="004E6D96">
      <w:pPr>
        <w:pStyle w:val="ListParagraph"/>
        <w:numPr>
          <w:ilvl w:val="0"/>
          <w:numId w:val="23"/>
        </w:numPr>
        <w:spacing w:after="240"/>
        <w:rPr>
          <w:lang w:eastAsia="en-AU"/>
        </w:rPr>
      </w:pPr>
      <w:r>
        <w:rPr>
          <w:lang w:eastAsia="en-AU"/>
        </w:rPr>
        <w:t>t</w:t>
      </w:r>
      <w:r w:rsidR="00CB7716" w:rsidRPr="00461CD2">
        <w:rPr>
          <w:lang w:eastAsia="en-AU"/>
        </w:rPr>
        <w:t>he likelihood of the effectiveness of self-regulatory schemes is increased if there is:</w:t>
      </w:r>
    </w:p>
    <w:p w14:paraId="4B555B5A" w14:textId="77777777" w:rsidR="00CB7716" w:rsidRPr="00461CD2" w:rsidRDefault="00CB7716" w:rsidP="004E6D96">
      <w:pPr>
        <w:pStyle w:val="ListParagraph"/>
        <w:numPr>
          <w:ilvl w:val="0"/>
          <w:numId w:val="23"/>
        </w:numPr>
        <w:spacing w:after="240"/>
        <w:rPr>
          <w:lang w:eastAsia="en-AU"/>
        </w:rPr>
      </w:pPr>
      <w:r w:rsidRPr="00461CD2">
        <w:rPr>
          <w:lang w:eastAsia="en-AU"/>
        </w:rPr>
        <w:t>adequate coverage of the industry concerned</w:t>
      </w:r>
    </w:p>
    <w:p w14:paraId="249E7772" w14:textId="77777777" w:rsidR="00CB7716" w:rsidRPr="00461CD2" w:rsidRDefault="00CB7716" w:rsidP="004E6D96">
      <w:pPr>
        <w:pStyle w:val="ListParagraph"/>
        <w:numPr>
          <w:ilvl w:val="0"/>
          <w:numId w:val="23"/>
        </w:numPr>
        <w:spacing w:after="240"/>
        <w:rPr>
          <w:lang w:eastAsia="en-AU"/>
        </w:rPr>
      </w:pPr>
      <w:r w:rsidRPr="00461CD2">
        <w:rPr>
          <w:lang w:eastAsia="en-AU"/>
        </w:rPr>
        <w:t>a viable industry association</w:t>
      </w:r>
    </w:p>
    <w:p w14:paraId="6E590B88" w14:textId="77777777" w:rsidR="00CB7716" w:rsidRPr="00461CD2" w:rsidRDefault="00CB7716" w:rsidP="004E6D96">
      <w:pPr>
        <w:pStyle w:val="ListParagraph"/>
        <w:numPr>
          <w:ilvl w:val="0"/>
          <w:numId w:val="23"/>
        </w:numPr>
        <w:spacing w:after="240"/>
        <w:rPr>
          <w:lang w:eastAsia="en-AU"/>
        </w:rPr>
      </w:pPr>
      <w:r w:rsidRPr="00461CD2">
        <w:rPr>
          <w:lang w:eastAsia="en-AU"/>
        </w:rPr>
        <w:t>a cohesive industry with like-minded or motivated participants committed to achieving the goals</w:t>
      </w:r>
    </w:p>
    <w:p w14:paraId="691C464E" w14:textId="77777777" w:rsidR="00CB7716" w:rsidRPr="00461CD2" w:rsidRDefault="00CB7716" w:rsidP="004E6D96">
      <w:pPr>
        <w:pStyle w:val="ListParagraph"/>
        <w:numPr>
          <w:ilvl w:val="0"/>
          <w:numId w:val="23"/>
        </w:numPr>
        <w:spacing w:after="240"/>
        <w:rPr>
          <w:lang w:eastAsia="en-AU"/>
        </w:rPr>
      </w:pPr>
      <w:r w:rsidRPr="00461CD2">
        <w:rPr>
          <w:lang w:eastAsia="en-AU"/>
        </w:rPr>
        <w:t>evidence that voluntary participation can wo</w:t>
      </w:r>
      <w:r>
        <w:rPr>
          <w:lang w:eastAsia="en-AU"/>
        </w:rPr>
        <w:t>rk</w:t>
      </w:r>
      <w:r>
        <w:t>—</w:t>
      </w:r>
      <w:r w:rsidRPr="00461CD2">
        <w:rPr>
          <w:lang w:eastAsia="en-AU"/>
        </w:rPr>
        <w:t>effective sanctions and incentives can be applied, with low scope for benefits being shared by non-participants</w:t>
      </w:r>
    </w:p>
    <w:p w14:paraId="7CC21FBC" w14:textId="77777777" w:rsidR="00CB7716" w:rsidRPr="005A743D" w:rsidRDefault="00CB7716" w:rsidP="004E6D96">
      <w:pPr>
        <w:pStyle w:val="ListParagraph"/>
        <w:numPr>
          <w:ilvl w:val="0"/>
          <w:numId w:val="23"/>
        </w:numPr>
        <w:spacing w:after="240"/>
        <w:rPr>
          <w:lang w:eastAsia="en-AU"/>
        </w:rPr>
      </w:pPr>
      <w:proofErr w:type="gramStart"/>
      <w:r w:rsidRPr="00461CD2">
        <w:rPr>
          <w:lang w:eastAsia="en-AU"/>
        </w:rPr>
        <w:t>a</w:t>
      </w:r>
      <w:proofErr w:type="gramEnd"/>
      <w:r w:rsidRPr="00461CD2">
        <w:rPr>
          <w:lang w:eastAsia="en-AU"/>
        </w:rPr>
        <w:t xml:space="preserve"> cost advantage from tailor-made solutions and less formal mechanisms.</w:t>
      </w:r>
    </w:p>
    <w:p w14:paraId="3E4863BC" w14:textId="77777777" w:rsidR="00CB7716" w:rsidRPr="00461CD2" w:rsidRDefault="00CB7716" w:rsidP="003B2774">
      <w:pPr>
        <w:spacing w:after="240"/>
        <w:rPr>
          <w:lang w:eastAsia="en-AU"/>
        </w:rPr>
      </w:pPr>
      <w:r w:rsidRPr="00461CD2">
        <w:rPr>
          <w:lang w:eastAsia="en-AU"/>
        </w:rPr>
        <w:t xml:space="preserve">FSANZ assessed option 2 against the </w:t>
      </w:r>
      <w:r w:rsidRPr="001045B5">
        <w:rPr>
          <w:lang w:eastAsia="en-AU"/>
        </w:rPr>
        <w:t xml:space="preserve">above </w:t>
      </w:r>
      <w:r w:rsidRPr="00461CD2">
        <w:rPr>
          <w:lang w:eastAsia="en-AU"/>
        </w:rPr>
        <w:t>criteria</w:t>
      </w:r>
      <w:r>
        <w:rPr>
          <w:lang w:eastAsia="en-AU"/>
        </w:rPr>
        <w:t xml:space="preserve"> and</w:t>
      </w:r>
      <w:r w:rsidRPr="00461CD2">
        <w:rPr>
          <w:lang w:eastAsia="en-AU"/>
        </w:rPr>
        <w:t xml:space="preserve"> determined </w:t>
      </w:r>
      <w:r>
        <w:rPr>
          <w:lang w:eastAsia="en-AU"/>
        </w:rPr>
        <w:t>it would not be an</w:t>
      </w:r>
      <w:r w:rsidRPr="00461CD2">
        <w:rPr>
          <w:lang w:eastAsia="en-AU"/>
        </w:rPr>
        <w:t xml:space="preserve"> appropriate intervention</w:t>
      </w:r>
      <w:r>
        <w:rPr>
          <w:lang w:eastAsia="en-AU"/>
        </w:rPr>
        <w:t>,</w:t>
      </w:r>
      <w:r w:rsidRPr="00461CD2">
        <w:rPr>
          <w:lang w:eastAsia="en-AU"/>
        </w:rPr>
        <w:t xml:space="preserve"> as:</w:t>
      </w:r>
    </w:p>
    <w:p w14:paraId="7A27079F" w14:textId="4C645E74" w:rsidR="00CB7716" w:rsidRPr="00461CD2" w:rsidRDefault="003B2774" w:rsidP="004E6D96">
      <w:pPr>
        <w:pStyle w:val="ListParagraph"/>
        <w:numPr>
          <w:ilvl w:val="0"/>
          <w:numId w:val="24"/>
        </w:numPr>
        <w:spacing w:after="240"/>
        <w:rPr>
          <w:lang w:eastAsia="en-AU"/>
        </w:rPr>
      </w:pPr>
      <w:proofErr w:type="gramStart"/>
      <w:r>
        <w:rPr>
          <w:lang w:eastAsia="en-AU"/>
        </w:rPr>
        <w:t>f</w:t>
      </w:r>
      <w:r w:rsidR="00CB7716" w:rsidRPr="68C0CA2D">
        <w:rPr>
          <w:lang w:eastAsia="en-AU"/>
        </w:rPr>
        <w:t>oodborne</w:t>
      </w:r>
      <w:proofErr w:type="gramEnd"/>
      <w:r w:rsidR="00CB7716" w:rsidRPr="68C0CA2D">
        <w:rPr>
          <w:lang w:eastAsia="en-AU"/>
        </w:rPr>
        <w:t xml:space="preserve"> illness is a significant health and safety concern.</w:t>
      </w:r>
    </w:p>
    <w:p w14:paraId="465C6748" w14:textId="34BAC4B0" w:rsidR="00CB7716" w:rsidRPr="00461CD2" w:rsidRDefault="003B2774" w:rsidP="004E6D96">
      <w:pPr>
        <w:pStyle w:val="ListParagraph"/>
        <w:numPr>
          <w:ilvl w:val="0"/>
          <w:numId w:val="24"/>
        </w:numPr>
        <w:spacing w:after="240"/>
        <w:rPr>
          <w:lang w:eastAsia="en-AU"/>
        </w:rPr>
      </w:pPr>
      <w:proofErr w:type="gramStart"/>
      <w:r>
        <w:rPr>
          <w:lang w:eastAsia="en-AU"/>
        </w:rPr>
        <w:t>f</w:t>
      </w:r>
      <w:r w:rsidR="00CB7716" w:rsidRPr="68C0CA2D">
        <w:rPr>
          <w:lang w:eastAsia="en-AU"/>
        </w:rPr>
        <w:t>oodborne</w:t>
      </w:r>
      <w:proofErr w:type="gramEnd"/>
      <w:r w:rsidR="00CB7716" w:rsidRPr="68C0CA2D">
        <w:rPr>
          <w:lang w:eastAsia="en-AU"/>
        </w:rPr>
        <w:t xml:space="preserve"> illness, especially in the context of an outbreak, is a high-impact event in terms of costs to consumers and industry. </w:t>
      </w:r>
      <w:r w:rsidR="00CB7716">
        <w:t>Outbreaks of foodborne disease have resulted in illness and deaths, which cannot be considered as low-risk consequences.</w:t>
      </w:r>
    </w:p>
    <w:p w14:paraId="61F30D32" w14:textId="71D8A6AC" w:rsidR="00CB7716" w:rsidRPr="00461CD2" w:rsidRDefault="003B2774" w:rsidP="004E6D96">
      <w:pPr>
        <w:pStyle w:val="ListParagraph"/>
        <w:numPr>
          <w:ilvl w:val="0"/>
          <w:numId w:val="24"/>
        </w:numPr>
        <w:spacing w:after="240"/>
        <w:rPr>
          <w:lang w:eastAsia="en-AU"/>
        </w:rPr>
      </w:pPr>
      <w:proofErr w:type="gramStart"/>
      <w:r>
        <w:rPr>
          <w:lang w:eastAsia="en-AU"/>
        </w:rPr>
        <w:t>t</w:t>
      </w:r>
      <w:r w:rsidR="00CB7716" w:rsidRPr="68C0CA2D">
        <w:rPr>
          <w:lang w:eastAsia="en-AU"/>
        </w:rPr>
        <w:t>he</w:t>
      </w:r>
      <w:proofErr w:type="gramEnd"/>
      <w:r w:rsidR="00CB7716" w:rsidRPr="68C0CA2D">
        <w:rPr>
          <w:lang w:eastAsia="en-AU"/>
        </w:rPr>
        <w:t xml:space="preserve"> market is unlikely to be able to fix the problem itself, given difficulties of identifying the source and cause of many illnesses, and the often</w:t>
      </w:r>
      <w:r w:rsidR="00CB7716" w:rsidRPr="48861835">
        <w:rPr>
          <w:lang w:eastAsia="en-AU"/>
        </w:rPr>
        <w:t>-</w:t>
      </w:r>
      <w:r w:rsidR="00CB7716" w:rsidRPr="68C0CA2D">
        <w:rPr>
          <w:lang w:eastAsia="en-AU"/>
        </w:rPr>
        <w:t>low costs typically incurred by most individuals, limiting incentives to seek legal redress through the court system.</w:t>
      </w:r>
    </w:p>
    <w:p w14:paraId="444E216A" w14:textId="6987DB00" w:rsidR="00CB7716" w:rsidRDefault="003B2774" w:rsidP="004E6D96">
      <w:pPr>
        <w:pStyle w:val="ListParagraph"/>
        <w:numPr>
          <w:ilvl w:val="0"/>
          <w:numId w:val="24"/>
        </w:numPr>
        <w:spacing w:after="240"/>
        <w:rPr>
          <w:lang w:eastAsia="en-AU"/>
        </w:rPr>
      </w:pPr>
      <w:proofErr w:type="gramStart"/>
      <w:r>
        <w:rPr>
          <w:lang w:eastAsia="en-AU"/>
        </w:rPr>
        <w:t>c</w:t>
      </w:r>
      <w:r w:rsidR="00CB7716" w:rsidRPr="68C0CA2D">
        <w:rPr>
          <w:lang w:eastAsia="en-AU"/>
        </w:rPr>
        <w:t>osts</w:t>
      </w:r>
      <w:proofErr w:type="gramEnd"/>
      <w:r w:rsidR="00CB7716" w:rsidRPr="68C0CA2D">
        <w:rPr>
          <w:lang w:eastAsia="en-AU"/>
        </w:rPr>
        <w:t xml:space="preserve"> associated with outbreaks are often incurred by the whole industry, not just the business that contributed to the outbreak.</w:t>
      </w:r>
    </w:p>
    <w:p w14:paraId="0464A8B7" w14:textId="334B2779" w:rsidR="00CB7716" w:rsidRDefault="003B2774" w:rsidP="004E6D96">
      <w:pPr>
        <w:pStyle w:val="ListParagraph"/>
        <w:numPr>
          <w:ilvl w:val="0"/>
          <w:numId w:val="24"/>
        </w:numPr>
        <w:spacing w:after="240"/>
        <w:rPr>
          <w:lang w:eastAsia="en-AU"/>
        </w:rPr>
      </w:pPr>
      <w:proofErr w:type="gramStart"/>
      <w:r>
        <w:rPr>
          <w:lang w:eastAsia="en-AU"/>
        </w:rPr>
        <w:t>t</w:t>
      </w:r>
      <w:r w:rsidR="00CB7716" w:rsidRPr="68C0CA2D">
        <w:rPr>
          <w:lang w:eastAsia="en-AU"/>
        </w:rPr>
        <w:t>he</w:t>
      </w:r>
      <w:proofErr w:type="gramEnd"/>
      <w:r w:rsidR="00CB7716" w:rsidRPr="68C0CA2D">
        <w:rPr>
          <w:lang w:eastAsia="en-AU"/>
        </w:rPr>
        <w:t xml:space="preserve"> businesses that are typically not covered by voluntary schemes are often not members of industry organisations, and are highly heterogeneous in terms of language background, literacy, education and knowledge, and motivation in terms of food safety.</w:t>
      </w:r>
    </w:p>
    <w:p w14:paraId="24A939B7" w14:textId="571AC354" w:rsidR="00CB7716" w:rsidRDefault="00CB7716" w:rsidP="003B2774">
      <w:pPr>
        <w:spacing w:after="240"/>
        <w:rPr>
          <w:lang w:eastAsia="en-AU"/>
        </w:rPr>
      </w:pPr>
      <w:r w:rsidRPr="68C0CA2D">
        <w:rPr>
          <w:lang w:eastAsia="en-AU"/>
        </w:rPr>
        <w:t>Stakeholders’ views were sought on option 2, particularly whether there were any other costs or benefits that should be taken into account, and any issues industry might face with self-regulation. Submissions identified that businesses would face similar challenges with self-regulation as they do with compliance with the current food safety standards.</w:t>
      </w:r>
    </w:p>
    <w:p w14:paraId="0B17F507" w14:textId="3BE4E846" w:rsidR="00CB7716" w:rsidRDefault="00CB7716" w:rsidP="003B2774">
      <w:pPr>
        <w:spacing w:after="240"/>
      </w:pPr>
      <w:r>
        <w:t xml:space="preserve">FSANZ acknowledges stakeholder feedback that in some jurisdictions, local government and businesses are working hard to optimise food safety outcomes through incorporating elements of self-regulation activities into existing programs. Self-regulation is supported through encouraging compliance with the use of incentives for businesses that are documenting their food management practices, including reduced annual fees, self-audits, reduced audits by </w:t>
      </w:r>
      <w:r w:rsidR="00643567">
        <w:t>council</w:t>
      </w:r>
      <w:r>
        <w:t xml:space="preserve"> and market-driven measures such as star ratings.</w:t>
      </w:r>
    </w:p>
    <w:p w14:paraId="311FD553" w14:textId="617F3863" w:rsidR="00CB7716" w:rsidRDefault="00CB7716" w:rsidP="003B2774">
      <w:pPr>
        <w:spacing w:after="240"/>
        <w:rPr>
          <w:b/>
        </w:rPr>
      </w:pPr>
      <w:r w:rsidRPr="004F0C18">
        <w:t xml:space="preserve">FSANZ’s conclusion is that </w:t>
      </w:r>
      <w:r>
        <w:t>self-regulation</w:t>
      </w:r>
      <w:r w:rsidRPr="00206697">
        <w:t xml:space="preserve"> </w:t>
      </w:r>
      <w:r>
        <w:t>has</w:t>
      </w:r>
      <w:r w:rsidRPr="00206697">
        <w:t xml:space="preserve"> not </w:t>
      </w:r>
      <w:r>
        <w:t>been effective in addressing</w:t>
      </w:r>
      <w:r w:rsidRPr="00206697">
        <w:t xml:space="preserve"> the </w:t>
      </w:r>
      <w:r>
        <w:t xml:space="preserve">unique </w:t>
      </w:r>
      <w:r w:rsidRPr="00206697">
        <w:t>risks</w:t>
      </w:r>
      <w:r>
        <w:t xml:space="preserve"> </w:t>
      </w:r>
      <w:r w:rsidRPr="00206697">
        <w:t xml:space="preserve">identified </w:t>
      </w:r>
      <w:r>
        <w:t>in these sectors. It is not our preferred option</w:t>
      </w:r>
      <w:r w:rsidRPr="004F0C18">
        <w:t xml:space="preserve">. Participation in non-regulated food safety activities </w:t>
      </w:r>
      <w:r>
        <w:t>is</w:t>
      </w:r>
      <w:r w:rsidRPr="004F0C18">
        <w:t xml:space="preserve"> ‘voluntary’ and unlikely to result in appropriate food safety management across the entire sector. </w:t>
      </w:r>
      <w:r>
        <w:t xml:space="preserve">While there are food safety culture </w:t>
      </w:r>
      <w:r w:rsidR="00643567">
        <w:t>initiatives</w:t>
      </w:r>
      <w:r>
        <w:t xml:space="preserve"> underway, i</w:t>
      </w:r>
      <w:r w:rsidRPr="004F0C18">
        <w:t>t is assumed that, in the absence of supporting regulation</w:t>
      </w:r>
      <w:r>
        <w:t xml:space="preserve">, </w:t>
      </w:r>
      <w:r w:rsidRPr="004F0C18">
        <w:t xml:space="preserve">the effects of these non-regulatory tools to reduce food safety will be significantly reduced. </w:t>
      </w:r>
    </w:p>
    <w:p w14:paraId="2D47AB71" w14:textId="77777777" w:rsidR="00CB7716" w:rsidRDefault="00CB7716" w:rsidP="0025246D">
      <w:pPr>
        <w:pStyle w:val="Heading3"/>
        <w:numPr>
          <w:ilvl w:val="0"/>
          <w:numId w:val="0"/>
        </w:numPr>
        <w:ind w:left="720" w:hanging="720"/>
      </w:pPr>
      <w:bookmarkStart w:id="87" w:name="_Toc107412689"/>
      <w:bookmarkStart w:id="88" w:name="_Toc109300453"/>
      <w:r>
        <w:t>4</w:t>
      </w:r>
      <w:r w:rsidRPr="00D15F61">
        <w:t>.</w:t>
      </w:r>
      <w:r>
        <w:t>4</w:t>
      </w:r>
      <w:r w:rsidRPr="00D15F61">
        <w:tab/>
      </w:r>
      <w:r>
        <w:t>Option 3 – Regulated food safety management tools</w:t>
      </w:r>
      <w:bookmarkEnd w:id="87"/>
      <w:bookmarkEnd w:id="88"/>
    </w:p>
    <w:p w14:paraId="3188E32C" w14:textId="77777777" w:rsidR="00CB7716" w:rsidRDefault="00CB7716" w:rsidP="003B2774">
      <w:pPr>
        <w:spacing w:after="240"/>
      </w:pPr>
      <w:r>
        <w:t xml:space="preserve">As outlined in section 3.3, FSS, FHT, and </w:t>
      </w:r>
      <w:proofErr w:type="spellStart"/>
      <w:r w:rsidRPr="004B3692">
        <w:t>E</w:t>
      </w:r>
      <w:proofErr w:type="spellEnd"/>
      <w:r w:rsidRPr="004B3692">
        <w:t xml:space="preserve"> a</w:t>
      </w:r>
      <w:r>
        <w:t>re the three regulatory tools proposed by the FSM WG and endorsed by ministers. They are the focus of this proposal.</w:t>
      </w:r>
    </w:p>
    <w:p w14:paraId="2839A742" w14:textId="4CF2C46A" w:rsidR="00643567" w:rsidRDefault="00CB7716" w:rsidP="003B2774">
      <w:pPr>
        <w:spacing w:after="240"/>
      </w:pPr>
      <w:r>
        <w:t>This section considers these interventions in general terms. Their combined use in different risk categories of food businesses is considered further in section 4.5.2.</w:t>
      </w:r>
    </w:p>
    <w:p w14:paraId="4428266E" w14:textId="77777777" w:rsidR="00CB7716" w:rsidRDefault="00CB7716" w:rsidP="003B2774">
      <w:pPr>
        <w:spacing w:after="240"/>
      </w:pPr>
      <w:r>
        <w:t>These food safety management tools will not eradicate all foodborne illness; there will continue to be residual risk. The efficacy of an intervention provides an estimate of how effective it will be in reducing foodborne illness. The assumed efficacy of the tools in this proposal has been estimated based on:</w:t>
      </w:r>
    </w:p>
    <w:p w14:paraId="53571B55" w14:textId="77777777" w:rsidR="00CB7716" w:rsidRDefault="00CB7716" w:rsidP="004E6D96">
      <w:pPr>
        <w:pStyle w:val="ListParagraph"/>
        <w:numPr>
          <w:ilvl w:val="0"/>
          <w:numId w:val="25"/>
        </w:numPr>
        <w:spacing w:after="240"/>
      </w:pPr>
      <w:r>
        <w:t xml:space="preserve">the contributing factors of foodborne illness outbreaks (as reported by </w:t>
      </w:r>
      <w:proofErr w:type="spellStart"/>
      <w:r>
        <w:t>OzFoodNet</w:t>
      </w:r>
      <w:proofErr w:type="spellEnd"/>
      <w:r>
        <w:t>) and whether the tools will target these factors</w:t>
      </w:r>
    </w:p>
    <w:p w14:paraId="4FC06FC2" w14:textId="77777777" w:rsidR="00CB7716" w:rsidRDefault="00CB7716" w:rsidP="004E6D96">
      <w:pPr>
        <w:pStyle w:val="ListParagraph"/>
        <w:numPr>
          <w:ilvl w:val="0"/>
          <w:numId w:val="25"/>
        </w:numPr>
        <w:spacing w:after="240"/>
      </w:pPr>
      <w:r>
        <w:t xml:space="preserve">whether the tools have already been implemented in jurisdictions </w:t>
      </w:r>
    </w:p>
    <w:p w14:paraId="248C4430" w14:textId="77777777" w:rsidR="00CB7716" w:rsidRDefault="00CB7716" w:rsidP="004E6D96">
      <w:pPr>
        <w:pStyle w:val="ListParagraph"/>
        <w:numPr>
          <w:ilvl w:val="0"/>
          <w:numId w:val="25"/>
        </w:numPr>
        <w:spacing w:after="240"/>
      </w:pPr>
      <w:proofErr w:type="gramStart"/>
      <w:r>
        <w:t>the</w:t>
      </w:r>
      <w:proofErr w:type="gramEnd"/>
      <w:r>
        <w:t xml:space="preserve"> estimated likely efficacy for similar measures in key reference documents: the NSW Regulatory Impact Statement</w:t>
      </w:r>
      <w:r>
        <w:rPr>
          <w:rStyle w:val="FootnoteReference"/>
        </w:rPr>
        <w:footnoteReference w:id="23"/>
      </w:r>
      <w:r>
        <w:t>, the Allen Report (2002), and the National Risk Validation Project (2002).</w:t>
      </w:r>
    </w:p>
    <w:p w14:paraId="3420AFB1" w14:textId="517AACEC" w:rsidR="00CB7716" w:rsidRDefault="00CB7716" w:rsidP="003B2774">
      <w:pPr>
        <w:spacing w:after="240"/>
      </w:pPr>
      <w:r>
        <w:t>In considering the tools’ efficacy,</w:t>
      </w:r>
      <w:r w:rsidDel="008B50BE">
        <w:t xml:space="preserve"> </w:t>
      </w:r>
      <w:r>
        <w:t xml:space="preserve">FSANZ’s assessment assumed their impact to be at the lower end of the scale and thus it is likely their impact has been underestimated in our analysis (i.e. only a small </w:t>
      </w:r>
      <w:bookmarkStart w:id="89" w:name="_Int_VYVYsdfV"/>
      <w:proofErr w:type="spellStart"/>
      <w:r>
        <w:t>to</w:t>
      </w:r>
      <w:bookmarkEnd w:id="89"/>
      <w:proofErr w:type="spellEnd"/>
      <w:r>
        <w:t xml:space="preserve"> modest impact on reducing foodborne illness). It may be these tools have a more significant impact; in which case the estimates of net benefit would be even greater. The base efficacy for each of the tools is: 10% for FSS, 5% for FHT, 10% for E, and an additional 5% where all three food regulatory tools are implemented together, to recognise their complementary nature.</w:t>
      </w:r>
    </w:p>
    <w:p w14:paraId="6500F35D" w14:textId="2D9E5DD0" w:rsidR="00CB7716" w:rsidRDefault="00CB7716" w:rsidP="003B2774">
      <w:pPr>
        <w:spacing w:after="240"/>
      </w:pPr>
      <w:r>
        <w:t xml:space="preserve">Our assessment of each tool’s ability to mitigate the key contributors to foodborne illness is described below. </w:t>
      </w:r>
    </w:p>
    <w:p w14:paraId="70851D5C" w14:textId="0843CC0D" w:rsidR="00CB7716" w:rsidRDefault="00CB7716" w:rsidP="0025246D">
      <w:pPr>
        <w:pStyle w:val="Heading4"/>
        <w:numPr>
          <w:ilvl w:val="0"/>
          <w:numId w:val="0"/>
        </w:numPr>
        <w:ind w:left="864" w:hanging="864"/>
        <w:rPr>
          <w:lang w:val="en-AU"/>
        </w:rPr>
      </w:pPr>
      <w:bookmarkStart w:id="90" w:name="_Toc70953239"/>
      <w:bookmarkStart w:id="91" w:name="_Toc107412690"/>
      <w:r w:rsidRPr="68C0CA2D">
        <w:rPr>
          <w:lang w:val="en-AU"/>
        </w:rPr>
        <w:t>4.4.1</w:t>
      </w:r>
      <w:r>
        <w:tab/>
      </w:r>
      <w:r w:rsidRPr="68C0CA2D">
        <w:rPr>
          <w:lang w:val="en-AU"/>
        </w:rPr>
        <w:t>Food safety supervisor</w:t>
      </w:r>
      <w:bookmarkEnd w:id="90"/>
      <w:bookmarkEnd w:id="91"/>
      <w:r w:rsidRPr="68C0CA2D">
        <w:rPr>
          <w:lang w:val="en-AU"/>
        </w:rPr>
        <w:t xml:space="preserve"> </w:t>
      </w:r>
    </w:p>
    <w:p w14:paraId="3DC445D0" w14:textId="6D0AB1EB" w:rsidR="00CB7716" w:rsidRDefault="00CB7716" w:rsidP="003B2774">
      <w:pPr>
        <w:spacing w:after="240"/>
      </w:pPr>
      <w:r>
        <w:t xml:space="preserve">We considered a measure where in-scope businesses would be required to have at least one certified FSS. The Code does not currently include requirements for any businesses to have an FSS. Four jurisdictions have implemented their own FSS requirements for some of the businesses in the scope of this proposal. </w:t>
      </w:r>
    </w:p>
    <w:p w14:paraId="2DB70BEA" w14:textId="2C28532B" w:rsidR="00CB7716" w:rsidRDefault="00CB7716" w:rsidP="003B2774">
      <w:pPr>
        <w:spacing w:after="240"/>
      </w:pPr>
      <w:r>
        <w:t xml:space="preserve">FSS certification would require successful completion of training that is competency verified (i.e. including formal assessment). Through such training, a FSS would be qualified in recognising and preventing the risks associated with food handling in food service and retail food businesses. </w:t>
      </w:r>
    </w:p>
    <w:p w14:paraId="6250D132" w14:textId="58829C98" w:rsidR="00CB7716" w:rsidRPr="002673C7" w:rsidRDefault="00CB7716" w:rsidP="003B2774">
      <w:pPr>
        <w:spacing w:after="240"/>
      </w:pPr>
      <w:r>
        <w:t>Under Standard 3.2.2, a</w:t>
      </w:r>
      <w:r w:rsidRPr="002673C7">
        <w:t xml:space="preserve">ll </w:t>
      </w:r>
      <w:r>
        <w:t>food handlers</w:t>
      </w:r>
      <w:r w:rsidRPr="002673C7">
        <w:t xml:space="preserve"> must have the skills and knowledge relevant to their food duties</w:t>
      </w:r>
      <w:r>
        <w:t>. However</w:t>
      </w:r>
      <w:r w:rsidRPr="002673C7">
        <w:t xml:space="preserve">, </w:t>
      </w:r>
      <w:r>
        <w:t xml:space="preserve">FSANZ considers that a </w:t>
      </w:r>
      <w:r w:rsidRPr="002673C7">
        <w:t xml:space="preserve">FSS </w:t>
      </w:r>
      <w:r>
        <w:t xml:space="preserve">with specified competency training would be able to manage </w:t>
      </w:r>
      <w:r w:rsidRPr="002673C7">
        <w:t>the overall food safety of the business</w:t>
      </w:r>
      <w:r>
        <w:t>,</w:t>
      </w:r>
      <w:r w:rsidRPr="002673C7">
        <w:t xml:space="preserve"> </w:t>
      </w:r>
      <w:r>
        <w:t>across</w:t>
      </w:r>
      <w:r w:rsidRPr="002673C7">
        <w:t xml:space="preserve"> staff</w:t>
      </w:r>
      <w:r>
        <w:t xml:space="preserve">. </w:t>
      </w:r>
    </w:p>
    <w:p w14:paraId="5176460D" w14:textId="51B05F70" w:rsidR="00CB7716" w:rsidRPr="003B2774" w:rsidRDefault="00CB7716" w:rsidP="003B2774">
      <w:pPr>
        <w:rPr>
          <w:b/>
          <w:i/>
        </w:rPr>
      </w:pPr>
      <w:bookmarkStart w:id="92" w:name="_Toc70953240"/>
      <w:r w:rsidRPr="003B2774">
        <w:rPr>
          <w:b/>
          <w:i/>
        </w:rPr>
        <w:t>Evaluation</w:t>
      </w:r>
      <w:bookmarkEnd w:id="92"/>
      <w:r w:rsidRPr="003B2774">
        <w:rPr>
          <w:b/>
          <w:i/>
        </w:rPr>
        <w:t>: FSS</w:t>
      </w:r>
    </w:p>
    <w:p w14:paraId="416A473A" w14:textId="77777777" w:rsidR="00CB7716" w:rsidRDefault="00CB7716" w:rsidP="003B2774">
      <w:pPr>
        <w:spacing w:after="240"/>
      </w:pPr>
      <w:r>
        <w:t>E</w:t>
      </w:r>
      <w:r w:rsidRPr="002673C7">
        <w:t>valuation studies on</w:t>
      </w:r>
      <w:r>
        <w:t xml:space="preserve"> the impact of a FSS</w:t>
      </w:r>
      <w:r w:rsidRPr="002673C7">
        <w:t xml:space="preserve"> on foodborne illness </w:t>
      </w:r>
      <w:r>
        <w:t>and</w:t>
      </w:r>
      <w:r w:rsidRPr="002673C7">
        <w:t xml:space="preserve"> industry compliance with regulation</w:t>
      </w:r>
      <w:r>
        <w:t xml:space="preserve"> are scarce</w:t>
      </w:r>
      <w:r w:rsidRPr="002673C7">
        <w:t xml:space="preserve">. </w:t>
      </w:r>
      <w:r>
        <w:t xml:space="preserve">However, it appears that FSS requirements can make improvements. </w:t>
      </w:r>
    </w:p>
    <w:p w14:paraId="253B4221" w14:textId="77777777" w:rsidR="00CB7716" w:rsidRPr="002673C7" w:rsidRDefault="00CB7716" w:rsidP="003B2774">
      <w:pPr>
        <w:spacing w:after="240"/>
      </w:pPr>
      <w:r w:rsidRPr="002673C7">
        <w:t>N</w:t>
      </w:r>
      <w:r>
        <w:t xml:space="preserve">ew </w:t>
      </w:r>
      <w:r w:rsidRPr="002673C7">
        <w:t>S</w:t>
      </w:r>
      <w:r>
        <w:t xml:space="preserve">outh </w:t>
      </w:r>
      <w:r w:rsidRPr="002673C7">
        <w:t>W</w:t>
      </w:r>
      <w:r>
        <w:t xml:space="preserve">ales implemented a mandatory FSS requirement for certain businesses </w:t>
      </w:r>
      <w:r w:rsidRPr="002673C7">
        <w:t xml:space="preserve">in 2010 </w:t>
      </w:r>
      <w:r>
        <w:t>and evaluated this after 12 months (NSW Food Authority, 2015).</w:t>
      </w:r>
      <w:r w:rsidRPr="002673C7">
        <w:t xml:space="preserve"> The findings indicated:</w:t>
      </w:r>
    </w:p>
    <w:p w14:paraId="6D64BF75" w14:textId="77777777" w:rsidR="00CB7716" w:rsidRDefault="00CB7716" w:rsidP="004E6D96">
      <w:pPr>
        <w:pStyle w:val="ListParagraph"/>
        <w:numPr>
          <w:ilvl w:val="0"/>
          <w:numId w:val="26"/>
        </w:numPr>
        <w:spacing w:after="240"/>
      </w:pPr>
      <w:r>
        <w:t xml:space="preserve">a food handler’s knowledge of food safety and handling increased after competency-based FSS training </w:t>
      </w:r>
    </w:p>
    <w:p w14:paraId="4D11D2AE" w14:textId="77777777" w:rsidR="00CB7716" w:rsidRDefault="00CB7716" w:rsidP="004E6D96">
      <w:pPr>
        <w:pStyle w:val="ListParagraph"/>
        <w:numPr>
          <w:ilvl w:val="0"/>
          <w:numId w:val="26"/>
        </w:numPr>
        <w:spacing w:after="240"/>
      </w:pPr>
      <w:proofErr w:type="gramStart"/>
      <w:r>
        <w:t>g</w:t>
      </w:r>
      <w:r w:rsidRPr="002673C7">
        <w:t>enerally</w:t>
      </w:r>
      <w:proofErr w:type="gramEnd"/>
      <w:r w:rsidRPr="002673C7">
        <w:t xml:space="preserve">, compliance with food safety standards increased after the </w:t>
      </w:r>
      <w:r>
        <w:t xml:space="preserve">FSS </w:t>
      </w:r>
      <w:r w:rsidRPr="002673C7">
        <w:t xml:space="preserve">scheme was introduced. </w:t>
      </w:r>
    </w:p>
    <w:p w14:paraId="3FCC3BB2" w14:textId="2C455162" w:rsidR="00CB7716" w:rsidRDefault="00CB7716" w:rsidP="003B2774">
      <w:pPr>
        <w:spacing w:after="240"/>
      </w:pPr>
      <w:r w:rsidRPr="002673C7">
        <w:t xml:space="preserve">The impact </w:t>
      </w:r>
      <w:r>
        <w:t xml:space="preserve">on </w:t>
      </w:r>
      <w:r w:rsidRPr="002673C7">
        <w:t xml:space="preserve">reducing foodborne outbreaks </w:t>
      </w:r>
      <w:r>
        <w:t>wa</w:t>
      </w:r>
      <w:r w:rsidRPr="002673C7">
        <w:t xml:space="preserve">s not reflected </w:t>
      </w:r>
      <w:r>
        <w:t xml:space="preserve">in the report, </w:t>
      </w:r>
      <w:r w:rsidRPr="002673C7">
        <w:t xml:space="preserve">as the </w:t>
      </w:r>
      <w:r w:rsidR="003B2774">
        <w:t>r</w:t>
      </w:r>
      <w:r>
        <w:t>equirement</w:t>
      </w:r>
      <w:r w:rsidRPr="002673C7">
        <w:t xml:space="preserve"> had only been </w:t>
      </w:r>
      <w:r>
        <w:t>in place</w:t>
      </w:r>
      <w:r w:rsidRPr="002673C7">
        <w:t xml:space="preserve"> </w:t>
      </w:r>
      <w:r>
        <w:t>a relatively short time</w:t>
      </w:r>
      <w:r w:rsidRPr="002673C7">
        <w:t xml:space="preserve">. </w:t>
      </w:r>
    </w:p>
    <w:p w14:paraId="191AF761" w14:textId="77777777" w:rsidR="00CB7716" w:rsidRDefault="00CB7716" w:rsidP="003B2774">
      <w:pPr>
        <w:spacing w:after="240"/>
      </w:pPr>
      <w:r>
        <w:t>St</w:t>
      </w:r>
      <w:r w:rsidRPr="002673C7">
        <w:t>akeholder feedback provided in FSM WG and FSANZ consultation</w:t>
      </w:r>
      <w:r>
        <w:t>s also indicates</w:t>
      </w:r>
      <w:r w:rsidRPr="002673C7">
        <w:t xml:space="preserve"> existing jurisdictional FSS requirements </w:t>
      </w:r>
      <w:r>
        <w:t xml:space="preserve">have </w:t>
      </w:r>
      <w:r w:rsidRPr="002673C7">
        <w:t>resulted in some improvements in food safety.</w:t>
      </w:r>
    </w:p>
    <w:p w14:paraId="3A91044D" w14:textId="77777777" w:rsidR="00CB7716" w:rsidRDefault="00CB7716" w:rsidP="003B2774">
      <w:pPr>
        <w:spacing w:after="240"/>
      </w:pPr>
      <w:r>
        <w:t>International</w:t>
      </w:r>
      <w:r w:rsidRPr="002673C7">
        <w:t xml:space="preserve"> studies on </w:t>
      </w:r>
      <w:r>
        <w:t>compliance impacts</w:t>
      </w:r>
      <w:r w:rsidRPr="002673C7">
        <w:t xml:space="preserve"> of food safety training on food service operations</w:t>
      </w:r>
      <w:r>
        <w:t>,</w:t>
      </w:r>
      <w:r w:rsidRPr="002673C7">
        <w:t xml:space="preserve"> </w:t>
      </w:r>
      <w:r>
        <w:t>show improved outcomes with FSS or equivalents. R</w:t>
      </w:r>
      <w:r w:rsidRPr="002673C7">
        <w:t>estaurants with trained and certified food managers ha</w:t>
      </w:r>
      <w:r>
        <w:t>ve</w:t>
      </w:r>
      <w:r w:rsidRPr="002673C7">
        <w:t xml:space="preserve"> significantly fewer critical food safety violations</w:t>
      </w:r>
      <w:r>
        <w:t>,</w:t>
      </w:r>
      <w:r w:rsidRPr="002673C7">
        <w:t xml:space="preserve"> compared to r</w:t>
      </w:r>
      <w:r>
        <w:t>estaurants without certified</w:t>
      </w:r>
      <w:r w:rsidRPr="002673C7">
        <w:t xml:space="preserve"> </w:t>
      </w:r>
      <w:r w:rsidRPr="00EB7634">
        <w:t xml:space="preserve">managers </w:t>
      </w:r>
      <w:r w:rsidRPr="00EB7634">
        <w:fldChar w:fldCharType="begin"/>
      </w:r>
      <w:r w:rsidRPr="00EB7634">
        <w:instrText>ADDIN CITAVI.PLACEHOLDER 4d569615-1008-4ee7-a2fb-6fb1185091f7 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</w:instrText>
      </w:r>
      <w:r w:rsidRPr="00EB7634">
        <w:fldChar w:fldCharType="separate"/>
      </w:r>
      <w:bookmarkStart w:id="93" w:name="_CTVP0014d56961510084ee7a2fb6fb1185091f7"/>
      <w:r w:rsidRPr="00EB7634">
        <w:t>(Aik et al. 2020; Kassa et al. 2010)</w:t>
      </w:r>
      <w:bookmarkEnd w:id="93"/>
      <w:r w:rsidRPr="00EB7634">
        <w:fldChar w:fldCharType="end"/>
      </w:r>
      <w:r w:rsidRPr="00EB7634">
        <w:t>. These</w:t>
      </w:r>
      <w:r>
        <w:t xml:space="preserve"> types of t</w:t>
      </w:r>
      <w:r w:rsidRPr="002673C7">
        <w:t xml:space="preserve">raining programs appear to </w:t>
      </w:r>
      <w:r>
        <w:t>have a greater impact on</w:t>
      </w:r>
      <w:r w:rsidRPr="002673C7">
        <w:t xml:space="preserve"> restaurants that are not part of chains or large franchises </w:t>
      </w:r>
      <w:r w:rsidRPr="00EB7634">
        <w:fldChar w:fldCharType="begin"/>
      </w:r>
      <w:r w:rsidRPr="00EB7634">
        <w:instrText>ADDIN CITAVI.PLACEHOLDER 930d5924-819f-4f21-824a-7430d9f78d74 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</w:instrText>
      </w:r>
      <w:r w:rsidRPr="00EB7634">
        <w:fldChar w:fldCharType="separate"/>
      </w:r>
      <w:bookmarkStart w:id="94" w:name="_CTVP001930d5924819f4f21824a7430d9f78d74"/>
      <w:r w:rsidRPr="00EB7634">
        <w:t>(Hedberg et al. 2006)</w:t>
      </w:r>
      <w:bookmarkEnd w:id="94"/>
      <w:r w:rsidRPr="00EB7634">
        <w:fldChar w:fldCharType="end"/>
      </w:r>
      <w:r w:rsidRPr="00EB7634">
        <w:t>.</w:t>
      </w:r>
      <w:r>
        <w:t xml:space="preserve"> </w:t>
      </w:r>
    </w:p>
    <w:p w14:paraId="685EE36C" w14:textId="77777777" w:rsidR="00CB7716" w:rsidRPr="003B2774" w:rsidRDefault="00CB7716" w:rsidP="003B2774">
      <w:pPr>
        <w:rPr>
          <w:b/>
          <w:i/>
        </w:rPr>
      </w:pPr>
      <w:bookmarkStart w:id="95" w:name="_Toc70953241"/>
      <w:r w:rsidRPr="003B2774">
        <w:rPr>
          <w:b/>
          <w:i/>
        </w:rPr>
        <w:t>Gap analysis: FSS</w:t>
      </w:r>
      <w:bookmarkEnd w:id="95"/>
    </w:p>
    <w:p w14:paraId="46173348" w14:textId="325558F7" w:rsidR="00643567" w:rsidRPr="00DD3F7A" w:rsidRDefault="00CB7716" w:rsidP="003B2774">
      <w:pPr>
        <w:spacing w:after="240"/>
        <w:rPr>
          <w:sz w:val="20"/>
        </w:rPr>
      </w:pPr>
      <w:r w:rsidRPr="009273E5">
        <w:rPr>
          <w:bCs/>
          <w:color w:val="000000" w:themeColor="text1"/>
          <w:lang w:eastAsia="en-AU"/>
        </w:rPr>
        <w:t xml:space="preserve">A gap analysis of the differing </w:t>
      </w:r>
      <w:r>
        <w:rPr>
          <w:bCs/>
          <w:color w:val="000000" w:themeColor="text1"/>
          <w:lang w:eastAsia="en-AU"/>
        </w:rPr>
        <w:t xml:space="preserve">FSS </w:t>
      </w:r>
      <w:r w:rsidRPr="009273E5">
        <w:rPr>
          <w:bCs/>
          <w:color w:val="000000" w:themeColor="text1"/>
          <w:lang w:eastAsia="en-AU"/>
        </w:rPr>
        <w:t xml:space="preserve">requirements in Australian states and territories is </w:t>
      </w:r>
      <w:r>
        <w:rPr>
          <w:bCs/>
          <w:color w:val="000000" w:themeColor="text1"/>
          <w:lang w:eastAsia="en-AU"/>
        </w:rPr>
        <w:t>outlined</w:t>
      </w:r>
      <w:r w:rsidRPr="009273E5">
        <w:rPr>
          <w:bCs/>
          <w:color w:val="000000" w:themeColor="text1"/>
          <w:lang w:eastAsia="en-AU"/>
        </w:rPr>
        <w:t xml:space="preserve"> </w:t>
      </w:r>
      <w:r w:rsidRPr="00800C45">
        <w:rPr>
          <w:bCs/>
          <w:color w:val="000000" w:themeColor="text1"/>
          <w:lang w:eastAsia="en-AU"/>
        </w:rPr>
        <w:t xml:space="preserve">in Table </w:t>
      </w:r>
      <w:r>
        <w:rPr>
          <w:bCs/>
          <w:color w:val="000000" w:themeColor="text1"/>
          <w:lang w:eastAsia="en-AU"/>
        </w:rPr>
        <w:t xml:space="preserve">3 </w:t>
      </w:r>
      <w:r w:rsidRPr="009273E5">
        <w:rPr>
          <w:bCs/>
          <w:color w:val="000000" w:themeColor="text1"/>
          <w:lang w:eastAsia="en-AU"/>
        </w:rPr>
        <w:t>below.</w:t>
      </w:r>
      <w:r>
        <w:rPr>
          <w:bCs/>
          <w:color w:val="000000" w:themeColor="text1"/>
          <w:lang w:eastAsia="en-AU"/>
        </w:rPr>
        <w:t xml:space="preserve"> In summary, the proposed FSS measure would have greatest impact on the jurisdictions that do not already have existing FSS requirements. </w:t>
      </w:r>
    </w:p>
    <w:p w14:paraId="2672AC3E" w14:textId="77777777" w:rsidR="00CB7716" w:rsidRPr="00D919F1" w:rsidRDefault="00CB7716" w:rsidP="00CB7716">
      <w:pPr>
        <w:pStyle w:val="Caption"/>
        <w:keepNext/>
        <w:rPr>
          <w:b/>
          <w:color w:val="auto"/>
          <w:sz w:val="20"/>
          <w:szCs w:val="20"/>
        </w:rPr>
      </w:pPr>
      <w:r w:rsidRPr="00D919F1">
        <w:rPr>
          <w:b/>
          <w:color w:val="auto"/>
          <w:sz w:val="20"/>
          <w:szCs w:val="20"/>
        </w:rPr>
        <w:t>Table 3: Gap analysis of food safety supervisor (FSS) requirements across jurisdictions</w:t>
      </w:r>
    </w:p>
    <w:tbl>
      <w:tblPr>
        <w:tblW w:w="10015" w:type="dxa"/>
        <w:tblLook w:val="04A0" w:firstRow="1" w:lastRow="0" w:firstColumn="1" w:lastColumn="0" w:noHBand="0" w:noVBand="1"/>
      </w:tblPr>
      <w:tblGrid>
        <w:gridCol w:w="1470"/>
        <w:gridCol w:w="4630"/>
        <w:gridCol w:w="3915"/>
      </w:tblGrid>
      <w:tr w:rsidR="00CB7716" w:rsidRPr="009273E5" w14:paraId="510F7380" w14:textId="77777777" w:rsidTr="00CB7716">
        <w:trPr>
          <w:tblHeader/>
        </w:trPr>
        <w:tc>
          <w:tcPr>
            <w:tcW w:w="1470" w:type="dxa"/>
            <w:tcBorders>
              <w:top w:val="single" w:sz="4" w:space="0" w:color="auto"/>
              <w:left w:val="single" w:sz="4" w:space="0" w:color="auto"/>
              <w:bottom w:val="single" w:sz="4" w:space="0" w:color="auto"/>
              <w:right w:val="single" w:sz="4" w:space="0" w:color="auto"/>
            </w:tcBorders>
            <w:shd w:val="clear" w:color="auto" w:fill="DDD9C3" w:themeFill="background2" w:themeFillShade="E6"/>
            <w:hideMark/>
          </w:tcPr>
          <w:p w14:paraId="18468218" w14:textId="77777777" w:rsidR="00CB7716" w:rsidRPr="009273E5" w:rsidRDefault="00CB7716" w:rsidP="00CB7716">
            <w:pPr>
              <w:spacing w:after="85"/>
              <w:rPr>
                <w:b/>
                <w:sz w:val="20"/>
                <w:lang w:val="en-AU"/>
              </w:rPr>
            </w:pPr>
            <w:r w:rsidRPr="009273E5">
              <w:rPr>
                <w:b/>
                <w:sz w:val="20"/>
                <w:lang w:val="en-AU"/>
              </w:rPr>
              <w:t>State/</w:t>
            </w:r>
            <w:r w:rsidRPr="009273E5">
              <w:rPr>
                <w:b/>
                <w:sz w:val="20"/>
                <w:lang w:val="en-AU"/>
              </w:rPr>
              <w:br/>
              <w:t>territory</w:t>
            </w:r>
          </w:p>
        </w:tc>
        <w:tc>
          <w:tcPr>
            <w:tcW w:w="4630" w:type="dxa"/>
            <w:tcBorders>
              <w:top w:val="single" w:sz="4" w:space="0" w:color="auto"/>
              <w:left w:val="single" w:sz="4" w:space="0" w:color="auto"/>
              <w:bottom w:val="single" w:sz="4" w:space="0" w:color="auto"/>
              <w:right w:val="single" w:sz="4" w:space="0" w:color="auto"/>
            </w:tcBorders>
            <w:shd w:val="clear" w:color="auto" w:fill="DDD9C3" w:themeFill="background2" w:themeFillShade="E6"/>
            <w:hideMark/>
          </w:tcPr>
          <w:p w14:paraId="63F995B4" w14:textId="77777777" w:rsidR="00CB7716" w:rsidRPr="009273E5" w:rsidRDefault="00CB7716" w:rsidP="00CB7716">
            <w:pPr>
              <w:spacing w:after="85"/>
              <w:rPr>
                <w:b/>
                <w:sz w:val="20"/>
                <w:lang w:val="en-AU"/>
              </w:rPr>
            </w:pPr>
            <w:r w:rsidRPr="009273E5">
              <w:rPr>
                <w:b/>
                <w:sz w:val="20"/>
                <w:lang w:val="en-AU"/>
              </w:rPr>
              <w:t>Current requirement</w:t>
            </w:r>
          </w:p>
        </w:tc>
        <w:tc>
          <w:tcPr>
            <w:tcW w:w="3915" w:type="dxa"/>
            <w:tcBorders>
              <w:top w:val="single" w:sz="4" w:space="0" w:color="auto"/>
              <w:left w:val="single" w:sz="4" w:space="0" w:color="auto"/>
              <w:bottom w:val="single" w:sz="4" w:space="0" w:color="auto"/>
              <w:right w:val="single" w:sz="4" w:space="0" w:color="auto"/>
            </w:tcBorders>
            <w:shd w:val="clear" w:color="auto" w:fill="DDD9C3" w:themeFill="background2" w:themeFillShade="E6"/>
            <w:hideMark/>
          </w:tcPr>
          <w:p w14:paraId="78F10310" w14:textId="77777777" w:rsidR="00CB7716" w:rsidRPr="009273E5" w:rsidRDefault="00CB7716" w:rsidP="00CB7716">
            <w:pPr>
              <w:spacing w:after="85"/>
              <w:rPr>
                <w:b/>
                <w:sz w:val="20"/>
                <w:lang w:val="en-AU"/>
              </w:rPr>
            </w:pPr>
            <w:r w:rsidRPr="009273E5">
              <w:rPr>
                <w:b/>
                <w:sz w:val="20"/>
                <w:lang w:val="en-AU"/>
              </w:rPr>
              <w:t>Gap</w:t>
            </w:r>
            <w:r>
              <w:rPr>
                <w:b/>
                <w:sz w:val="20"/>
                <w:lang w:val="en-AU"/>
              </w:rPr>
              <w:t xml:space="preserve"> </w:t>
            </w:r>
            <w:r w:rsidRPr="00271B7F">
              <w:rPr>
                <w:b/>
                <w:sz w:val="20"/>
                <w:lang w:val="en-AU"/>
              </w:rPr>
              <w:t>between current and proposed measure</w:t>
            </w:r>
          </w:p>
        </w:tc>
      </w:tr>
      <w:tr w:rsidR="00CB7716" w:rsidRPr="009273E5" w14:paraId="3102E180" w14:textId="77777777" w:rsidTr="00CB7716">
        <w:tc>
          <w:tcPr>
            <w:tcW w:w="1470" w:type="dxa"/>
            <w:tcBorders>
              <w:top w:val="single" w:sz="4" w:space="0" w:color="auto"/>
              <w:left w:val="single" w:sz="4" w:space="0" w:color="auto"/>
              <w:bottom w:val="single" w:sz="4" w:space="0" w:color="auto"/>
              <w:right w:val="single" w:sz="4" w:space="0" w:color="auto"/>
            </w:tcBorders>
          </w:tcPr>
          <w:p w14:paraId="58CEC48C" w14:textId="77777777" w:rsidR="00CB7716" w:rsidRPr="003B2774" w:rsidRDefault="00CB7716" w:rsidP="00CB7716">
            <w:pPr>
              <w:spacing w:after="85"/>
              <w:rPr>
                <w:rFonts w:cs="Arial"/>
                <w:sz w:val="20"/>
                <w:szCs w:val="20"/>
                <w:lang w:val="en-AU"/>
              </w:rPr>
            </w:pPr>
            <w:r w:rsidRPr="003B2774">
              <w:rPr>
                <w:rFonts w:cs="Arial"/>
                <w:sz w:val="20"/>
                <w:szCs w:val="20"/>
                <w:lang w:val="en-AU"/>
              </w:rPr>
              <w:t>National (FSC)</w:t>
            </w:r>
          </w:p>
        </w:tc>
        <w:tc>
          <w:tcPr>
            <w:tcW w:w="4630" w:type="dxa"/>
            <w:tcBorders>
              <w:top w:val="single" w:sz="4" w:space="0" w:color="auto"/>
              <w:left w:val="single" w:sz="4" w:space="0" w:color="auto"/>
              <w:bottom w:val="single" w:sz="4" w:space="0" w:color="auto"/>
              <w:right w:val="single" w:sz="4" w:space="0" w:color="auto"/>
            </w:tcBorders>
          </w:tcPr>
          <w:p w14:paraId="0F5720E7" w14:textId="77777777" w:rsidR="00CB7716" w:rsidRPr="003B2774" w:rsidRDefault="00CB7716" w:rsidP="00CB7716">
            <w:pPr>
              <w:spacing w:after="85"/>
              <w:rPr>
                <w:rFonts w:cs="Arial"/>
                <w:sz w:val="20"/>
                <w:szCs w:val="20"/>
                <w:lang w:val="en-AU"/>
              </w:rPr>
            </w:pPr>
            <w:r w:rsidRPr="003B2774">
              <w:rPr>
                <w:rFonts w:cs="Arial"/>
                <w:sz w:val="20"/>
                <w:szCs w:val="20"/>
                <w:lang w:val="en-AU"/>
              </w:rPr>
              <w:t>No legislative training requirement; however Standard 3.2.2 requires a food business to ensure persons supervising food handling operations have skills and knowledge in food safety and food hygiene matters commensurate with their work activities.</w:t>
            </w:r>
          </w:p>
          <w:p w14:paraId="1C9602EE" w14:textId="77777777" w:rsidR="00CB7716" w:rsidRPr="003B2774" w:rsidRDefault="00CB7716" w:rsidP="00CB7716">
            <w:pPr>
              <w:spacing w:after="85"/>
              <w:rPr>
                <w:rFonts w:cs="Arial"/>
                <w:sz w:val="20"/>
                <w:szCs w:val="20"/>
                <w:lang w:val="en-AU"/>
              </w:rPr>
            </w:pPr>
            <w:r w:rsidRPr="003B2774">
              <w:rPr>
                <w:rFonts w:cs="Arial"/>
                <w:sz w:val="20"/>
                <w:szCs w:val="20"/>
                <w:lang w:val="en-AU"/>
              </w:rPr>
              <w:t xml:space="preserve">Applies to all food businesses, not just P1 and P2 catering. </w:t>
            </w:r>
          </w:p>
        </w:tc>
        <w:tc>
          <w:tcPr>
            <w:tcW w:w="3915" w:type="dxa"/>
            <w:tcBorders>
              <w:top w:val="single" w:sz="4" w:space="0" w:color="auto"/>
              <w:left w:val="single" w:sz="4" w:space="0" w:color="auto"/>
              <w:bottom w:val="single" w:sz="4" w:space="0" w:color="auto"/>
              <w:right w:val="single" w:sz="4" w:space="0" w:color="auto"/>
            </w:tcBorders>
          </w:tcPr>
          <w:p w14:paraId="41FB231A" w14:textId="77777777" w:rsidR="00CB7716" w:rsidRPr="003B2774" w:rsidRDefault="00CB7716" w:rsidP="00CB7716">
            <w:pPr>
              <w:spacing w:after="85"/>
              <w:rPr>
                <w:rFonts w:cs="Arial"/>
                <w:sz w:val="20"/>
                <w:szCs w:val="20"/>
                <w:lang w:val="en-AU"/>
              </w:rPr>
            </w:pPr>
            <w:r w:rsidRPr="003B2774">
              <w:rPr>
                <w:rFonts w:cs="Arial"/>
                <w:sz w:val="20"/>
                <w:szCs w:val="20"/>
                <w:lang w:val="en-AU"/>
              </w:rPr>
              <w:t xml:space="preserve">Large gap </w:t>
            </w:r>
          </w:p>
          <w:p w14:paraId="5A7E7097" w14:textId="77777777" w:rsidR="00CB7716" w:rsidRPr="003B2774" w:rsidRDefault="00CB7716" w:rsidP="00CB7716">
            <w:pPr>
              <w:spacing w:after="85"/>
              <w:rPr>
                <w:rFonts w:cs="Arial"/>
                <w:sz w:val="20"/>
                <w:szCs w:val="20"/>
                <w:lang w:val="en-AU"/>
              </w:rPr>
            </w:pPr>
            <w:r w:rsidRPr="003B2774">
              <w:rPr>
                <w:rFonts w:cs="Arial"/>
                <w:sz w:val="20"/>
                <w:szCs w:val="20"/>
                <w:lang w:val="en-AU"/>
              </w:rPr>
              <w:t>Proposed requirement would require competency-based training and a certified person to supervise food handling. This certification would be renewed every 5 years.</w:t>
            </w:r>
          </w:p>
          <w:p w14:paraId="3FB22A05" w14:textId="77777777" w:rsidR="00CB7716" w:rsidRPr="003B2774" w:rsidRDefault="00CB7716" w:rsidP="00CB7716">
            <w:pPr>
              <w:spacing w:after="85"/>
              <w:rPr>
                <w:rFonts w:cs="Arial"/>
                <w:sz w:val="20"/>
                <w:szCs w:val="20"/>
                <w:lang w:val="en-AU"/>
              </w:rPr>
            </w:pPr>
          </w:p>
        </w:tc>
      </w:tr>
      <w:tr w:rsidR="00CB7716" w:rsidRPr="009273E5" w14:paraId="4A022414" w14:textId="77777777" w:rsidTr="00CB7716">
        <w:tc>
          <w:tcPr>
            <w:tcW w:w="1470" w:type="dxa"/>
            <w:tcBorders>
              <w:top w:val="single" w:sz="4" w:space="0" w:color="auto"/>
              <w:left w:val="single" w:sz="4" w:space="0" w:color="auto"/>
              <w:bottom w:val="single" w:sz="4" w:space="0" w:color="auto"/>
              <w:right w:val="single" w:sz="4" w:space="0" w:color="auto"/>
            </w:tcBorders>
            <w:hideMark/>
          </w:tcPr>
          <w:p w14:paraId="5691C39D" w14:textId="77777777" w:rsidR="00CB7716" w:rsidRPr="003B2774" w:rsidRDefault="00CB7716" w:rsidP="00CB7716">
            <w:pPr>
              <w:spacing w:after="85"/>
              <w:rPr>
                <w:rFonts w:cs="Arial"/>
                <w:sz w:val="20"/>
                <w:szCs w:val="20"/>
                <w:lang w:val="en-AU"/>
              </w:rPr>
            </w:pPr>
            <w:r w:rsidRPr="003B2774">
              <w:rPr>
                <w:rFonts w:cs="Arial"/>
                <w:sz w:val="20"/>
                <w:szCs w:val="20"/>
                <w:lang w:val="en-AU"/>
              </w:rPr>
              <w:t>ACT</w:t>
            </w:r>
          </w:p>
        </w:tc>
        <w:tc>
          <w:tcPr>
            <w:tcW w:w="4630" w:type="dxa"/>
            <w:tcBorders>
              <w:top w:val="single" w:sz="4" w:space="0" w:color="auto"/>
              <w:left w:val="single" w:sz="4" w:space="0" w:color="auto"/>
              <w:bottom w:val="single" w:sz="4" w:space="0" w:color="auto"/>
              <w:right w:val="single" w:sz="4" w:space="0" w:color="auto"/>
            </w:tcBorders>
          </w:tcPr>
          <w:p w14:paraId="310A4F41" w14:textId="77777777" w:rsidR="00CB7716" w:rsidRPr="003B2774" w:rsidRDefault="00CB7716" w:rsidP="00CB7716">
            <w:pPr>
              <w:spacing w:after="85"/>
              <w:rPr>
                <w:rFonts w:cs="Arial"/>
                <w:sz w:val="20"/>
                <w:szCs w:val="20"/>
                <w:lang w:val="en-AU"/>
              </w:rPr>
            </w:pPr>
            <w:r w:rsidRPr="003B2774">
              <w:rPr>
                <w:rFonts w:cs="Arial"/>
                <w:sz w:val="20"/>
                <w:szCs w:val="20"/>
                <w:lang w:val="en-AU"/>
              </w:rPr>
              <w:t xml:space="preserve">Food businesses must be registered. </w:t>
            </w:r>
          </w:p>
          <w:p w14:paraId="738F35B2" w14:textId="583080A3" w:rsidR="00CB7716" w:rsidRPr="003B2774" w:rsidRDefault="00CB7716" w:rsidP="00CB7716">
            <w:pPr>
              <w:spacing w:after="85"/>
              <w:rPr>
                <w:rFonts w:cs="Arial"/>
                <w:sz w:val="20"/>
                <w:szCs w:val="20"/>
                <w:lang w:val="en-AU"/>
              </w:rPr>
            </w:pPr>
            <w:r w:rsidRPr="003B2774">
              <w:rPr>
                <w:rFonts w:cs="Arial"/>
                <w:sz w:val="20"/>
                <w:szCs w:val="20"/>
                <w:lang w:val="en-AU"/>
              </w:rPr>
              <w:t>A FSS required for registered businesses handling PHF (includes P1 and P2 catering</w:t>
            </w:r>
            <w:r w:rsidR="0081747A" w:rsidRPr="003B2774">
              <w:rPr>
                <w:rFonts w:cs="Arial"/>
                <w:sz w:val="20"/>
                <w:szCs w:val="20"/>
                <w:lang w:val="en-AU"/>
              </w:rPr>
              <w:t xml:space="preserve"> </w:t>
            </w:r>
            <w:r w:rsidRPr="003B2774">
              <w:rPr>
                <w:rFonts w:cs="Arial"/>
                <w:sz w:val="20"/>
                <w:szCs w:val="20"/>
                <w:lang w:val="en-AU"/>
              </w:rPr>
              <w:t xml:space="preserve">and retailers of PHF). </w:t>
            </w:r>
          </w:p>
          <w:p w14:paraId="580BD9A2" w14:textId="77777777" w:rsidR="00CB7716" w:rsidRPr="003B2774" w:rsidRDefault="00CB7716" w:rsidP="00CB7716">
            <w:pPr>
              <w:spacing w:after="85"/>
              <w:rPr>
                <w:rFonts w:cs="Arial"/>
                <w:sz w:val="20"/>
                <w:szCs w:val="20"/>
                <w:lang w:val="en-AU"/>
              </w:rPr>
            </w:pPr>
            <w:r w:rsidRPr="003B2774">
              <w:rPr>
                <w:rFonts w:cs="Arial"/>
                <w:sz w:val="20"/>
                <w:szCs w:val="20"/>
                <w:lang w:val="en-AU"/>
              </w:rPr>
              <w:t xml:space="preserve">Currency of certification (must have statement of approved food safety training within last 5 years). </w:t>
            </w:r>
          </w:p>
          <w:p w14:paraId="59A91250" w14:textId="77777777" w:rsidR="00CB7716" w:rsidRPr="003B2774" w:rsidRDefault="00CB7716" w:rsidP="00CB7716">
            <w:pPr>
              <w:spacing w:after="85"/>
              <w:rPr>
                <w:rFonts w:cs="Arial"/>
                <w:sz w:val="20"/>
                <w:szCs w:val="20"/>
                <w:lang w:val="en-AU"/>
              </w:rPr>
            </w:pPr>
            <w:r w:rsidRPr="003B2774">
              <w:rPr>
                <w:rFonts w:cs="Arial"/>
                <w:sz w:val="20"/>
                <w:szCs w:val="20"/>
                <w:lang w:val="en-AU"/>
              </w:rPr>
              <w:t>FSS defined in food act.</w:t>
            </w:r>
          </w:p>
        </w:tc>
        <w:tc>
          <w:tcPr>
            <w:tcW w:w="3915" w:type="dxa"/>
            <w:tcBorders>
              <w:top w:val="single" w:sz="4" w:space="0" w:color="auto"/>
              <w:left w:val="single" w:sz="4" w:space="0" w:color="auto"/>
              <w:bottom w:val="single" w:sz="4" w:space="0" w:color="auto"/>
              <w:right w:val="single" w:sz="4" w:space="0" w:color="auto"/>
            </w:tcBorders>
            <w:hideMark/>
          </w:tcPr>
          <w:p w14:paraId="46306792" w14:textId="77777777" w:rsidR="00CB7716" w:rsidRPr="003B2774" w:rsidRDefault="00CB7716" w:rsidP="00CB7716">
            <w:pPr>
              <w:spacing w:after="85"/>
              <w:rPr>
                <w:rFonts w:cs="Arial"/>
                <w:sz w:val="20"/>
                <w:szCs w:val="20"/>
                <w:lang w:val="en-AU"/>
              </w:rPr>
            </w:pPr>
            <w:r w:rsidRPr="003B2774">
              <w:rPr>
                <w:rFonts w:cs="Arial"/>
                <w:sz w:val="20"/>
                <w:szCs w:val="20"/>
                <w:lang w:val="en-AU"/>
              </w:rPr>
              <w:t>No real gap.</w:t>
            </w:r>
          </w:p>
        </w:tc>
      </w:tr>
      <w:tr w:rsidR="00CB7716" w:rsidRPr="009273E5" w14:paraId="741BEB99" w14:textId="77777777" w:rsidTr="00CB7716">
        <w:tc>
          <w:tcPr>
            <w:tcW w:w="1470" w:type="dxa"/>
            <w:tcBorders>
              <w:top w:val="single" w:sz="4" w:space="0" w:color="auto"/>
              <w:left w:val="single" w:sz="4" w:space="0" w:color="auto"/>
              <w:bottom w:val="single" w:sz="4" w:space="0" w:color="auto"/>
              <w:right w:val="single" w:sz="4" w:space="0" w:color="auto"/>
            </w:tcBorders>
            <w:hideMark/>
          </w:tcPr>
          <w:p w14:paraId="4F2EFD83" w14:textId="77777777" w:rsidR="00CB7716" w:rsidRPr="003B2774" w:rsidRDefault="00CB7716" w:rsidP="00CB7716">
            <w:pPr>
              <w:spacing w:after="85"/>
              <w:rPr>
                <w:rFonts w:cs="Arial"/>
                <w:sz w:val="20"/>
                <w:szCs w:val="20"/>
                <w:lang w:val="en-AU"/>
              </w:rPr>
            </w:pPr>
            <w:r w:rsidRPr="003B2774">
              <w:rPr>
                <w:rFonts w:cs="Arial"/>
                <w:sz w:val="20"/>
                <w:szCs w:val="20"/>
                <w:lang w:val="en-AU"/>
              </w:rPr>
              <w:t>NSW</w:t>
            </w:r>
          </w:p>
        </w:tc>
        <w:tc>
          <w:tcPr>
            <w:tcW w:w="4630" w:type="dxa"/>
            <w:tcBorders>
              <w:top w:val="single" w:sz="4" w:space="0" w:color="auto"/>
              <w:left w:val="single" w:sz="4" w:space="0" w:color="auto"/>
              <w:bottom w:val="single" w:sz="4" w:space="0" w:color="auto"/>
              <w:right w:val="single" w:sz="4" w:space="0" w:color="auto"/>
            </w:tcBorders>
          </w:tcPr>
          <w:p w14:paraId="58C07A28" w14:textId="77777777" w:rsidR="00CB7716" w:rsidRPr="003B2774" w:rsidRDefault="00CB7716" w:rsidP="00CB7716">
            <w:pPr>
              <w:spacing w:after="85"/>
              <w:rPr>
                <w:rFonts w:cs="Arial"/>
                <w:sz w:val="20"/>
                <w:szCs w:val="20"/>
                <w:lang w:val="en-AU"/>
              </w:rPr>
            </w:pPr>
            <w:r w:rsidRPr="003B2774">
              <w:rPr>
                <w:rFonts w:cs="Arial"/>
                <w:sz w:val="20"/>
                <w:szCs w:val="20"/>
                <w:lang w:val="en-AU"/>
              </w:rPr>
              <w:t xml:space="preserve">Certain businesses must be licenced (based on criteria and includes P1 and P2). </w:t>
            </w:r>
          </w:p>
          <w:p w14:paraId="6B1B3C20" w14:textId="77777777" w:rsidR="00CB7716" w:rsidRPr="003B2774" w:rsidRDefault="00CB7716" w:rsidP="00CB7716">
            <w:pPr>
              <w:spacing w:after="85"/>
              <w:rPr>
                <w:rFonts w:cs="Arial"/>
                <w:sz w:val="20"/>
                <w:szCs w:val="20"/>
                <w:lang w:val="en-AU"/>
              </w:rPr>
            </w:pPr>
            <w:r w:rsidRPr="003B2774">
              <w:rPr>
                <w:rFonts w:cs="Arial"/>
                <w:sz w:val="20"/>
                <w:szCs w:val="20"/>
                <w:lang w:val="en-AU"/>
              </w:rPr>
              <w:t xml:space="preserve">At least 1 FSS required for businesses processing/selling ready-to-eat PHF that is not pre-packaged (includes P1 and P2 catering). </w:t>
            </w:r>
          </w:p>
          <w:p w14:paraId="0EDE9189" w14:textId="77777777" w:rsidR="00CB7716" w:rsidRPr="003B2774" w:rsidRDefault="00CB7716" w:rsidP="00CB7716">
            <w:pPr>
              <w:spacing w:after="85"/>
              <w:rPr>
                <w:rFonts w:cs="Arial"/>
                <w:sz w:val="20"/>
                <w:szCs w:val="20"/>
                <w:lang w:val="en-AU"/>
              </w:rPr>
            </w:pPr>
            <w:r w:rsidRPr="003B2774">
              <w:rPr>
                <w:rFonts w:cs="Arial"/>
                <w:sz w:val="20"/>
                <w:szCs w:val="20"/>
                <w:lang w:val="en-AU"/>
              </w:rPr>
              <w:t xml:space="preserve">Currency of certification (must have certificate from approved RTO within last 5 years). </w:t>
            </w:r>
          </w:p>
          <w:p w14:paraId="0B81FCA1" w14:textId="77777777" w:rsidR="00CB7716" w:rsidRPr="003B2774" w:rsidRDefault="00CB7716" w:rsidP="00CB7716">
            <w:pPr>
              <w:spacing w:after="85"/>
              <w:rPr>
                <w:rFonts w:cs="Arial"/>
                <w:sz w:val="20"/>
                <w:szCs w:val="20"/>
                <w:lang w:val="en-AU"/>
              </w:rPr>
            </w:pPr>
            <w:r w:rsidRPr="003B2774">
              <w:rPr>
                <w:rFonts w:cs="Arial"/>
                <w:sz w:val="20"/>
                <w:szCs w:val="20"/>
                <w:lang w:val="en-AU"/>
              </w:rPr>
              <w:t>FSS defined in food act.</w:t>
            </w:r>
          </w:p>
        </w:tc>
        <w:tc>
          <w:tcPr>
            <w:tcW w:w="3915" w:type="dxa"/>
            <w:tcBorders>
              <w:top w:val="single" w:sz="4" w:space="0" w:color="auto"/>
              <w:left w:val="single" w:sz="4" w:space="0" w:color="auto"/>
              <w:bottom w:val="single" w:sz="4" w:space="0" w:color="auto"/>
              <w:right w:val="single" w:sz="4" w:space="0" w:color="auto"/>
            </w:tcBorders>
            <w:hideMark/>
          </w:tcPr>
          <w:p w14:paraId="14C56763" w14:textId="77777777" w:rsidR="00CB7716" w:rsidRPr="003B2774" w:rsidRDefault="00CB7716" w:rsidP="00CB7716">
            <w:pPr>
              <w:spacing w:after="85"/>
              <w:rPr>
                <w:rFonts w:cs="Arial"/>
                <w:sz w:val="20"/>
                <w:szCs w:val="20"/>
                <w:lang w:val="en-AU"/>
              </w:rPr>
            </w:pPr>
            <w:r w:rsidRPr="003B2774">
              <w:rPr>
                <w:rFonts w:cs="Arial"/>
                <w:sz w:val="20"/>
                <w:szCs w:val="20"/>
                <w:lang w:val="en-AU"/>
              </w:rPr>
              <w:t>No real gap.</w:t>
            </w:r>
          </w:p>
        </w:tc>
      </w:tr>
      <w:tr w:rsidR="00CB7716" w:rsidRPr="009273E5" w14:paraId="3F941BFD" w14:textId="77777777" w:rsidTr="00CB7716">
        <w:tc>
          <w:tcPr>
            <w:tcW w:w="1470" w:type="dxa"/>
            <w:tcBorders>
              <w:top w:val="single" w:sz="4" w:space="0" w:color="auto"/>
              <w:left w:val="single" w:sz="4" w:space="0" w:color="auto"/>
              <w:bottom w:val="single" w:sz="4" w:space="0" w:color="auto"/>
              <w:right w:val="single" w:sz="4" w:space="0" w:color="auto"/>
            </w:tcBorders>
            <w:hideMark/>
          </w:tcPr>
          <w:p w14:paraId="6E2A33FB" w14:textId="77777777" w:rsidR="00CB7716" w:rsidRPr="003B2774" w:rsidRDefault="00CB7716" w:rsidP="00CB7716">
            <w:pPr>
              <w:spacing w:after="85"/>
              <w:rPr>
                <w:rFonts w:cs="Arial"/>
                <w:sz w:val="20"/>
                <w:szCs w:val="20"/>
                <w:lang w:val="en-AU"/>
              </w:rPr>
            </w:pPr>
            <w:r w:rsidRPr="003B2774">
              <w:rPr>
                <w:rFonts w:cs="Arial"/>
                <w:sz w:val="20"/>
                <w:szCs w:val="20"/>
                <w:lang w:val="en-AU"/>
              </w:rPr>
              <w:t>NT</w:t>
            </w:r>
          </w:p>
        </w:tc>
        <w:tc>
          <w:tcPr>
            <w:tcW w:w="4630" w:type="dxa"/>
            <w:tcBorders>
              <w:top w:val="single" w:sz="4" w:space="0" w:color="auto"/>
              <w:left w:val="single" w:sz="4" w:space="0" w:color="auto"/>
              <w:bottom w:val="single" w:sz="4" w:space="0" w:color="auto"/>
              <w:right w:val="single" w:sz="4" w:space="0" w:color="auto"/>
            </w:tcBorders>
          </w:tcPr>
          <w:p w14:paraId="6419177F" w14:textId="77777777" w:rsidR="00CB7716" w:rsidRPr="003B2774" w:rsidRDefault="00CB7716" w:rsidP="00CB7716">
            <w:pPr>
              <w:spacing w:after="85"/>
              <w:rPr>
                <w:rFonts w:cs="Arial"/>
                <w:sz w:val="20"/>
                <w:szCs w:val="20"/>
                <w:lang w:val="en-AU"/>
              </w:rPr>
            </w:pPr>
            <w:r w:rsidRPr="003B2774">
              <w:rPr>
                <w:rFonts w:cs="Arial"/>
                <w:sz w:val="20"/>
                <w:szCs w:val="20"/>
                <w:lang w:val="en-AU"/>
              </w:rPr>
              <w:t xml:space="preserve">Food businesses must be registered. </w:t>
            </w:r>
          </w:p>
          <w:p w14:paraId="31A751F5" w14:textId="77777777" w:rsidR="00CB7716" w:rsidRPr="003B2774" w:rsidRDefault="00CB7716" w:rsidP="00CB7716">
            <w:pPr>
              <w:spacing w:after="85"/>
              <w:rPr>
                <w:rFonts w:cs="Arial"/>
                <w:sz w:val="20"/>
                <w:szCs w:val="20"/>
                <w:lang w:val="en-AU"/>
              </w:rPr>
            </w:pPr>
            <w:r w:rsidRPr="003B2774">
              <w:rPr>
                <w:rFonts w:cs="Arial"/>
                <w:sz w:val="20"/>
                <w:szCs w:val="20"/>
                <w:lang w:val="en-AU"/>
              </w:rPr>
              <w:t xml:space="preserve">No requirement for FSS. </w:t>
            </w:r>
          </w:p>
          <w:p w14:paraId="7AFFF047" w14:textId="77777777" w:rsidR="00CB7716" w:rsidRPr="003B2774" w:rsidRDefault="00CB7716" w:rsidP="00CB7716">
            <w:pPr>
              <w:spacing w:after="85"/>
              <w:rPr>
                <w:rFonts w:cs="Arial"/>
                <w:sz w:val="20"/>
                <w:szCs w:val="20"/>
                <w:lang w:val="en-AU"/>
              </w:rPr>
            </w:pPr>
            <w:r w:rsidRPr="003B2774">
              <w:rPr>
                <w:rFonts w:cs="Arial"/>
                <w:sz w:val="20"/>
                <w:szCs w:val="20"/>
                <w:lang w:val="en-AU"/>
              </w:rPr>
              <w:t>No requirement for standardised or competency-based training.</w:t>
            </w:r>
          </w:p>
        </w:tc>
        <w:tc>
          <w:tcPr>
            <w:tcW w:w="3915" w:type="dxa"/>
            <w:tcBorders>
              <w:top w:val="single" w:sz="4" w:space="0" w:color="auto"/>
              <w:left w:val="single" w:sz="4" w:space="0" w:color="auto"/>
              <w:bottom w:val="single" w:sz="4" w:space="0" w:color="auto"/>
              <w:right w:val="single" w:sz="4" w:space="0" w:color="auto"/>
            </w:tcBorders>
          </w:tcPr>
          <w:p w14:paraId="47B1D08C" w14:textId="77777777" w:rsidR="00CB7716" w:rsidRPr="003B2774" w:rsidRDefault="00CB7716" w:rsidP="00CB7716">
            <w:pPr>
              <w:spacing w:after="85"/>
              <w:rPr>
                <w:rFonts w:cs="Arial"/>
                <w:sz w:val="20"/>
                <w:szCs w:val="20"/>
                <w:lang w:val="en-AU"/>
              </w:rPr>
            </w:pPr>
            <w:r w:rsidRPr="003B2774">
              <w:rPr>
                <w:rFonts w:cs="Arial"/>
                <w:sz w:val="20"/>
                <w:szCs w:val="20"/>
                <w:lang w:val="en-AU"/>
              </w:rPr>
              <w:t>Large gap.</w:t>
            </w:r>
          </w:p>
          <w:p w14:paraId="0B9A7556" w14:textId="77777777" w:rsidR="00CB7716" w:rsidRPr="003B2774" w:rsidRDefault="00CB7716" w:rsidP="00CB7716">
            <w:pPr>
              <w:spacing w:after="85"/>
              <w:rPr>
                <w:rFonts w:cs="Arial"/>
                <w:sz w:val="20"/>
                <w:szCs w:val="20"/>
                <w:lang w:val="en-AU"/>
              </w:rPr>
            </w:pPr>
            <w:r w:rsidRPr="003B2774">
              <w:rPr>
                <w:rFonts w:cs="Arial"/>
                <w:sz w:val="20"/>
                <w:szCs w:val="20"/>
                <w:lang w:val="en-AU"/>
              </w:rPr>
              <w:t>Proposed measure would require FSS with competency training renewed every 5 years.</w:t>
            </w:r>
          </w:p>
        </w:tc>
      </w:tr>
      <w:tr w:rsidR="00CB7716" w:rsidRPr="009273E5" w14:paraId="5231B865" w14:textId="77777777" w:rsidTr="00CB7716">
        <w:tc>
          <w:tcPr>
            <w:tcW w:w="1470" w:type="dxa"/>
            <w:tcBorders>
              <w:top w:val="single" w:sz="4" w:space="0" w:color="auto"/>
              <w:left w:val="single" w:sz="4" w:space="0" w:color="auto"/>
              <w:bottom w:val="single" w:sz="4" w:space="0" w:color="auto"/>
              <w:right w:val="single" w:sz="4" w:space="0" w:color="auto"/>
            </w:tcBorders>
            <w:hideMark/>
          </w:tcPr>
          <w:p w14:paraId="30029825" w14:textId="77777777" w:rsidR="00CB7716" w:rsidRPr="003B2774" w:rsidRDefault="00CB7716" w:rsidP="00CB7716">
            <w:pPr>
              <w:spacing w:after="85"/>
              <w:rPr>
                <w:rFonts w:cs="Arial"/>
                <w:sz w:val="20"/>
                <w:szCs w:val="20"/>
                <w:lang w:val="en-AU"/>
              </w:rPr>
            </w:pPr>
            <w:r w:rsidRPr="003B2774">
              <w:rPr>
                <w:rFonts w:cs="Arial"/>
                <w:sz w:val="20"/>
                <w:szCs w:val="20"/>
                <w:lang w:val="en-AU"/>
              </w:rPr>
              <w:t>Queensland</w:t>
            </w:r>
          </w:p>
        </w:tc>
        <w:tc>
          <w:tcPr>
            <w:tcW w:w="4630" w:type="dxa"/>
            <w:tcBorders>
              <w:top w:val="single" w:sz="4" w:space="0" w:color="auto"/>
              <w:left w:val="single" w:sz="4" w:space="0" w:color="auto"/>
              <w:bottom w:val="single" w:sz="4" w:space="0" w:color="auto"/>
              <w:right w:val="single" w:sz="4" w:space="0" w:color="auto"/>
            </w:tcBorders>
          </w:tcPr>
          <w:p w14:paraId="6E93981C" w14:textId="77777777" w:rsidR="00CB7716" w:rsidRPr="003B2774" w:rsidRDefault="00CB7716" w:rsidP="00CB7716">
            <w:pPr>
              <w:spacing w:after="85"/>
              <w:rPr>
                <w:rFonts w:cs="Arial"/>
                <w:sz w:val="20"/>
                <w:szCs w:val="20"/>
                <w:lang w:val="en-AU"/>
              </w:rPr>
            </w:pPr>
            <w:r w:rsidRPr="003B2774">
              <w:rPr>
                <w:rFonts w:cs="Arial"/>
                <w:sz w:val="20"/>
                <w:szCs w:val="20"/>
                <w:lang w:val="en-AU"/>
              </w:rPr>
              <w:t xml:space="preserve">Certain businesses must be licenced (based on criteria and includes P1 and P2). </w:t>
            </w:r>
          </w:p>
          <w:p w14:paraId="2F3F4DC1" w14:textId="77777777" w:rsidR="00CB7716" w:rsidRPr="003B2774" w:rsidRDefault="00CB7716" w:rsidP="00CB7716">
            <w:pPr>
              <w:spacing w:after="85"/>
              <w:rPr>
                <w:rFonts w:cs="Arial"/>
                <w:sz w:val="20"/>
                <w:szCs w:val="20"/>
                <w:lang w:val="en-AU"/>
              </w:rPr>
            </w:pPr>
            <w:r w:rsidRPr="003B2774">
              <w:rPr>
                <w:rFonts w:cs="Arial"/>
                <w:sz w:val="20"/>
                <w:szCs w:val="20"/>
                <w:lang w:val="en-AU"/>
              </w:rPr>
              <w:t xml:space="preserve">A licenced business must have at least 1 FSS. </w:t>
            </w:r>
            <w:r w:rsidRPr="003B2774">
              <w:rPr>
                <w:rFonts w:cs="Arial"/>
                <w:sz w:val="20"/>
                <w:szCs w:val="20"/>
                <w:lang w:val="en-AU"/>
              </w:rPr>
              <w:br/>
              <w:t>No regulatory requirement for the training provider to be an RTO (in guidance material).</w:t>
            </w:r>
          </w:p>
          <w:p w14:paraId="2A96A807" w14:textId="77777777" w:rsidR="00CB7716" w:rsidRPr="003B2774" w:rsidRDefault="00CB7716" w:rsidP="00CB7716">
            <w:pPr>
              <w:spacing w:after="85"/>
              <w:rPr>
                <w:rFonts w:cs="Arial"/>
                <w:sz w:val="20"/>
                <w:szCs w:val="20"/>
                <w:lang w:val="en-AU"/>
              </w:rPr>
            </w:pPr>
            <w:r w:rsidRPr="003B2774">
              <w:rPr>
                <w:rFonts w:cs="Arial"/>
                <w:sz w:val="20"/>
                <w:szCs w:val="20"/>
                <w:lang w:val="en-AU"/>
              </w:rPr>
              <w:t>No currency requirement (no expiry of FSS certification).</w:t>
            </w:r>
          </w:p>
        </w:tc>
        <w:tc>
          <w:tcPr>
            <w:tcW w:w="3915" w:type="dxa"/>
            <w:tcBorders>
              <w:top w:val="single" w:sz="4" w:space="0" w:color="auto"/>
              <w:left w:val="single" w:sz="4" w:space="0" w:color="auto"/>
              <w:bottom w:val="single" w:sz="4" w:space="0" w:color="auto"/>
              <w:right w:val="single" w:sz="4" w:space="0" w:color="auto"/>
            </w:tcBorders>
            <w:hideMark/>
          </w:tcPr>
          <w:p w14:paraId="70B8CFE2" w14:textId="77777777" w:rsidR="00CB7716" w:rsidRPr="003B2774" w:rsidRDefault="00CB7716" w:rsidP="00CB7716">
            <w:pPr>
              <w:spacing w:after="85"/>
              <w:rPr>
                <w:rFonts w:cs="Arial"/>
                <w:sz w:val="20"/>
                <w:szCs w:val="20"/>
                <w:lang w:val="en-AU"/>
              </w:rPr>
            </w:pPr>
            <w:r w:rsidRPr="003B2774">
              <w:rPr>
                <w:rFonts w:cs="Arial"/>
                <w:sz w:val="20"/>
                <w:szCs w:val="20"/>
                <w:lang w:val="en-AU"/>
              </w:rPr>
              <w:t>Small gap.</w:t>
            </w:r>
          </w:p>
          <w:p w14:paraId="7D0C0BE8" w14:textId="77777777" w:rsidR="00CB7716" w:rsidRPr="003B2774" w:rsidRDefault="00CB7716" w:rsidP="00CB7716">
            <w:pPr>
              <w:spacing w:after="85"/>
              <w:rPr>
                <w:rFonts w:cs="Arial"/>
                <w:sz w:val="20"/>
                <w:szCs w:val="20"/>
                <w:lang w:val="en-AU"/>
              </w:rPr>
            </w:pPr>
            <w:r w:rsidRPr="003B2774">
              <w:rPr>
                <w:rFonts w:cs="Arial"/>
                <w:sz w:val="20"/>
                <w:szCs w:val="20"/>
                <w:lang w:val="en-AU"/>
              </w:rPr>
              <w:t>Proposed measure requires re-certification after 5 years and that training be provided by an RTO.</w:t>
            </w:r>
          </w:p>
        </w:tc>
      </w:tr>
      <w:tr w:rsidR="00CB7716" w:rsidRPr="009273E5" w14:paraId="235D421D" w14:textId="77777777" w:rsidTr="00CB7716">
        <w:tc>
          <w:tcPr>
            <w:tcW w:w="1470" w:type="dxa"/>
            <w:tcBorders>
              <w:top w:val="single" w:sz="4" w:space="0" w:color="auto"/>
              <w:left w:val="single" w:sz="4" w:space="0" w:color="auto"/>
              <w:bottom w:val="single" w:sz="4" w:space="0" w:color="auto"/>
              <w:right w:val="single" w:sz="4" w:space="0" w:color="auto"/>
            </w:tcBorders>
            <w:hideMark/>
          </w:tcPr>
          <w:p w14:paraId="587BD0EF" w14:textId="77777777" w:rsidR="00CB7716" w:rsidRPr="003B2774" w:rsidRDefault="00CB7716" w:rsidP="00CB7716">
            <w:pPr>
              <w:spacing w:after="85"/>
              <w:rPr>
                <w:rFonts w:cs="Arial"/>
                <w:sz w:val="20"/>
                <w:szCs w:val="20"/>
                <w:lang w:val="en-AU"/>
              </w:rPr>
            </w:pPr>
            <w:r w:rsidRPr="003B2774">
              <w:rPr>
                <w:rFonts w:cs="Arial"/>
                <w:sz w:val="20"/>
                <w:szCs w:val="20"/>
                <w:lang w:val="en-AU"/>
              </w:rPr>
              <w:t>SA</w:t>
            </w:r>
          </w:p>
        </w:tc>
        <w:tc>
          <w:tcPr>
            <w:tcW w:w="4630" w:type="dxa"/>
            <w:tcBorders>
              <w:top w:val="single" w:sz="4" w:space="0" w:color="auto"/>
              <w:left w:val="single" w:sz="4" w:space="0" w:color="auto"/>
              <w:bottom w:val="single" w:sz="4" w:space="0" w:color="auto"/>
              <w:right w:val="single" w:sz="4" w:space="0" w:color="auto"/>
            </w:tcBorders>
          </w:tcPr>
          <w:p w14:paraId="210B3D4A" w14:textId="77777777" w:rsidR="00CB7716" w:rsidRPr="003B2774" w:rsidRDefault="00CB7716" w:rsidP="00CB7716">
            <w:pPr>
              <w:spacing w:after="85"/>
              <w:rPr>
                <w:rFonts w:cs="Arial"/>
                <w:sz w:val="20"/>
                <w:szCs w:val="20"/>
                <w:lang w:val="en-AU"/>
              </w:rPr>
            </w:pPr>
            <w:r w:rsidRPr="003B2774">
              <w:rPr>
                <w:rFonts w:cs="Arial"/>
                <w:sz w:val="20"/>
                <w:szCs w:val="20"/>
                <w:lang w:val="en-AU"/>
              </w:rPr>
              <w:t xml:space="preserve">Notification requirement only (no registration or licencing requirements). </w:t>
            </w:r>
          </w:p>
          <w:p w14:paraId="473AF8E7" w14:textId="77777777" w:rsidR="00CB7716" w:rsidRPr="003B2774" w:rsidRDefault="00CB7716" w:rsidP="00CB7716">
            <w:pPr>
              <w:spacing w:after="85"/>
              <w:rPr>
                <w:rFonts w:cs="Arial"/>
                <w:sz w:val="20"/>
                <w:szCs w:val="20"/>
                <w:lang w:val="en-AU"/>
              </w:rPr>
            </w:pPr>
            <w:r w:rsidRPr="003B2774">
              <w:rPr>
                <w:rFonts w:cs="Arial"/>
                <w:sz w:val="20"/>
                <w:szCs w:val="20"/>
                <w:lang w:val="en-AU"/>
              </w:rPr>
              <w:t>No requirement for FSS.</w:t>
            </w:r>
          </w:p>
          <w:p w14:paraId="3C6B9886" w14:textId="77777777" w:rsidR="00CB7716" w:rsidRPr="003B2774" w:rsidRDefault="00CB7716" w:rsidP="00CB7716">
            <w:pPr>
              <w:spacing w:after="85"/>
              <w:rPr>
                <w:rFonts w:cs="Arial"/>
                <w:sz w:val="20"/>
                <w:szCs w:val="20"/>
                <w:lang w:val="en-AU"/>
              </w:rPr>
            </w:pPr>
            <w:r w:rsidRPr="003B2774">
              <w:rPr>
                <w:rFonts w:cs="Arial"/>
                <w:sz w:val="20"/>
                <w:szCs w:val="20"/>
                <w:lang w:val="en-AU"/>
              </w:rPr>
              <w:t>No requirement for standardised or competency-based training.</w:t>
            </w:r>
          </w:p>
        </w:tc>
        <w:tc>
          <w:tcPr>
            <w:tcW w:w="3915" w:type="dxa"/>
            <w:tcBorders>
              <w:top w:val="single" w:sz="4" w:space="0" w:color="auto"/>
              <w:left w:val="single" w:sz="4" w:space="0" w:color="auto"/>
              <w:bottom w:val="single" w:sz="4" w:space="0" w:color="auto"/>
              <w:right w:val="single" w:sz="4" w:space="0" w:color="auto"/>
            </w:tcBorders>
          </w:tcPr>
          <w:p w14:paraId="06C72805" w14:textId="77777777" w:rsidR="00CB7716" w:rsidRPr="003B2774" w:rsidRDefault="00CB7716" w:rsidP="00CB7716">
            <w:pPr>
              <w:spacing w:after="85"/>
              <w:rPr>
                <w:rFonts w:cs="Arial"/>
                <w:sz w:val="20"/>
                <w:szCs w:val="20"/>
                <w:lang w:val="en-AU"/>
              </w:rPr>
            </w:pPr>
            <w:r w:rsidRPr="003B2774">
              <w:rPr>
                <w:rFonts w:cs="Arial"/>
                <w:sz w:val="20"/>
                <w:szCs w:val="20"/>
                <w:lang w:val="en-AU"/>
              </w:rPr>
              <w:t>Large gap.</w:t>
            </w:r>
          </w:p>
          <w:p w14:paraId="21570B67" w14:textId="77777777" w:rsidR="00CB7716" w:rsidRPr="003B2774" w:rsidRDefault="00CB7716" w:rsidP="00CB7716">
            <w:pPr>
              <w:spacing w:after="85"/>
              <w:rPr>
                <w:rFonts w:cs="Arial"/>
                <w:sz w:val="20"/>
                <w:szCs w:val="20"/>
                <w:lang w:val="en-AU"/>
              </w:rPr>
            </w:pPr>
            <w:r w:rsidRPr="003B2774">
              <w:rPr>
                <w:rFonts w:cs="Arial"/>
                <w:sz w:val="20"/>
                <w:szCs w:val="20"/>
                <w:lang w:val="en-AU"/>
              </w:rPr>
              <w:t>Proposed measure would require FSS with competency training renewed every 5 years.</w:t>
            </w:r>
          </w:p>
        </w:tc>
      </w:tr>
      <w:tr w:rsidR="00CB7716" w:rsidRPr="009273E5" w14:paraId="33299AB7" w14:textId="77777777" w:rsidTr="00CB7716">
        <w:tc>
          <w:tcPr>
            <w:tcW w:w="1470" w:type="dxa"/>
            <w:tcBorders>
              <w:top w:val="single" w:sz="4" w:space="0" w:color="auto"/>
              <w:left w:val="single" w:sz="4" w:space="0" w:color="auto"/>
              <w:bottom w:val="single" w:sz="4" w:space="0" w:color="auto"/>
              <w:right w:val="single" w:sz="4" w:space="0" w:color="auto"/>
            </w:tcBorders>
            <w:hideMark/>
          </w:tcPr>
          <w:p w14:paraId="4BBE2841" w14:textId="77777777" w:rsidR="00CB7716" w:rsidRPr="003B2774" w:rsidRDefault="00CB7716" w:rsidP="00CB7716">
            <w:pPr>
              <w:spacing w:after="85"/>
              <w:rPr>
                <w:rFonts w:cs="Arial"/>
                <w:sz w:val="20"/>
                <w:szCs w:val="20"/>
                <w:lang w:val="en-AU"/>
              </w:rPr>
            </w:pPr>
            <w:r w:rsidRPr="003B2774">
              <w:rPr>
                <w:rFonts w:cs="Arial"/>
                <w:sz w:val="20"/>
                <w:szCs w:val="20"/>
                <w:lang w:val="en-AU"/>
              </w:rPr>
              <w:t>Tasmania</w:t>
            </w:r>
          </w:p>
        </w:tc>
        <w:tc>
          <w:tcPr>
            <w:tcW w:w="4630" w:type="dxa"/>
            <w:tcBorders>
              <w:top w:val="single" w:sz="4" w:space="0" w:color="auto"/>
              <w:left w:val="single" w:sz="4" w:space="0" w:color="auto"/>
              <w:bottom w:val="single" w:sz="4" w:space="0" w:color="auto"/>
              <w:right w:val="single" w:sz="4" w:space="0" w:color="auto"/>
            </w:tcBorders>
          </w:tcPr>
          <w:p w14:paraId="591B17A9" w14:textId="77777777" w:rsidR="00CB7716" w:rsidRPr="003B2774" w:rsidRDefault="00CB7716" w:rsidP="00CB7716">
            <w:pPr>
              <w:spacing w:after="85"/>
              <w:rPr>
                <w:rFonts w:cs="Arial"/>
                <w:sz w:val="20"/>
                <w:szCs w:val="20"/>
                <w:lang w:val="en-AU"/>
              </w:rPr>
            </w:pPr>
            <w:r w:rsidRPr="003B2774">
              <w:rPr>
                <w:rFonts w:cs="Arial"/>
                <w:sz w:val="20"/>
                <w:szCs w:val="20"/>
                <w:lang w:val="en-AU"/>
              </w:rPr>
              <w:t xml:space="preserve">Notification requirement only. </w:t>
            </w:r>
          </w:p>
          <w:p w14:paraId="7F678442" w14:textId="77777777" w:rsidR="00CB7716" w:rsidRPr="003B2774" w:rsidRDefault="00CB7716" w:rsidP="00CB7716">
            <w:pPr>
              <w:spacing w:after="85"/>
              <w:rPr>
                <w:rFonts w:cs="Arial"/>
                <w:sz w:val="20"/>
                <w:szCs w:val="20"/>
                <w:lang w:val="en-AU"/>
              </w:rPr>
            </w:pPr>
            <w:r w:rsidRPr="003B2774">
              <w:rPr>
                <w:rFonts w:cs="Arial"/>
                <w:sz w:val="20"/>
                <w:szCs w:val="20"/>
                <w:lang w:val="en-AU"/>
              </w:rPr>
              <w:t xml:space="preserve">Director of Public Health may require registration. </w:t>
            </w:r>
          </w:p>
          <w:p w14:paraId="4149DE53" w14:textId="77777777" w:rsidR="00CB7716" w:rsidRPr="003B2774" w:rsidRDefault="00CB7716" w:rsidP="00CB7716">
            <w:pPr>
              <w:spacing w:after="85"/>
              <w:rPr>
                <w:rFonts w:cs="Arial"/>
                <w:sz w:val="20"/>
                <w:szCs w:val="20"/>
                <w:lang w:val="en-AU"/>
              </w:rPr>
            </w:pPr>
            <w:r w:rsidRPr="003B2774">
              <w:rPr>
                <w:rFonts w:cs="Arial"/>
                <w:sz w:val="20"/>
                <w:szCs w:val="20"/>
                <w:lang w:val="en-AU"/>
              </w:rPr>
              <w:t>No requirement for FSS.</w:t>
            </w:r>
          </w:p>
          <w:p w14:paraId="49E2E3DA" w14:textId="77777777" w:rsidR="00CB7716" w:rsidRPr="003B2774" w:rsidRDefault="00CB7716" w:rsidP="00CB7716">
            <w:pPr>
              <w:spacing w:after="85"/>
              <w:rPr>
                <w:rFonts w:cs="Arial"/>
                <w:sz w:val="20"/>
                <w:szCs w:val="20"/>
                <w:lang w:val="en-AU"/>
              </w:rPr>
            </w:pPr>
            <w:r w:rsidRPr="003B2774">
              <w:rPr>
                <w:rFonts w:cs="Arial"/>
                <w:sz w:val="20"/>
                <w:szCs w:val="20"/>
                <w:lang w:val="en-AU"/>
              </w:rPr>
              <w:t>No requirement for training, or standardised or competency-based training.</w:t>
            </w:r>
          </w:p>
        </w:tc>
        <w:tc>
          <w:tcPr>
            <w:tcW w:w="3915" w:type="dxa"/>
            <w:tcBorders>
              <w:top w:val="single" w:sz="4" w:space="0" w:color="auto"/>
              <w:left w:val="single" w:sz="4" w:space="0" w:color="auto"/>
              <w:bottom w:val="single" w:sz="4" w:space="0" w:color="auto"/>
              <w:right w:val="single" w:sz="4" w:space="0" w:color="auto"/>
            </w:tcBorders>
          </w:tcPr>
          <w:p w14:paraId="204C09E6" w14:textId="77777777" w:rsidR="00CB7716" w:rsidRPr="003B2774" w:rsidRDefault="00CB7716" w:rsidP="00CB7716">
            <w:pPr>
              <w:spacing w:after="85"/>
              <w:rPr>
                <w:rFonts w:cs="Arial"/>
                <w:sz w:val="20"/>
                <w:szCs w:val="20"/>
                <w:lang w:val="en-AU"/>
              </w:rPr>
            </w:pPr>
            <w:r w:rsidRPr="003B2774">
              <w:rPr>
                <w:rFonts w:cs="Arial"/>
                <w:sz w:val="20"/>
                <w:szCs w:val="20"/>
                <w:lang w:val="en-AU"/>
              </w:rPr>
              <w:t>Large gap.</w:t>
            </w:r>
          </w:p>
          <w:p w14:paraId="20247F05" w14:textId="77777777" w:rsidR="00CB7716" w:rsidRPr="003B2774" w:rsidRDefault="00CB7716" w:rsidP="00CB7716">
            <w:pPr>
              <w:spacing w:after="85"/>
              <w:rPr>
                <w:rFonts w:cs="Arial"/>
                <w:sz w:val="20"/>
                <w:szCs w:val="20"/>
                <w:lang w:val="en-AU"/>
              </w:rPr>
            </w:pPr>
            <w:r w:rsidRPr="003B2774">
              <w:rPr>
                <w:rFonts w:cs="Arial"/>
                <w:sz w:val="20"/>
                <w:szCs w:val="20"/>
                <w:lang w:val="en-AU"/>
              </w:rPr>
              <w:t>Proposed measure would require FSS with competency training renewed every 5 years.</w:t>
            </w:r>
          </w:p>
        </w:tc>
      </w:tr>
      <w:tr w:rsidR="00CB7716" w:rsidRPr="009273E5" w14:paraId="0C0C0E16" w14:textId="77777777" w:rsidTr="00CB7716">
        <w:tc>
          <w:tcPr>
            <w:tcW w:w="1470" w:type="dxa"/>
            <w:tcBorders>
              <w:top w:val="single" w:sz="4" w:space="0" w:color="auto"/>
              <w:left w:val="single" w:sz="4" w:space="0" w:color="auto"/>
              <w:bottom w:val="single" w:sz="4" w:space="0" w:color="auto"/>
              <w:right w:val="single" w:sz="4" w:space="0" w:color="auto"/>
            </w:tcBorders>
            <w:hideMark/>
          </w:tcPr>
          <w:p w14:paraId="5E212549" w14:textId="77777777" w:rsidR="00CB7716" w:rsidRPr="003B2774" w:rsidRDefault="00CB7716" w:rsidP="00CB7716">
            <w:pPr>
              <w:spacing w:after="85"/>
              <w:rPr>
                <w:rFonts w:cs="Arial"/>
                <w:sz w:val="20"/>
                <w:szCs w:val="20"/>
                <w:lang w:val="en-AU"/>
              </w:rPr>
            </w:pPr>
            <w:r w:rsidRPr="003B2774">
              <w:rPr>
                <w:rFonts w:cs="Arial"/>
                <w:sz w:val="20"/>
                <w:szCs w:val="20"/>
                <w:lang w:val="en-AU"/>
              </w:rPr>
              <w:t>Victoria</w:t>
            </w:r>
          </w:p>
        </w:tc>
        <w:tc>
          <w:tcPr>
            <w:tcW w:w="4630" w:type="dxa"/>
            <w:tcBorders>
              <w:top w:val="single" w:sz="4" w:space="0" w:color="auto"/>
              <w:left w:val="single" w:sz="4" w:space="0" w:color="auto"/>
              <w:bottom w:val="single" w:sz="4" w:space="0" w:color="auto"/>
              <w:right w:val="single" w:sz="4" w:space="0" w:color="auto"/>
            </w:tcBorders>
          </w:tcPr>
          <w:p w14:paraId="38A0544F" w14:textId="77777777" w:rsidR="00CB7716" w:rsidRPr="003B2774" w:rsidRDefault="00CB7716" w:rsidP="00CB7716">
            <w:pPr>
              <w:spacing w:after="85"/>
              <w:rPr>
                <w:rFonts w:cs="Arial"/>
                <w:sz w:val="20"/>
                <w:szCs w:val="20"/>
                <w:lang w:val="en-AU"/>
              </w:rPr>
            </w:pPr>
            <w:r w:rsidRPr="003B2774">
              <w:rPr>
                <w:rFonts w:cs="Arial"/>
                <w:sz w:val="20"/>
                <w:szCs w:val="20"/>
                <w:lang w:val="en-AU"/>
              </w:rPr>
              <w:t xml:space="preserve">All businesses must be registered or notified; specified as priority Class from 1 to 4. </w:t>
            </w:r>
          </w:p>
          <w:p w14:paraId="79CF3F06" w14:textId="77777777" w:rsidR="00CB7716" w:rsidRPr="003B2774" w:rsidRDefault="00CB7716" w:rsidP="00CB7716">
            <w:pPr>
              <w:spacing w:after="85"/>
              <w:rPr>
                <w:rFonts w:cs="Arial"/>
                <w:sz w:val="20"/>
                <w:szCs w:val="20"/>
                <w:lang w:val="en-AU"/>
              </w:rPr>
            </w:pPr>
            <w:r w:rsidRPr="003B2774">
              <w:rPr>
                <w:rFonts w:cs="Arial"/>
                <w:sz w:val="20"/>
                <w:szCs w:val="20"/>
                <w:lang w:val="en-AU"/>
              </w:rPr>
              <w:t>FSS defined in food act.</w:t>
            </w:r>
          </w:p>
          <w:p w14:paraId="1EB1D1B4" w14:textId="77777777" w:rsidR="00CB7716" w:rsidRPr="003B2774" w:rsidRDefault="00CB7716" w:rsidP="00CB7716">
            <w:pPr>
              <w:spacing w:after="85"/>
              <w:rPr>
                <w:rFonts w:cs="Arial"/>
                <w:sz w:val="20"/>
                <w:szCs w:val="20"/>
                <w:lang w:val="en-AU"/>
              </w:rPr>
            </w:pPr>
            <w:r w:rsidRPr="003B2774">
              <w:rPr>
                <w:rFonts w:cs="Arial"/>
                <w:sz w:val="20"/>
                <w:szCs w:val="20"/>
                <w:lang w:val="en-AU"/>
              </w:rPr>
              <w:t xml:space="preserve">Class 1 and class 2 business (covers P1 and P2 in-scope businesses) required to have FSS. </w:t>
            </w:r>
          </w:p>
          <w:p w14:paraId="26C69812" w14:textId="77777777" w:rsidR="00CB7716" w:rsidRPr="003B2774" w:rsidRDefault="00CB7716" w:rsidP="00CB7716">
            <w:pPr>
              <w:spacing w:after="85"/>
              <w:rPr>
                <w:rFonts w:cs="Arial"/>
                <w:sz w:val="20"/>
                <w:szCs w:val="20"/>
                <w:lang w:val="en-AU"/>
              </w:rPr>
            </w:pPr>
            <w:r w:rsidRPr="003B2774">
              <w:rPr>
                <w:rFonts w:cs="Arial"/>
                <w:sz w:val="20"/>
                <w:szCs w:val="20"/>
                <w:lang w:val="en-AU"/>
              </w:rPr>
              <w:t>No currency requirement (no expiry).</w:t>
            </w:r>
          </w:p>
        </w:tc>
        <w:tc>
          <w:tcPr>
            <w:tcW w:w="3915" w:type="dxa"/>
            <w:tcBorders>
              <w:top w:val="single" w:sz="4" w:space="0" w:color="auto"/>
              <w:left w:val="single" w:sz="4" w:space="0" w:color="auto"/>
              <w:bottom w:val="single" w:sz="4" w:space="0" w:color="auto"/>
              <w:right w:val="single" w:sz="4" w:space="0" w:color="auto"/>
            </w:tcBorders>
            <w:hideMark/>
          </w:tcPr>
          <w:p w14:paraId="2BC4AE6D" w14:textId="77777777" w:rsidR="00CB7716" w:rsidRPr="003B2774" w:rsidRDefault="00CB7716" w:rsidP="00CB7716">
            <w:pPr>
              <w:spacing w:after="85"/>
              <w:rPr>
                <w:rFonts w:cs="Arial"/>
                <w:sz w:val="20"/>
                <w:szCs w:val="20"/>
                <w:lang w:val="en-AU"/>
              </w:rPr>
            </w:pPr>
            <w:r w:rsidRPr="003B2774">
              <w:rPr>
                <w:rFonts w:cs="Arial"/>
                <w:sz w:val="20"/>
                <w:szCs w:val="20"/>
                <w:lang w:val="en-AU"/>
              </w:rPr>
              <w:t>Small gap.</w:t>
            </w:r>
          </w:p>
          <w:p w14:paraId="336454CE" w14:textId="77777777" w:rsidR="00CB7716" w:rsidRPr="003B2774" w:rsidRDefault="00CB7716" w:rsidP="00CB7716">
            <w:pPr>
              <w:spacing w:after="85"/>
              <w:rPr>
                <w:rFonts w:cs="Arial"/>
                <w:sz w:val="20"/>
                <w:szCs w:val="20"/>
                <w:lang w:val="en-AU"/>
              </w:rPr>
            </w:pPr>
            <w:r w:rsidRPr="003B2774">
              <w:rPr>
                <w:rFonts w:cs="Arial"/>
                <w:sz w:val="20"/>
                <w:szCs w:val="20"/>
                <w:lang w:val="en-AU"/>
              </w:rPr>
              <w:t>Proposed measure requires re-certification after 5 years.</w:t>
            </w:r>
          </w:p>
          <w:p w14:paraId="2B162812" w14:textId="77777777" w:rsidR="00CB7716" w:rsidRPr="003B2774" w:rsidRDefault="00CB7716" w:rsidP="00CB7716">
            <w:pPr>
              <w:spacing w:after="85"/>
              <w:rPr>
                <w:rFonts w:cs="Arial"/>
                <w:sz w:val="20"/>
                <w:szCs w:val="20"/>
                <w:lang w:val="en-AU"/>
              </w:rPr>
            </w:pPr>
          </w:p>
        </w:tc>
      </w:tr>
      <w:tr w:rsidR="00CB7716" w:rsidRPr="009273E5" w14:paraId="2998CA91" w14:textId="77777777" w:rsidTr="00CB7716">
        <w:tc>
          <w:tcPr>
            <w:tcW w:w="1470" w:type="dxa"/>
            <w:tcBorders>
              <w:top w:val="single" w:sz="4" w:space="0" w:color="auto"/>
              <w:left w:val="single" w:sz="4" w:space="0" w:color="auto"/>
              <w:bottom w:val="single" w:sz="4" w:space="0" w:color="auto"/>
              <w:right w:val="single" w:sz="4" w:space="0" w:color="auto"/>
            </w:tcBorders>
            <w:hideMark/>
          </w:tcPr>
          <w:p w14:paraId="458529C6" w14:textId="77777777" w:rsidR="00CB7716" w:rsidRPr="003B2774" w:rsidRDefault="00CB7716" w:rsidP="00CB7716">
            <w:pPr>
              <w:spacing w:after="85"/>
              <w:rPr>
                <w:rFonts w:cs="Arial"/>
                <w:sz w:val="20"/>
                <w:szCs w:val="20"/>
                <w:lang w:val="en-AU"/>
              </w:rPr>
            </w:pPr>
            <w:r w:rsidRPr="003B2774">
              <w:rPr>
                <w:rFonts w:cs="Arial"/>
                <w:sz w:val="20"/>
                <w:szCs w:val="20"/>
                <w:lang w:val="en-AU"/>
              </w:rPr>
              <w:t>WA</w:t>
            </w:r>
          </w:p>
        </w:tc>
        <w:tc>
          <w:tcPr>
            <w:tcW w:w="4630" w:type="dxa"/>
            <w:tcBorders>
              <w:top w:val="single" w:sz="4" w:space="0" w:color="auto"/>
              <w:left w:val="single" w:sz="4" w:space="0" w:color="auto"/>
              <w:bottom w:val="single" w:sz="4" w:space="0" w:color="auto"/>
              <w:right w:val="single" w:sz="4" w:space="0" w:color="auto"/>
            </w:tcBorders>
          </w:tcPr>
          <w:p w14:paraId="20A06B38" w14:textId="77777777" w:rsidR="00CB7716" w:rsidRPr="003B2774" w:rsidRDefault="00CB7716" w:rsidP="00CB7716">
            <w:pPr>
              <w:spacing w:after="85"/>
              <w:rPr>
                <w:rFonts w:cs="Arial"/>
                <w:sz w:val="20"/>
                <w:szCs w:val="20"/>
                <w:lang w:val="en-AU"/>
              </w:rPr>
            </w:pPr>
            <w:r w:rsidRPr="003B2774">
              <w:rPr>
                <w:rFonts w:cs="Arial"/>
                <w:sz w:val="20"/>
                <w:szCs w:val="20"/>
                <w:lang w:val="en-AU"/>
              </w:rPr>
              <w:t xml:space="preserve">Notification requirement only (no registration or licencing requirements). </w:t>
            </w:r>
          </w:p>
          <w:p w14:paraId="453E1876" w14:textId="77777777" w:rsidR="00CB7716" w:rsidRPr="003B2774" w:rsidRDefault="00CB7716" w:rsidP="00CB7716">
            <w:pPr>
              <w:spacing w:after="85"/>
              <w:rPr>
                <w:rFonts w:cs="Arial"/>
                <w:sz w:val="20"/>
                <w:szCs w:val="20"/>
                <w:lang w:val="en-AU"/>
              </w:rPr>
            </w:pPr>
            <w:r w:rsidRPr="003B2774">
              <w:rPr>
                <w:rFonts w:cs="Arial"/>
                <w:sz w:val="20"/>
                <w:szCs w:val="20"/>
                <w:lang w:val="en-AU"/>
              </w:rPr>
              <w:t>No requirement for FSS.</w:t>
            </w:r>
          </w:p>
          <w:p w14:paraId="7A3D4DE4" w14:textId="77777777" w:rsidR="00CB7716" w:rsidRPr="003B2774" w:rsidRDefault="00CB7716" w:rsidP="00CB7716">
            <w:pPr>
              <w:spacing w:after="85"/>
              <w:rPr>
                <w:rFonts w:cs="Arial"/>
                <w:sz w:val="20"/>
                <w:szCs w:val="20"/>
                <w:lang w:val="en-AU"/>
              </w:rPr>
            </w:pPr>
            <w:r w:rsidRPr="003B2774">
              <w:rPr>
                <w:rFonts w:cs="Arial"/>
                <w:sz w:val="20"/>
                <w:szCs w:val="20"/>
                <w:lang w:val="en-AU"/>
              </w:rPr>
              <w:t>No requirement for training, or standardised or competency-based training.</w:t>
            </w:r>
          </w:p>
        </w:tc>
        <w:tc>
          <w:tcPr>
            <w:tcW w:w="3915" w:type="dxa"/>
            <w:tcBorders>
              <w:top w:val="single" w:sz="4" w:space="0" w:color="auto"/>
              <w:left w:val="single" w:sz="4" w:space="0" w:color="auto"/>
              <w:bottom w:val="single" w:sz="4" w:space="0" w:color="auto"/>
              <w:right w:val="single" w:sz="4" w:space="0" w:color="auto"/>
            </w:tcBorders>
          </w:tcPr>
          <w:p w14:paraId="1CE21AAB" w14:textId="77777777" w:rsidR="00CB7716" w:rsidRPr="003B2774" w:rsidRDefault="00CB7716" w:rsidP="00CB7716">
            <w:pPr>
              <w:spacing w:after="85"/>
              <w:rPr>
                <w:rFonts w:cs="Arial"/>
                <w:sz w:val="20"/>
                <w:szCs w:val="20"/>
                <w:lang w:val="en-AU"/>
              </w:rPr>
            </w:pPr>
            <w:r w:rsidRPr="003B2774">
              <w:rPr>
                <w:rFonts w:cs="Arial"/>
                <w:sz w:val="20"/>
                <w:szCs w:val="20"/>
                <w:lang w:val="en-AU"/>
              </w:rPr>
              <w:t>Large gap.</w:t>
            </w:r>
          </w:p>
          <w:p w14:paraId="2925C8E5" w14:textId="77777777" w:rsidR="00CB7716" w:rsidRPr="003B2774" w:rsidRDefault="00CB7716" w:rsidP="00CB7716">
            <w:pPr>
              <w:spacing w:after="85"/>
              <w:rPr>
                <w:rFonts w:cs="Arial"/>
                <w:sz w:val="20"/>
                <w:szCs w:val="20"/>
                <w:lang w:val="en-AU"/>
              </w:rPr>
            </w:pPr>
            <w:r w:rsidRPr="003B2774">
              <w:rPr>
                <w:rFonts w:cs="Arial"/>
                <w:sz w:val="20"/>
                <w:szCs w:val="20"/>
                <w:lang w:val="en-AU"/>
              </w:rPr>
              <w:t>Proposed measure would require FSS with competency training renewed every 5 years.</w:t>
            </w:r>
          </w:p>
        </w:tc>
      </w:tr>
    </w:tbl>
    <w:p w14:paraId="659FDA31" w14:textId="77777777" w:rsidR="00CB7716" w:rsidRPr="00A1620D" w:rsidRDefault="00CB7716" w:rsidP="00CB7716">
      <w:pPr>
        <w:rPr>
          <w:sz w:val="20"/>
        </w:rPr>
      </w:pPr>
      <w:r>
        <w:rPr>
          <w:sz w:val="20"/>
        </w:rPr>
        <w:t xml:space="preserve">FSC = Food Standards Code, P1 and P2 = priority classifications under the national </w:t>
      </w:r>
      <w:r w:rsidRPr="00745327">
        <w:rPr>
          <w:sz w:val="20"/>
        </w:rPr>
        <w:t>Risk Profiling Framework</w:t>
      </w:r>
      <w:r>
        <w:rPr>
          <w:sz w:val="20"/>
        </w:rPr>
        <w:t xml:space="preserve">, </w:t>
      </w:r>
      <w:r w:rsidRPr="00A1620D">
        <w:rPr>
          <w:sz w:val="20"/>
        </w:rPr>
        <w:t>PHF = potentially hazardous food, RTO= r</w:t>
      </w:r>
      <w:r>
        <w:rPr>
          <w:sz w:val="20"/>
        </w:rPr>
        <w:t>egistered training organisation</w:t>
      </w:r>
    </w:p>
    <w:p w14:paraId="74F2063E" w14:textId="77777777" w:rsidR="003B2774" w:rsidRDefault="003B2774" w:rsidP="006E77ED">
      <w:bookmarkStart w:id="96" w:name="_Toc87275046"/>
    </w:p>
    <w:p w14:paraId="40826883" w14:textId="55D8B058" w:rsidR="00CB7716" w:rsidRPr="003B2774" w:rsidRDefault="00CB7716" w:rsidP="003B2774">
      <w:pPr>
        <w:rPr>
          <w:b/>
          <w:i/>
        </w:rPr>
      </w:pPr>
      <w:r w:rsidRPr="003B2774">
        <w:rPr>
          <w:b/>
          <w:i/>
        </w:rPr>
        <w:t>Implementation: FSS</w:t>
      </w:r>
      <w:bookmarkEnd w:id="96"/>
    </w:p>
    <w:p w14:paraId="65F033D7" w14:textId="09208E85" w:rsidR="00CB7716" w:rsidRDefault="00CB7716" w:rsidP="003B2774">
      <w:pPr>
        <w:spacing w:after="240"/>
      </w:pPr>
      <w:r>
        <w:t xml:space="preserve">FSS certification would require successful completion of training that is competency verified (i.e. including formal assessment). </w:t>
      </w:r>
    </w:p>
    <w:p w14:paraId="4B01BF88" w14:textId="7CC6ACFF" w:rsidR="00CB7716" w:rsidRDefault="00CB7716" w:rsidP="003B2774">
      <w:pPr>
        <w:spacing w:after="240"/>
      </w:pPr>
      <w:r>
        <w:t xml:space="preserve">Through such training, a FSS would be qualified in recognising and preventing the risks associated with food handling in a food service and retail food business. FSANZ considers that FSS with specified competency training would be able to manage the overall food safety of the business, across staff. </w:t>
      </w:r>
    </w:p>
    <w:p w14:paraId="1D1DAAFC" w14:textId="5F2932DC" w:rsidR="00CB7716" w:rsidRPr="000D45EF" w:rsidRDefault="00CB7716" w:rsidP="003B2774">
      <w:pPr>
        <w:spacing w:after="240"/>
        <w:rPr>
          <w:rFonts w:ascii="Times New Roman" w:hAnsi="Times New Roman"/>
          <w:sz w:val="24"/>
          <w:lang w:val="en-US" w:eastAsia="en-GB"/>
        </w:rPr>
      </w:pPr>
      <w:r w:rsidRPr="68C0CA2D">
        <w:rPr>
          <w:rFonts w:cs="Arial"/>
          <w:lang w:val="en-AU" w:eastAsia="en-GB"/>
        </w:rPr>
        <w:t>The presence of a FSS at the business is not only an important point of contact for food handlers, but also food regulators.</w:t>
      </w:r>
      <w:r w:rsidRPr="68C0CA2D">
        <w:rPr>
          <w:rFonts w:cs="Arial"/>
          <w:lang w:val="en-US" w:eastAsia="en-GB"/>
        </w:rPr>
        <w:t> </w:t>
      </w:r>
      <w:r w:rsidRPr="68C0CA2D">
        <w:rPr>
          <w:rFonts w:cs="Arial"/>
          <w:lang w:val="en-AU" w:eastAsia="en-GB"/>
        </w:rPr>
        <w:t>The authority and abilities of a FSS may be assessed by a regulator on site, through observing normal operating practices, or discussing daily operations, responsibilities and reporting lines.</w:t>
      </w:r>
      <w:r w:rsidRPr="68C0CA2D">
        <w:rPr>
          <w:rFonts w:cs="Arial"/>
          <w:lang w:val="en-US" w:eastAsia="en-GB"/>
        </w:rPr>
        <w:t> </w:t>
      </w:r>
      <w:r w:rsidRPr="48861835">
        <w:rPr>
          <w:rFonts w:cs="Arial"/>
          <w:lang w:val="en-AU" w:eastAsia="en-GB"/>
        </w:rPr>
        <w:t>The</w:t>
      </w:r>
      <w:r w:rsidRPr="68C0CA2D">
        <w:rPr>
          <w:rFonts w:cs="Arial"/>
          <w:lang w:val="en-AU" w:eastAsia="en-GB"/>
        </w:rPr>
        <w:t xml:space="preserve"> FSS </w:t>
      </w:r>
      <w:r w:rsidRPr="48861835">
        <w:rPr>
          <w:rFonts w:cs="Arial"/>
          <w:lang w:val="en-AU" w:eastAsia="en-GB"/>
        </w:rPr>
        <w:t>will</w:t>
      </w:r>
      <w:r w:rsidRPr="68C0CA2D">
        <w:rPr>
          <w:rFonts w:cs="Arial"/>
          <w:lang w:val="en-AU" w:eastAsia="en-GB"/>
        </w:rPr>
        <w:t xml:space="preserve"> be ‘reasonably available’ to advise and supervise staff. What is considered reasonable may vary for different businesses, depending on their number of staff, volumes of food, and food handling activities.</w:t>
      </w:r>
      <w:r w:rsidRPr="68C0CA2D">
        <w:rPr>
          <w:rFonts w:cs="Arial"/>
          <w:lang w:val="en-US" w:eastAsia="en-GB"/>
        </w:rPr>
        <w:t> </w:t>
      </w:r>
    </w:p>
    <w:p w14:paraId="16355293" w14:textId="339F9073" w:rsidR="00CB7716" w:rsidRDefault="00CB7716" w:rsidP="0025246D">
      <w:pPr>
        <w:pStyle w:val="Heading4"/>
        <w:numPr>
          <w:ilvl w:val="0"/>
          <w:numId w:val="0"/>
        </w:numPr>
        <w:ind w:left="864" w:hanging="864"/>
      </w:pPr>
      <w:bookmarkStart w:id="97" w:name="_Toc70953242"/>
      <w:bookmarkStart w:id="98" w:name="_Toc107412691"/>
      <w:r>
        <w:t>4.4.2</w:t>
      </w:r>
      <w:r>
        <w:tab/>
        <w:t>Food handler training</w:t>
      </w:r>
      <w:bookmarkEnd w:id="97"/>
      <w:bookmarkEnd w:id="98"/>
      <w:r>
        <w:t xml:space="preserve"> </w:t>
      </w:r>
    </w:p>
    <w:p w14:paraId="16ADA0C1" w14:textId="77777777" w:rsidR="00CB7716" w:rsidRDefault="00CB7716" w:rsidP="003B2774">
      <w:pPr>
        <w:spacing w:after="240"/>
      </w:pPr>
      <w:r w:rsidRPr="002673C7">
        <w:t xml:space="preserve">FSANZ </w:t>
      </w:r>
      <w:r>
        <w:t xml:space="preserve">has </w:t>
      </w:r>
      <w:r w:rsidRPr="002673C7">
        <w:t xml:space="preserve">considered a regulatory </w:t>
      </w:r>
      <w:r>
        <w:t xml:space="preserve">tool where </w:t>
      </w:r>
      <w:r w:rsidRPr="003F0323">
        <w:t>food handlers</w:t>
      </w:r>
      <w:r>
        <w:t xml:space="preserve"> in</w:t>
      </w:r>
      <w:r w:rsidRPr="003F0323">
        <w:t xml:space="preserve"> </w:t>
      </w:r>
      <w:r>
        <w:t xml:space="preserve">some, or all, </w:t>
      </w:r>
      <w:r w:rsidRPr="003F0323">
        <w:t xml:space="preserve">in-scope businesses would </w:t>
      </w:r>
      <w:r>
        <w:t xml:space="preserve">be </w:t>
      </w:r>
      <w:r w:rsidRPr="003F0323">
        <w:t>require</w:t>
      </w:r>
      <w:r>
        <w:t>d</w:t>
      </w:r>
      <w:r w:rsidRPr="003F0323">
        <w:t xml:space="preserve"> to </w:t>
      </w:r>
      <w:r>
        <w:t>complete food safety training before handling PHF. While not competency based, the proposed FHT specifies all of the following to be included:</w:t>
      </w:r>
    </w:p>
    <w:p w14:paraId="1DFCCD4E" w14:textId="77777777" w:rsidR="00CB7716" w:rsidRPr="00E56393" w:rsidRDefault="00CB7716" w:rsidP="004E6D96">
      <w:pPr>
        <w:pStyle w:val="ListParagraph"/>
        <w:numPr>
          <w:ilvl w:val="0"/>
          <w:numId w:val="27"/>
        </w:numPr>
        <w:spacing w:after="240"/>
      </w:pPr>
      <w:r w:rsidRPr="00E56393">
        <w:t>safe handling of food</w:t>
      </w:r>
    </w:p>
    <w:p w14:paraId="065CDDDD" w14:textId="77777777" w:rsidR="00CB7716" w:rsidRPr="00E56393" w:rsidRDefault="00CB7716" w:rsidP="004E6D96">
      <w:pPr>
        <w:pStyle w:val="ListParagraph"/>
        <w:numPr>
          <w:ilvl w:val="0"/>
          <w:numId w:val="27"/>
        </w:numPr>
        <w:spacing w:after="240"/>
      </w:pPr>
      <w:r w:rsidRPr="00E56393">
        <w:t>food contamination</w:t>
      </w:r>
    </w:p>
    <w:p w14:paraId="33B8276D" w14:textId="77777777" w:rsidR="00CB7716" w:rsidRPr="00E56393" w:rsidRDefault="00CB7716" w:rsidP="004E6D96">
      <w:pPr>
        <w:pStyle w:val="ListParagraph"/>
        <w:numPr>
          <w:ilvl w:val="0"/>
          <w:numId w:val="27"/>
        </w:numPr>
        <w:spacing w:after="240"/>
      </w:pPr>
      <w:r w:rsidRPr="00E56393">
        <w:t>cleaning and sanitising of food premises and equipment</w:t>
      </w:r>
    </w:p>
    <w:p w14:paraId="3ACD46A8" w14:textId="77777777" w:rsidR="00CB7716" w:rsidRPr="00E56393" w:rsidRDefault="00CB7716" w:rsidP="004E6D96">
      <w:pPr>
        <w:pStyle w:val="ListParagraph"/>
        <w:numPr>
          <w:ilvl w:val="0"/>
          <w:numId w:val="27"/>
        </w:numPr>
        <w:spacing w:after="240"/>
      </w:pPr>
      <w:proofErr w:type="gramStart"/>
      <w:r w:rsidRPr="00E56393">
        <w:t>personal</w:t>
      </w:r>
      <w:proofErr w:type="gramEnd"/>
      <w:r w:rsidRPr="00E56393">
        <w:t xml:space="preserve"> hygiene.</w:t>
      </w:r>
    </w:p>
    <w:p w14:paraId="701C6E80" w14:textId="77777777" w:rsidR="00CB7716" w:rsidRDefault="00CB7716" w:rsidP="003B2774">
      <w:pPr>
        <w:spacing w:after="240"/>
      </w:pPr>
      <w:r>
        <w:t xml:space="preserve">The Code currently requires food businesses to ensure persons undertaking or supervising food handling have skills and knowledge in food safety and food hygiene matters, commensurate with their work activities (Standard 3.2.2 clause 3). There are no specific training requirements. </w:t>
      </w:r>
    </w:p>
    <w:p w14:paraId="0DC80BAE" w14:textId="77777777" w:rsidR="00CB7716" w:rsidRPr="003B2774" w:rsidRDefault="00CB7716" w:rsidP="003B2774">
      <w:pPr>
        <w:rPr>
          <w:b/>
          <w:i/>
        </w:rPr>
      </w:pPr>
      <w:r w:rsidRPr="003B2774">
        <w:rPr>
          <w:b/>
          <w:i/>
        </w:rPr>
        <w:t>Evaluation: FHT</w:t>
      </w:r>
    </w:p>
    <w:p w14:paraId="7182FA97" w14:textId="36045014" w:rsidR="00CB7716" w:rsidRPr="00E9095D" w:rsidRDefault="00CB7716" w:rsidP="003B2774">
      <w:pPr>
        <w:spacing w:after="240"/>
        <w:rPr>
          <w:color w:val="548DD4" w:themeColor="text2" w:themeTint="99"/>
        </w:rPr>
      </w:pPr>
      <w:r w:rsidRPr="008104A2">
        <w:t>FSANZ assess</w:t>
      </w:r>
      <w:r>
        <w:t>ed</w:t>
      </w:r>
      <w:r w:rsidRPr="008104A2">
        <w:t xml:space="preserve"> </w:t>
      </w:r>
      <w:r>
        <w:t xml:space="preserve">international </w:t>
      </w:r>
      <w:r w:rsidRPr="008104A2">
        <w:t xml:space="preserve">literature </w:t>
      </w:r>
      <w:r>
        <w:t>on</w:t>
      </w:r>
      <w:r w:rsidRPr="008104A2">
        <w:t xml:space="preserve"> the impact of food </w:t>
      </w:r>
      <w:r>
        <w:t>safety training on food handler behaviour</w:t>
      </w:r>
      <w:r w:rsidRPr="0031430E">
        <w:t xml:space="preserve"> </w:t>
      </w:r>
      <w:r>
        <w:t xml:space="preserve">in </w:t>
      </w:r>
      <w:r w:rsidRPr="00E43CEC">
        <w:t>food service businesses</w:t>
      </w:r>
      <w:r w:rsidRPr="008104A2">
        <w:t>.</w:t>
      </w:r>
      <w:r>
        <w:t xml:space="preserve"> R</w:t>
      </w:r>
      <w:r w:rsidRPr="00E43CEC">
        <w:t xml:space="preserve">esearch </w:t>
      </w:r>
      <w:r>
        <w:t>from</w:t>
      </w:r>
      <w:r w:rsidR="00B67B69">
        <w:t xml:space="preserve"> Australia was not available. S</w:t>
      </w:r>
      <w:r>
        <w:t>pecifically, we examined:</w:t>
      </w:r>
    </w:p>
    <w:p w14:paraId="48D45948" w14:textId="77777777" w:rsidR="00CB7716" w:rsidRPr="00E43CEC" w:rsidRDefault="00CB7716" w:rsidP="004E6D96">
      <w:pPr>
        <w:pStyle w:val="ListParagraph"/>
        <w:numPr>
          <w:ilvl w:val="0"/>
          <w:numId w:val="28"/>
        </w:numPr>
        <w:spacing w:after="240"/>
      </w:pPr>
      <w:r>
        <w:t>whether FHT results in improved</w:t>
      </w:r>
      <w:r w:rsidRPr="00E43CEC">
        <w:t xml:space="preserve"> knowledge and b</w:t>
      </w:r>
      <w:r>
        <w:t xml:space="preserve">ehaviour </w:t>
      </w:r>
    </w:p>
    <w:p w14:paraId="157204B0" w14:textId="77777777" w:rsidR="00CB7716" w:rsidRDefault="00CB7716" w:rsidP="004E6D96">
      <w:pPr>
        <w:pStyle w:val="ListParagraph"/>
        <w:numPr>
          <w:ilvl w:val="0"/>
          <w:numId w:val="28"/>
        </w:numPr>
        <w:spacing w:after="240"/>
      </w:pPr>
      <w:proofErr w:type="gramStart"/>
      <w:r>
        <w:t>what</w:t>
      </w:r>
      <w:proofErr w:type="gramEnd"/>
      <w:r w:rsidRPr="00E43CEC">
        <w:t xml:space="preserve"> </w:t>
      </w:r>
      <w:r>
        <w:t>factors increase or</w:t>
      </w:r>
      <w:r w:rsidRPr="00E43CEC">
        <w:t xml:space="preserve"> limit the effectiveness </w:t>
      </w:r>
      <w:r>
        <w:t xml:space="preserve">(i.e. outcomes) </w:t>
      </w:r>
      <w:r w:rsidRPr="00E43CEC">
        <w:t>of training</w:t>
      </w:r>
      <w:r>
        <w:t>.</w:t>
      </w:r>
    </w:p>
    <w:p w14:paraId="522A8C22" w14:textId="2BCF335D" w:rsidR="00CB7716" w:rsidRDefault="003B2774" w:rsidP="004E6D96">
      <w:pPr>
        <w:pStyle w:val="ListParagraph"/>
        <w:numPr>
          <w:ilvl w:val="0"/>
          <w:numId w:val="28"/>
        </w:numPr>
        <w:spacing w:after="240"/>
      </w:pPr>
      <w:r>
        <w:t>k</w:t>
      </w:r>
      <w:r w:rsidR="00CB7716" w:rsidRPr="008104A2">
        <w:t xml:space="preserve">nowledge and behaviour </w:t>
      </w:r>
      <w:r w:rsidR="00CB7716">
        <w:t>improvements</w:t>
      </w:r>
    </w:p>
    <w:p w14:paraId="454ED708" w14:textId="0BA1345A" w:rsidR="00CB7716" w:rsidRDefault="00CB7716" w:rsidP="003B2774">
      <w:pPr>
        <w:spacing w:after="240"/>
      </w:pPr>
      <w:r>
        <w:t>The</w:t>
      </w:r>
      <w:r w:rsidRPr="00511984">
        <w:t xml:space="preserve"> efficacy of food safety training </w:t>
      </w:r>
      <w:r>
        <w:t xml:space="preserve">on improving knowledge and behaviour are covered in two </w:t>
      </w:r>
      <w:r w:rsidRPr="00EB7634">
        <w:t>reviews (Medeiros et al., 2011; McFarland et al., 2019). Most</w:t>
      </w:r>
      <w:r>
        <w:t>, but not all, of the reviewed studies reported improved knowledge and behaviour after training.</w:t>
      </w:r>
    </w:p>
    <w:p w14:paraId="7C9C3035" w14:textId="77777777" w:rsidR="00CB7716" w:rsidRDefault="00CB7716" w:rsidP="003B2774">
      <w:pPr>
        <w:spacing w:after="240"/>
      </w:pPr>
      <w:r>
        <w:t xml:space="preserve">In one review, five out of six </w:t>
      </w:r>
      <w:r w:rsidRPr="00E43CEC">
        <w:t>studies</w:t>
      </w:r>
      <w:r w:rsidRPr="00E43CEC">
        <w:rPr>
          <w:rStyle w:val="FootnoteReference"/>
        </w:rPr>
        <w:footnoteReference w:id="24"/>
      </w:r>
      <w:r w:rsidRPr="00E43CEC">
        <w:t xml:space="preserve"> </w:t>
      </w:r>
      <w:r>
        <w:t xml:space="preserve">examining food handlers’ training </w:t>
      </w:r>
      <w:r w:rsidRPr="00E43CEC">
        <w:t>in commercial environments</w:t>
      </w:r>
      <w:r w:rsidRPr="00E43CEC" w:rsidDel="005A081B">
        <w:t xml:space="preserve"> </w:t>
      </w:r>
      <w:r>
        <w:t>2008–2018 reported that t</w:t>
      </w:r>
      <w:r w:rsidRPr="007354AF">
        <w:t>raining increase</w:t>
      </w:r>
      <w:r>
        <w:t>d</w:t>
      </w:r>
      <w:r w:rsidRPr="007354AF">
        <w:t xml:space="preserve"> </w:t>
      </w:r>
      <w:r>
        <w:t xml:space="preserve">their </w:t>
      </w:r>
      <w:r w:rsidRPr="007354AF">
        <w:t>food safety</w:t>
      </w:r>
      <w:r>
        <w:t xml:space="preserve"> knowledge </w:t>
      </w:r>
      <w:r w:rsidRPr="003065CA">
        <w:t>(McFarland et al 2019). Similarly, a review of 14 studies</w:t>
      </w:r>
      <w:r w:rsidRPr="003065CA">
        <w:rPr>
          <w:rStyle w:val="FootnoteReference"/>
        </w:rPr>
        <w:footnoteReference w:id="25"/>
      </w:r>
      <w:r w:rsidRPr="003065CA">
        <w:t xml:space="preserve"> on training </w:t>
      </w:r>
      <w:r>
        <w:t>in food service businesses 2004–</w:t>
      </w:r>
      <w:r w:rsidRPr="003065CA">
        <w:t>2008 found training resulted in improved knowledge and behaviour in most cases (Medeiros et al., 2011).</w:t>
      </w:r>
      <w:r>
        <w:t xml:space="preserve"> </w:t>
      </w:r>
      <w:r w:rsidRPr="00E156A3">
        <w:t xml:space="preserve">The most common training topics </w:t>
      </w:r>
      <w:r>
        <w:t xml:space="preserve">of this review </w:t>
      </w:r>
      <w:r w:rsidRPr="00E156A3">
        <w:t xml:space="preserve">were employee personal hygiene and handwashing. </w:t>
      </w:r>
      <w:r>
        <w:t>Improved hygiene behaviours, such as hand washing, were directly observed. S</w:t>
      </w:r>
      <w:r w:rsidRPr="00E156A3">
        <w:t>ome studies</w:t>
      </w:r>
      <w:r>
        <w:t xml:space="preserve"> that</w:t>
      </w:r>
      <w:r w:rsidRPr="00E156A3">
        <w:t xml:space="preserve"> </w:t>
      </w:r>
      <w:r>
        <w:t>included</w:t>
      </w:r>
      <w:r w:rsidRPr="00E156A3">
        <w:t xml:space="preserve"> microbiological analyses</w:t>
      </w:r>
      <w:r>
        <w:t xml:space="preserve"> also </w:t>
      </w:r>
      <w:r w:rsidRPr="00E156A3">
        <w:t xml:space="preserve">observed a reduction </w:t>
      </w:r>
      <w:r>
        <w:t>in</w:t>
      </w:r>
      <w:r w:rsidRPr="00E156A3">
        <w:t xml:space="preserve"> microorganisms during food preparation and handling </w:t>
      </w:r>
      <w:r>
        <w:t>post-</w:t>
      </w:r>
      <w:r w:rsidRPr="00E156A3">
        <w:t>training</w:t>
      </w:r>
      <w:r>
        <w:t>.</w:t>
      </w:r>
      <w:r w:rsidRPr="00E156A3" w:rsidDel="00953F5E">
        <w:t xml:space="preserve"> </w:t>
      </w:r>
    </w:p>
    <w:p w14:paraId="0EF26D73" w14:textId="6168DA1A" w:rsidR="00CB7716" w:rsidRDefault="00CB7716" w:rsidP="003B2774">
      <w:pPr>
        <w:spacing w:after="240"/>
      </w:pPr>
      <w:r>
        <w:t xml:space="preserve">Both these reviews included cases where training or </w:t>
      </w:r>
      <w:r w:rsidRPr="00E156A3">
        <w:t>knowledge acquired did not translate to food</w:t>
      </w:r>
      <w:r>
        <w:t>-</w:t>
      </w:r>
      <w:r w:rsidRPr="00E156A3">
        <w:t xml:space="preserve">safe behaviours in the workplace. One study found no difference in </w:t>
      </w:r>
      <w:r>
        <w:t xml:space="preserve">food handler </w:t>
      </w:r>
      <w:r w:rsidRPr="00E156A3">
        <w:t xml:space="preserve">knowledge </w:t>
      </w:r>
      <w:r>
        <w:t>or</w:t>
      </w:r>
      <w:r w:rsidRPr="00E156A3">
        <w:t xml:space="preserve"> behaviour after training</w:t>
      </w:r>
      <w:r>
        <w:t>.</w:t>
      </w:r>
    </w:p>
    <w:p w14:paraId="055D8290" w14:textId="27E21DAE" w:rsidR="00CB7716" w:rsidRDefault="00CB7716" w:rsidP="003B2774">
      <w:pPr>
        <w:spacing w:after="240"/>
      </w:pPr>
      <w:r>
        <w:t xml:space="preserve">These findings indicate a gap between increasing food handler knowledge and improving their practices. The McFarland et al review (2019) considered some training methods (e.g. knowledge-based training alone) may not align with practical realities in the workplace, such as peak business periods. They also noted training (often knowledge-based) is commonly delivered only once without follow-up. </w:t>
      </w:r>
    </w:p>
    <w:p w14:paraId="6F66811C" w14:textId="77777777" w:rsidR="00CB7716" w:rsidRDefault="00CB7716" w:rsidP="003B2774">
      <w:pPr>
        <w:spacing w:after="240"/>
      </w:pPr>
      <w:r>
        <w:t>The reviews cited the following elements contributed to effective</w:t>
      </w:r>
      <w:r w:rsidRPr="00E156A3">
        <w:t xml:space="preserve"> </w:t>
      </w:r>
      <w:r>
        <w:t>training</w:t>
      </w:r>
      <w:r w:rsidRPr="00E156A3">
        <w:t xml:space="preserve">: </w:t>
      </w:r>
    </w:p>
    <w:p w14:paraId="4A741538" w14:textId="77777777" w:rsidR="00CB7716" w:rsidRDefault="00CB7716" w:rsidP="004E6D96">
      <w:pPr>
        <w:pStyle w:val="ListParagraph"/>
        <w:numPr>
          <w:ilvl w:val="0"/>
          <w:numId w:val="29"/>
        </w:numPr>
        <w:spacing w:after="240"/>
      </w:pPr>
      <w:r w:rsidRPr="00E156A3">
        <w:t>incorporat</w:t>
      </w:r>
      <w:r>
        <w:t>ing</w:t>
      </w:r>
      <w:r w:rsidRPr="00E156A3">
        <w:t xml:space="preserve"> </w:t>
      </w:r>
      <w:r w:rsidRPr="00986BB9">
        <w:t xml:space="preserve">a mix of knowledge-based </w:t>
      </w:r>
      <w:r>
        <w:t xml:space="preserve">and practical </w:t>
      </w:r>
      <w:r w:rsidRPr="00986BB9">
        <w:t>components</w:t>
      </w:r>
      <w:r w:rsidRPr="00E156A3" w:rsidDel="00953F5E">
        <w:t xml:space="preserve"> </w:t>
      </w:r>
    </w:p>
    <w:p w14:paraId="625EDD88" w14:textId="77777777" w:rsidR="00CB7716" w:rsidRDefault="00CB7716" w:rsidP="004E6D96">
      <w:pPr>
        <w:pStyle w:val="ListParagraph"/>
        <w:numPr>
          <w:ilvl w:val="0"/>
          <w:numId w:val="29"/>
        </w:numPr>
        <w:spacing w:after="240"/>
      </w:pPr>
      <w:r>
        <w:t xml:space="preserve">use of </w:t>
      </w:r>
      <w:r w:rsidRPr="00E156A3">
        <w:t>multimedia</w:t>
      </w:r>
      <w:r>
        <w:t xml:space="preserve">, </w:t>
      </w:r>
      <w:r w:rsidRPr="00E156A3">
        <w:t>video</w:t>
      </w:r>
      <w:r>
        <w:t>s</w:t>
      </w:r>
      <w:r w:rsidRPr="00E156A3">
        <w:t xml:space="preserve"> and illustrations</w:t>
      </w:r>
      <w:r>
        <w:t xml:space="preserve"> in addition to reading and writing</w:t>
      </w:r>
      <w:r w:rsidRPr="00E156A3">
        <w:t xml:space="preserve"> </w:t>
      </w:r>
    </w:p>
    <w:p w14:paraId="6C65A297" w14:textId="77777777" w:rsidR="00CB7716" w:rsidRDefault="00CB7716" w:rsidP="004E6D96">
      <w:pPr>
        <w:pStyle w:val="ListParagraph"/>
        <w:numPr>
          <w:ilvl w:val="0"/>
          <w:numId w:val="29"/>
        </w:numPr>
        <w:spacing w:after="240"/>
      </w:pPr>
      <w:proofErr w:type="gramStart"/>
      <w:r>
        <w:t>ou</w:t>
      </w:r>
      <w:r w:rsidRPr="00C03D60">
        <w:t>tlining</w:t>
      </w:r>
      <w:proofErr w:type="gramEnd"/>
      <w:r w:rsidRPr="00C03D60">
        <w:t xml:space="preserve"> the commercial/business benefits</w:t>
      </w:r>
      <w:r w:rsidRPr="009366CD">
        <w:t xml:space="preserve"> </w:t>
      </w:r>
      <w:r>
        <w:t xml:space="preserve">of </w:t>
      </w:r>
      <w:r w:rsidRPr="009366CD">
        <w:t>safe food handling</w:t>
      </w:r>
      <w:r w:rsidRPr="00E156A3">
        <w:t xml:space="preserve">. </w:t>
      </w:r>
    </w:p>
    <w:p w14:paraId="121B622F" w14:textId="77777777" w:rsidR="00CB7716" w:rsidRDefault="00CB7716" w:rsidP="003B2774">
      <w:pPr>
        <w:spacing w:after="240"/>
      </w:pPr>
      <w:r>
        <w:t xml:space="preserve">Ongoing training, supervision or explicit workplace cues (e.g. signage) could also help the transfer of knowledge into improved behaviours (McFarland et al., 2019). </w:t>
      </w:r>
    </w:p>
    <w:p w14:paraId="3F926B22" w14:textId="77777777" w:rsidR="00CB7716" w:rsidRPr="00B67B69" w:rsidRDefault="00CB7716" w:rsidP="00B67B69">
      <w:pPr>
        <w:rPr>
          <w:b/>
          <w:i/>
        </w:rPr>
      </w:pPr>
      <w:r w:rsidRPr="00B67B69">
        <w:rPr>
          <w:b/>
          <w:i/>
        </w:rPr>
        <w:t>Factors influencing food handler behaviour</w:t>
      </w:r>
    </w:p>
    <w:p w14:paraId="6F24CAD2" w14:textId="2659B372" w:rsidR="00CB7716" w:rsidRDefault="00CB7716" w:rsidP="003B2774">
      <w:pPr>
        <w:spacing w:after="240"/>
      </w:pPr>
      <w:r w:rsidRPr="00F14F03">
        <w:t xml:space="preserve">Factors contributing to safe food handling in food service businesses are summarised in a review of 26 </w:t>
      </w:r>
      <w:r w:rsidRPr="00EB7634">
        <w:t>studies (</w:t>
      </w:r>
      <w:proofErr w:type="spellStart"/>
      <w:r w:rsidRPr="00EB7634">
        <w:t>Thaivalappil</w:t>
      </w:r>
      <w:proofErr w:type="spellEnd"/>
      <w:r w:rsidRPr="00EB7634">
        <w:t xml:space="preserve"> et al., 2018). The</w:t>
      </w:r>
      <w:r w:rsidRPr="00F14F03">
        <w:t xml:space="preserve"> re</w:t>
      </w:r>
      <w:r>
        <w:t>search</w:t>
      </w:r>
      <w:r w:rsidRPr="00F14F03">
        <w:t xml:space="preserve"> </w:t>
      </w:r>
      <w:r>
        <w:t xml:space="preserve">mainly </w:t>
      </w:r>
      <w:r w:rsidRPr="00F14F03">
        <w:t xml:space="preserve">focuses on </w:t>
      </w:r>
      <w:r>
        <w:t>food handler interviews</w:t>
      </w:r>
      <w:r w:rsidRPr="00F14F03">
        <w:t xml:space="preserve"> in the United States and United Kingdom</w:t>
      </w:r>
      <w:r w:rsidRPr="009366CD">
        <w:t xml:space="preserve">. </w:t>
      </w:r>
    </w:p>
    <w:p w14:paraId="7185C176" w14:textId="0D0F6483" w:rsidR="00CB7716" w:rsidRDefault="00CB7716" w:rsidP="003B2774">
      <w:pPr>
        <w:spacing w:after="240"/>
      </w:pPr>
      <w:r>
        <w:t>Generally, t</w:t>
      </w:r>
      <w:r w:rsidRPr="003352C1">
        <w:t>he review found food handlers had good skills and knowledge in safe food handling</w:t>
      </w:r>
      <w:r>
        <w:t xml:space="preserve">. </w:t>
      </w:r>
      <w:r w:rsidRPr="003352C1">
        <w:t>Most subjects perceived their training to be beneficial (</w:t>
      </w:r>
      <w:r>
        <w:t xml:space="preserve">the review authors also reported this </w:t>
      </w:r>
      <w:r w:rsidRPr="003352C1">
        <w:t>replicat</w:t>
      </w:r>
      <w:r>
        <w:t>ed</w:t>
      </w:r>
      <w:r w:rsidRPr="003352C1">
        <w:t xml:space="preserve"> previous findings).</w:t>
      </w:r>
      <w:r w:rsidRPr="009366CD">
        <w:t xml:space="preserve"> </w:t>
      </w:r>
      <w:r>
        <w:t xml:space="preserve">While most food handlers are confident in their abilities, in some cases </w:t>
      </w:r>
      <w:r w:rsidRPr="004122C4">
        <w:t>they appear to overestimate their abilities; for</w:t>
      </w:r>
      <w:r>
        <w:t xml:space="preserve"> example,</w:t>
      </w:r>
      <w:r w:rsidRPr="00C65263">
        <w:t xml:space="preserve"> </w:t>
      </w:r>
      <w:r>
        <w:t xml:space="preserve">just </w:t>
      </w:r>
      <w:r w:rsidRPr="00C65263">
        <w:t xml:space="preserve">using </w:t>
      </w:r>
      <w:r>
        <w:t>smell, touch or sight</w:t>
      </w:r>
      <w:r w:rsidRPr="00C65263">
        <w:t xml:space="preserve"> to </w:t>
      </w:r>
      <w:r>
        <w:t>gauge</w:t>
      </w:r>
      <w:r w:rsidRPr="00C65263">
        <w:t xml:space="preserve"> whether a food is </w:t>
      </w:r>
      <w:r w:rsidRPr="009366CD">
        <w:t xml:space="preserve">spoiled or correctly </w:t>
      </w:r>
      <w:r>
        <w:t>cooked</w:t>
      </w:r>
      <w:r w:rsidRPr="003352C1">
        <w:t>.</w:t>
      </w:r>
    </w:p>
    <w:p w14:paraId="335BD0B7" w14:textId="44608431" w:rsidR="00CB7716" w:rsidRDefault="00CB7716" w:rsidP="003B2774">
      <w:pPr>
        <w:spacing w:after="240"/>
      </w:pPr>
      <w:r>
        <w:t>Food handlers</w:t>
      </w:r>
      <w:r w:rsidRPr="00C65263">
        <w:t xml:space="preserve"> reported having </w:t>
      </w:r>
      <w:r w:rsidRPr="004122C4">
        <w:t>issues</w:t>
      </w:r>
      <w:r>
        <w:t xml:space="preserve"> with being motivated to practise safe food handling. They </w:t>
      </w:r>
      <w:r w:rsidRPr="00891044">
        <w:t>report</w:t>
      </w:r>
      <w:r w:rsidRPr="002E3C4A">
        <w:t xml:space="preserve">ed </w:t>
      </w:r>
      <w:r w:rsidRPr="00891044">
        <w:t>wanting support and workplace cues to remind</w:t>
      </w:r>
      <w:r w:rsidRPr="002E3C4A">
        <w:t xml:space="preserve"> them of </w:t>
      </w:r>
      <w:r>
        <w:t>good</w:t>
      </w:r>
      <w:r w:rsidRPr="002E3C4A">
        <w:t xml:space="preserve"> practices</w:t>
      </w:r>
      <w:r>
        <w:t>.</w:t>
      </w:r>
    </w:p>
    <w:p w14:paraId="6462D844" w14:textId="77777777" w:rsidR="00CB7716" w:rsidRPr="007E4044" w:rsidRDefault="00CB7716" w:rsidP="003B2774">
      <w:pPr>
        <w:spacing w:after="240"/>
      </w:pPr>
      <w:r>
        <w:t xml:space="preserve">Situational and social factors reported as influencing safe food handling </w:t>
      </w:r>
      <w:r w:rsidRPr="007E4044">
        <w:t>practices</w:t>
      </w:r>
      <w:r>
        <w:t xml:space="preserve"> include</w:t>
      </w:r>
      <w:r w:rsidRPr="007E4044">
        <w:t>:</w:t>
      </w:r>
    </w:p>
    <w:p w14:paraId="3F0F9619" w14:textId="77777777" w:rsidR="00CB7716" w:rsidRPr="00891044" w:rsidRDefault="00CB7716" w:rsidP="004E6D96">
      <w:pPr>
        <w:pStyle w:val="ListParagraph"/>
        <w:numPr>
          <w:ilvl w:val="0"/>
          <w:numId w:val="30"/>
        </w:numPr>
        <w:spacing w:after="240"/>
      </w:pPr>
      <w:r w:rsidRPr="00891044">
        <w:t xml:space="preserve">workplace policies </w:t>
      </w:r>
    </w:p>
    <w:p w14:paraId="53FE1E6A" w14:textId="77777777" w:rsidR="00CB7716" w:rsidRPr="007E4044" w:rsidRDefault="00CB7716" w:rsidP="004E6D96">
      <w:pPr>
        <w:pStyle w:val="ListParagraph"/>
        <w:numPr>
          <w:ilvl w:val="0"/>
          <w:numId w:val="30"/>
        </w:numPr>
        <w:spacing w:after="240"/>
      </w:pPr>
      <w:r w:rsidRPr="007E4044">
        <w:t xml:space="preserve">space, time and accessibility to </w:t>
      </w:r>
      <w:r>
        <w:t xml:space="preserve">washing </w:t>
      </w:r>
      <w:r w:rsidRPr="007E4044">
        <w:t xml:space="preserve">stations </w:t>
      </w:r>
      <w:r>
        <w:t>(e.g. poor accessibility was a barrier to handwashing)</w:t>
      </w:r>
    </w:p>
    <w:p w14:paraId="56E1A079" w14:textId="77777777" w:rsidR="00CB7716" w:rsidRPr="007E4044" w:rsidRDefault="00CB7716" w:rsidP="004E6D96">
      <w:pPr>
        <w:pStyle w:val="ListParagraph"/>
        <w:numPr>
          <w:ilvl w:val="0"/>
          <w:numId w:val="30"/>
        </w:numPr>
        <w:spacing w:after="240"/>
      </w:pPr>
      <w:r w:rsidRPr="007E4044">
        <w:t>workplace hierarchies</w:t>
      </w:r>
    </w:p>
    <w:p w14:paraId="28D6253D" w14:textId="77777777" w:rsidR="00CB7716" w:rsidRPr="007E4044" w:rsidRDefault="00CB7716" w:rsidP="004E6D96">
      <w:pPr>
        <w:pStyle w:val="ListParagraph"/>
        <w:numPr>
          <w:ilvl w:val="0"/>
          <w:numId w:val="30"/>
        </w:numPr>
        <w:spacing w:after="240"/>
      </w:pPr>
      <w:proofErr w:type="gramStart"/>
      <w:r w:rsidRPr="007E4044">
        <w:t>behaviours</w:t>
      </w:r>
      <w:proofErr w:type="gramEnd"/>
      <w:r w:rsidRPr="007E4044">
        <w:t xml:space="preserve"> </w:t>
      </w:r>
      <w:r>
        <w:t xml:space="preserve">and tone </w:t>
      </w:r>
      <w:r w:rsidRPr="007E4044">
        <w:t>of managers and supervisors</w:t>
      </w:r>
      <w:r>
        <w:t>.</w:t>
      </w:r>
    </w:p>
    <w:p w14:paraId="3A5F627D" w14:textId="77777777" w:rsidR="00CB7716" w:rsidRPr="00BE773B" w:rsidRDefault="00CB7716" w:rsidP="003B2774">
      <w:pPr>
        <w:spacing w:after="240"/>
      </w:pPr>
      <w:r w:rsidRPr="007E4044">
        <w:t xml:space="preserve">Food handlers </w:t>
      </w:r>
      <w:r>
        <w:t>said</w:t>
      </w:r>
      <w:r w:rsidRPr="007E4044">
        <w:t xml:space="preserve"> these factors impacted their ability to safely handle food</w:t>
      </w:r>
      <w:r>
        <w:t>,</w:t>
      </w:r>
      <w:r w:rsidRPr="007E4044">
        <w:t xml:space="preserve"> regardless of how knowledgeable they were about safe practices.</w:t>
      </w:r>
      <w:r w:rsidRPr="00C65263">
        <w:t xml:space="preserve"> </w:t>
      </w:r>
    </w:p>
    <w:p w14:paraId="78521A44" w14:textId="37F67CAC" w:rsidR="00CB7716" w:rsidRDefault="00CB7716" w:rsidP="003B2774">
      <w:pPr>
        <w:spacing w:after="240"/>
      </w:pPr>
      <w:r w:rsidRPr="003352C1">
        <w:t xml:space="preserve">FSANZ considers that, from the literature available, it appears food safety training generally leads to improved knowledge and </w:t>
      </w:r>
      <w:r>
        <w:t>hygiene/hand washing</w:t>
      </w:r>
      <w:r w:rsidRPr="003352C1">
        <w:t xml:space="preserve"> </w:t>
      </w:r>
      <w:r>
        <w:t>b</w:t>
      </w:r>
      <w:r w:rsidRPr="003352C1">
        <w:t>ehaviours in food handlers. However</w:t>
      </w:r>
      <w:r>
        <w:t>,</w:t>
      </w:r>
      <w:r w:rsidRPr="003352C1">
        <w:t xml:space="preserve"> food safety knowledge does not always translate into good food safety practices</w:t>
      </w:r>
      <w:r>
        <w:t>. Follow-up training, education and reminders are likely to be beneficial</w:t>
      </w:r>
      <w:r w:rsidRPr="003352C1">
        <w:t>.</w:t>
      </w:r>
      <w:r>
        <w:t xml:space="preserve"> Given that food handlers can be influenced by workplace factors including the behaviour of managers and supervisors, a FSS could reinforce training and safe food practices. </w:t>
      </w:r>
    </w:p>
    <w:p w14:paraId="00C6A023" w14:textId="77777777" w:rsidR="00CB7716" w:rsidRPr="000368C8" w:rsidRDefault="00CB7716" w:rsidP="003B2774">
      <w:pPr>
        <w:spacing w:after="240"/>
      </w:pPr>
      <w:r w:rsidRPr="006A694E">
        <w:t xml:space="preserve">FSANZ recognises that food safety culture </w:t>
      </w:r>
      <w:r>
        <w:t xml:space="preserve">more broadly </w:t>
      </w:r>
      <w:r w:rsidRPr="006A694E">
        <w:t xml:space="preserve">is a key determinant of food safety behaviours. </w:t>
      </w:r>
      <w:r>
        <w:t>Food safety culture is how everyone in an organisation thinks and acts in their daily work in relation to food safety. Food businesses and regulators could both have a role in strengthening food safety culture, both in industry and across the regulatory system</w:t>
      </w:r>
      <w:r w:rsidRPr="000368C8">
        <w:t>.</w:t>
      </w:r>
    </w:p>
    <w:p w14:paraId="5EFA14E3" w14:textId="77777777" w:rsidR="00CB7716" w:rsidRPr="00B67B69" w:rsidRDefault="00CB7716" w:rsidP="00B67B69">
      <w:pPr>
        <w:rPr>
          <w:b/>
          <w:i/>
        </w:rPr>
      </w:pPr>
      <w:bookmarkStart w:id="99" w:name="_Toc70953244"/>
      <w:r w:rsidRPr="00B67B69">
        <w:rPr>
          <w:b/>
          <w:i/>
        </w:rPr>
        <w:t xml:space="preserve">Gap analysis: </w:t>
      </w:r>
      <w:bookmarkEnd w:id="99"/>
      <w:r w:rsidRPr="00B67B69">
        <w:rPr>
          <w:b/>
          <w:i/>
        </w:rPr>
        <w:t>FHT</w:t>
      </w:r>
    </w:p>
    <w:p w14:paraId="3B002ED2" w14:textId="77777777" w:rsidR="00CB7716" w:rsidRDefault="00CB7716" w:rsidP="003B2774">
      <w:pPr>
        <w:spacing w:after="240"/>
        <w:rPr>
          <w:bCs/>
          <w:color w:val="000000" w:themeColor="text1"/>
          <w:lang w:eastAsia="en-AU"/>
        </w:rPr>
      </w:pPr>
      <w:r w:rsidRPr="009273E5">
        <w:rPr>
          <w:bCs/>
          <w:color w:val="000000" w:themeColor="text1"/>
          <w:lang w:eastAsia="en-AU"/>
        </w:rPr>
        <w:t xml:space="preserve">A gap analysis of the differing </w:t>
      </w:r>
      <w:r>
        <w:rPr>
          <w:bCs/>
          <w:color w:val="000000" w:themeColor="text1"/>
          <w:lang w:eastAsia="en-AU"/>
        </w:rPr>
        <w:t xml:space="preserve">training </w:t>
      </w:r>
      <w:r w:rsidRPr="009273E5">
        <w:rPr>
          <w:bCs/>
          <w:color w:val="000000" w:themeColor="text1"/>
          <w:lang w:eastAsia="en-AU"/>
        </w:rPr>
        <w:t xml:space="preserve">requirements in Australian states and territories is </w:t>
      </w:r>
      <w:r>
        <w:rPr>
          <w:bCs/>
          <w:color w:val="000000" w:themeColor="text1"/>
          <w:lang w:eastAsia="en-AU"/>
        </w:rPr>
        <w:t>outlined</w:t>
      </w:r>
      <w:r w:rsidRPr="009273E5">
        <w:rPr>
          <w:bCs/>
          <w:color w:val="000000" w:themeColor="text1"/>
          <w:lang w:eastAsia="en-AU"/>
        </w:rPr>
        <w:t xml:space="preserve"> in </w:t>
      </w:r>
      <w:r>
        <w:rPr>
          <w:bCs/>
          <w:color w:val="000000" w:themeColor="text1"/>
          <w:lang w:eastAsia="en-AU"/>
        </w:rPr>
        <w:t>T</w:t>
      </w:r>
      <w:r w:rsidRPr="009273E5">
        <w:rPr>
          <w:bCs/>
          <w:color w:val="000000" w:themeColor="text1"/>
          <w:lang w:eastAsia="en-AU"/>
        </w:rPr>
        <w:t xml:space="preserve">able </w:t>
      </w:r>
      <w:r>
        <w:rPr>
          <w:bCs/>
          <w:color w:val="000000" w:themeColor="text1"/>
          <w:lang w:eastAsia="en-AU"/>
        </w:rPr>
        <w:t xml:space="preserve">4 </w:t>
      </w:r>
      <w:r w:rsidRPr="009273E5">
        <w:rPr>
          <w:bCs/>
          <w:color w:val="000000" w:themeColor="text1"/>
          <w:lang w:eastAsia="en-AU"/>
        </w:rPr>
        <w:t>below.</w:t>
      </w:r>
      <w:r>
        <w:rPr>
          <w:bCs/>
          <w:color w:val="000000" w:themeColor="text1"/>
          <w:lang w:eastAsia="en-AU"/>
        </w:rPr>
        <w:t xml:space="preserve"> To summarise, food handler training is not currently mandated and training topics are not specified. There is a small to medium gap between this status quo and the proposed measure requiring all in-scope food handlers to complete a training course covering specified topics. </w:t>
      </w:r>
    </w:p>
    <w:p w14:paraId="1110F1E1" w14:textId="77777777" w:rsidR="00CB7716" w:rsidRPr="00D919F1" w:rsidRDefault="00CB7716" w:rsidP="00CB7716">
      <w:pPr>
        <w:pStyle w:val="Caption"/>
        <w:keepNext/>
        <w:spacing w:before="240"/>
        <w:rPr>
          <w:b/>
          <w:color w:val="auto"/>
          <w:sz w:val="20"/>
          <w:szCs w:val="20"/>
        </w:rPr>
      </w:pPr>
      <w:r w:rsidRPr="00D919F1">
        <w:rPr>
          <w:b/>
          <w:color w:val="auto"/>
          <w:sz w:val="20"/>
          <w:szCs w:val="20"/>
        </w:rPr>
        <w:t>Table 4: Gap analysis of food handler training requirements across jurisdictions</w:t>
      </w:r>
    </w:p>
    <w:tbl>
      <w:tblPr>
        <w:tblW w:w="9886" w:type="dxa"/>
        <w:tblLook w:val="04A0" w:firstRow="1" w:lastRow="0" w:firstColumn="1" w:lastColumn="0" w:noHBand="0" w:noVBand="1"/>
      </w:tblPr>
      <w:tblGrid>
        <w:gridCol w:w="1440"/>
        <w:gridCol w:w="4261"/>
        <w:gridCol w:w="4185"/>
      </w:tblGrid>
      <w:tr w:rsidR="00CB7716" w:rsidRPr="0039626A" w14:paraId="14E31858" w14:textId="77777777" w:rsidTr="006E77ED">
        <w:trPr>
          <w:tblHeader/>
        </w:trPr>
        <w:tc>
          <w:tcPr>
            <w:tcW w:w="1440" w:type="dxa"/>
            <w:tcBorders>
              <w:top w:val="single" w:sz="4" w:space="0" w:color="auto"/>
              <w:left w:val="single" w:sz="4" w:space="0" w:color="auto"/>
              <w:bottom w:val="single" w:sz="4" w:space="0" w:color="auto"/>
              <w:right w:val="single" w:sz="4" w:space="0" w:color="auto"/>
            </w:tcBorders>
            <w:shd w:val="clear" w:color="auto" w:fill="DDD9C3" w:themeFill="background2" w:themeFillShade="E6"/>
            <w:hideMark/>
          </w:tcPr>
          <w:p w14:paraId="521BF212" w14:textId="77777777" w:rsidR="00CB7716" w:rsidRDefault="00CB7716" w:rsidP="00CB7716">
            <w:pPr>
              <w:spacing w:after="85"/>
              <w:rPr>
                <w:b/>
                <w:sz w:val="20"/>
                <w:lang w:val="en-AU"/>
              </w:rPr>
            </w:pPr>
            <w:r w:rsidRPr="0039626A">
              <w:rPr>
                <w:b/>
                <w:sz w:val="20"/>
                <w:lang w:val="en-AU"/>
              </w:rPr>
              <w:t>State/</w:t>
            </w:r>
          </w:p>
          <w:p w14:paraId="15227243" w14:textId="77777777" w:rsidR="00CB7716" w:rsidRPr="0039626A" w:rsidRDefault="00CB7716" w:rsidP="00CB7716">
            <w:pPr>
              <w:spacing w:after="85"/>
              <w:rPr>
                <w:b/>
                <w:sz w:val="20"/>
                <w:lang w:val="en-AU"/>
              </w:rPr>
            </w:pPr>
            <w:r w:rsidRPr="0039626A">
              <w:rPr>
                <w:b/>
                <w:sz w:val="20"/>
                <w:lang w:val="en-AU"/>
              </w:rPr>
              <w:t>territory</w:t>
            </w:r>
          </w:p>
        </w:tc>
        <w:tc>
          <w:tcPr>
            <w:tcW w:w="4261" w:type="dxa"/>
            <w:tcBorders>
              <w:top w:val="single" w:sz="4" w:space="0" w:color="auto"/>
              <w:left w:val="single" w:sz="4" w:space="0" w:color="auto"/>
              <w:bottom w:val="single" w:sz="4" w:space="0" w:color="auto"/>
              <w:right w:val="single" w:sz="4" w:space="0" w:color="auto"/>
            </w:tcBorders>
            <w:shd w:val="clear" w:color="auto" w:fill="DDD9C3" w:themeFill="background2" w:themeFillShade="E6"/>
            <w:hideMark/>
          </w:tcPr>
          <w:p w14:paraId="65862005" w14:textId="77777777" w:rsidR="00CB7716" w:rsidRPr="0039626A" w:rsidRDefault="00CB7716" w:rsidP="00CB7716">
            <w:pPr>
              <w:spacing w:after="85"/>
              <w:rPr>
                <w:b/>
                <w:sz w:val="20"/>
                <w:lang w:val="en-AU"/>
              </w:rPr>
            </w:pPr>
            <w:r w:rsidRPr="0039626A">
              <w:rPr>
                <w:b/>
                <w:sz w:val="20"/>
                <w:lang w:val="en-AU"/>
              </w:rPr>
              <w:t>Current</w:t>
            </w:r>
            <w:r>
              <w:rPr>
                <w:b/>
                <w:sz w:val="20"/>
                <w:lang w:val="en-AU"/>
              </w:rPr>
              <w:t xml:space="preserve"> requirements</w:t>
            </w:r>
          </w:p>
        </w:tc>
        <w:tc>
          <w:tcPr>
            <w:tcW w:w="4185" w:type="dxa"/>
            <w:tcBorders>
              <w:top w:val="single" w:sz="4" w:space="0" w:color="auto"/>
              <w:left w:val="single" w:sz="4" w:space="0" w:color="auto"/>
              <w:bottom w:val="single" w:sz="4" w:space="0" w:color="auto"/>
              <w:right w:val="single" w:sz="4" w:space="0" w:color="auto"/>
            </w:tcBorders>
            <w:shd w:val="clear" w:color="auto" w:fill="DDD9C3" w:themeFill="background2" w:themeFillShade="E6"/>
            <w:hideMark/>
          </w:tcPr>
          <w:p w14:paraId="65875C0C" w14:textId="77777777" w:rsidR="00CB7716" w:rsidRPr="0039626A" w:rsidRDefault="00CB7716" w:rsidP="00CB7716">
            <w:pPr>
              <w:spacing w:after="85"/>
              <w:rPr>
                <w:b/>
                <w:sz w:val="20"/>
                <w:lang w:val="en-AU"/>
              </w:rPr>
            </w:pPr>
            <w:r w:rsidRPr="0039626A">
              <w:rPr>
                <w:b/>
                <w:sz w:val="20"/>
                <w:lang w:val="en-AU"/>
              </w:rPr>
              <w:t>Gap</w:t>
            </w:r>
            <w:r>
              <w:rPr>
                <w:b/>
                <w:sz w:val="20"/>
                <w:lang w:val="en-AU"/>
              </w:rPr>
              <w:t xml:space="preserve"> </w:t>
            </w:r>
            <w:r w:rsidRPr="00271B7F">
              <w:rPr>
                <w:b/>
                <w:sz w:val="20"/>
                <w:lang w:val="en-AU"/>
              </w:rPr>
              <w:t>between current and proposed measure</w:t>
            </w:r>
          </w:p>
        </w:tc>
      </w:tr>
      <w:tr w:rsidR="00CB7716" w:rsidRPr="0039626A" w14:paraId="76B3B9CA" w14:textId="77777777" w:rsidTr="00CB7716">
        <w:tc>
          <w:tcPr>
            <w:tcW w:w="1440" w:type="dxa"/>
            <w:tcBorders>
              <w:top w:val="single" w:sz="4" w:space="0" w:color="auto"/>
              <w:left w:val="single" w:sz="4" w:space="0" w:color="auto"/>
              <w:bottom w:val="single" w:sz="4" w:space="0" w:color="auto"/>
              <w:right w:val="single" w:sz="4" w:space="0" w:color="auto"/>
            </w:tcBorders>
            <w:hideMark/>
          </w:tcPr>
          <w:p w14:paraId="6729B598" w14:textId="77777777" w:rsidR="00CB7716" w:rsidRPr="00B67B69" w:rsidRDefault="00CB7716" w:rsidP="00CB7716">
            <w:pPr>
              <w:spacing w:after="85"/>
              <w:rPr>
                <w:rFonts w:cs="Arial"/>
                <w:sz w:val="20"/>
                <w:szCs w:val="20"/>
                <w:lang w:val="en-AU"/>
              </w:rPr>
            </w:pPr>
            <w:r w:rsidRPr="00B67B69">
              <w:rPr>
                <w:rFonts w:cs="Arial"/>
                <w:sz w:val="20"/>
                <w:szCs w:val="20"/>
                <w:lang w:val="en-AU"/>
              </w:rPr>
              <w:t>National (FSC)</w:t>
            </w:r>
          </w:p>
        </w:tc>
        <w:tc>
          <w:tcPr>
            <w:tcW w:w="4261" w:type="dxa"/>
            <w:tcBorders>
              <w:top w:val="single" w:sz="4" w:space="0" w:color="auto"/>
              <w:left w:val="single" w:sz="4" w:space="0" w:color="auto"/>
              <w:bottom w:val="single" w:sz="4" w:space="0" w:color="auto"/>
              <w:right w:val="single" w:sz="4" w:space="0" w:color="auto"/>
            </w:tcBorders>
            <w:hideMark/>
          </w:tcPr>
          <w:p w14:paraId="462868F3" w14:textId="77777777" w:rsidR="00CB7716" w:rsidRPr="00B67B69" w:rsidRDefault="00CB7716" w:rsidP="00CB7716">
            <w:pPr>
              <w:spacing w:after="85"/>
              <w:rPr>
                <w:rFonts w:cs="Arial"/>
                <w:sz w:val="20"/>
                <w:szCs w:val="20"/>
                <w:lang w:val="en-AU"/>
              </w:rPr>
            </w:pPr>
            <w:r w:rsidRPr="00B67B69">
              <w:rPr>
                <w:rFonts w:cs="Arial"/>
                <w:sz w:val="20"/>
                <w:szCs w:val="20"/>
                <w:lang w:val="en-AU"/>
              </w:rPr>
              <w:t>No legislative training requirement; however Standard 3.2.2 requires a food business to ensure persons undertaking food handling operations have skills and knowledge in food safety and food hygiene matters, commensurate with their work activities.</w:t>
            </w:r>
          </w:p>
          <w:p w14:paraId="174F1F3A" w14:textId="77777777" w:rsidR="00CB7716" w:rsidRPr="00B67B69" w:rsidRDefault="00CB7716" w:rsidP="00CB7716">
            <w:pPr>
              <w:spacing w:after="85"/>
              <w:rPr>
                <w:rFonts w:cs="Arial"/>
                <w:sz w:val="20"/>
                <w:szCs w:val="20"/>
                <w:lang w:val="en-AU"/>
              </w:rPr>
            </w:pPr>
            <w:r w:rsidRPr="00B67B69">
              <w:rPr>
                <w:rFonts w:cs="Arial"/>
                <w:sz w:val="20"/>
                <w:szCs w:val="20"/>
                <w:lang w:val="en-AU"/>
              </w:rPr>
              <w:t xml:space="preserve">In practice, this varies and is difficult to enforce. </w:t>
            </w:r>
          </w:p>
          <w:p w14:paraId="516DAB97" w14:textId="77777777" w:rsidR="00CB7716" w:rsidRPr="00B67B69" w:rsidRDefault="00CB7716" w:rsidP="00CB7716">
            <w:pPr>
              <w:spacing w:after="85"/>
              <w:rPr>
                <w:rFonts w:cs="Arial"/>
                <w:sz w:val="20"/>
                <w:szCs w:val="20"/>
                <w:lang w:val="en-AU"/>
              </w:rPr>
            </w:pPr>
            <w:r w:rsidRPr="00B67B69">
              <w:rPr>
                <w:rFonts w:cs="Arial"/>
                <w:sz w:val="20"/>
                <w:szCs w:val="20"/>
                <w:lang w:val="en-AU"/>
              </w:rPr>
              <w:t xml:space="preserve">Applies to all food businesses, not just P1 and P2 catering. </w:t>
            </w:r>
          </w:p>
        </w:tc>
        <w:tc>
          <w:tcPr>
            <w:tcW w:w="4185" w:type="dxa"/>
            <w:tcBorders>
              <w:top w:val="single" w:sz="4" w:space="0" w:color="auto"/>
              <w:left w:val="single" w:sz="4" w:space="0" w:color="auto"/>
              <w:bottom w:val="single" w:sz="4" w:space="0" w:color="auto"/>
              <w:right w:val="single" w:sz="4" w:space="0" w:color="auto"/>
            </w:tcBorders>
          </w:tcPr>
          <w:p w14:paraId="775CB08B" w14:textId="77777777" w:rsidR="00CB7716" w:rsidRPr="00B67B69" w:rsidRDefault="00CB7716" w:rsidP="00CB7716">
            <w:pPr>
              <w:spacing w:after="85"/>
              <w:rPr>
                <w:rFonts w:cs="Arial"/>
                <w:sz w:val="20"/>
                <w:szCs w:val="20"/>
                <w:lang w:val="en-AU"/>
              </w:rPr>
            </w:pPr>
            <w:r w:rsidRPr="00B67B69">
              <w:rPr>
                <w:rFonts w:cs="Arial"/>
                <w:sz w:val="20"/>
                <w:szCs w:val="20"/>
                <w:lang w:val="en-AU"/>
              </w:rPr>
              <w:t xml:space="preserve">Small to medium gap dependent on extent of training required. </w:t>
            </w:r>
          </w:p>
          <w:p w14:paraId="39EDCBE4" w14:textId="77777777" w:rsidR="00CB7716" w:rsidRPr="00B67B69" w:rsidRDefault="00CB7716" w:rsidP="00CB7716">
            <w:pPr>
              <w:spacing w:after="85"/>
              <w:rPr>
                <w:rFonts w:cs="Arial"/>
                <w:sz w:val="20"/>
                <w:szCs w:val="20"/>
                <w:lang w:val="en-AU"/>
              </w:rPr>
            </w:pPr>
            <w:r w:rsidRPr="00B67B69">
              <w:rPr>
                <w:rFonts w:cs="Arial"/>
                <w:sz w:val="20"/>
                <w:szCs w:val="20"/>
                <w:lang w:val="en-AU"/>
              </w:rPr>
              <w:t xml:space="preserve">Proposed requirement is for food safety training course to be completed, covering specified topics: food handling, food contamination, cleaning and sanitising and personal hygiene. </w:t>
            </w:r>
          </w:p>
          <w:p w14:paraId="72B3CC5B" w14:textId="77777777" w:rsidR="00CB7716" w:rsidRPr="00B67B69" w:rsidRDefault="00CB7716" w:rsidP="00CB7716">
            <w:pPr>
              <w:spacing w:after="85"/>
              <w:rPr>
                <w:rFonts w:cs="Arial"/>
                <w:sz w:val="20"/>
                <w:szCs w:val="20"/>
                <w:lang w:val="en-AU"/>
              </w:rPr>
            </w:pPr>
          </w:p>
        </w:tc>
      </w:tr>
      <w:tr w:rsidR="00CB7716" w:rsidRPr="0039626A" w14:paraId="0F18B7B3" w14:textId="77777777" w:rsidTr="00CB7716">
        <w:tc>
          <w:tcPr>
            <w:tcW w:w="1440" w:type="dxa"/>
            <w:tcBorders>
              <w:top w:val="single" w:sz="4" w:space="0" w:color="auto"/>
              <w:left w:val="single" w:sz="4" w:space="0" w:color="auto"/>
              <w:bottom w:val="single" w:sz="4" w:space="0" w:color="auto"/>
              <w:right w:val="single" w:sz="4" w:space="0" w:color="auto"/>
            </w:tcBorders>
            <w:hideMark/>
          </w:tcPr>
          <w:p w14:paraId="67EB689A" w14:textId="77777777" w:rsidR="00CB7716" w:rsidRPr="00B67B69" w:rsidRDefault="00CB7716" w:rsidP="00CB7716">
            <w:pPr>
              <w:spacing w:after="85"/>
              <w:rPr>
                <w:rFonts w:cs="Arial"/>
                <w:sz w:val="20"/>
                <w:szCs w:val="20"/>
                <w:lang w:val="en-AU"/>
              </w:rPr>
            </w:pPr>
            <w:r w:rsidRPr="00B67B69">
              <w:rPr>
                <w:rFonts w:cs="Arial"/>
                <w:sz w:val="20"/>
                <w:szCs w:val="20"/>
                <w:lang w:val="en-AU"/>
              </w:rPr>
              <w:t>ACT, NT</w:t>
            </w:r>
          </w:p>
        </w:tc>
        <w:tc>
          <w:tcPr>
            <w:tcW w:w="4261" w:type="dxa"/>
            <w:tcBorders>
              <w:top w:val="single" w:sz="4" w:space="0" w:color="auto"/>
              <w:left w:val="single" w:sz="4" w:space="0" w:color="auto"/>
              <w:bottom w:val="single" w:sz="4" w:space="0" w:color="auto"/>
              <w:right w:val="single" w:sz="4" w:space="0" w:color="auto"/>
            </w:tcBorders>
            <w:hideMark/>
          </w:tcPr>
          <w:p w14:paraId="4D18BD47" w14:textId="77777777" w:rsidR="00CB7716" w:rsidRPr="00B67B69" w:rsidRDefault="00CB7716" w:rsidP="00CB7716">
            <w:pPr>
              <w:spacing w:after="85"/>
              <w:rPr>
                <w:rFonts w:cs="Arial"/>
                <w:sz w:val="20"/>
                <w:szCs w:val="20"/>
                <w:lang w:val="en-AU"/>
              </w:rPr>
            </w:pPr>
            <w:r w:rsidRPr="00B67B69">
              <w:rPr>
                <w:rFonts w:cs="Arial"/>
                <w:sz w:val="20"/>
                <w:szCs w:val="20"/>
                <w:lang w:val="en-AU"/>
              </w:rPr>
              <w:t xml:space="preserve">No legislative training requirement for all food handlers. </w:t>
            </w:r>
          </w:p>
          <w:p w14:paraId="492224C2" w14:textId="77777777" w:rsidR="00CB7716" w:rsidRPr="00B67B69" w:rsidRDefault="00CB7716" w:rsidP="00CB7716">
            <w:pPr>
              <w:spacing w:after="85"/>
              <w:rPr>
                <w:rFonts w:cs="Arial"/>
                <w:i/>
                <w:iCs/>
                <w:sz w:val="20"/>
                <w:szCs w:val="20"/>
                <w:lang w:val="en-AU"/>
              </w:rPr>
            </w:pPr>
            <w:r w:rsidRPr="00B67B69">
              <w:rPr>
                <w:rFonts w:cs="Arial"/>
                <w:sz w:val="20"/>
                <w:szCs w:val="20"/>
                <w:lang w:val="en-AU"/>
              </w:rPr>
              <w:t xml:space="preserve">Promotes voluntary training through </w:t>
            </w:r>
            <w:hyperlink r:id="rId16">
              <w:r w:rsidRPr="00B67B69">
                <w:rPr>
                  <w:rStyle w:val="Hyperlink"/>
                  <w:rFonts w:cs="Arial"/>
                  <w:i/>
                  <w:iCs/>
                  <w:sz w:val="20"/>
                  <w:szCs w:val="20"/>
                  <w:lang w:val="en-AU"/>
                </w:rPr>
                <w:t>I’M ALERT</w:t>
              </w:r>
            </w:hyperlink>
            <w:r w:rsidRPr="00B67B69">
              <w:rPr>
                <w:rFonts w:cs="Arial"/>
                <w:i/>
                <w:iCs/>
                <w:sz w:val="20"/>
                <w:szCs w:val="20"/>
                <w:lang w:val="en-AU"/>
              </w:rPr>
              <w:t xml:space="preserve"> ACT and </w:t>
            </w:r>
            <w:hyperlink r:id="rId17">
              <w:r w:rsidRPr="00B67B69">
                <w:rPr>
                  <w:rStyle w:val="Hyperlink"/>
                  <w:rFonts w:cs="Arial"/>
                  <w:i/>
                  <w:iCs/>
                  <w:sz w:val="20"/>
                  <w:szCs w:val="20"/>
                  <w:lang w:val="en-AU"/>
                </w:rPr>
                <w:t>I’M ALERT</w:t>
              </w:r>
            </w:hyperlink>
            <w:r w:rsidRPr="00B67B69">
              <w:rPr>
                <w:rFonts w:cs="Arial"/>
                <w:i/>
                <w:iCs/>
                <w:sz w:val="20"/>
                <w:szCs w:val="20"/>
                <w:lang w:val="en-AU"/>
              </w:rPr>
              <w:t xml:space="preserve"> NT </w:t>
            </w:r>
            <w:r w:rsidRPr="00B67B69">
              <w:rPr>
                <w:rFonts w:cs="Arial"/>
                <w:sz w:val="20"/>
                <w:szCs w:val="20"/>
                <w:lang w:val="en-AU"/>
              </w:rPr>
              <w:t>course</w:t>
            </w:r>
          </w:p>
        </w:tc>
        <w:tc>
          <w:tcPr>
            <w:tcW w:w="4185" w:type="dxa"/>
            <w:tcBorders>
              <w:top w:val="single" w:sz="4" w:space="0" w:color="auto"/>
              <w:left w:val="single" w:sz="4" w:space="0" w:color="auto"/>
              <w:bottom w:val="single" w:sz="4" w:space="0" w:color="auto"/>
              <w:right w:val="single" w:sz="4" w:space="0" w:color="auto"/>
            </w:tcBorders>
          </w:tcPr>
          <w:p w14:paraId="3DE909C2" w14:textId="77777777" w:rsidR="00CB7716" w:rsidRPr="00B67B69" w:rsidRDefault="00CB7716" w:rsidP="00CB7716">
            <w:pPr>
              <w:spacing w:after="85"/>
              <w:rPr>
                <w:rFonts w:cs="Arial"/>
                <w:sz w:val="20"/>
                <w:szCs w:val="20"/>
                <w:lang w:val="en-AU"/>
              </w:rPr>
            </w:pPr>
            <w:r w:rsidRPr="00B67B69">
              <w:rPr>
                <w:rFonts w:cs="Arial"/>
                <w:sz w:val="20"/>
                <w:szCs w:val="20"/>
                <w:lang w:val="en-AU"/>
              </w:rPr>
              <w:t xml:space="preserve">Small to medium gap. </w:t>
            </w:r>
          </w:p>
          <w:p w14:paraId="302824CE" w14:textId="77777777" w:rsidR="00CB7716" w:rsidRPr="00B67B69" w:rsidRDefault="00CB7716" w:rsidP="00CB7716">
            <w:pPr>
              <w:spacing w:after="85"/>
              <w:rPr>
                <w:rFonts w:cs="Arial"/>
                <w:sz w:val="20"/>
                <w:szCs w:val="20"/>
                <w:lang w:val="en-AU"/>
              </w:rPr>
            </w:pPr>
            <w:r w:rsidRPr="00B67B69">
              <w:rPr>
                <w:rFonts w:cs="Arial"/>
                <w:sz w:val="20"/>
                <w:szCs w:val="20"/>
                <w:lang w:val="en-AU"/>
              </w:rPr>
              <w:t xml:space="preserve">Dependent on extent of training required compared to currently </w:t>
            </w:r>
            <w:proofErr w:type="gramStart"/>
            <w:r w:rsidRPr="00B67B69">
              <w:rPr>
                <w:rFonts w:cs="Arial"/>
                <w:sz w:val="20"/>
                <w:szCs w:val="20"/>
                <w:lang w:val="en-AU"/>
              </w:rPr>
              <w:t>promoted</w:t>
            </w:r>
            <w:proofErr w:type="gramEnd"/>
            <w:r w:rsidRPr="00B67B69">
              <w:rPr>
                <w:rFonts w:cs="Arial"/>
                <w:sz w:val="20"/>
                <w:szCs w:val="20"/>
                <w:lang w:val="en-AU"/>
              </w:rPr>
              <w:t xml:space="preserve"> voluntary training (</w:t>
            </w:r>
            <w:r w:rsidRPr="00B67B69">
              <w:rPr>
                <w:rFonts w:cs="Arial"/>
                <w:i/>
                <w:iCs/>
                <w:sz w:val="20"/>
                <w:szCs w:val="20"/>
                <w:lang w:val="en-AU"/>
              </w:rPr>
              <w:t>I’M ALERT</w:t>
            </w:r>
            <w:r w:rsidRPr="00B67B69">
              <w:rPr>
                <w:rFonts w:cs="Arial"/>
                <w:sz w:val="20"/>
                <w:szCs w:val="20"/>
                <w:lang w:val="en-AU"/>
              </w:rPr>
              <w:t xml:space="preserve">). </w:t>
            </w:r>
          </w:p>
        </w:tc>
      </w:tr>
      <w:tr w:rsidR="00CB7716" w:rsidRPr="0039626A" w14:paraId="685D4F5C" w14:textId="77777777" w:rsidTr="00CB7716">
        <w:tc>
          <w:tcPr>
            <w:tcW w:w="1440" w:type="dxa"/>
            <w:tcBorders>
              <w:top w:val="single" w:sz="4" w:space="0" w:color="auto"/>
              <w:left w:val="single" w:sz="4" w:space="0" w:color="auto"/>
              <w:bottom w:val="single" w:sz="4" w:space="0" w:color="auto"/>
              <w:right w:val="single" w:sz="4" w:space="0" w:color="auto"/>
            </w:tcBorders>
            <w:hideMark/>
          </w:tcPr>
          <w:p w14:paraId="424BFEBB" w14:textId="77777777" w:rsidR="00CB7716" w:rsidRPr="00B67B69" w:rsidRDefault="00CB7716" w:rsidP="00CB7716">
            <w:pPr>
              <w:spacing w:after="85"/>
              <w:rPr>
                <w:rFonts w:cs="Arial"/>
                <w:sz w:val="20"/>
                <w:szCs w:val="20"/>
                <w:lang w:val="en-AU"/>
              </w:rPr>
            </w:pPr>
            <w:r w:rsidRPr="00B67B69">
              <w:rPr>
                <w:rFonts w:cs="Arial"/>
                <w:sz w:val="20"/>
                <w:szCs w:val="20"/>
                <w:lang w:val="en-AU"/>
              </w:rPr>
              <w:t>NSW, Tasmania</w:t>
            </w:r>
          </w:p>
        </w:tc>
        <w:tc>
          <w:tcPr>
            <w:tcW w:w="4261" w:type="dxa"/>
            <w:tcBorders>
              <w:top w:val="single" w:sz="4" w:space="0" w:color="auto"/>
              <w:left w:val="single" w:sz="4" w:space="0" w:color="auto"/>
              <w:bottom w:val="single" w:sz="4" w:space="0" w:color="auto"/>
              <w:right w:val="single" w:sz="4" w:space="0" w:color="auto"/>
            </w:tcBorders>
            <w:hideMark/>
          </w:tcPr>
          <w:p w14:paraId="78782851" w14:textId="77777777" w:rsidR="00CB7716" w:rsidRPr="00B67B69" w:rsidRDefault="00CB7716" w:rsidP="00CB7716">
            <w:pPr>
              <w:spacing w:after="85"/>
              <w:rPr>
                <w:rFonts w:cs="Arial"/>
                <w:sz w:val="20"/>
                <w:szCs w:val="20"/>
                <w:lang w:val="en-AU"/>
              </w:rPr>
            </w:pPr>
            <w:r w:rsidRPr="00B67B69">
              <w:rPr>
                <w:rFonts w:cs="Arial"/>
                <w:sz w:val="20"/>
                <w:szCs w:val="20"/>
                <w:lang w:val="en-AU"/>
              </w:rPr>
              <w:t>No legislative training requirement for all food handlers.</w:t>
            </w:r>
          </w:p>
        </w:tc>
        <w:tc>
          <w:tcPr>
            <w:tcW w:w="4185" w:type="dxa"/>
            <w:tcBorders>
              <w:top w:val="single" w:sz="4" w:space="0" w:color="auto"/>
              <w:left w:val="single" w:sz="4" w:space="0" w:color="auto"/>
              <w:bottom w:val="single" w:sz="4" w:space="0" w:color="auto"/>
              <w:right w:val="single" w:sz="4" w:space="0" w:color="auto"/>
            </w:tcBorders>
          </w:tcPr>
          <w:p w14:paraId="34AFAA35" w14:textId="77777777" w:rsidR="00CB7716" w:rsidRPr="00B67B69" w:rsidRDefault="00CB7716" w:rsidP="00CB7716">
            <w:pPr>
              <w:spacing w:after="85"/>
              <w:rPr>
                <w:rFonts w:cs="Arial"/>
                <w:sz w:val="20"/>
                <w:szCs w:val="20"/>
                <w:lang w:val="en-AU"/>
              </w:rPr>
            </w:pPr>
            <w:r w:rsidRPr="00B67B69">
              <w:rPr>
                <w:rFonts w:cs="Arial"/>
                <w:sz w:val="20"/>
                <w:szCs w:val="20"/>
                <w:lang w:val="en-AU"/>
              </w:rPr>
              <w:t>Medium gap.</w:t>
            </w:r>
          </w:p>
          <w:p w14:paraId="5221739E" w14:textId="77777777" w:rsidR="00CB7716" w:rsidRPr="00B67B69" w:rsidRDefault="00CB7716" w:rsidP="00CB7716">
            <w:pPr>
              <w:spacing w:after="85"/>
              <w:rPr>
                <w:rFonts w:cs="Arial"/>
                <w:sz w:val="20"/>
                <w:szCs w:val="20"/>
                <w:lang w:val="en-AU"/>
              </w:rPr>
            </w:pPr>
          </w:p>
        </w:tc>
      </w:tr>
      <w:tr w:rsidR="00CB7716" w:rsidRPr="0039626A" w14:paraId="7E278D41" w14:textId="77777777" w:rsidTr="00CB7716">
        <w:tc>
          <w:tcPr>
            <w:tcW w:w="1440" w:type="dxa"/>
            <w:tcBorders>
              <w:top w:val="single" w:sz="4" w:space="0" w:color="auto"/>
              <w:left w:val="single" w:sz="4" w:space="0" w:color="auto"/>
              <w:bottom w:val="single" w:sz="4" w:space="0" w:color="auto"/>
              <w:right w:val="single" w:sz="4" w:space="0" w:color="auto"/>
            </w:tcBorders>
            <w:hideMark/>
          </w:tcPr>
          <w:p w14:paraId="5EBA69E4" w14:textId="77777777" w:rsidR="00CB7716" w:rsidRPr="00B67B69" w:rsidRDefault="00CB7716" w:rsidP="00CB7716">
            <w:pPr>
              <w:spacing w:after="85"/>
              <w:rPr>
                <w:rFonts w:cs="Arial"/>
                <w:sz w:val="20"/>
                <w:szCs w:val="20"/>
                <w:lang w:val="en-AU"/>
              </w:rPr>
            </w:pPr>
            <w:r w:rsidRPr="00B67B69">
              <w:rPr>
                <w:rFonts w:cs="Arial"/>
                <w:sz w:val="20"/>
                <w:szCs w:val="20"/>
                <w:lang w:val="en-AU"/>
              </w:rPr>
              <w:t xml:space="preserve">Queensland, </w:t>
            </w:r>
          </w:p>
          <w:p w14:paraId="307D3821" w14:textId="77777777" w:rsidR="00CB7716" w:rsidRPr="00B67B69" w:rsidRDefault="00CB7716" w:rsidP="00CB7716">
            <w:pPr>
              <w:spacing w:after="85"/>
              <w:rPr>
                <w:rFonts w:cs="Arial"/>
                <w:sz w:val="20"/>
                <w:szCs w:val="20"/>
                <w:lang w:val="en-AU"/>
              </w:rPr>
            </w:pPr>
            <w:r w:rsidRPr="00B67B69">
              <w:rPr>
                <w:rFonts w:cs="Arial"/>
                <w:sz w:val="20"/>
                <w:szCs w:val="20"/>
                <w:lang w:val="en-AU"/>
              </w:rPr>
              <w:t>Victoria, SA, WA</w:t>
            </w:r>
          </w:p>
        </w:tc>
        <w:tc>
          <w:tcPr>
            <w:tcW w:w="4261" w:type="dxa"/>
            <w:tcBorders>
              <w:top w:val="single" w:sz="4" w:space="0" w:color="auto"/>
              <w:left w:val="single" w:sz="4" w:space="0" w:color="auto"/>
              <w:bottom w:val="single" w:sz="4" w:space="0" w:color="auto"/>
              <w:right w:val="single" w:sz="4" w:space="0" w:color="auto"/>
            </w:tcBorders>
            <w:hideMark/>
          </w:tcPr>
          <w:p w14:paraId="4EDF1DD5" w14:textId="77777777" w:rsidR="00CB7716" w:rsidRPr="00B67B69" w:rsidRDefault="00CB7716" w:rsidP="00CB7716">
            <w:pPr>
              <w:spacing w:after="85"/>
              <w:rPr>
                <w:rFonts w:cs="Arial"/>
                <w:sz w:val="20"/>
                <w:szCs w:val="20"/>
                <w:lang w:val="en-AU"/>
              </w:rPr>
            </w:pPr>
            <w:r w:rsidRPr="00B67B69">
              <w:rPr>
                <w:rFonts w:cs="Arial"/>
                <w:sz w:val="20"/>
                <w:szCs w:val="20"/>
                <w:lang w:val="en-AU"/>
              </w:rPr>
              <w:t xml:space="preserve">No legislative training requirement for all food handlers. </w:t>
            </w:r>
          </w:p>
          <w:p w14:paraId="60885808" w14:textId="77777777" w:rsidR="00CB7716" w:rsidRPr="00B67B69" w:rsidRDefault="00CB7716" w:rsidP="00CB7716">
            <w:pPr>
              <w:spacing w:after="85"/>
              <w:rPr>
                <w:rFonts w:cs="Arial"/>
                <w:sz w:val="20"/>
                <w:szCs w:val="20"/>
                <w:lang w:val="en-AU"/>
              </w:rPr>
            </w:pPr>
            <w:r w:rsidRPr="00B67B69">
              <w:rPr>
                <w:rFonts w:cs="Arial"/>
                <w:sz w:val="20"/>
                <w:szCs w:val="20"/>
                <w:lang w:val="en-AU"/>
              </w:rPr>
              <w:t xml:space="preserve">Promotes voluntary training through </w:t>
            </w:r>
            <w:hyperlink r:id="rId18" w:history="1">
              <w:proofErr w:type="spellStart"/>
              <w:r w:rsidRPr="00B67B69">
                <w:rPr>
                  <w:rStyle w:val="Hyperlink"/>
                  <w:rFonts w:cs="Arial"/>
                  <w:i/>
                  <w:sz w:val="20"/>
                  <w:szCs w:val="20"/>
                  <w:lang w:val="en-AU"/>
                </w:rPr>
                <w:t>DoFoodSafely</w:t>
              </w:r>
              <w:proofErr w:type="spellEnd"/>
            </w:hyperlink>
            <w:r w:rsidRPr="00B67B69">
              <w:rPr>
                <w:rFonts w:cs="Arial"/>
                <w:i/>
                <w:sz w:val="20"/>
                <w:szCs w:val="20"/>
                <w:lang w:val="en-AU"/>
              </w:rPr>
              <w:t xml:space="preserve"> </w:t>
            </w:r>
            <w:r w:rsidRPr="00B67B69">
              <w:rPr>
                <w:rFonts w:cs="Arial"/>
                <w:sz w:val="20"/>
                <w:szCs w:val="20"/>
                <w:lang w:val="en-AU"/>
              </w:rPr>
              <w:t>course.</w:t>
            </w:r>
          </w:p>
        </w:tc>
        <w:tc>
          <w:tcPr>
            <w:tcW w:w="4185" w:type="dxa"/>
            <w:tcBorders>
              <w:top w:val="single" w:sz="4" w:space="0" w:color="auto"/>
              <w:left w:val="single" w:sz="4" w:space="0" w:color="auto"/>
              <w:bottom w:val="single" w:sz="4" w:space="0" w:color="auto"/>
              <w:right w:val="single" w:sz="4" w:space="0" w:color="auto"/>
            </w:tcBorders>
          </w:tcPr>
          <w:p w14:paraId="69A61B12" w14:textId="77777777" w:rsidR="00CB7716" w:rsidRPr="00B67B69" w:rsidRDefault="00CB7716" w:rsidP="00CB7716">
            <w:pPr>
              <w:spacing w:after="85"/>
              <w:rPr>
                <w:rFonts w:cs="Arial"/>
                <w:sz w:val="20"/>
                <w:szCs w:val="20"/>
                <w:lang w:val="en-AU"/>
              </w:rPr>
            </w:pPr>
            <w:r w:rsidRPr="00B67B69">
              <w:rPr>
                <w:rFonts w:cs="Arial"/>
                <w:sz w:val="20"/>
                <w:szCs w:val="20"/>
                <w:lang w:val="en-AU"/>
              </w:rPr>
              <w:t>Small gap.</w:t>
            </w:r>
          </w:p>
          <w:p w14:paraId="24697E85" w14:textId="77777777" w:rsidR="00CB7716" w:rsidRPr="00B67B69" w:rsidRDefault="00CB7716" w:rsidP="00CB7716">
            <w:pPr>
              <w:spacing w:after="85"/>
              <w:rPr>
                <w:rFonts w:cs="Arial"/>
                <w:sz w:val="20"/>
                <w:szCs w:val="20"/>
                <w:lang w:val="en-AU"/>
              </w:rPr>
            </w:pPr>
            <w:r w:rsidRPr="00B67B69">
              <w:rPr>
                <w:rFonts w:cs="Arial"/>
                <w:sz w:val="20"/>
                <w:szCs w:val="20"/>
                <w:lang w:val="en-AU"/>
              </w:rPr>
              <w:t xml:space="preserve">Dependent on extent of training required compared to currently </w:t>
            </w:r>
            <w:proofErr w:type="gramStart"/>
            <w:r w:rsidRPr="00B67B69">
              <w:rPr>
                <w:rFonts w:cs="Arial"/>
                <w:sz w:val="20"/>
                <w:szCs w:val="20"/>
                <w:lang w:val="en-AU"/>
              </w:rPr>
              <w:t>promoted</w:t>
            </w:r>
            <w:proofErr w:type="gramEnd"/>
            <w:r w:rsidRPr="00B67B69">
              <w:rPr>
                <w:rFonts w:cs="Arial"/>
                <w:sz w:val="20"/>
                <w:szCs w:val="20"/>
                <w:lang w:val="en-AU"/>
              </w:rPr>
              <w:t xml:space="preserve"> voluntary training (</w:t>
            </w:r>
            <w:proofErr w:type="spellStart"/>
            <w:r w:rsidRPr="00B67B69">
              <w:rPr>
                <w:rFonts w:cs="Arial"/>
                <w:i/>
                <w:sz w:val="20"/>
                <w:szCs w:val="20"/>
                <w:lang w:val="en-AU"/>
              </w:rPr>
              <w:t>DoFoodSafely</w:t>
            </w:r>
            <w:proofErr w:type="spellEnd"/>
            <w:r w:rsidRPr="00B67B69">
              <w:rPr>
                <w:rFonts w:cs="Arial"/>
                <w:sz w:val="20"/>
                <w:szCs w:val="20"/>
                <w:lang w:val="en-AU"/>
              </w:rPr>
              <w:t xml:space="preserve">). </w:t>
            </w:r>
          </w:p>
        </w:tc>
      </w:tr>
    </w:tbl>
    <w:p w14:paraId="4E62E7C1" w14:textId="77777777" w:rsidR="00CB7716" w:rsidRPr="00891044" w:rsidRDefault="00CB7716" w:rsidP="00CB7716">
      <w:pPr>
        <w:rPr>
          <w:b/>
        </w:rPr>
      </w:pPr>
      <w:r>
        <w:rPr>
          <w:sz w:val="20"/>
        </w:rPr>
        <w:t xml:space="preserve">FSC = Food Standards Code, P1 and P2 = priority classifications under the national </w:t>
      </w:r>
      <w:r w:rsidRPr="00745327">
        <w:rPr>
          <w:sz w:val="20"/>
        </w:rPr>
        <w:t>Risk Profiling Framework</w:t>
      </w:r>
    </w:p>
    <w:p w14:paraId="3F7DB47D" w14:textId="77777777" w:rsidR="00B67B69" w:rsidRDefault="00B67B69" w:rsidP="006E77ED">
      <w:bookmarkStart w:id="100" w:name="_Toc70953245"/>
    </w:p>
    <w:p w14:paraId="4361BBBE" w14:textId="3C5FBA5F" w:rsidR="00CB7716" w:rsidRPr="00B67B69" w:rsidRDefault="00CB7716" w:rsidP="00B67B69">
      <w:pPr>
        <w:rPr>
          <w:b/>
          <w:i/>
        </w:rPr>
      </w:pPr>
      <w:r w:rsidRPr="00B67B69">
        <w:rPr>
          <w:b/>
          <w:i/>
        </w:rPr>
        <w:t>Implementation: FHT</w:t>
      </w:r>
    </w:p>
    <w:p w14:paraId="176C3FB1" w14:textId="69DA7BAD" w:rsidR="00CB7716" w:rsidRDefault="00D75821" w:rsidP="00B67B69">
      <w:pPr>
        <w:spacing w:after="240"/>
      </w:pPr>
      <w:r w:rsidRPr="000A0ECD">
        <w:t>There are many food handler training options currently available, including those promoted by state/territory government that are no cost to local government or businesses</w:t>
      </w:r>
      <w:r>
        <w:t xml:space="preserve"> (</w:t>
      </w:r>
      <w:r w:rsidR="00CB7716" w:rsidRPr="00442992">
        <w:t xml:space="preserve">I’M ALERT and </w:t>
      </w:r>
      <w:proofErr w:type="spellStart"/>
      <w:r w:rsidR="00CB7716" w:rsidRPr="00442992">
        <w:t>DoFoodSafely</w:t>
      </w:r>
      <w:proofErr w:type="spellEnd"/>
      <w:r>
        <w:t>)</w:t>
      </w:r>
      <w:r w:rsidR="00CB7716" w:rsidRPr="00442992">
        <w:t xml:space="preserve">. </w:t>
      </w:r>
    </w:p>
    <w:p w14:paraId="2ED430B5" w14:textId="77777777" w:rsidR="00CB7716" w:rsidRPr="00E56393" w:rsidRDefault="00CB7716" w:rsidP="00B67B69">
      <w:pPr>
        <w:spacing w:after="240"/>
      </w:pPr>
      <w:r>
        <w:t>FSANZ considers mandating</w:t>
      </w:r>
      <w:r w:rsidRPr="00E56393">
        <w:t xml:space="preserve"> food handler training with specified content </w:t>
      </w:r>
      <w:r>
        <w:t>should</w:t>
      </w:r>
      <w:r w:rsidRPr="00E56393">
        <w:t xml:space="preserve">: </w:t>
      </w:r>
    </w:p>
    <w:p w14:paraId="1D5D6D91" w14:textId="77777777" w:rsidR="00CB7716" w:rsidRPr="00E56393" w:rsidRDefault="00CB7716" w:rsidP="004E6D96">
      <w:pPr>
        <w:pStyle w:val="ListParagraph"/>
        <w:numPr>
          <w:ilvl w:val="0"/>
          <w:numId w:val="31"/>
        </w:numPr>
        <w:spacing w:after="240"/>
      </w:pPr>
      <w:r>
        <w:t>ensure all food handlers receive information on the safe handling of PHF before beginning food handling activities, enhancing the requirements in clause 3 of Standard 3.2.2</w:t>
      </w:r>
    </w:p>
    <w:p w14:paraId="2441170A" w14:textId="77777777" w:rsidR="00CB7716" w:rsidRPr="00E56393" w:rsidRDefault="00CB7716" w:rsidP="004E6D96">
      <w:pPr>
        <w:pStyle w:val="ListParagraph"/>
        <w:numPr>
          <w:ilvl w:val="0"/>
          <w:numId w:val="31"/>
        </w:numPr>
        <w:spacing w:after="240"/>
      </w:pPr>
      <w:r w:rsidRPr="00E56393">
        <w:t>increase awareness of the importance</w:t>
      </w:r>
      <w:r>
        <w:t xml:space="preserve"> of, and techniques</w:t>
      </w:r>
      <w:r w:rsidRPr="00E56393">
        <w:t xml:space="preserve"> for</w:t>
      </w:r>
      <w:r>
        <w:t>,</w:t>
      </w:r>
      <w:r w:rsidRPr="00E56393">
        <w:t xml:space="preserve"> safe food handling</w:t>
      </w:r>
    </w:p>
    <w:p w14:paraId="701D996C" w14:textId="77777777" w:rsidR="00CB7716" w:rsidRDefault="00CB7716" w:rsidP="004E6D96">
      <w:pPr>
        <w:pStyle w:val="ListParagraph"/>
        <w:numPr>
          <w:ilvl w:val="0"/>
          <w:numId w:val="31"/>
        </w:numPr>
        <w:spacing w:after="240"/>
      </w:pPr>
      <w:r w:rsidRPr="00E56393">
        <w:t xml:space="preserve">supplement information from supervisors or peers </w:t>
      </w:r>
    </w:p>
    <w:p w14:paraId="3A93A651" w14:textId="77777777" w:rsidR="00CB7716" w:rsidRPr="00E56393" w:rsidRDefault="00CB7716" w:rsidP="004E6D96">
      <w:pPr>
        <w:pStyle w:val="ListParagraph"/>
        <w:numPr>
          <w:ilvl w:val="0"/>
          <w:numId w:val="31"/>
        </w:numPr>
        <w:spacing w:after="240"/>
      </w:pPr>
      <w:proofErr w:type="gramStart"/>
      <w:r w:rsidRPr="00E56393">
        <w:t>reduce</w:t>
      </w:r>
      <w:proofErr w:type="gramEnd"/>
      <w:r w:rsidRPr="00E56393">
        <w:t xml:space="preserve"> the need for close supervision</w:t>
      </w:r>
      <w:r>
        <w:t>.</w:t>
      </w:r>
      <w:r w:rsidRPr="00E56393">
        <w:t xml:space="preserve"> </w:t>
      </w:r>
    </w:p>
    <w:p w14:paraId="4D60426C" w14:textId="77777777" w:rsidR="00CB7716" w:rsidRPr="004B3692" w:rsidRDefault="00CB7716" w:rsidP="0025246D">
      <w:pPr>
        <w:pStyle w:val="Heading4"/>
        <w:numPr>
          <w:ilvl w:val="0"/>
          <w:numId w:val="0"/>
        </w:numPr>
        <w:ind w:left="864" w:hanging="864"/>
      </w:pPr>
      <w:bookmarkStart w:id="101" w:name="_Toc107412692"/>
      <w:r>
        <w:t>4.4.3</w:t>
      </w:r>
      <w:r w:rsidRPr="004B3692">
        <w:tab/>
      </w:r>
      <w:bookmarkEnd w:id="100"/>
      <w:r w:rsidRPr="004B3692">
        <w:t>Evidence to substantiate food safety management (E)</w:t>
      </w:r>
      <w:bookmarkEnd w:id="101"/>
    </w:p>
    <w:p w14:paraId="00E110A4" w14:textId="2CEB8ADF" w:rsidR="00CB7716" w:rsidRDefault="00CB7716" w:rsidP="00B67B69">
      <w:pPr>
        <w:spacing w:after="240"/>
      </w:pPr>
      <w:r>
        <w:t>Standard 3.2.2 outlines minimum food safety requirements at each step of the food handling process. This standard provides a food business with the basis for identifying key risks and activities that need to be managed to ensure food is safe. The standard’s requirements are based on knowledge of the specific characteristics of pathogens most likely associated with particular PHF (</w:t>
      </w:r>
      <w:proofErr w:type="spellStart"/>
      <w:r>
        <w:t>pathogen</w:t>
      </w:r>
      <w:proofErr w:type="gramStart"/>
      <w:r>
        <w:t>:food</w:t>
      </w:r>
      <w:proofErr w:type="spellEnd"/>
      <w:proofErr w:type="gramEnd"/>
      <w:r>
        <w:t xml:space="preserve"> pairs), and risks associated with different activities. Keeping documentation or other evidence is not mandated in Standard 3.2.2. </w:t>
      </w:r>
      <w:r w:rsidRPr="68C0CA2D">
        <w:rPr>
          <w:i/>
          <w:iCs/>
        </w:rPr>
        <w:t>Safe Food Australia</w:t>
      </w:r>
      <w:r>
        <w:t xml:space="preserve"> (FSANZ, 2016) guidance notes that businesses may find it useful to monitor and document control steps and recommends keeping certain records as best practice (e.g. that PHF is stored at 5</w:t>
      </w:r>
      <w:r w:rsidRPr="68C0CA2D">
        <w:rPr>
          <w:vertAlign w:val="superscript"/>
        </w:rPr>
        <w:t>o</w:t>
      </w:r>
      <w:r>
        <w:t xml:space="preserve">C, as checked at a specified time). </w:t>
      </w:r>
    </w:p>
    <w:p w14:paraId="55480A2A" w14:textId="7EC1500B" w:rsidR="00CB7716" w:rsidRDefault="00CB7716" w:rsidP="00B67B69">
      <w:pPr>
        <w:spacing w:after="240"/>
      </w:pPr>
      <w:r>
        <w:t xml:space="preserve">The current requirements of Standard 3.2.2 only provide final outcomes to be met. They do not ensure businesses actively manage the key risks, through monitoring the critical processes, identifying when they fail, and taking corrective actions. </w:t>
      </w:r>
    </w:p>
    <w:p w14:paraId="47BADC01" w14:textId="27976DEF" w:rsidR="00CB7716" w:rsidRPr="00B67B69" w:rsidRDefault="00CB7716" w:rsidP="00B67B69">
      <w:pPr>
        <w:rPr>
          <w:b/>
          <w:i/>
        </w:rPr>
      </w:pPr>
      <w:r w:rsidRPr="00B67B69">
        <w:rPr>
          <w:b/>
          <w:i/>
        </w:rPr>
        <w:t>Target processes for enhanced attention</w:t>
      </w:r>
    </w:p>
    <w:p w14:paraId="6696E322" w14:textId="17D140AB" w:rsidR="00CB7716" w:rsidRDefault="00CB7716" w:rsidP="00B67B69">
      <w:pPr>
        <w:spacing w:after="240"/>
      </w:pPr>
      <w:r>
        <w:t>It is internationally recognised, through the work of Codex, that key food handling activities (such as temperature control, cleaning and sanitising) require ‘enhanced’ attention. We use this term to mean above baseline good hygiene practices (GHP), but less stringent than a HACCP approach.</w:t>
      </w:r>
    </w:p>
    <w:p w14:paraId="3297E9B9" w14:textId="3D88317B" w:rsidR="00643567" w:rsidRDefault="00CB7716" w:rsidP="00B67B69">
      <w:pPr>
        <w:spacing w:after="240"/>
        <w:rPr>
          <w:lang w:eastAsia="en-AU"/>
        </w:rPr>
      </w:pPr>
      <w:r>
        <w:rPr>
          <w:lang w:eastAsia="en-AU"/>
        </w:rPr>
        <w:t xml:space="preserve">Ministers proposed there would be a significant impact on reducing foodborne illness if businesses kept evidence that key processes are managed. FSANZ was asked to consider this as a regulatory measure. </w:t>
      </w:r>
    </w:p>
    <w:p w14:paraId="6E3A58EE" w14:textId="71B7A75F" w:rsidR="00CB7716" w:rsidRDefault="00CB7716" w:rsidP="00B67B69">
      <w:pPr>
        <w:spacing w:after="240"/>
        <w:rPr>
          <w:lang w:eastAsia="en-AU"/>
        </w:rPr>
      </w:pPr>
      <w:r>
        <w:t>We have considered enhancing current requirements with a regulatory measure where some, or all, in-scope businesses keep a record, or can demonstrate (to authorised officers) in some other way, that activities essential to producing safe food have been managed.</w:t>
      </w:r>
      <w:r>
        <w:rPr>
          <w:lang w:eastAsia="en-AU"/>
        </w:rPr>
        <w:t xml:space="preserve"> The proposed requirement is distinct from, and less stringent than, developing a food safety program (FSP). A FSP requires a business to implement HACCP principles to address all the food safety risks of its operations, and to keep documented records of how prescribed activities are managed.</w:t>
      </w:r>
    </w:p>
    <w:p w14:paraId="4F729015" w14:textId="40811E55" w:rsidR="00CB7716" w:rsidRDefault="00CB7716" w:rsidP="00B67B69">
      <w:pPr>
        <w:spacing w:after="240"/>
        <w:rPr>
          <w:lang w:eastAsia="en-AU"/>
        </w:rPr>
      </w:pPr>
      <w:r>
        <w:rPr>
          <w:lang w:eastAsia="en-AU"/>
        </w:rPr>
        <w:t>FSANZ specifically targeted processes that are key contributors to foodborne illness outbreaks. These processes were identified from our risk profiling of in-scope business and food handling activities. They are also reported anecdotally by food regulators as common areas of non-compliance during audits.</w:t>
      </w:r>
    </w:p>
    <w:p w14:paraId="59ADD7CF" w14:textId="77777777" w:rsidR="00B67B69" w:rsidRDefault="00CB7716" w:rsidP="00B67B69">
      <w:pPr>
        <w:spacing w:after="240"/>
      </w:pPr>
      <w:r w:rsidRPr="68C0CA2D">
        <w:rPr>
          <w:lang w:eastAsia="en-AU"/>
        </w:rPr>
        <w:t xml:space="preserve">The identified processes are </w:t>
      </w:r>
      <w:r>
        <w:t xml:space="preserve">temperature control, food processing and cleaning and sanitising. FSANZ considers these activities require close monitoring when preparing PHF in a food service setting. Ensuring food safety through these activities can be complex, depending on the nature of the food, the food handling activity and scale of operations. Because different food service businesses’ practices vary widely, a flexible approach to monitoring and documentation is needed. </w:t>
      </w:r>
      <w:bookmarkStart w:id="102" w:name="_Toc70953246"/>
    </w:p>
    <w:p w14:paraId="33901156" w14:textId="2FE40558" w:rsidR="00CB7716" w:rsidRPr="00B67B69" w:rsidRDefault="00CB7716" w:rsidP="00B67B69">
      <w:pPr>
        <w:rPr>
          <w:b/>
          <w:i/>
        </w:rPr>
      </w:pPr>
      <w:r w:rsidRPr="00B67B69">
        <w:rPr>
          <w:b/>
          <w:i/>
        </w:rPr>
        <w:t xml:space="preserve">Evaluation: E </w:t>
      </w:r>
      <w:bookmarkEnd w:id="102"/>
    </w:p>
    <w:p w14:paraId="38F5F0AD" w14:textId="43FD8725" w:rsidR="00CB7716" w:rsidRDefault="00CB7716" w:rsidP="00B67B69">
      <w:pPr>
        <w:spacing w:after="240"/>
      </w:pPr>
      <w:r>
        <w:t>To assess the proposed E measure, FSANZ consulted with the ISFR Implementation Working Group (IWG) to develop hypothetical scenarios. These scenarios create example situations where an enhancement to the current requirement of Standard 3.2.2 would be in place.</w:t>
      </w:r>
    </w:p>
    <w:p w14:paraId="4E1EEDEB" w14:textId="1D730861" w:rsidR="00CB7716" w:rsidRDefault="00CB7716" w:rsidP="00B67B69">
      <w:pPr>
        <w:spacing w:after="240"/>
      </w:pPr>
      <w:r>
        <w:t xml:space="preserve">One scenario is making a bulk lasagne for service later in the day. Standard 3.2.2 has a specific cooling requirement, so that food handlers manage the cooling of cooked PHF to ensure pathogen spores in the food do not germinate and produce toxins. The enhanced requirement of E means the business would have to document, record or keep other evidence of the cooling process. This would enable the food handler to actively manage the key risks, through carefully monitoring the critical processes (food temperature at different time intervals). If the food was not cooling correctly, this should signal </w:t>
      </w:r>
      <w:bookmarkStart w:id="103" w:name="_Int_N9RnzRbQ"/>
      <w:r>
        <w:t>that corrective actions</w:t>
      </w:r>
      <w:bookmarkEnd w:id="103"/>
      <w:r>
        <w:t xml:space="preserve"> are needed (e.g. dividing the lasagne into smaller portions), followed by further monitoring. Templates are available in </w:t>
      </w:r>
      <w:r w:rsidRPr="68C0CA2D">
        <w:rPr>
          <w:iCs/>
        </w:rPr>
        <w:t>Safe Food Australia</w:t>
      </w:r>
      <w:r>
        <w:t xml:space="preserve"> (e.g. for cooling: Template 3 in Appendix 8) so businesses could record exact temperatures and times during this process.</w:t>
      </w:r>
    </w:p>
    <w:p w14:paraId="139A3EBE" w14:textId="553C2FE5" w:rsidR="00CB7716" w:rsidRDefault="00CB7716" w:rsidP="00B67B69">
      <w:pPr>
        <w:spacing w:after="240"/>
      </w:pPr>
      <w:r>
        <w:t>Another</w:t>
      </w:r>
      <w:r w:rsidDel="00B93C34">
        <w:t xml:space="preserve"> </w:t>
      </w:r>
      <w:r>
        <w:t xml:space="preserve">scenario is preparing trays of sandwiches. Standard 3.2.2 requires the food business to make sure preparation time—which is time where the PHF is at ambient temperatures—is minimised, to prevent pathogen growth. Under the E requirement, the business might have standard operating procedures (SOPs) that food handlers must follow each time a sandwich batch is made. For example, the SOP may include instructions that a certain amount of ingredients is brought out of the fridge, and that each batch of sandwiches is prepared in a set time (e.g. 10 minutes), before the food is put back in the fridge. This SOP would then show the system the business has in place to ensure sandwiches are safely prepared. </w:t>
      </w:r>
      <w:r w:rsidRPr="68C0CA2D">
        <w:rPr>
          <w:iCs/>
        </w:rPr>
        <w:t>Safe Food Australia</w:t>
      </w:r>
      <w:r>
        <w:t xml:space="preserve"> includes a template (Template 5 in Appendix 8) for time and temperature control. </w:t>
      </w:r>
    </w:p>
    <w:p w14:paraId="29498CD1" w14:textId="77777777" w:rsidR="00B67B69" w:rsidRDefault="00CB7716" w:rsidP="00B67B69">
      <w:pPr>
        <w:spacing w:after="240"/>
      </w:pPr>
      <w:r>
        <w:t>A third</w:t>
      </w:r>
      <w:r w:rsidDel="00B93C34">
        <w:t xml:space="preserve"> </w:t>
      </w:r>
      <w:r>
        <w:t xml:space="preserve">scenario is for cleaning and sanitising. If surfaces are not cleaned properly before sanitising, or if incorrect concentrations of sanitiser are used, the surfaces could remain contaminated and make food unsafe. The E measure would help businesses in making sure cleaning is properly completed (e.g. through a documented cleaning schedule, to be signed by the responsible person). Similarly for sanitising, E measures should assist businesses with correct protocols (e.g. to record the sanitiser dilution and date, to be sure it is the correct concentration and has not expired). </w:t>
      </w:r>
      <w:r w:rsidRPr="68C0CA2D">
        <w:rPr>
          <w:iCs/>
        </w:rPr>
        <w:t>Safe Food Australia</w:t>
      </w:r>
      <w:r>
        <w:t xml:space="preserve"> includes templates for cleaning and sanitising activities (Templates 6 and 7, Appendix 8).</w:t>
      </w:r>
      <w:bookmarkStart w:id="104" w:name="_Toc87275053"/>
      <w:bookmarkStart w:id="105" w:name="_Toc70953247"/>
      <w:bookmarkEnd w:id="104"/>
    </w:p>
    <w:p w14:paraId="1EB0E551" w14:textId="12823C22" w:rsidR="00CB7716" w:rsidRPr="00B67B69" w:rsidRDefault="00CB7716" w:rsidP="00B67B69">
      <w:pPr>
        <w:rPr>
          <w:b/>
          <w:i/>
        </w:rPr>
      </w:pPr>
      <w:r w:rsidRPr="00B67B69">
        <w:rPr>
          <w:b/>
          <w:i/>
        </w:rPr>
        <w:t xml:space="preserve">Gap analysis: E </w:t>
      </w:r>
      <w:bookmarkEnd w:id="105"/>
    </w:p>
    <w:p w14:paraId="035A1638" w14:textId="07B19E46" w:rsidR="00CB7716" w:rsidRDefault="00CB7716" w:rsidP="00B67B69">
      <w:pPr>
        <w:spacing w:after="240"/>
        <w:rPr>
          <w:color w:val="000000" w:themeColor="text1"/>
          <w:lang w:eastAsia="en-AU"/>
        </w:rPr>
      </w:pPr>
      <w:r w:rsidRPr="68C0CA2D">
        <w:rPr>
          <w:color w:val="000000" w:themeColor="text1"/>
          <w:lang w:eastAsia="en-AU"/>
        </w:rPr>
        <w:t xml:space="preserve">There is no national regulatory requirement for </w:t>
      </w:r>
      <w:r>
        <w:t xml:space="preserve">food service and retail businesses to keep evidence of monitoring/managing their critical food safety controls. </w:t>
      </w:r>
      <w:r w:rsidRPr="68C0CA2D">
        <w:rPr>
          <w:color w:val="000000" w:themeColor="text1"/>
          <w:lang w:eastAsia="en-AU"/>
        </w:rPr>
        <w:t xml:space="preserve">However, some jurisdictions require certain in-scope businesses to make a record of specific processes. For example, particular businesses </w:t>
      </w:r>
      <w:r w:rsidRPr="48861835">
        <w:rPr>
          <w:color w:val="000000" w:themeColor="text1"/>
          <w:lang w:eastAsia="en-AU"/>
        </w:rPr>
        <w:t>must</w:t>
      </w:r>
      <w:r w:rsidRPr="68C0CA2D">
        <w:rPr>
          <w:color w:val="000000" w:themeColor="text1"/>
          <w:lang w:eastAsia="en-AU"/>
        </w:rPr>
        <w:t xml:space="preserve"> have </w:t>
      </w:r>
      <w:r w:rsidRPr="48861835">
        <w:rPr>
          <w:color w:val="000000" w:themeColor="text1"/>
          <w:lang w:eastAsia="en-AU"/>
        </w:rPr>
        <w:t>an</w:t>
      </w:r>
      <w:r w:rsidRPr="68C0CA2D">
        <w:rPr>
          <w:color w:val="000000" w:themeColor="text1"/>
          <w:lang w:eastAsia="en-AU"/>
        </w:rPr>
        <w:t xml:space="preserve"> FSP, or</w:t>
      </w:r>
      <w:r w:rsidRPr="68C0CA2D" w:rsidDel="00AF04C6">
        <w:rPr>
          <w:color w:val="000000" w:themeColor="text1"/>
          <w:lang w:eastAsia="en-AU"/>
        </w:rPr>
        <w:t xml:space="preserve"> </w:t>
      </w:r>
      <w:r w:rsidRPr="68C0CA2D">
        <w:rPr>
          <w:color w:val="000000" w:themeColor="text1"/>
          <w:lang w:eastAsia="en-AU"/>
        </w:rPr>
        <w:t xml:space="preserve">document the safe handling of raw eggs. </w:t>
      </w:r>
    </w:p>
    <w:p w14:paraId="729EF3D9" w14:textId="2516C489" w:rsidR="00A94813" w:rsidRDefault="00CB7716" w:rsidP="00B67B69">
      <w:pPr>
        <w:spacing w:after="240"/>
      </w:pPr>
      <w:r>
        <w:rPr>
          <w:bCs/>
          <w:color w:val="000000" w:themeColor="text1"/>
          <w:lang w:eastAsia="en-AU"/>
        </w:rPr>
        <w:t>FSANZ completed a gap analysis of the differing requirements in Australian states and territories, provided in Table 5.</w:t>
      </w:r>
      <w:r>
        <w:t xml:space="preserve"> In summary, there is a medium to large gap in most jurisdictions between current requirements and proposed measures. That is, for most jurisdictions, the E will be an extra requirement.</w:t>
      </w:r>
    </w:p>
    <w:p w14:paraId="1E3C4D5D" w14:textId="77777777" w:rsidR="00CB7716" w:rsidRPr="008D4EFA" w:rsidRDefault="00CB7716" w:rsidP="00CB7716">
      <w:pPr>
        <w:pStyle w:val="Caption"/>
        <w:keepNext/>
        <w:rPr>
          <w:b/>
          <w:color w:val="auto"/>
          <w:sz w:val="20"/>
          <w:szCs w:val="20"/>
        </w:rPr>
      </w:pPr>
      <w:r w:rsidRPr="008D4EFA">
        <w:rPr>
          <w:b/>
          <w:color w:val="auto"/>
          <w:sz w:val="20"/>
          <w:szCs w:val="20"/>
        </w:rPr>
        <w:t>Table 5: Gap analysis of records required across jurisdictions</w:t>
      </w:r>
    </w:p>
    <w:tbl>
      <w:tblPr>
        <w:tblW w:w="9906" w:type="dxa"/>
        <w:tblLook w:val="04A0" w:firstRow="1" w:lastRow="0" w:firstColumn="1" w:lastColumn="0" w:noHBand="0" w:noVBand="1"/>
      </w:tblPr>
      <w:tblGrid>
        <w:gridCol w:w="1410"/>
        <w:gridCol w:w="3141"/>
        <w:gridCol w:w="5355"/>
      </w:tblGrid>
      <w:tr w:rsidR="00CB7716" w:rsidRPr="00745327" w14:paraId="5BF520AB" w14:textId="77777777" w:rsidTr="3C0957AF">
        <w:trPr>
          <w:tblHeader/>
        </w:trPr>
        <w:tc>
          <w:tcPr>
            <w:tcW w:w="1410" w:type="dxa"/>
            <w:tcBorders>
              <w:top w:val="single" w:sz="4" w:space="0" w:color="auto"/>
              <w:left w:val="single" w:sz="4" w:space="0" w:color="auto"/>
              <w:bottom w:val="single" w:sz="4" w:space="0" w:color="auto"/>
              <w:right w:val="single" w:sz="4" w:space="0" w:color="auto"/>
            </w:tcBorders>
            <w:shd w:val="clear" w:color="auto" w:fill="DDD9C3" w:themeFill="background2" w:themeFillShade="E6"/>
            <w:hideMark/>
          </w:tcPr>
          <w:p w14:paraId="0A70B1D8" w14:textId="77777777" w:rsidR="00CB7716" w:rsidRPr="00745327" w:rsidRDefault="00CB7716" w:rsidP="00CB7716">
            <w:pPr>
              <w:spacing w:after="85"/>
              <w:rPr>
                <w:b/>
                <w:sz w:val="20"/>
                <w:szCs w:val="20"/>
                <w:lang w:val="en-AU"/>
              </w:rPr>
            </w:pPr>
            <w:r w:rsidRPr="00745327">
              <w:rPr>
                <w:b/>
                <w:sz w:val="20"/>
                <w:szCs w:val="20"/>
                <w:lang w:val="en-AU"/>
              </w:rPr>
              <w:t>State/</w:t>
            </w:r>
          </w:p>
          <w:p w14:paraId="206362C5" w14:textId="77777777" w:rsidR="00CB7716" w:rsidRPr="00745327" w:rsidRDefault="00CB7716" w:rsidP="00CB7716">
            <w:pPr>
              <w:spacing w:after="85"/>
              <w:rPr>
                <w:b/>
                <w:sz w:val="20"/>
                <w:szCs w:val="20"/>
                <w:lang w:val="en-AU"/>
              </w:rPr>
            </w:pPr>
            <w:r w:rsidRPr="00745327">
              <w:rPr>
                <w:b/>
                <w:sz w:val="20"/>
                <w:szCs w:val="20"/>
                <w:lang w:val="en-AU"/>
              </w:rPr>
              <w:t>territory</w:t>
            </w:r>
          </w:p>
        </w:tc>
        <w:tc>
          <w:tcPr>
            <w:tcW w:w="3141" w:type="dxa"/>
            <w:tcBorders>
              <w:top w:val="single" w:sz="4" w:space="0" w:color="auto"/>
              <w:left w:val="single" w:sz="4" w:space="0" w:color="auto"/>
              <w:bottom w:val="single" w:sz="4" w:space="0" w:color="auto"/>
              <w:right w:val="single" w:sz="4" w:space="0" w:color="auto"/>
            </w:tcBorders>
            <w:shd w:val="clear" w:color="auto" w:fill="DDD9C3" w:themeFill="background2" w:themeFillShade="E6"/>
            <w:hideMark/>
          </w:tcPr>
          <w:p w14:paraId="1FD0D4FE" w14:textId="77777777" w:rsidR="00CB7716" w:rsidRPr="00745327" w:rsidRDefault="00CB7716" w:rsidP="00CB7716">
            <w:pPr>
              <w:spacing w:after="85"/>
              <w:rPr>
                <w:sz w:val="20"/>
                <w:szCs w:val="20"/>
                <w:lang w:val="en-AU"/>
              </w:rPr>
            </w:pPr>
            <w:r w:rsidRPr="00745327">
              <w:rPr>
                <w:sz w:val="20"/>
                <w:szCs w:val="20"/>
                <w:lang w:val="en-AU"/>
              </w:rPr>
              <w:t>Current requirements</w:t>
            </w:r>
          </w:p>
        </w:tc>
        <w:tc>
          <w:tcPr>
            <w:tcW w:w="5355" w:type="dxa"/>
            <w:tcBorders>
              <w:top w:val="single" w:sz="4" w:space="0" w:color="auto"/>
              <w:left w:val="single" w:sz="4" w:space="0" w:color="auto"/>
              <w:bottom w:val="single" w:sz="4" w:space="0" w:color="auto"/>
              <w:right w:val="single" w:sz="4" w:space="0" w:color="auto"/>
            </w:tcBorders>
            <w:shd w:val="clear" w:color="auto" w:fill="DDD9C3" w:themeFill="background2" w:themeFillShade="E6"/>
            <w:hideMark/>
          </w:tcPr>
          <w:p w14:paraId="2987DB4F" w14:textId="77777777" w:rsidR="00CB7716" w:rsidRPr="00745327" w:rsidRDefault="00CB7716" w:rsidP="00CB7716">
            <w:pPr>
              <w:spacing w:after="85"/>
              <w:rPr>
                <w:sz w:val="20"/>
                <w:szCs w:val="20"/>
                <w:lang w:val="en-AU"/>
              </w:rPr>
            </w:pPr>
            <w:r w:rsidRPr="00745327">
              <w:rPr>
                <w:sz w:val="20"/>
                <w:szCs w:val="20"/>
                <w:lang w:val="en-AU"/>
              </w:rPr>
              <w:t>Gap between current and proposed measure</w:t>
            </w:r>
          </w:p>
        </w:tc>
      </w:tr>
      <w:tr w:rsidR="00CB7716" w:rsidRPr="00745327" w14:paraId="4F49724F" w14:textId="77777777" w:rsidTr="3C0957AF">
        <w:tc>
          <w:tcPr>
            <w:tcW w:w="1410" w:type="dxa"/>
            <w:tcBorders>
              <w:top w:val="single" w:sz="4" w:space="0" w:color="auto"/>
              <w:left w:val="single" w:sz="4" w:space="0" w:color="auto"/>
              <w:bottom w:val="single" w:sz="4" w:space="0" w:color="auto"/>
              <w:right w:val="single" w:sz="4" w:space="0" w:color="auto"/>
            </w:tcBorders>
          </w:tcPr>
          <w:p w14:paraId="65F31816" w14:textId="77777777" w:rsidR="00CB7716" w:rsidRPr="00B67B69" w:rsidRDefault="00CB7716" w:rsidP="00CB7716">
            <w:pPr>
              <w:spacing w:after="85"/>
              <w:rPr>
                <w:rFonts w:cs="Arial"/>
                <w:sz w:val="20"/>
                <w:szCs w:val="20"/>
                <w:lang w:val="en-AU"/>
              </w:rPr>
            </w:pPr>
            <w:r w:rsidRPr="00B67B69">
              <w:rPr>
                <w:rFonts w:cs="Arial"/>
                <w:sz w:val="20"/>
                <w:szCs w:val="20"/>
                <w:lang w:val="en-AU"/>
              </w:rPr>
              <w:t>National (FSC)</w:t>
            </w:r>
          </w:p>
        </w:tc>
        <w:tc>
          <w:tcPr>
            <w:tcW w:w="3141" w:type="dxa"/>
            <w:tcBorders>
              <w:top w:val="single" w:sz="4" w:space="0" w:color="auto"/>
              <w:left w:val="single" w:sz="4" w:space="0" w:color="auto"/>
              <w:bottom w:val="single" w:sz="4" w:space="0" w:color="auto"/>
              <w:right w:val="single" w:sz="4" w:space="0" w:color="auto"/>
            </w:tcBorders>
          </w:tcPr>
          <w:p w14:paraId="39EFE746" w14:textId="77777777" w:rsidR="00CB7716" w:rsidRPr="00B67B69" w:rsidRDefault="00CB7716" w:rsidP="00CB7716">
            <w:pPr>
              <w:spacing w:after="85"/>
              <w:rPr>
                <w:rFonts w:cs="Arial"/>
                <w:sz w:val="20"/>
                <w:szCs w:val="20"/>
                <w:lang w:val="en-AU"/>
              </w:rPr>
            </w:pPr>
            <w:r w:rsidRPr="00B67B69">
              <w:rPr>
                <w:rFonts w:cs="Arial"/>
                <w:sz w:val="20"/>
                <w:szCs w:val="20"/>
                <w:lang w:val="en-AU"/>
              </w:rPr>
              <w:t>No legislative requirement for in-scope businesses to keep records (unless those businesses are required by jurisdictional food act to have a food safety program under Standard 3.2.1).</w:t>
            </w:r>
          </w:p>
        </w:tc>
        <w:tc>
          <w:tcPr>
            <w:tcW w:w="5355" w:type="dxa"/>
            <w:tcBorders>
              <w:top w:val="single" w:sz="4" w:space="0" w:color="auto"/>
              <w:left w:val="single" w:sz="4" w:space="0" w:color="auto"/>
              <w:bottom w:val="single" w:sz="4" w:space="0" w:color="auto"/>
              <w:right w:val="single" w:sz="4" w:space="0" w:color="auto"/>
            </w:tcBorders>
          </w:tcPr>
          <w:p w14:paraId="438835C1" w14:textId="77777777" w:rsidR="00CB7716" w:rsidRPr="00B67B69" w:rsidRDefault="00CB7716" w:rsidP="00CB7716">
            <w:pPr>
              <w:spacing w:after="85"/>
              <w:rPr>
                <w:rFonts w:cs="Arial"/>
                <w:sz w:val="20"/>
                <w:szCs w:val="20"/>
                <w:lang w:val="en-AU"/>
              </w:rPr>
            </w:pPr>
            <w:r w:rsidRPr="00B67B69">
              <w:rPr>
                <w:rFonts w:cs="Arial"/>
                <w:sz w:val="20"/>
                <w:szCs w:val="20"/>
                <w:lang w:val="en-AU"/>
              </w:rPr>
              <w:t>Medium to large gap dependent on food handling activities.</w:t>
            </w:r>
          </w:p>
          <w:p w14:paraId="5B831856" w14:textId="77777777" w:rsidR="00CB7716" w:rsidRPr="00B67B69" w:rsidRDefault="00CB7716" w:rsidP="00CB7716">
            <w:pPr>
              <w:spacing w:after="85"/>
              <w:rPr>
                <w:rFonts w:cs="Arial"/>
                <w:sz w:val="20"/>
                <w:szCs w:val="20"/>
                <w:lang w:val="en-AU"/>
              </w:rPr>
            </w:pPr>
            <w:r w:rsidRPr="00B67B69">
              <w:rPr>
                <w:rFonts w:cs="Arial"/>
                <w:sz w:val="20"/>
                <w:szCs w:val="20"/>
                <w:lang w:val="en-AU"/>
              </w:rPr>
              <w:t xml:space="preserve">Proposed requirement is for businesses to have evidence to substantiate food safety management of key food handling processes. </w:t>
            </w:r>
          </w:p>
        </w:tc>
      </w:tr>
      <w:tr w:rsidR="00CB7716" w:rsidRPr="00745327" w14:paraId="28D719E9" w14:textId="77777777" w:rsidTr="3C0957AF">
        <w:tc>
          <w:tcPr>
            <w:tcW w:w="1410" w:type="dxa"/>
            <w:tcBorders>
              <w:top w:val="single" w:sz="4" w:space="0" w:color="auto"/>
              <w:left w:val="single" w:sz="4" w:space="0" w:color="auto"/>
              <w:bottom w:val="single" w:sz="4" w:space="0" w:color="auto"/>
              <w:right w:val="single" w:sz="4" w:space="0" w:color="auto"/>
            </w:tcBorders>
            <w:hideMark/>
          </w:tcPr>
          <w:p w14:paraId="4FB31D16" w14:textId="77777777" w:rsidR="00CB7716" w:rsidRPr="00B67B69" w:rsidRDefault="00CB7716" w:rsidP="00CB7716">
            <w:pPr>
              <w:spacing w:after="85"/>
              <w:rPr>
                <w:rFonts w:cs="Arial"/>
                <w:sz w:val="20"/>
                <w:szCs w:val="20"/>
                <w:lang w:val="en-AU"/>
              </w:rPr>
            </w:pPr>
            <w:r w:rsidRPr="00B67B69">
              <w:rPr>
                <w:rFonts w:cs="Arial"/>
                <w:sz w:val="20"/>
                <w:szCs w:val="20"/>
                <w:lang w:val="en-AU"/>
              </w:rPr>
              <w:t>ACT</w:t>
            </w:r>
          </w:p>
        </w:tc>
        <w:tc>
          <w:tcPr>
            <w:tcW w:w="3141" w:type="dxa"/>
            <w:tcBorders>
              <w:top w:val="single" w:sz="4" w:space="0" w:color="auto"/>
              <w:left w:val="single" w:sz="4" w:space="0" w:color="auto"/>
              <w:bottom w:val="single" w:sz="4" w:space="0" w:color="auto"/>
              <w:right w:val="single" w:sz="4" w:space="0" w:color="auto"/>
            </w:tcBorders>
          </w:tcPr>
          <w:p w14:paraId="256FAD69" w14:textId="77777777" w:rsidR="00CB7716" w:rsidRPr="00B67B69" w:rsidRDefault="00CB7716" w:rsidP="00CB7716">
            <w:pPr>
              <w:spacing w:after="85"/>
              <w:rPr>
                <w:rFonts w:cs="Arial"/>
                <w:sz w:val="20"/>
                <w:szCs w:val="20"/>
                <w:lang w:val="en-AU"/>
              </w:rPr>
            </w:pPr>
            <w:r w:rsidRPr="00B67B69">
              <w:rPr>
                <w:rFonts w:cs="Arial"/>
                <w:sz w:val="20"/>
                <w:szCs w:val="20"/>
                <w:lang w:val="en-AU"/>
              </w:rPr>
              <w:t>No requirements for in-scope business sectors.</w:t>
            </w:r>
          </w:p>
        </w:tc>
        <w:tc>
          <w:tcPr>
            <w:tcW w:w="5355" w:type="dxa"/>
            <w:tcBorders>
              <w:top w:val="single" w:sz="4" w:space="0" w:color="auto"/>
              <w:left w:val="single" w:sz="4" w:space="0" w:color="auto"/>
              <w:bottom w:val="single" w:sz="4" w:space="0" w:color="auto"/>
              <w:right w:val="single" w:sz="4" w:space="0" w:color="auto"/>
            </w:tcBorders>
          </w:tcPr>
          <w:p w14:paraId="485C5582" w14:textId="77777777" w:rsidR="00CB7716" w:rsidRPr="00B67B69" w:rsidRDefault="00CB7716" w:rsidP="00CB7716">
            <w:pPr>
              <w:spacing w:after="85"/>
              <w:rPr>
                <w:rFonts w:cs="Arial"/>
                <w:sz w:val="20"/>
                <w:szCs w:val="20"/>
                <w:lang w:val="en-AU"/>
              </w:rPr>
            </w:pPr>
            <w:r w:rsidRPr="00B67B69">
              <w:rPr>
                <w:rFonts w:cs="Arial"/>
                <w:sz w:val="20"/>
                <w:szCs w:val="20"/>
                <w:lang w:val="en-AU"/>
              </w:rPr>
              <w:t>Large gap.</w:t>
            </w:r>
          </w:p>
          <w:p w14:paraId="19493731" w14:textId="77777777" w:rsidR="00CB7716" w:rsidRPr="00B67B69" w:rsidRDefault="00CB7716" w:rsidP="00CB7716">
            <w:pPr>
              <w:spacing w:after="85"/>
              <w:rPr>
                <w:rFonts w:cs="Arial"/>
                <w:sz w:val="20"/>
                <w:szCs w:val="20"/>
                <w:lang w:val="en-AU"/>
              </w:rPr>
            </w:pPr>
            <w:r w:rsidRPr="00B67B69">
              <w:rPr>
                <w:rFonts w:cs="Arial"/>
                <w:sz w:val="20"/>
                <w:szCs w:val="20"/>
                <w:lang w:val="en-AU"/>
              </w:rPr>
              <w:t xml:space="preserve">All in-scope businesses to keep evidence substantiating the food safety management of key food handling processes. </w:t>
            </w:r>
          </w:p>
        </w:tc>
      </w:tr>
      <w:tr w:rsidR="00CB7716" w:rsidRPr="00745327" w14:paraId="2C0EDD85" w14:textId="77777777" w:rsidTr="3C0957AF">
        <w:tc>
          <w:tcPr>
            <w:tcW w:w="1410" w:type="dxa"/>
            <w:tcBorders>
              <w:top w:val="single" w:sz="4" w:space="0" w:color="auto"/>
              <w:left w:val="single" w:sz="4" w:space="0" w:color="auto"/>
              <w:bottom w:val="single" w:sz="4" w:space="0" w:color="auto"/>
              <w:right w:val="single" w:sz="4" w:space="0" w:color="auto"/>
            </w:tcBorders>
            <w:hideMark/>
          </w:tcPr>
          <w:p w14:paraId="5F09C194" w14:textId="77777777" w:rsidR="00CB7716" w:rsidRPr="00B67B69" w:rsidRDefault="00CB7716" w:rsidP="00CB7716">
            <w:pPr>
              <w:spacing w:after="85"/>
              <w:rPr>
                <w:rFonts w:cs="Arial"/>
                <w:sz w:val="20"/>
                <w:szCs w:val="20"/>
                <w:lang w:val="en-AU"/>
              </w:rPr>
            </w:pPr>
            <w:r w:rsidRPr="00B67B69">
              <w:rPr>
                <w:rFonts w:cs="Arial"/>
                <w:sz w:val="20"/>
                <w:szCs w:val="20"/>
                <w:lang w:val="en-AU"/>
              </w:rPr>
              <w:t>NSW</w:t>
            </w:r>
          </w:p>
        </w:tc>
        <w:tc>
          <w:tcPr>
            <w:tcW w:w="3141" w:type="dxa"/>
            <w:tcBorders>
              <w:top w:val="single" w:sz="4" w:space="0" w:color="auto"/>
              <w:left w:val="single" w:sz="4" w:space="0" w:color="auto"/>
              <w:bottom w:val="single" w:sz="4" w:space="0" w:color="auto"/>
              <w:right w:val="single" w:sz="4" w:space="0" w:color="auto"/>
            </w:tcBorders>
          </w:tcPr>
          <w:p w14:paraId="145444FA" w14:textId="77777777" w:rsidR="00CB7716" w:rsidRPr="00B67B69" w:rsidRDefault="00CB7716" w:rsidP="00CB7716">
            <w:pPr>
              <w:spacing w:after="85"/>
              <w:rPr>
                <w:rFonts w:cs="Arial"/>
                <w:sz w:val="20"/>
                <w:szCs w:val="20"/>
                <w:lang w:val="en-AU"/>
              </w:rPr>
            </w:pPr>
            <w:r w:rsidRPr="00B67B69">
              <w:rPr>
                <w:rFonts w:cs="Arial"/>
                <w:sz w:val="20"/>
                <w:szCs w:val="20"/>
                <w:lang w:val="en-AU"/>
              </w:rPr>
              <w:t>Record requirements only for those handling raw egg – not all P1 and P2 businesses.</w:t>
            </w:r>
          </w:p>
          <w:p w14:paraId="7FE6E81C" w14:textId="77777777" w:rsidR="00CB7716" w:rsidRPr="00B67B69" w:rsidRDefault="00CB7716" w:rsidP="00CB7716">
            <w:pPr>
              <w:spacing w:after="85"/>
              <w:rPr>
                <w:rFonts w:cs="Arial"/>
                <w:sz w:val="20"/>
                <w:szCs w:val="20"/>
                <w:lang w:val="en-AU"/>
              </w:rPr>
            </w:pPr>
          </w:p>
        </w:tc>
        <w:tc>
          <w:tcPr>
            <w:tcW w:w="5355" w:type="dxa"/>
            <w:tcBorders>
              <w:top w:val="single" w:sz="4" w:space="0" w:color="auto"/>
              <w:left w:val="single" w:sz="4" w:space="0" w:color="auto"/>
              <w:bottom w:val="single" w:sz="4" w:space="0" w:color="auto"/>
              <w:right w:val="single" w:sz="4" w:space="0" w:color="auto"/>
            </w:tcBorders>
          </w:tcPr>
          <w:p w14:paraId="58636A57" w14:textId="77777777" w:rsidR="00CB7716" w:rsidRPr="00B67B69" w:rsidRDefault="00CB7716" w:rsidP="00CB7716">
            <w:pPr>
              <w:spacing w:after="85"/>
              <w:rPr>
                <w:rFonts w:cs="Arial"/>
                <w:sz w:val="20"/>
                <w:szCs w:val="20"/>
                <w:lang w:val="en-AU"/>
              </w:rPr>
            </w:pPr>
            <w:r w:rsidRPr="00B67B69">
              <w:rPr>
                <w:rFonts w:cs="Arial"/>
                <w:sz w:val="20"/>
                <w:szCs w:val="20"/>
                <w:lang w:val="en-AU"/>
              </w:rPr>
              <w:t>Medium to large gap depending on whether the business handles raw egg.</w:t>
            </w:r>
          </w:p>
          <w:p w14:paraId="78F3624B" w14:textId="77777777" w:rsidR="00CB7716" w:rsidRPr="00B67B69" w:rsidRDefault="00CB7716" w:rsidP="00CB7716">
            <w:pPr>
              <w:spacing w:after="85"/>
              <w:rPr>
                <w:rFonts w:cs="Arial"/>
                <w:sz w:val="20"/>
                <w:szCs w:val="20"/>
                <w:lang w:val="en-AU"/>
              </w:rPr>
            </w:pPr>
            <w:r w:rsidRPr="00B67B69">
              <w:rPr>
                <w:rFonts w:cs="Arial"/>
                <w:sz w:val="20"/>
                <w:szCs w:val="20"/>
                <w:lang w:val="en-AU"/>
              </w:rPr>
              <w:t xml:space="preserve">All in-scope businesses to keep evidence substantiating the food safety management of key food handling processes. </w:t>
            </w:r>
          </w:p>
        </w:tc>
      </w:tr>
      <w:tr w:rsidR="00CB7716" w:rsidRPr="00745327" w14:paraId="18D709E5" w14:textId="77777777" w:rsidTr="3C0957AF">
        <w:tc>
          <w:tcPr>
            <w:tcW w:w="1410" w:type="dxa"/>
            <w:tcBorders>
              <w:top w:val="single" w:sz="4" w:space="0" w:color="auto"/>
              <w:left w:val="single" w:sz="4" w:space="0" w:color="auto"/>
              <w:bottom w:val="single" w:sz="4" w:space="0" w:color="auto"/>
              <w:right w:val="single" w:sz="4" w:space="0" w:color="auto"/>
            </w:tcBorders>
            <w:hideMark/>
          </w:tcPr>
          <w:p w14:paraId="5154FDF9" w14:textId="77777777" w:rsidR="00CB7716" w:rsidRPr="00B67B69" w:rsidRDefault="00CB7716" w:rsidP="00CB7716">
            <w:pPr>
              <w:spacing w:after="85"/>
              <w:rPr>
                <w:rFonts w:cs="Arial"/>
                <w:sz w:val="20"/>
                <w:szCs w:val="20"/>
                <w:lang w:val="en-AU"/>
              </w:rPr>
            </w:pPr>
            <w:r w:rsidRPr="00B67B69">
              <w:rPr>
                <w:rFonts w:cs="Arial"/>
                <w:sz w:val="20"/>
                <w:szCs w:val="20"/>
                <w:lang w:val="en-AU"/>
              </w:rPr>
              <w:t>NT</w:t>
            </w:r>
          </w:p>
        </w:tc>
        <w:tc>
          <w:tcPr>
            <w:tcW w:w="3141" w:type="dxa"/>
            <w:tcBorders>
              <w:top w:val="single" w:sz="4" w:space="0" w:color="auto"/>
              <w:left w:val="single" w:sz="4" w:space="0" w:color="auto"/>
              <w:bottom w:val="single" w:sz="4" w:space="0" w:color="auto"/>
              <w:right w:val="single" w:sz="4" w:space="0" w:color="auto"/>
            </w:tcBorders>
          </w:tcPr>
          <w:p w14:paraId="44A01E50" w14:textId="77777777" w:rsidR="00CB7716" w:rsidRPr="00B67B69" w:rsidRDefault="00CB7716" w:rsidP="00CB7716">
            <w:pPr>
              <w:spacing w:after="85"/>
              <w:rPr>
                <w:rFonts w:cs="Arial"/>
                <w:sz w:val="20"/>
                <w:szCs w:val="20"/>
                <w:lang w:val="en-AU"/>
              </w:rPr>
            </w:pPr>
            <w:r w:rsidRPr="00B67B69">
              <w:rPr>
                <w:rFonts w:cs="Arial"/>
                <w:sz w:val="20"/>
                <w:szCs w:val="20"/>
                <w:lang w:val="en-AU"/>
              </w:rPr>
              <w:t>No requirements for in-scope business sectors.</w:t>
            </w:r>
          </w:p>
        </w:tc>
        <w:tc>
          <w:tcPr>
            <w:tcW w:w="5355" w:type="dxa"/>
            <w:tcBorders>
              <w:top w:val="single" w:sz="4" w:space="0" w:color="auto"/>
              <w:left w:val="single" w:sz="4" w:space="0" w:color="auto"/>
              <w:bottom w:val="single" w:sz="4" w:space="0" w:color="auto"/>
              <w:right w:val="single" w:sz="4" w:space="0" w:color="auto"/>
            </w:tcBorders>
          </w:tcPr>
          <w:p w14:paraId="4DB7A945" w14:textId="77777777" w:rsidR="00CB7716" w:rsidRPr="00B67B69" w:rsidRDefault="00CB7716" w:rsidP="00CB7716">
            <w:pPr>
              <w:spacing w:after="85"/>
              <w:rPr>
                <w:rFonts w:cs="Arial"/>
                <w:sz w:val="20"/>
                <w:szCs w:val="20"/>
                <w:lang w:val="en-AU"/>
              </w:rPr>
            </w:pPr>
            <w:r w:rsidRPr="00B67B69">
              <w:rPr>
                <w:rFonts w:cs="Arial"/>
                <w:sz w:val="20"/>
                <w:szCs w:val="20"/>
                <w:lang w:val="en-AU"/>
              </w:rPr>
              <w:t>Large gap.</w:t>
            </w:r>
          </w:p>
          <w:p w14:paraId="19E59D7A" w14:textId="77777777" w:rsidR="00CB7716" w:rsidRPr="00B67B69" w:rsidRDefault="00CB7716" w:rsidP="00CB7716">
            <w:pPr>
              <w:spacing w:after="85"/>
              <w:rPr>
                <w:rFonts w:cs="Arial"/>
                <w:sz w:val="20"/>
                <w:szCs w:val="20"/>
                <w:lang w:val="en-AU"/>
              </w:rPr>
            </w:pPr>
            <w:r w:rsidRPr="00B67B69">
              <w:rPr>
                <w:rFonts w:cs="Arial"/>
                <w:sz w:val="20"/>
                <w:szCs w:val="20"/>
                <w:lang w:val="en-AU"/>
              </w:rPr>
              <w:t xml:space="preserve">All in-scope businesses to keep evidence substantiating the food safety management of key food handling processes. </w:t>
            </w:r>
          </w:p>
        </w:tc>
      </w:tr>
      <w:tr w:rsidR="00CB7716" w:rsidRPr="00745327" w14:paraId="50E9F2F9" w14:textId="77777777" w:rsidTr="3C0957AF">
        <w:tc>
          <w:tcPr>
            <w:tcW w:w="1410" w:type="dxa"/>
            <w:tcBorders>
              <w:top w:val="single" w:sz="4" w:space="0" w:color="auto"/>
              <w:left w:val="single" w:sz="4" w:space="0" w:color="auto"/>
              <w:bottom w:val="single" w:sz="4" w:space="0" w:color="auto"/>
              <w:right w:val="single" w:sz="4" w:space="0" w:color="auto"/>
            </w:tcBorders>
            <w:hideMark/>
          </w:tcPr>
          <w:p w14:paraId="0CA34EFE" w14:textId="77777777" w:rsidR="00CB7716" w:rsidRPr="00B67B69" w:rsidRDefault="00CB7716" w:rsidP="00CB7716">
            <w:pPr>
              <w:spacing w:after="85"/>
              <w:rPr>
                <w:rFonts w:cs="Arial"/>
                <w:sz w:val="20"/>
                <w:szCs w:val="20"/>
                <w:lang w:val="en-AU"/>
              </w:rPr>
            </w:pPr>
            <w:r w:rsidRPr="00B67B69">
              <w:rPr>
                <w:rFonts w:cs="Arial"/>
                <w:sz w:val="20"/>
                <w:szCs w:val="20"/>
                <w:lang w:val="en-AU"/>
              </w:rPr>
              <w:t>Queensland</w:t>
            </w:r>
          </w:p>
        </w:tc>
        <w:tc>
          <w:tcPr>
            <w:tcW w:w="3141" w:type="dxa"/>
            <w:tcBorders>
              <w:top w:val="single" w:sz="4" w:space="0" w:color="auto"/>
              <w:left w:val="single" w:sz="4" w:space="0" w:color="auto"/>
              <w:bottom w:val="single" w:sz="4" w:space="0" w:color="auto"/>
              <w:right w:val="single" w:sz="4" w:space="0" w:color="auto"/>
            </w:tcBorders>
          </w:tcPr>
          <w:p w14:paraId="701A0D9C" w14:textId="77777777" w:rsidR="00CB7716" w:rsidRPr="00B67B69" w:rsidRDefault="00CB7716" w:rsidP="00CB7716">
            <w:pPr>
              <w:spacing w:after="85"/>
              <w:rPr>
                <w:rFonts w:cs="Arial"/>
                <w:sz w:val="20"/>
                <w:szCs w:val="20"/>
                <w:lang w:val="en-AU"/>
              </w:rPr>
            </w:pPr>
            <w:r w:rsidRPr="00B67B69">
              <w:rPr>
                <w:rFonts w:cs="Arial"/>
                <w:sz w:val="20"/>
                <w:szCs w:val="20"/>
                <w:lang w:val="en-AU"/>
              </w:rPr>
              <w:t>Caterers are required to operate with a FSP, including record keeping requirements – not all P1 and P2 businesses.</w:t>
            </w:r>
          </w:p>
          <w:p w14:paraId="32890160" w14:textId="77777777" w:rsidR="00CB7716" w:rsidRPr="00B67B69" w:rsidRDefault="00CB7716" w:rsidP="00CB7716">
            <w:pPr>
              <w:spacing w:after="85"/>
              <w:rPr>
                <w:rFonts w:cs="Arial"/>
                <w:sz w:val="20"/>
                <w:szCs w:val="20"/>
                <w:lang w:val="en-AU"/>
              </w:rPr>
            </w:pPr>
          </w:p>
        </w:tc>
        <w:tc>
          <w:tcPr>
            <w:tcW w:w="5355" w:type="dxa"/>
            <w:tcBorders>
              <w:top w:val="single" w:sz="4" w:space="0" w:color="auto"/>
              <w:left w:val="single" w:sz="4" w:space="0" w:color="auto"/>
              <w:bottom w:val="single" w:sz="4" w:space="0" w:color="auto"/>
              <w:right w:val="single" w:sz="4" w:space="0" w:color="auto"/>
            </w:tcBorders>
          </w:tcPr>
          <w:p w14:paraId="4D068256" w14:textId="77777777" w:rsidR="00CB7716" w:rsidRPr="00B67B69" w:rsidRDefault="00CB7716" w:rsidP="00CB7716">
            <w:pPr>
              <w:spacing w:after="85"/>
              <w:rPr>
                <w:rFonts w:cs="Arial"/>
                <w:sz w:val="20"/>
                <w:szCs w:val="20"/>
                <w:lang w:val="en-AU"/>
              </w:rPr>
            </w:pPr>
            <w:r w:rsidRPr="00B67B69">
              <w:rPr>
                <w:rFonts w:cs="Arial"/>
                <w:sz w:val="20"/>
                <w:szCs w:val="20"/>
                <w:lang w:val="en-AU"/>
              </w:rPr>
              <w:t>Medium gap.</w:t>
            </w:r>
          </w:p>
          <w:p w14:paraId="0DC2FB81" w14:textId="77777777" w:rsidR="00CB7716" w:rsidRPr="00B67B69" w:rsidRDefault="00CB7716" w:rsidP="00CB7716">
            <w:pPr>
              <w:spacing w:after="85"/>
              <w:rPr>
                <w:rFonts w:cs="Arial"/>
                <w:sz w:val="20"/>
                <w:szCs w:val="20"/>
                <w:lang w:val="en-AU"/>
              </w:rPr>
            </w:pPr>
            <w:r w:rsidRPr="00B67B69">
              <w:rPr>
                <w:rFonts w:cs="Arial"/>
                <w:sz w:val="20"/>
                <w:szCs w:val="20"/>
                <w:lang w:val="en-AU"/>
              </w:rPr>
              <w:t xml:space="preserve">All in-scope businesses to keep evidence substantiating the food safety management of key food handling processes. </w:t>
            </w:r>
          </w:p>
          <w:p w14:paraId="0C374AAD" w14:textId="77777777" w:rsidR="00CB7716" w:rsidRPr="00B67B69" w:rsidRDefault="00CB7716" w:rsidP="00CB7716">
            <w:pPr>
              <w:spacing w:after="85"/>
              <w:rPr>
                <w:rFonts w:cs="Arial"/>
                <w:sz w:val="20"/>
                <w:szCs w:val="20"/>
                <w:lang w:val="en-AU"/>
              </w:rPr>
            </w:pPr>
            <w:r w:rsidRPr="00B67B69">
              <w:rPr>
                <w:rFonts w:cs="Arial"/>
                <w:sz w:val="20"/>
                <w:szCs w:val="20"/>
                <w:lang w:val="en-AU"/>
              </w:rPr>
              <w:t>Gap for some P1 that don’t meet caterer definition (frequency or number of people).</w:t>
            </w:r>
          </w:p>
          <w:p w14:paraId="403874E9" w14:textId="77777777" w:rsidR="00CB7716" w:rsidRPr="00B67B69" w:rsidRDefault="00CB7716" w:rsidP="00CB7716">
            <w:pPr>
              <w:spacing w:after="85"/>
              <w:rPr>
                <w:rFonts w:cs="Arial"/>
                <w:sz w:val="20"/>
                <w:szCs w:val="20"/>
                <w:lang w:val="en-AU"/>
              </w:rPr>
            </w:pPr>
            <w:r w:rsidRPr="00B67B69">
              <w:rPr>
                <w:rFonts w:cs="Arial"/>
                <w:sz w:val="20"/>
                <w:szCs w:val="20"/>
                <w:lang w:val="en-AU"/>
              </w:rPr>
              <w:t>Gap for P2 businesses.</w:t>
            </w:r>
          </w:p>
        </w:tc>
      </w:tr>
      <w:tr w:rsidR="00CB7716" w:rsidRPr="00745327" w14:paraId="075491FC" w14:textId="77777777" w:rsidTr="3C0957AF">
        <w:tc>
          <w:tcPr>
            <w:tcW w:w="1410" w:type="dxa"/>
            <w:tcBorders>
              <w:top w:val="single" w:sz="4" w:space="0" w:color="auto"/>
              <w:left w:val="single" w:sz="4" w:space="0" w:color="auto"/>
              <w:bottom w:val="single" w:sz="4" w:space="0" w:color="auto"/>
              <w:right w:val="single" w:sz="4" w:space="0" w:color="auto"/>
            </w:tcBorders>
            <w:hideMark/>
          </w:tcPr>
          <w:p w14:paraId="3A1B1C9D" w14:textId="77777777" w:rsidR="00CB7716" w:rsidRPr="00B67B69" w:rsidRDefault="00CB7716" w:rsidP="00CB7716">
            <w:pPr>
              <w:spacing w:after="85"/>
              <w:rPr>
                <w:rFonts w:cs="Arial"/>
                <w:sz w:val="20"/>
                <w:szCs w:val="20"/>
                <w:lang w:val="en-AU"/>
              </w:rPr>
            </w:pPr>
            <w:r w:rsidRPr="00B67B69">
              <w:rPr>
                <w:rFonts w:cs="Arial"/>
                <w:sz w:val="20"/>
                <w:szCs w:val="20"/>
                <w:lang w:val="en-AU"/>
              </w:rPr>
              <w:t>SA</w:t>
            </w:r>
          </w:p>
        </w:tc>
        <w:tc>
          <w:tcPr>
            <w:tcW w:w="3141" w:type="dxa"/>
            <w:tcBorders>
              <w:top w:val="single" w:sz="4" w:space="0" w:color="auto"/>
              <w:left w:val="single" w:sz="4" w:space="0" w:color="auto"/>
              <w:bottom w:val="single" w:sz="4" w:space="0" w:color="auto"/>
              <w:right w:val="single" w:sz="4" w:space="0" w:color="auto"/>
            </w:tcBorders>
          </w:tcPr>
          <w:p w14:paraId="3D258AED" w14:textId="77777777" w:rsidR="00CB7716" w:rsidRPr="00B67B69" w:rsidRDefault="00CB7716" w:rsidP="00CB7716">
            <w:pPr>
              <w:spacing w:after="85"/>
              <w:rPr>
                <w:rFonts w:cs="Arial"/>
                <w:sz w:val="20"/>
                <w:szCs w:val="20"/>
                <w:lang w:val="en-AU"/>
              </w:rPr>
            </w:pPr>
            <w:r w:rsidRPr="00B67B69">
              <w:rPr>
                <w:rFonts w:cs="Arial"/>
                <w:sz w:val="20"/>
                <w:szCs w:val="20"/>
                <w:lang w:val="en-AU"/>
              </w:rPr>
              <w:t>No requirements for in-scope business sectors.</w:t>
            </w:r>
          </w:p>
          <w:p w14:paraId="644F8268" w14:textId="77777777" w:rsidR="00CB7716" w:rsidRPr="00B67B69" w:rsidRDefault="00CB7716" w:rsidP="00CB7716">
            <w:pPr>
              <w:spacing w:after="85"/>
              <w:rPr>
                <w:rFonts w:cs="Arial"/>
                <w:sz w:val="20"/>
                <w:szCs w:val="20"/>
                <w:lang w:val="en-AU"/>
              </w:rPr>
            </w:pPr>
            <w:r w:rsidRPr="00B67B69">
              <w:rPr>
                <w:rFonts w:cs="Arial"/>
                <w:sz w:val="20"/>
                <w:szCs w:val="20"/>
                <w:lang w:val="en-AU"/>
              </w:rPr>
              <w:t xml:space="preserve"> </w:t>
            </w:r>
          </w:p>
        </w:tc>
        <w:tc>
          <w:tcPr>
            <w:tcW w:w="5355" w:type="dxa"/>
            <w:tcBorders>
              <w:top w:val="single" w:sz="4" w:space="0" w:color="auto"/>
              <w:left w:val="single" w:sz="4" w:space="0" w:color="auto"/>
              <w:bottom w:val="single" w:sz="4" w:space="0" w:color="auto"/>
              <w:right w:val="single" w:sz="4" w:space="0" w:color="auto"/>
            </w:tcBorders>
          </w:tcPr>
          <w:p w14:paraId="594AC797" w14:textId="77777777" w:rsidR="00CB7716" w:rsidRPr="00B67B69" w:rsidRDefault="00CB7716" w:rsidP="00CB7716">
            <w:pPr>
              <w:spacing w:after="85"/>
              <w:rPr>
                <w:rFonts w:cs="Arial"/>
                <w:sz w:val="20"/>
                <w:szCs w:val="20"/>
                <w:lang w:val="en-AU"/>
              </w:rPr>
            </w:pPr>
            <w:r w:rsidRPr="00B67B69">
              <w:rPr>
                <w:rFonts w:cs="Arial"/>
                <w:sz w:val="20"/>
                <w:szCs w:val="20"/>
                <w:lang w:val="en-AU"/>
              </w:rPr>
              <w:t>Large gap.</w:t>
            </w:r>
          </w:p>
          <w:p w14:paraId="24D7D6B5" w14:textId="77777777" w:rsidR="00CB7716" w:rsidRPr="00B67B69" w:rsidRDefault="00CB7716" w:rsidP="00CB7716">
            <w:pPr>
              <w:spacing w:after="85"/>
              <w:rPr>
                <w:rFonts w:cs="Arial"/>
                <w:sz w:val="20"/>
                <w:szCs w:val="20"/>
                <w:lang w:val="en-AU"/>
              </w:rPr>
            </w:pPr>
            <w:r w:rsidRPr="00B67B69">
              <w:rPr>
                <w:rFonts w:cs="Arial"/>
                <w:sz w:val="20"/>
                <w:szCs w:val="20"/>
                <w:lang w:val="en-AU"/>
              </w:rPr>
              <w:t xml:space="preserve">All in-scope businesses to keep evidence substantiating the food safety management of key food handling processes. </w:t>
            </w:r>
          </w:p>
        </w:tc>
      </w:tr>
      <w:tr w:rsidR="00CB7716" w:rsidRPr="00745327" w14:paraId="5F8BA88D" w14:textId="77777777" w:rsidTr="3C0957AF">
        <w:tc>
          <w:tcPr>
            <w:tcW w:w="1410" w:type="dxa"/>
            <w:tcBorders>
              <w:top w:val="single" w:sz="4" w:space="0" w:color="auto"/>
              <w:left w:val="single" w:sz="4" w:space="0" w:color="auto"/>
              <w:bottom w:val="single" w:sz="4" w:space="0" w:color="auto"/>
              <w:right w:val="single" w:sz="4" w:space="0" w:color="auto"/>
            </w:tcBorders>
            <w:hideMark/>
          </w:tcPr>
          <w:p w14:paraId="527114D0" w14:textId="77777777" w:rsidR="00CB7716" w:rsidRPr="00B67B69" w:rsidRDefault="00CB7716" w:rsidP="00CB7716">
            <w:pPr>
              <w:spacing w:after="85"/>
              <w:rPr>
                <w:rFonts w:cs="Arial"/>
                <w:sz w:val="20"/>
                <w:szCs w:val="20"/>
                <w:lang w:val="en-AU"/>
              </w:rPr>
            </w:pPr>
            <w:r w:rsidRPr="00B67B69">
              <w:rPr>
                <w:rFonts w:cs="Arial"/>
                <w:sz w:val="20"/>
                <w:szCs w:val="20"/>
                <w:lang w:val="en-AU"/>
              </w:rPr>
              <w:t>Tasmania</w:t>
            </w:r>
          </w:p>
        </w:tc>
        <w:tc>
          <w:tcPr>
            <w:tcW w:w="3141" w:type="dxa"/>
            <w:tcBorders>
              <w:top w:val="single" w:sz="4" w:space="0" w:color="auto"/>
              <w:left w:val="single" w:sz="4" w:space="0" w:color="auto"/>
              <w:bottom w:val="single" w:sz="4" w:space="0" w:color="auto"/>
              <w:right w:val="single" w:sz="4" w:space="0" w:color="auto"/>
            </w:tcBorders>
          </w:tcPr>
          <w:p w14:paraId="5738461B" w14:textId="77777777" w:rsidR="00CB7716" w:rsidRPr="00B67B69" w:rsidRDefault="00CB7716" w:rsidP="00CB7716">
            <w:pPr>
              <w:spacing w:after="85"/>
              <w:rPr>
                <w:rFonts w:cs="Arial"/>
                <w:sz w:val="20"/>
                <w:szCs w:val="20"/>
                <w:lang w:val="en-AU"/>
              </w:rPr>
            </w:pPr>
            <w:r w:rsidRPr="00B67B69">
              <w:rPr>
                <w:rFonts w:cs="Arial"/>
                <w:sz w:val="20"/>
                <w:szCs w:val="20"/>
                <w:lang w:val="en-AU"/>
              </w:rPr>
              <w:t>No requirements for in-scope business sectors.</w:t>
            </w:r>
          </w:p>
          <w:p w14:paraId="24E64BC8" w14:textId="77777777" w:rsidR="00CB7716" w:rsidRPr="00B67B69" w:rsidRDefault="00CB7716" w:rsidP="00CB7716">
            <w:pPr>
              <w:spacing w:after="85"/>
              <w:rPr>
                <w:rFonts w:cs="Arial"/>
                <w:sz w:val="20"/>
                <w:szCs w:val="20"/>
                <w:lang w:val="en-AU"/>
              </w:rPr>
            </w:pPr>
          </w:p>
        </w:tc>
        <w:tc>
          <w:tcPr>
            <w:tcW w:w="5355" w:type="dxa"/>
            <w:tcBorders>
              <w:top w:val="single" w:sz="4" w:space="0" w:color="auto"/>
              <w:left w:val="single" w:sz="4" w:space="0" w:color="auto"/>
              <w:bottom w:val="single" w:sz="4" w:space="0" w:color="auto"/>
              <w:right w:val="single" w:sz="4" w:space="0" w:color="auto"/>
            </w:tcBorders>
          </w:tcPr>
          <w:p w14:paraId="31F6068F" w14:textId="77777777" w:rsidR="00CB7716" w:rsidRPr="00B67B69" w:rsidRDefault="00CB7716" w:rsidP="00CB7716">
            <w:pPr>
              <w:spacing w:after="85"/>
              <w:rPr>
                <w:rFonts w:cs="Arial"/>
                <w:sz w:val="20"/>
                <w:szCs w:val="20"/>
                <w:lang w:val="en-AU"/>
              </w:rPr>
            </w:pPr>
            <w:r w:rsidRPr="00B67B69">
              <w:rPr>
                <w:rFonts w:cs="Arial"/>
                <w:sz w:val="20"/>
                <w:szCs w:val="20"/>
                <w:lang w:val="en-AU"/>
              </w:rPr>
              <w:t>Large gap.</w:t>
            </w:r>
          </w:p>
          <w:p w14:paraId="466659B1" w14:textId="77777777" w:rsidR="00CB7716" w:rsidRPr="00B67B69" w:rsidRDefault="00CB7716" w:rsidP="00CB7716">
            <w:pPr>
              <w:spacing w:after="85"/>
              <w:rPr>
                <w:rFonts w:cs="Arial"/>
                <w:sz w:val="20"/>
                <w:szCs w:val="20"/>
                <w:lang w:val="en-AU"/>
              </w:rPr>
            </w:pPr>
            <w:r w:rsidRPr="00B67B69">
              <w:rPr>
                <w:rFonts w:cs="Arial"/>
                <w:sz w:val="20"/>
                <w:szCs w:val="20"/>
                <w:lang w:val="en-AU"/>
              </w:rPr>
              <w:t>All in-scope businesses to keep evidence substantiating the food safety management of key food handling processes.</w:t>
            </w:r>
          </w:p>
        </w:tc>
      </w:tr>
      <w:tr w:rsidR="00CB7716" w:rsidRPr="00745327" w14:paraId="3E4B4208" w14:textId="77777777" w:rsidTr="3C0957AF">
        <w:tc>
          <w:tcPr>
            <w:tcW w:w="1410" w:type="dxa"/>
            <w:tcBorders>
              <w:top w:val="single" w:sz="4" w:space="0" w:color="auto"/>
              <w:left w:val="single" w:sz="4" w:space="0" w:color="auto"/>
              <w:bottom w:val="single" w:sz="4" w:space="0" w:color="auto"/>
              <w:right w:val="single" w:sz="4" w:space="0" w:color="auto"/>
            </w:tcBorders>
            <w:hideMark/>
          </w:tcPr>
          <w:p w14:paraId="0BCE0D7B" w14:textId="77777777" w:rsidR="00CB7716" w:rsidRPr="00B67B69" w:rsidRDefault="00CB7716" w:rsidP="00CB7716">
            <w:pPr>
              <w:spacing w:after="85"/>
              <w:rPr>
                <w:rFonts w:cs="Arial"/>
                <w:sz w:val="20"/>
                <w:szCs w:val="20"/>
                <w:lang w:val="en-AU"/>
              </w:rPr>
            </w:pPr>
            <w:r w:rsidRPr="00B67B69">
              <w:rPr>
                <w:rFonts w:cs="Arial"/>
                <w:sz w:val="20"/>
                <w:szCs w:val="20"/>
                <w:lang w:val="en-AU"/>
              </w:rPr>
              <w:t>Victoria</w:t>
            </w:r>
          </w:p>
        </w:tc>
        <w:tc>
          <w:tcPr>
            <w:tcW w:w="3141" w:type="dxa"/>
            <w:tcBorders>
              <w:top w:val="single" w:sz="4" w:space="0" w:color="auto"/>
              <w:left w:val="single" w:sz="4" w:space="0" w:color="auto"/>
              <w:bottom w:val="single" w:sz="4" w:space="0" w:color="auto"/>
              <w:right w:val="single" w:sz="4" w:space="0" w:color="auto"/>
            </w:tcBorders>
          </w:tcPr>
          <w:p w14:paraId="7AE7DC81" w14:textId="77777777" w:rsidR="00CB7716" w:rsidRPr="00B67B69" w:rsidRDefault="00CB7716" w:rsidP="00CB7716">
            <w:pPr>
              <w:spacing w:after="85"/>
              <w:rPr>
                <w:rFonts w:cs="Arial"/>
                <w:sz w:val="20"/>
                <w:szCs w:val="20"/>
                <w:lang w:val="en-AU"/>
              </w:rPr>
            </w:pPr>
            <w:r w:rsidRPr="00B67B69">
              <w:rPr>
                <w:rFonts w:cs="Arial"/>
                <w:sz w:val="20"/>
                <w:szCs w:val="20"/>
                <w:lang w:val="en-AU"/>
              </w:rPr>
              <w:t>Class 1 businesses and Class 2 businesses are required to operate under a food safety program – covers P1 and P2 in-scope businesses</w:t>
            </w:r>
          </w:p>
          <w:p w14:paraId="2C03433D" w14:textId="77777777" w:rsidR="00CB7716" w:rsidRPr="00B67B69" w:rsidRDefault="00CB7716" w:rsidP="00CB7716">
            <w:pPr>
              <w:spacing w:after="85"/>
              <w:rPr>
                <w:rFonts w:cs="Arial"/>
                <w:sz w:val="20"/>
                <w:szCs w:val="20"/>
                <w:lang w:val="en-AU"/>
              </w:rPr>
            </w:pPr>
            <w:r w:rsidRPr="00B67B69">
              <w:rPr>
                <w:rFonts w:cs="Arial"/>
                <w:sz w:val="20"/>
                <w:szCs w:val="20"/>
                <w:lang w:val="en-AU"/>
              </w:rPr>
              <w:t>Class 3</w:t>
            </w:r>
            <w:r w:rsidRPr="00B67B69">
              <w:rPr>
                <w:rStyle w:val="FootnoteReference"/>
                <w:rFonts w:cs="Arial"/>
                <w:sz w:val="20"/>
                <w:szCs w:val="20"/>
                <w:lang w:val="en-AU"/>
              </w:rPr>
              <w:footnoteReference w:id="26"/>
            </w:r>
            <w:r w:rsidRPr="00B67B69">
              <w:rPr>
                <w:rFonts w:cs="Arial"/>
                <w:sz w:val="20"/>
                <w:szCs w:val="20"/>
                <w:lang w:val="en-AU"/>
              </w:rPr>
              <w:t xml:space="preserve"> businesses are required to keep minimum records.</w:t>
            </w:r>
          </w:p>
        </w:tc>
        <w:tc>
          <w:tcPr>
            <w:tcW w:w="5355" w:type="dxa"/>
            <w:tcBorders>
              <w:top w:val="single" w:sz="4" w:space="0" w:color="auto"/>
              <w:left w:val="single" w:sz="4" w:space="0" w:color="auto"/>
              <w:bottom w:val="single" w:sz="4" w:space="0" w:color="auto"/>
              <w:right w:val="single" w:sz="4" w:space="0" w:color="auto"/>
            </w:tcBorders>
            <w:hideMark/>
          </w:tcPr>
          <w:p w14:paraId="1437571A" w14:textId="77777777" w:rsidR="00CB7716" w:rsidRPr="00B67B69" w:rsidRDefault="00CB7716" w:rsidP="00CB7716">
            <w:pPr>
              <w:spacing w:after="85"/>
              <w:rPr>
                <w:rFonts w:cs="Arial"/>
                <w:sz w:val="20"/>
                <w:szCs w:val="20"/>
              </w:rPr>
            </w:pPr>
            <w:r w:rsidRPr="00B67B69">
              <w:rPr>
                <w:rFonts w:cs="Arial"/>
                <w:sz w:val="20"/>
                <w:szCs w:val="20"/>
              </w:rPr>
              <w:t>Reduction in regulatory requirements likely</w:t>
            </w:r>
          </w:p>
          <w:p w14:paraId="2A152F0D" w14:textId="77777777" w:rsidR="00CB7716" w:rsidRPr="00B67B69" w:rsidRDefault="00CB7716" w:rsidP="00CB7716">
            <w:pPr>
              <w:spacing w:after="85"/>
              <w:rPr>
                <w:rFonts w:cs="Arial"/>
                <w:sz w:val="20"/>
                <w:szCs w:val="20"/>
              </w:rPr>
            </w:pPr>
            <w:r w:rsidRPr="00B67B69">
              <w:rPr>
                <w:rFonts w:cs="Arial"/>
                <w:sz w:val="20"/>
                <w:szCs w:val="20"/>
              </w:rPr>
              <w:t>Most class 2 food service and retail premises will not be required to have an FSP.</w:t>
            </w:r>
          </w:p>
          <w:p w14:paraId="09BADED1" w14:textId="77777777" w:rsidR="00CB7716" w:rsidRPr="00B67B69" w:rsidRDefault="00CB7716" w:rsidP="00CB7716">
            <w:pPr>
              <w:spacing w:after="85"/>
              <w:rPr>
                <w:rFonts w:cs="Arial"/>
                <w:sz w:val="20"/>
                <w:szCs w:val="20"/>
              </w:rPr>
            </w:pPr>
            <w:r w:rsidRPr="00B67B69">
              <w:rPr>
                <w:rFonts w:cs="Arial"/>
                <w:sz w:val="20"/>
                <w:szCs w:val="20"/>
              </w:rPr>
              <w:t xml:space="preserve">Class 3 would not be required to keep minimum records, </w:t>
            </w:r>
          </w:p>
          <w:p w14:paraId="6102AA47" w14:textId="77777777" w:rsidR="00CB7716" w:rsidRPr="00B67B69" w:rsidRDefault="00CB7716" w:rsidP="00CB7716">
            <w:pPr>
              <w:spacing w:after="85"/>
              <w:rPr>
                <w:rFonts w:cs="Arial"/>
                <w:sz w:val="20"/>
                <w:szCs w:val="20"/>
              </w:rPr>
            </w:pPr>
            <w:r w:rsidRPr="00B67B69">
              <w:rPr>
                <w:rFonts w:cs="Arial"/>
                <w:sz w:val="20"/>
                <w:szCs w:val="20"/>
              </w:rPr>
              <w:t>Instead, these businesses could keep evidence substantiating the food safety management of key food handling processes.</w:t>
            </w:r>
          </w:p>
        </w:tc>
      </w:tr>
      <w:tr w:rsidR="00CB7716" w:rsidRPr="00745327" w14:paraId="3AA532FD" w14:textId="77777777" w:rsidTr="3C0957AF">
        <w:tc>
          <w:tcPr>
            <w:tcW w:w="1410" w:type="dxa"/>
            <w:tcBorders>
              <w:top w:val="single" w:sz="4" w:space="0" w:color="auto"/>
              <w:left w:val="single" w:sz="4" w:space="0" w:color="auto"/>
              <w:bottom w:val="single" w:sz="4" w:space="0" w:color="auto"/>
              <w:right w:val="single" w:sz="4" w:space="0" w:color="auto"/>
            </w:tcBorders>
            <w:hideMark/>
          </w:tcPr>
          <w:p w14:paraId="6830F762" w14:textId="77777777" w:rsidR="00CB7716" w:rsidRPr="00B67B69" w:rsidRDefault="00CB7716" w:rsidP="00CB7716">
            <w:pPr>
              <w:spacing w:after="85"/>
              <w:rPr>
                <w:rFonts w:cs="Arial"/>
                <w:sz w:val="20"/>
                <w:szCs w:val="20"/>
                <w:lang w:val="en-AU"/>
              </w:rPr>
            </w:pPr>
            <w:r w:rsidRPr="00B67B69">
              <w:rPr>
                <w:rFonts w:cs="Arial"/>
                <w:sz w:val="20"/>
                <w:szCs w:val="20"/>
                <w:lang w:val="en-AU"/>
              </w:rPr>
              <w:t>WA</w:t>
            </w:r>
          </w:p>
        </w:tc>
        <w:tc>
          <w:tcPr>
            <w:tcW w:w="3141" w:type="dxa"/>
            <w:tcBorders>
              <w:top w:val="single" w:sz="4" w:space="0" w:color="auto"/>
              <w:left w:val="single" w:sz="4" w:space="0" w:color="auto"/>
              <w:bottom w:val="single" w:sz="4" w:space="0" w:color="auto"/>
              <w:right w:val="single" w:sz="4" w:space="0" w:color="auto"/>
            </w:tcBorders>
          </w:tcPr>
          <w:p w14:paraId="398F5992" w14:textId="77777777" w:rsidR="00CB7716" w:rsidRPr="00B67B69" w:rsidRDefault="00CB7716" w:rsidP="00CB7716">
            <w:pPr>
              <w:spacing w:after="85"/>
              <w:rPr>
                <w:rFonts w:cs="Arial"/>
                <w:sz w:val="20"/>
                <w:szCs w:val="20"/>
                <w:lang w:val="en-AU"/>
              </w:rPr>
            </w:pPr>
            <w:r w:rsidRPr="00B67B69">
              <w:rPr>
                <w:rFonts w:cs="Arial"/>
                <w:sz w:val="20"/>
                <w:szCs w:val="20"/>
                <w:lang w:val="en-AU"/>
              </w:rPr>
              <w:t>No requirements for in-scope business sectors.</w:t>
            </w:r>
          </w:p>
        </w:tc>
        <w:tc>
          <w:tcPr>
            <w:tcW w:w="5355" w:type="dxa"/>
            <w:tcBorders>
              <w:top w:val="single" w:sz="4" w:space="0" w:color="auto"/>
              <w:left w:val="single" w:sz="4" w:space="0" w:color="auto"/>
              <w:bottom w:val="single" w:sz="4" w:space="0" w:color="auto"/>
              <w:right w:val="single" w:sz="4" w:space="0" w:color="auto"/>
            </w:tcBorders>
          </w:tcPr>
          <w:p w14:paraId="4B6C1041" w14:textId="77777777" w:rsidR="00CB7716" w:rsidRPr="00B67B69" w:rsidRDefault="00CB7716" w:rsidP="00CB7716">
            <w:pPr>
              <w:spacing w:after="85"/>
              <w:rPr>
                <w:rFonts w:cs="Arial"/>
                <w:sz w:val="20"/>
                <w:szCs w:val="20"/>
                <w:lang w:val="en-AU"/>
              </w:rPr>
            </w:pPr>
            <w:r w:rsidRPr="00B67B69">
              <w:rPr>
                <w:rFonts w:cs="Arial"/>
                <w:sz w:val="20"/>
                <w:szCs w:val="20"/>
                <w:lang w:val="en-AU"/>
              </w:rPr>
              <w:t>Large gap.</w:t>
            </w:r>
          </w:p>
          <w:p w14:paraId="0BB85BC4" w14:textId="77777777" w:rsidR="00CB7716" w:rsidRPr="00B67B69" w:rsidRDefault="00CB7716" w:rsidP="00CB7716">
            <w:pPr>
              <w:spacing w:after="85"/>
              <w:rPr>
                <w:rFonts w:cs="Arial"/>
                <w:sz w:val="20"/>
                <w:szCs w:val="20"/>
                <w:lang w:val="en-AU"/>
              </w:rPr>
            </w:pPr>
            <w:r w:rsidRPr="00B67B69">
              <w:rPr>
                <w:rFonts w:cs="Arial"/>
                <w:sz w:val="20"/>
                <w:szCs w:val="20"/>
                <w:lang w:val="en-AU"/>
              </w:rPr>
              <w:t>All in-scope P1 and P2 businesses would be required to have evidence to substantiate key processes are safely managed.</w:t>
            </w:r>
          </w:p>
        </w:tc>
      </w:tr>
    </w:tbl>
    <w:p w14:paraId="6EA1E402" w14:textId="77777777" w:rsidR="00CB7716" w:rsidRDefault="00CB7716" w:rsidP="00CB7716">
      <w:pPr>
        <w:rPr>
          <w:sz w:val="20"/>
          <w:szCs w:val="20"/>
        </w:rPr>
      </w:pPr>
      <w:r w:rsidRPr="68C0CA2D">
        <w:rPr>
          <w:sz w:val="20"/>
          <w:szCs w:val="20"/>
        </w:rPr>
        <w:t>FSC = Food Standards Code, FSP = food safety program, P1 and P2 = priority classifications under the national Risk Profiling Framework</w:t>
      </w:r>
    </w:p>
    <w:p w14:paraId="1E4C1294" w14:textId="77777777" w:rsidR="00B67B69" w:rsidRDefault="00B67B69" w:rsidP="006E77ED">
      <w:bookmarkStart w:id="106" w:name="_Toc87275054"/>
    </w:p>
    <w:p w14:paraId="53B5013C" w14:textId="69C0A378" w:rsidR="00CB7716" w:rsidRPr="00B67B69" w:rsidRDefault="00CB7716" w:rsidP="00B67B69">
      <w:pPr>
        <w:rPr>
          <w:b/>
          <w:i/>
        </w:rPr>
      </w:pPr>
      <w:r w:rsidRPr="00B67B69">
        <w:rPr>
          <w:b/>
          <w:i/>
        </w:rPr>
        <w:t>Implementation: E</w:t>
      </w:r>
      <w:bookmarkEnd w:id="106"/>
    </w:p>
    <w:p w14:paraId="61FD32D6" w14:textId="40F5D592" w:rsidR="00CB7716" w:rsidRDefault="00CB7716" w:rsidP="00B67B69">
      <w:pPr>
        <w:spacing w:after="240"/>
        <w:rPr>
          <w:lang w:eastAsia="en-AU"/>
        </w:rPr>
      </w:pPr>
      <w:r w:rsidRPr="68C0CA2D">
        <w:rPr>
          <w:rFonts w:cs="Arial"/>
        </w:rPr>
        <w:t xml:space="preserve">The proposed draft Standard 3.2.2A includes a clause (clause 12) on ‘substantiating food safety management of prescribed activities’, listing nine key processes (in </w:t>
      </w:r>
      <w:proofErr w:type="spellStart"/>
      <w:r w:rsidRPr="68C0CA2D">
        <w:rPr>
          <w:rFonts w:cs="Arial"/>
        </w:rPr>
        <w:t>subclause</w:t>
      </w:r>
      <w:proofErr w:type="spellEnd"/>
      <w:r w:rsidRPr="68C0CA2D">
        <w:rPr>
          <w:rFonts w:cs="Arial"/>
        </w:rPr>
        <w:t xml:space="preserve"> 4. ‘a’ to ‘</w:t>
      </w:r>
      <w:proofErr w:type="spellStart"/>
      <w:r w:rsidRPr="68C0CA2D">
        <w:rPr>
          <w:rFonts w:cs="Arial"/>
        </w:rPr>
        <w:t>i</w:t>
      </w:r>
      <w:proofErr w:type="spellEnd"/>
      <w:r w:rsidRPr="68C0CA2D">
        <w:rPr>
          <w:rFonts w:cs="Arial"/>
        </w:rPr>
        <w:t xml:space="preserve">’). </w:t>
      </w:r>
      <w:r w:rsidRPr="68C0CA2D">
        <w:rPr>
          <w:lang w:eastAsia="en-AU"/>
        </w:rPr>
        <w:t xml:space="preserve">FSANZ considers the key processes of temperature control, food processing, and cleaning and sanitising would be better managed by a business if they make a record or keep other evidence that critical controls are correctly in place. </w:t>
      </w:r>
    </w:p>
    <w:p w14:paraId="499425FE" w14:textId="04F73C55" w:rsidR="00CB7716" w:rsidRDefault="00CB7716" w:rsidP="00B67B69">
      <w:pPr>
        <w:spacing w:after="240"/>
        <w:rPr>
          <w:lang w:eastAsia="en-AU"/>
        </w:rPr>
      </w:pPr>
      <w:r w:rsidRPr="68C0CA2D">
        <w:rPr>
          <w:lang w:eastAsia="en-AU"/>
        </w:rPr>
        <w:t xml:space="preserve">Current non-regulatory guidance (i.e. </w:t>
      </w:r>
      <w:r w:rsidRPr="68C0CA2D">
        <w:rPr>
          <w:i/>
          <w:iCs/>
          <w:lang w:eastAsia="en-AU"/>
        </w:rPr>
        <w:t>Safe Food Australia</w:t>
      </w:r>
      <w:r w:rsidRPr="68C0CA2D">
        <w:rPr>
          <w:lang w:eastAsia="en-AU"/>
        </w:rPr>
        <w:t xml:space="preserve">) has not been effective in reducing foodborne illness in the food service setting. </w:t>
      </w:r>
    </w:p>
    <w:p w14:paraId="53824A7A" w14:textId="77777777" w:rsidR="00CB7716" w:rsidRDefault="00CB7716" w:rsidP="00B67B69">
      <w:pPr>
        <w:spacing w:after="240"/>
        <w:rPr>
          <w:lang w:eastAsia="en-AU"/>
        </w:rPr>
      </w:pPr>
      <w:r>
        <w:rPr>
          <w:lang w:eastAsia="en-AU"/>
        </w:rPr>
        <w:t xml:space="preserve">Guidance on record management is provided in the </w:t>
      </w:r>
      <w:r>
        <w:rPr>
          <w:i/>
          <w:lang w:val="en-AU"/>
        </w:rPr>
        <w:t xml:space="preserve">Archives Act 1983 </w:t>
      </w:r>
      <w:r>
        <w:rPr>
          <w:lang w:val="en-AU"/>
        </w:rPr>
        <w:t xml:space="preserve">explanatory memorandum. It states: </w:t>
      </w:r>
      <w:r>
        <w:rPr>
          <w:i/>
          <w:iCs/>
          <w:color w:val="000000"/>
        </w:rPr>
        <w:t>Both documents and objects can be records. A record does not have to be in a concrete form—it can be in any form, including an electronic form. A record can include a photograph, film, map, plan, model or painting. It can also include a sound recording, coded storage device, magnetic tape or disc, microform, and more modern technologies such as digital video discs and compact discs. Other examples of records in electronic form are emails, Internet sites, case management systems, financial accounting systems, inventory management and procurement systems, personnel management and HR systems, building management and access control systems and geographical systems.</w:t>
      </w:r>
    </w:p>
    <w:p w14:paraId="487015EB" w14:textId="3E90EA7C" w:rsidR="00CB7716" w:rsidRDefault="00CB7716" w:rsidP="00B67B69">
      <w:pPr>
        <w:spacing w:after="240"/>
      </w:pPr>
      <w:r>
        <w:t>FSANZ recognises there may be scenarios where making a record is not the most effective approach to enhance a business’s food safety management and for example, staff demonstrating to regulators on-site</w:t>
      </w:r>
      <w:r w:rsidRPr="68C0CA2D">
        <w:rPr>
          <w:i/>
          <w:iCs/>
        </w:rPr>
        <w:t xml:space="preserve"> </w:t>
      </w:r>
      <w:r>
        <w:t>how they implement SOPs may be another means of sufficient evidence (case studies and examples are provided in section 8). While we have identified the key processes,</w:t>
      </w:r>
      <w:r w:rsidDel="00AF04C6">
        <w:t xml:space="preserve"> </w:t>
      </w:r>
      <w:r>
        <w:t>food safety management is multifaceted and needs to be tailored for each business. A flexible approach is needed, to facilitate risk-based application within the context of the business.</w:t>
      </w:r>
    </w:p>
    <w:p w14:paraId="61CADF78" w14:textId="2E22FBD1" w:rsidR="00B67B69" w:rsidRPr="00B67B69" w:rsidRDefault="00CB7716" w:rsidP="00B67B69">
      <w:pPr>
        <w:spacing w:after="240"/>
        <w:rPr>
          <w:lang w:val="en-AU" w:eastAsia="zh-CN"/>
        </w:rPr>
      </w:pPr>
      <w:r w:rsidRPr="68C0CA2D">
        <w:rPr>
          <w:lang w:val="en-AU" w:eastAsia="zh-CN"/>
        </w:rPr>
        <w:t xml:space="preserve">The scale and nature of food handling, and existing systems within a business should be considered by an authorised officer when determining compliance with the proposed measure. Examples are given in the </w:t>
      </w:r>
      <w:r>
        <w:rPr>
          <w:lang w:val="en-AU" w:eastAsia="zh-CN"/>
        </w:rPr>
        <w:t xml:space="preserve">draft </w:t>
      </w:r>
      <w:r w:rsidRPr="68C0CA2D">
        <w:rPr>
          <w:lang w:val="en-AU" w:eastAsia="zh-CN"/>
        </w:rPr>
        <w:t>implementation guidance</w:t>
      </w:r>
      <w:r>
        <w:rPr>
          <w:rStyle w:val="FootnoteReference"/>
          <w:lang w:val="en-AU" w:eastAsia="zh-CN"/>
        </w:rPr>
        <w:footnoteReference w:id="27"/>
      </w:r>
      <w:r w:rsidRPr="68C0CA2D">
        <w:rPr>
          <w:lang w:val="en-AU" w:eastAsia="zh-CN"/>
        </w:rPr>
        <w:t xml:space="preserve"> to provide context.</w:t>
      </w:r>
    </w:p>
    <w:p w14:paraId="67A11E26" w14:textId="3F1B007E" w:rsidR="00CB7716" w:rsidRDefault="00CB7716" w:rsidP="0025246D">
      <w:pPr>
        <w:pStyle w:val="Heading3"/>
        <w:numPr>
          <w:ilvl w:val="0"/>
          <w:numId w:val="0"/>
        </w:numPr>
        <w:ind w:left="720" w:hanging="720"/>
      </w:pPr>
      <w:bookmarkStart w:id="107" w:name="_Toc107412693"/>
      <w:bookmarkStart w:id="108" w:name="_Toc109300454"/>
      <w:r w:rsidRPr="004B3692">
        <w:t>4.</w:t>
      </w:r>
      <w:r>
        <w:t>5</w:t>
      </w:r>
      <w:r>
        <w:tab/>
      </w:r>
      <w:r w:rsidRPr="004B3692">
        <w:t>Cost and benefits</w:t>
      </w:r>
      <w:bookmarkEnd w:id="107"/>
      <w:bookmarkEnd w:id="108"/>
      <w:r w:rsidRPr="00B916D2">
        <w:t xml:space="preserve"> </w:t>
      </w:r>
    </w:p>
    <w:p w14:paraId="2B0E9875" w14:textId="77777777" w:rsidR="00CB7716" w:rsidRDefault="00CB7716" w:rsidP="0025246D">
      <w:pPr>
        <w:pStyle w:val="Heading4"/>
        <w:numPr>
          <w:ilvl w:val="0"/>
          <w:numId w:val="0"/>
        </w:numPr>
        <w:ind w:left="864" w:hanging="864"/>
      </w:pPr>
      <w:bookmarkStart w:id="109" w:name="_Toc107412694"/>
      <w:r w:rsidRPr="004B3692">
        <w:t>4.</w:t>
      </w:r>
      <w:r>
        <w:t>5.1</w:t>
      </w:r>
      <w:r>
        <w:tab/>
      </w:r>
      <w:r w:rsidRPr="004B3692">
        <w:t>Introduction</w:t>
      </w:r>
      <w:bookmarkEnd w:id="109"/>
    </w:p>
    <w:p w14:paraId="69FB959F" w14:textId="2A6660AC" w:rsidR="00CB7716" w:rsidRDefault="00CB7716" w:rsidP="00B67B69">
      <w:pPr>
        <w:spacing w:after="240"/>
      </w:pPr>
      <w:r>
        <w:t xml:space="preserve">To compare potential options, FSANZ completed a quantitative analysis, assessed where available, qualitative costs and benefits, and considered the appropriateness of each proposed regulatory tool. Our analysis compared the direct benefits to the community that may be achieved from a reduction in foodborne illness, against the costs of the different options to industry and government. </w:t>
      </w:r>
    </w:p>
    <w:p w14:paraId="73A7DBC9" w14:textId="709D76A2" w:rsidR="00CB7716" w:rsidRDefault="00CB7716" w:rsidP="00B67B69">
      <w:pPr>
        <w:spacing w:after="240"/>
      </w:pPr>
      <w:r>
        <w:t>This DRIS relied on the best available information. However, data gaps remain and certain assumptions have been needed. These gaps and assumptions are clearly identified in the analysis. Further feedback was sought through the CRIS, with stakeholders asked for any information, data or studies to improve the quality of the cost–benefit analysis–to support, change or replace any of the assumptions or estimates that have been used. Limited information and data was provided, and no data materially changed the analysis. Some revisions were made to the potential costs of illness as a result of receiving final cost estimates from the ANU in a separate research project (Glass et al., 2022).</w:t>
      </w:r>
    </w:p>
    <w:p w14:paraId="6EB0E1FB" w14:textId="77777777" w:rsidR="00A94813" w:rsidRDefault="00CB7716" w:rsidP="00B67B69">
      <w:pPr>
        <w:spacing w:after="240"/>
      </w:pPr>
      <w:r w:rsidRPr="00C4234E">
        <w:rPr>
          <w:rFonts w:cs="Arial"/>
          <w:lang w:val="en-AU"/>
        </w:rPr>
        <w:t>When developing its cost and benefit estimates,</w:t>
      </w:r>
      <w:r>
        <w:rPr>
          <w:rFonts w:cs="Arial"/>
          <w:lang w:val="en-AU"/>
        </w:rPr>
        <w:t xml:space="preserve"> FSANZ had regard to costs to government to implement and enforce the legislative options, using the draft implementation guide. How the approved draft standards are implemented remains a matter for the jurisdictions to determine. </w:t>
      </w:r>
      <w:r>
        <w:t>The</w:t>
      </w:r>
      <w:r w:rsidRPr="009927A9">
        <w:t xml:space="preserve"> assumpti</w:t>
      </w:r>
      <w:r>
        <w:t xml:space="preserve">on used in this analysis is that overall impacts will be cost-neutral to government. </w:t>
      </w:r>
      <w:r w:rsidRPr="25DEA6C8">
        <w:t xml:space="preserve">Some submissions indicated that FSANZ may have underestimated the administrative burden on local government. However other submissions indicated that while administration may increase initially this would be offset over time by a reduction in foodborne illness investigation resources and improvements in food safety culture and compliance. On balance, this information has not changed the outcomes of our analysis. </w:t>
      </w:r>
    </w:p>
    <w:p w14:paraId="09A7A4DC" w14:textId="29279471" w:rsidR="00CB7716" w:rsidRDefault="00CB7716" w:rsidP="00B67B69">
      <w:pPr>
        <w:spacing w:after="240"/>
        <w:rPr>
          <w:rFonts w:cs="Arial"/>
          <w:lang w:val="en-AU"/>
        </w:rPr>
      </w:pPr>
      <w:r>
        <w:t xml:space="preserve">These tools will assist government with risk-based regulatory inspection, ensuring that all information is available to an EHO to assess food handling activities within a business. </w:t>
      </w:r>
      <w:r>
        <w:rPr>
          <w:rFonts w:cs="Arial"/>
          <w:lang w:val="en-AU"/>
        </w:rPr>
        <w:t>FSANZ’s understanding is that jurisdictions have committed to working towards national consistency and sharing resources.</w:t>
      </w:r>
    </w:p>
    <w:p w14:paraId="55443B52" w14:textId="06C9C8CC" w:rsidR="00A94813" w:rsidRPr="00103604" w:rsidRDefault="00CB7716" w:rsidP="00B67B69">
      <w:pPr>
        <w:spacing w:after="240"/>
        <w:rPr>
          <w:b/>
          <w:bCs/>
          <w:i/>
          <w:iCs/>
        </w:rPr>
      </w:pPr>
      <w:r>
        <w:t>Any additional regulation is likely to impact food businesses, consumers and governments, as listed in Table 6.</w:t>
      </w:r>
    </w:p>
    <w:p w14:paraId="77477808" w14:textId="77777777" w:rsidR="00CB7716" w:rsidRPr="00536BB8" w:rsidRDefault="00CB7716" w:rsidP="00CB7716">
      <w:pPr>
        <w:pStyle w:val="Caption"/>
        <w:keepNext/>
        <w:rPr>
          <w:b/>
          <w:color w:val="auto"/>
          <w:sz w:val="20"/>
          <w:szCs w:val="20"/>
        </w:rPr>
      </w:pPr>
      <w:r w:rsidRPr="00536BB8">
        <w:rPr>
          <w:b/>
          <w:color w:val="auto"/>
          <w:sz w:val="20"/>
          <w:szCs w:val="20"/>
        </w:rPr>
        <w:t>Table 6: Major impacts of regulation, by social group</w:t>
      </w:r>
    </w:p>
    <w:tbl>
      <w:tblPr>
        <w:tblStyle w:val="GridTable1Light"/>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6373"/>
      </w:tblGrid>
      <w:tr w:rsidR="00CB7716" w:rsidRPr="00103604" w14:paraId="652AD2DB" w14:textId="77777777" w:rsidTr="00E86163">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694" w:type="dxa"/>
          </w:tcPr>
          <w:p w14:paraId="0BD4D54D" w14:textId="77777777" w:rsidR="00CB7716" w:rsidRPr="00103604" w:rsidRDefault="00CB7716" w:rsidP="00CB7716">
            <w:r w:rsidRPr="00103604">
              <w:t xml:space="preserve">Social group </w:t>
            </w:r>
          </w:p>
        </w:tc>
        <w:tc>
          <w:tcPr>
            <w:tcW w:w="6373" w:type="dxa"/>
          </w:tcPr>
          <w:p w14:paraId="7F07B154" w14:textId="77777777" w:rsidR="00CB7716" w:rsidRPr="00103604" w:rsidRDefault="00CB7716" w:rsidP="00CB7716">
            <w:pPr>
              <w:ind w:firstLine="127"/>
              <w:cnfStyle w:val="100000000000" w:firstRow="1" w:lastRow="0" w:firstColumn="0" w:lastColumn="0" w:oddVBand="0" w:evenVBand="0" w:oddHBand="0" w:evenHBand="0" w:firstRowFirstColumn="0" w:firstRowLastColumn="0" w:lastRowFirstColumn="0" w:lastRowLastColumn="0"/>
            </w:pPr>
            <w:r w:rsidRPr="00103604">
              <w:t>Notes on impacts</w:t>
            </w:r>
          </w:p>
        </w:tc>
      </w:tr>
      <w:tr w:rsidR="00CB7716" w:rsidRPr="00103604" w14:paraId="5A5BF92C" w14:textId="77777777" w:rsidTr="00E86163">
        <w:tc>
          <w:tcPr>
            <w:cnfStyle w:val="001000000000" w:firstRow="0" w:lastRow="0" w:firstColumn="1" w:lastColumn="0" w:oddVBand="0" w:evenVBand="0" w:oddHBand="0" w:evenHBand="0" w:firstRowFirstColumn="0" w:firstRowLastColumn="0" w:lastRowFirstColumn="0" w:lastRowLastColumn="0"/>
            <w:tcW w:w="2694" w:type="dxa"/>
          </w:tcPr>
          <w:p w14:paraId="36E818C4" w14:textId="77777777" w:rsidR="00CB7716" w:rsidRPr="00103604" w:rsidRDefault="00CB7716" w:rsidP="00CB7716">
            <w:pPr>
              <w:rPr>
                <w:b w:val="0"/>
              </w:rPr>
            </w:pPr>
            <w:r w:rsidRPr="00103604">
              <w:rPr>
                <w:b w:val="0"/>
              </w:rPr>
              <w:t xml:space="preserve">1. </w:t>
            </w:r>
            <w:r>
              <w:rPr>
                <w:b w:val="0"/>
              </w:rPr>
              <w:t>Food businesses</w:t>
            </w:r>
          </w:p>
          <w:p w14:paraId="010ADEB0" w14:textId="77777777" w:rsidR="00CB7716" w:rsidRPr="00103604" w:rsidRDefault="00CB7716" w:rsidP="00CB7716">
            <w:pPr>
              <w:rPr>
                <w:b w:val="0"/>
                <w:caps/>
              </w:rPr>
            </w:pPr>
          </w:p>
        </w:tc>
        <w:tc>
          <w:tcPr>
            <w:tcW w:w="6373" w:type="dxa"/>
          </w:tcPr>
          <w:p w14:paraId="190DC45B" w14:textId="77777777" w:rsidR="00CB7716" w:rsidRPr="00103604" w:rsidRDefault="00CB7716" w:rsidP="004E6D96">
            <w:pPr>
              <w:widowControl/>
              <w:numPr>
                <w:ilvl w:val="0"/>
                <w:numId w:val="4"/>
              </w:numPr>
              <w:ind w:left="255" w:hanging="255"/>
              <w:contextualSpacing/>
              <w:cnfStyle w:val="000000000000" w:firstRow="0" w:lastRow="0" w:firstColumn="0" w:lastColumn="0" w:oddVBand="0" w:evenVBand="0" w:oddHBand="0" w:evenHBand="0" w:firstRowFirstColumn="0" w:firstRowLastColumn="0" w:lastRowFirstColumn="0" w:lastRowLastColumn="0"/>
            </w:pPr>
            <w:r w:rsidRPr="00103604">
              <w:t xml:space="preserve">Potentially increased </w:t>
            </w:r>
            <w:r>
              <w:t>operational</w:t>
            </w:r>
            <w:r w:rsidRPr="00103604">
              <w:t xml:space="preserve"> costs</w:t>
            </w:r>
          </w:p>
          <w:p w14:paraId="4032964D" w14:textId="77777777" w:rsidR="00CB7716" w:rsidRPr="00103604" w:rsidRDefault="00CB7716" w:rsidP="004E6D96">
            <w:pPr>
              <w:widowControl/>
              <w:numPr>
                <w:ilvl w:val="0"/>
                <w:numId w:val="4"/>
              </w:numPr>
              <w:ind w:left="255" w:hanging="255"/>
              <w:contextualSpacing/>
              <w:cnfStyle w:val="000000000000" w:firstRow="0" w:lastRow="0" w:firstColumn="0" w:lastColumn="0" w:oddVBand="0" w:evenVBand="0" w:oddHBand="0" w:evenHBand="0" w:firstRowFirstColumn="0" w:firstRowLastColumn="0" w:lastRowFirstColumn="0" w:lastRowLastColumn="0"/>
            </w:pPr>
            <w:r>
              <w:t>Cost savings from a r</w:t>
            </w:r>
            <w:r w:rsidRPr="00103604">
              <w:t>educ</w:t>
            </w:r>
            <w:r>
              <w:t>ed</w:t>
            </w:r>
            <w:r w:rsidRPr="00103604">
              <w:t xml:space="preserve"> risk of a food safety incident</w:t>
            </w:r>
          </w:p>
          <w:p w14:paraId="6FBCD2A3" w14:textId="77777777" w:rsidR="00CB7716" w:rsidRPr="00103604" w:rsidRDefault="00CB7716" w:rsidP="004E6D96">
            <w:pPr>
              <w:widowControl/>
              <w:numPr>
                <w:ilvl w:val="0"/>
                <w:numId w:val="4"/>
              </w:numPr>
              <w:ind w:left="255" w:hanging="255"/>
              <w:contextualSpacing/>
              <w:cnfStyle w:val="000000000000" w:firstRow="0" w:lastRow="0" w:firstColumn="0" w:lastColumn="0" w:oddVBand="0" w:evenVBand="0" w:oddHBand="0" w:evenHBand="0" w:firstRowFirstColumn="0" w:firstRowLastColumn="0" w:lastRowFirstColumn="0" w:lastRowLastColumn="0"/>
            </w:pPr>
            <w:r>
              <w:t xml:space="preserve">Improved </w:t>
            </w:r>
            <w:r w:rsidDel="00722E1C">
              <w:t>capacity</w:t>
            </w:r>
            <w:r>
              <w:t xml:space="preserve"> to effectively and efficiently manage and respond to a food safety incident, reducing costs</w:t>
            </w:r>
          </w:p>
          <w:p w14:paraId="39E9A476" w14:textId="77777777" w:rsidR="00CB7716" w:rsidRPr="00103604" w:rsidRDefault="00CB7716" w:rsidP="004E6D96">
            <w:pPr>
              <w:widowControl/>
              <w:numPr>
                <w:ilvl w:val="0"/>
                <w:numId w:val="4"/>
              </w:numPr>
              <w:ind w:left="255" w:hanging="255"/>
              <w:contextualSpacing/>
              <w:cnfStyle w:val="000000000000" w:firstRow="0" w:lastRow="0" w:firstColumn="0" w:lastColumn="0" w:oddVBand="0" w:evenVBand="0" w:oddHBand="0" w:evenHBand="0" w:firstRowFirstColumn="0" w:firstRowLastColumn="0" w:lastRowFirstColumn="0" w:lastRowLastColumn="0"/>
            </w:pPr>
            <w:r w:rsidRPr="00103604">
              <w:t>Potential</w:t>
            </w:r>
            <w:r>
              <w:t>ly</w:t>
            </w:r>
            <w:r w:rsidRPr="00103604">
              <w:t xml:space="preserve"> ad</w:t>
            </w:r>
            <w:r>
              <w:t>ditional sales given higher quality food</w:t>
            </w:r>
          </w:p>
          <w:p w14:paraId="53571669" w14:textId="77777777" w:rsidR="00CB7716" w:rsidRDefault="00CB7716" w:rsidP="004E6D96">
            <w:pPr>
              <w:widowControl/>
              <w:numPr>
                <w:ilvl w:val="0"/>
                <w:numId w:val="4"/>
              </w:numPr>
              <w:ind w:left="255" w:hanging="255"/>
              <w:contextualSpacing/>
              <w:cnfStyle w:val="000000000000" w:firstRow="0" w:lastRow="0" w:firstColumn="0" w:lastColumn="0" w:oddVBand="0" w:evenVBand="0" w:oddHBand="0" w:evenHBand="0" w:firstRowFirstColumn="0" w:firstRowLastColumn="0" w:lastRowFirstColumn="0" w:lastRowLastColumn="0"/>
            </w:pPr>
            <w:r w:rsidRPr="00103604">
              <w:t>Reduced risks of market damage caused by others</w:t>
            </w:r>
          </w:p>
          <w:p w14:paraId="4F03A84A" w14:textId="77777777" w:rsidR="00CB7716" w:rsidRPr="00103604" w:rsidRDefault="00CB7716" w:rsidP="004E6D96">
            <w:pPr>
              <w:widowControl/>
              <w:numPr>
                <w:ilvl w:val="0"/>
                <w:numId w:val="4"/>
              </w:numPr>
              <w:ind w:left="255" w:hanging="255"/>
              <w:contextualSpacing/>
              <w:cnfStyle w:val="000000000000" w:firstRow="0" w:lastRow="0" w:firstColumn="0" w:lastColumn="0" w:oddVBand="0" w:evenVBand="0" w:oddHBand="0" w:evenHBand="0" w:firstRowFirstColumn="0" w:firstRowLastColumn="0" w:lastRowFirstColumn="0" w:lastRowLastColumn="0"/>
            </w:pPr>
            <w:r>
              <w:t>Harmonised national regulation reduces costs for businesses that operate across multiple jurisdictions.</w:t>
            </w:r>
            <w:r w:rsidRPr="00103604">
              <w:t xml:space="preserve"> </w:t>
            </w:r>
          </w:p>
        </w:tc>
      </w:tr>
      <w:tr w:rsidR="00CB7716" w:rsidRPr="00103604" w14:paraId="48526574" w14:textId="77777777" w:rsidTr="00E86163">
        <w:tc>
          <w:tcPr>
            <w:cnfStyle w:val="001000000000" w:firstRow="0" w:lastRow="0" w:firstColumn="1" w:lastColumn="0" w:oddVBand="0" w:evenVBand="0" w:oddHBand="0" w:evenHBand="0" w:firstRowFirstColumn="0" w:firstRowLastColumn="0" w:lastRowFirstColumn="0" w:lastRowLastColumn="0"/>
            <w:tcW w:w="2694" w:type="dxa"/>
          </w:tcPr>
          <w:p w14:paraId="1572E21B" w14:textId="77777777" w:rsidR="00CB7716" w:rsidRPr="00103604" w:rsidRDefault="00CB7716" w:rsidP="00CB7716">
            <w:pPr>
              <w:rPr>
                <w:b w:val="0"/>
              </w:rPr>
            </w:pPr>
            <w:r>
              <w:rPr>
                <w:b w:val="0"/>
              </w:rPr>
              <w:t>2</w:t>
            </w:r>
            <w:r w:rsidRPr="00103604">
              <w:rPr>
                <w:b w:val="0"/>
              </w:rPr>
              <w:t>. Food consumers</w:t>
            </w:r>
          </w:p>
        </w:tc>
        <w:tc>
          <w:tcPr>
            <w:tcW w:w="6373" w:type="dxa"/>
          </w:tcPr>
          <w:p w14:paraId="7358E678" w14:textId="77777777" w:rsidR="00CB7716" w:rsidRPr="00103604" w:rsidRDefault="00CB7716" w:rsidP="004E6D96">
            <w:pPr>
              <w:widowControl/>
              <w:numPr>
                <w:ilvl w:val="0"/>
                <w:numId w:val="4"/>
              </w:numPr>
              <w:ind w:left="255" w:hanging="255"/>
              <w:contextualSpacing/>
              <w:cnfStyle w:val="000000000000" w:firstRow="0" w:lastRow="0" w:firstColumn="0" w:lastColumn="0" w:oddVBand="0" w:evenVBand="0" w:oddHBand="0" w:evenHBand="0" w:firstRowFirstColumn="0" w:firstRowLastColumn="0" w:lastRowFirstColumn="0" w:lastRowLastColumn="0"/>
            </w:pPr>
            <w:r w:rsidRPr="00103604">
              <w:t>Improved safety of products reduc</w:t>
            </w:r>
            <w:r>
              <w:t>ing</w:t>
            </w:r>
            <w:r w:rsidRPr="00103604">
              <w:t xml:space="preserve"> likelihood of illness</w:t>
            </w:r>
          </w:p>
          <w:p w14:paraId="348E806E" w14:textId="77777777" w:rsidR="00CB7716" w:rsidRDefault="00CB7716" w:rsidP="004E6D96">
            <w:pPr>
              <w:widowControl/>
              <w:numPr>
                <w:ilvl w:val="0"/>
                <w:numId w:val="4"/>
              </w:numPr>
              <w:ind w:left="255" w:hanging="255"/>
              <w:contextualSpacing/>
              <w:cnfStyle w:val="000000000000" w:firstRow="0" w:lastRow="0" w:firstColumn="0" w:lastColumn="0" w:oddVBand="0" w:evenVBand="0" w:oddHBand="0" w:evenHBand="0" w:firstRowFirstColumn="0" w:firstRowLastColumn="0" w:lastRowFirstColumn="0" w:lastRowLastColumn="0"/>
            </w:pPr>
            <w:r w:rsidRPr="00103604">
              <w:t>Potential</w:t>
            </w:r>
            <w:r>
              <w:t>ly</w:t>
            </w:r>
            <w:r w:rsidRPr="00103604">
              <w:t xml:space="preserve"> increased costs of purchase</w:t>
            </w:r>
          </w:p>
          <w:p w14:paraId="59E1D918" w14:textId="77777777" w:rsidR="00CB7716" w:rsidRPr="00103604" w:rsidRDefault="00CB7716" w:rsidP="004E6D96">
            <w:pPr>
              <w:widowControl/>
              <w:numPr>
                <w:ilvl w:val="0"/>
                <w:numId w:val="4"/>
              </w:numPr>
              <w:ind w:left="255" w:hanging="255"/>
              <w:contextualSpacing/>
              <w:cnfStyle w:val="000000000000" w:firstRow="0" w:lastRow="0" w:firstColumn="0" w:lastColumn="0" w:oddVBand="0" w:evenVBand="0" w:oddHBand="0" w:evenHBand="0" w:firstRowFirstColumn="0" w:firstRowLastColumn="0" w:lastRowFirstColumn="0" w:lastRowLastColumn="0"/>
            </w:pPr>
            <w:r>
              <w:t>Potentially higher quality food available</w:t>
            </w:r>
          </w:p>
        </w:tc>
      </w:tr>
      <w:tr w:rsidR="00CB7716" w:rsidRPr="00103604" w14:paraId="07AC5FF0" w14:textId="77777777" w:rsidTr="00E86163">
        <w:tc>
          <w:tcPr>
            <w:cnfStyle w:val="001000000000" w:firstRow="0" w:lastRow="0" w:firstColumn="1" w:lastColumn="0" w:oddVBand="0" w:evenVBand="0" w:oddHBand="0" w:evenHBand="0" w:firstRowFirstColumn="0" w:firstRowLastColumn="0" w:lastRowFirstColumn="0" w:lastRowLastColumn="0"/>
            <w:tcW w:w="2694" w:type="dxa"/>
          </w:tcPr>
          <w:p w14:paraId="1C0AF706" w14:textId="77777777" w:rsidR="00CB7716" w:rsidRPr="00103604" w:rsidRDefault="00CB7716" w:rsidP="00CB7716">
            <w:pPr>
              <w:rPr>
                <w:b w:val="0"/>
              </w:rPr>
            </w:pPr>
            <w:r>
              <w:rPr>
                <w:b w:val="0"/>
              </w:rPr>
              <w:t>3</w:t>
            </w:r>
            <w:r w:rsidRPr="00103604">
              <w:rPr>
                <w:b w:val="0"/>
              </w:rPr>
              <w:t>. Government</w:t>
            </w:r>
          </w:p>
        </w:tc>
        <w:tc>
          <w:tcPr>
            <w:tcW w:w="6373" w:type="dxa"/>
          </w:tcPr>
          <w:p w14:paraId="6BB35986" w14:textId="77777777" w:rsidR="00CB7716" w:rsidRPr="00103604" w:rsidRDefault="00CB7716" w:rsidP="004E6D96">
            <w:pPr>
              <w:widowControl/>
              <w:numPr>
                <w:ilvl w:val="0"/>
                <w:numId w:val="4"/>
              </w:numPr>
              <w:ind w:left="255" w:hanging="255"/>
              <w:contextualSpacing/>
              <w:cnfStyle w:val="000000000000" w:firstRow="0" w:lastRow="0" w:firstColumn="0" w:lastColumn="0" w:oddVBand="0" w:evenVBand="0" w:oddHBand="0" w:evenHBand="0" w:firstRowFirstColumn="0" w:firstRowLastColumn="0" w:lastRowFirstColumn="0" w:lastRowLastColumn="0"/>
            </w:pPr>
            <w:r>
              <w:t xml:space="preserve">Potentially increased </w:t>
            </w:r>
            <w:r w:rsidRPr="00103604">
              <w:t>implementation and enforcement cost</w:t>
            </w:r>
            <w:r>
              <w:t>s for</w:t>
            </w:r>
            <w:r w:rsidRPr="00103604">
              <w:t xml:space="preserve"> new regulation</w:t>
            </w:r>
            <w:r>
              <w:t xml:space="preserve"> </w:t>
            </w:r>
          </w:p>
          <w:p w14:paraId="5A7E5A4C" w14:textId="77777777" w:rsidR="00CB7716" w:rsidRPr="00103604" w:rsidRDefault="00CB7716" w:rsidP="004E6D96">
            <w:pPr>
              <w:widowControl/>
              <w:numPr>
                <w:ilvl w:val="0"/>
                <w:numId w:val="4"/>
              </w:numPr>
              <w:ind w:left="255" w:hanging="255"/>
              <w:contextualSpacing/>
              <w:cnfStyle w:val="000000000000" w:firstRow="0" w:lastRow="0" w:firstColumn="0" w:lastColumn="0" w:oddVBand="0" w:evenVBand="0" w:oddHBand="0" w:evenHBand="0" w:firstRowFirstColumn="0" w:firstRowLastColumn="0" w:lastRowFirstColumn="0" w:lastRowLastColumn="0"/>
            </w:pPr>
            <w:r>
              <w:t xml:space="preserve">Improved </w:t>
            </w:r>
            <w:r w:rsidDel="00722E1C">
              <w:t>capacity</w:t>
            </w:r>
            <w:r>
              <w:t xml:space="preserve"> to effectively and efficiently manage a food safety incident, reducing costs</w:t>
            </w:r>
          </w:p>
          <w:p w14:paraId="3C5AEFC0" w14:textId="77777777" w:rsidR="00CB7716" w:rsidRPr="00103604" w:rsidRDefault="00CB7716" w:rsidP="004E6D96">
            <w:pPr>
              <w:widowControl/>
              <w:numPr>
                <w:ilvl w:val="0"/>
                <w:numId w:val="4"/>
              </w:numPr>
              <w:ind w:left="255" w:hanging="255"/>
              <w:contextualSpacing/>
              <w:cnfStyle w:val="000000000000" w:firstRow="0" w:lastRow="0" w:firstColumn="0" w:lastColumn="0" w:oddVBand="0" w:evenVBand="0" w:oddHBand="0" w:evenHBand="0" w:firstRowFirstColumn="0" w:firstRowLastColumn="0" w:lastRowFirstColumn="0" w:lastRowLastColumn="0"/>
            </w:pPr>
            <w:r w:rsidRPr="00103604">
              <w:t>Savings in health care expenditure</w:t>
            </w:r>
          </w:p>
        </w:tc>
      </w:tr>
    </w:tbl>
    <w:p w14:paraId="7AE91CBA" w14:textId="77777777" w:rsidR="00CB7716" w:rsidRPr="00103604" w:rsidRDefault="00CB7716" w:rsidP="00CB7716"/>
    <w:p w14:paraId="6B3D653C" w14:textId="0FC43825" w:rsidR="00A94813" w:rsidRPr="00103604" w:rsidRDefault="00CB7716" w:rsidP="00B67B69">
      <w:pPr>
        <w:spacing w:after="240"/>
        <w:rPr>
          <w:b/>
          <w:i/>
        </w:rPr>
      </w:pPr>
      <w:r>
        <w:t>These impacts have been considered in the analysis in Table 7 below. However, it is not always possible to quantify and compare all impacts.</w:t>
      </w:r>
    </w:p>
    <w:p w14:paraId="074C6E10" w14:textId="77777777" w:rsidR="00CB7716" w:rsidRPr="00536BB8" w:rsidRDefault="00CB7716" w:rsidP="00CB7716">
      <w:pPr>
        <w:pStyle w:val="Caption"/>
        <w:keepNext/>
        <w:rPr>
          <w:b/>
          <w:color w:val="auto"/>
          <w:sz w:val="20"/>
          <w:szCs w:val="20"/>
        </w:rPr>
      </w:pPr>
      <w:r w:rsidRPr="00536BB8">
        <w:rPr>
          <w:b/>
          <w:color w:val="auto"/>
          <w:sz w:val="20"/>
          <w:szCs w:val="20"/>
        </w:rPr>
        <w:t>Table 7: Quantified and unquantified impacts of increased food safety regulation</w:t>
      </w:r>
    </w:p>
    <w:tbl>
      <w:tblPr>
        <w:tblStyle w:val="GridTable1Light"/>
        <w:tblW w:w="9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1559"/>
        <w:gridCol w:w="4875"/>
      </w:tblGrid>
      <w:tr w:rsidR="00CB7716" w:rsidRPr="00103604" w14:paraId="2AB2FAF1" w14:textId="77777777" w:rsidTr="006E77ED">
        <w:trPr>
          <w:cnfStyle w:val="100000000000" w:firstRow="1" w:lastRow="0" w:firstColumn="0" w:lastColumn="0" w:oddVBand="0" w:evenVBand="0" w:oddHBand="0" w:evenHBand="0" w:firstRowFirstColumn="0" w:firstRowLastColumn="0" w:lastRowFirstColumn="0" w:lastRowLastColumn="0"/>
          <w:trHeight w:val="331"/>
        </w:trPr>
        <w:tc>
          <w:tcPr>
            <w:cnfStyle w:val="001000000000" w:firstRow="0" w:lastRow="0" w:firstColumn="1" w:lastColumn="0" w:oddVBand="0" w:evenVBand="0" w:oddHBand="0" w:evenHBand="0" w:firstRowFirstColumn="0" w:firstRowLastColumn="0" w:lastRowFirstColumn="0" w:lastRowLastColumn="0"/>
            <w:tcW w:w="2689" w:type="dxa"/>
          </w:tcPr>
          <w:p w14:paraId="1A272219" w14:textId="77777777" w:rsidR="00CB7716" w:rsidRPr="00103604" w:rsidRDefault="00CB7716" w:rsidP="00CB7716">
            <w:pPr>
              <w:rPr>
                <w:b w:val="0"/>
                <w:bCs w:val="0"/>
              </w:rPr>
            </w:pPr>
            <w:r w:rsidRPr="00103604">
              <w:t>General cost or benefit</w:t>
            </w:r>
          </w:p>
        </w:tc>
        <w:tc>
          <w:tcPr>
            <w:tcW w:w="1559" w:type="dxa"/>
          </w:tcPr>
          <w:p w14:paraId="6A53DB17" w14:textId="77777777" w:rsidR="00CB7716" w:rsidRPr="00103604" w:rsidRDefault="00CB7716" w:rsidP="00CB7716">
            <w:pPr>
              <w:cnfStyle w:val="100000000000" w:firstRow="1" w:lastRow="0" w:firstColumn="0" w:lastColumn="0" w:oddVBand="0" w:evenVBand="0" w:oddHBand="0" w:evenHBand="0" w:firstRowFirstColumn="0" w:firstRowLastColumn="0" w:lastRowFirstColumn="0" w:lastRowLastColumn="0"/>
            </w:pPr>
            <w:r w:rsidRPr="00103604">
              <w:t>Social group</w:t>
            </w:r>
          </w:p>
        </w:tc>
        <w:tc>
          <w:tcPr>
            <w:tcW w:w="4875" w:type="dxa"/>
          </w:tcPr>
          <w:p w14:paraId="2E090289" w14:textId="77777777" w:rsidR="00CB7716" w:rsidRPr="00103604" w:rsidRDefault="00CB7716" w:rsidP="00CB7716">
            <w:pPr>
              <w:cnfStyle w:val="100000000000" w:firstRow="1" w:lastRow="0" w:firstColumn="0" w:lastColumn="0" w:oddVBand="0" w:evenVBand="0" w:oddHBand="0" w:evenHBand="0" w:firstRowFirstColumn="0" w:firstRowLastColumn="0" w:lastRowFirstColumn="0" w:lastRowLastColumn="0"/>
            </w:pPr>
            <w:r w:rsidRPr="00103604">
              <w:t>Specific cost or benefit</w:t>
            </w:r>
          </w:p>
        </w:tc>
      </w:tr>
      <w:tr w:rsidR="00CB7716" w:rsidRPr="00103604" w14:paraId="243AD02D" w14:textId="77777777" w:rsidTr="006E77ED">
        <w:trPr>
          <w:trHeight w:val="306"/>
        </w:trPr>
        <w:tc>
          <w:tcPr>
            <w:cnfStyle w:val="001000000000" w:firstRow="0" w:lastRow="0" w:firstColumn="1" w:lastColumn="0" w:oddVBand="0" w:evenVBand="0" w:oddHBand="0" w:evenHBand="0" w:firstRowFirstColumn="0" w:firstRowLastColumn="0" w:lastRowFirstColumn="0" w:lastRowLastColumn="0"/>
            <w:tcW w:w="2689" w:type="dxa"/>
            <w:vMerge w:val="restart"/>
          </w:tcPr>
          <w:p w14:paraId="2F51B9BB" w14:textId="77777777" w:rsidR="00CB7716" w:rsidRPr="006E77ED" w:rsidRDefault="00CB7716" w:rsidP="00CB7716">
            <w:pPr>
              <w:rPr>
                <w:b w:val="0"/>
                <w:caps/>
              </w:rPr>
            </w:pPr>
            <w:r w:rsidRPr="006E77ED">
              <w:rPr>
                <w:b w:val="0"/>
              </w:rPr>
              <w:t>Quantified cost</w:t>
            </w:r>
          </w:p>
        </w:tc>
        <w:tc>
          <w:tcPr>
            <w:tcW w:w="1559" w:type="dxa"/>
          </w:tcPr>
          <w:p w14:paraId="6D4F0E07" w14:textId="77777777" w:rsidR="00CB7716" w:rsidRPr="00103604" w:rsidRDefault="00CB7716" w:rsidP="00CB7716">
            <w:pPr>
              <w:cnfStyle w:val="000000000000" w:firstRow="0" w:lastRow="0" w:firstColumn="0" w:lastColumn="0" w:oddVBand="0" w:evenVBand="0" w:oddHBand="0" w:evenHBand="0" w:firstRowFirstColumn="0" w:firstRowLastColumn="0" w:lastRowFirstColumn="0" w:lastRowLastColumn="0"/>
            </w:pPr>
            <w:r w:rsidRPr="00103604">
              <w:t>Industry</w:t>
            </w:r>
          </w:p>
        </w:tc>
        <w:tc>
          <w:tcPr>
            <w:tcW w:w="4875" w:type="dxa"/>
          </w:tcPr>
          <w:p w14:paraId="0CDA0D3F" w14:textId="77777777" w:rsidR="00CB7716" w:rsidRPr="00103604" w:rsidRDefault="00CB7716" w:rsidP="004E6D96">
            <w:pPr>
              <w:pStyle w:val="ListParagraph"/>
              <w:numPr>
                <w:ilvl w:val="0"/>
                <w:numId w:val="12"/>
              </w:numPr>
              <w:ind w:left="255" w:hanging="255"/>
              <w:cnfStyle w:val="000000000000" w:firstRow="0" w:lastRow="0" w:firstColumn="0" w:lastColumn="0" w:oddVBand="0" w:evenVBand="0" w:oddHBand="0" w:evenHBand="0" w:firstRowFirstColumn="0" w:firstRowLastColumn="0" w:lastRowFirstColumn="0" w:lastRowLastColumn="0"/>
            </w:pPr>
            <w:r w:rsidRPr="00103604">
              <w:t>Increased production costs</w:t>
            </w:r>
          </w:p>
        </w:tc>
      </w:tr>
      <w:tr w:rsidR="00CB7716" w:rsidRPr="00103604" w14:paraId="6702418D" w14:textId="77777777" w:rsidTr="006E77ED">
        <w:trPr>
          <w:trHeight w:val="306"/>
        </w:trPr>
        <w:tc>
          <w:tcPr>
            <w:cnfStyle w:val="001000000000" w:firstRow="0" w:lastRow="0" w:firstColumn="1" w:lastColumn="0" w:oddVBand="0" w:evenVBand="0" w:oddHBand="0" w:evenHBand="0" w:firstRowFirstColumn="0" w:firstRowLastColumn="0" w:lastRowFirstColumn="0" w:lastRowLastColumn="0"/>
            <w:tcW w:w="2689" w:type="dxa"/>
            <w:vMerge/>
          </w:tcPr>
          <w:p w14:paraId="7F512137" w14:textId="77777777" w:rsidR="00CB7716" w:rsidRPr="006E77ED" w:rsidRDefault="00CB7716" w:rsidP="00CB7716">
            <w:pPr>
              <w:rPr>
                <w:b w:val="0"/>
              </w:rPr>
            </w:pPr>
          </w:p>
        </w:tc>
        <w:tc>
          <w:tcPr>
            <w:tcW w:w="1559" w:type="dxa"/>
          </w:tcPr>
          <w:p w14:paraId="66743722" w14:textId="77777777" w:rsidR="00CB7716" w:rsidRPr="00103604" w:rsidRDefault="00CB7716" w:rsidP="00CB7716">
            <w:pPr>
              <w:cnfStyle w:val="000000000000" w:firstRow="0" w:lastRow="0" w:firstColumn="0" w:lastColumn="0" w:oddVBand="0" w:evenVBand="0" w:oddHBand="0" w:evenHBand="0" w:firstRowFirstColumn="0" w:firstRowLastColumn="0" w:lastRowFirstColumn="0" w:lastRowLastColumn="0"/>
            </w:pPr>
            <w:r w:rsidRPr="00103604">
              <w:t>Government</w:t>
            </w:r>
          </w:p>
        </w:tc>
        <w:tc>
          <w:tcPr>
            <w:tcW w:w="4875" w:type="dxa"/>
          </w:tcPr>
          <w:p w14:paraId="137412CF" w14:textId="77777777" w:rsidR="00CB7716" w:rsidRPr="00103604" w:rsidRDefault="00CB7716" w:rsidP="004E6D96">
            <w:pPr>
              <w:pStyle w:val="ListParagraph"/>
              <w:numPr>
                <w:ilvl w:val="0"/>
                <w:numId w:val="12"/>
              </w:numPr>
              <w:ind w:left="255" w:hanging="255"/>
              <w:cnfStyle w:val="000000000000" w:firstRow="0" w:lastRow="0" w:firstColumn="0" w:lastColumn="0" w:oddVBand="0" w:evenVBand="0" w:oddHBand="0" w:evenHBand="0" w:firstRowFirstColumn="0" w:firstRowLastColumn="0" w:lastRowFirstColumn="0" w:lastRowLastColumn="0"/>
            </w:pPr>
            <w:r w:rsidRPr="00103604">
              <w:t>Implementation and enforcement costs</w:t>
            </w:r>
          </w:p>
        </w:tc>
      </w:tr>
      <w:tr w:rsidR="00CB7716" w:rsidRPr="00103604" w14:paraId="22B3BA67" w14:textId="77777777" w:rsidTr="006E77ED">
        <w:trPr>
          <w:trHeight w:val="294"/>
        </w:trPr>
        <w:tc>
          <w:tcPr>
            <w:cnfStyle w:val="001000000000" w:firstRow="0" w:lastRow="0" w:firstColumn="1" w:lastColumn="0" w:oddVBand="0" w:evenVBand="0" w:oddHBand="0" w:evenHBand="0" w:firstRowFirstColumn="0" w:firstRowLastColumn="0" w:lastRowFirstColumn="0" w:lastRowLastColumn="0"/>
            <w:tcW w:w="2689" w:type="dxa"/>
          </w:tcPr>
          <w:p w14:paraId="5C999A75" w14:textId="77777777" w:rsidR="00CB7716" w:rsidRPr="006E77ED" w:rsidRDefault="00CB7716" w:rsidP="00CB7716">
            <w:pPr>
              <w:rPr>
                <w:b w:val="0"/>
              </w:rPr>
            </w:pPr>
            <w:r w:rsidRPr="006E77ED">
              <w:rPr>
                <w:b w:val="0"/>
              </w:rPr>
              <w:t>Unquantified costs</w:t>
            </w:r>
          </w:p>
        </w:tc>
        <w:tc>
          <w:tcPr>
            <w:tcW w:w="1559" w:type="dxa"/>
          </w:tcPr>
          <w:p w14:paraId="0BC76B59" w14:textId="77777777" w:rsidR="00CB7716" w:rsidRPr="00103604" w:rsidRDefault="00CB7716" w:rsidP="00CB7716">
            <w:pPr>
              <w:cnfStyle w:val="000000000000" w:firstRow="0" w:lastRow="0" w:firstColumn="0" w:lastColumn="0" w:oddVBand="0" w:evenVBand="0" w:oddHBand="0" w:evenHBand="0" w:firstRowFirstColumn="0" w:firstRowLastColumn="0" w:lastRowFirstColumn="0" w:lastRowLastColumn="0"/>
            </w:pPr>
            <w:r w:rsidRPr="00103604">
              <w:t>Industry and consumers</w:t>
            </w:r>
          </w:p>
        </w:tc>
        <w:tc>
          <w:tcPr>
            <w:tcW w:w="4875" w:type="dxa"/>
          </w:tcPr>
          <w:p w14:paraId="7C6DFDEF" w14:textId="77777777" w:rsidR="00CB7716" w:rsidRPr="00103604" w:rsidRDefault="00CB7716" w:rsidP="004E6D96">
            <w:pPr>
              <w:pStyle w:val="ListParagraph"/>
              <w:numPr>
                <w:ilvl w:val="0"/>
                <w:numId w:val="9"/>
              </w:numPr>
              <w:ind w:left="255" w:hanging="255"/>
              <w:cnfStyle w:val="000000000000" w:firstRow="0" w:lastRow="0" w:firstColumn="0" w:lastColumn="0" w:oddVBand="0" w:evenVBand="0" w:oddHBand="0" w:evenHBand="0" w:firstRowFirstColumn="0" w:firstRowLastColumn="0" w:lastRowFirstColumn="0" w:lastRowLastColumn="0"/>
            </w:pPr>
            <w:r>
              <w:t xml:space="preserve">Potential price increases (transferred to consumers partially or fully by businesses having incurred increased costs)* </w:t>
            </w:r>
          </w:p>
        </w:tc>
      </w:tr>
      <w:tr w:rsidR="00CB7716" w:rsidRPr="00103604" w14:paraId="526C3442" w14:textId="77777777" w:rsidTr="006E77ED">
        <w:trPr>
          <w:trHeight w:val="306"/>
        </w:trPr>
        <w:tc>
          <w:tcPr>
            <w:cnfStyle w:val="001000000000" w:firstRow="0" w:lastRow="0" w:firstColumn="1" w:lastColumn="0" w:oddVBand="0" w:evenVBand="0" w:oddHBand="0" w:evenHBand="0" w:firstRowFirstColumn="0" w:firstRowLastColumn="0" w:lastRowFirstColumn="0" w:lastRowLastColumn="0"/>
            <w:tcW w:w="2689" w:type="dxa"/>
            <w:vMerge w:val="restart"/>
          </w:tcPr>
          <w:p w14:paraId="6402CF91" w14:textId="77777777" w:rsidR="00CB7716" w:rsidRPr="006E77ED" w:rsidRDefault="00CB7716" w:rsidP="00CB7716">
            <w:pPr>
              <w:rPr>
                <w:b w:val="0"/>
              </w:rPr>
            </w:pPr>
            <w:r w:rsidRPr="006E77ED">
              <w:rPr>
                <w:b w:val="0"/>
              </w:rPr>
              <w:t>Quantified benefits</w:t>
            </w:r>
          </w:p>
        </w:tc>
        <w:tc>
          <w:tcPr>
            <w:tcW w:w="1559" w:type="dxa"/>
          </w:tcPr>
          <w:p w14:paraId="5AE1D8D2" w14:textId="77777777" w:rsidR="00CB7716" w:rsidRPr="00103604" w:rsidRDefault="00CB7716" w:rsidP="00CB7716">
            <w:pPr>
              <w:cnfStyle w:val="000000000000" w:firstRow="0" w:lastRow="0" w:firstColumn="0" w:lastColumn="0" w:oddVBand="0" w:evenVBand="0" w:oddHBand="0" w:evenHBand="0" w:firstRowFirstColumn="0" w:firstRowLastColumn="0" w:lastRowFirstColumn="0" w:lastRowLastColumn="0"/>
            </w:pPr>
            <w:r w:rsidRPr="00103604">
              <w:t>Consumers</w:t>
            </w:r>
          </w:p>
        </w:tc>
        <w:tc>
          <w:tcPr>
            <w:tcW w:w="4875" w:type="dxa"/>
          </w:tcPr>
          <w:p w14:paraId="2547E6C1" w14:textId="77777777" w:rsidR="00CB7716" w:rsidRPr="00103604" w:rsidRDefault="00CB7716" w:rsidP="004E6D96">
            <w:pPr>
              <w:pStyle w:val="ListParagraph"/>
              <w:numPr>
                <w:ilvl w:val="0"/>
                <w:numId w:val="10"/>
              </w:numPr>
              <w:ind w:left="255" w:hanging="255"/>
              <w:cnfStyle w:val="000000000000" w:firstRow="0" w:lastRow="0" w:firstColumn="0" w:lastColumn="0" w:oddVBand="0" w:evenVBand="0" w:oddHBand="0" w:evenHBand="0" w:firstRowFirstColumn="0" w:firstRowLastColumn="0" w:lastRowFirstColumn="0" w:lastRowLastColumn="0"/>
            </w:pPr>
            <w:r w:rsidRPr="00103604">
              <w:t>Avoided illness</w:t>
            </w:r>
          </w:p>
        </w:tc>
      </w:tr>
      <w:tr w:rsidR="00CB7716" w:rsidRPr="00103604" w14:paraId="654827D0" w14:textId="77777777" w:rsidTr="006E77ED">
        <w:trPr>
          <w:trHeight w:val="306"/>
        </w:trPr>
        <w:tc>
          <w:tcPr>
            <w:cnfStyle w:val="001000000000" w:firstRow="0" w:lastRow="0" w:firstColumn="1" w:lastColumn="0" w:oddVBand="0" w:evenVBand="0" w:oddHBand="0" w:evenHBand="0" w:firstRowFirstColumn="0" w:firstRowLastColumn="0" w:lastRowFirstColumn="0" w:lastRowLastColumn="0"/>
            <w:tcW w:w="2689" w:type="dxa"/>
            <w:vMerge/>
          </w:tcPr>
          <w:p w14:paraId="1C1DA005" w14:textId="77777777" w:rsidR="00CB7716" w:rsidRPr="006E77ED" w:rsidRDefault="00CB7716" w:rsidP="00CB7716">
            <w:pPr>
              <w:rPr>
                <w:b w:val="0"/>
              </w:rPr>
            </w:pPr>
          </w:p>
        </w:tc>
        <w:tc>
          <w:tcPr>
            <w:tcW w:w="1559" w:type="dxa"/>
          </w:tcPr>
          <w:p w14:paraId="3790A3B4" w14:textId="77777777" w:rsidR="00CB7716" w:rsidRPr="00103604" w:rsidRDefault="00CB7716" w:rsidP="00CB7716">
            <w:pPr>
              <w:cnfStyle w:val="000000000000" w:firstRow="0" w:lastRow="0" w:firstColumn="0" w:lastColumn="0" w:oddVBand="0" w:evenVBand="0" w:oddHBand="0" w:evenHBand="0" w:firstRowFirstColumn="0" w:firstRowLastColumn="0" w:lastRowFirstColumn="0" w:lastRowLastColumn="0"/>
            </w:pPr>
            <w:r w:rsidRPr="00103604">
              <w:t>Government</w:t>
            </w:r>
          </w:p>
        </w:tc>
        <w:tc>
          <w:tcPr>
            <w:tcW w:w="4875" w:type="dxa"/>
          </w:tcPr>
          <w:p w14:paraId="42E4F999" w14:textId="77777777" w:rsidR="00CB7716" w:rsidRPr="00103604" w:rsidRDefault="00CB7716" w:rsidP="004E6D96">
            <w:pPr>
              <w:pStyle w:val="ListParagraph"/>
              <w:numPr>
                <w:ilvl w:val="0"/>
                <w:numId w:val="10"/>
              </w:numPr>
              <w:ind w:left="255" w:hanging="255"/>
              <w:cnfStyle w:val="000000000000" w:firstRow="0" w:lastRow="0" w:firstColumn="0" w:lastColumn="0" w:oddVBand="0" w:evenVBand="0" w:oddHBand="0" w:evenHBand="0" w:firstRowFirstColumn="0" w:firstRowLastColumn="0" w:lastRowFirstColumn="0" w:lastRowLastColumn="0"/>
            </w:pPr>
            <w:r w:rsidRPr="00103604">
              <w:t>Avoided health care costs</w:t>
            </w:r>
          </w:p>
        </w:tc>
      </w:tr>
      <w:tr w:rsidR="00CB7716" w:rsidRPr="00103604" w14:paraId="03D5E177" w14:textId="77777777" w:rsidTr="006E77ED">
        <w:trPr>
          <w:trHeight w:val="306"/>
        </w:trPr>
        <w:tc>
          <w:tcPr>
            <w:cnfStyle w:val="001000000000" w:firstRow="0" w:lastRow="0" w:firstColumn="1" w:lastColumn="0" w:oddVBand="0" w:evenVBand="0" w:oddHBand="0" w:evenHBand="0" w:firstRowFirstColumn="0" w:firstRowLastColumn="0" w:lastRowFirstColumn="0" w:lastRowLastColumn="0"/>
            <w:tcW w:w="2689" w:type="dxa"/>
            <w:vMerge w:val="restart"/>
          </w:tcPr>
          <w:p w14:paraId="1C2C5079" w14:textId="77777777" w:rsidR="00CB7716" w:rsidRPr="006E77ED" w:rsidRDefault="00CB7716" w:rsidP="00CB7716">
            <w:pPr>
              <w:rPr>
                <w:b w:val="0"/>
                <w:bCs w:val="0"/>
              </w:rPr>
            </w:pPr>
            <w:r w:rsidRPr="006E77ED">
              <w:rPr>
                <w:b w:val="0"/>
              </w:rPr>
              <w:t>Unquantified benefits</w:t>
            </w:r>
          </w:p>
          <w:p w14:paraId="6B17F9BC" w14:textId="77777777" w:rsidR="00CB7716" w:rsidRPr="006E77ED" w:rsidRDefault="00CB7716" w:rsidP="00CB7716">
            <w:pPr>
              <w:rPr>
                <w:b w:val="0"/>
              </w:rPr>
            </w:pPr>
          </w:p>
        </w:tc>
        <w:tc>
          <w:tcPr>
            <w:tcW w:w="1559" w:type="dxa"/>
          </w:tcPr>
          <w:p w14:paraId="11D4A1F4" w14:textId="77777777" w:rsidR="00CB7716" w:rsidRPr="00103604" w:rsidRDefault="00CB7716" w:rsidP="00CB7716">
            <w:pPr>
              <w:cnfStyle w:val="000000000000" w:firstRow="0" w:lastRow="0" w:firstColumn="0" w:lastColumn="0" w:oddVBand="0" w:evenVBand="0" w:oddHBand="0" w:evenHBand="0" w:firstRowFirstColumn="0" w:firstRowLastColumn="0" w:lastRowFirstColumn="0" w:lastRowLastColumn="0"/>
            </w:pPr>
            <w:r w:rsidRPr="00103604">
              <w:t>Industry</w:t>
            </w:r>
          </w:p>
        </w:tc>
        <w:tc>
          <w:tcPr>
            <w:tcW w:w="4875" w:type="dxa"/>
          </w:tcPr>
          <w:p w14:paraId="2555BC79" w14:textId="77777777" w:rsidR="00CB7716" w:rsidRDefault="00CB7716" w:rsidP="004E6D96">
            <w:pPr>
              <w:pStyle w:val="ListParagraph"/>
              <w:numPr>
                <w:ilvl w:val="0"/>
                <w:numId w:val="8"/>
              </w:numPr>
              <w:ind w:left="255" w:hanging="255"/>
              <w:cnfStyle w:val="000000000000" w:firstRow="0" w:lastRow="0" w:firstColumn="0" w:lastColumn="0" w:oddVBand="0" w:evenVBand="0" w:oddHBand="0" w:evenHBand="0" w:firstRowFirstColumn="0" w:firstRowLastColumn="0" w:lastRowFirstColumn="0" w:lastRowLastColumn="0"/>
            </w:pPr>
            <w:r w:rsidRPr="00103604">
              <w:t>Reduced risk of food safety incidents</w:t>
            </w:r>
          </w:p>
          <w:p w14:paraId="652C3596" w14:textId="77777777" w:rsidR="00CB7716" w:rsidRDefault="00CB7716" w:rsidP="004E6D96">
            <w:pPr>
              <w:pStyle w:val="ListParagraph"/>
              <w:numPr>
                <w:ilvl w:val="0"/>
                <w:numId w:val="8"/>
              </w:numPr>
              <w:ind w:left="255" w:hanging="255"/>
              <w:cnfStyle w:val="000000000000" w:firstRow="0" w:lastRow="0" w:firstColumn="0" w:lastColumn="0" w:oddVBand="0" w:evenVBand="0" w:oddHBand="0" w:evenHBand="0" w:firstRowFirstColumn="0" w:firstRowLastColumn="0" w:lastRowFirstColumn="0" w:lastRowLastColumn="0"/>
            </w:pPr>
            <w:r>
              <w:t xml:space="preserve">Improved </w:t>
            </w:r>
            <w:r w:rsidDel="6DE48210">
              <w:t>capacity</w:t>
            </w:r>
            <w:r>
              <w:t xml:space="preserve"> to manage an incident</w:t>
            </w:r>
          </w:p>
          <w:p w14:paraId="6C10AE34" w14:textId="77777777" w:rsidR="00CB7716" w:rsidRPr="00103604" w:rsidRDefault="00CB7716" w:rsidP="004E6D96">
            <w:pPr>
              <w:pStyle w:val="ListParagraph"/>
              <w:numPr>
                <w:ilvl w:val="0"/>
                <w:numId w:val="8"/>
              </w:numPr>
              <w:ind w:left="255" w:hanging="255"/>
              <w:cnfStyle w:val="000000000000" w:firstRow="0" w:lastRow="0" w:firstColumn="0" w:lastColumn="0" w:oddVBand="0" w:evenVBand="0" w:oddHBand="0" w:evenHBand="0" w:firstRowFirstColumn="0" w:firstRowLastColumn="0" w:lastRowFirstColumn="0" w:lastRowLastColumn="0"/>
            </w:pPr>
            <w:r>
              <w:t>Reduced costs for businesses that operate across multiple jurisdictions</w:t>
            </w:r>
          </w:p>
          <w:p w14:paraId="56F8049D" w14:textId="77777777" w:rsidR="00CB7716" w:rsidRPr="00103604" w:rsidRDefault="00CB7716" w:rsidP="004E6D96">
            <w:pPr>
              <w:pStyle w:val="ListParagraph"/>
              <w:numPr>
                <w:ilvl w:val="0"/>
                <w:numId w:val="8"/>
              </w:numPr>
              <w:ind w:left="255" w:hanging="255"/>
              <w:cnfStyle w:val="000000000000" w:firstRow="0" w:lastRow="0" w:firstColumn="0" w:lastColumn="0" w:oddVBand="0" w:evenVBand="0" w:oddHBand="0" w:evenHBand="0" w:firstRowFirstColumn="0" w:firstRowLastColumn="0" w:lastRowFirstColumn="0" w:lastRowLastColumn="0"/>
            </w:pPr>
            <w:r w:rsidRPr="00103604">
              <w:t>Reduced risks of market damage caused by others</w:t>
            </w:r>
          </w:p>
        </w:tc>
      </w:tr>
      <w:tr w:rsidR="00CB7716" w:rsidRPr="00103604" w14:paraId="301A8F91" w14:textId="77777777" w:rsidTr="006E77ED">
        <w:trPr>
          <w:trHeight w:val="306"/>
        </w:trPr>
        <w:tc>
          <w:tcPr>
            <w:cnfStyle w:val="001000000000" w:firstRow="0" w:lastRow="0" w:firstColumn="1" w:lastColumn="0" w:oddVBand="0" w:evenVBand="0" w:oddHBand="0" w:evenHBand="0" w:firstRowFirstColumn="0" w:firstRowLastColumn="0" w:lastRowFirstColumn="0" w:lastRowLastColumn="0"/>
            <w:tcW w:w="2689" w:type="dxa"/>
            <w:vMerge/>
          </w:tcPr>
          <w:p w14:paraId="3F375152" w14:textId="77777777" w:rsidR="00CB7716" w:rsidRPr="00103604" w:rsidRDefault="00CB7716" w:rsidP="00CB7716">
            <w:pPr>
              <w:rPr>
                <w:b w:val="0"/>
              </w:rPr>
            </w:pPr>
          </w:p>
        </w:tc>
        <w:tc>
          <w:tcPr>
            <w:tcW w:w="1559" w:type="dxa"/>
          </w:tcPr>
          <w:p w14:paraId="48378E61" w14:textId="77777777" w:rsidR="00CB7716" w:rsidRPr="00103604" w:rsidRDefault="00CB7716" w:rsidP="00CB7716">
            <w:pPr>
              <w:cnfStyle w:val="000000000000" w:firstRow="0" w:lastRow="0" w:firstColumn="0" w:lastColumn="0" w:oddVBand="0" w:evenVBand="0" w:oddHBand="0" w:evenHBand="0" w:firstRowFirstColumn="0" w:firstRowLastColumn="0" w:lastRowFirstColumn="0" w:lastRowLastColumn="0"/>
            </w:pPr>
            <w:r w:rsidRPr="00103604">
              <w:t>Government</w:t>
            </w:r>
          </w:p>
        </w:tc>
        <w:tc>
          <w:tcPr>
            <w:tcW w:w="4875" w:type="dxa"/>
          </w:tcPr>
          <w:p w14:paraId="165E060B" w14:textId="77777777" w:rsidR="00CB7716" w:rsidRPr="00103604" w:rsidRDefault="00CB7716" w:rsidP="004E6D96">
            <w:pPr>
              <w:pStyle w:val="ListParagraph"/>
              <w:numPr>
                <w:ilvl w:val="0"/>
                <w:numId w:val="11"/>
              </w:numPr>
              <w:ind w:left="255" w:hanging="255"/>
              <w:cnfStyle w:val="000000000000" w:firstRow="0" w:lastRow="0" w:firstColumn="0" w:lastColumn="0" w:oddVBand="0" w:evenVBand="0" w:oddHBand="0" w:evenHBand="0" w:firstRowFirstColumn="0" w:firstRowLastColumn="0" w:lastRowFirstColumn="0" w:lastRowLastColumn="0"/>
            </w:pPr>
            <w:r>
              <w:t xml:space="preserve">Improved </w:t>
            </w:r>
            <w:r w:rsidDel="6DE48210">
              <w:t>capacity</w:t>
            </w:r>
            <w:r>
              <w:t xml:space="preserve"> to manage an incident</w:t>
            </w:r>
          </w:p>
        </w:tc>
      </w:tr>
      <w:tr w:rsidR="00CB7716" w:rsidRPr="00103604" w14:paraId="61F97355" w14:textId="77777777" w:rsidTr="006E77ED">
        <w:trPr>
          <w:trHeight w:val="306"/>
        </w:trPr>
        <w:tc>
          <w:tcPr>
            <w:cnfStyle w:val="001000000000" w:firstRow="0" w:lastRow="0" w:firstColumn="1" w:lastColumn="0" w:oddVBand="0" w:evenVBand="0" w:oddHBand="0" w:evenHBand="0" w:firstRowFirstColumn="0" w:firstRowLastColumn="0" w:lastRowFirstColumn="0" w:lastRowLastColumn="0"/>
            <w:tcW w:w="2689" w:type="dxa"/>
            <w:vMerge/>
          </w:tcPr>
          <w:p w14:paraId="060270AA" w14:textId="77777777" w:rsidR="00CB7716" w:rsidRPr="00103604" w:rsidRDefault="00CB7716" w:rsidP="00CB7716">
            <w:pPr>
              <w:rPr>
                <w:b w:val="0"/>
              </w:rPr>
            </w:pPr>
          </w:p>
        </w:tc>
        <w:tc>
          <w:tcPr>
            <w:tcW w:w="1559" w:type="dxa"/>
          </w:tcPr>
          <w:p w14:paraId="26A8EC12" w14:textId="77777777" w:rsidR="00CB7716" w:rsidRPr="00103604" w:rsidRDefault="00CB7716" w:rsidP="00CB7716">
            <w:pPr>
              <w:cnfStyle w:val="000000000000" w:firstRow="0" w:lastRow="0" w:firstColumn="0" w:lastColumn="0" w:oddVBand="0" w:evenVBand="0" w:oddHBand="0" w:evenHBand="0" w:firstRowFirstColumn="0" w:firstRowLastColumn="0" w:lastRowFirstColumn="0" w:lastRowLastColumn="0"/>
            </w:pPr>
            <w:r>
              <w:t>Consumers</w:t>
            </w:r>
          </w:p>
        </w:tc>
        <w:tc>
          <w:tcPr>
            <w:tcW w:w="4875" w:type="dxa"/>
          </w:tcPr>
          <w:p w14:paraId="39753EDD" w14:textId="77777777" w:rsidR="00CB7716" w:rsidRPr="00103604" w:rsidRDefault="00CB7716" w:rsidP="004E6D96">
            <w:pPr>
              <w:pStyle w:val="ListParagraph"/>
              <w:numPr>
                <w:ilvl w:val="0"/>
                <w:numId w:val="11"/>
              </w:numPr>
              <w:ind w:left="255" w:hanging="255"/>
              <w:cnfStyle w:val="000000000000" w:firstRow="0" w:lastRow="0" w:firstColumn="0" w:lastColumn="0" w:oddVBand="0" w:evenVBand="0" w:oddHBand="0" w:evenHBand="0" w:firstRowFirstColumn="0" w:firstRowLastColumn="0" w:lastRowFirstColumn="0" w:lastRowLastColumn="0"/>
            </w:pPr>
            <w:r>
              <w:t>Potentially higher quality food with enhanced attributed that extend beyond safety</w:t>
            </w:r>
          </w:p>
        </w:tc>
      </w:tr>
    </w:tbl>
    <w:p w14:paraId="39CA75EC" w14:textId="77777777" w:rsidR="00CB7716" w:rsidRPr="00FA1FA0" w:rsidRDefault="00CB7716" w:rsidP="00CB7716">
      <w:pPr>
        <w:pStyle w:val="Default"/>
        <w:rPr>
          <w:rFonts w:ascii="Arial" w:hAnsi="Arial" w:cs="Arial"/>
          <w:sz w:val="22"/>
          <w:szCs w:val="22"/>
        </w:rPr>
      </w:pPr>
      <w:r w:rsidRPr="00FA1FA0">
        <w:rPr>
          <w:rFonts w:ascii="Arial" w:hAnsi="Arial" w:cs="Arial"/>
          <w:sz w:val="20"/>
          <w:szCs w:val="20"/>
        </w:rPr>
        <w:t>*If these are passed-on costs, we took care not to double count them. However, they could have second round behavioural impacts on consumers, such as increased demand if they perceive food to be safer.</w:t>
      </w:r>
      <w:r w:rsidRPr="00FA1FA0">
        <w:rPr>
          <w:rFonts w:ascii="Arial" w:hAnsi="Arial" w:cs="Arial"/>
          <w:sz w:val="22"/>
          <w:szCs w:val="22"/>
        </w:rPr>
        <w:t xml:space="preserve"> </w:t>
      </w:r>
    </w:p>
    <w:p w14:paraId="271AA3BF" w14:textId="77777777" w:rsidR="00CB7716" w:rsidRPr="008C7177" w:rsidRDefault="00CB7716" w:rsidP="0025246D">
      <w:pPr>
        <w:pStyle w:val="Heading4"/>
        <w:numPr>
          <w:ilvl w:val="0"/>
          <w:numId w:val="0"/>
        </w:numPr>
        <w:ind w:left="864" w:hanging="864"/>
      </w:pPr>
      <w:bookmarkStart w:id="110" w:name="_Toc107412695"/>
      <w:r w:rsidRPr="008C7177">
        <w:t>4.</w:t>
      </w:r>
      <w:r>
        <w:t>5.2</w:t>
      </w:r>
      <w:r>
        <w:tab/>
        <w:t>Sub-o</w:t>
      </w:r>
      <w:r w:rsidRPr="008C7177">
        <w:t>ptions within option 3</w:t>
      </w:r>
      <w:bookmarkEnd w:id="110"/>
    </w:p>
    <w:p w14:paraId="44089507" w14:textId="429702C7" w:rsidR="00CB7716" w:rsidRDefault="00CB7716" w:rsidP="00B67B69">
      <w:pPr>
        <w:spacing w:after="240"/>
      </w:pPr>
      <w:r>
        <w:t>In the cost–benefit analysis we considered the sub-options:</w:t>
      </w:r>
    </w:p>
    <w:p w14:paraId="184A01B1" w14:textId="77777777" w:rsidR="00CB7716" w:rsidRDefault="00CB7716" w:rsidP="00B67B69">
      <w:pPr>
        <w:spacing w:after="240"/>
      </w:pPr>
      <w:r>
        <w:rPr>
          <w:b/>
        </w:rPr>
        <w:t>Option 3.1</w:t>
      </w:r>
      <w:r w:rsidRPr="00354C94">
        <w:rPr>
          <w:b/>
        </w:rPr>
        <w:t>:</w:t>
      </w:r>
      <w:r>
        <w:t xml:space="preserve"> Requiring a certified FSS and food handler staff to complete FHT</w:t>
      </w:r>
    </w:p>
    <w:p w14:paraId="6A2F961A" w14:textId="77777777" w:rsidR="00CB7716" w:rsidRDefault="00CB7716" w:rsidP="00B67B69">
      <w:pPr>
        <w:spacing w:after="240"/>
      </w:pPr>
      <w:r w:rsidRPr="68C0CA2D">
        <w:rPr>
          <w:b/>
          <w:bCs/>
        </w:rPr>
        <w:t xml:space="preserve">Option 3.2: </w:t>
      </w:r>
      <w:r>
        <w:t xml:space="preserve">All three tools (FSS, FHT, </w:t>
      </w:r>
      <w:proofErr w:type="gramStart"/>
      <w:r>
        <w:t>E</w:t>
      </w:r>
      <w:proofErr w:type="gramEnd"/>
      <w:r>
        <w:t>).</w:t>
      </w:r>
    </w:p>
    <w:p w14:paraId="3E9E4321" w14:textId="42E027A8" w:rsidR="00CB7716" w:rsidRDefault="00CB7716" w:rsidP="00B67B69">
      <w:pPr>
        <w:spacing w:after="240"/>
      </w:pPr>
      <w:r>
        <w:t>To simplify the analysis, only Category 1 and Category 2 businesses are presented in this section. Category 3 businesses have not been included as we have no foodborne illness data to link outbreaks to this setting</w:t>
      </w:r>
      <w:r w:rsidRPr="68C0CA2D">
        <w:rPr>
          <w:rFonts w:cs="Arial"/>
          <w:lang w:val="en-AU"/>
        </w:rPr>
        <w:t xml:space="preserve">. Therefore, there is no threshold to directly evaluate a benefit </w:t>
      </w:r>
      <w:r>
        <w:t>if applying any regulatory interventions in this category. Details of the assumption made in this analysis are provided in Appendix 1.</w:t>
      </w:r>
    </w:p>
    <w:p w14:paraId="2CA5DBE6" w14:textId="131EAEFD" w:rsidR="00A94813" w:rsidRDefault="00CB7716" w:rsidP="00B67B69">
      <w:pPr>
        <w:spacing w:after="240"/>
      </w:pPr>
      <w:r>
        <w:t>The net benefits of options 3.1 and 3.2 have been calculated over a ten-year period for both Category 1 and Category 2 businesses (Table 8). In this calculation, we estimated the costs to businesses against the net benefit in reduced foodborne illness associated with food service and retail sectors. An annual discount rate of 7% was applied as per the recommendation of the Offic</w:t>
      </w:r>
      <w:r w:rsidR="00B67B69">
        <w:t xml:space="preserve">e of Best Practice Regulation. </w:t>
      </w:r>
    </w:p>
    <w:p w14:paraId="133CD3AA" w14:textId="77777777" w:rsidR="00CB7716" w:rsidRPr="00536BB8" w:rsidRDefault="00CB7716" w:rsidP="00CB7716">
      <w:pPr>
        <w:pStyle w:val="Caption"/>
        <w:keepNext/>
        <w:rPr>
          <w:b/>
          <w:color w:val="auto"/>
          <w:sz w:val="20"/>
          <w:szCs w:val="20"/>
        </w:rPr>
      </w:pPr>
      <w:r w:rsidRPr="00536BB8">
        <w:rPr>
          <w:b/>
          <w:color w:val="auto"/>
          <w:sz w:val="20"/>
          <w:szCs w:val="20"/>
        </w:rPr>
        <w:t>Table 8: Output of cost–benefit analysis</w:t>
      </w:r>
    </w:p>
    <w:tbl>
      <w:tblPr>
        <w:tblStyle w:val="ListTable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5"/>
        <w:gridCol w:w="3005"/>
        <w:gridCol w:w="3006"/>
      </w:tblGrid>
      <w:tr w:rsidR="00CB7716" w:rsidRPr="00522745" w14:paraId="5E51E06C" w14:textId="77777777" w:rsidTr="006E77E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5" w:type="dxa"/>
            <w:shd w:val="clear" w:color="auto" w:fill="DDD9C3" w:themeFill="background2" w:themeFillShade="E6"/>
          </w:tcPr>
          <w:p w14:paraId="1F90E5D8" w14:textId="77777777" w:rsidR="00CB7716" w:rsidRPr="006E77ED" w:rsidRDefault="00CB7716" w:rsidP="00CB7716">
            <w:pPr>
              <w:spacing w:after="85"/>
              <w:jc w:val="center"/>
              <w:rPr>
                <w:color w:val="auto"/>
              </w:rPr>
            </w:pPr>
            <w:r w:rsidRPr="006E77ED">
              <w:rPr>
                <w:color w:val="auto"/>
              </w:rPr>
              <w:t>Option</w:t>
            </w:r>
          </w:p>
        </w:tc>
        <w:tc>
          <w:tcPr>
            <w:tcW w:w="3005" w:type="dxa"/>
            <w:shd w:val="clear" w:color="auto" w:fill="DDD9C3" w:themeFill="background2" w:themeFillShade="E6"/>
          </w:tcPr>
          <w:p w14:paraId="14CE5515" w14:textId="77777777" w:rsidR="00CB7716" w:rsidRPr="006E77ED" w:rsidRDefault="00CB7716" w:rsidP="00CB7716">
            <w:pPr>
              <w:spacing w:after="85"/>
              <w:jc w:val="center"/>
              <w:cnfStyle w:val="100000000000" w:firstRow="1" w:lastRow="0" w:firstColumn="0" w:lastColumn="0" w:oddVBand="0" w:evenVBand="0" w:oddHBand="0" w:evenHBand="0" w:firstRowFirstColumn="0" w:firstRowLastColumn="0" w:lastRowFirstColumn="0" w:lastRowLastColumn="0"/>
              <w:rPr>
                <w:color w:val="auto"/>
              </w:rPr>
            </w:pPr>
            <w:r w:rsidRPr="006E77ED">
              <w:rPr>
                <w:color w:val="auto"/>
              </w:rPr>
              <w:t>Business category</w:t>
            </w:r>
          </w:p>
        </w:tc>
        <w:tc>
          <w:tcPr>
            <w:tcW w:w="3006" w:type="dxa"/>
            <w:shd w:val="clear" w:color="auto" w:fill="DDD9C3" w:themeFill="background2" w:themeFillShade="E6"/>
          </w:tcPr>
          <w:p w14:paraId="4AA2B04A" w14:textId="77777777" w:rsidR="00CB7716" w:rsidRPr="006E77ED" w:rsidRDefault="00CB7716" w:rsidP="00CB7716">
            <w:pPr>
              <w:spacing w:after="85"/>
              <w:jc w:val="center"/>
              <w:cnfStyle w:val="100000000000" w:firstRow="1" w:lastRow="0" w:firstColumn="0" w:lastColumn="0" w:oddVBand="0" w:evenVBand="0" w:oddHBand="0" w:evenHBand="0" w:firstRowFirstColumn="0" w:firstRowLastColumn="0" w:lastRowFirstColumn="0" w:lastRowLastColumn="0"/>
              <w:rPr>
                <w:color w:val="auto"/>
              </w:rPr>
            </w:pPr>
            <w:r w:rsidRPr="006E77ED">
              <w:rPr>
                <w:color w:val="auto"/>
              </w:rPr>
              <w:t>Net benefit over 10 years at 7% discount</w:t>
            </w:r>
          </w:p>
        </w:tc>
      </w:tr>
      <w:tr w:rsidR="006E77ED" w:rsidRPr="00E81357" w14:paraId="43B3D742" w14:textId="77777777" w:rsidTr="006E77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5" w:type="dxa"/>
            <w:vMerge w:val="restart"/>
            <w:shd w:val="clear" w:color="auto" w:fill="B8CCE4" w:themeFill="accent1" w:themeFillTint="66"/>
          </w:tcPr>
          <w:p w14:paraId="061B6B66" w14:textId="77777777" w:rsidR="006E77ED" w:rsidRDefault="006E77ED" w:rsidP="00CB7716">
            <w:pPr>
              <w:spacing w:after="85"/>
              <w:jc w:val="center"/>
            </w:pPr>
            <w:r>
              <w:t>3.1</w:t>
            </w:r>
          </w:p>
        </w:tc>
        <w:tc>
          <w:tcPr>
            <w:tcW w:w="3005" w:type="dxa"/>
            <w:shd w:val="clear" w:color="auto" w:fill="auto"/>
          </w:tcPr>
          <w:p w14:paraId="64F3EB90" w14:textId="77777777" w:rsidR="006E77ED" w:rsidRDefault="006E77ED" w:rsidP="00CB7716">
            <w:pPr>
              <w:spacing w:after="85"/>
              <w:jc w:val="center"/>
              <w:cnfStyle w:val="000000100000" w:firstRow="0" w:lastRow="0" w:firstColumn="0" w:lastColumn="0" w:oddVBand="0" w:evenVBand="0" w:oddHBand="1" w:evenHBand="0" w:firstRowFirstColumn="0" w:firstRowLastColumn="0" w:lastRowFirstColumn="0" w:lastRowLastColumn="0"/>
            </w:pPr>
            <w:r>
              <w:t>Category 1</w:t>
            </w:r>
          </w:p>
        </w:tc>
        <w:tc>
          <w:tcPr>
            <w:tcW w:w="3006" w:type="dxa"/>
            <w:shd w:val="clear" w:color="auto" w:fill="auto"/>
            <w:vAlign w:val="center"/>
          </w:tcPr>
          <w:p w14:paraId="7CA0E666" w14:textId="7B2CD7DF" w:rsidR="006E77ED" w:rsidRPr="00E81357" w:rsidRDefault="006E77ED" w:rsidP="00CB771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themeColor="text1"/>
              </w:rPr>
              <w:t xml:space="preserve"> </w:t>
            </w:r>
            <w:r w:rsidRPr="68C0CA2D">
              <w:rPr>
                <w:rFonts w:ascii="Calibri" w:hAnsi="Calibri" w:cs="Calibri"/>
                <w:color w:val="000000" w:themeColor="text1"/>
              </w:rPr>
              <w:t>$681,116,</w:t>
            </w:r>
            <w:r w:rsidRPr="48861835">
              <w:rPr>
                <w:rFonts w:ascii="Calibri" w:hAnsi="Calibri" w:cs="Calibri"/>
                <w:color w:val="000000" w:themeColor="text1"/>
              </w:rPr>
              <w:t>675</w:t>
            </w:r>
            <w:r w:rsidRPr="68C0CA2D">
              <w:rPr>
                <w:rFonts w:ascii="Calibri" w:hAnsi="Calibri" w:cs="Calibri"/>
                <w:color w:val="000000" w:themeColor="text1"/>
              </w:rPr>
              <w:t xml:space="preserve"> </w:t>
            </w:r>
          </w:p>
        </w:tc>
      </w:tr>
      <w:tr w:rsidR="006E77ED" w:rsidRPr="00F743DB" w14:paraId="7E4EE9C8" w14:textId="77777777" w:rsidTr="006E77ED">
        <w:tc>
          <w:tcPr>
            <w:cnfStyle w:val="001000000000" w:firstRow="0" w:lastRow="0" w:firstColumn="1" w:lastColumn="0" w:oddVBand="0" w:evenVBand="0" w:oddHBand="0" w:evenHBand="0" w:firstRowFirstColumn="0" w:firstRowLastColumn="0" w:lastRowFirstColumn="0" w:lastRowLastColumn="0"/>
            <w:tcW w:w="3005" w:type="dxa"/>
            <w:vMerge/>
            <w:shd w:val="clear" w:color="auto" w:fill="B8CCE4" w:themeFill="accent1" w:themeFillTint="66"/>
          </w:tcPr>
          <w:p w14:paraId="6555D0B9" w14:textId="77777777" w:rsidR="006E77ED" w:rsidRDefault="006E77ED" w:rsidP="00CB7716">
            <w:pPr>
              <w:spacing w:after="85"/>
              <w:jc w:val="right"/>
            </w:pPr>
          </w:p>
        </w:tc>
        <w:tc>
          <w:tcPr>
            <w:tcW w:w="3005" w:type="dxa"/>
            <w:shd w:val="clear" w:color="auto" w:fill="D9D9D9" w:themeFill="background1" w:themeFillShade="D9"/>
          </w:tcPr>
          <w:p w14:paraId="28352991" w14:textId="77777777" w:rsidR="006E77ED" w:rsidRDefault="006E77ED" w:rsidP="00CB7716">
            <w:pPr>
              <w:spacing w:after="85"/>
              <w:jc w:val="center"/>
              <w:cnfStyle w:val="000000000000" w:firstRow="0" w:lastRow="0" w:firstColumn="0" w:lastColumn="0" w:oddVBand="0" w:evenVBand="0" w:oddHBand="0" w:evenHBand="0" w:firstRowFirstColumn="0" w:firstRowLastColumn="0" w:lastRowFirstColumn="0" w:lastRowLastColumn="0"/>
            </w:pPr>
            <w:r>
              <w:t>Category 2</w:t>
            </w:r>
          </w:p>
        </w:tc>
        <w:tc>
          <w:tcPr>
            <w:tcW w:w="3006" w:type="dxa"/>
            <w:shd w:val="clear" w:color="auto" w:fill="D9D9D9" w:themeFill="background1" w:themeFillShade="D9"/>
            <w:vAlign w:val="center"/>
          </w:tcPr>
          <w:p w14:paraId="1A8869C8" w14:textId="5574662C" w:rsidR="006E77ED" w:rsidRPr="00F743DB" w:rsidRDefault="006E77ED" w:rsidP="00CB771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themeColor="text1"/>
              </w:rPr>
              <w:t xml:space="preserve"> </w:t>
            </w:r>
            <w:r w:rsidRPr="68C0CA2D">
              <w:rPr>
                <w:rFonts w:ascii="Calibri" w:hAnsi="Calibri" w:cs="Calibri"/>
                <w:color w:val="000000" w:themeColor="text1"/>
              </w:rPr>
              <w:t>$66,642,</w:t>
            </w:r>
            <w:r w:rsidRPr="48861835">
              <w:rPr>
                <w:rFonts w:ascii="Calibri" w:hAnsi="Calibri" w:cs="Calibri"/>
                <w:color w:val="000000" w:themeColor="text1"/>
              </w:rPr>
              <w:t>919</w:t>
            </w:r>
            <w:r w:rsidRPr="68C0CA2D">
              <w:rPr>
                <w:rFonts w:ascii="Calibri" w:hAnsi="Calibri" w:cs="Calibri"/>
                <w:color w:val="000000" w:themeColor="text1"/>
              </w:rPr>
              <w:t xml:space="preserve"> </w:t>
            </w:r>
          </w:p>
        </w:tc>
      </w:tr>
      <w:tr w:rsidR="006E77ED" w:rsidRPr="00F743DB" w14:paraId="4D0CEBBF" w14:textId="77777777" w:rsidTr="006E77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5" w:type="dxa"/>
            <w:vMerge w:val="restart"/>
            <w:shd w:val="clear" w:color="auto" w:fill="FBD4B4" w:themeFill="accent6" w:themeFillTint="66"/>
          </w:tcPr>
          <w:p w14:paraId="346B8C7A" w14:textId="77777777" w:rsidR="006E77ED" w:rsidRDefault="006E77ED" w:rsidP="00CB7716">
            <w:pPr>
              <w:spacing w:after="85"/>
              <w:jc w:val="center"/>
            </w:pPr>
            <w:r>
              <w:t>3.2</w:t>
            </w:r>
          </w:p>
        </w:tc>
        <w:tc>
          <w:tcPr>
            <w:tcW w:w="3005" w:type="dxa"/>
            <w:shd w:val="clear" w:color="auto" w:fill="auto"/>
          </w:tcPr>
          <w:p w14:paraId="1CF8F0AD" w14:textId="77777777" w:rsidR="006E77ED" w:rsidRDefault="006E77ED" w:rsidP="00CB7716">
            <w:pPr>
              <w:spacing w:after="85"/>
              <w:jc w:val="center"/>
              <w:cnfStyle w:val="000000100000" w:firstRow="0" w:lastRow="0" w:firstColumn="0" w:lastColumn="0" w:oddVBand="0" w:evenVBand="0" w:oddHBand="1" w:evenHBand="0" w:firstRowFirstColumn="0" w:firstRowLastColumn="0" w:lastRowFirstColumn="0" w:lastRowLastColumn="0"/>
            </w:pPr>
            <w:r>
              <w:t>Category 1</w:t>
            </w:r>
          </w:p>
        </w:tc>
        <w:tc>
          <w:tcPr>
            <w:tcW w:w="3006" w:type="dxa"/>
            <w:shd w:val="clear" w:color="auto" w:fill="auto"/>
            <w:vAlign w:val="center"/>
          </w:tcPr>
          <w:p w14:paraId="1535D3D9" w14:textId="5BCE571E" w:rsidR="006E77ED" w:rsidRPr="00F743DB" w:rsidRDefault="006E77ED" w:rsidP="00CB771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themeColor="text1"/>
              </w:rPr>
              <w:t xml:space="preserve"> </w:t>
            </w:r>
            <w:r w:rsidRPr="68C0CA2D">
              <w:rPr>
                <w:rFonts w:ascii="Calibri" w:hAnsi="Calibri" w:cs="Calibri"/>
                <w:color w:val="000000" w:themeColor="text1"/>
              </w:rPr>
              <w:t>$621,539,</w:t>
            </w:r>
            <w:r w:rsidRPr="48861835">
              <w:rPr>
                <w:rFonts w:ascii="Calibri" w:hAnsi="Calibri" w:cs="Calibri"/>
                <w:color w:val="000000" w:themeColor="text1"/>
              </w:rPr>
              <w:t>085</w:t>
            </w:r>
            <w:r w:rsidRPr="68C0CA2D">
              <w:rPr>
                <w:rFonts w:ascii="Calibri" w:hAnsi="Calibri" w:cs="Calibri"/>
                <w:color w:val="000000" w:themeColor="text1"/>
              </w:rPr>
              <w:t xml:space="preserve"> </w:t>
            </w:r>
          </w:p>
        </w:tc>
      </w:tr>
      <w:tr w:rsidR="006E77ED" w:rsidRPr="00F743DB" w14:paraId="7B5B0E98" w14:textId="77777777" w:rsidTr="006E77ED">
        <w:tc>
          <w:tcPr>
            <w:cnfStyle w:val="001000000000" w:firstRow="0" w:lastRow="0" w:firstColumn="1" w:lastColumn="0" w:oddVBand="0" w:evenVBand="0" w:oddHBand="0" w:evenHBand="0" w:firstRowFirstColumn="0" w:firstRowLastColumn="0" w:lastRowFirstColumn="0" w:lastRowLastColumn="0"/>
            <w:tcW w:w="3005" w:type="dxa"/>
            <w:vMerge/>
            <w:shd w:val="clear" w:color="auto" w:fill="FBD4B4" w:themeFill="accent6" w:themeFillTint="66"/>
          </w:tcPr>
          <w:p w14:paraId="03BCD5E8" w14:textId="77777777" w:rsidR="006E77ED" w:rsidRDefault="006E77ED" w:rsidP="00CB7716">
            <w:pPr>
              <w:spacing w:after="85"/>
              <w:jc w:val="center"/>
            </w:pPr>
          </w:p>
        </w:tc>
        <w:tc>
          <w:tcPr>
            <w:tcW w:w="3005" w:type="dxa"/>
            <w:shd w:val="clear" w:color="auto" w:fill="D9D9D9" w:themeFill="background1" w:themeFillShade="D9"/>
          </w:tcPr>
          <w:p w14:paraId="7E66DEBF" w14:textId="77777777" w:rsidR="006E77ED" w:rsidRDefault="006E77ED" w:rsidP="00CB7716">
            <w:pPr>
              <w:spacing w:after="85"/>
              <w:jc w:val="center"/>
              <w:cnfStyle w:val="000000000000" w:firstRow="0" w:lastRow="0" w:firstColumn="0" w:lastColumn="0" w:oddVBand="0" w:evenVBand="0" w:oddHBand="0" w:evenHBand="0" w:firstRowFirstColumn="0" w:firstRowLastColumn="0" w:lastRowFirstColumn="0" w:lastRowLastColumn="0"/>
            </w:pPr>
            <w:r>
              <w:t>Category 2</w:t>
            </w:r>
          </w:p>
        </w:tc>
        <w:tc>
          <w:tcPr>
            <w:tcW w:w="3006" w:type="dxa"/>
            <w:shd w:val="clear" w:color="auto" w:fill="D9D9D9" w:themeFill="background1" w:themeFillShade="D9"/>
            <w:vAlign w:val="center"/>
          </w:tcPr>
          <w:p w14:paraId="4B7C51CD" w14:textId="4E008116" w:rsidR="006E77ED" w:rsidRPr="00F743DB" w:rsidRDefault="006E77ED" w:rsidP="00CB771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themeColor="text1"/>
              </w:rPr>
              <w:t xml:space="preserve"> </w:t>
            </w:r>
            <w:r w:rsidRPr="68C0CA2D">
              <w:rPr>
                <w:rFonts w:ascii="Calibri" w:hAnsi="Calibri" w:cs="Calibri"/>
                <w:color w:val="000000" w:themeColor="text1"/>
              </w:rPr>
              <w:t>$111,918,</w:t>
            </w:r>
            <w:r w:rsidRPr="48861835">
              <w:rPr>
                <w:rFonts w:ascii="Calibri" w:hAnsi="Calibri" w:cs="Calibri"/>
                <w:color w:val="000000" w:themeColor="text1"/>
              </w:rPr>
              <w:t>638</w:t>
            </w:r>
          </w:p>
        </w:tc>
      </w:tr>
    </w:tbl>
    <w:p w14:paraId="6F4BD759" w14:textId="77777777" w:rsidR="00CB7716" w:rsidRDefault="00CB7716" w:rsidP="00CB7716"/>
    <w:p w14:paraId="4B917488" w14:textId="77777777" w:rsidR="00CB7716" w:rsidRDefault="00CB7716" w:rsidP="00B67B69">
      <w:pPr>
        <w:spacing w:after="240"/>
      </w:pPr>
      <w:r>
        <w:t xml:space="preserve">The modelling shows we can expect strong net benefits for both options. </w:t>
      </w:r>
    </w:p>
    <w:p w14:paraId="26306158" w14:textId="676C8B35" w:rsidR="00CB7716" w:rsidRDefault="00CB7716" w:rsidP="00B67B69">
      <w:pPr>
        <w:spacing w:after="240"/>
      </w:pPr>
      <w:r>
        <w:t xml:space="preserve">This economic modelling is sensitive to several variables including the efficacy of the intervention, estimated number of illness cases and the cost of those illnesses. We note these variables each have a level of uncertainty but are the best estimate at this point in time. </w:t>
      </w:r>
    </w:p>
    <w:p w14:paraId="291341F0" w14:textId="70862522" w:rsidR="00CB7716" w:rsidRDefault="00CB7716" w:rsidP="00B67B69">
      <w:pPr>
        <w:spacing w:after="240"/>
      </w:pPr>
      <w:r>
        <w:t xml:space="preserve">The foodborne illness cost estimates represent a significant increase to those previously estimated circa 2010 (by Kirk et al., 2014). This is a result of an increase in the estimated number of illnesses due to several factors outlined in our cost–benefit analysis (Appendix 1). We have taken a conservative approach to estimating efficacy of our interventions, and it is likely that a greater reduction in foodborne illness could be achieved. </w:t>
      </w:r>
    </w:p>
    <w:p w14:paraId="62D56D47" w14:textId="59D1793B" w:rsidR="00CB7716" w:rsidRDefault="00CB7716" w:rsidP="00B67B69">
      <w:pPr>
        <w:spacing w:after="240"/>
      </w:pPr>
      <w:r>
        <w:t>In addition to the cost–benefit analysis, the appropriateness of each tool was also considered rather than relying solely on the outputs of mathematical models. Appropriateness considers whether the regulatory tools are sustainable and effectively implemented in the relevant sectors. The option that appears to produce the largest net benefit may not be the most appropriate in the ‘real world’ where an alternative option exists that fits better with the capabilities and resources of industry and regulators. These broader factors are included in the multi-criteria analysis (</w:t>
      </w:r>
      <w:r w:rsidRPr="00AB76DF">
        <w:t xml:space="preserve">see </w:t>
      </w:r>
      <w:r>
        <w:t>Table 9</w:t>
      </w:r>
      <w:r w:rsidRPr="00AB76DF">
        <w:t xml:space="preserve"> below</w:t>
      </w:r>
      <w:r>
        <w:t>)</w:t>
      </w:r>
      <w:r w:rsidRPr="00A94813">
        <w:footnoteReference w:id="28"/>
      </w:r>
      <w:r>
        <w:t>.</w:t>
      </w:r>
    </w:p>
    <w:p w14:paraId="30CE1582" w14:textId="77777777" w:rsidR="00CB7716" w:rsidRPr="00A94813" w:rsidRDefault="00CB7716" w:rsidP="00B67B69">
      <w:pPr>
        <w:spacing w:after="240"/>
      </w:pPr>
      <w:r w:rsidRPr="00A94813">
        <w:t xml:space="preserve">For the unquantified impacts listed in Table 7, on balance, the majority of these impacts are estimated to likely further increase the net benefit. The expected benefits arising from less foodborne outbreaks attributed to businesses may also accrue not only to the businesses directly involved in an incident but the entire industry. Where consumers associate an incident with a whole class of businesses, there is potential for those consumers to temporarily avoid buying food from across that sector. </w:t>
      </w:r>
    </w:p>
    <w:p w14:paraId="6517B7B5" w14:textId="77777777" w:rsidR="00CB7716" w:rsidRPr="00536BB8" w:rsidRDefault="00CB7716" w:rsidP="00CB7716">
      <w:pPr>
        <w:pStyle w:val="Caption"/>
        <w:keepNext/>
        <w:rPr>
          <w:b/>
          <w:color w:val="auto"/>
          <w:sz w:val="20"/>
          <w:szCs w:val="20"/>
        </w:rPr>
      </w:pPr>
      <w:r w:rsidRPr="00536BB8">
        <w:rPr>
          <w:b/>
          <w:color w:val="auto"/>
          <w:sz w:val="20"/>
          <w:szCs w:val="20"/>
        </w:rPr>
        <w:t>Table 9: Multi-criteria analysis</w:t>
      </w:r>
    </w:p>
    <w:tbl>
      <w:tblPr>
        <w:tblStyle w:val="ListTable4"/>
        <w:tblW w:w="8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4"/>
        <w:gridCol w:w="1554"/>
        <w:gridCol w:w="1875"/>
        <w:gridCol w:w="1587"/>
        <w:gridCol w:w="1301"/>
        <w:gridCol w:w="1200"/>
      </w:tblGrid>
      <w:tr w:rsidR="00CB7716" w:rsidRPr="008F2D06" w14:paraId="40EE16F5" w14:textId="77777777" w:rsidTr="6A61D147">
        <w:trPr>
          <w:cnfStyle w:val="100000000000" w:firstRow="1" w:lastRow="0" w:firstColumn="0" w:lastColumn="0" w:oddVBand="0" w:evenVBand="0" w:oddHBand="0" w:evenHBand="0" w:firstRowFirstColumn="0" w:firstRowLastColumn="0" w:lastRowFirstColumn="0" w:lastRowLastColumn="0"/>
          <w:trHeight w:val="626"/>
          <w:tblHeader/>
        </w:trPr>
        <w:tc>
          <w:tcPr>
            <w:cnfStyle w:val="001000000000" w:firstRow="0" w:lastRow="0" w:firstColumn="1" w:lastColumn="0" w:oddVBand="0" w:evenVBand="0" w:oddHBand="0" w:evenHBand="0" w:firstRowFirstColumn="0" w:firstRowLastColumn="0" w:lastRowFirstColumn="0" w:lastRowLastColumn="0"/>
            <w:tcW w:w="1414" w:type="dxa"/>
            <w:shd w:val="clear" w:color="auto" w:fill="DDD9C3" w:themeFill="background2" w:themeFillShade="E6"/>
          </w:tcPr>
          <w:p w14:paraId="59EF89DF" w14:textId="77777777" w:rsidR="00CB7716" w:rsidRPr="00B67B69" w:rsidRDefault="00CB7716" w:rsidP="006E77ED">
            <w:pPr>
              <w:spacing w:after="85"/>
              <w:jc w:val="center"/>
              <w:rPr>
                <w:color w:val="auto"/>
                <w:sz w:val="20"/>
                <w:szCs w:val="20"/>
              </w:rPr>
            </w:pPr>
            <w:r w:rsidRPr="00B67B69">
              <w:rPr>
                <w:color w:val="auto"/>
                <w:sz w:val="20"/>
                <w:szCs w:val="20"/>
              </w:rPr>
              <w:t>Option</w:t>
            </w:r>
          </w:p>
        </w:tc>
        <w:tc>
          <w:tcPr>
            <w:tcW w:w="1554" w:type="dxa"/>
            <w:shd w:val="clear" w:color="auto" w:fill="DDD9C3" w:themeFill="background2" w:themeFillShade="E6"/>
          </w:tcPr>
          <w:p w14:paraId="55891829" w14:textId="77777777" w:rsidR="00CB7716" w:rsidRPr="00B67B69" w:rsidRDefault="00CB7716" w:rsidP="006E77ED">
            <w:pPr>
              <w:spacing w:after="85"/>
              <w:jc w:val="center"/>
              <w:cnfStyle w:val="100000000000" w:firstRow="1" w:lastRow="0" w:firstColumn="0" w:lastColumn="0" w:oddVBand="0" w:evenVBand="0" w:oddHBand="0" w:evenHBand="0" w:firstRowFirstColumn="0" w:firstRowLastColumn="0" w:lastRowFirstColumn="0" w:lastRowLastColumn="0"/>
              <w:rPr>
                <w:color w:val="auto"/>
                <w:sz w:val="20"/>
                <w:szCs w:val="20"/>
              </w:rPr>
            </w:pPr>
            <w:r w:rsidRPr="00B67B69">
              <w:rPr>
                <w:color w:val="auto"/>
                <w:sz w:val="20"/>
                <w:szCs w:val="20"/>
              </w:rPr>
              <w:t>Strong net benefit result from modelling</w:t>
            </w:r>
          </w:p>
        </w:tc>
        <w:tc>
          <w:tcPr>
            <w:tcW w:w="1875" w:type="dxa"/>
            <w:shd w:val="clear" w:color="auto" w:fill="DDD9C3" w:themeFill="background2" w:themeFillShade="E6"/>
          </w:tcPr>
          <w:p w14:paraId="0770C92B" w14:textId="77777777" w:rsidR="00CB7716" w:rsidRPr="00B67B69" w:rsidRDefault="00CB7716" w:rsidP="006E77ED">
            <w:pPr>
              <w:spacing w:after="85"/>
              <w:jc w:val="center"/>
              <w:cnfStyle w:val="100000000000" w:firstRow="1" w:lastRow="0" w:firstColumn="0" w:lastColumn="0" w:oddVBand="0" w:evenVBand="0" w:oddHBand="0" w:evenHBand="0" w:firstRowFirstColumn="0" w:firstRowLastColumn="0" w:lastRowFirstColumn="0" w:lastRowLastColumn="0"/>
              <w:rPr>
                <w:color w:val="auto"/>
                <w:sz w:val="20"/>
                <w:szCs w:val="20"/>
              </w:rPr>
            </w:pPr>
            <w:r w:rsidRPr="00B67B69">
              <w:rPr>
                <w:color w:val="auto"/>
                <w:sz w:val="20"/>
                <w:szCs w:val="20"/>
              </w:rPr>
              <w:t>Practical and readily implementable by industry</w:t>
            </w:r>
          </w:p>
        </w:tc>
        <w:tc>
          <w:tcPr>
            <w:tcW w:w="1587" w:type="dxa"/>
            <w:shd w:val="clear" w:color="auto" w:fill="DDD9C3" w:themeFill="background2" w:themeFillShade="E6"/>
          </w:tcPr>
          <w:p w14:paraId="0CE23C28" w14:textId="77777777" w:rsidR="00CB7716" w:rsidRPr="00B67B69" w:rsidRDefault="00CB7716" w:rsidP="006E77ED">
            <w:pPr>
              <w:spacing w:after="85"/>
              <w:jc w:val="center"/>
              <w:cnfStyle w:val="100000000000" w:firstRow="1" w:lastRow="0" w:firstColumn="0" w:lastColumn="0" w:oddVBand="0" w:evenVBand="0" w:oddHBand="0" w:evenHBand="0" w:firstRowFirstColumn="0" w:firstRowLastColumn="0" w:lastRowFirstColumn="0" w:lastRowLastColumn="0"/>
              <w:rPr>
                <w:color w:val="auto"/>
                <w:sz w:val="20"/>
                <w:szCs w:val="20"/>
              </w:rPr>
            </w:pPr>
            <w:r w:rsidRPr="00B67B69">
              <w:rPr>
                <w:color w:val="auto"/>
                <w:sz w:val="20"/>
                <w:szCs w:val="20"/>
              </w:rPr>
              <w:t>Able to be maintained over time</w:t>
            </w:r>
          </w:p>
        </w:tc>
        <w:tc>
          <w:tcPr>
            <w:tcW w:w="1301" w:type="dxa"/>
            <w:shd w:val="clear" w:color="auto" w:fill="DDD9C3" w:themeFill="background2" w:themeFillShade="E6"/>
          </w:tcPr>
          <w:p w14:paraId="5E2A9396" w14:textId="77777777" w:rsidR="00CB7716" w:rsidRPr="00B67B69" w:rsidRDefault="00CB7716" w:rsidP="006E77ED">
            <w:pPr>
              <w:spacing w:after="85"/>
              <w:jc w:val="center"/>
              <w:cnfStyle w:val="100000000000" w:firstRow="1" w:lastRow="0" w:firstColumn="0" w:lastColumn="0" w:oddVBand="0" w:evenVBand="0" w:oddHBand="0" w:evenHBand="0" w:firstRowFirstColumn="0" w:firstRowLastColumn="0" w:lastRowFirstColumn="0" w:lastRowLastColumn="0"/>
              <w:rPr>
                <w:color w:val="auto"/>
                <w:sz w:val="20"/>
                <w:szCs w:val="20"/>
              </w:rPr>
            </w:pPr>
            <w:r w:rsidRPr="00B67B69">
              <w:rPr>
                <w:color w:val="auto"/>
                <w:sz w:val="20"/>
                <w:szCs w:val="20"/>
              </w:rPr>
              <w:t>Well targeted to risk in setting</w:t>
            </w:r>
          </w:p>
        </w:tc>
        <w:tc>
          <w:tcPr>
            <w:tcW w:w="1200" w:type="dxa"/>
            <w:shd w:val="clear" w:color="auto" w:fill="DDD9C3" w:themeFill="background2" w:themeFillShade="E6"/>
          </w:tcPr>
          <w:p w14:paraId="226CBF28" w14:textId="77777777" w:rsidR="00CB7716" w:rsidRPr="00B67B69" w:rsidRDefault="00CB7716" w:rsidP="006E77ED">
            <w:pPr>
              <w:spacing w:after="85"/>
              <w:jc w:val="center"/>
              <w:cnfStyle w:val="100000000000" w:firstRow="1" w:lastRow="0" w:firstColumn="0" w:lastColumn="0" w:oddVBand="0" w:evenVBand="0" w:oddHBand="0" w:evenHBand="0" w:firstRowFirstColumn="0" w:firstRowLastColumn="0" w:lastRowFirstColumn="0" w:lastRowLastColumn="0"/>
              <w:rPr>
                <w:color w:val="auto"/>
                <w:sz w:val="20"/>
                <w:szCs w:val="20"/>
              </w:rPr>
            </w:pPr>
            <w:r w:rsidRPr="00B67B69">
              <w:rPr>
                <w:color w:val="auto"/>
                <w:sz w:val="20"/>
                <w:szCs w:val="20"/>
              </w:rPr>
              <w:t>Preferred option</w:t>
            </w:r>
          </w:p>
        </w:tc>
      </w:tr>
      <w:tr w:rsidR="00CB7716" w:rsidRPr="008F2D06" w14:paraId="7FEA4699" w14:textId="77777777" w:rsidTr="6A61D147">
        <w:trPr>
          <w:cnfStyle w:val="000000100000" w:firstRow="0" w:lastRow="0" w:firstColumn="0" w:lastColumn="0" w:oddVBand="0" w:evenVBand="0" w:oddHBand="1" w:evenHBand="0" w:firstRowFirstColumn="0" w:firstRowLastColumn="0" w:lastRowFirstColumn="0" w:lastRowLastColumn="0"/>
          <w:trHeight w:val="304"/>
        </w:trPr>
        <w:tc>
          <w:tcPr>
            <w:cnfStyle w:val="001000000000" w:firstRow="0" w:lastRow="0" w:firstColumn="1" w:lastColumn="0" w:oddVBand="0" w:evenVBand="0" w:oddHBand="0" w:evenHBand="0" w:firstRowFirstColumn="0" w:firstRowLastColumn="0" w:lastRowFirstColumn="0" w:lastRowLastColumn="0"/>
            <w:tcW w:w="8931" w:type="dxa"/>
            <w:gridSpan w:val="6"/>
            <w:shd w:val="clear" w:color="auto" w:fill="FFFFFF" w:themeFill="background1"/>
          </w:tcPr>
          <w:p w14:paraId="08F37C0A" w14:textId="77777777" w:rsidR="00CB7716" w:rsidRPr="008F2D06" w:rsidRDefault="00CB7716" w:rsidP="00CB7716">
            <w:pPr>
              <w:spacing w:after="85"/>
              <w:rPr>
                <w:sz w:val="20"/>
                <w:szCs w:val="20"/>
              </w:rPr>
            </w:pPr>
            <w:r w:rsidRPr="008F2D06">
              <w:rPr>
                <w:b w:val="0"/>
                <w:sz w:val="20"/>
                <w:szCs w:val="20"/>
              </w:rPr>
              <w:t xml:space="preserve">Category 1 </w:t>
            </w:r>
            <w:r>
              <w:rPr>
                <w:b w:val="0"/>
                <w:sz w:val="20"/>
                <w:szCs w:val="20"/>
              </w:rPr>
              <w:t>business</w:t>
            </w:r>
          </w:p>
        </w:tc>
      </w:tr>
      <w:tr w:rsidR="00CB7716" w:rsidRPr="008F2D06" w14:paraId="5817A954" w14:textId="77777777" w:rsidTr="6A61D147">
        <w:trPr>
          <w:trHeight w:val="626"/>
        </w:trPr>
        <w:tc>
          <w:tcPr>
            <w:cnfStyle w:val="001000000000" w:firstRow="0" w:lastRow="0" w:firstColumn="1" w:lastColumn="0" w:oddVBand="0" w:evenVBand="0" w:oddHBand="0" w:evenHBand="0" w:firstRowFirstColumn="0" w:firstRowLastColumn="0" w:lastRowFirstColumn="0" w:lastRowLastColumn="0"/>
            <w:tcW w:w="1414" w:type="dxa"/>
            <w:shd w:val="clear" w:color="auto" w:fill="B8CCE4" w:themeFill="accent1" w:themeFillTint="66"/>
            <w:vAlign w:val="center"/>
          </w:tcPr>
          <w:p w14:paraId="59A359E9" w14:textId="6FF0A142" w:rsidR="00CB7716" w:rsidRPr="00AC07C5" w:rsidRDefault="00CB7716" w:rsidP="006E77ED">
            <w:pPr>
              <w:spacing w:after="85"/>
              <w:rPr>
                <w:sz w:val="20"/>
                <w:szCs w:val="20"/>
              </w:rPr>
            </w:pPr>
            <w:r w:rsidRPr="00356070">
              <w:rPr>
                <w:sz w:val="20"/>
                <w:szCs w:val="20"/>
              </w:rPr>
              <w:t>3.1</w:t>
            </w:r>
          </w:p>
          <w:p w14:paraId="6ABD2312" w14:textId="77777777" w:rsidR="00CB7716" w:rsidRPr="00AC07C5" w:rsidRDefault="00CB7716" w:rsidP="006E77ED">
            <w:pPr>
              <w:spacing w:after="85"/>
              <w:rPr>
                <w:sz w:val="20"/>
                <w:szCs w:val="20"/>
              </w:rPr>
            </w:pPr>
            <w:r w:rsidRPr="00356070">
              <w:rPr>
                <w:sz w:val="20"/>
                <w:szCs w:val="20"/>
              </w:rPr>
              <w:t>FSS, FHT</w:t>
            </w:r>
          </w:p>
        </w:tc>
        <w:tc>
          <w:tcPr>
            <w:tcW w:w="1554" w:type="dxa"/>
            <w:shd w:val="clear" w:color="auto" w:fill="B8CCE4" w:themeFill="accent1" w:themeFillTint="66"/>
          </w:tcPr>
          <w:p w14:paraId="74F76B29" w14:textId="77777777" w:rsidR="00CB7716" w:rsidRPr="008F2D06" w:rsidRDefault="00CB7716" w:rsidP="006E77ED">
            <w:pPr>
              <w:spacing w:after="85"/>
              <w:jc w:val="center"/>
              <w:cnfStyle w:val="000000000000" w:firstRow="0" w:lastRow="0" w:firstColumn="0" w:lastColumn="0" w:oddVBand="0" w:evenVBand="0" w:oddHBand="0" w:evenHBand="0" w:firstRowFirstColumn="0" w:firstRowLastColumn="0" w:lastRowFirstColumn="0" w:lastRowLastColumn="0"/>
              <w:rPr>
                <w:sz w:val="20"/>
                <w:szCs w:val="20"/>
              </w:rPr>
            </w:pPr>
            <w:r w:rsidRPr="68C0CA2D">
              <w:rPr>
                <w:sz w:val="20"/>
                <w:szCs w:val="20"/>
              </w:rPr>
              <w:t>yes</w:t>
            </w:r>
          </w:p>
        </w:tc>
        <w:tc>
          <w:tcPr>
            <w:tcW w:w="1875" w:type="dxa"/>
            <w:shd w:val="clear" w:color="auto" w:fill="B8CCE4" w:themeFill="accent1" w:themeFillTint="66"/>
          </w:tcPr>
          <w:p w14:paraId="52D70D3D" w14:textId="77777777" w:rsidR="00CB7716" w:rsidRPr="008F2D06" w:rsidRDefault="00CB7716" w:rsidP="006E77ED">
            <w:pPr>
              <w:spacing w:after="85"/>
              <w:jc w:val="center"/>
              <w:cnfStyle w:val="000000000000" w:firstRow="0" w:lastRow="0" w:firstColumn="0" w:lastColumn="0" w:oddVBand="0" w:evenVBand="0" w:oddHBand="0" w:evenHBand="0" w:firstRowFirstColumn="0" w:firstRowLastColumn="0" w:lastRowFirstColumn="0" w:lastRowLastColumn="0"/>
              <w:rPr>
                <w:sz w:val="20"/>
                <w:szCs w:val="20"/>
              </w:rPr>
            </w:pPr>
            <w:r w:rsidRPr="68C0CA2D">
              <w:rPr>
                <w:sz w:val="20"/>
                <w:szCs w:val="20"/>
              </w:rPr>
              <w:t>yes</w:t>
            </w:r>
          </w:p>
        </w:tc>
        <w:tc>
          <w:tcPr>
            <w:tcW w:w="1587" w:type="dxa"/>
            <w:shd w:val="clear" w:color="auto" w:fill="B8CCE4" w:themeFill="accent1" w:themeFillTint="66"/>
          </w:tcPr>
          <w:p w14:paraId="1F23B50E" w14:textId="77777777" w:rsidR="00CB7716" w:rsidRPr="008F2D06" w:rsidRDefault="00CB7716" w:rsidP="006E77ED">
            <w:pPr>
              <w:spacing w:after="85"/>
              <w:jc w:val="center"/>
              <w:cnfStyle w:val="000000000000" w:firstRow="0" w:lastRow="0" w:firstColumn="0" w:lastColumn="0" w:oddVBand="0" w:evenVBand="0" w:oddHBand="0" w:evenHBand="0" w:firstRowFirstColumn="0" w:firstRowLastColumn="0" w:lastRowFirstColumn="0" w:lastRowLastColumn="0"/>
              <w:rPr>
                <w:sz w:val="20"/>
                <w:szCs w:val="20"/>
              </w:rPr>
            </w:pPr>
            <w:r w:rsidRPr="68C0CA2D">
              <w:rPr>
                <w:sz w:val="20"/>
                <w:szCs w:val="20"/>
              </w:rPr>
              <w:t>yes</w:t>
            </w:r>
          </w:p>
        </w:tc>
        <w:tc>
          <w:tcPr>
            <w:tcW w:w="1301" w:type="dxa"/>
            <w:shd w:val="clear" w:color="auto" w:fill="B8CCE4" w:themeFill="accent1" w:themeFillTint="66"/>
          </w:tcPr>
          <w:p w14:paraId="37E59009" w14:textId="7D6765F9" w:rsidR="00CB7716" w:rsidRPr="008F2D06" w:rsidRDefault="00CB7716" w:rsidP="006E77ED">
            <w:pPr>
              <w:spacing w:after="85"/>
              <w:jc w:val="center"/>
              <w:cnfStyle w:val="000000000000" w:firstRow="0" w:lastRow="0" w:firstColumn="0" w:lastColumn="0" w:oddVBand="0" w:evenVBand="0" w:oddHBand="0" w:evenHBand="0" w:firstRowFirstColumn="0" w:firstRowLastColumn="0" w:lastRowFirstColumn="0" w:lastRowLastColumn="0"/>
              <w:rPr>
                <w:sz w:val="20"/>
                <w:szCs w:val="20"/>
              </w:rPr>
            </w:pPr>
            <w:r w:rsidRPr="68C0CA2D">
              <w:rPr>
                <w:sz w:val="20"/>
                <w:szCs w:val="20"/>
              </w:rPr>
              <w:t>yes</w:t>
            </w:r>
          </w:p>
        </w:tc>
        <w:tc>
          <w:tcPr>
            <w:tcW w:w="1200" w:type="dxa"/>
            <w:shd w:val="clear" w:color="auto" w:fill="B8CCE4" w:themeFill="accent1" w:themeFillTint="66"/>
          </w:tcPr>
          <w:p w14:paraId="7CD37AB7" w14:textId="77777777" w:rsidR="00CB7716" w:rsidRPr="008F2D06" w:rsidRDefault="00CB7716" w:rsidP="006E77ED">
            <w:pPr>
              <w:spacing w:after="85"/>
              <w:jc w:val="center"/>
              <w:cnfStyle w:val="000000000000" w:firstRow="0" w:lastRow="0" w:firstColumn="0" w:lastColumn="0" w:oddVBand="0" w:evenVBand="0" w:oddHBand="0" w:evenHBand="0" w:firstRowFirstColumn="0" w:firstRowLastColumn="0" w:lastRowFirstColumn="0" w:lastRowLastColumn="0"/>
              <w:rPr>
                <w:sz w:val="20"/>
                <w:szCs w:val="20"/>
              </w:rPr>
            </w:pPr>
            <w:r w:rsidRPr="68C0CA2D">
              <w:rPr>
                <w:sz w:val="20"/>
                <w:szCs w:val="20"/>
              </w:rPr>
              <w:t>no</w:t>
            </w:r>
          </w:p>
        </w:tc>
      </w:tr>
      <w:tr w:rsidR="00CB7716" w:rsidRPr="008F2D06" w14:paraId="5708B551" w14:textId="77777777" w:rsidTr="6A61D147">
        <w:trPr>
          <w:cnfStyle w:val="000000100000" w:firstRow="0" w:lastRow="0" w:firstColumn="0" w:lastColumn="0" w:oddVBand="0" w:evenVBand="0" w:oddHBand="1" w:evenHBand="0" w:firstRowFirstColumn="0" w:firstRowLastColumn="0" w:lastRowFirstColumn="0" w:lastRowLastColumn="0"/>
          <w:trHeight w:val="626"/>
        </w:trPr>
        <w:tc>
          <w:tcPr>
            <w:cnfStyle w:val="001000000000" w:firstRow="0" w:lastRow="0" w:firstColumn="1" w:lastColumn="0" w:oddVBand="0" w:evenVBand="0" w:oddHBand="0" w:evenHBand="0" w:firstRowFirstColumn="0" w:firstRowLastColumn="0" w:lastRowFirstColumn="0" w:lastRowLastColumn="0"/>
            <w:tcW w:w="1414" w:type="dxa"/>
            <w:shd w:val="clear" w:color="auto" w:fill="FBD4B4" w:themeFill="accent6" w:themeFillTint="66"/>
            <w:vAlign w:val="center"/>
          </w:tcPr>
          <w:p w14:paraId="1EC7D642" w14:textId="77777777" w:rsidR="00CB7716" w:rsidRPr="00AC07C5" w:rsidRDefault="00CB7716" w:rsidP="006E77ED">
            <w:pPr>
              <w:spacing w:after="85"/>
              <w:rPr>
                <w:sz w:val="20"/>
                <w:szCs w:val="20"/>
              </w:rPr>
            </w:pPr>
            <w:r>
              <w:rPr>
                <w:sz w:val="20"/>
                <w:szCs w:val="20"/>
              </w:rPr>
              <w:t>3.2</w:t>
            </w:r>
          </w:p>
          <w:p w14:paraId="7373542D" w14:textId="77777777" w:rsidR="00CB7716" w:rsidRPr="00AC07C5" w:rsidRDefault="00CB7716" w:rsidP="006E77ED">
            <w:pPr>
              <w:spacing w:after="85"/>
              <w:rPr>
                <w:sz w:val="20"/>
                <w:szCs w:val="20"/>
              </w:rPr>
            </w:pPr>
            <w:r w:rsidRPr="00356070">
              <w:rPr>
                <w:sz w:val="20"/>
                <w:szCs w:val="20"/>
              </w:rPr>
              <w:t>FSS, FHT, E</w:t>
            </w:r>
          </w:p>
        </w:tc>
        <w:tc>
          <w:tcPr>
            <w:tcW w:w="1554" w:type="dxa"/>
            <w:shd w:val="clear" w:color="auto" w:fill="FBD4B4" w:themeFill="accent6" w:themeFillTint="66"/>
          </w:tcPr>
          <w:p w14:paraId="2A713703" w14:textId="77777777" w:rsidR="00CB7716" w:rsidRPr="008F2D06" w:rsidRDefault="00CB7716" w:rsidP="006E77ED">
            <w:pPr>
              <w:spacing w:after="85"/>
              <w:jc w:val="center"/>
              <w:cnfStyle w:val="000000100000" w:firstRow="0" w:lastRow="0" w:firstColumn="0" w:lastColumn="0" w:oddVBand="0" w:evenVBand="0" w:oddHBand="1" w:evenHBand="0" w:firstRowFirstColumn="0" w:firstRowLastColumn="0" w:lastRowFirstColumn="0" w:lastRowLastColumn="0"/>
              <w:rPr>
                <w:sz w:val="20"/>
                <w:szCs w:val="20"/>
              </w:rPr>
            </w:pPr>
            <w:r w:rsidRPr="68C0CA2D">
              <w:rPr>
                <w:sz w:val="20"/>
                <w:szCs w:val="20"/>
              </w:rPr>
              <w:t>yes</w:t>
            </w:r>
          </w:p>
        </w:tc>
        <w:tc>
          <w:tcPr>
            <w:tcW w:w="1875" w:type="dxa"/>
            <w:shd w:val="clear" w:color="auto" w:fill="FBD4B4" w:themeFill="accent6" w:themeFillTint="66"/>
          </w:tcPr>
          <w:p w14:paraId="545840E2" w14:textId="77777777" w:rsidR="00CB7716" w:rsidRPr="008F2D06" w:rsidRDefault="00CB7716" w:rsidP="006E77ED">
            <w:pPr>
              <w:spacing w:after="85"/>
              <w:jc w:val="center"/>
              <w:cnfStyle w:val="000000100000" w:firstRow="0" w:lastRow="0" w:firstColumn="0" w:lastColumn="0" w:oddVBand="0" w:evenVBand="0" w:oddHBand="1" w:evenHBand="0" w:firstRowFirstColumn="0" w:firstRowLastColumn="0" w:lastRowFirstColumn="0" w:lastRowLastColumn="0"/>
              <w:rPr>
                <w:sz w:val="20"/>
                <w:szCs w:val="20"/>
              </w:rPr>
            </w:pPr>
            <w:r w:rsidRPr="68C0CA2D">
              <w:rPr>
                <w:sz w:val="20"/>
                <w:szCs w:val="20"/>
              </w:rPr>
              <w:t>yes</w:t>
            </w:r>
          </w:p>
        </w:tc>
        <w:tc>
          <w:tcPr>
            <w:tcW w:w="1587" w:type="dxa"/>
            <w:shd w:val="clear" w:color="auto" w:fill="FBD4B4" w:themeFill="accent6" w:themeFillTint="66"/>
          </w:tcPr>
          <w:p w14:paraId="58BE134A" w14:textId="77777777" w:rsidR="00CB7716" w:rsidRPr="008F2D06" w:rsidRDefault="00CB7716" w:rsidP="006E77ED">
            <w:pPr>
              <w:spacing w:after="85"/>
              <w:jc w:val="center"/>
              <w:cnfStyle w:val="000000100000" w:firstRow="0" w:lastRow="0" w:firstColumn="0" w:lastColumn="0" w:oddVBand="0" w:evenVBand="0" w:oddHBand="1" w:evenHBand="0" w:firstRowFirstColumn="0" w:firstRowLastColumn="0" w:lastRowFirstColumn="0" w:lastRowLastColumn="0"/>
              <w:rPr>
                <w:sz w:val="20"/>
                <w:szCs w:val="20"/>
              </w:rPr>
            </w:pPr>
            <w:r w:rsidRPr="68C0CA2D">
              <w:rPr>
                <w:sz w:val="20"/>
                <w:szCs w:val="20"/>
              </w:rPr>
              <w:t>yes</w:t>
            </w:r>
          </w:p>
        </w:tc>
        <w:tc>
          <w:tcPr>
            <w:tcW w:w="1301" w:type="dxa"/>
            <w:shd w:val="clear" w:color="auto" w:fill="FBD4B4" w:themeFill="accent6" w:themeFillTint="66"/>
          </w:tcPr>
          <w:p w14:paraId="0EF6DB06" w14:textId="77777777" w:rsidR="00CB7716" w:rsidRPr="008F2D06" w:rsidRDefault="00CB7716" w:rsidP="006E77ED">
            <w:pPr>
              <w:spacing w:after="85"/>
              <w:jc w:val="center"/>
              <w:cnfStyle w:val="000000100000" w:firstRow="0" w:lastRow="0" w:firstColumn="0" w:lastColumn="0" w:oddVBand="0" w:evenVBand="0" w:oddHBand="1" w:evenHBand="0" w:firstRowFirstColumn="0" w:firstRowLastColumn="0" w:lastRowFirstColumn="0" w:lastRowLastColumn="0"/>
              <w:rPr>
                <w:sz w:val="20"/>
                <w:szCs w:val="20"/>
              </w:rPr>
            </w:pPr>
            <w:r w:rsidRPr="68C0CA2D">
              <w:rPr>
                <w:sz w:val="20"/>
                <w:szCs w:val="20"/>
              </w:rPr>
              <w:t>yes</w:t>
            </w:r>
          </w:p>
        </w:tc>
        <w:tc>
          <w:tcPr>
            <w:tcW w:w="1200" w:type="dxa"/>
            <w:shd w:val="clear" w:color="auto" w:fill="FBD4B4" w:themeFill="accent6" w:themeFillTint="66"/>
          </w:tcPr>
          <w:p w14:paraId="2F3D2031" w14:textId="77777777" w:rsidR="00CB7716" w:rsidRPr="008F2D06" w:rsidRDefault="00CB7716" w:rsidP="006E77ED">
            <w:pPr>
              <w:spacing w:after="85"/>
              <w:jc w:val="center"/>
              <w:cnfStyle w:val="000000100000" w:firstRow="0" w:lastRow="0" w:firstColumn="0" w:lastColumn="0" w:oddVBand="0" w:evenVBand="0" w:oddHBand="1" w:evenHBand="0" w:firstRowFirstColumn="0" w:firstRowLastColumn="0" w:lastRowFirstColumn="0" w:lastRowLastColumn="0"/>
              <w:rPr>
                <w:sz w:val="20"/>
                <w:szCs w:val="20"/>
              </w:rPr>
            </w:pPr>
            <w:r w:rsidRPr="68C0CA2D">
              <w:rPr>
                <w:sz w:val="20"/>
                <w:szCs w:val="20"/>
              </w:rPr>
              <w:t>yes</w:t>
            </w:r>
          </w:p>
        </w:tc>
      </w:tr>
      <w:tr w:rsidR="00CB7716" w:rsidRPr="008F2D06" w14:paraId="77EADFF7" w14:textId="77777777" w:rsidTr="6A61D147">
        <w:trPr>
          <w:trHeight w:val="321"/>
        </w:trPr>
        <w:tc>
          <w:tcPr>
            <w:cnfStyle w:val="001000000000" w:firstRow="0" w:lastRow="0" w:firstColumn="1" w:lastColumn="0" w:oddVBand="0" w:evenVBand="0" w:oddHBand="0" w:evenHBand="0" w:firstRowFirstColumn="0" w:firstRowLastColumn="0" w:lastRowFirstColumn="0" w:lastRowLastColumn="0"/>
            <w:tcW w:w="8931" w:type="dxa"/>
            <w:gridSpan w:val="6"/>
            <w:vAlign w:val="center"/>
          </w:tcPr>
          <w:p w14:paraId="0420C324" w14:textId="35CA6C95" w:rsidR="00CB7716" w:rsidRPr="008F2D06" w:rsidRDefault="00CB7716" w:rsidP="006E77ED">
            <w:pPr>
              <w:spacing w:after="85"/>
              <w:rPr>
                <w:sz w:val="20"/>
                <w:szCs w:val="20"/>
              </w:rPr>
            </w:pPr>
            <w:r w:rsidRPr="6A61D147">
              <w:rPr>
                <w:b w:val="0"/>
                <w:bCs w:val="0"/>
                <w:sz w:val="20"/>
                <w:szCs w:val="20"/>
              </w:rPr>
              <w:t>Category 2 business</w:t>
            </w:r>
          </w:p>
        </w:tc>
      </w:tr>
      <w:tr w:rsidR="00CB7716" w:rsidRPr="008F2D06" w14:paraId="37FAE709" w14:textId="77777777" w:rsidTr="6A61D147">
        <w:trPr>
          <w:cnfStyle w:val="000000100000" w:firstRow="0" w:lastRow="0" w:firstColumn="0" w:lastColumn="0" w:oddVBand="0" w:evenVBand="0" w:oddHBand="1" w:evenHBand="0" w:firstRowFirstColumn="0" w:firstRowLastColumn="0" w:lastRowFirstColumn="0" w:lastRowLastColumn="0"/>
          <w:trHeight w:val="626"/>
        </w:trPr>
        <w:tc>
          <w:tcPr>
            <w:cnfStyle w:val="001000000000" w:firstRow="0" w:lastRow="0" w:firstColumn="1" w:lastColumn="0" w:oddVBand="0" w:evenVBand="0" w:oddHBand="0" w:evenHBand="0" w:firstRowFirstColumn="0" w:firstRowLastColumn="0" w:lastRowFirstColumn="0" w:lastRowLastColumn="0"/>
            <w:tcW w:w="1414" w:type="dxa"/>
            <w:shd w:val="clear" w:color="auto" w:fill="B8CCE4" w:themeFill="accent1" w:themeFillTint="66"/>
            <w:vAlign w:val="center"/>
          </w:tcPr>
          <w:p w14:paraId="089F0729" w14:textId="02BFEB2F" w:rsidR="00CB7716" w:rsidRPr="00AC07C5" w:rsidRDefault="00CB7716" w:rsidP="006E77ED">
            <w:pPr>
              <w:spacing w:after="85"/>
              <w:rPr>
                <w:sz w:val="20"/>
                <w:szCs w:val="20"/>
              </w:rPr>
            </w:pPr>
            <w:r w:rsidRPr="00356070">
              <w:rPr>
                <w:sz w:val="20"/>
                <w:szCs w:val="20"/>
              </w:rPr>
              <w:t>3.1</w:t>
            </w:r>
          </w:p>
          <w:p w14:paraId="57E27042" w14:textId="77777777" w:rsidR="00CB7716" w:rsidRPr="00AC07C5" w:rsidRDefault="00CB7716" w:rsidP="006E77ED">
            <w:pPr>
              <w:spacing w:after="85"/>
              <w:rPr>
                <w:sz w:val="20"/>
                <w:szCs w:val="20"/>
              </w:rPr>
            </w:pPr>
            <w:r w:rsidRPr="00356070">
              <w:rPr>
                <w:sz w:val="20"/>
                <w:szCs w:val="20"/>
              </w:rPr>
              <w:t>FSS, FHT</w:t>
            </w:r>
          </w:p>
        </w:tc>
        <w:tc>
          <w:tcPr>
            <w:tcW w:w="1554" w:type="dxa"/>
            <w:shd w:val="clear" w:color="auto" w:fill="B8CCE4" w:themeFill="accent1" w:themeFillTint="66"/>
          </w:tcPr>
          <w:p w14:paraId="24F96EF1" w14:textId="77777777" w:rsidR="00CB7716" w:rsidRPr="008F2D06" w:rsidRDefault="00CB7716" w:rsidP="006E77ED">
            <w:pPr>
              <w:spacing w:after="85"/>
              <w:jc w:val="center"/>
              <w:cnfStyle w:val="000000100000" w:firstRow="0" w:lastRow="0" w:firstColumn="0" w:lastColumn="0" w:oddVBand="0" w:evenVBand="0" w:oddHBand="1" w:evenHBand="0" w:firstRowFirstColumn="0" w:firstRowLastColumn="0" w:lastRowFirstColumn="0" w:lastRowLastColumn="0"/>
              <w:rPr>
                <w:sz w:val="20"/>
                <w:szCs w:val="20"/>
              </w:rPr>
            </w:pPr>
            <w:r w:rsidRPr="68C0CA2D">
              <w:rPr>
                <w:sz w:val="20"/>
                <w:szCs w:val="20"/>
              </w:rPr>
              <w:t>yes</w:t>
            </w:r>
          </w:p>
        </w:tc>
        <w:tc>
          <w:tcPr>
            <w:tcW w:w="1875" w:type="dxa"/>
            <w:shd w:val="clear" w:color="auto" w:fill="B8CCE4" w:themeFill="accent1" w:themeFillTint="66"/>
          </w:tcPr>
          <w:p w14:paraId="1021DAA9" w14:textId="77777777" w:rsidR="00CB7716" w:rsidRPr="008F2D06" w:rsidRDefault="00CB7716" w:rsidP="006E77ED">
            <w:pPr>
              <w:spacing w:after="85"/>
              <w:jc w:val="center"/>
              <w:cnfStyle w:val="000000100000" w:firstRow="0" w:lastRow="0" w:firstColumn="0" w:lastColumn="0" w:oddVBand="0" w:evenVBand="0" w:oddHBand="1" w:evenHBand="0" w:firstRowFirstColumn="0" w:firstRowLastColumn="0" w:lastRowFirstColumn="0" w:lastRowLastColumn="0"/>
              <w:rPr>
                <w:sz w:val="20"/>
                <w:szCs w:val="20"/>
              </w:rPr>
            </w:pPr>
            <w:r w:rsidRPr="68C0CA2D">
              <w:rPr>
                <w:sz w:val="20"/>
                <w:szCs w:val="20"/>
              </w:rPr>
              <w:t>yes</w:t>
            </w:r>
          </w:p>
        </w:tc>
        <w:tc>
          <w:tcPr>
            <w:tcW w:w="1587" w:type="dxa"/>
            <w:shd w:val="clear" w:color="auto" w:fill="B8CCE4" w:themeFill="accent1" w:themeFillTint="66"/>
          </w:tcPr>
          <w:p w14:paraId="7DCE4754" w14:textId="77777777" w:rsidR="00CB7716" w:rsidRPr="008F2D06" w:rsidRDefault="00CB7716" w:rsidP="006E77ED">
            <w:pPr>
              <w:spacing w:after="85"/>
              <w:jc w:val="center"/>
              <w:cnfStyle w:val="000000100000" w:firstRow="0" w:lastRow="0" w:firstColumn="0" w:lastColumn="0" w:oddVBand="0" w:evenVBand="0" w:oddHBand="1" w:evenHBand="0" w:firstRowFirstColumn="0" w:firstRowLastColumn="0" w:lastRowFirstColumn="0" w:lastRowLastColumn="0"/>
              <w:rPr>
                <w:sz w:val="20"/>
                <w:szCs w:val="20"/>
              </w:rPr>
            </w:pPr>
            <w:r w:rsidRPr="68C0CA2D">
              <w:rPr>
                <w:sz w:val="20"/>
                <w:szCs w:val="20"/>
              </w:rPr>
              <w:t>yes</w:t>
            </w:r>
          </w:p>
        </w:tc>
        <w:tc>
          <w:tcPr>
            <w:tcW w:w="1301" w:type="dxa"/>
            <w:shd w:val="clear" w:color="auto" w:fill="B8CCE4" w:themeFill="accent1" w:themeFillTint="66"/>
          </w:tcPr>
          <w:p w14:paraId="6D935BB9" w14:textId="77777777" w:rsidR="00CB7716" w:rsidRPr="008F2D06" w:rsidRDefault="00CB7716" w:rsidP="006E77ED">
            <w:pPr>
              <w:spacing w:after="85"/>
              <w:jc w:val="center"/>
              <w:cnfStyle w:val="000000100000" w:firstRow="0" w:lastRow="0" w:firstColumn="0" w:lastColumn="0" w:oddVBand="0" w:evenVBand="0" w:oddHBand="1" w:evenHBand="0" w:firstRowFirstColumn="0" w:firstRowLastColumn="0" w:lastRowFirstColumn="0" w:lastRowLastColumn="0"/>
              <w:rPr>
                <w:sz w:val="20"/>
                <w:szCs w:val="20"/>
              </w:rPr>
            </w:pPr>
            <w:r w:rsidRPr="68C0CA2D">
              <w:rPr>
                <w:sz w:val="20"/>
                <w:szCs w:val="20"/>
              </w:rPr>
              <w:t>yes</w:t>
            </w:r>
          </w:p>
        </w:tc>
        <w:tc>
          <w:tcPr>
            <w:tcW w:w="1200" w:type="dxa"/>
            <w:shd w:val="clear" w:color="auto" w:fill="B8CCE4" w:themeFill="accent1" w:themeFillTint="66"/>
          </w:tcPr>
          <w:p w14:paraId="4932ABF0" w14:textId="77777777" w:rsidR="00CB7716" w:rsidRPr="008F2D06" w:rsidRDefault="00CB7716" w:rsidP="006E77ED">
            <w:pPr>
              <w:spacing w:after="85"/>
              <w:jc w:val="center"/>
              <w:cnfStyle w:val="000000100000" w:firstRow="0" w:lastRow="0" w:firstColumn="0" w:lastColumn="0" w:oddVBand="0" w:evenVBand="0" w:oddHBand="1" w:evenHBand="0" w:firstRowFirstColumn="0" w:firstRowLastColumn="0" w:lastRowFirstColumn="0" w:lastRowLastColumn="0"/>
              <w:rPr>
                <w:sz w:val="20"/>
                <w:szCs w:val="20"/>
              </w:rPr>
            </w:pPr>
            <w:r w:rsidRPr="68C0CA2D">
              <w:rPr>
                <w:sz w:val="20"/>
                <w:szCs w:val="20"/>
              </w:rPr>
              <w:t>yes</w:t>
            </w:r>
          </w:p>
        </w:tc>
      </w:tr>
      <w:tr w:rsidR="00CB7716" w:rsidRPr="008F2D06" w14:paraId="3D47C8F5" w14:textId="77777777" w:rsidTr="6A61D147">
        <w:trPr>
          <w:trHeight w:val="626"/>
        </w:trPr>
        <w:tc>
          <w:tcPr>
            <w:cnfStyle w:val="001000000000" w:firstRow="0" w:lastRow="0" w:firstColumn="1" w:lastColumn="0" w:oddVBand="0" w:evenVBand="0" w:oddHBand="0" w:evenHBand="0" w:firstRowFirstColumn="0" w:firstRowLastColumn="0" w:lastRowFirstColumn="0" w:lastRowLastColumn="0"/>
            <w:tcW w:w="1414" w:type="dxa"/>
            <w:shd w:val="clear" w:color="auto" w:fill="FBD4B4" w:themeFill="accent6" w:themeFillTint="66"/>
            <w:vAlign w:val="center"/>
          </w:tcPr>
          <w:p w14:paraId="2F7E1DBC" w14:textId="77777777" w:rsidR="00CB7716" w:rsidRPr="00AC07C5" w:rsidRDefault="00CB7716" w:rsidP="006E77ED">
            <w:pPr>
              <w:spacing w:after="85"/>
              <w:rPr>
                <w:sz w:val="20"/>
                <w:szCs w:val="20"/>
              </w:rPr>
            </w:pPr>
            <w:r>
              <w:rPr>
                <w:sz w:val="20"/>
                <w:szCs w:val="20"/>
              </w:rPr>
              <w:t>3.2</w:t>
            </w:r>
          </w:p>
          <w:p w14:paraId="14478A7E" w14:textId="77777777" w:rsidR="00CB7716" w:rsidRPr="00AC07C5" w:rsidRDefault="00CB7716" w:rsidP="006E77ED">
            <w:pPr>
              <w:spacing w:after="85"/>
              <w:rPr>
                <w:sz w:val="20"/>
                <w:szCs w:val="20"/>
              </w:rPr>
            </w:pPr>
            <w:r w:rsidRPr="00356070">
              <w:rPr>
                <w:sz w:val="20"/>
                <w:szCs w:val="20"/>
              </w:rPr>
              <w:t>FSS, FHT, E</w:t>
            </w:r>
          </w:p>
        </w:tc>
        <w:tc>
          <w:tcPr>
            <w:tcW w:w="1554" w:type="dxa"/>
            <w:shd w:val="clear" w:color="auto" w:fill="FBD4B4" w:themeFill="accent6" w:themeFillTint="66"/>
          </w:tcPr>
          <w:p w14:paraId="1798CB68" w14:textId="77777777" w:rsidR="00CB7716" w:rsidRPr="008F2D06" w:rsidRDefault="00CB7716" w:rsidP="006E77ED">
            <w:pPr>
              <w:spacing w:after="85"/>
              <w:jc w:val="center"/>
              <w:cnfStyle w:val="000000000000" w:firstRow="0" w:lastRow="0" w:firstColumn="0" w:lastColumn="0" w:oddVBand="0" w:evenVBand="0" w:oddHBand="0" w:evenHBand="0" w:firstRowFirstColumn="0" w:firstRowLastColumn="0" w:lastRowFirstColumn="0" w:lastRowLastColumn="0"/>
              <w:rPr>
                <w:sz w:val="20"/>
                <w:szCs w:val="20"/>
              </w:rPr>
            </w:pPr>
            <w:r w:rsidRPr="68C0CA2D">
              <w:rPr>
                <w:sz w:val="20"/>
                <w:szCs w:val="20"/>
              </w:rPr>
              <w:t>yes</w:t>
            </w:r>
          </w:p>
        </w:tc>
        <w:tc>
          <w:tcPr>
            <w:tcW w:w="1875" w:type="dxa"/>
            <w:shd w:val="clear" w:color="auto" w:fill="FBD4B4" w:themeFill="accent6" w:themeFillTint="66"/>
          </w:tcPr>
          <w:p w14:paraId="5BC02122" w14:textId="77777777" w:rsidR="00CB7716" w:rsidRPr="008F2D06" w:rsidRDefault="00CB7716" w:rsidP="006E77ED">
            <w:pPr>
              <w:spacing w:after="85"/>
              <w:jc w:val="center"/>
              <w:cnfStyle w:val="000000000000" w:firstRow="0" w:lastRow="0" w:firstColumn="0" w:lastColumn="0" w:oddVBand="0" w:evenVBand="0" w:oddHBand="0" w:evenHBand="0" w:firstRowFirstColumn="0" w:firstRowLastColumn="0" w:lastRowFirstColumn="0" w:lastRowLastColumn="0"/>
              <w:rPr>
                <w:sz w:val="20"/>
                <w:szCs w:val="20"/>
              </w:rPr>
            </w:pPr>
            <w:r w:rsidRPr="68C0CA2D">
              <w:rPr>
                <w:sz w:val="20"/>
                <w:szCs w:val="20"/>
              </w:rPr>
              <w:t>uncertain</w:t>
            </w:r>
          </w:p>
        </w:tc>
        <w:tc>
          <w:tcPr>
            <w:tcW w:w="1587" w:type="dxa"/>
            <w:shd w:val="clear" w:color="auto" w:fill="FBD4B4" w:themeFill="accent6" w:themeFillTint="66"/>
          </w:tcPr>
          <w:p w14:paraId="74C3F2B6" w14:textId="77777777" w:rsidR="00CB7716" w:rsidRPr="008F2D06" w:rsidRDefault="00CB7716" w:rsidP="006E77ED">
            <w:pPr>
              <w:spacing w:after="85"/>
              <w:jc w:val="center"/>
              <w:cnfStyle w:val="000000000000" w:firstRow="0" w:lastRow="0" w:firstColumn="0" w:lastColumn="0" w:oddVBand="0" w:evenVBand="0" w:oddHBand="0" w:evenHBand="0" w:firstRowFirstColumn="0" w:firstRowLastColumn="0" w:lastRowFirstColumn="0" w:lastRowLastColumn="0"/>
              <w:rPr>
                <w:sz w:val="20"/>
                <w:szCs w:val="20"/>
              </w:rPr>
            </w:pPr>
            <w:r w:rsidRPr="68C0CA2D">
              <w:rPr>
                <w:sz w:val="20"/>
                <w:szCs w:val="20"/>
              </w:rPr>
              <w:t>uncertain</w:t>
            </w:r>
          </w:p>
        </w:tc>
        <w:tc>
          <w:tcPr>
            <w:tcW w:w="1301" w:type="dxa"/>
            <w:shd w:val="clear" w:color="auto" w:fill="FBD4B4" w:themeFill="accent6" w:themeFillTint="66"/>
          </w:tcPr>
          <w:p w14:paraId="1C431666" w14:textId="77777777" w:rsidR="00CB7716" w:rsidRPr="008F2D06" w:rsidRDefault="00CB7716" w:rsidP="006E77ED">
            <w:pPr>
              <w:spacing w:after="85"/>
              <w:jc w:val="center"/>
              <w:cnfStyle w:val="000000000000" w:firstRow="0" w:lastRow="0" w:firstColumn="0" w:lastColumn="0" w:oddVBand="0" w:evenVBand="0" w:oddHBand="0" w:evenHBand="0" w:firstRowFirstColumn="0" w:firstRowLastColumn="0" w:lastRowFirstColumn="0" w:lastRowLastColumn="0"/>
              <w:rPr>
                <w:sz w:val="20"/>
                <w:szCs w:val="20"/>
              </w:rPr>
            </w:pPr>
            <w:r w:rsidRPr="68C0CA2D">
              <w:rPr>
                <w:sz w:val="20"/>
                <w:szCs w:val="20"/>
              </w:rPr>
              <w:t>uncertain</w:t>
            </w:r>
          </w:p>
        </w:tc>
        <w:tc>
          <w:tcPr>
            <w:tcW w:w="1200" w:type="dxa"/>
            <w:shd w:val="clear" w:color="auto" w:fill="FBD4B4" w:themeFill="accent6" w:themeFillTint="66"/>
          </w:tcPr>
          <w:p w14:paraId="54BEF848" w14:textId="77777777" w:rsidR="00CB7716" w:rsidRPr="008F2D06" w:rsidRDefault="00CB7716" w:rsidP="006E77ED">
            <w:pPr>
              <w:spacing w:after="85"/>
              <w:jc w:val="center"/>
              <w:cnfStyle w:val="000000000000" w:firstRow="0" w:lastRow="0" w:firstColumn="0" w:lastColumn="0" w:oddVBand="0" w:evenVBand="0" w:oddHBand="0" w:evenHBand="0" w:firstRowFirstColumn="0" w:firstRowLastColumn="0" w:lastRowFirstColumn="0" w:lastRowLastColumn="0"/>
              <w:rPr>
                <w:sz w:val="20"/>
                <w:szCs w:val="20"/>
              </w:rPr>
            </w:pPr>
            <w:r w:rsidRPr="68C0CA2D">
              <w:rPr>
                <w:sz w:val="20"/>
                <w:szCs w:val="20"/>
              </w:rPr>
              <w:t>no</w:t>
            </w:r>
          </w:p>
        </w:tc>
      </w:tr>
    </w:tbl>
    <w:p w14:paraId="05F540F0" w14:textId="655D5C59" w:rsidR="00CB7716" w:rsidRDefault="00CB7716" w:rsidP="0025246D">
      <w:pPr>
        <w:pStyle w:val="Heading4"/>
        <w:numPr>
          <w:ilvl w:val="0"/>
          <w:numId w:val="0"/>
        </w:numPr>
        <w:ind w:left="864" w:hanging="864"/>
      </w:pPr>
      <w:bookmarkStart w:id="111" w:name="_Toc87600004"/>
      <w:bookmarkStart w:id="112" w:name="_Toc107412696"/>
      <w:r>
        <w:t>4.</w:t>
      </w:r>
      <w:r w:rsidR="0025246D">
        <w:t>5.3</w:t>
      </w:r>
      <w:r>
        <w:tab/>
        <w:t>Comparison of options and conclusion</w:t>
      </w:r>
      <w:bookmarkEnd w:id="111"/>
      <w:bookmarkEnd w:id="112"/>
    </w:p>
    <w:p w14:paraId="2CC8FA2D" w14:textId="77777777" w:rsidR="00CB7716" w:rsidRDefault="00CB7716" w:rsidP="00B67B69">
      <w:pPr>
        <w:spacing w:after="240"/>
      </w:pPr>
      <w:r>
        <w:t>FSANZ categorised</w:t>
      </w:r>
      <w:r w:rsidRPr="0013561C">
        <w:t xml:space="preserve"> food business</w:t>
      </w:r>
      <w:r>
        <w:t>es</w:t>
      </w:r>
      <w:r w:rsidRPr="0013561C">
        <w:t xml:space="preserve"> based on risk profiling </w:t>
      </w:r>
      <w:r>
        <w:t xml:space="preserve">their </w:t>
      </w:r>
      <w:r w:rsidRPr="0013561C">
        <w:t>food handling activities and association with fo</w:t>
      </w:r>
      <w:r>
        <w:t xml:space="preserve">odborne illness outbreaks. This approach allows for graduated regulation, based on the risk the business potentially poses. </w:t>
      </w:r>
    </w:p>
    <w:p w14:paraId="353252A9" w14:textId="1188FF34" w:rsidR="00CB7716" w:rsidRDefault="00CB7716" w:rsidP="00B67B69">
      <w:pPr>
        <w:spacing w:after="240"/>
      </w:pPr>
      <w:r w:rsidRPr="0044263C">
        <w:t>The analysis above indicates that the status quo and self-regulation are not the preferred options</w:t>
      </w:r>
      <w:r>
        <w:t xml:space="preserve">. </w:t>
      </w:r>
    </w:p>
    <w:p w14:paraId="6699EDB7" w14:textId="38438521" w:rsidR="00CB7716" w:rsidRDefault="00CB7716" w:rsidP="00B67B69">
      <w:pPr>
        <w:spacing w:after="240"/>
      </w:pPr>
      <w:r>
        <w:t xml:space="preserve">The preferred option for Category 1 businesses is option 3.2, and for Category 2 businesses option 3.1 is preferred. </w:t>
      </w:r>
      <w:bookmarkEnd w:id="81"/>
      <w:bookmarkEnd w:id="82"/>
      <w:bookmarkEnd w:id="83"/>
    </w:p>
    <w:p w14:paraId="3A417AE5" w14:textId="61FB5162" w:rsidR="00CB7716" w:rsidRDefault="00CB7716" w:rsidP="00B67B69">
      <w:pPr>
        <w:spacing w:after="240"/>
      </w:pPr>
      <w:r>
        <w:t xml:space="preserve">For Category 1 businesses, both option 3.1 and 3.2 are individually well targeted in the setting. However, FSANZ considers that the package of all three tools provides a complementary effect that results in a more effective risk mitigation. </w:t>
      </w:r>
    </w:p>
    <w:p w14:paraId="7D146EDE" w14:textId="77777777" w:rsidR="00CB7716" w:rsidRDefault="00CB7716" w:rsidP="00B67B69">
      <w:pPr>
        <w:spacing w:after="240"/>
      </w:pPr>
      <w:r>
        <w:t xml:space="preserve">For Category 2 businesses, while both options provide a strong net benefit, option 3.1 focusing on skills and knowledge of food handlers would be best targeted to mitigate risk in the setting. This recognises the different food handling activities and associated risk between Category 1 and 2 businesses. </w:t>
      </w:r>
    </w:p>
    <w:p w14:paraId="13EE2606" w14:textId="0F8FA7A8" w:rsidR="00CB7716" w:rsidRPr="0025246D" w:rsidRDefault="00CB7716" w:rsidP="0025246D">
      <w:pPr>
        <w:pStyle w:val="Heading2"/>
        <w:numPr>
          <w:ilvl w:val="0"/>
          <w:numId w:val="0"/>
        </w:numPr>
        <w:ind w:left="576" w:hanging="576"/>
        <w:rPr>
          <w:rStyle w:val="Heading1Char"/>
          <w:b/>
          <w:bCs/>
          <w:sz w:val="28"/>
          <w:szCs w:val="22"/>
        </w:rPr>
      </w:pPr>
      <w:bookmarkStart w:id="113" w:name="_5._Who_was"/>
      <w:bookmarkStart w:id="114" w:name="_Toc107412697"/>
      <w:bookmarkStart w:id="115" w:name="_Toc109300455"/>
      <w:bookmarkStart w:id="116" w:name="_Toc121311417"/>
      <w:bookmarkEnd w:id="113"/>
      <w:r w:rsidRPr="0025246D">
        <w:rPr>
          <w:rStyle w:val="Heading1Char"/>
          <w:b/>
          <w:bCs/>
          <w:sz w:val="28"/>
          <w:szCs w:val="22"/>
        </w:rPr>
        <w:t>5</w:t>
      </w:r>
      <w:r w:rsidRPr="0025246D">
        <w:rPr>
          <w:rStyle w:val="Heading1Char"/>
          <w:b/>
          <w:bCs/>
          <w:sz w:val="28"/>
          <w:szCs w:val="22"/>
        </w:rPr>
        <w:tab/>
        <w:t>Who was consulted and how was their feedback incorporated?</w:t>
      </w:r>
      <w:bookmarkEnd w:id="114"/>
      <w:bookmarkEnd w:id="115"/>
      <w:bookmarkEnd w:id="116"/>
    </w:p>
    <w:p w14:paraId="323572E5" w14:textId="4456E79F" w:rsidR="00CB7716" w:rsidRPr="006B7E0B" w:rsidRDefault="00CB7716" w:rsidP="00B67B69">
      <w:pPr>
        <w:spacing w:after="240"/>
      </w:pPr>
      <w:bookmarkStart w:id="117" w:name="_Toc34227341"/>
      <w:bookmarkStart w:id="118" w:name="_Toc63258296"/>
      <w:r w:rsidRPr="68C0CA2D">
        <w:rPr>
          <w:lang w:val="en-AU"/>
        </w:rPr>
        <w:t>Consultation is a key part of FSANZ’s standards development process and is underpinned by our statutory consultation process. We consult with stakeholders to ensure we understand their business, and to seek information and advice to inform our proposal assessment and standard development.</w:t>
      </w:r>
    </w:p>
    <w:p w14:paraId="4785964E" w14:textId="4AF75A3B" w:rsidR="00CB7716" w:rsidRPr="00D852B0" w:rsidRDefault="00CB7716" w:rsidP="006D619E">
      <w:pPr>
        <w:pStyle w:val="Heading3"/>
        <w:numPr>
          <w:ilvl w:val="0"/>
          <w:numId w:val="0"/>
        </w:numPr>
        <w:ind w:left="720" w:hanging="720"/>
      </w:pPr>
      <w:bookmarkStart w:id="119" w:name="_Toc107412698"/>
      <w:bookmarkStart w:id="120" w:name="_Toc109300456"/>
      <w:r>
        <w:t>5.1</w:t>
      </w:r>
      <w:r>
        <w:tab/>
      </w:r>
      <w:r w:rsidRPr="00D852B0">
        <w:t>Who and how we consulted</w:t>
      </w:r>
      <w:bookmarkEnd w:id="119"/>
      <w:bookmarkEnd w:id="120"/>
    </w:p>
    <w:p w14:paraId="6AE40361" w14:textId="77777777" w:rsidR="00CB7716" w:rsidRPr="00AA50BB" w:rsidRDefault="00CB7716" w:rsidP="00B67B69">
      <w:pPr>
        <w:spacing w:after="240"/>
        <w:rPr>
          <w:lang w:val="en-AU"/>
        </w:rPr>
      </w:pPr>
      <w:r>
        <w:rPr>
          <w:lang w:val="en-AU"/>
        </w:rPr>
        <w:t>A range of c</w:t>
      </w:r>
      <w:r w:rsidRPr="00AA50BB">
        <w:rPr>
          <w:lang w:val="en-AU"/>
        </w:rPr>
        <w:t xml:space="preserve">onsultation activities on this project and the proposed tools have spanned </w:t>
      </w:r>
      <w:r>
        <w:rPr>
          <w:lang w:val="en-AU"/>
        </w:rPr>
        <w:t>many</w:t>
      </w:r>
      <w:r w:rsidRPr="00AA50BB">
        <w:rPr>
          <w:lang w:val="en-AU"/>
        </w:rPr>
        <w:t xml:space="preserve"> years</w:t>
      </w:r>
      <w:r>
        <w:rPr>
          <w:lang w:val="en-AU"/>
        </w:rPr>
        <w:t>,</w:t>
      </w:r>
      <w:r w:rsidRPr="00AA50BB">
        <w:rPr>
          <w:lang w:val="en-AU"/>
        </w:rPr>
        <w:t xml:space="preserve"> </w:t>
      </w:r>
      <w:r>
        <w:rPr>
          <w:lang w:val="en-AU"/>
        </w:rPr>
        <w:t>ensuring</w:t>
      </w:r>
      <w:r w:rsidRPr="00AA50BB">
        <w:rPr>
          <w:lang w:val="en-AU"/>
        </w:rPr>
        <w:t xml:space="preserve"> all viable options have been </w:t>
      </w:r>
      <w:r>
        <w:rPr>
          <w:lang w:val="en-AU"/>
        </w:rPr>
        <w:t xml:space="preserve">carefully </w:t>
      </w:r>
      <w:r w:rsidRPr="00AA50BB">
        <w:rPr>
          <w:lang w:val="en-AU"/>
        </w:rPr>
        <w:t xml:space="preserve">considered. </w:t>
      </w:r>
      <w:r>
        <w:rPr>
          <w:lang w:val="en-AU"/>
        </w:rPr>
        <w:t>C</w:t>
      </w:r>
      <w:r w:rsidRPr="00AA50BB">
        <w:rPr>
          <w:lang w:val="en-AU"/>
        </w:rPr>
        <w:t xml:space="preserve">onsultations were held with over 400 stakeholders including local government, representatives of food businesses covered by the policy guideline (caterers, restaurants, clubs, cafes, </w:t>
      </w:r>
      <w:proofErr w:type="gramStart"/>
      <w:r w:rsidRPr="00AA50BB">
        <w:rPr>
          <w:lang w:val="en-AU"/>
        </w:rPr>
        <w:t>supermarkets</w:t>
      </w:r>
      <w:proofErr w:type="gramEnd"/>
      <w:r w:rsidRPr="00AA50BB">
        <w:rPr>
          <w:lang w:val="en-AU"/>
        </w:rPr>
        <w:t>), industry bodies (i.e. Restaurant and Caterers’ Australia, Australian Hotels Association, Clubs Australia), providers of afterschool care and registered training organisations. Workshops were held face</w:t>
      </w:r>
      <w:r>
        <w:rPr>
          <w:lang w:val="en-AU"/>
        </w:rPr>
        <w:t xml:space="preserve"> </w:t>
      </w:r>
      <w:r w:rsidRPr="00AA50BB">
        <w:rPr>
          <w:lang w:val="en-AU"/>
        </w:rPr>
        <w:t>to</w:t>
      </w:r>
      <w:r>
        <w:rPr>
          <w:lang w:val="en-AU"/>
        </w:rPr>
        <w:t xml:space="preserve"> </w:t>
      </w:r>
      <w:r w:rsidRPr="00AA50BB">
        <w:rPr>
          <w:lang w:val="en-AU"/>
        </w:rPr>
        <w:t>face</w:t>
      </w:r>
      <w:r>
        <w:rPr>
          <w:lang w:val="en-AU"/>
        </w:rPr>
        <w:t>,</w:t>
      </w:r>
      <w:r w:rsidRPr="00AA50BB">
        <w:rPr>
          <w:lang w:val="en-AU"/>
        </w:rPr>
        <w:t xml:space="preserve"> and stakeholder feedback was sought via online surveys. </w:t>
      </w:r>
    </w:p>
    <w:p w14:paraId="4862804C" w14:textId="621C5D35" w:rsidR="00CB7716" w:rsidRDefault="00CB7716" w:rsidP="00B67B69">
      <w:pPr>
        <w:spacing w:after="240"/>
        <w:rPr>
          <w:lang w:val="en-AU"/>
        </w:rPr>
      </w:pPr>
      <w:r w:rsidRPr="68C0CA2D">
        <w:rPr>
          <w:lang w:val="en-AU"/>
        </w:rPr>
        <w:t xml:space="preserve">The use of online surveys more recently addressed the challenges with stakeholder engagement during the COVID-19 pandemic, ensuring the effectiveness of any regulatory measures proposed. We received 328 responses to our targeted online survey, including at least 117 from in-scope businesses and industry associations (it was not compulsory to </w:t>
      </w:r>
      <w:r w:rsidRPr="48861835">
        <w:rPr>
          <w:lang w:val="en-AU"/>
        </w:rPr>
        <w:t>provide</w:t>
      </w:r>
      <w:r w:rsidRPr="68C0CA2D">
        <w:rPr>
          <w:lang w:val="en-AU"/>
        </w:rPr>
        <w:t xml:space="preserve"> this information and some respondents did not answer). We reached out to small-to-medium enterprises and used existing mechanisms to engage with businesses in each jurisdiction.</w:t>
      </w:r>
    </w:p>
    <w:p w14:paraId="05E0B85B" w14:textId="5876B283" w:rsidR="00CB7716" w:rsidRPr="002C4D15" w:rsidRDefault="00CB7716" w:rsidP="00B67B69">
      <w:pPr>
        <w:spacing w:after="240"/>
        <w:rPr>
          <w:color w:val="000000" w:themeColor="text1"/>
        </w:rPr>
      </w:pPr>
      <w:r w:rsidRPr="48861835">
        <w:rPr>
          <w:color w:val="000000" w:themeColor="text1"/>
          <w:lang w:val="en-AU"/>
        </w:rPr>
        <w:t xml:space="preserve">A call for submissions (CFS) report to consult on the proposed draft </w:t>
      </w:r>
      <w:r>
        <w:rPr>
          <w:color w:val="000000" w:themeColor="text1"/>
          <w:lang w:val="en-AU"/>
        </w:rPr>
        <w:t>s</w:t>
      </w:r>
      <w:r w:rsidRPr="48861835">
        <w:rPr>
          <w:color w:val="000000" w:themeColor="text1"/>
          <w:lang w:val="en-AU"/>
        </w:rPr>
        <w:t xml:space="preserve">tandard was released 14 Feb 2022 for a period of eight weeks, then extended by another week at stakeholder's request. In total, 44 responses were received from stakeholders including state/territory and local governments, industry associations, special interest groups and individual businesses (training services and equipment providers). </w:t>
      </w:r>
    </w:p>
    <w:p w14:paraId="190D3F3F" w14:textId="699515D9" w:rsidR="00CB7716" w:rsidRPr="00143B41" w:rsidRDefault="00CB7716" w:rsidP="006D619E">
      <w:pPr>
        <w:pStyle w:val="Heading3"/>
        <w:numPr>
          <w:ilvl w:val="0"/>
          <w:numId w:val="0"/>
        </w:numPr>
        <w:ind w:left="720" w:hanging="720"/>
      </w:pPr>
      <w:bookmarkStart w:id="121" w:name="_Toc107412699"/>
      <w:bookmarkStart w:id="122" w:name="_Toc109300457"/>
      <w:r w:rsidRPr="48861835">
        <w:t>5.2</w:t>
      </w:r>
      <w:r>
        <w:tab/>
      </w:r>
      <w:r w:rsidRPr="48861835">
        <w:t>Stakeholder views</w:t>
      </w:r>
      <w:bookmarkEnd w:id="121"/>
      <w:bookmarkEnd w:id="122"/>
    </w:p>
    <w:p w14:paraId="2C40129A" w14:textId="2D325F27" w:rsidR="00CB7716" w:rsidRDefault="00CB7716" w:rsidP="00B67B69">
      <w:pPr>
        <w:spacing w:after="240"/>
        <w:rPr>
          <w:lang w:val="en-AU"/>
        </w:rPr>
      </w:pPr>
      <w:r w:rsidRPr="48861835">
        <w:rPr>
          <w:lang w:val="en-AU"/>
        </w:rPr>
        <w:t>Experiences and views have been sought on existing issues and tools, which additional measures are likely to have the greatest impact on food safety outcomes</w:t>
      </w:r>
      <w:r>
        <w:rPr>
          <w:lang w:val="en-AU"/>
        </w:rPr>
        <w:t xml:space="preserve"> and the proposed draft s</w:t>
      </w:r>
      <w:r w:rsidRPr="48861835">
        <w:rPr>
          <w:lang w:val="en-AU"/>
        </w:rPr>
        <w:t xml:space="preserve">tandard. </w:t>
      </w:r>
      <w:r w:rsidRPr="68C0CA2D">
        <w:rPr>
          <w:lang w:val="en-AU"/>
        </w:rPr>
        <w:t xml:space="preserve">There was a strong and consistent view from all stakeholders that food safety remains a problem in the food service and related retail sectors. </w:t>
      </w:r>
    </w:p>
    <w:p w14:paraId="3116790F" w14:textId="77777777" w:rsidR="00CB7716" w:rsidRPr="00AA50BB" w:rsidRDefault="00CB7716" w:rsidP="00B67B69">
      <w:pPr>
        <w:spacing w:after="240"/>
        <w:rPr>
          <w:lang w:val="en-AU"/>
        </w:rPr>
      </w:pPr>
      <w:r w:rsidRPr="68C0CA2D">
        <w:rPr>
          <w:lang w:val="en-AU"/>
        </w:rPr>
        <w:t xml:space="preserve">Generally, industry stakeholders have been supportive of </w:t>
      </w:r>
      <w:r w:rsidRPr="48861835">
        <w:rPr>
          <w:lang w:val="en-AU"/>
        </w:rPr>
        <w:t>national</w:t>
      </w:r>
      <w:r w:rsidRPr="68C0CA2D">
        <w:rPr>
          <w:lang w:val="en-AU"/>
        </w:rPr>
        <w:t xml:space="preserve"> regulatory measures in the Code, provided the following points are considered:</w:t>
      </w:r>
    </w:p>
    <w:p w14:paraId="462F097E" w14:textId="3C700733" w:rsidR="00CB7716" w:rsidRPr="00B67B69" w:rsidRDefault="00B67B69" w:rsidP="004E6D96">
      <w:pPr>
        <w:pStyle w:val="ListParagraph"/>
        <w:numPr>
          <w:ilvl w:val="0"/>
          <w:numId w:val="32"/>
        </w:numPr>
        <w:spacing w:after="240"/>
        <w:rPr>
          <w:lang w:val="en-AU"/>
        </w:rPr>
      </w:pPr>
      <w:r>
        <w:rPr>
          <w:lang w:val="en-AU"/>
        </w:rPr>
        <w:t>r</w:t>
      </w:r>
      <w:r w:rsidR="00CB7716" w:rsidRPr="00B67B69">
        <w:rPr>
          <w:lang w:val="en-AU"/>
        </w:rPr>
        <w:t>egulatory measures are just</w:t>
      </w:r>
      <w:r>
        <w:rPr>
          <w:lang w:val="en-AU"/>
        </w:rPr>
        <w:t>ified and proportionate to risk</w:t>
      </w:r>
    </w:p>
    <w:p w14:paraId="158C06D6" w14:textId="47672890" w:rsidR="00CB7716" w:rsidRPr="00B67B69" w:rsidRDefault="00B67B69" w:rsidP="004E6D96">
      <w:pPr>
        <w:pStyle w:val="ListParagraph"/>
        <w:numPr>
          <w:ilvl w:val="0"/>
          <w:numId w:val="32"/>
        </w:numPr>
        <w:spacing w:after="240"/>
        <w:rPr>
          <w:lang w:val="en-AU"/>
        </w:rPr>
      </w:pPr>
      <w:r>
        <w:rPr>
          <w:lang w:val="en-AU"/>
        </w:rPr>
        <w:t>t</w:t>
      </w:r>
      <w:r w:rsidR="00CB7716" w:rsidRPr="00B67B69">
        <w:rPr>
          <w:lang w:val="en-AU"/>
        </w:rPr>
        <w:t>raining for food handlers and FSS needs to be up-to-date, meet the intended purpose and take into account literacy, language and numeracy levels of the diverse staff working in food service businesses</w:t>
      </w:r>
    </w:p>
    <w:p w14:paraId="37EEEDF9" w14:textId="0B7425A8" w:rsidR="00CB7716" w:rsidRPr="00B67B69" w:rsidRDefault="00B67B69" w:rsidP="004E6D96">
      <w:pPr>
        <w:pStyle w:val="ListParagraph"/>
        <w:numPr>
          <w:ilvl w:val="0"/>
          <w:numId w:val="32"/>
        </w:numPr>
        <w:spacing w:after="240"/>
        <w:rPr>
          <w:lang w:val="en-AU"/>
        </w:rPr>
      </w:pPr>
      <w:r>
        <w:rPr>
          <w:lang w:val="en-AU"/>
        </w:rPr>
        <w:t>a</w:t>
      </w:r>
      <w:r w:rsidR="00CB7716" w:rsidRPr="00B67B69">
        <w:rPr>
          <w:lang w:val="en-AU"/>
        </w:rPr>
        <w:t xml:space="preserve"> mechanism is needed to regulate and monitor the quality of training provided</w:t>
      </w:r>
      <w:r w:rsidR="00CB7716" w:rsidRPr="00B67B69" w:rsidDel="009473FD">
        <w:rPr>
          <w:lang w:val="en-AU"/>
        </w:rPr>
        <w:t xml:space="preserve"> </w:t>
      </w:r>
      <w:r w:rsidR="00CB7716" w:rsidRPr="00B67B69">
        <w:rPr>
          <w:lang w:val="en-AU"/>
        </w:rPr>
        <w:t>by registered training organisations</w:t>
      </w:r>
    </w:p>
    <w:p w14:paraId="642C4611" w14:textId="52BC079A" w:rsidR="00CB7716" w:rsidRPr="00B67B69" w:rsidRDefault="00B67B69" w:rsidP="004E6D96">
      <w:pPr>
        <w:pStyle w:val="ListParagraph"/>
        <w:numPr>
          <w:ilvl w:val="0"/>
          <w:numId w:val="32"/>
        </w:numPr>
        <w:spacing w:after="240"/>
        <w:rPr>
          <w:lang w:val="en-AU"/>
        </w:rPr>
      </w:pPr>
      <w:r>
        <w:rPr>
          <w:lang w:val="en-AU"/>
        </w:rPr>
        <w:t>f</w:t>
      </w:r>
      <w:r w:rsidR="00CB7716" w:rsidRPr="00B67B69">
        <w:rPr>
          <w:lang w:val="en-AU"/>
        </w:rPr>
        <w:t>lexible and simple templates</w:t>
      </w:r>
      <w:r w:rsidR="00CB7716" w:rsidRPr="00B67B69" w:rsidDel="00971811">
        <w:rPr>
          <w:lang w:val="en-AU"/>
        </w:rPr>
        <w:t xml:space="preserve"> </w:t>
      </w:r>
      <w:r w:rsidR="00CB7716" w:rsidRPr="00B67B69">
        <w:rPr>
          <w:lang w:val="en-AU"/>
        </w:rPr>
        <w:t>need to be used to implement a graduated, activity-based, risk management approach to evidence-keeping measures</w:t>
      </w:r>
    </w:p>
    <w:p w14:paraId="1188E780" w14:textId="1D6F0037" w:rsidR="00CB7716" w:rsidRPr="00B67B69" w:rsidRDefault="00B67B69" w:rsidP="004E6D96">
      <w:pPr>
        <w:pStyle w:val="ListParagraph"/>
        <w:numPr>
          <w:ilvl w:val="0"/>
          <w:numId w:val="32"/>
        </w:numPr>
        <w:spacing w:after="240"/>
        <w:rPr>
          <w:lang w:val="en-AU"/>
        </w:rPr>
      </w:pPr>
      <w:proofErr w:type="gramStart"/>
      <w:r>
        <w:rPr>
          <w:lang w:val="en-AU"/>
        </w:rPr>
        <w:t>n</w:t>
      </w:r>
      <w:r w:rsidR="00CB7716" w:rsidRPr="00B67B69">
        <w:rPr>
          <w:lang w:val="en-AU"/>
        </w:rPr>
        <w:t>on-regulatory</w:t>
      </w:r>
      <w:proofErr w:type="gramEnd"/>
      <w:r w:rsidR="00CB7716" w:rsidRPr="00B67B69">
        <w:rPr>
          <w:lang w:val="en-AU"/>
        </w:rPr>
        <w:t xml:space="preserve"> tools need to be developed to support regulatory tools.</w:t>
      </w:r>
      <w:r w:rsidR="00CB7716" w:rsidRPr="00B67B69" w:rsidDel="00971811">
        <w:rPr>
          <w:lang w:val="en-AU"/>
        </w:rPr>
        <w:t xml:space="preserve"> </w:t>
      </w:r>
    </w:p>
    <w:p w14:paraId="4C25CD80" w14:textId="4182E09D" w:rsidR="00CB7716" w:rsidRDefault="00CB7716" w:rsidP="00B67B69">
      <w:pPr>
        <w:spacing w:after="240"/>
        <w:rPr>
          <w:lang w:val="en-AU"/>
        </w:rPr>
      </w:pPr>
      <w:r w:rsidRPr="68C0CA2D">
        <w:rPr>
          <w:lang w:val="en-AU"/>
        </w:rPr>
        <w:t>In submissi</w:t>
      </w:r>
      <w:r>
        <w:rPr>
          <w:lang w:val="en-AU"/>
        </w:rPr>
        <w:t>ons to the CFS on the proposed s</w:t>
      </w:r>
      <w:r w:rsidRPr="68C0CA2D">
        <w:rPr>
          <w:lang w:val="en-AU"/>
        </w:rPr>
        <w:t xml:space="preserve">tandard, over all there was broad support for FSANZ’s preferred option of graduated regulation together with non-regulatory resources. Many stakeholders agreed the proposed measures should improve food safety culture, skills, </w:t>
      </w:r>
      <w:proofErr w:type="gramStart"/>
      <w:r w:rsidRPr="68C0CA2D">
        <w:rPr>
          <w:lang w:val="en-AU"/>
        </w:rPr>
        <w:t>knowledge</w:t>
      </w:r>
      <w:proofErr w:type="gramEnd"/>
      <w:r w:rsidRPr="68C0CA2D">
        <w:rPr>
          <w:lang w:val="en-AU"/>
        </w:rPr>
        <w:t xml:space="preserve"> and food safety practices and reduce foodborne illness. There was also strong support for a nationally consistent approach to the regulation, tools and resources. Three submissions rejected the proposed approach, largely based on specific interests beyond the scope of the proposal.</w:t>
      </w:r>
    </w:p>
    <w:p w14:paraId="61498396" w14:textId="503BF063" w:rsidR="00CB7716" w:rsidRDefault="00CB7716" w:rsidP="00B67B69">
      <w:pPr>
        <w:spacing w:after="240"/>
        <w:rPr>
          <w:lang w:val="en-AU"/>
        </w:rPr>
      </w:pPr>
      <w:r w:rsidRPr="68C0CA2D">
        <w:rPr>
          <w:lang w:val="en-AU"/>
        </w:rPr>
        <w:t xml:space="preserve">Most submissions to the CFS were from local councils, who included concerns about specific implementation matters should the standards be introduced. They expressed a strong need for clear, timely training and guidance on the business categorisation, regulatory requirements and enforcement. Some were concerned about the extra time, effort and cost the new measures would impose on regulators as well as businesses, especially small businesses. </w:t>
      </w:r>
    </w:p>
    <w:p w14:paraId="5C49F465" w14:textId="77777777" w:rsidR="00CB7716" w:rsidRPr="002C4D15" w:rsidRDefault="00CB7716" w:rsidP="00B67B69">
      <w:pPr>
        <w:spacing w:after="240"/>
        <w:rPr>
          <w:lang w:val="en-AU"/>
        </w:rPr>
      </w:pPr>
      <w:r w:rsidRPr="68C0CA2D">
        <w:rPr>
          <w:lang w:val="en-AU"/>
        </w:rPr>
        <w:t>Feedback on the three regulatory tools included:</w:t>
      </w:r>
    </w:p>
    <w:p w14:paraId="1C31BDE8" w14:textId="77777777" w:rsidR="00CB7716" w:rsidRPr="002C4D15" w:rsidRDefault="00CB7716" w:rsidP="00B67B69">
      <w:pPr>
        <w:spacing w:after="240"/>
        <w:rPr>
          <w:lang w:val="en-AU"/>
        </w:rPr>
      </w:pPr>
      <w:r w:rsidRPr="00B67B69">
        <w:rPr>
          <w:b/>
          <w:lang w:val="en-AU"/>
        </w:rPr>
        <w:t>FSS</w:t>
      </w:r>
      <w:r w:rsidRPr="68C0CA2D">
        <w:rPr>
          <w:lang w:val="en-AU"/>
        </w:rPr>
        <w:t xml:space="preserve"> – Training should be standardised, accessible (considering languages, remote access, face-to-face and online options), and regularly refreshed (e.g. 3-5 years)</w:t>
      </w:r>
    </w:p>
    <w:p w14:paraId="42DC742F" w14:textId="77777777" w:rsidR="00B67B69" w:rsidRDefault="00CB7716" w:rsidP="00B67B69">
      <w:pPr>
        <w:spacing w:after="240"/>
        <w:rPr>
          <w:lang w:val="en-AU"/>
        </w:rPr>
      </w:pPr>
      <w:r w:rsidRPr="00B67B69">
        <w:rPr>
          <w:b/>
          <w:lang w:val="en-AU"/>
        </w:rPr>
        <w:t>FHT</w:t>
      </w:r>
      <w:r w:rsidRPr="68C0CA2D">
        <w:rPr>
          <w:lang w:val="en-AU"/>
        </w:rPr>
        <w:t xml:space="preserve"> – Training should be standardised with the potential to be tailored for specific food handling activities (e.g. sous vide), accessible (as above) and free for councils and businesses. Tools are needed (or training certificates required) to help regulators assess the adequacy of training. Some submissions raised the need for regular refresher training.</w:t>
      </w:r>
    </w:p>
    <w:p w14:paraId="659A24CB" w14:textId="22E4E972" w:rsidR="00CB7716" w:rsidRPr="002C4D15" w:rsidRDefault="00CB7716" w:rsidP="00B67B69">
      <w:pPr>
        <w:spacing w:after="240"/>
        <w:rPr>
          <w:lang w:val="en-AU"/>
        </w:rPr>
      </w:pPr>
      <w:r w:rsidRPr="00B67B69">
        <w:rPr>
          <w:b/>
          <w:lang w:val="en-AU"/>
        </w:rPr>
        <w:t>E requirement</w:t>
      </w:r>
      <w:r w:rsidRPr="68C0CA2D">
        <w:rPr>
          <w:lang w:val="en-AU"/>
        </w:rPr>
        <w:t xml:space="preserve"> – Guidance is needed on what evidence is required, and tools should be readily available (e.g. tailored templates) for businesses.</w:t>
      </w:r>
    </w:p>
    <w:p w14:paraId="65826DBD" w14:textId="6F91E72D" w:rsidR="00CB7716" w:rsidRPr="002C4D15" w:rsidRDefault="00CB7716" w:rsidP="00B67B69">
      <w:pPr>
        <w:spacing w:after="240"/>
        <w:rPr>
          <w:lang w:val="en-AU"/>
        </w:rPr>
      </w:pPr>
      <w:r w:rsidRPr="68C0CA2D">
        <w:rPr>
          <w:lang w:val="en-AU"/>
        </w:rPr>
        <w:t xml:space="preserve">Some answers to the questions posed in the call for submissions were provided, and limited information and statistics were provided on business numbers, classification and auditing. </w:t>
      </w:r>
    </w:p>
    <w:p w14:paraId="57B8DE60" w14:textId="29718984" w:rsidR="00CB7716" w:rsidRPr="00143B41" w:rsidRDefault="00CB7716" w:rsidP="006D619E">
      <w:pPr>
        <w:pStyle w:val="Heading3"/>
        <w:numPr>
          <w:ilvl w:val="0"/>
          <w:numId w:val="0"/>
        </w:numPr>
        <w:ind w:left="720" w:hanging="720"/>
      </w:pPr>
      <w:bookmarkStart w:id="123" w:name="_Toc107412700"/>
      <w:bookmarkStart w:id="124" w:name="_Toc109300458"/>
      <w:r>
        <w:t>5.3</w:t>
      </w:r>
      <w:r>
        <w:tab/>
      </w:r>
      <w:r w:rsidRPr="00143B41">
        <w:t>How we incorporated feedback</w:t>
      </w:r>
      <w:bookmarkEnd w:id="123"/>
      <w:bookmarkEnd w:id="124"/>
    </w:p>
    <w:p w14:paraId="6A37E63C" w14:textId="77777777" w:rsidR="00CB7716" w:rsidRPr="00AA50BB" w:rsidRDefault="00CB7716" w:rsidP="00B67B69">
      <w:pPr>
        <w:spacing w:after="240"/>
        <w:rPr>
          <w:color w:val="000000" w:themeColor="text1"/>
          <w:lang w:val="en-AU"/>
        </w:rPr>
      </w:pPr>
      <w:r w:rsidRPr="68C0CA2D">
        <w:rPr>
          <w:lang w:val="en-AU"/>
        </w:rPr>
        <w:t xml:space="preserve">Stakeholder feedback throughout the proposal enabled FSANZ to further evaluate and refine options, to present a package of regulatory and non-regulatory </w:t>
      </w:r>
      <w:r w:rsidRPr="48861835">
        <w:rPr>
          <w:lang w:val="en-AU"/>
        </w:rPr>
        <w:t xml:space="preserve">measures </w:t>
      </w:r>
      <w:r w:rsidRPr="68C0CA2D">
        <w:rPr>
          <w:lang w:val="en-AU"/>
        </w:rPr>
        <w:t xml:space="preserve">in the </w:t>
      </w:r>
      <w:r w:rsidRPr="48861835">
        <w:rPr>
          <w:lang w:val="en-AU"/>
        </w:rPr>
        <w:t xml:space="preserve">CFS </w:t>
      </w:r>
      <w:r w:rsidRPr="48861835">
        <w:rPr>
          <w:color w:val="000000" w:themeColor="text1"/>
          <w:lang w:val="en-AU"/>
        </w:rPr>
        <w:t xml:space="preserve">report. Feedback provided in response to the CFS was considered in </w:t>
      </w:r>
      <w:r w:rsidRPr="68C0CA2D">
        <w:rPr>
          <w:color w:val="000000" w:themeColor="text1"/>
          <w:lang w:val="en-AU"/>
        </w:rPr>
        <w:t xml:space="preserve">our </w:t>
      </w:r>
      <w:r w:rsidRPr="48861835">
        <w:rPr>
          <w:color w:val="000000" w:themeColor="text1"/>
          <w:lang w:val="en-AU"/>
        </w:rPr>
        <w:t>final analysis.</w:t>
      </w:r>
    </w:p>
    <w:p w14:paraId="7D887212" w14:textId="5D4C96FA" w:rsidR="00CB7716" w:rsidRDefault="00CB7716" w:rsidP="00B67B69">
      <w:pPr>
        <w:spacing w:after="240"/>
        <w:rPr>
          <w:color w:val="000000" w:themeColor="text1"/>
          <w:lang w:val="en-AU"/>
        </w:rPr>
      </w:pPr>
      <w:r w:rsidRPr="68C0CA2D">
        <w:rPr>
          <w:color w:val="000000" w:themeColor="text1"/>
          <w:lang w:val="en-AU"/>
        </w:rPr>
        <w:t xml:space="preserve">We have targeted regulatory measures to our risk profiling of businesses, based on the relative risk of their food handling activities. </w:t>
      </w:r>
    </w:p>
    <w:p w14:paraId="768D1A6A" w14:textId="04AB9DA8" w:rsidR="00CB7716" w:rsidRDefault="00CB7716" w:rsidP="00B67B69">
      <w:pPr>
        <w:spacing w:after="240"/>
        <w:rPr>
          <w:color w:val="000000" w:themeColor="text1"/>
          <w:lang w:val="en-AU"/>
        </w:rPr>
      </w:pPr>
      <w:r w:rsidRPr="68C0CA2D">
        <w:rPr>
          <w:color w:val="000000" w:themeColor="text1"/>
          <w:lang w:val="en-AU"/>
        </w:rPr>
        <w:t>Industry’s primary concern is minimising the burden and cost on businesses of introducing new regulatory tools. Local government is similarly concerned with limiting the additional burden on already stretched EHO’s, as well as ensuring guidance and training is provided to assist consistent enforcement.</w:t>
      </w:r>
    </w:p>
    <w:p w14:paraId="1E3B5AB5" w14:textId="77777777" w:rsidR="00CB7716" w:rsidRPr="00AA50BB" w:rsidRDefault="00CB7716" w:rsidP="00B67B69">
      <w:pPr>
        <w:spacing w:after="240"/>
        <w:rPr>
          <w:lang w:val="en-AU"/>
        </w:rPr>
      </w:pPr>
      <w:r w:rsidRPr="68C0CA2D">
        <w:rPr>
          <w:lang w:val="en-AU"/>
        </w:rPr>
        <w:t>In response, FSANZ has proposed a 12-month commencement period. We have</w:t>
      </w:r>
      <w:r w:rsidRPr="68C0CA2D" w:rsidDel="007C3E95">
        <w:rPr>
          <w:lang w:val="en-AU"/>
        </w:rPr>
        <w:t xml:space="preserve"> </w:t>
      </w:r>
      <w:r w:rsidRPr="68C0CA2D">
        <w:rPr>
          <w:lang w:val="en-AU"/>
        </w:rPr>
        <w:t>ensured our preferred options (section 6) are appropriate to the regulatory context. We will also work with jurisdictions to provide appropriate guidance on the new requirements, if gazetted.</w:t>
      </w:r>
    </w:p>
    <w:p w14:paraId="66139184" w14:textId="151F830B" w:rsidR="00CB7716" w:rsidRPr="0025246D" w:rsidRDefault="00CB7716" w:rsidP="0025246D">
      <w:pPr>
        <w:pStyle w:val="Heading2"/>
        <w:numPr>
          <w:ilvl w:val="0"/>
          <w:numId w:val="0"/>
        </w:numPr>
        <w:ind w:left="576" w:hanging="576"/>
        <w:rPr>
          <w:rStyle w:val="Heading1Char"/>
          <w:b/>
          <w:bCs/>
          <w:sz w:val="28"/>
          <w:szCs w:val="22"/>
        </w:rPr>
      </w:pPr>
      <w:bookmarkStart w:id="125" w:name="_Toc107412701"/>
      <w:bookmarkStart w:id="126" w:name="_Toc109300459"/>
      <w:bookmarkStart w:id="127" w:name="_Toc121311418"/>
      <w:bookmarkEnd w:id="117"/>
      <w:bookmarkEnd w:id="118"/>
      <w:r w:rsidRPr="0025246D">
        <w:rPr>
          <w:rStyle w:val="Heading1Char"/>
          <w:b/>
          <w:bCs/>
          <w:sz w:val="28"/>
          <w:szCs w:val="22"/>
        </w:rPr>
        <w:t>6</w:t>
      </w:r>
      <w:r w:rsidRPr="0025246D">
        <w:rPr>
          <w:rStyle w:val="Heading1Char"/>
          <w:b/>
          <w:bCs/>
          <w:sz w:val="28"/>
          <w:szCs w:val="22"/>
        </w:rPr>
        <w:tab/>
        <w:t>What is the best option from those considered?</w:t>
      </w:r>
      <w:bookmarkEnd w:id="125"/>
      <w:bookmarkEnd w:id="126"/>
      <w:bookmarkEnd w:id="127"/>
    </w:p>
    <w:p w14:paraId="17C264E6" w14:textId="77777777" w:rsidR="00CB7716" w:rsidRPr="00854149" w:rsidRDefault="00CB7716" w:rsidP="00B67B69">
      <w:pPr>
        <w:spacing w:after="240"/>
      </w:pPr>
      <w:r w:rsidRPr="68C0CA2D">
        <w:t>FSANZ’s</w:t>
      </w:r>
      <w:r w:rsidRPr="68C0CA2D" w:rsidDel="00430DDF">
        <w:t xml:space="preserve"> </w:t>
      </w:r>
      <w:r w:rsidRPr="68C0CA2D">
        <w:t>chosen option is a targeted regulatory approach that applies food safety management tools based on risk, cost–benefit and appropriateness:</w:t>
      </w:r>
      <w:r w:rsidRPr="68C0CA2D" w:rsidDel="00AE5BE3">
        <w:t xml:space="preserve"> </w:t>
      </w:r>
    </w:p>
    <w:p w14:paraId="17A58D45" w14:textId="77777777" w:rsidR="00CB7716" w:rsidRPr="00854149" w:rsidRDefault="00CB7716" w:rsidP="004E6D96">
      <w:pPr>
        <w:pStyle w:val="ListParagraph"/>
        <w:numPr>
          <w:ilvl w:val="0"/>
          <w:numId w:val="33"/>
        </w:numPr>
        <w:spacing w:after="240"/>
      </w:pPr>
      <w:r w:rsidRPr="00DA5DD7">
        <w:rPr>
          <w:b/>
        </w:rPr>
        <w:t>Option 3.2</w:t>
      </w:r>
      <w:r w:rsidRPr="00854149">
        <w:t xml:space="preserve"> for Category 1</w:t>
      </w:r>
      <w:r>
        <w:t xml:space="preserve"> businesses</w:t>
      </w:r>
    </w:p>
    <w:p w14:paraId="45294F02" w14:textId="77777777" w:rsidR="00CB7716" w:rsidRPr="00854149" w:rsidRDefault="00CB7716" w:rsidP="004E6D96">
      <w:pPr>
        <w:pStyle w:val="ListParagraph"/>
        <w:numPr>
          <w:ilvl w:val="0"/>
          <w:numId w:val="33"/>
        </w:numPr>
        <w:spacing w:after="240"/>
      </w:pPr>
      <w:r w:rsidRPr="00DA5DD7">
        <w:rPr>
          <w:b/>
        </w:rPr>
        <w:t>Option 3.1</w:t>
      </w:r>
      <w:r w:rsidRPr="00854149">
        <w:t xml:space="preserve"> for Category 2</w:t>
      </w:r>
      <w:r>
        <w:t xml:space="preserve"> businesses</w:t>
      </w:r>
    </w:p>
    <w:p w14:paraId="5CC8C961" w14:textId="77777777" w:rsidR="00CB7716" w:rsidRPr="00854149" w:rsidRDefault="00CB7716" w:rsidP="004E6D96">
      <w:pPr>
        <w:pStyle w:val="ListParagraph"/>
        <w:numPr>
          <w:ilvl w:val="0"/>
          <w:numId w:val="33"/>
        </w:numPr>
        <w:spacing w:after="240"/>
      </w:pPr>
      <w:r w:rsidRPr="00DA5DD7">
        <w:rPr>
          <w:b/>
        </w:rPr>
        <w:t>No additional regulatory measures</w:t>
      </w:r>
      <w:r w:rsidRPr="00854149">
        <w:t xml:space="preserve"> for Category 3. </w:t>
      </w:r>
    </w:p>
    <w:p w14:paraId="14ED1457" w14:textId="62D1F77C" w:rsidR="00CB7716" w:rsidRDefault="00CB7716" w:rsidP="00B67B69">
      <w:pPr>
        <w:spacing w:after="240"/>
        <w:rPr>
          <w:lang w:val="en-AU"/>
        </w:rPr>
      </w:pPr>
      <w:r>
        <w:rPr>
          <w:lang w:val="en-AU"/>
        </w:rPr>
        <w:t>With this approach</w:t>
      </w:r>
      <w:r w:rsidRPr="00854149">
        <w:rPr>
          <w:lang w:val="en-AU"/>
        </w:rPr>
        <w:t xml:space="preserve">, regulatory obligations placed on a food business are proportionately matched to the risk </w:t>
      </w:r>
      <w:r>
        <w:rPr>
          <w:lang w:val="en-AU"/>
        </w:rPr>
        <w:t xml:space="preserve">of </w:t>
      </w:r>
      <w:r w:rsidRPr="00854149">
        <w:rPr>
          <w:lang w:val="en-AU"/>
        </w:rPr>
        <w:t>the</w:t>
      </w:r>
      <w:r>
        <w:rPr>
          <w:lang w:val="en-AU"/>
        </w:rPr>
        <w:t>ir</w:t>
      </w:r>
      <w:r w:rsidRPr="00854149">
        <w:rPr>
          <w:lang w:val="en-AU"/>
        </w:rPr>
        <w:t xml:space="preserve"> activities</w:t>
      </w:r>
      <w:r>
        <w:rPr>
          <w:lang w:val="en-AU"/>
        </w:rPr>
        <w:t xml:space="preserve"> and provide a strong net benefit. </w:t>
      </w:r>
      <w:r w:rsidRPr="002F2193">
        <w:t>The</w:t>
      </w:r>
      <w:r>
        <w:t>y</w:t>
      </w:r>
      <w:r w:rsidRPr="002F2193">
        <w:t xml:space="preserve"> would be supported by non-regulatory tools that focus on food safety culture and education. </w:t>
      </w:r>
      <w:r>
        <w:rPr>
          <w:lang w:val="en-AU"/>
        </w:rPr>
        <w:t>Further details are provided below.</w:t>
      </w:r>
    </w:p>
    <w:p w14:paraId="663217A2" w14:textId="4BC71B36" w:rsidR="00CB7716" w:rsidRPr="00DA5DD7" w:rsidRDefault="00CB7716" w:rsidP="00DA5DD7">
      <w:pPr>
        <w:rPr>
          <w:b/>
          <w:i/>
        </w:rPr>
      </w:pPr>
      <w:r w:rsidRPr="00DA5DD7">
        <w:rPr>
          <w:b/>
          <w:i/>
        </w:rPr>
        <w:t>Category 1</w:t>
      </w:r>
    </w:p>
    <w:p w14:paraId="2AC18D60" w14:textId="77777777" w:rsidR="00CB7716" w:rsidRPr="002F2193" w:rsidRDefault="00CB7716" w:rsidP="00B67B69">
      <w:pPr>
        <w:spacing w:after="240"/>
      </w:pPr>
      <w:r w:rsidRPr="002F2193">
        <w:t xml:space="preserve">Category 1 businesses are food service businesses, such as caterers (onsite and offsite), restaurants, takeaway; and retailers who make and serve potentially hazardous food. </w:t>
      </w:r>
    </w:p>
    <w:p w14:paraId="5E596873" w14:textId="2360862B" w:rsidR="00CB7716" w:rsidRDefault="00CB7716" w:rsidP="00B67B69">
      <w:pPr>
        <w:spacing w:after="240"/>
      </w:pPr>
      <w:r>
        <w:t>C</w:t>
      </w:r>
      <w:r w:rsidRPr="00AB43FF">
        <w:t>haracteristically</w:t>
      </w:r>
      <w:r>
        <w:t>,</w:t>
      </w:r>
      <w:r w:rsidRPr="00AB43FF">
        <w:t xml:space="preserve"> </w:t>
      </w:r>
      <w:r>
        <w:t>t</w:t>
      </w:r>
      <w:r w:rsidRPr="00AB43FF">
        <w:t xml:space="preserve">hese businesses undertake food handling activities that require </w:t>
      </w:r>
      <w:r>
        <w:t>close management</w:t>
      </w:r>
      <w:r w:rsidRPr="00AB43FF">
        <w:t xml:space="preserve"> to produce safe food. There is a strong evidence base for foodborne illness linked to these settings. </w:t>
      </w:r>
    </w:p>
    <w:p w14:paraId="2708F60B" w14:textId="77777777" w:rsidR="00CB7716" w:rsidRDefault="00CB7716" w:rsidP="00B67B69">
      <w:pPr>
        <w:spacing w:after="240"/>
      </w:pPr>
      <w:r>
        <w:rPr>
          <w:b/>
          <w:i/>
        </w:rPr>
        <w:t>Option 3.2</w:t>
      </w:r>
      <w:r w:rsidRPr="00713259">
        <w:rPr>
          <w:b/>
          <w:i/>
        </w:rPr>
        <w:t xml:space="preserve">: </w:t>
      </w:r>
      <w:r>
        <w:t>Mandating all</w:t>
      </w:r>
      <w:r w:rsidRPr="002F2193">
        <w:t xml:space="preserve"> three additional food safety management tools (</w:t>
      </w:r>
      <w:r>
        <w:t>FSS</w:t>
      </w:r>
      <w:r w:rsidRPr="002F2193">
        <w:t xml:space="preserve">, </w:t>
      </w:r>
      <w:r>
        <w:t>FHT</w:t>
      </w:r>
      <w:r w:rsidRPr="002F2193">
        <w:t xml:space="preserve"> and </w:t>
      </w:r>
      <w:r>
        <w:t>E</w:t>
      </w:r>
      <w:r w:rsidRPr="002F2193">
        <w:t xml:space="preserve">) </w:t>
      </w:r>
      <w:r>
        <w:t>is</w:t>
      </w:r>
      <w:r w:rsidRPr="002F2193">
        <w:t xml:space="preserve"> considered appropriate for these businesses. </w:t>
      </w:r>
    </w:p>
    <w:p w14:paraId="1DD3DDEA" w14:textId="74C203B5" w:rsidR="00CB7716" w:rsidRPr="00DA5DD7" w:rsidRDefault="00CB7716" w:rsidP="00DA5DD7">
      <w:pPr>
        <w:rPr>
          <w:b/>
          <w:i/>
        </w:rPr>
      </w:pPr>
      <w:r w:rsidRPr="00DA5DD7">
        <w:rPr>
          <w:b/>
          <w:i/>
        </w:rPr>
        <w:t>Category 2</w:t>
      </w:r>
    </w:p>
    <w:p w14:paraId="7E80BE6F" w14:textId="154072F6" w:rsidR="00A94813" w:rsidRDefault="00CB7716" w:rsidP="00B67B69">
      <w:pPr>
        <w:spacing w:after="240"/>
      </w:pPr>
      <w:r w:rsidRPr="002F2193">
        <w:t xml:space="preserve">Retailers of unpackaged </w:t>
      </w:r>
      <w:r>
        <w:t>RTE</w:t>
      </w:r>
      <w:r w:rsidRPr="002F2193">
        <w:t xml:space="preserve"> </w:t>
      </w:r>
      <w:r>
        <w:t>PHF</w:t>
      </w:r>
      <w:r w:rsidRPr="002F2193">
        <w:t xml:space="preserve"> are placed in </w:t>
      </w:r>
      <w:r>
        <w:t>C</w:t>
      </w:r>
      <w:r w:rsidRPr="002F2193">
        <w:t>ategory</w:t>
      </w:r>
      <w:r>
        <w:t xml:space="preserve"> 2</w:t>
      </w:r>
      <w:r w:rsidRPr="002F2193">
        <w:t xml:space="preserve">. Retailers who only sell pre-packaged food, where the food </w:t>
      </w:r>
      <w:r>
        <w:t>is</w:t>
      </w:r>
      <w:r w:rsidRPr="002F2193">
        <w:t xml:space="preserve"> </w:t>
      </w:r>
      <w:r>
        <w:t>not</w:t>
      </w:r>
      <w:r w:rsidRPr="002F2193">
        <w:t xml:space="preserve"> unpackaged at any time during the control of the retailer – are excluded from this category.</w:t>
      </w:r>
    </w:p>
    <w:p w14:paraId="4AE521CA" w14:textId="343F6133" w:rsidR="00CB7716" w:rsidRDefault="00CB7716" w:rsidP="00B67B69">
      <w:pPr>
        <w:spacing w:after="240"/>
      </w:pPr>
      <w:r>
        <w:t xml:space="preserve">Compared to Category 1, there are fewer critical food handling processes required to produce safe food, and less evidence that foodborne illness is caused by Category 2 settings. </w:t>
      </w:r>
    </w:p>
    <w:p w14:paraId="534E10FB" w14:textId="77777777" w:rsidR="00CB7716" w:rsidRPr="00AB43FF" w:rsidRDefault="00CB7716" w:rsidP="00B67B69">
      <w:pPr>
        <w:spacing w:after="240"/>
      </w:pPr>
      <w:r w:rsidRPr="00ED0666">
        <w:rPr>
          <w:b/>
          <w:i/>
        </w:rPr>
        <w:t>Option 3.1:</w:t>
      </w:r>
      <w:r>
        <w:t xml:space="preserve"> Mandating t</w:t>
      </w:r>
      <w:r w:rsidRPr="002F2193">
        <w:t>wo regulatory food safety management tools (</w:t>
      </w:r>
      <w:r>
        <w:t>FSS</w:t>
      </w:r>
      <w:r w:rsidRPr="002F2193">
        <w:t xml:space="preserve"> and </w:t>
      </w:r>
      <w:r>
        <w:t>FHT</w:t>
      </w:r>
      <w:r w:rsidRPr="002F2193">
        <w:t xml:space="preserve">) </w:t>
      </w:r>
      <w:r>
        <w:t>is</w:t>
      </w:r>
      <w:r w:rsidRPr="002F2193">
        <w:t xml:space="preserve"> considered appropriate. Templates are available to assist these businesses </w:t>
      </w:r>
      <w:r>
        <w:t>with managing food temperature control</w:t>
      </w:r>
      <w:r w:rsidRPr="002F2193">
        <w:t>, but would not be mandated.</w:t>
      </w:r>
    </w:p>
    <w:p w14:paraId="7743BF06" w14:textId="77777777" w:rsidR="00CB7716" w:rsidRPr="00DA5DD7" w:rsidRDefault="00CB7716" w:rsidP="00DA5DD7">
      <w:pPr>
        <w:rPr>
          <w:b/>
          <w:i/>
        </w:rPr>
      </w:pPr>
      <w:r w:rsidRPr="00DA5DD7">
        <w:rPr>
          <w:b/>
          <w:i/>
        </w:rPr>
        <w:t>Category 3</w:t>
      </w:r>
    </w:p>
    <w:p w14:paraId="7D04525F" w14:textId="77777777" w:rsidR="00CB7716" w:rsidRPr="002F2193" w:rsidRDefault="00CB7716" w:rsidP="00B67B69">
      <w:pPr>
        <w:spacing w:after="240"/>
      </w:pPr>
      <w:r w:rsidRPr="002F2193">
        <w:t xml:space="preserve">Retailers of pre-packaged </w:t>
      </w:r>
      <w:r>
        <w:t>RTE</w:t>
      </w:r>
      <w:r w:rsidRPr="002F2193">
        <w:t xml:space="preserve"> </w:t>
      </w:r>
      <w:r>
        <w:t>PHF</w:t>
      </w:r>
      <w:r w:rsidRPr="002F2193">
        <w:t xml:space="preserve"> are </w:t>
      </w:r>
      <w:r>
        <w:t>in C</w:t>
      </w:r>
      <w:r w:rsidRPr="002F2193">
        <w:t>ategory</w:t>
      </w:r>
      <w:r>
        <w:t xml:space="preserve"> 3</w:t>
      </w:r>
      <w:r w:rsidRPr="002F2193">
        <w:t xml:space="preserve">. </w:t>
      </w:r>
    </w:p>
    <w:p w14:paraId="29D8F6D5" w14:textId="34A02483" w:rsidR="00CB7716" w:rsidRDefault="00CB7716" w:rsidP="00B67B69">
      <w:pPr>
        <w:spacing w:after="240"/>
      </w:pPr>
      <w:r w:rsidRPr="68C0CA2D">
        <w:t xml:space="preserve">In this category, business are required to maintain safe food temperature during storage and display. Temperature affects growth of existing pathogens in the food. These businesses are handling pre-packaged food which they have not prepared. This means they would be relying on the food producer to have supplied safe food (i.e. that pathogen introduction/growth was controlled during production). Foodborne illness data does not directly link outbreaks to this setting. </w:t>
      </w:r>
    </w:p>
    <w:p w14:paraId="038207A6" w14:textId="631A9D3F" w:rsidR="00CB7716" w:rsidRDefault="00CB7716" w:rsidP="00B67B69">
      <w:pPr>
        <w:spacing w:after="240"/>
      </w:pPr>
      <w:r w:rsidRPr="00AB43FF">
        <w:rPr>
          <w:lang w:val="en-AU"/>
        </w:rPr>
        <w:t xml:space="preserve">Therefore, there is no threshold to directly evaluate a benefit </w:t>
      </w:r>
      <w:r w:rsidRPr="00AB43FF">
        <w:t xml:space="preserve">if applying any regulatory interventions in these settings. </w:t>
      </w:r>
    </w:p>
    <w:p w14:paraId="2E6C1C9C" w14:textId="32FC5227" w:rsidR="00CB7716" w:rsidRPr="00950DD1" w:rsidRDefault="00CB7716" w:rsidP="00B67B69">
      <w:pPr>
        <w:spacing w:after="240"/>
        <w:rPr>
          <w:rStyle w:val="Heading1Char"/>
          <w:rFonts w:eastAsiaTheme="minorHAnsi" w:cstheme="minorBidi"/>
          <w:b w:val="0"/>
          <w:bCs w:val="0"/>
          <w:sz w:val="22"/>
          <w:szCs w:val="22"/>
        </w:rPr>
      </w:pPr>
      <w:r w:rsidRPr="00ED0666">
        <w:rPr>
          <w:b/>
          <w:i/>
        </w:rPr>
        <w:t>No regulatory measures:</w:t>
      </w:r>
      <w:r>
        <w:t xml:space="preserve"> </w:t>
      </w:r>
      <w:r w:rsidRPr="002F2193">
        <w:t xml:space="preserve">A targeted education campaign focusing on storage and display temperature of potentially hazardous foods in this setting is considered the most appropriate option. Templates are available to assist these businesses </w:t>
      </w:r>
      <w:r>
        <w:t>in managing</w:t>
      </w:r>
      <w:r w:rsidRPr="002F2193">
        <w:t xml:space="preserve"> temperature control, but would not be mandated.</w:t>
      </w:r>
    </w:p>
    <w:p w14:paraId="04925415" w14:textId="74F2FA82" w:rsidR="00CB7716" w:rsidRPr="0025246D" w:rsidRDefault="00CB7716" w:rsidP="0025246D">
      <w:pPr>
        <w:pStyle w:val="Heading2"/>
        <w:numPr>
          <w:ilvl w:val="0"/>
          <w:numId w:val="0"/>
        </w:numPr>
        <w:ind w:left="576" w:hanging="576"/>
        <w:rPr>
          <w:rStyle w:val="Heading1Char"/>
          <w:b/>
          <w:bCs/>
          <w:sz w:val="28"/>
          <w:szCs w:val="22"/>
        </w:rPr>
      </w:pPr>
      <w:bookmarkStart w:id="128" w:name="_Toc107412702"/>
      <w:bookmarkStart w:id="129" w:name="_Toc109300460"/>
      <w:bookmarkStart w:id="130" w:name="_Toc121311419"/>
      <w:r w:rsidRPr="0025246D">
        <w:rPr>
          <w:rStyle w:val="Heading1Char"/>
          <w:b/>
          <w:bCs/>
          <w:sz w:val="28"/>
          <w:szCs w:val="22"/>
        </w:rPr>
        <w:t>7</w:t>
      </w:r>
      <w:r w:rsidRPr="0025246D">
        <w:rPr>
          <w:rStyle w:val="Heading1Char"/>
          <w:b/>
          <w:bCs/>
          <w:sz w:val="28"/>
          <w:szCs w:val="22"/>
        </w:rPr>
        <w:tab/>
        <w:t>How will the chosen option be implemented and evaluated?</w:t>
      </w:r>
      <w:bookmarkEnd w:id="128"/>
      <w:bookmarkEnd w:id="129"/>
      <w:bookmarkEnd w:id="130"/>
    </w:p>
    <w:p w14:paraId="7CB06113" w14:textId="77777777" w:rsidR="00CB7716" w:rsidRPr="001551A7" w:rsidRDefault="00CB7716" w:rsidP="00DA5DD7">
      <w:pPr>
        <w:spacing w:after="240"/>
      </w:pPr>
      <w:bookmarkStart w:id="131" w:name="_Toc78896407"/>
      <w:r w:rsidRPr="00BC729F">
        <w:rPr>
          <w:lang w:val="en-AU"/>
        </w:rPr>
        <w:t>Implementation of the proposed standard is the responsibility of the state and territor</w:t>
      </w:r>
      <w:r>
        <w:rPr>
          <w:lang w:val="en-AU"/>
        </w:rPr>
        <w:t>y food regulation agencies</w:t>
      </w:r>
      <w:r w:rsidRPr="00BC729F">
        <w:rPr>
          <w:lang w:val="en-AU"/>
        </w:rPr>
        <w:t xml:space="preserve">. </w:t>
      </w:r>
      <w:r>
        <w:rPr>
          <w:lang w:val="en-AU"/>
        </w:rPr>
        <w:t>FSANZ has been working closely with an implementation working group of regulators from each jurisdiction consistent with the integrated model</w:t>
      </w:r>
      <w:r>
        <w:rPr>
          <w:rStyle w:val="FootnoteReference"/>
          <w:lang w:val="en-AU"/>
        </w:rPr>
        <w:footnoteReference w:id="29"/>
      </w:r>
      <w:r>
        <w:rPr>
          <w:lang w:val="en-AU"/>
        </w:rPr>
        <w:t xml:space="preserve"> for national implementation. </w:t>
      </w:r>
      <w:r w:rsidRPr="0062032E">
        <w:t>Th</w:t>
      </w:r>
      <w:r>
        <w:t>is integrated approach</w:t>
      </w:r>
      <w:r w:rsidRPr="0062032E">
        <w:t xml:space="preserve"> </w:t>
      </w:r>
      <w:r>
        <w:t>assures</w:t>
      </w:r>
      <w:r w:rsidRPr="0062032E">
        <w:t xml:space="preserve"> </w:t>
      </w:r>
      <w:r>
        <w:t xml:space="preserve">ministers considering a new standard that the requirements </w:t>
      </w:r>
      <w:r w:rsidRPr="0062032E">
        <w:t xml:space="preserve">can be implemented consistently </w:t>
      </w:r>
      <w:r>
        <w:t xml:space="preserve">across Australia, and that industry will be supported with guidance. An </w:t>
      </w:r>
      <w:r w:rsidRPr="00BC729F">
        <w:rPr>
          <w:lang w:val="en-AU"/>
        </w:rPr>
        <w:t xml:space="preserve">implementation guide </w:t>
      </w:r>
      <w:r w:rsidRPr="68C0CA2D">
        <w:rPr>
          <w:lang w:val="en-AU"/>
        </w:rPr>
        <w:t xml:space="preserve">is being </w:t>
      </w:r>
      <w:r>
        <w:rPr>
          <w:lang w:val="en-AU"/>
        </w:rPr>
        <w:t xml:space="preserve">developed to </w:t>
      </w:r>
      <w:r w:rsidRPr="68C0CA2D">
        <w:rPr>
          <w:lang w:val="en-AU"/>
        </w:rPr>
        <w:t>support the regulatory measures (if gazetted), providing</w:t>
      </w:r>
      <w:r>
        <w:rPr>
          <w:lang w:val="en-AU"/>
        </w:rPr>
        <w:t xml:space="preserve"> </w:t>
      </w:r>
      <w:r w:rsidRPr="00BC729F">
        <w:rPr>
          <w:lang w:val="en-AU"/>
        </w:rPr>
        <w:t>industry</w:t>
      </w:r>
      <w:r w:rsidRPr="00C92836">
        <w:t xml:space="preserve"> </w:t>
      </w:r>
      <w:r>
        <w:t>and enforcement agencies information on the standard</w:t>
      </w:r>
      <w:r w:rsidDel="003559AB">
        <w:t xml:space="preserve"> </w:t>
      </w:r>
      <w:r>
        <w:t>in practical terms, and expectations for</w:t>
      </w:r>
      <w:r w:rsidDel="003559AB">
        <w:t xml:space="preserve"> </w:t>
      </w:r>
      <w:r>
        <w:t>businesses on how to comply</w:t>
      </w:r>
      <w:r w:rsidRPr="004677A1">
        <w:t>.</w:t>
      </w:r>
      <w:bookmarkEnd w:id="131"/>
    </w:p>
    <w:p w14:paraId="1588FFA1" w14:textId="701BBAFA" w:rsidR="00CB7716" w:rsidRDefault="00CB7716" w:rsidP="00DA5DD7">
      <w:pPr>
        <w:spacing w:after="240"/>
      </w:pPr>
      <w:r>
        <w:t xml:space="preserve">FSANZ provides a commencement period from the date standards are gazetted and registered as a legislative instrument. This period gives industry and government authorities time to put measures in place to meet the standard’s requirements. For this standard, a 12-month commencement period is being proposed. State and territory governments are committed to working with industry to help prepare for the standard to come into effect. Training options and templates to support implementation are already readily available and broadly used. </w:t>
      </w:r>
    </w:p>
    <w:p w14:paraId="43C3825A" w14:textId="06B5F60C" w:rsidR="00CB7716" w:rsidRDefault="00CB7716" w:rsidP="00DA5DD7">
      <w:pPr>
        <w:spacing w:after="240"/>
        <w:rPr>
          <w:lang w:val="en-AU"/>
        </w:rPr>
      </w:pPr>
      <w:r>
        <w:t>States and territories are responsible for any review of implementation and compliance materials. They are also typically responsible for initiating any substantive reviews of the Code through their ministers.</w:t>
      </w:r>
    </w:p>
    <w:p w14:paraId="3E6C9FBF" w14:textId="2881524D" w:rsidR="00CB7716" w:rsidRPr="0025246D" w:rsidRDefault="00CB7716" w:rsidP="0025246D">
      <w:pPr>
        <w:pStyle w:val="Heading2"/>
        <w:numPr>
          <w:ilvl w:val="0"/>
          <w:numId w:val="0"/>
        </w:numPr>
        <w:ind w:left="576" w:hanging="576"/>
        <w:rPr>
          <w:rStyle w:val="Heading1Char"/>
          <w:b/>
          <w:bCs/>
          <w:sz w:val="28"/>
          <w:szCs w:val="22"/>
        </w:rPr>
      </w:pPr>
      <w:bookmarkStart w:id="132" w:name="_Toc107412703"/>
      <w:bookmarkStart w:id="133" w:name="_Toc109300461"/>
      <w:bookmarkStart w:id="134" w:name="_Toc121311420"/>
      <w:r w:rsidRPr="0025246D">
        <w:rPr>
          <w:rStyle w:val="Heading1Char"/>
          <w:b/>
          <w:bCs/>
          <w:sz w:val="28"/>
          <w:szCs w:val="22"/>
        </w:rPr>
        <w:t>8</w:t>
      </w:r>
      <w:r w:rsidRPr="0025246D">
        <w:rPr>
          <w:rStyle w:val="Heading1Char"/>
          <w:b/>
          <w:bCs/>
          <w:sz w:val="28"/>
          <w:szCs w:val="22"/>
        </w:rPr>
        <w:tab/>
        <w:t>Case studies</w:t>
      </w:r>
      <w:bookmarkEnd w:id="132"/>
      <w:bookmarkEnd w:id="133"/>
      <w:bookmarkEnd w:id="134"/>
    </w:p>
    <w:p w14:paraId="68392F30" w14:textId="526548D7" w:rsidR="00CB7716" w:rsidRPr="00986631" w:rsidRDefault="00CB7716" w:rsidP="00DA5DD7">
      <w:pPr>
        <w:spacing w:after="240"/>
      </w:pPr>
      <w:r>
        <w:t>The following scenarios are provided as guidance for food businesses on the approved draft Standard 3.2.2A. They illustrate the intent of the standard, its differing requirements and the types of businesses to which it applies. The scenarios provide several examples, but there may be other business types also covered by the standard. Two ‘</w:t>
      </w:r>
      <w:bookmarkStart w:id="135" w:name="_Int_qLer2OEu"/>
      <w:r>
        <w:t>A day</w:t>
      </w:r>
      <w:bookmarkEnd w:id="135"/>
      <w:r>
        <w:t xml:space="preserve"> in the life’ examples are also provided, to explain the sorts of records or other evidence a business could make to substantiate that their key activities are properly managed.</w:t>
      </w:r>
      <w:r w:rsidR="00427F04">
        <w:t xml:space="preserve"> The case studies are illustrative only and in practice will depend on an assessment made by the regulator in those cases where a record has not been made.</w:t>
      </w:r>
    </w:p>
    <w:p w14:paraId="74D4253E" w14:textId="2FD6C55C" w:rsidR="00CB7716" w:rsidRPr="00986631" w:rsidRDefault="00CB7716" w:rsidP="006D619E">
      <w:pPr>
        <w:pStyle w:val="Heading3"/>
        <w:numPr>
          <w:ilvl w:val="0"/>
          <w:numId w:val="0"/>
        </w:numPr>
        <w:ind w:left="720" w:hanging="720"/>
      </w:pPr>
      <w:bookmarkStart w:id="136" w:name="_Toc107412704"/>
      <w:bookmarkStart w:id="137" w:name="_Toc109300462"/>
      <w:r w:rsidRPr="00986631">
        <w:t xml:space="preserve">Examples of businesses the standard </w:t>
      </w:r>
      <w:r>
        <w:t xml:space="preserve">would </w:t>
      </w:r>
      <w:r w:rsidRPr="00986631">
        <w:t>appl</w:t>
      </w:r>
      <w:r>
        <w:t>y</w:t>
      </w:r>
      <w:r w:rsidRPr="00986631">
        <w:t xml:space="preserve"> to</w:t>
      </w:r>
      <w:bookmarkEnd w:id="136"/>
      <w:bookmarkEnd w:id="137"/>
    </w:p>
    <w:p w14:paraId="09A5AF71" w14:textId="77777777" w:rsidR="00CB7716" w:rsidRPr="00986631" w:rsidRDefault="00CB7716" w:rsidP="006D619E">
      <w:pPr>
        <w:pStyle w:val="Heading4"/>
        <w:numPr>
          <w:ilvl w:val="0"/>
          <w:numId w:val="0"/>
        </w:numPr>
        <w:ind w:left="864" w:hanging="864"/>
      </w:pPr>
      <w:bookmarkStart w:id="138" w:name="_Toc107412705"/>
      <w:r w:rsidRPr="00986631">
        <w:t>1. A restaurant</w:t>
      </w:r>
      <w:bookmarkEnd w:id="138"/>
      <w:r w:rsidRPr="00986631">
        <w:t xml:space="preserve"> </w:t>
      </w:r>
    </w:p>
    <w:p w14:paraId="34483587" w14:textId="77777777" w:rsidR="00CB7716" w:rsidRPr="00986631" w:rsidRDefault="00CB7716" w:rsidP="00DA5DD7">
      <w:pPr>
        <w:spacing w:after="240"/>
      </w:pPr>
      <w:r w:rsidRPr="00986631">
        <w:t xml:space="preserve">Milo’s Sydney restaurant makes and serves a range of meat and vegetarian dishes, for customers to eat there or take away. Milo’s restaurant is a </w:t>
      </w:r>
      <w:r w:rsidRPr="00986631">
        <w:rPr>
          <w:b/>
        </w:rPr>
        <w:t>Category 1</w:t>
      </w:r>
      <w:r w:rsidRPr="00986631">
        <w:t xml:space="preserve"> business because it both makes and </w:t>
      </w:r>
      <w:r>
        <w:t>sells</w:t>
      </w:r>
      <w:r w:rsidRPr="00986631">
        <w:t xml:space="preserve"> meals, which are ready to eat without any further preparation by consumers. </w:t>
      </w:r>
    </w:p>
    <w:p w14:paraId="44C43EDF" w14:textId="77777777" w:rsidR="00CB7716" w:rsidRPr="00986631" w:rsidRDefault="00CB7716" w:rsidP="00DA5DD7">
      <w:pPr>
        <w:spacing w:after="240"/>
      </w:pPr>
      <w:r w:rsidRPr="00986631">
        <w:t xml:space="preserve">Milo needs to understand and manage many </w:t>
      </w:r>
      <w:bookmarkStart w:id="139" w:name="_Int_ZWwFbVKi"/>
      <w:r w:rsidRPr="00986631">
        <w:t>food</w:t>
      </w:r>
      <w:bookmarkEnd w:id="139"/>
      <w:r w:rsidRPr="00986631">
        <w:t xml:space="preserve"> safety risks before, during and after the restaurant meals are prepared. For example, meat, fish, dairy and egg products need to be received and stored cold. Cooked dishes need to be cooked properly at the right temperature for the right amount of time. Once a dish is ready to eat, it needs to be served within a short time or held at temperatures that keep it safe.</w:t>
      </w:r>
    </w:p>
    <w:p w14:paraId="793152E9" w14:textId="77777777" w:rsidR="00CB7716" w:rsidRPr="00251414" w:rsidRDefault="00CB7716" w:rsidP="00DA5DD7">
      <w:pPr>
        <w:spacing w:after="240"/>
      </w:pPr>
      <w:r w:rsidRPr="00251414">
        <w:t xml:space="preserve">Milo checks the new standard and sees that: </w:t>
      </w:r>
    </w:p>
    <w:p w14:paraId="7446A6FB" w14:textId="77777777" w:rsidR="00CB7716" w:rsidRPr="00986631" w:rsidRDefault="00CB7716" w:rsidP="004E6D96">
      <w:pPr>
        <w:pStyle w:val="ListParagraph"/>
        <w:numPr>
          <w:ilvl w:val="0"/>
          <w:numId w:val="34"/>
        </w:numPr>
        <w:spacing w:after="240"/>
      </w:pPr>
      <w:r>
        <w:t xml:space="preserve">His business needs to have a qualified FSS, but he already has one because NSW already requires it. </w:t>
      </w:r>
    </w:p>
    <w:p w14:paraId="5580F294" w14:textId="77777777" w:rsidR="00CB7716" w:rsidRPr="00986631" w:rsidRDefault="00CB7716" w:rsidP="004E6D96">
      <w:pPr>
        <w:pStyle w:val="ListParagraph"/>
        <w:numPr>
          <w:ilvl w:val="0"/>
          <w:numId w:val="34"/>
        </w:numPr>
        <w:spacing w:after="240"/>
      </w:pPr>
      <w:r>
        <w:t>H</w:t>
      </w:r>
      <w:r w:rsidRPr="00986631">
        <w:t>is staff that prepare the meals (e.g. kitchen hands) will all need to complete a food safety course that covers the specific topics in the sta</w:t>
      </w:r>
      <w:r>
        <w:t>ndard (they can do this online).</w:t>
      </w:r>
      <w:r w:rsidRPr="00986631">
        <w:t xml:space="preserve"> </w:t>
      </w:r>
    </w:p>
    <w:p w14:paraId="4EE6FA4C" w14:textId="77777777" w:rsidR="00CB7716" w:rsidRPr="00986631" w:rsidRDefault="00CB7716" w:rsidP="004E6D96">
      <w:pPr>
        <w:pStyle w:val="ListParagraph"/>
        <w:numPr>
          <w:ilvl w:val="0"/>
          <w:numId w:val="34"/>
        </w:numPr>
        <w:spacing w:after="240"/>
      </w:pPr>
      <w:r>
        <w:t>H</w:t>
      </w:r>
      <w:r w:rsidRPr="00986631">
        <w:t xml:space="preserve">is business will also now have to have evidence that shows how they are keeping food safe. This includes the standard operating procedures he already has, as well as records of temperature checks (for food storage, cooking and cooling), and cleaning and sanitising. These will help </w:t>
      </w:r>
      <w:r>
        <w:t>Milo</w:t>
      </w:r>
      <w:r w:rsidRPr="00986631">
        <w:t xml:space="preserve"> </w:t>
      </w:r>
      <w:r>
        <w:t>ensure</w:t>
      </w:r>
      <w:r w:rsidRPr="00986631">
        <w:t xml:space="preserve"> his business is taking food safety seriously and doing things </w:t>
      </w:r>
      <w:r>
        <w:t>correctly</w:t>
      </w:r>
      <w:r w:rsidRPr="00986631">
        <w:t>. The evidence will also help him show regulators he is complying with the standard.</w:t>
      </w:r>
    </w:p>
    <w:p w14:paraId="0E1D09FB" w14:textId="77777777" w:rsidR="00CB7716" w:rsidRPr="00986631" w:rsidRDefault="00CB7716" w:rsidP="006D619E">
      <w:pPr>
        <w:pStyle w:val="Heading4"/>
        <w:numPr>
          <w:ilvl w:val="0"/>
          <w:numId w:val="0"/>
        </w:numPr>
        <w:ind w:left="864" w:hanging="864"/>
      </w:pPr>
      <w:bookmarkStart w:id="140" w:name="_Toc107412706"/>
      <w:r w:rsidRPr="00986631">
        <w:t>2. A bakery that makes and retails its own products</w:t>
      </w:r>
      <w:bookmarkEnd w:id="140"/>
    </w:p>
    <w:p w14:paraId="0B14A9E5" w14:textId="77777777" w:rsidR="00CB7716" w:rsidRPr="00986631" w:rsidRDefault="00CB7716" w:rsidP="00DA5DD7">
      <w:pPr>
        <w:spacing w:after="240"/>
      </w:pPr>
      <w:r w:rsidRPr="00986631">
        <w:t xml:space="preserve">Kim’s bakery in South Australia makes and sells a range of goods on site, including Vietnamese rolls and pastries containing egg-custard and cream. Kim’s bakery is a </w:t>
      </w:r>
      <w:r w:rsidRPr="00442992">
        <w:rPr>
          <w:b/>
        </w:rPr>
        <w:t>Category 1</w:t>
      </w:r>
      <w:r w:rsidRPr="00986631">
        <w:t xml:space="preserve"> business because it both makes and retails these foods. </w:t>
      </w:r>
    </w:p>
    <w:p w14:paraId="7FD6820A" w14:textId="77777777" w:rsidR="00CB7716" w:rsidRPr="00986631" w:rsidRDefault="00CB7716" w:rsidP="00DA5DD7">
      <w:pPr>
        <w:spacing w:after="240"/>
      </w:pPr>
      <w:r w:rsidRPr="00986631">
        <w:t xml:space="preserve">Because of the type of food she sells, Kim needs to manage many </w:t>
      </w:r>
      <w:bookmarkStart w:id="141" w:name="_Int_3mHLKN7o"/>
      <w:r w:rsidRPr="00986631">
        <w:t>food</w:t>
      </w:r>
      <w:bookmarkEnd w:id="141"/>
      <w:r w:rsidRPr="00986631">
        <w:t xml:space="preserve"> safety risks, from receiving and storing ingredients, through processing steps, to displaying and serving the final products. </w:t>
      </w:r>
    </w:p>
    <w:p w14:paraId="539CA273" w14:textId="77777777" w:rsidR="00CB7716" w:rsidRPr="00C10450" w:rsidRDefault="00CB7716" w:rsidP="004E6D96">
      <w:pPr>
        <w:pStyle w:val="ListParagraph"/>
        <w:numPr>
          <w:ilvl w:val="0"/>
          <w:numId w:val="35"/>
        </w:numPr>
        <w:spacing w:after="240"/>
      </w:pPr>
      <w:r w:rsidRPr="00C10450">
        <w:t>Kim speaks to SA Health to check what she needs to do. For Kim, the new standard means:</w:t>
      </w:r>
    </w:p>
    <w:p w14:paraId="3B10EEF1" w14:textId="77777777" w:rsidR="00CB7716" w:rsidRPr="00986631" w:rsidRDefault="00CB7716" w:rsidP="004E6D96">
      <w:pPr>
        <w:pStyle w:val="ListParagraph"/>
        <w:numPr>
          <w:ilvl w:val="0"/>
          <w:numId w:val="35"/>
        </w:numPr>
        <w:spacing w:after="240"/>
      </w:pPr>
      <w:r>
        <w:t>S</w:t>
      </w:r>
      <w:r w:rsidRPr="00986631">
        <w:t>he will have to have a FSS</w:t>
      </w:r>
      <w:r>
        <w:t>. She decides to complete this training herself as she is the one who generally supervises the food handlers.</w:t>
      </w:r>
    </w:p>
    <w:p w14:paraId="13AB733D" w14:textId="77777777" w:rsidR="00CB7716" w:rsidRPr="00986631" w:rsidRDefault="00CB7716" w:rsidP="004E6D96">
      <w:pPr>
        <w:pStyle w:val="ListParagraph"/>
        <w:numPr>
          <w:ilvl w:val="0"/>
          <w:numId w:val="35"/>
        </w:numPr>
        <w:spacing w:after="240"/>
      </w:pPr>
      <w:r>
        <w:t>T</w:t>
      </w:r>
      <w:r w:rsidRPr="00986631">
        <w:t>he two food handlers she works with will need to complete food handler training</w:t>
      </w:r>
      <w:r>
        <w:t>.</w:t>
      </w:r>
      <w:r w:rsidRPr="00986631">
        <w:t xml:space="preserve"> </w:t>
      </w:r>
    </w:p>
    <w:p w14:paraId="33709CEA" w14:textId="6EC6DBFC" w:rsidR="00CB7716" w:rsidRPr="00986631" w:rsidRDefault="00CB7716" w:rsidP="004E6D96">
      <w:pPr>
        <w:pStyle w:val="ListParagraph"/>
        <w:numPr>
          <w:ilvl w:val="0"/>
          <w:numId w:val="35"/>
        </w:numPr>
        <w:spacing w:after="240"/>
      </w:pPr>
      <w:r>
        <w:t>Her</w:t>
      </w:r>
      <w:r w:rsidRPr="00986631">
        <w:t xml:space="preserve"> business will have to keep evidence to show how </w:t>
      </w:r>
      <w:r>
        <w:t>they</w:t>
      </w:r>
      <w:r w:rsidRPr="00986631">
        <w:t xml:space="preserve"> manage their food safety risks. This will likely mean her staff need to </w:t>
      </w:r>
      <w:r w:rsidR="00427F04">
        <w:t>create and keep</w:t>
      </w:r>
      <w:r w:rsidRPr="00986631">
        <w:t xml:space="preserve"> a record of the temperature of potentially hazardous food (e.g. meat, dairy, egg products) when it is received, stored, and displayed. They may also have to record how long it takes them to prepare some products, especially where ingredients are brought out of the fridge and processed on the bench (e.g. whipped cream, egg butter and custard, shredded salad). Using the 2-hour/4-hour rule for food brought out of the fridge is a proven safe practice.</w:t>
      </w:r>
    </w:p>
    <w:p w14:paraId="024087DE" w14:textId="77777777" w:rsidR="00CB7716" w:rsidRPr="00DA5DD7" w:rsidRDefault="00CB7716" w:rsidP="00DA5DD7">
      <w:pPr>
        <w:spacing w:after="240"/>
        <w:rPr>
          <w:b/>
          <w:i/>
        </w:rPr>
      </w:pPr>
      <w:r w:rsidRPr="00DA5DD7">
        <w:rPr>
          <w:b/>
          <w:i/>
        </w:rPr>
        <w:t xml:space="preserve"> ‘A day in the life’ – bakery making PHF sandwiches (for direct order – prepare/serve) </w:t>
      </w:r>
    </w:p>
    <w:p w14:paraId="00A8EE60" w14:textId="77777777" w:rsidR="00CB7716" w:rsidRPr="006A0B89" w:rsidRDefault="00CB7716" w:rsidP="00DA5DD7">
      <w:pPr>
        <w:spacing w:after="240"/>
        <w:rPr>
          <w:rFonts w:cs="Arial"/>
        </w:rPr>
      </w:pPr>
      <w:r w:rsidRPr="68C0CA2D">
        <w:rPr>
          <w:rFonts w:cs="Arial"/>
        </w:rPr>
        <w:t xml:space="preserve">The proposed draft Standard 3.2.2A includes a clause (clause 12) on ‘substantiating food safety management of prescribed activities’, listing nine activities (in </w:t>
      </w:r>
      <w:proofErr w:type="spellStart"/>
      <w:r w:rsidRPr="68C0CA2D">
        <w:rPr>
          <w:rFonts w:cs="Arial"/>
        </w:rPr>
        <w:t>subclause</w:t>
      </w:r>
      <w:proofErr w:type="spellEnd"/>
      <w:r w:rsidRPr="68C0CA2D">
        <w:rPr>
          <w:rFonts w:cs="Arial"/>
        </w:rPr>
        <w:t xml:space="preserve"> 4. ‘a’ to ‘</w:t>
      </w:r>
      <w:proofErr w:type="spellStart"/>
      <w:r w:rsidRPr="68C0CA2D">
        <w:rPr>
          <w:rFonts w:cs="Arial"/>
        </w:rPr>
        <w:t>i</w:t>
      </w:r>
      <w:proofErr w:type="spellEnd"/>
      <w:r w:rsidRPr="68C0CA2D">
        <w:rPr>
          <w:rFonts w:cs="Arial"/>
        </w:rPr>
        <w:t>’). The example below sets out ‘an average day’, explaining how a bakery could use the evidence tool and demonstrate to a food regulator (e.g. environmental health officer, EHO) that the requirement is met.</w:t>
      </w:r>
    </w:p>
    <w:p w14:paraId="6BCD781F" w14:textId="07004CA3" w:rsidR="00CB7716" w:rsidRPr="00442992" w:rsidRDefault="00CB7716" w:rsidP="00DA5DD7">
      <w:pPr>
        <w:spacing w:after="240"/>
        <w:rPr>
          <w:rFonts w:cs="Arial"/>
        </w:rPr>
      </w:pPr>
      <w:r w:rsidRPr="00442992">
        <w:rPr>
          <w:rFonts w:cs="Arial"/>
        </w:rPr>
        <w:t xml:space="preserve">A staff member arrives on site and before starting any preparation for the day, checks </w:t>
      </w:r>
      <w:r w:rsidR="00427F04">
        <w:rPr>
          <w:rFonts w:cs="Arial"/>
        </w:rPr>
        <w:t xml:space="preserve">and records </w:t>
      </w:r>
      <w:r w:rsidRPr="00442992">
        <w:rPr>
          <w:rFonts w:cs="Arial"/>
        </w:rPr>
        <w:t xml:space="preserve">the temperature of the food in the fridge and/or checks </w:t>
      </w:r>
      <w:r w:rsidR="00427F04">
        <w:rPr>
          <w:rFonts w:cs="Arial"/>
        </w:rPr>
        <w:t xml:space="preserve">and records </w:t>
      </w:r>
      <w:r w:rsidRPr="00442992">
        <w:rPr>
          <w:rFonts w:cs="Arial"/>
        </w:rPr>
        <w:t xml:space="preserve">the temperature of the fridge (if a calibrated gauge is used). The food in the freezer is also checked to make sure it is still hard frozen. These checks ensure that any potentially hazardous food (PHF) being used for the day has been stored </w:t>
      </w:r>
      <w:r>
        <w:rPr>
          <w:rFonts w:cs="Arial"/>
        </w:rPr>
        <w:t xml:space="preserve">correctly </w:t>
      </w:r>
      <w:r w:rsidRPr="00442992">
        <w:rPr>
          <w:rFonts w:cs="Arial"/>
        </w:rPr>
        <w:t>under temperature control overnight and the food is safe to use.</w:t>
      </w:r>
      <w:r w:rsidR="00427F04">
        <w:rPr>
          <w:rFonts w:cs="Arial"/>
        </w:rPr>
        <w:t xml:space="preserve"> </w:t>
      </w:r>
    </w:p>
    <w:p w14:paraId="44862448" w14:textId="4EEE6440" w:rsidR="00CB7716" w:rsidRPr="008560D3" w:rsidRDefault="00CB7716" w:rsidP="00DA5DD7">
      <w:pPr>
        <w:spacing w:after="240"/>
        <w:rPr>
          <w:rFonts w:cs="Arial"/>
          <w:color w:val="0070C0"/>
        </w:rPr>
      </w:pPr>
      <w:r w:rsidRPr="48861835">
        <w:rPr>
          <w:rFonts w:cs="Arial"/>
          <w:b/>
        </w:rPr>
        <w:t>Food storage</w:t>
      </w:r>
      <w:r w:rsidRPr="68C0CA2D">
        <w:rPr>
          <w:rFonts w:cs="Arial"/>
          <w:color w:val="95B3D7" w:themeColor="accent1" w:themeTint="99"/>
        </w:rPr>
        <w:t xml:space="preserve"> </w:t>
      </w:r>
      <w:r w:rsidRPr="68C0CA2D">
        <w:rPr>
          <w:rFonts w:cs="Arial"/>
        </w:rPr>
        <w:t xml:space="preserve">– the fridge or food temperature would be recorded on the business’s daily temperature record sheet. </w:t>
      </w:r>
    </w:p>
    <w:p w14:paraId="692AC1E2" w14:textId="69474AC4" w:rsidR="00CB7716" w:rsidRDefault="00CB7716" w:rsidP="00DA5DD7">
      <w:pPr>
        <w:spacing w:after="240"/>
        <w:rPr>
          <w:rFonts w:cs="Arial"/>
        </w:rPr>
      </w:pPr>
      <w:r w:rsidRPr="02C895D1">
        <w:rPr>
          <w:rFonts w:cs="Arial"/>
        </w:rPr>
        <w:t>The staff member checks that the equipment being used for preparation and service is clean and has been stored to prevent contamination. The benches are sanitised before food preparation begins. This may be part of the cleaning instructions and schedule (</w:t>
      </w:r>
      <w:r w:rsidRPr="02C895D1">
        <w:rPr>
          <w:rFonts w:cs="Arial"/>
          <w:b/>
          <w:bCs/>
        </w:rPr>
        <w:t>cleaning and sanitising</w:t>
      </w:r>
      <w:r w:rsidRPr="02C895D1">
        <w:rPr>
          <w:rFonts w:cs="Arial"/>
        </w:rPr>
        <w:t>). The Bain Marie used for chilling is turned on, so it will be cold before placing food items in later that morning.</w:t>
      </w:r>
    </w:p>
    <w:p w14:paraId="285CF23D" w14:textId="25BEA8F2" w:rsidR="00CB7716" w:rsidRPr="00156596" w:rsidRDefault="00CB7716" w:rsidP="00DA5DD7">
      <w:pPr>
        <w:spacing w:after="240"/>
        <w:rPr>
          <w:rFonts w:cs="Arial"/>
        </w:rPr>
      </w:pPr>
      <w:r w:rsidRPr="02C895D1">
        <w:rPr>
          <w:rFonts w:cs="Arial"/>
        </w:rPr>
        <w:t xml:space="preserve">The staff member sees that the delivery driver has arrived and goes to accept a delivery of ordered food. They wash their hands and sanitise the temperature probe. The delivery contains both dry goods and PHF. The PHF is checked first for labelling and any damage to packaging or potential contamination, then the staff member takes the temperature to ensure it is received under temperature control. A temperature infra-red gun may be used to check surface temperature, or a probe placed between two packaged units (e.g. </w:t>
      </w:r>
      <w:proofErr w:type="spellStart"/>
      <w:r w:rsidRPr="02C895D1">
        <w:rPr>
          <w:rFonts w:cs="Arial"/>
        </w:rPr>
        <w:t>Cryovac</w:t>
      </w:r>
      <w:proofErr w:type="spellEnd"/>
      <w:r w:rsidRPr="02C895D1">
        <w:rPr>
          <w:rFonts w:cs="Arial"/>
        </w:rPr>
        <w:t xml:space="preserve"> meat packets). A probe is used if the package or food needs to be pierced to check core temperature. Once the PHF has been checked, it is immediately placed into the cool room or fridge.</w:t>
      </w:r>
    </w:p>
    <w:p w14:paraId="10C5E0A9" w14:textId="6840976E" w:rsidR="00CB7716" w:rsidRPr="00156596" w:rsidRDefault="00CB7716" w:rsidP="00DA5DD7">
      <w:pPr>
        <w:spacing w:after="240"/>
        <w:rPr>
          <w:rFonts w:cs="Arial"/>
        </w:rPr>
      </w:pPr>
      <w:r w:rsidRPr="48861835">
        <w:rPr>
          <w:rFonts w:cs="Arial"/>
          <w:b/>
        </w:rPr>
        <w:t>Food receipt</w:t>
      </w:r>
      <w:r w:rsidRPr="00156596">
        <w:rPr>
          <w:rFonts w:cs="Arial"/>
          <w:color w:val="0070C0"/>
        </w:rPr>
        <w:t xml:space="preserve"> </w:t>
      </w:r>
      <w:r w:rsidRPr="001312D3">
        <w:rPr>
          <w:rFonts w:cs="Arial"/>
        </w:rPr>
        <w:t>– once the PHF is checked the temperature and product name</w:t>
      </w:r>
      <w:r w:rsidR="00427F04">
        <w:rPr>
          <w:rFonts w:cs="Arial"/>
        </w:rPr>
        <w:t>, time and date</w:t>
      </w:r>
      <w:r w:rsidRPr="001312D3">
        <w:rPr>
          <w:rFonts w:cs="Arial"/>
        </w:rPr>
        <w:t xml:space="preserve"> are recorded on the daily temperature sheet.</w:t>
      </w:r>
    </w:p>
    <w:p w14:paraId="12486659" w14:textId="77777777" w:rsidR="00CB7716" w:rsidRPr="00156596" w:rsidRDefault="00CB7716" w:rsidP="00DA5DD7">
      <w:pPr>
        <w:spacing w:after="240"/>
        <w:rPr>
          <w:rFonts w:cs="Arial"/>
        </w:rPr>
      </w:pPr>
      <w:r w:rsidRPr="68C0CA2D">
        <w:rPr>
          <w:rFonts w:cs="Arial"/>
        </w:rPr>
        <w:t xml:space="preserve">If this staff member picks up food from the supermarket on the way to the café, they could either check the food temperature on arriving at the café (e.g. if transported in cooler bags with ice packs) or manage food safety using time as a control. </w:t>
      </w:r>
      <w:r w:rsidRPr="48861835">
        <w:rPr>
          <w:rFonts w:cs="Arial"/>
        </w:rPr>
        <w:t xml:space="preserve">An </w:t>
      </w:r>
      <w:r w:rsidRPr="68C0CA2D">
        <w:rPr>
          <w:rFonts w:cs="Arial"/>
        </w:rPr>
        <w:t>SOP could describe this in relation to food being out of temperature control for less than 2 hours. This may or may not require evidence.</w:t>
      </w:r>
    </w:p>
    <w:p w14:paraId="20CA00E7" w14:textId="4B5CE8D8" w:rsidR="00A94813" w:rsidRDefault="00CB7716" w:rsidP="00DA5DD7">
      <w:pPr>
        <w:spacing w:after="240"/>
        <w:rPr>
          <w:rFonts w:cs="Arial"/>
          <w:b/>
        </w:rPr>
      </w:pPr>
      <w:r w:rsidRPr="02C895D1">
        <w:rPr>
          <w:rFonts w:cs="Arial"/>
        </w:rPr>
        <w:t>The staff member then stocks the Bain Marie with sandwich ingredients from the fridge. The temperature of the food in the Bain Marie is checked, to ensure the equipment is maintaining temperature control.</w:t>
      </w:r>
    </w:p>
    <w:p w14:paraId="68AC44AF" w14:textId="40DFA253" w:rsidR="00CB7716" w:rsidRPr="003C267A" w:rsidRDefault="00CB7716" w:rsidP="00DA5DD7">
      <w:pPr>
        <w:spacing w:after="240"/>
        <w:rPr>
          <w:rFonts w:cs="Arial"/>
        </w:rPr>
      </w:pPr>
      <w:r w:rsidRPr="02C895D1">
        <w:rPr>
          <w:rFonts w:cs="Arial"/>
          <w:b/>
          <w:bCs/>
        </w:rPr>
        <w:t>Food storage</w:t>
      </w:r>
      <w:r w:rsidRPr="02C895D1">
        <w:rPr>
          <w:rFonts w:cs="Arial"/>
          <w:color w:val="0070C0"/>
        </w:rPr>
        <w:t xml:space="preserve"> </w:t>
      </w:r>
      <w:r w:rsidRPr="02C895D1">
        <w:rPr>
          <w:rFonts w:cs="Arial"/>
        </w:rPr>
        <w:t xml:space="preserve">– the Bain Marie temperature will then be recorded on their daily temperature record sheet. Alternatively, the time the food is put into the Bain Marie is </w:t>
      </w:r>
      <w:r w:rsidR="00B12F37">
        <w:rPr>
          <w:rFonts w:cs="Arial"/>
        </w:rPr>
        <w:t>recorded</w:t>
      </w:r>
      <w:r w:rsidRPr="02C895D1">
        <w:rPr>
          <w:rFonts w:cs="Arial"/>
        </w:rPr>
        <w:t>, and either</w:t>
      </w:r>
      <w:r w:rsidR="00DA5DD7">
        <w:rPr>
          <w:rFonts w:cs="Arial"/>
        </w:rPr>
        <w:t>:</w:t>
      </w:r>
      <w:r w:rsidRPr="02C895D1">
        <w:rPr>
          <w:rFonts w:cs="Arial"/>
        </w:rPr>
        <w:t xml:space="preserve"> </w:t>
      </w:r>
    </w:p>
    <w:p w14:paraId="33D3DFEA" w14:textId="77777777" w:rsidR="00CB7716" w:rsidRPr="00DA5DD7" w:rsidRDefault="00CB7716" w:rsidP="004E6D96">
      <w:pPr>
        <w:pStyle w:val="ListParagraph"/>
        <w:numPr>
          <w:ilvl w:val="0"/>
          <w:numId w:val="36"/>
        </w:numPr>
        <w:spacing w:after="240"/>
        <w:rPr>
          <w:rFonts w:cs="Arial"/>
        </w:rPr>
      </w:pPr>
      <w:r w:rsidRPr="00DA5DD7">
        <w:rPr>
          <w:rFonts w:cs="Arial"/>
        </w:rPr>
        <w:t xml:space="preserve">the food is checked at 2 hours to ensure it is still under temperature control, or </w:t>
      </w:r>
    </w:p>
    <w:p w14:paraId="6241F4E3" w14:textId="77777777" w:rsidR="00CB7716" w:rsidRPr="00DA5DD7" w:rsidRDefault="00CB7716" w:rsidP="004E6D96">
      <w:pPr>
        <w:pStyle w:val="ListParagraph"/>
        <w:numPr>
          <w:ilvl w:val="0"/>
          <w:numId w:val="36"/>
        </w:numPr>
        <w:spacing w:after="240"/>
        <w:rPr>
          <w:rFonts w:cs="Arial"/>
        </w:rPr>
      </w:pPr>
      <w:r w:rsidRPr="00DA5DD7">
        <w:rPr>
          <w:rFonts w:cs="Arial"/>
        </w:rPr>
        <w:t xml:space="preserve">the food is placed back into the fridge at 2 hours or </w:t>
      </w:r>
    </w:p>
    <w:p w14:paraId="175CA35A" w14:textId="77777777" w:rsidR="00CB7716" w:rsidRPr="00DA5DD7" w:rsidRDefault="00CB7716" w:rsidP="004E6D96">
      <w:pPr>
        <w:pStyle w:val="ListParagraph"/>
        <w:numPr>
          <w:ilvl w:val="0"/>
          <w:numId w:val="36"/>
        </w:numPr>
        <w:spacing w:after="240"/>
        <w:rPr>
          <w:rFonts w:cs="Arial"/>
        </w:rPr>
      </w:pPr>
      <w:proofErr w:type="gramStart"/>
      <w:r w:rsidRPr="00DA5DD7">
        <w:rPr>
          <w:rFonts w:cs="Arial"/>
        </w:rPr>
        <w:t>the</w:t>
      </w:r>
      <w:proofErr w:type="gramEnd"/>
      <w:r w:rsidRPr="00DA5DD7">
        <w:rPr>
          <w:rFonts w:cs="Arial"/>
        </w:rPr>
        <w:t xml:space="preserve"> food is discarded at the end of 4 hours as per the 2-hour/ 4-hour rule.</w:t>
      </w:r>
    </w:p>
    <w:p w14:paraId="57F362F9" w14:textId="71C72010" w:rsidR="00CB7716" w:rsidRPr="008560D3" w:rsidRDefault="00CB7716" w:rsidP="00DA5DD7">
      <w:pPr>
        <w:spacing w:after="240"/>
        <w:rPr>
          <w:rFonts w:cs="Arial"/>
          <w:color w:val="0070C0"/>
        </w:rPr>
      </w:pPr>
      <w:r w:rsidRPr="02C895D1">
        <w:rPr>
          <w:rFonts w:cs="Arial"/>
          <w:b/>
          <w:bCs/>
        </w:rPr>
        <w:t>Minimising processing time</w:t>
      </w:r>
      <w:r w:rsidRPr="02C895D1">
        <w:rPr>
          <w:rFonts w:cs="Arial"/>
        </w:rPr>
        <w:t xml:space="preserve"> – The time that food is brought out of the fridge, and the time it is placed back into fridge or discarded can be recorded. Alternatively, a SOP can be used that shows the process for the Bain Marie with temperature checks or time that was prepared previously. An EHO can observe this process is in line with the SOP and ask questions to confirm understanding. </w:t>
      </w:r>
      <w:r w:rsidR="00B12F37">
        <w:rPr>
          <w:rFonts w:cs="Arial"/>
        </w:rPr>
        <w:t>If the business was able to demonstrate this process to the reasonable satisfaction of an authorised officer, t</w:t>
      </w:r>
      <w:r w:rsidRPr="02C895D1">
        <w:rPr>
          <w:rFonts w:cs="Arial"/>
        </w:rPr>
        <w:t>emperatures and time would then not need to be recorded routinely.</w:t>
      </w:r>
    </w:p>
    <w:p w14:paraId="2F28DBE6" w14:textId="7C40786A" w:rsidR="00CB7716" w:rsidRPr="001312D3" w:rsidRDefault="00CB7716" w:rsidP="00DA5DD7">
      <w:pPr>
        <w:spacing w:after="240"/>
        <w:rPr>
          <w:rFonts w:cs="Arial"/>
        </w:rPr>
      </w:pPr>
      <w:r w:rsidRPr="48861835">
        <w:rPr>
          <w:rFonts w:cs="Arial"/>
          <w:b/>
        </w:rPr>
        <w:t>Processing to achieve microbiological safety of food</w:t>
      </w:r>
      <w:r>
        <w:rPr>
          <w:rFonts w:cs="Arial"/>
          <w:color w:val="0070C0"/>
        </w:rPr>
        <w:t xml:space="preserve"> </w:t>
      </w:r>
      <w:r w:rsidRPr="001312D3">
        <w:rPr>
          <w:rFonts w:cs="Arial"/>
        </w:rPr>
        <w:t>–</w:t>
      </w:r>
      <w:r>
        <w:rPr>
          <w:rFonts w:cs="Arial"/>
          <w:color w:val="0070C0"/>
        </w:rPr>
        <w:t xml:space="preserve"> </w:t>
      </w:r>
      <w:r w:rsidRPr="001312D3">
        <w:rPr>
          <w:rFonts w:cs="Arial"/>
        </w:rPr>
        <w:t xml:space="preserve">Raw chicken is cooked onsite to be cut up and used for sandwiches. The core temperature of the cooked food is checked and recorded. The café is also roasting vegetables and boiling quinoa for the sandwich fillings. Cooking temperatures for these processes would not need to be recorded as the food is either only edible once cooked, or it doesn’t become PHF until after it is cooked. </w:t>
      </w:r>
      <w:r w:rsidRPr="48861835">
        <w:rPr>
          <w:rFonts w:cs="Arial"/>
        </w:rPr>
        <w:t>For example, pasta</w:t>
      </w:r>
      <w:r w:rsidRPr="001312D3">
        <w:rPr>
          <w:rFonts w:cs="Arial"/>
        </w:rPr>
        <w:t xml:space="preserve"> is not considered PHF until it is </w:t>
      </w:r>
      <w:r w:rsidRPr="48861835">
        <w:rPr>
          <w:rFonts w:cs="Arial"/>
        </w:rPr>
        <w:t>cooked.</w:t>
      </w:r>
    </w:p>
    <w:p w14:paraId="4D88E08B" w14:textId="2268C34D" w:rsidR="00CB7716" w:rsidRPr="001312D3" w:rsidRDefault="00CB7716" w:rsidP="00DA5DD7">
      <w:pPr>
        <w:spacing w:after="240"/>
        <w:rPr>
          <w:rFonts w:cs="Arial"/>
        </w:rPr>
      </w:pPr>
      <w:r w:rsidRPr="48861835">
        <w:rPr>
          <w:rFonts w:cs="Arial"/>
          <w:b/>
        </w:rPr>
        <w:t xml:space="preserve">Food cooling </w:t>
      </w:r>
      <w:r w:rsidRPr="001312D3">
        <w:rPr>
          <w:rFonts w:cs="Arial"/>
        </w:rPr>
        <w:t>–</w:t>
      </w:r>
      <w:r w:rsidRPr="008560D3">
        <w:rPr>
          <w:rFonts w:cs="Arial"/>
          <w:color w:val="0070C0"/>
        </w:rPr>
        <w:t xml:space="preserve"> </w:t>
      </w:r>
      <w:r w:rsidRPr="001312D3">
        <w:rPr>
          <w:rFonts w:cs="Arial"/>
        </w:rPr>
        <w:t xml:space="preserve">If the food cooked on the day is all consumed within 4 hours or discarded, then cooling does not have to be monitored. If some of the cooked chicken and roast vegetables is cooled for use later in the day, or for the next day, cooling must be monitored. Cooling temperatures can be checked and recorded, or a SOP can be used that shows the standard process for cooling with time/temperature checks that were prepared previously. The EHO can observe this process is in line with the SOP and ask questions to confirm understanding. </w:t>
      </w:r>
      <w:r w:rsidR="00B12F37">
        <w:rPr>
          <w:rFonts w:cs="Arial"/>
        </w:rPr>
        <w:t>If the business was able to demonstrate this process to the reasonable satisfaction of an authorised officer, t</w:t>
      </w:r>
      <w:r w:rsidRPr="001312D3">
        <w:rPr>
          <w:rFonts w:cs="Arial"/>
        </w:rPr>
        <w:t>emperatures and time would then not need to be recorded routinely. The quinoa is cooled using ice water and a temperature record is not required, as this is a standard process known to rapidly chill grains. The EHO may ask the staff member how it is cooled, to ensure it is meeting cooling requirements.</w:t>
      </w:r>
    </w:p>
    <w:p w14:paraId="171B141B" w14:textId="7A8519B0" w:rsidR="00CB7716" w:rsidRPr="00F369FA" w:rsidRDefault="00CB7716" w:rsidP="00DA5DD7">
      <w:pPr>
        <w:spacing w:after="240"/>
        <w:rPr>
          <w:rFonts w:cs="Arial"/>
        </w:rPr>
      </w:pPr>
      <w:r w:rsidRPr="48861835">
        <w:rPr>
          <w:rFonts w:cs="Arial"/>
          <w:b/>
        </w:rPr>
        <w:t>Reheating</w:t>
      </w:r>
      <w:r w:rsidRPr="008560D3">
        <w:rPr>
          <w:rFonts w:cs="Arial"/>
          <w:color w:val="0070C0"/>
        </w:rPr>
        <w:t xml:space="preserve"> </w:t>
      </w:r>
      <w:r w:rsidRPr="00F369FA">
        <w:rPr>
          <w:rFonts w:cs="Arial"/>
        </w:rPr>
        <w:t xml:space="preserve">– If the café does not reheat any foods to hold hot, no </w:t>
      </w:r>
      <w:r>
        <w:rPr>
          <w:rFonts w:cs="Arial"/>
        </w:rPr>
        <w:t>record</w:t>
      </w:r>
      <w:r w:rsidRPr="00F369FA">
        <w:rPr>
          <w:rFonts w:cs="Arial"/>
        </w:rPr>
        <w:t xml:space="preserve"> is </w:t>
      </w:r>
      <w:r>
        <w:rPr>
          <w:rFonts w:cs="Arial"/>
        </w:rPr>
        <w:t>needed</w:t>
      </w:r>
      <w:r w:rsidRPr="00F369FA">
        <w:rPr>
          <w:rFonts w:cs="Arial"/>
        </w:rPr>
        <w:t>. If this café uses a pie warmer to keep pastry items warm for service</w:t>
      </w:r>
      <w:r>
        <w:rPr>
          <w:rFonts w:cs="Arial"/>
        </w:rPr>
        <w:t xml:space="preserve">, reheating must be </w:t>
      </w:r>
      <w:r w:rsidRPr="00F369FA">
        <w:rPr>
          <w:rFonts w:cs="Arial"/>
        </w:rPr>
        <w:t>monitore</w:t>
      </w:r>
      <w:r w:rsidR="00B12F37">
        <w:rPr>
          <w:rFonts w:cs="Arial"/>
        </w:rPr>
        <w:t>d</w:t>
      </w:r>
      <w:r w:rsidRPr="00F369FA">
        <w:rPr>
          <w:rFonts w:cs="Arial"/>
        </w:rPr>
        <w:t xml:space="preserve">. The products are reheated before placing in the pie warmer. The </w:t>
      </w:r>
      <w:r>
        <w:rPr>
          <w:rFonts w:cs="Arial"/>
        </w:rPr>
        <w:t xml:space="preserve">pie </w:t>
      </w:r>
      <w:r w:rsidRPr="00F369FA">
        <w:rPr>
          <w:rFonts w:cs="Arial"/>
        </w:rPr>
        <w:t xml:space="preserve">temperature is checked to make sure it is </w:t>
      </w:r>
      <w:r>
        <w:rPr>
          <w:rFonts w:cs="Arial"/>
        </w:rPr>
        <w:t>at least</w:t>
      </w:r>
      <w:r w:rsidRPr="00F369FA">
        <w:rPr>
          <w:rFonts w:cs="Arial"/>
        </w:rPr>
        <w:t xml:space="preserve"> 60</w:t>
      </w:r>
      <w:r w:rsidRPr="00F369FA">
        <w:rPr>
          <w:rFonts w:cs="Arial"/>
          <w:vertAlign w:val="superscript"/>
        </w:rPr>
        <w:t>o</w:t>
      </w:r>
      <w:r w:rsidRPr="00F369FA">
        <w:rPr>
          <w:rFonts w:cs="Arial"/>
        </w:rPr>
        <w:t>C and recorded. As this is a very common practice</w:t>
      </w:r>
      <w:r>
        <w:rPr>
          <w:rFonts w:cs="Arial"/>
        </w:rPr>
        <w:t>,</w:t>
      </w:r>
      <w:r w:rsidRPr="00F369FA">
        <w:rPr>
          <w:rFonts w:cs="Arial"/>
        </w:rPr>
        <w:t xml:space="preserve"> it can also be demonstrated by a SOP. The EHO can check the temperature of the pies in the pie warmer and observe this process is in line with procedure</w:t>
      </w:r>
      <w:r>
        <w:rPr>
          <w:rFonts w:cs="Arial"/>
        </w:rPr>
        <w:t>,</w:t>
      </w:r>
      <w:r w:rsidRPr="00F369FA">
        <w:rPr>
          <w:rFonts w:cs="Arial"/>
        </w:rPr>
        <w:t xml:space="preserve"> or ask questions to confirm understanding. </w:t>
      </w:r>
      <w:r w:rsidR="00B12F37">
        <w:rPr>
          <w:rFonts w:cs="Arial"/>
        </w:rPr>
        <w:t>If the business was able to demonstrate this process to the reasonable satisfaction of an authorised officer, t</w:t>
      </w:r>
      <w:r w:rsidRPr="00F369FA">
        <w:rPr>
          <w:rFonts w:cs="Arial"/>
        </w:rPr>
        <w:t xml:space="preserve">emperatures would then not need to be recorded routinely. </w:t>
      </w:r>
    </w:p>
    <w:p w14:paraId="04DF20F6" w14:textId="77777777" w:rsidR="00CB7716" w:rsidRPr="00F369FA" w:rsidRDefault="00CB7716" w:rsidP="00DA5DD7">
      <w:pPr>
        <w:spacing w:after="240"/>
        <w:rPr>
          <w:rFonts w:cs="Arial"/>
        </w:rPr>
      </w:pPr>
      <w:r w:rsidRPr="00F369FA">
        <w:rPr>
          <w:rFonts w:cs="Arial"/>
        </w:rPr>
        <w:t>If the business only reheats food for immediate service (e.g. takes the pie from the fridge and reheats it in an air fryer for 5 minutes), documenting the temperature is not required, as it is not being hot held.</w:t>
      </w:r>
    </w:p>
    <w:p w14:paraId="7F0025FA" w14:textId="7B2BCC94" w:rsidR="00CB7716" w:rsidRPr="00F369FA" w:rsidRDefault="00CB7716" w:rsidP="00DA5DD7">
      <w:pPr>
        <w:spacing w:after="240"/>
        <w:rPr>
          <w:rFonts w:cs="Arial"/>
        </w:rPr>
      </w:pPr>
      <w:r w:rsidRPr="48861835">
        <w:rPr>
          <w:rFonts w:cs="Arial"/>
          <w:b/>
        </w:rPr>
        <w:t>Food display</w:t>
      </w:r>
      <w:r>
        <w:rPr>
          <w:rFonts w:cs="Arial"/>
          <w:color w:val="0070C0"/>
        </w:rPr>
        <w:t xml:space="preserve"> </w:t>
      </w:r>
      <w:r w:rsidRPr="001312D3">
        <w:rPr>
          <w:rFonts w:cs="Arial"/>
        </w:rPr>
        <w:t>–</w:t>
      </w:r>
      <w:r>
        <w:rPr>
          <w:rFonts w:cs="Arial"/>
          <w:color w:val="0070C0"/>
        </w:rPr>
        <w:t xml:space="preserve"> </w:t>
      </w:r>
      <w:r w:rsidRPr="00F369FA">
        <w:rPr>
          <w:rFonts w:cs="Arial"/>
        </w:rPr>
        <w:t>For direct serve, temperature records would not be required, unless sandwiches were made in advance and food safety was not managed using time.</w:t>
      </w:r>
    </w:p>
    <w:p w14:paraId="43BDD2E5" w14:textId="337D6D76" w:rsidR="00CB7716" w:rsidRPr="00F369FA" w:rsidRDefault="00CB7716" w:rsidP="00DA5DD7">
      <w:pPr>
        <w:spacing w:after="240"/>
        <w:rPr>
          <w:rFonts w:cs="Arial"/>
        </w:rPr>
      </w:pPr>
      <w:r w:rsidRPr="48861835">
        <w:rPr>
          <w:rFonts w:cs="Arial"/>
          <w:b/>
        </w:rPr>
        <w:t>Food transport</w:t>
      </w:r>
      <w:r>
        <w:rPr>
          <w:rFonts w:cs="Arial"/>
          <w:color w:val="0070C0"/>
        </w:rPr>
        <w:t xml:space="preserve"> </w:t>
      </w:r>
      <w:r w:rsidRPr="001312D3">
        <w:rPr>
          <w:rFonts w:cs="Arial"/>
        </w:rPr>
        <w:t>–</w:t>
      </w:r>
      <w:r w:rsidRPr="008560D3">
        <w:rPr>
          <w:rFonts w:cs="Arial"/>
          <w:color w:val="0070C0"/>
        </w:rPr>
        <w:t xml:space="preserve"> </w:t>
      </w:r>
      <w:r w:rsidRPr="00F369FA">
        <w:rPr>
          <w:rFonts w:cs="Arial"/>
        </w:rPr>
        <w:t xml:space="preserve">This business does not transport food </w:t>
      </w:r>
      <w:r>
        <w:rPr>
          <w:rFonts w:cs="Arial"/>
        </w:rPr>
        <w:t xml:space="preserve">so </w:t>
      </w:r>
      <w:r w:rsidRPr="00F369FA">
        <w:rPr>
          <w:rFonts w:cs="Arial"/>
        </w:rPr>
        <w:t>does not require this clause to be monitored. If th</w:t>
      </w:r>
      <w:r>
        <w:rPr>
          <w:rFonts w:cs="Arial"/>
        </w:rPr>
        <w:t>e</w:t>
      </w:r>
      <w:r w:rsidRPr="00F369FA">
        <w:rPr>
          <w:rFonts w:cs="Arial"/>
        </w:rPr>
        <w:t xml:space="preserve"> business decided to become a caterer</w:t>
      </w:r>
      <w:r>
        <w:rPr>
          <w:rFonts w:cs="Arial"/>
        </w:rPr>
        <w:t>,</w:t>
      </w:r>
      <w:r w:rsidRPr="00F369FA">
        <w:rPr>
          <w:rFonts w:cs="Arial"/>
        </w:rPr>
        <w:t xml:space="preserve"> or for example</w:t>
      </w:r>
      <w:r>
        <w:rPr>
          <w:rFonts w:cs="Arial"/>
        </w:rPr>
        <w:t>,</w:t>
      </w:r>
      <w:r w:rsidRPr="00F369FA">
        <w:rPr>
          <w:rFonts w:cs="Arial"/>
        </w:rPr>
        <w:t xml:space="preserve"> sell food to the local school canteen</w:t>
      </w:r>
      <w:r>
        <w:rPr>
          <w:rFonts w:cs="Arial"/>
        </w:rPr>
        <w:t>,</w:t>
      </w:r>
      <w:r w:rsidRPr="00F369FA">
        <w:rPr>
          <w:rFonts w:cs="Arial"/>
        </w:rPr>
        <w:t xml:space="preserve"> time or temperature would need to be monitored and recorded</w:t>
      </w:r>
      <w:r>
        <w:rPr>
          <w:rFonts w:cs="Arial"/>
        </w:rPr>
        <w:t>,</w:t>
      </w:r>
      <w:r w:rsidRPr="00F369FA">
        <w:rPr>
          <w:rFonts w:cs="Arial"/>
        </w:rPr>
        <w:t xml:space="preserve"> or a SOP used</w:t>
      </w:r>
      <w:r w:rsidR="00B12F37">
        <w:rPr>
          <w:rFonts w:cs="Arial"/>
        </w:rPr>
        <w:t xml:space="preserve"> and the business was</w:t>
      </w:r>
      <w:r w:rsidR="00B12F37" w:rsidRPr="00205C2F">
        <w:rPr>
          <w:rFonts w:cs="Arial"/>
          <w:iCs/>
          <w:szCs w:val="22"/>
          <w:lang w:eastAsia="en-AU" w:bidi="ar-SA"/>
        </w:rPr>
        <w:t xml:space="preserve"> able to demonstrate the</w:t>
      </w:r>
      <w:r w:rsidR="00B12F37">
        <w:rPr>
          <w:rFonts w:cs="Arial"/>
          <w:iCs/>
          <w:szCs w:val="22"/>
          <w:lang w:eastAsia="en-AU" w:bidi="ar-SA"/>
        </w:rPr>
        <w:t xml:space="preserve"> reasonable satisfaction of an </w:t>
      </w:r>
      <w:r w:rsidR="00B12F37" w:rsidRPr="00205C2F">
        <w:rPr>
          <w:rFonts w:cs="Arial"/>
          <w:iCs/>
          <w:szCs w:val="22"/>
          <w:lang w:eastAsia="en-AU" w:bidi="ar-SA"/>
        </w:rPr>
        <w:t>authorised officer</w:t>
      </w:r>
      <w:r w:rsidR="00B12F37">
        <w:rPr>
          <w:rFonts w:cs="Arial"/>
          <w:iCs/>
          <w:szCs w:val="22"/>
          <w:lang w:eastAsia="en-AU" w:bidi="ar-SA"/>
        </w:rPr>
        <w:t xml:space="preserve"> that food transport requirements were met</w:t>
      </w:r>
      <w:r w:rsidRPr="00F369FA">
        <w:rPr>
          <w:rFonts w:cs="Arial"/>
        </w:rPr>
        <w:t xml:space="preserve">. </w:t>
      </w:r>
    </w:p>
    <w:p w14:paraId="3B251637" w14:textId="710EA57C" w:rsidR="00DA5DD7" w:rsidRDefault="00CB7716" w:rsidP="00DA5DD7">
      <w:pPr>
        <w:spacing w:after="240"/>
        <w:rPr>
          <w:rFonts w:cs="Arial"/>
        </w:rPr>
      </w:pPr>
      <w:r w:rsidRPr="48861835">
        <w:rPr>
          <w:rFonts w:cs="Arial"/>
          <w:b/>
        </w:rPr>
        <w:t>Cleaning and sanitising</w:t>
      </w:r>
      <w:r w:rsidRPr="68C0CA2D">
        <w:rPr>
          <w:rFonts w:cs="Arial"/>
          <w:color w:val="0070C0"/>
        </w:rPr>
        <w:t xml:space="preserve"> </w:t>
      </w:r>
      <w:r w:rsidRPr="68C0CA2D">
        <w:rPr>
          <w:rFonts w:cs="Arial"/>
        </w:rPr>
        <w:t>–</w:t>
      </w:r>
      <w:r w:rsidRPr="68C0CA2D">
        <w:rPr>
          <w:rFonts w:cs="Arial"/>
          <w:color w:val="0070C0"/>
        </w:rPr>
        <w:t xml:space="preserve"> </w:t>
      </w:r>
      <w:r w:rsidRPr="68C0CA2D">
        <w:rPr>
          <w:rFonts w:cs="Arial"/>
        </w:rPr>
        <w:t xml:space="preserve">Evidence made for these activities may be a schedule with the important areas to clean that is ticked/initialled as the task is completed. It </w:t>
      </w:r>
      <w:r w:rsidR="00B12F37">
        <w:rPr>
          <w:rFonts w:cs="Arial"/>
        </w:rPr>
        <w:t>should</w:t>
      </w:r>
      <w:r w:rsidRPr="68C0CA2D">
        <w:rPr>
          <w:rFonts w:cs="Arial"/>
        </w:rPr>
        <w:t xml:space="preserve"> also include instructions of the chemicals to be used and the process for cleaning and sanitising. This could also include recording a temperature of the dishwasher during operation once a week.</w:t>
      </w:r>
      <w:bookmarkStart w:id="142" w:name="_Toc107412707"/>
    </w:p>
    <w:p w14:paraId="7B286249" w14:textId="174E8A87" w:rsidR="00CB7716" w:rsidRPr="006D619E" w:rsidRDefault="00CB7716" w:rsidP="006D619E">
      <w:pPr>
        <w:pStyle w:val="Heading4"/>
        <w:numPr>
          <w:ilvl w:val="0"/>
          <w:numId w:val="0"/>
        </w:numPr>
        <w:ind w:left="864" w:hanging="864"/>
      </w:pPr>
      <w:r w:rsidRPr="006D619E">
        <w:t>3. An off-site catering business</w:t>
      </w:r>
      <w:bookmarkEnd w:id="142"/>
    </w:p>
    <w:p w14:paraId="574F846D" w14:textId="77777777" w:rsidR="00CB7716" w:rsidRPr="00986631" w:rsidRDefault="00CB7716" w:rsidP="00DA5DD7">
      <w:r w:rsidRPr="00986631">
        <w:t xml:space="preserve">Alex runs a catering business and is making bulk lasagne for another company running a function later that day and the next day. Alex doesn’t sell the lasagne direct to consumers (that is, the business is an off-site caterer). Alex’s business is a </w:t>
      </w:r>
      <w:r w:rsidRPr="00986631">
        <w:rPr>
          <w:b/>
        </w:rPr>
        <w:t>Category 1</w:t>
      </w:r>
      <w:r w:rsidRPr="00986631">
        <w:t xml:space="preserve"> business, because the lasagne is ready to eat and will be served to people to eat at the function. </w:t>
      </w:r>
    </w:p>
    <w:p w14:paraId="209837D2" w14:textId="77777777" w:rsidR="00CB7716" w:rsidRPr="00986631" w:rsidRDefault="00CB7716" w:rsidP="00DA5DD7"/>
    <w:p w14:paraId="0AA22E30" w14:textId="77777777" w:rsidR="00CB7716" w:rsidRPr="00986631" w:rsidRDefault="00CB7716" w:rsidP="00DA5DD7">
      <w:r w:rsidRPr="00986631">
        <w:t>Alex needs to manage critical food safety risks with bulk lasagne prepared in advance for the function. For example, raw meat, milk and cheese needs to be received cold and kept cold. The lasagne needs to be cooked properly and then cooled safely. Once prepared, the lasagne also needs to be both stored and transported at a temperature that keeps it safe.</w:t>
      </w:r>
    </w:p>
    <w:p w14:paraId="0AD29213" w14:textId="77777777" w:rsidR="00CB7716" w:rsidRPr="00986631" w:rsidRDefault="00CB7716" w:rsidP="00DA5DD7"/>
    <w:p w14:paraId="4B3AA3F1" w14:textId="38AF60D8" w:rsidR="00CB7716" w:rsidRDefault="00CB7716" w:rsidP="00DA5DD7">
      <w:r w:rsidRPr="00986631">
        <w:t xml:space="preserve">As a Category 1 business, Alex will need to have a certified </w:t>
      </w:r>
      <w:r>
        <w:t>FSS</w:t>
      </w:r>
      <w:r w:rsidRPr="00986631">
        <w:t xml:space="preserve">, and the team making the lasagnes will need to have completed food handler training. The business will also have to </w:t>
      </w:r>
      <w:r>
        <w:t>have evidence of, or be able to demonstrate</w:t>
      </w:r>
      <w:r w:rsidR="00550B72">
        <w:t xml:space="preserve"> to the reasonable satisfaction of an authorised officer</w:t>
      </w:r>
      <w:r>
        <w:t xml:space="preserve">, correct food safety controls are in place and monitored. </w:t>
      </w:r>
    </w:p>
    <w:p w14:paraId="39717983" w14:textId="77777777" w:rsidR="00DA5DD7" w:rsidRPr="00594EB3" w:rsidRDefault="00DA5DD7" w:rsidP="00DA5DD7"/>
    <w:p w14:paraId="23B02181" w14:textId="58C443DD" w:rsidR="00CB7716" w:rsidRDefault="00CB7716" w:rsidP="00DA5DD7">
      <w:pPr>
        <w:rPr>
          <w:b/>
          <w:i/>
        </w:rPr>
      </w:pPr>
      <w:r w:rsidRPr="00DA5DD7">
        <w:rPr>
          <w:b/>
          <w:i/>
        </w:rPr>
        <w:t>‘A day in the life’ – off-site caterer (preparing food in advance)</w:t>
      </w:r>
    </w:p>
    <w:p w14:paraId="7C6C6440" w14:textId="77777777" w:rsidR="00DA5DD7" w:rsidRPr="00DA5DD7" w:rsidRDefault="00DA5DD7" w:rsidP="00DA5DD7">
      <w:pPr>
        <w:rPr>
          <w:b/>
          <w:i/>
        </w:rPr>
      </w:pPr>
    </w:p>
    <w:p w14:paraId="37021A3F" w14:textId="77777777" w:rsidR="00CB7716" w:rsidRDefault="00CB7716" w:rsidP="00DA5DD7">
      <w:pPr>
        <w:rPr>
          <w:rFonts w:cs="Arial"/>
          <w:color w:val="4F81BD" w:themeColor="accent1"/>
        </w:rPr>
      </w:pPr>
      <w:r>
        <w:rPr>
          <w:rFonts w:cs="Arial"/>
        </w:rPr>
        <w:t>This example explains how a caterer could implement the evidence tool for key activities (listed (a) to (</w:t>
      </w:r>
      <w:proofErr w:type="spellStart"/>
      <w:r>
        <w:rPr>
          <w:rFonts w:cs="Arial"/>
        </w:rPr>
        <w:t>i</w:t>
      </w:r>
      <w:proofErr w:type="spellEnd"/>
      <w:r>
        <w:rPr>
          <w:rFonts w:cs="Arial"/>
        </w:rPr>
        <w:t>) in the proposed draft standard).</w:t>
      </w:r>
    </w:p>
    <w:p w14:paraId="04F0A7D1" w14:textId="77777777" w:rsidR="00F72B9F" w:rsidRDefault="00F72B9F" w:rsidP="00DA5DD7">
      <w:pPr>
        <w:rPr>
          <w:rFonts w:cs="Arial"/>
          <w:b/>
        </w:rPr>
      </w:pPr>
    </w:p>
    <w:p w14:paraId="66B5A831" w14:textId="2678D784" w:rsidR="00CB7716" w:rsidRDefault="00CB7716" w:rsidP="00DA5DD7">
      <w:pPr>
        <w:rPr>
          <w:rFonts w:cs="Arial"/>
          <w:color w:val="44546A"/>
        </w:rPr>
      </w:pPr>
      <w:r w:rsidRPr="48861835">
        <w:rPr>
          <w:rFonts w:cs="Arial"/>
          <w:b/>
        </w:rPr>
        <w:t>Food receipt</w:t>
      </w:r>
      <w:r w:rsidRPr="00C44B6F">
        <w:rPr>
          <w:rFonts w:cs="Arial"/>
          <w:color w:val="0070C0"/>
        </w:rPr>
        <w:t xml:space="preserve"> </w:t>
      </w:r>
      <w:r w:rsidRPr="00C44B6F">
        <w:rPr>
          <w:rFonts w:cs="Arial"/>
        </w:rPr>
        <w:t xml:space="preserve">– The caterer either picks up food from the supermarket, has delivery by a </w:t>
      </w:r>
      <w:r w:rsidRPr="00F50A7A">
        <w:rPr>
          <w:rFonts w:cs="Arial"/>
        </w:rPr>
        <w:t>supermarket</w:t>
      </w:r>
      <w:r>
        <w:rPr>
          <w:rFonts w:cs="Arial"/>
        </w:rPr>
        <w:t>,</w:t>
      </w:r>
      <w:r w:rsidRPr="00F50A7A">
        <w:rPr>
          <w:rFonts w:cs="Arial"/>
        </w:rPr>
        <w:t xml:space="preserve"> or receives food from a dis</w:t>
      </w:r>
      <w:r>
        <w:rPr>
          <w:rFonts w:cs="Arial"/>
        </w:rPr>
        <w:t>tributor the same as above for the café example. The s</w:t>
      </w:r>
      <w:r w:rsidRPr="00F50A7A">
        <w:rPr>
          <w:rFonts w:cs="Arial"/>
        </w:rPr>
        <w:t xml:space="preserve">ame process applies as </w:t>
      </w:r>
      <w:r>
        <w:rPr>
          <w:rFonts w:cs="Arial"/>
        </w:rPr>
        <w:t>the above example</w:t>
      </w:r>
      <w:r w:rsidRPr="00F50A7A">
        <w:rPr>
          <w:rFonts w:cs="Arial"/>
        </w:rPr>
        <w:t xml:space="preserve"> for the café.</w:t>
      </w:r>
    </w:p>
    <w:p w14:paraId="74450FD2" w14:textId="77777777" w:rsidR="00F72B9F" w:rsidRDefault="00F72B9F" w:rsidP="00DA5DD7">
      <w:pPr>
        <w:rPr>
          <w:rFonts w:cs="Arial"/>
          <w:b/>
        </w:rPr>
      </w:pPr>
    </w:p>
    <w:p w14:paraId="620260AD" w14:textId="34645F45" w:rsidR="00CB7716" w:rsidRDefault="00CB7716" w:rsidP="00DA5DD7">
      <w:pPr>
        <w:rPr>
          <w:rFonts w:cs="Arial"/>
          <w:color w:val="44546A"/>
        </w:rPr>
      </w:pPr>
      <w:r w:rsidRPr="48861835">
        <w:rPr>
          <w:rFonts w:cs="Arial"/>
          <w:b/>
        </w:rPr>
        <w:t>Food storage</w:t>
      </w:r>
      <w:r w:rsidRPr="00F50A7A">
        <w:rPr>
          <w:rFonts w:cs="Arial"/>
          <w:color w:val="4F81BD" w:themeColor="accent1"/>
        </w:rPr>
        <w:t xml:space="preserve"> </w:t>
      </w:r>
      <w:r w:rsidRPr="00C44B6F">
        <w:rPr>
          <w:rFonts w:cs="Arial"/>
        </w:rPr>
        <w:t xml:space="preserve">– </w:t>
      </w:r>
      <w:r w:rsidRPr="004717B9">
        <w:rPr>
          <w:rFonts w:cs="Arial"/>
        </w:rPr>
        <w:t>T</w:t>
      </w:r>
      <w:r w:rsidRPr="00F50A7A">
        <w:rPr>
          <w:rFonts w:cs="Arial"/>
        </w:rPr>
        <w:t xml:space="preserve">he process is also the same as the café. The food or the cool room, fridge air temperature (or ideally the probe is in water) is checked for temperature control and recorded. If this caterer is quite large, they may also decide to have the cool room/fridge monitored by a data logger or alarm. </w:t>
      </w:r>
      <w:r w:rsidR="00550B72">
        <w:rPr>
          <w:rFonts w:cs="Arial"/>
        </w:rPr>
        <w:t>In which case, t</w:t>
      </w:r>
      <w:r w:rsidRPr="00F50A7A">
        <w:rPr>
          <w:rFonts w:cs="Arial"/>
        </w:rPr>
        <w:t>hey do not have to record the temperature monitoring daily but should check that the readings are correct and can show this readout to the EHO upon request.</w:t>
      </w:r>
    </w:p>
    <w:p w14:paraId="735C886F" w14:textId="77777777" w:rsidR="00F72B9F" w:rsidRDefault="00F72B9F" w:rsidP="00DA5DD7">
      <w:pPr>
        <w:rPr>
          <w:rFonts w:cs="Arial"/>
          <w:b/>
        </w:rPr>
      </w:pPr>
    </w:p>
    <w:p w14:paraId="1043B6E0" w14:textId="619D874D" w:rsidR="00CB7716" w:rsidRPr="00F50A7A" w:rsidRDefault="00CB7716" w:rsidP="00DA5DD7">
      <w:pPr>
        <w:rPr>
          <w:rFonts w:cs="Arial"/>
        </w:rPr>
      </w:pPr>
      <w:r w:rsidRPr="48861835">
        <w:rPr>
          <w:rFonts w:cs="Arial"/>
          <w:b/>
        </w:rPr>
        <w:t>Achieving microbiological safety of food</w:t>
      </w:r>
      <w:r w:rsidRPr="00F50A7A">
        <w:rPr>
          <w:rFonts w:cs="Arial"/>
          <w:color w:val="4F81BD" w:themeColor="accent1"/>
        </w:rPr>
        <w:t xml:space="preserve"> </w:t>
      </w:r>
      <w:r w:rsidRPr="004717B9">
        <w:rPr>
          <w:rFonts w:cs="Arial"/>
        </w:rPr>
        <w:t xml:space="preserve">– </w:t>
      </w:r>
      <w:r w:rsidRPr="00F50A7A">
        <w:rPr>
          <w:rFonts w:cs="Arial"/>
        </w:rPr>
        <w:t>The caterer cooks chicken and beef, sous vide in a water bath. The caterer must be able to demonstrate that they know the time and temperature requirements to ensure the food is safe (e.g. 65</w:t>
      </w:r>
      <w:r w:rsidRPr="00F50A7A">
        <w:rPr>
          <w:rFonts w:cs="Arial"/>
          <w:vertAlign w:val="superscript"/>
        </w:rPr>
        <w:t>o</w:t>
      </w:r>
      <w:r w:rsidRPr="00F50A7A">
        <w:rPr>
          <w:rFonts w:cs="Arial"/>
        </w:rPr>
        <w:t>C for 10 minutes + 150 minutes, the time taken to heat the 4 cm thickness of food to this temperature for cooking). The batch food thickness and heating + cooking time should be recorded.</w:t>
      </w:r>
    </w:p>
    <w:p w14:paraId="10CB63AE" w14:textId="77777777" w:rsidR="00CB7716" w:rsidRPr="00F50A7A" w:rsidRDefault="00CB7716" w:rsidP="00DA5DD7">
      <w:pPr>
        <w:rPr>
          <w:rFonts w:cs="Arial"/>
        </w:rPr>
      </w:pPr>
      <w:r w:rsidRPr="68C0CA2D">
        <w:rPr>
          <w:rFonts w:cs="Arial"/>
        </w:rPr>
        <w:t xml:space="preserve">The caterer cooks trays of chicken Kiev’s in the oven. The largest chicken piece should be checked to ensure that this is cooked thoroughly to the core and recorded. </w:t>
      </w:r>
    </w:p>
    <w:p w14:paraId="137F0F26" w14:textId="77777777" w:rsidR="00F72B9F" w:rsidRDefault="00F72B9F" w:rsidP="00DA5DD7">
      <w:pPr>
        <w:rPr>
          <w:rFonts w:cs="Arial"/>
          <w:b/>
        </w:rPr>
      </w:pPr>
    </w:p>
    <w:p w14:paraId="65BBB571" w14:textId="5A3ED3CC" w:rsidR="00CB7716" w:rsidRDefault="00CB7716" w:rsidP="00DA5DD7">
      <w:pPr>
        <w:rPr>
          <w:rFonts w:cs="Arial"/>
          <w:color w:val="44546A"/>
        </w:rPr>
      </w:pPr>
      <w:r w:rsidRPr="02C895D1">
        <w:rPr>
          <w:rFonts w:cs="Arial"/>
          <w:b/>
          <w:bCs/>
        </w:rPr>
        <w:t>Minimising processing time</w:t>
      </w:r>
      <w:r w:rsidRPr="02C895D1">
        <w:rPr>
          <w:rFonts w:cs="Arial"/>
          <w:color w:val="4F81BD" w:themeColor="accent1"/>
        </w:rPr>
        <w:t xml:space="preserve"> </w:t>
      </w:r>
      <w:r w:rsidRPr="02C895D1">
        <w:rPr>
          <w:rFonts w:cs="Arial"/>
          <w:color w:val="44546A"/>
        </w:rPr>
        <w:t xml:space="preserve">– </w:t>
      </w:r>
      <w:r w:rsidRPr="02C895D1">
        <w:rPr>
          <w:rFonts w:cs="Arial"/>
        </w:rPr>
        <w:t>The caterer prepares bulk sandwiches and also slices the sous vide meat to be used at the event the next day. The caterer has a process where they bring the sandwich ingredients and cooked meat out of the fridge for 1 hour, and after two trays have been filled, put that batch of sandwiches in the fridge before starting on the next two trays. They repeat this process until all the ingredients are used or the 1 hour is reached, and they place the ingredients back in the fridge. Alternatively, they have a chilled Bain Marie (as per the café requirements) to store their ingredients under temperature control. A SOP could be developed for this and</w:t>
      </w:r>
      <w:r w:rsidR="00550B72">
        <w:rPr>
          <w:rFonts w:cs="Arial"/>
        </w:rPr>
        <w:t xml:space="preserve"> would need to be</w:t>
      </w:r>
      <w:r w:rsidRPr="02C895D1">
        <w:rPr>
          <w:rFonts w:cs="Arial"/>
        </w:rPr>
        <w:t xml:space="preserve"> confirmed by the EHO on site</w:t>
      </w:r>
      <w:r w:rsidR="00550B72">
        <w:rPr>
          <w:rFonts w:cs="Arial"/>
        </w:rPr>
        <w:t xml:space="preserve"> that this demonstrates compliance</w:t>
      </w:r>
      <w:r w:rsidRPr="02C895D1">
        <w:rPr>
          <w:rFonts w:cs="Arial"/>
        </w:rPr>
        <w:t xml:space="preserve">. Otherwise, the time the ingredients come out of the fridge, and the time they are used up, or put back in, could be recorded. </w:t>
      </w:r>
    </w:p>
    <w:p w14:paraId="0160FCCB" w14:textId="77777777" w:rsidR="00F72B9F" w:rsidRDefault="00F72B9F" w:rsidP="00DA5DD7">
      <w:pPr>
        <w:rPr>
          <w:rFonts w:cs="Arial"/>
          <w:b/>
        </w:rPr>
      </w:pPr>
    </w:p>
    <w:p w14:paraId="6D2CA8D5" w14:textId="060ED07D" w:rsidR="00CB7716" w:rsidRDefault="00CB7716" w:rsidP="00DA5DD7">
      <w:pPr>
        <w:rPr>
          <w:rFonts w:cs="Arial"/>
          <w:color w:val="44546A"/>
        </w:rPr>
      </w:pPr>
      <w:r w:rsidRPr="48861835">
        <w:rPr>
          <w:rFonts w:cs="Arial"/>
          <w:b/>
        </w:rPr>
        <w:t>Food cooling</w:t>
      </w:r>
      <w:r w:rsidRPr="00F50A7A">
        <w:rPr>
          <w:rFonts w:cs="Arial"/>
          <w:color w:val="4F81BD" w:themeColor="accent1"/>
        </w:rPr>
        <w:t xml:space="preserve"> </w:t>
      </w:r>
      <w:r>
        <w:rPr>
          <w:rFonts w:cs="Arial"/>
          <w:color w:val="44546A"/>
        </w:rPr>
        <w:t xml:space="preserve">– </w:t>
      </w:r>
      <w:r w:rsidRPr="00F50A7A">
        <w:rPr>
          <w:rFonts w:cs="Arial"/>
        </w:rPr>
        <w:t xml:space="preserve">Food is cooked by this caterer the day </w:t>
      </w:r>
      <w:r>
        <w:rPr>
          <w:rFonts w:cs="Arial"/>
        </w:rPr>
        <w:t>before</w:t>
      </w:r>
      <w:r w:rsidRPr="00F50A7A">
        <w:rPr>
          <w:rFonts w:cs="Arial"/>
        </w:rPr>
        <w:t xml:space="preserve"> the event. Cooling requirements would be similar </w:t>
      </w:r>
      <w:r>
        <w:rPr>
          <w:rFonts w:cs="Arial"/>
        </w:rPr>
        <w:t>as for</w:t>
      </w:r>
      <w:r w:rsidRPr="00F50A7A">
        <w:rPr>
          <w:rFonts w:cs="Arial"/>
        </w:rPr>
        <w:t xml:space="preserve"> the café</w:t>
      </w:r>
      <w:r>
        <w:rPr>
          <w:rFonts w:cs="Arial"/>
        </w:rPr>
        <w:t>,</w:t>
      </w:r>
      <w:r w:rsidRPr="00F50A7A">
        <w:rPr>
          <w:rFonts w:cs="Arial"/>
        </w:rPr>
        <w:t xml:space="preserve"> with either the largest </w:t>
      </w:r>
      <w:r>
        <w:rPr>
          <w:rFonts w:cs="Arial"/>
        </w:rPr>
        <w:t xml:space="preserve">food </w:t>
      </w:r>
      <w:r w:rsidRPr="00F50A7A">
        <w:rPr>
          <w:rFonts w:cs="Arial"/>
        </w:rPr>
        <w:t>volume monitored and recorded for each batch</w:t>
      </w:r>
      <w:r>
        <w:rPr>
          <w:rFonts w:cs="Arial"/>
        </w:rPr>
        <w:t>,</w:t>
      </w:r>
      <w:r w:rsidRPr="00F50A7A">
        <w:rPr>
          <w:rFonts w:cs="Arial"/>
        </w:rPr>
        <w:t xml:space="preserve"> or a SOP could be used where the size, food type and process is consistent and temperatures previously validated.</w:t>
      </w:r>
    </w:p>
    <w:p w14:paraId="1770B48B" w14:textId="77777777" w:rsidR="00F72B9F" w:rsidRDefault="00F72B9F" w:rsidP="00DA5DD7">
      <w:pPr>
        <w:rPr>
          <w:rFonts w:cs="Arial"/>
          <w:b/>
        </w:rPr>
      </w:pPr>
    </w:p>
    <w:p w14:paraId="6555EC16" w14:textId="47DC18B1" w:rsidR="00CB7716" w:rsidRPr="00F50A7A" w:rsidRDefault="00CB7716" w:rsidP="00DA5DD7">
      <w:pPr>
        <w:rPr>
          <w:rFonts w:cs="Arial"/>
        </w:rPr>
      </w:pPr>
      <w:r w:rsidRPr="02C895D1">
        <w:rPr>
          <w:rFonts w:cs="Arial"/>
          <w:b/>
          <w:bCs/>
        </w:rPr>
        <w:t>Food reheating</w:t>
      </w:r>
      <w:r w:rsidRPr="02C895D1">
        <w:rPr>
          <w:rFonts w:cs="Arial"/>
          <w:color w:val="4F81BD" w:themeColor="accent1"/>
        </w:rPr>
        <w:t xml:space="preserve"> </w:t>
      </w:r>
      <w:r w:rsidRPr="02C895D1">
        <w:rPr>
          <w:rFonts w:cs="Arial"/>
        </w:rPr>
        <w:t>– The caterer reheats the sliced sous vide chicken and places it in a hot Bain Marie for plating and service. The temperature of the chicken is checked to make sure it is 60</w:t>
      </w:r>
      <w:r w:rsidRPr="02C895D1">
        <w:rPr>
          <w:rFonts w:cs="Arial"/>
          <w:vertAlign w:val="superscript"/>
        </w:rPr>
        <w:t>o</w:t>
      </w:r>
      <w:r w:rsidRPr="02C895D1">
        <w:rPr>
          <w:rFonts w:cs="Arial"/>
        </w:rPr>
        <w:t>C or above. This food is all plated, served and consumed within 1.5 hours. If the food was not consumed within 2 hours, the temperature of the chicken would be rechecked and recorded to ensure it was being held under temperature control.</w:t>
      </w:r>
    </w:p>
    <w:p w14:paraId="3EE7D3E5" w14:textId="77777777" w:rsidR="00F72B9F" w:rsidRDefault="00F72B9F" w:rsidP="00DA5DD7">
      <w:pPr>
        <w:rPr>
          <w:rFonts w:cs="Arial"/>
          <w:b/>
        </w:rPr>
      </w:pPr>
    </w:p>
    <w:p w14:paraId="2C4EF9CF" w14:textId="1B5BC268" w:rsidR="00CB7716" w:rsidRPr="00F50A7A" w:rsidRDefault="00CB7716" w:rsidP="00DA5DD7">
      <w:pPr>
        <w:rPr>
          <w:rFonts w:cs="Arial"/>
        </w:rPr>
      </w:pPr>
      <w:r w:rsidRPr="02C895D1">
        <w:rPr>
          <w:rFonts w:cs="Arial"/>
          <w:b/>
          <w:bCs/>
        </w:rPr>
        <w:t xml:space="preserve">Food display </w:t>
      </w:r>
      <w:r w:rsidRPr="02C895D1">
        <w:rPr>
          <w:rFonts w:cs="Arial"/>
        </w:rPr>
        <w:t>– This caterer does not display food at every event, although on occasions will provide a self-serve option for the client, where Bain Marie equipment is available. Requirements are similar to the previous example e.g. If the food was not consumed within 2 hours, the temperature of the chicken would be rechecked and recorded to ensure it was being held under temperature control.</w:t>
      </w:r>
    </w:p>
    <w:p w14:paraId="3465BDD8" w14:textId="77777777" w:rsidR="00F72B9F" w:rsidRDefault="00F72B9F" w:rsidP="00DA5DD7">
      <w:pPr>
        <w:rPr>
          <w:rFonts w:cs="Arial"/>
          <w:b/>
        </w:rPr>
      </w:pPr>
    </w:p>
    <w:p w14:paraId="6CD250AA" w14:textId="1D49D464" w:rsidR="00CB7716" w:rsidRDefault="00CB7716" w:rsidP="00DA5DD7">
      <w:pPr>
        <w:rPr>
          <w:rFonts w:cs="Arial"/>
          <w:color w:val="44546A"/>
        </w:rPr>
      </w:pPr>
      <w:r w:rsidRPr="48861835">
        <w:rPr>
          <w:rFonts w:cs="Arial"/>
          <w:b/>
        </w:rPr>
        <w:t xml:space="preserve">Food transport </w:t>
      </w:r>
      <w:r w:rsidRPr="00F50A7A">
        <w:rPr>
          <w:rFonts w:cs="Arial"/>
        </w:rPr>
        <w:t xml:space="preserve">– This caterer has a refrigerated delivery van to transport the food under temperature control. The caterer may monitor and record the temperature of the van cavity or record the temperature of the food in the van. The caterer also uses a non-refrigerated van when they have large events. Food safety is maintained by packaging food in </w:t>
      </w:r>
      <w:proofErr w:type="spellStart"/>
      <w:r w:rsidRPr="00F50A7A">
        <w:rPr>
          <w:rFonts w:cs="Arial"/>
        </w:rPr>
        <w:t>eskies</w:t>
      </w:r>
      <w:proofErr w:type="spellEnd"/>
      <w:r w:rsidRPr="00F50A7A">
        <w:rPr>
          <w:rFonts w:cs="Arial"/>
        </w:rPr>
        <w:t xml:space="preserve"> or ensuring time out of temperature control is minimised. The temperature of the food on delivery to the event should be checked and recorded</w:t>
      </w:r>
      <w:r>
        <w:rPr>
          <w:rFonts w:cs="Arial"/>
        </w:rPr>
        <w:t>,</w:t>
      </w:r>
      <w:r w:rsidRPr="00F50A7A">
        <w:rPr>
          <w:rFonts w:cs="Arial"/>
        </w:rPr>
        <w:t xml:space="preserve"> or time recorded if the event was less than 2 hours’ drive.</w:t>
      </w:r>
    </w:p>
    <w:p w14:paraId="632DE6FB" w14:textId="77777777" w:rsidR="00F72B9F" w:rsidRDefault="00F72B9F" w:rsidP="00DA5DD7">
      <w:pPr>
        <w:rPr>
          <w:rFonts w:cs="Arial"/>
          <w:b/>
        </w:rPr>
      </w:pPr>
    </w:p>
    <w:p w14:paraId="5B6D7B1F" w14:textId="712B4A46" w:rsidR="00CB7716" w:rsidRDefault="00CB7716" w:rsidP="00DA5DD7">
      <w:pPr>
        <w:rPr>
          <w:rFonts w:cs="Arial"/>
        </w:rPr>
      </w:pPr>
      <w:r w:rsidRPr="48861835">
        <w:rPr>
          <w:rFonts w:cs="Arial"/>
          <w:b/>
        </w:rPr>
        <w:t>Cleaning and sanitising</w:t>
      </w:r>
      <w:r w:rsidRPr="68C0CA2D">
        <w:rPr>
          <w:rFonts w:cs="Arial"/>
          <w:color w:val="4F81BD" w:themeColor="accent1"/>
        </w:rPr>
        <w:t xml:space="preserve"> </w:t>
      </w:r>
      <w:r w:rsidRPr="68C0CA2D">
        <w:rPr>
          <w:rFonts w:cs="Arial"/>
        </w:rPr>
        <w:t>– Evidence kept for this may be a schedule with the important areas to clean, which is ticked/initialled as the task is completed. It may also include instructions of the chemicals to be used (contact time, dilution, rinse or no rinse, etc.) and the process for cleaning and sanitising. This could also include recording a temperature of the dishwasher during operation once a week. Cleaning and sanitising of equipment at the venue may also need to be considered for this caterer.</w:t>
      </w:r>
    </w:p>
    <w:p w14:paraId="12194DB9" w14:textId="77777777" w:rsidR="00CB7716" w:rsidRPr="006D619E" w:rsidRDefault="00CB7716" w:rsidP="006D619E">
      <w:pPr>
        <w:pStyle w:val="Heading4"/>
        <w:numPr>
          <w:ilvl w:val="0"/>
          <w:numId w:val="0"/>
        </w:numPr>
        <w:ind w:left="864" w:hanging="864"/>
      </w:pPr>
      <w:bookmarkStart w:id="143" w:name="_Toc107412708"/>
      <w:r w:rsidRPr="006D619E">
        <w:t>4. A delicatessen</w:t>
      </w:r>
      <w:bookmarkEnd w:id="143"/>
      <w:r w:rsidRPr="006D619E">
        <w:t xml:space="preserve"> </w:t>
      </w:r>
    </w:p>
    <w:p w14:paraId="6FC7768A" w14:textId="77777777" w:rsidR="00CB7716" w:rsidRPr="00986631" w:rsidRDefault="00CB7716" w:rsidP="00DA5DD7">
      <w:pPr>
        <w:spacing w:after="240"/>
      </w:pPr>
      <w:r w:rsidRPr="00986631">
        <w:t xml:space="preserve">Robbie owns a deli business in WA that sells cheeses, cured and cooked meats, and cooked seafood. He buys pre-packaged products in bulk, then he and his team open and divide them into smaller portions or slices to sell to consumers. Robbie’s business is a Category 2 business because it doesn’t make the deli food, it just minimally processes it (e.g. slices, weighs, wraps it in paper) to sell to consumers. </w:t>
      </w:r>
    </w:p>
    <w:p w14:paraId="03E9A7C1" w14:textId="77777777" w:rsidR="00CB7716" w:rsidRPr="00986631" w:rsidRDefault="00CB7716" w:rsidP="00DA5DD7">
      <w:pPr>
        <w:spacing w:after="240"/>
      </w:pPr>
      <w:r w:rsidRPr="00986631">
        <w:t xml:space="preserve">Robbie and his team need to understand and manage critical food safety risks with the unpackaged deli foods while they unwrap them, portion them out, display and serve them. </w:t>
      </w:r>
    </w:p>
    <w:p w14:paraId="530B6F7C" w14:textId="77777777" w:rsidR="00CB7716" w:rsidRPr="00F50A7A" w:rsidRDefault="00CB7716" w:rsidP="00DA5DD7">
      <w:pPr>
        <w:spacing w:after="240"/>
      </w:pPr>
      <w:r w:rsidRPr="00F50A7A">
        <w:t xml:space="preserve">Under the new standard, Robbie will need to be or have a qualified </w:t>
      </w:r>
      <w:r>
        <w:t>FSS</w:t>
      </w:r>
      <w:r w:rsidRPr="00F50A7A">
        <w:t xml:space="preserve">, and his three staff who directly handle unpackaged deli foods will need to complete food handler training. Robbie will not have to keep records of food temperatures or cleaning and sanitising, although this is best practice and would help him to be sure </w:t>
      </w:r>
      <w:r>
        <w:t>things have been done properly.</w:t>
      </w:r>
    </w:p>
    <w:p w14:paraId="78C0BA2A" w14:textId="77777777" w:rsidR="00CB7716" w:rsidRPr="006D619E" w:rsidRDefault="00CB7716" w:rsidP="006D619E">
      <w:pPr>
        <w:pStyle w:val="Heading4"/>
        <w:numPr>
          <w:ilvl w:val="0"/>
          <w:numId w:val="0"/>
        </w:numPr>
        <w:ind w:left="864" w:hanging="864"/>
      </w:pPr>
      <w:bookmarkStart w:id="144" w:name="_Toc107412709"/>
      <w:r w:rsidRPr="006D619E">
        <w:t>5. A café that serves pre-prepared snacks and lunches</w:t>
      </w:r>
      <w:bookmarkEnd w:id="144"/>
    </w:p>
    <w:p w14:paraId="14B2E076" w14:textId="77777777" w:rsidR="00CB7716" w:rsidRPr="00986631" w:rsidRDefault="00CB7716" w:rsidP="00DA5DD7">
      <w:pPr>
        <w:spacing w:after="240"/>
      </w:pPr>
      <w:r w:rsidRPr="00986631">
        <w:t>Jess runs a small café alongside her art and craft gallery</w:t>
      </w:r>
      <w:r>
        <w:t xml:space="preserve"> in Tasmania</w:t>
      </w:r>
      <w:r w:rsidRPr="00986631">
        <w:t>. She sells unpackaged sandwiches, quiches and pre-cut fruits and salads made by another company. Jess doesn’t do any of the cooking or other food preparation herself; she just serves out portions to her customers. Jess’s café is a Category 2 business because it doesn’t make the food, but minimally processes by taking the sandwich out of the package, or reheat</w:t>
      </w:r>
      <w:r>
        <w:t>s</w:t>
      </w:r>
      <w:r w:rsidRPr="00986631">
        <w:t xml:space="preserve"> the quiche, before serving. </w:t>
      </w:r>
    </w:p>
    <w:p w14:paraId="67D1F804" w14:textId="77777777" w:rsidR="00CB7716" w:rsidRPr="00F50A7A" w:rsidRDefault="00CB7716" w:rsidP="00DA5DD7">
      <w:pPr>
        <w:spacing w:after="240"/>
      </w:pPr>
      <w:r w:rsidRPr="00F50A7A">
        <w:t xml:space="preserve">Under the new standard, as Jess is the only food handler in the business, she will need to be a qualified </w:t>
      </w:r>
      <w:r>
        <w:t>FSS.</w:t>
      </w:r>
      <w:r w:rsidRPr="00F50A7A">
        <w:t xml:space="preserve"> She doesn’t have to do the additional food handler training because the </w:t>
      </w:r>
      <w:r>
        <w:t>FSS</w:t>
      </w:r>
      <w:r w:rsidRPr="00F50A7A">
        <w:t xml:space="preserve"> qualifications cover the FH training content. Jess will not </w:t>
      </w:r>
      <w:r>
        <w:t>need</w:t>
      </w:r>
      <w:r w:rsidRPr="00F50A7A">
        <w:t xml:space="preserve"> to keep records of food temperatures or cleaning and sanitising, although this is best practice and would help make sure things have been done properly.</w:t>
      </w:r>
    </w:p>
    <w:p w14:paraId="03A38D00" w14:textId="1CDDACDA" w:rsidR="00CB7716" w:rsidRPr="00986631" w:rsidRDefault="00CB7716" w:rsidP="00DA5DD7">
      <w:pPr>
        <w:spacing w:after="240"/>
      </w:pPr>
      <w:r w:rsidRPr="00F50A7A">
        <w:t>However, if Jess decides to start making her own food she would need to consider whether this food is a potentially hazardous food and would mean that her business becomes a Category 1 business, requiring her to keep evidence of the safe handling of that food.</w:t>
      </w:r>
    </w:p>
    <w:p w14:paraId="3464EEE0" w14:textId="4DCE650B" w:rsidR="00CB7716" w:rsidRPr="00986631" w:rsidRDefault="00CB7716" w:rsidP="0025246D">
      <w:pPr>
        <w:pStyle w:val="Heading3"/>
        <w:numPr>
          <w:ilvl w:val="0"/>
          <w:numId w:val="0"/>
        </w:numPr>
        <w:ind w:left="720" w:hanging="720"/>
      </w:pPr>
      <w:bookmarkStart w:id="145" w:name="_Toc107412710"/>
      <w:bookmarkStart w:id="146" w:name="_Toc109300463"/>
      <w:r w:rsidRPr="00986631">
        <w:t xml:space="preserve">Examples of where </w:t>
      </w:r>
      <w:r>
        <w:t xml:space="preserve">proposed </w:t>
      </w:r>
      <w:r w:rsidRPr="00986631">
        <w:t xml:space="preserve">Standard 3.2.2A </w:t>
      </w:r>
      <w:r>
        <w:t>would</w:t>
      </w:r>
      <w:r w:rsidRPr="00986631">
        <w:t xml:space="preserve"> NOT apply:</w:t>
      </w:r>
      <w:bookmarkEnd w:id="145"/>
      <w:bookmarkEnd w:id="146"/>
    </w:p>
    <w:p w14:paraId="1F2CD1DB" w14:textId="77777777" w:rsidR="00CB7716" w:rsidRPr="00DA5DD7" w:rsidRDefault="00CB7716" w:rsidP="0025246D">
      <w:pPr>
        <w:pStyle w:val="Heading4"/>
        <w:numPr>
          <w:ilvl w:val="0"/>
          <w:numId w:val="0"/>
        </w:numPr>
        <w:ind w:left="864" w:hanging="864"/>
      </w:pPr>
      <w:bookmarkStart w:id="147" w:name="_Toc107412711"/>
      <w:r w:rsidRPr="00DA5DD7">
        <w:t>1. Service station that sells pre-packaged foods</w:t>
      </w:r>
      <w:bookmarkEnd w:id="147"/>
      <w:r w:rsidRPr="00DA5DD7">
        <w:t xml:space="preserve"> </w:t>
      </w:r>
    </w:p>
    <w:p w14:paraId="3EFD3079" w14:textId="055C731C" w:rsidR="00CB7716" w:rsidRPr="00986631" w:rsidRDefault="00CB7716" w:rsidP="00DA5DD7">
      <w:pPr>
        <w:spacing w:after="240"/>
      </w:pPr>
      <w:r w:rsidRPr="00986631">
        <w:t>Jay’s service station sells pre-made, pre-packaged sandwiches, sausage rolls</w:t>
      </w:r>
      <w:r>
        <w:t>,</w:t>
      </w:r>
      <w:r w:rsidRPr="00986631">
        <w:t xml:space="preserve"> and pies prepared by another business. Jay buys these foods in cartons of single-wrapped units and simply places them in a display fridge or hot oven unit ready to sell to consumers.</w:t>
      </w:r>
      <w:r>
        <w:t xml:space="preserve"> The proposed s</w:t>
      </w:r>
      <w:r w:rsidRPr="00986631">
        <w:t xml:space="preserve">tandard </w:t>
      </w:r>
      <w:r>
        <w:t>would</w:t>
      </w:r>
      <w:r w:rsidRPr="00986631">
        <w:t xml:space="preserve">n’t apply to Jay’s business, because it only sells food that’s been kept in its original packaging. </w:t>
      </w:r>
    </w:p>
    <w:p w14:paraId="1239601C" w14:textId="2F0D3C81" w:rsidR="00CB7716" w:rsidRPr="00986631" w:rsidRDefault="00CB7716" w:rsidP="00DA5DD7">
      <w:pPr>
        <w:spacing w:after="240"/>
      </w:pPr>
      <w:r w:rsidRPr="00986631">
        <w:t xml:space="preserve">Jay’s food safety risks are lower than a Category 1 or 2 business because the food remains packaged. He </w:t>
      </w:r>
      <w:r>
        <w:t>mainly</w:t>
      </w:r>
      <w:r w:rsidRPr="00986631">
        <w:t xml:space="preserve"> just needs to safely store and display the food. </w:t>
      </w:r>
      <w:r w:rsidR="00DA5DD7">
        <w:t>The business</w:t>
      </w:r>
      <w:r w:rsidRPr="00986631">
        <w:t xml:space="preserve"> will still need to comply with the general food safety requiremen</w:t>
      </w:r>
      <w:r>
        <w:t>ts of Standard 3.2.2 and 3.2.3.</w:t>
      </w:r>
    </w:p>
    <w:p w14:paraId="3E28D6F5" w14:textId="2F85FEA7" w:rsidR="00CB7716" w:rsidRPr="00DA5DD7" w:rsidRDefault="00CB7716" w:rsidP="0025246D">
      <w:pPr>
        <w:pStyle w:val="Heading4"/>
        <w:numPr>
          <w:ilvl w:val="0"/>
          <w:numId w:val="0"/>
        </w:numPr>
        <w:ind w:left="864" w:hanging="864"/>
      </w:pPr>
      <w:bookmarkStart w:id="148" w:name="_Toc107412712"/>
      <w:r w:rsidRPr="00DA5DD7">
        <w:t>2. Ham manufacturer</w:t>
      </w:r>
      <w:bookmarkEnd w:id="148"/>
      <w:r w:rsidRPr="00DA5DD7">
        <w:t xml:space="preserve"> </w:t>
      </w:r>
    </w:p>
    <w:p w14:paraId="3FCB451A" w14:textId="77777777" w:rsidR="00CB7716" w:rsidRPr="00986631" w:rsidRDefault="00CB7716" w:rsidP="00DA5DD7">
      <w:pPr>
        <w:spacing w:after="240"/>
      </w:pPr>
      <w:r w:rsidRPr="00986631">
        <w:t>A food manufacturer processes bulk raw pork into ham products, including bulk cured ham sold at delicatessens and packaged sliced sandwich ham sold in</w:t>
      </w:r>
      <w:r>
        <w:t xml:space="preserve"> supermarkets. The proposed standard would</w:t>
      </w:r>
      <w:r w:rsidRPr="00986631">
        <w:t>n’t apply to the manufacturer because:</w:t>
      </w:r>
    </w:p>
    <w:p w14:paraId="7426D6F3" w14:textId="77777777" w:rsidR="00CB7716" w:rsidRPr="00986631" w:rsidRDefault="00CB7716" w:rsidP="004E6D96">
      <w:pPr>
        <w:pStyle w:val="ListParagraph"/>
        <w:numPr>
          <w:ilvl w:val="0"/>
          <w:numId w:val="37"/>
        </w:numPr>
        <w:spacing w:after="240"/>
      </w:pPr>
      <w:r w:rsidRPr="00986631">
        <w:t>the business does not serve the food or sell it direct to consumers, and</w:t>
      </w:r>
    </w:p>
    <w:p w14:paraId="111126AF" w14:textId="77777777" w:rsidR="00CB7716" w:rsidRPr="00986631" w:rsidRDefault="00CB7716" w:rsidP="004E6D96">
      <w:pPr>
        <w:pStyle w:val="ListParagraph"/>
        <w:numPr>
          <w:ilvl w:val="0"/>
          <w:numId w:val="37"/>
        </w:numPr>
        <w:spacing w:after="240"/>
      </w:pPr>
      <w:proofErr w:type="gramStart"/>
      <w:r>
        <w:t>the</w:t>
      </w:r>
      <w:proofErr w:type="gramEnd"/>
      <w:r>
        <w:t xml:space="preserve"> ham products are not in a form that a consumer would normally buy to eat right away. The bulk ham supplied to a deli will be unwrapped and sliced before retail sale. The supermarket packaged ham will need to be unsealed by the consumer to use in sandwiches, salads, etc.</w:t>
      </w:r>
    </w:p>
    <w:p w14:paraId="0FF2C889" w14:textId="62640FFD" w:rsidR="00DA5DD7" w:rsidRDefault="00CB7716" w:rsidP="00DA5DD7">
      <w:pPr>
        <w:spacing w:after="240"/>
      </w:pPr>
      <w:r w:rsidRPr="00986631">
        <w:t>This business will still need to meet the general food safety requirement</w:t>
      </w:r>
      <w:r>
        <w:t xml:space="preserve">s in Standards 3.2.2 and 3.2.3 </w:t>
      </w:r>
      <w:r w:rsidRPr="00986631">
        <w:t>and the meat primary production and processing Standard 4.2.3.</w:t>
      </w:r>
    </w:p>
    <w:p w14:paraId="53A30307" w14:textId="72DA97DA" w:rsidR="00CB7716" w:rsidRPr="0025246D" w:rsidRDefault="00CB7716" w:rsidP="0025246D">
      <w:pPr>
        <w:pStyle w:val="Heading2"/>
        <w:numPr>
          <w:ilvl w:val="0"/>
          <w:numId w:val="0"/>
        </w:numPr>
        <w:ind w:left="576" w:hanging="576"/>
      </w:pPr>
      <w:bookmarkStart w:id="149" w:name="_Toc107412713"/>
      <w:bookmarkStart w:id="150" w:name="_Toc109300464"/>
      <w:bookmarkStart w:id="151" w:name="_Toc121311421"/>
      <w:r w:rsidRPr="0025246D">
        <w:t>References</w:t>
      </w:r>
      <w:bookmarkEnd w:id="149"/>
      <w:bookmarkEnd w:id="150"/>
      <w:bookmarkEnd w:id="151"/>
      <w:r w:rsidRPr="0025246D">
        <w:t xml:space="preserve"> </w:t>
      </w:r>
    </w:p>
    <w:p w14:paraId="2FB7F777" w14:textId="77777777" w:rsidR="00CB7716" w:rsidRDefault="00CB7716" w:rsidP="00CB7716">
      <w:pPr>
        <w:rPr>
          <w:rFonts w:cs="Arial"/>
        </w:rPr>
      </w:pPr>
      <w:r w:rsidRPr="0027520B">
        <w:rPr>
          <w:rFonts w:cs="Arial"/>
        </w:rPr>
        <w:t xml:space="preserve">Abelson P, Forbes M P, Hall G (2006). The annual cost of foodborne illness in Australia. Report No.: 0642829063. Australian Government Department of Health and Ageing, Canberra. </w:t>
      </w:r>
    </w:p>
    <w:p w14:paraId="3F9D547E" w14:textId="77777777" w:rsidR="00CB7716" w:rsidRPr="0027520B" w:rsidRDefault="00CB7716" w:rsidP="00CB7716">
      <w:pPr>
        <w:rPr>
          <w:rFonts w:cs="Arial"/>
        </w:rPr>
      </w:pPr>
    </w:p>
    <w:p w14:paraId="11BF2B76" w14:textId="77777777" w:rsidR="00CB7716" w:rsidRDefault="00CB7716" w:rsidP="00CB7716">
      <w:pPr>
        <w:rPr>
          <w:rFonts w:cs="Arial"/>
        </w:rPr>
      </w:pPr>
      <w:proofErr w:type="spellStart"/>
      <w:r>
        <w:rPr>
          <w:rFonts w:cs="Arial"/>
        </w:rPr>
        <w:t>Aik</w:t>
      </w:r>
      <w:proofErr w:type="spellEnd"/>
      <w:r>
        <w:rPr>
          <w:rFonts w:cs="Arial"/>
        </w:rPr>
        <w:t xml:space="preserve"> J, Turner RM, </w:t>
      </w:r>
      <w:r w:rsidRPr="005435E9">
        <w:rPr>
          <w:rFonts w:cs="Arial"/>
        </w:rPr>
        <w:t>Kirk</w:t>
      </w:r>
      <w:r>
        <w:rPr>
          <w:rFonts w:cs="Arial"/>
        </w:rPr>
        <w:t xml:space="preserve"> MD, </w:t>
      </w:r>
      <w:r w:rsidRPr="005435E9">
        <w:rPr>
          <w:rFonts w:cs="Arial"/>
        </w:rPr>
        <w:t>Heywood</w:t>
      </w:r>
      <w:r>
        <w:rPr>
          <w:rFonts w:cs="Arial"/>
        </w:rPr>
        <w:t xml:space="preserve"> AE, </w:t>
      </w:r>
      <w:r w:rsidRPr="005435E9">
        <w:rPr>
          <w:rFonts w:cs="Arial"/>
        </w:rPr>
        <w:t>Newall</w:t>
      </w:r>
      <w:r>
        <w:rPr>
          <w:rFonts w:cs="Arial"/>
        </w:rPr>
        <w:t xml:space="preserve"> AT</w:t>
      </w:r>
      <w:r w:rsidRPr="0027520B">
        <w:rPr>
          <w:rFonts w:cs="Arial"/>
        </w:rPr>
        <w:t xml:space="preserve"> (2020)</w:t>
      </w:r>
      <w:r>
        <w:rPr>
          <w:rFonts w:cs="Arial"/>
        </w:rPr>
        <w:t>.</w:t>
      </w:r>
      <w:r w:rsidRPr="0027520B">
        <w:rPr>
          <w:rFonts w:cs="Arial"/>
        </w:rPr>
        <w:t xml:space="preserve"> Evaluating food safety management systems in Singapore: A controlled interrupted time-series analysis of foodborne disease outbreak reports. Food Control 117:107324</w:t>
      </w:r>
      <w:r>
        <w:rPr>
          <w:rFonts w:cs="Arial"/>
        </w:rPr>
        <w:t>.</w:t>
      </w:r>
    </w:p>
    <w:p w14:paraId="6DF2FE7E" w14:textId="77777777" w:rsidR="00CB7716" w:rsidRPr="0027520B" w:rsidRDefault="00CB7716" w:rsidP="00CB7716">
      <w:pPr>
        <w:rPr>
          <w:rFonts w:cs="Arial"/>
        </w:rPr>
      </w:pPr>
    </w:p>
    <w:p w14:paraId="1E1A238F" w14:textId="77777777" w:rsidR="00CB7716" w:rsidRPr="0027520B" w:rsidRDefault="00CB7716" w:rsidP="00CB7716">
      <w:pPr>
        <w:rPr>
          <w:rFonts w:cs="Arial"/>
        </w:rPr>
      </w:pPr>
      <w:proofErr w:type="spellStart"/>
      <w:r w:rsidRPr="68C0CA2D">
        <w:rPr>
          <w:rFonts w:cs="Arial"/>
        </w:rPr>
        <w:t>Ashbolt</w:t>
      </w:r>
      <w:proofErr w:type="spellEnd"/>
      <w:r w:rsidRPr="68C0CA2D">
        <w:rPr>
          <w:rFonts w:cs="Arial"/>
        </w:rPr>
        <w:t xml:space="preserve">, R, Bell R, Combs B, </w:t>
      </w:r>
      <w:proofErr w:type="spellStart"/>
      <w:r w:rsidRPr="68C0CA2D">
        <w:rPr>
          <w:rFonts w:cs="Arial"/>
        </w:rPr>
        <w:t>Crerar</w:t>
      </w:r>
      <w:proofErr w:type="spellEnd"/>
      <w:r w:rsidRPr="68C0CA2D">
        <w:rPr>
          <w:rFonts w:cs="Arial"/>
        </w:rPr>
        <w:t xml:space="preserve"> S, Dalton C, Dempsey K et al. (2003). Foodborne disease in Australia: incidence, notifications and outbreaks. Annual report of the </w:t>
      </w:r>
      <w:proofErr w:type="spellStart"/>
      <w:r w:rsidRPr="68C0CA2D">
        <w:rPr>
          <w:rFonts w:cs="Arial"/>
        </w:rPr>
        <w:t>OzFoodNet</w:t>
      </w:r>
      <w:proofErr w:type="spellEnd"/>
      <w:r w:rsidRPr="68C0CA2D">
        <w:rPr>
          <w:rFonts w:cs="Arial"/>
        </w:rPr>
        <w:t xml:space="preserve"> network, 2002. 27</w:t>
      </w:r>
      <w:r w:rsidRPr="68C0CA2D">
        <w:rPr>
          <w:rFonts w:cs="Arial"/>
          <w:vertAlign w:val="superscript"/>
        </w:rPr>
        <w:t>th</w:t>
      </w:r>
      <w:r w:rsidRPr="68C0CA2D">
        <w:rPr>
          <w:rFonts w:cs="Arial"/>
        </w:rPr>
        <w:t xml:space="preserve"> ed. Australian Department of Health, Canberra. </w:t>
      </w:r>
      <w:hyperlink r:id="rId19" w:history="1">
        <w:r w:rsidRPr="0027520B">
          <w:rPr>
            <w:rStyle w:val="Hyperlink"/>
            <w:rFonts w:cs="Arial"/>
          </w:rPr>
          <w:t>http://www.health.gov.au/internet/main/publishing.nsf/Content/cda-pubs-annlrpt-ozfnetar.htm</w:t>
        </w:r>
      </w:hyperlink>
    </w:p>
    <w:p w14:paraId="6BD2DB1F" w14:textId="77777777" w:rsidR="00CB7716" w:rsidRDefault="00CB7716" w:rsidP="00CB7716">
      <w:pPr>
        <w:rPr>
          <w:rFonts w:cs="Arial"/>
        </w:rPr>
      </w:pPr>
      <w:proofErr w:type="gramStart"/>
      <w:r>
        <w:rPr>
          <w:rFonts w:cs="Arial"/>
        </w:rPr>
        <w:t>a</w:t>
      </w:r>
      <w:r w:rsidRPr="0027520B">
        <w:rPr>
          <w:rFonts w:cs="Arial"/>
        </w:rPr>
        <w:t>ccessed</w:t>
      </w:r>
      <w:proofErr w:type="gramEnd"/>
      <w:r w:rsidRPr="0027520B">
        <w:rPr>
          <w:rFonts w:cs="Arial"/>
        </w:rPr>
        <w:t xml:space="preserve"> 4</w:t>
      </w:r>
      <w:r>
        <w:rPr>
          <w:rFonts w:cs="Arial"/>
        </w:rPr>
        <w:t>/1/</w:t>
      </w:r>
      <w:r w:rsidRPr="0027520B">
        <w:rPr>
          <w:rFonts w:cs="Arial"/>
        </w:rPr>
        <w:t>2019</w:t>
      </w:r>
      <w:r>
        <w:rPr>
          <w:rFonts w:cs="Arial"/>
        </w:rPr>
        <w:t>.</w:t>
      </w:r>
    </w:p>
    <w:p w14:paraId="132D1A9E" w14:textId="77777777" w:rsidR="00CB7716" w:rsidRPr="0027520B" w:rsidRDefault="00CB7716" w:rsidP="00CB7716">
      <w:pPr>
        <w:rPr>
          <w:rFonts w:cs="Arial"/>
        </w:rPr>
      </w:pPr>
    </w:p>
    <w:p w14:paraId="4462D7AB" w14:textId="77777777" w:rsidR="00CB7716" w:rsidRDefault="00CB7716" w:rsidP="00CB7716">
      <w:pPr>
        <w:rPr>
          <w:rFonts w:cs="Arial"/>
          <w:lang w:val="en-AU"/>
        </w:rPr>
      </w:pPr>
      <w:r w:rsidRPr="0027520B">
        <w:rPr>
          <w:rFonts w:cs="Arial"/>
          <w:lang w:val="en-AU"/>
        </w:rPr>
        <w:t>Allen Consulting Group (2002). Food safety management systems: costs, benefits and alternatives: final report to the Commonwealth Department of Health and Ageing. Department of Health and Ageing, Canberra</w:t>
      </w:r>
      <w:r>
        <w:rPr>
          <w:rFonts w:cs="Arial"/>
          <w:lang w:val="en-AU"/>
        </w:rPr>
        <w:t>.</w:t>
      </w:r>
    </w:p>
    <w:p w14:paraId="1EF8A4C6" w14:textId="77777777" w:rsidR="00CB7716" w:rsidRPr="0027520B" w:rsidRDefault="00CB7716" w:rsidP="00CB7716">
      <w:pPr>
        <w:rPr>
          <w:rFonts w:cs="Arial"/>
          <w:lang w:val="en-AU"/>
        </w:rPr>
      </w:pPr>
    </w:p>
    <w:p w14:paraId="43D5F7C0" w14:textId="77777777" w:rsidR="00CB7716" w:rsidRDefault="00CB7716" w:rsidP="00CB7716">
      <w:proofErr w:type="spellStart"/>
      <w:r>
        <w:t>Bartsch</w:t>
      </w:r>
      <w:proofErr w:type="spellEnd"/>
      <w:r>
        <w:t xml:space="preserve"> SM, Asti L, </w:t>
      </w:r>
      <w:proofErr w:type="spellStart"/>
      <w:r>
        <w:t>Nyathi</w:t>
      </w:r>
      <w:proofErr w:type="spellEnd"/>
      <w:r>
        <w:t xml:space="preserve"> S, Spiker ML, Lee BY (2018). Estimated cost to a restaurant of a foodborne illness outbreak, </w:t>
      </w:r>
      <w:r w:rsidRPr="007A76FD">
        <w:rPr>
          <w:i/>
        </w:rPr>
        <w:t>Public Health Reports</w:t>
      </w:r>
      <w:r>
        <w:t>, 2018, 133(3): 274-286, Association of Schools and Programs of Public Health.</w:t>
      </w:r>
    </w:p>
    <w:p w14:paraId="028E66F5" w14:textId="77777777" w:rsidR="00CB7716" w:rsidRDefault="00CB7716" w:rsidP="00CB7716">
      <w:pPr>
        <w:rPr>
          <w:rFonts w:cs="Arial"/>
          <w:lang w:val="en-AU"/>
        </w:rPr>
      </w:pPr>
      <w:proofErr w:type="spellStart"/>
      <w:r w:rsidRPr="68C0CA2D">
        <w:rPr>
          <w:rFonts w:cs="Arial"/>
        </w:rPr>
        <w:t>DoHA</w:t>
      </w:r>
      <w:proofErr w:type="spellEnd"/>
      <w:r w:rsidRPr="68C0CA2D">
        <w:rPr>
          <w:rFonts w:cs="Arial"/>
        </w:rPr>
        <w:t xml:space="preserve"> (2007). Business Sector Food Safety Risk Profiling Framework</w:t>
      </w:r>
      <w:r w:rsidRPr="68C0CA2D">
        <w:rPr>
          <w:rStyle w:val="CommentReference"/>
        </w:rPr>
        <w:t>.</w:t>
      </w:r>
      <w:r w:rsidRPr="68C0CA2D">
        <w:rPr>
          <w:rFonts w:cs="Arial"/>
          <w:lang w:val="en-AU"/>
        </w:rPr>
        <w:t xml:space="preserve"> </w:t>
      </w:r>
      <w:r w:rsidRPr="68C0CA2D">
        <w:rPr>
          <w:rFonts w:cs="Arial"/>
        </w:rPr>
        <w:t>Australian Department of Health and Ageing</w:t>
      </w:r>
      <w:r w:rsidRPr="68C0CA2D">
        <w:rPr>
          <w:rFonts w:cs="Arial"/>
          <w:lang w:val="en-AU"/>
        </w:rPr>
        <w:t xml:space="preserve">, </w:t>
      </w:r>
      <w:r w:rsidRPr="68C0CA2D">
        <w:rPr>
          <w:rFonts w:cs="Arial"/>
          <w:lang w:val="en-US"/>
        </w:rPr>
        <w:t xml:space="preserve">Canberra. </w:t>
      </w:r>
      <w:hyperlink r:id="rId20" w:history="1">
        <w:r w:rsidRPr="00DD6EFF">
          <w:rPr>
            <w:rStyle w:val="Hyperlink"/>
            <w:rFonts w:cs="Arial"/>
            <w:lang w:val="en-AU"/>
          </w:rPr>
          <w:t>https://foodregulation.gov.au/internet/fr/publishing.nsf/Content/risk-profiling-framework</w:t>
        </w:r>
      </w:hyperlink>
    </w:p>
    <w:p w14:paraId="2C106F31" w14:textId="77777777" w:rsidR="00CB7716" w:rsidRDefault="00CB7716" w:rsidP="00CB7716">
      <w:r w:rsidRPr="0027520B">
        <w:rPr>
          <w:rFonts w:cs="Arial"/>
          <w:lang w:val="en-AU"/>
        </w:rPr>
        <w:t xml:space="preserve"> </w:t>
      </w:r>
      <w:proofErr w:type="gramStart"/>
      <w:r>
        <w:t>a</w:t>
      </w:r>
      <w:r w:rsidRPr="0027520B">
        <w:t>ccessed</w:t>
      </w:r>
      <w:proofErr w:type="gramEnd"/>
      <w:r w:rsidRPr="0027520B">
        <w:t xml:space="preserve"> 20 December 2019</w:t>
      </w:r>
    </w:p>
    <w:p w14:paraId="0D866866" w14:textId="77777777" w:rsidR="00CB7716" w:rsidRPr="0027520B" w:rsidRDefault="00CB7716" w:rsidP="00CB7716">
      <w:pPr>
        <w:rPr>
          <w:rFonts w:cs="Arial"/>
          <w:lang w:val="en-AU"/>
        </w:rPr>
      </w:pPr>
    </w:p>
    <w:p w14:paraId="785FC101" w14:textId="77777777" w:rsidR="00CB7716" w:rsidRDefault="00CB7716" w:rsidP="00CB7716">
      <w:pPr>
        <w:pStyle w:val="FootnoteText"/>
        <w:rPr>
          <w:rFonts w:cs="Arial"/>
          <w:sz w:val="22"/>
          <w:szCs w:val="22"/>
        </w:rPr>
      </w:pPr>
      <w:r w:rsidRPr="0027520B">
        <w:rPr>
          <w:rFonts w:cs="Arial"/>
          <w:sz w:val="22"/>
          <w:szCs w:val="22"/>
          <w:lang w:val="en-AU"/>
        </w:rPr>
        <w:t>Food Science Australia and Minter Ellison Consulting (2002). National Risk Validation Project: Final Report. NSW Department of Health, Sydney and the Commonwealth Department of Health and</w:t>
      </w:r>
      <w:r w:rsidRPr="0027520B">
        <w:rPr>
          <w:rFonts w:cs="Arial"/>
          <w:sz w:val="22"/>
          <w:szCs w:val="22"/>
        </w:rPr>
        <w:t xml:space="preserve"> Ageing, Canberra</w:t>
      </w:r>
      <w:r>
        <w:rPr>
          <w:rFonts w:cs="Arial"/>
          <w:sz w:val="22"/>
          <w:szCs w:val="22"/>
        </w:rPr>
        <w:t>.</w:t>
      </w:r>
    </w:p>
    <w:p w14:paraId="0C7C4D29" w14:textId="77777777" w:rsidR="00CB7716" w:rsidRPr="0027520B" w:rsidRDefault="00CB7716" w:rsidP="00CB7716">
      <w:pPr>
        <w:pStyle w:val="FootnoteText"/>
        <w:rPr>
          <w:rFonts w:cs="Arial"/>
          <w:sz w:val="22"/>
          <w:szCs w:val="22"/>
        </w:rPr>
      </w:pPr>
    </w:p>
    <w:p w14:paraId="17A8D2DF" w14:textId="77777777" w:rsidR="00CB7716" w:rsidRDefault="00CB7716" w:rsidP="00CB7716">
      <w:pPr>
        <w:rPr>
          <w:rFonts w:cs="Arial"/>
          <w:lang w:val="en-AU"/>
        </w:rPr>
      </w:pPr>
      <w:r w:rsidRPr="0027520B">
        <w:rPr>
          <w:rFonts w:cs="Arial"/>
          <w:lang w:val="en-AU"/>
        </w:rPr>
        <w:t xml:space="preserve">Forum (2011). Policy Guideline on Food Safety Management for General Food Service and Closely Related Retail Sectors. </w:t>
      </w:r>
      <w:r w:rsidRPr="0027520B">
        <w:rPr>
          <w:rFonts w:cs="Arial"/>
        </w:rPr>
        <w:t>Legislative and Governance Forum on Food Regulation</w:t>
      </w:r>
      <w:r w:rsidRPr="0027520B">
        <w:rPr>
          <w:rFonts w:cs="Arial"/>
          <w:lang w:val="en-AU"/>
        </w:rPr>
        <w:t>, Canberra.</w:t>
      </w:r>
      <w:r>
        <w:rPr>
          <w:rFonts w:cs="Arial"/>
          <w:lang w:val="en-AU"/>
        </w:rPr>
        <w:t xml:space="preserve"> </w:t>
      </w:r>
      <w:hyperlink r:id="rId21" w:history="1">
        <w:r w:rsidRPr="00FC2D46">
          <w:rPr>
            <w:rStyle w:val="Hyperlink"/>
            <w:rFonts w:cs="Arial"/>
            <w:lang w:val="en-AU"/>
          </w:rPr>
          <w:t>https://foodregulation.gov.au/internet/fr/publishing.nsf/Content/publication-Food-Safety-Management-Policy-Guideline-for-the-retail-and-food-service-sectors accessed December 2019</w:t>
        </w:r>
      </w:hyperlink>
      <w:r w:rsidRPr="0027520B">
        <w:rPr>
          <w:rFonts w:cs="Arial"/>
          <w:lang w:val="en-AU"/>
        </w:rPr>
        <w:t>.</w:t>
      </w:r>
    </w:p>
    <w:p w14:paraId="42AE7899" w14:textId="77777777" w:rsidR="00CB7716" w:rsidRPr="0027520B" w:rsidRDefault="00CB7716" w:rsidP="00CB7716">
      <w:pPr>
        <w:rPr>
          <w:rFonts w:cs="Arial"/>
          <w:lang w:val="en-AU"/>
        </w:rPr>
      </w:pPr>
    </w:p>
    <w:p w14:paraId="3A555947" w14:textId="77777777" w:rsidR="00CB7716" w:rsidRPr="0027520B" w:rsidRDefault="00CB7716" w:rsidP="00CB7716">
      <w:pPr>
        <w:rPr>
          <w:rFonts w:cs="Arial"/>
        </w:rPr>
      </w:pPr>
      <w:r w:rsidRPr="0027520B">
        <w:rPr>
          <w:rFonts w:cs="Arial"/>
        </w:rPr>
        <w:t>FSANZ (2009). Safe food handling in Australian food businesses – knowledge and practices. An Interpretive Summary of the 2007 and 2001 National Food Handling Surveys. Food Standards Australia New Zealand, Canberra</w:t>
      </w:r>
      <w:r>
        <w:rPr>
          <w:rFonts w:cs="Arial"/>
        </w:rPr>
        <w:t>.</w:t>
      </w:r>
    </w:p>
    <w:p w14:paraId="774ECE82" w14:textId="77777777" w:rsidR="00CB7716" w:rsidRDefault="00EB0B9D" w:rsidP="00CB7716">
      <w:pPr>
        <w:rPr>
          <w:rFonts w:cs="Arial"/>
        </w:rPr>
      </w:pPr>
      <w:hyperlink r:id="rId22">
        <w:r w:rsidR="00CB7716" w:rsidRPr="68C0CA2D">
          <w:rPr>
            <w:rStyle w:val="Hyperlink"/>
            <w:rFonts w:cs="Arial"/>
          </w:rPr>
          <w:t>https://www.foodstandards.gov.au/publications/documents/2007%20NFHS%20Interpretive%20Summary%20FINAL.pdf</w:t>
        </w:r>
      </w:hyperlink>
      <w:r w:rsidR="00CB7716" w:rsidRPr="68C0CA2D">
        <w:rPr>
          <w:rFonts w:cs="Arial"/>
        </w:rPr>
        <w:t xml:space="preserve"> accessed January 2021.</w:t>
      </w:r>
    </w:p>
    <w:p w14:paraId="255549A3" w14:textId="77777777" w:rsidR="00CB7716" w:rsidRPr="0027520B" w:rsidRDefault="00CB7716" w:rsidP="00CB7716">
      <w:pPr>
        <w:rPr>
          <w:rFonts w:cs="Arial"/>
          <w:lang w:val="en-AU"/>
        </w:rPr>
      </w:pPr>
    </w:p>
    <w:p w14:paraId="53F6C828" w14:textId="77777777" w:rsidR="00CB7716" w:rsidRPr="0027520B" w:rsidRDefault="00CB7716" w:rsidP="00CB7716">
      <w:pPr>
        <w:rPr>
          <w:rFonts w:cs="Arial"/>
        </w:rPr>
      </w:pPr>
      <w:r w:rsidRPr="0027520B">
        <w:rPr>
          <w:rFonts w:cs="Arial"/>
        </w:rPr>
        <w:t xml:space="preserve">FSANZ (2016). </w:t>
      </w:r>
      <w:r w:rsidRPr="0027520B">
        <w:rPr>
          <w:rFonts w:cs="Arial"/>
          <w:i/>
        </w:rPr>
        <w:t>Safe Food Australia</w:t>
      </w:r>
      <w:r w:rsidRPr="0027520B">
        <w:rPr>
          <w:rFonts w:cs="Arial"/>
        </w:rPr>
        <w:t xml:space="preserve"> </w:t>
      </w:r>
      <w:r w:rsidRPr="00052BFA">
        <w:rPr>
          <w:rFonts w:cs="Arial"/>
        </w:rPr>
        <w:t>- A Guide to the Food Safety Standards</w:t>
      </w:r>
      <w:r w:rsidRPr="0027520B">
        <w:rPr>
          <w:rFonts w:cs="Arial"/>
        </w:rPr>
        <w:t>. Food Standards Australia New Zealand, Canberra.</w:t>
      </w:r>
    </w:p>
    <w:p w14:paraId="3D698D7C" w14:textId="77777777" w:rsidR="00CB7716" w:rsidRDefault="00CB7716" w:rsidP="00CB7716">
      <w:r w:rsidRPr="68C0CA2D">
        <w:rPr>
          <w:rStyle w:val="Hyperlink"/>
          <w:rFonts w:cs="Arial"/>
        </w:rPr>
        <w:t xml:space="preserve"> </w:t>
      </w:r>
      <w:hyperlink r:id="rId23">
        <w:r w:rsidRPr="68C0CA2D">
          <w:rPr>
            <w:rStyle w:val="Hyperlink"/>
            <w:rFonts w:cs="Arial"/>
          </w:rPr>
          <w:t>http://www.foodstandards.gov.au/foodsafety/standards/Pages/Safe-Food-Australia-%E2%80%93-A-guide-to-the-Food-Safety-Standards.aspx</w:t>
        </w:r>
      </w:hyperlink>
      <w:r w:rsidRPr="68C0CA2D">
        <w:rPr>
          <w:rStyle w:val="Hyperlink"/>
          <w:rFonts w:cs="Arial"/>
        </w:rPr>
        <w:t xml:space="preserve"> </w:t>
      </w:r>
      <w:r>
        <w:t>accessed 10/1/2020.</w:t>
      </w:r>
    </w:p>
    <w:p w14:paraId="1565978E" w14:textId="77777777" w:rsidR="00CB7716" w:rsidRDefault="00CB7716" w:rsidP="00CB7716"/>
    <w:p w14:paraId="7573DD54" w14:textId="153D2860" w:rsidR="00CB7716" w:rsidRPr="00DA7FDA" w:rsidRDefault="00CB7716" w:rsidP="00CB7716">
      <w:pPr>
        <w:rPr>
          <w:rFonts w:cs="Arial"/>
        </w:rPr>
      </w:pPr>
      <w:r w:rsidRPr="00DA7FDA">
        <w:rPr>
          <w:rFonts w:cs="Arial"/>
        </w:rPr>
        <w:t>FSANZ (2022) Risk profile for Australian food service and related food retail businesses</w:t>
      </w:r>
      <w:r>
        <w:rPr>
          <w:rFonts w:cs="Arial"/>
        </w:rPr>
        <w:t>.</w:t>
      </w:r>
      <w:r w:rsidRPr="00DA7FDA">
        <w:rPr>
          <w:rFonts w:cs="Arial"/>
        </w:rPr>
        <w:t xml:space="preserve"> </w:t>
      </w:r>
      <w:r w:rsidRPr="0027520B">
        <w:rPr>
          <w:rFonts w:cs="Arial"/>
        </w:rPr>
        <w:t>Food Standards Australia New Zealand, Canberra.</w:t>
      </w:r>
      <w:r w:rsidR="0081747A">
        <w:rPr>
          <w:rFonts w:cs="Arial"/>
        </w:rPr>
        <w:t xml:space="preserve"> </w:t>
      </w:r>
      <w:hyperlink r:id="rId24" w:history="1">
        <w:r w:rsidRPr="00DA7FDA">
          <w:rPr>
            <w:rStyle w:val="Hyperlink"/>
            <w:rFonts w:cs="Arial"/>
          </w:rPr>
          <w:t>https://www.foodstandards.gov.au/code/proposals/Documents/CFS%20SD2_Micro%20risk%20profile.pdf</w:t>
        </w:r>
      </w:hyperlink>
      <w:r>
        <w:rPr>
          <w:rFonts w:cs="Arial"/>
        </w:rPr>
        <w:t xml:space="preserve"> </w:t>
      </w:r>
      <w:r>
        <w:t>accessed 03/05/2022</w:t>
      </w:r>
    </w:p>
    <w:p w14:paraId="78FEC8F0" w14:textId="77777777" w:rsidR="00CB7716" w:rsidRDefault="00CB7716" w:rsidP="00CB7716"/>
    <w:p w14:paraId="616F8EE7" w14:textId="77777777" w:rsidR="00CB7716" w:rsidRDefault="00CB7716" w:rsidP="00CB7716">
      <w:pPr>
        <w:rPr>
          <w:i/>
          <w:iCs/>
          <w:lang w:val="en-AU"/>
        </w:rPr>
      </w:pPr>
      <w:r w:rsidRPr="00052BFA">
        <w:rPr>
          <w:lang w:val="en-AU"/>
        </w:rPr>
        <w:t xml:space="preserve">Glass K, </w:t>
      </w:r>
      <w:proofErr w:type="spellStart"/>
      <w:r w:rsidRPr="00052BFA">
        <w:rPr>
          <w:lang w:val="en-AU"/>
        </w:rPr>
        <w:t>McLure</w:t>
      </w:r>
      <w:proofErr w:type="spellEnd"/>
      <w:r w:rsidRPr="00052BFA">
        <w:rPr>
          <w:lang w:val="en-AU"/>
        </w:rPr>
        <w:t xml:space="preserve"> A, Bourke S, </w:t>
      </w:r>
      <w:proofErr w:type="spellStart"/>
      <w:r w:rsidRPr="00052BFA">
        <w:rPr>
          <w:lang w:val="en-AU"/>
        </w:rPr>
        <w:t>Cribb</w:t>
      </w:r>
      <w:proofErr w:type="spellEnd"/>
      <w:r w:rsidRPr="00052BFA">
        <w:rPr>
          <w:lang w:val="en-AU"/>
        </w:rPr>
        <w:t xml:space="preserve"> D, Kirk MA, Lancsar E (2022) </w:t>
      </w:r>
      <w:proofErr w:type="gramStart"/>
      <w:r w:rsidRPr="00052BFA">
        <w:rPr>
          <w:lang w:val="en-AU"/>
        </w:rPr>
        <w:t>The</w:t>
      </w:r>
      <w:proofErr w:type="gramEnd"/>
      <w:r w:rsidRPr="00052BFA">
        <w:rPr>
          <w:lang w:val="en-AU"/>
        </w:rPr>
        <w:t xml:space="preserve"> annual cost of foodborne illness in Australia. </w:t>
      </w:r>
      <w:r w:rsidRPr="00052BFA">
        <w:rPr>
          <w:i/>
          <w:iCs/>
          <w:lang w:val="en-AU"/>
        </w:rPr>
        <w:t>Final report to Food Standards Australia New Zealand.</w:t>
      </w:r>
    </w:p>
    <w:p w14:paraId="0FCA2D88" w14:textId="77777777" w:rsidR="00CB7716" w:rsidRPr="00052BFA" w:rsidRDefault="00CB7716" w:rsidP="00CB7716">
      <w:pPr>
        <w:rPr>
          <w:rStyle w:val="Hyperlink"/>
          <w:rFonts w:cs="Arial"/>
        </w:rPr>
      </w:pPr>
    </w:p>
    <w:p w14:paraId="5A416650" w14:textId="77777777" w:rsidR="00CB7716" w:rsidRDefault="00CB7716" w:rsidP="00CB7716">
      <w:pPr>
        <w:rPr>
          <w:rFonts w:cs="Arial"/>
        </w:rPr>
      </w:pPr>
      <w:proofErr w:type="spellStart"/>
      <w:r w:rsidRPr="68C0CA2D">
        <w:rPr>
          <w:rFonts w:cs="Arial"/>
        </w:rPr>
        <w:t>Hedberg</w:t>
      </w:r>
      <w:proofErr w:type="spellEnd"/>
      <w:r w:rsidRPr="68C0CA2D">
        <w:rPr>
          <w:rFonts w:cs="Arial"/>
        </w:rPr>
        <w:t xml:space="preserve">, Smith SJ, Kirkland E, </w:t>
      </w:r>
      <w:proofErr w:type="spellStart"/>
      <w:r w:rsidRPr="68C0CA2D">
        <w:rPr>
          <w:rFonts w:cs="Arial"/>
        </w:rPr>
        <w:t>Radke</w:t>
      </w:r>
      <w:proofErr w:type="spellEnd"/>
      <w:r w:rsidRPr="68C0CA2D">
        <w:rPr>
          <w:rFonts w:cs="Arial"/>
        </w:rPr>
        <w:t xml:space="preserve"> V, Jones TF, Selman CA, EHS-Net Working Group (2006). Systematic environmental evaluations to identify food safety differences between outbreak and non-outbreak restaurants. Journal of Food Protection 69(11): 2697-702. </w:t>
      </w:r>
      <w:proofErr w:type="spellStart"/>
      <w:proofErr w:type="gramStart"/>
      <w:r w:rsidRPr="68C0CA2D">
        <w:rPr>
          <w:rFonts w:cs="Arial"/>
        </w:rPr>
        <w:t>doi</w:t>
      </w:r>
      <w:proofErr w:type="spellEnd"/>
      <w:proofErr w:type="gramEnd"/>
      <w:r w:rsidRPr="68C0CA2D">
        <w:rPr>
          <w:rFonts w:cs="Arial"/>
        </w:rPr>
        <w:t>: 10.4315/0362-028x-69.11.2697.</w:t>
      </w:r>
    </w:p>
    <w:p w14:paraId="19FEF5D7" w14:textId="77777777" w:rsidR="00CB7716" w:rsidRPr="0027520B" w:rsidRDefault="00CB7716" w:rsidP="00CB7716">
      <w:pPr>
        <w:rPr>
          <w:rFonts w:cs="Arial"/>
        </w:rPr>
      </w:pPr>
    </w:p>
    <w:p w14:paraId="6529E65C" w14:textId="77777777" w:rsidR="00CB7716" w:rsidRDefault="00CB7716" w:rsidP="00CB7716">
      <w:r>
        <w:t xml:space="preserve">Hogan, Lindsay (2018). </w:t>
      </w:r>
      <w:r w:rsidRPr="00871847">
        <w:rPr>
          <w:i/>
        </w:rPr>
        <w:t>Food demand in Australia: Trends and issues 2018</w:t>
      </w:r>
      <w:r>
        <w:t>, ABARES Research Report 18.10, Canberra, August 2018</w:t>
      </w:r>
      <w:r>
        <w:rPr>
          <w:rFonts w:cs="Arial"/>
        </w:rPr>
        <w:t>.</w:t>
      </w:r>
      <w:r>
        <w:t xml:space="preserve"> </w:t>
      </w:r>
      <w:hyperlink r:id="rId25" w:history="1">
        <w:r w:rsidRPr="0027520B">
          <w:rPr>
            <w:rStyle w:val="Hyperlink"/>
            <w:rFonts w:cs="Arial"/>
          </w:rPr>
          <w:t>http://agriculture.gov.au/abares/publications/display?url=http://143.188.17.20/anrdl/DAFFService/display.php?fid=pb_fdati9aat20180822.xml</w:t>
        </w:r>
      </w:hyperlink>
      <w:r>
        <w:t xml:space="preserve">, </w:t>
      </w:r>
      <w:r>
        <w:rPr>
          <w:rFonts w:cs="Arial"/>
        </w:rPr>
        <w:t>accessed</w:t>
      </w:r>
      <w:r>
        <w:t xml:space="preserve"> 26/8/2019.</w:t>
      </w:r>
    </w:p>
    <w:p w14:paraId="13774C8A" w14:textId="77777777" w:rsidR="00CB7716" w:rsidRDefault="00CB7716" w:rsidP="00CB7716"/>
    <w:p w14:paraId="62BFF9EF" w14:textId="77777777" w:rsidR="00CB7716" w:rsidRDefault="00CB7716" w:rsidP="00CB7716">
      <w:pPr>
        <w:rPr>
          <w:rFonts w:cs="Arial"/>
        </w:rPr>
      </w:pPr>
      <w:proofErr w:type="spellStart"/>
      <w:r w:rsidRPr="0027520B">
        <w:rPr>
          <w:rFonts w:cs="Arial"/>
        </w:rPr>
        <w:t>Kassa</w:t>
      </w:r>
      <w:proofErr w:type="spellEnd"/>
      <w:r w:rsidRPr="0027520B">
        <w:rPr>
          <w:rFonts w:cs="Arial"/>
        </w:rPr>
        <w:t xml:space="preserve"> H, Silverman G S and </w:t>
      </w:r>
      <w:proofErr w:type="spellStart"/>
      <w:r w:rsidRPr="0027520B">
        <w:rPr>
          <w:rFonts w:cs="Arial"/>
        </w:rPr>
        <w:t>Baroudi</w:t>
      </w:r>
      <w:proofErr w:type="spellEnd"/>
      <w:r w:rsidRPr="0027520B">
        <w:rPr>
          <w:rFonts w:cs="Arial"/>
        </w:rPr>
        <w:t xml:space="preserve"> K (2010)</w:t>
      </w:r>
      <w:r>
        <w:rPr>
          <w:rFonts w:cs="Arial"/>
        </w:rPr>
        <w:t>.</w:t>
      </w:r>
      <w:r w:rsidRPr="0027520B">
        <w:rPr>
          <w:rFonts w:cs="Arial"/>
        </w:rPr>
        <w:t xml:space="preserve"> Effect of a manager training and certification program on food safety and hygiene in food service operations. Environmental Health Insights 2010(4): 1320.</w:t>
      </w:r>
    </w:p>
    <w:p w14:paraId="79E441AD" w14:textId="77777777" w:rsidR="00CB7716" w:rsidRPr="0027520B" w:rsidRDefault="00CB7716" w:rsidP="00CB7716">
      <w:pPr>
        <w:rPr>
          <w:rFonts w:cs="Arial"/>
        </w:rPr>
      </w:pPr>
    </w:p>
    <w:p w14:paraId="44B893B7" w14:textId="77777777" w:rsidR="00CB7716" w:rsidRDefault="00CB7716" w:rsidP="00CB7716">
      <w:pPr>
        <w:rPr>
          <w:rFonts w:cs="Arial"/>
        </w:rPr>
      </w:pPr>
      <w:bookmarkStart w:id="152" w:name="_CTVL001d92c7297027f45439870116ff5c9b1e5"/>
      <w:r>
        <w:t xml:space="preserve">Kirk M, Glass K, Ford L, Brown K, Hall G (2014). Foodborne illness in Australia: Annual incidence circa 2010. National Centre for Epidemiology and Population Health, Australian National University. Canberra, Australia. </w:t>
      </w:r>
      <w:hyperlink r:id="rId26">
        <w:r w:rsidRPr="68C0CA2D">
          <w:rPr>
            <w:rStyle w:val="Hyperlink"/>
            <w:rFonts w:cs="Arial"/>
          </w:rPr>
          <w:t>https://www.google.com/url?sa=t&amp;rct=j&amp;q=&amp;esrc=s&amp;source=web&amp;cd=1&amp;ved=2ahUKEwjLqKPn0K3hAhWCfH0KHSC2Ce0QFjAAegQIARAC&amp;url=https%3A%2F%2Fwww.health.gov.au%2Finternet%2Fmain%2Fpublishing.nsf%2FContent%2FE829FA59A59677C0CA257D6A007D2C97%2F%24File%2FFoodborne-Illness-Australia-circa-2010.pdf&amp;usg=AOvVaw2kmoXJDtFMQmCRLUobKVZZ</w:t>
        </w:r>
      </w:hyperlink>
      <w:r w:rsidRPr="68C0CA2D">
        <w:rPr>
          <w:rFonts w:cs="Arial"/>
        </w:rPr>
        <w:t xml:space="preserve"> accessed 4/1/2019.</w:t>
      </w:r>
      <w:bookmarkEnd w:id="152"/>
    </w:p>
    <w:p w14:paraId="7807B5B5" w14:textId="77777777" w:rsidR="00CB7716" w:rsidRDefault="00CB7716" w:rsidP="00CB7716"/>
    <w:p w14:paraId="5AD2E5FA" w14:textId="77777777" w:rsidR="00CB7716" w:rsidRDefault="00CB7716" w:rsidP="00CB7716">
      <w:pPr>
        <w:pStyle w:val="FootnoteText"/>
        <w:rPr>
          <w:rFonts w:cs="Arial"/>
          <w:sz w:val="22"/>
          <w:szCs w:val="22"/>
        </w:rPr>
      </w:pPr>
      <w:r w:rsidRPr="68C0CA2D">
        <w:rPr>
          <w:rFonts w:cs="Arial"/>
          <w:sz w:val="22"/>
          <w:szCs w:val="22"/>
        </w:rPr>
        <w:t xml:space="preserve">McFarland P, </w:t>
      </w:r>
      <w:proofErr w:type="spellStart"/>
      <w:r w:rsidRPr="68C0CA2D">
        <w:rPr>
          <w:rFonts w:cs="Arial"/>
          <w:sz w:val="22"/>
          <w:szCs w:val="22"/>
        </w:rPr>
        <w:t>Checinska</w:t>
      </w:r>
      <w:proofErr w:type="spellEnd"/>
      <w:r w:rsidRPr="68C0CA2D">
        <w:rPr>
          <w:rFonts w:cs="Arial"/>
          <w:sz w:val="22"/>
          <w:szCs w:val="22"/>
        </w:rPr>
        <w:t xml:space="preserve"> </w:t>
      </w:r>
      <w:proofErr w:type="spellStart"/>
      <w:r w:rsidRPr="68C0CA2D">
        <w:rPr>
          <w:rFonts w:cs="Arial"/>
          <w:sz w:val="22"/>
          <w:szCs w:val="22"/>
        </w:rPr>
        <w:t>Sielaf</w:t>
      </w:r>
      <w:proofErr w:type="spellEnd"/>
      <w:r w:rsidRPr="68C0CA2D">
        <w:rPr>
          <w:rFonts w:cs="Arial"/>
          <w:sz w:val="22"/>
          <w:szCs w:val="22"/>
        </w:rPr>
        <w:t xml:space="preserve"> A, </w:t>
      </w:r>
      <w:proofErr w:type="spellStart"/>
      <w:r w:rsidRPr="68C0CA2D">
        <w:rPr>
          <w:rFonts w:cs="Arial"/>
          <w:sz w:val="22"/>
          <w:szCs w:val="22"/>
        </w:rPr>
        <w:t>Rasco</w:t>
      </w:r>
      <w:proofErr w:type="spellEnd"/>
      <w:r w:rsidRPr="68C0CA2D">
        <w:rPr>
          <w:rFonts w:cs="Arial"/>
          <w:sz w:val="22"/>
          <w:szCs w:val="22"/>
        </w:rPr>
        <w:t xml:space="preserve"> B and Smith S, (2019). Efficacy of Food Safety Training in Commercial Food Service. Journal of Food Science, 84(6):1239-1246.</w:t>
      </w:r>
    </w:p>
    <w:p w14:paraId="67CD8029" w14:textId="77777777" w:rsidR="00CB7716" w:rsidRPr="0027520B" w:rsidRDefault="00CB7716" w:rsidP="00CB7716">
      <w:pPr>
        <w:pStyle w:val="FootnoteText"/>
        <w:rPr>
          <w:rFonts w:cs="Arial"/>
          <w:sz w:val="22"/>
          <w:szCs w:val="22"/>
          <w:lang w:val="en-AU"/>
        </w:rPr>
      </w:pPr>
    </w:p>
    <w:p w14:paraId="51BA84A7" w14:textId="77777777" w:rsidR="00CB7716" w:rsidRDefault="00CB7716" w:rsidP="00CB7716">
      <w:pPr>
        <w:pStyle w:val="FootnoteText"/>
        <w:rPr>
          <w:rFonts w:cs="Arial"/>
          <w:sz w:val="22"/>
          <w:szCs w:val="22"/>
        </w:rPr>
      </w:pPr>
      <w:r w:rsidRPr="0027520B">
        <w:rPr>
          <w:rFonts w:cs="Arial"/>
          <w:sz w:val="22"/>
          <w:szCs w:val="22"/>
        </w:rPr>
        <w:t xml:space="preserve">Medeiros C, </w:t>
      </w:r>
      <w:proofErr w:type="spellStart"/>
      <w:r w:rsidRPr="0027520B">
        <w:rPr>
          <w:rFonts w:cs="Arial"/>
          <w:sz w:val="22"/>
          <w:szCs w:val="22"/>
        </w:rPr>
        <w:t>Cavalli</w:t>
      </w:r>
      <w:proofErr w:type="spellEnd"/>
      <w:r w:rsidRPr="0027520B">
        <w:rPr>
          <w:rFonts w:cs="Arial"/>
          <w:sz w:val="22"/>
          <w:szCs w:val="22"/>
        </w:rPr>
        <w:t xml:space="preserve"> S, </w:t>
      </w:r>
      <w:proofErr w:type="spellStart"/>
      <w:r w:rsidRPr="0027520B">
        <w:rPr>
          <w:rFonts w:cs="Arial"/>
          <w:sz w:val="22"/>
          <w:szCs w:val="22"/>
        </w:rPr>
        <w:t>Sala</w:t>
      </w:r>
      <w:r>
        <w:rPr>
          <w:rFonts w:cs="Arial"/>
          <w:sz w:val="22"/>
          <w:szCs w:val="22"/>
        </w:rPr>
        <w:t>y</w:t>
      </w:r>
      <w:proofErr w:type="spellEnd"/>
      <w:r w:rsidRPr="0027520B">
        <w:rPr>
          <w:rFonts w:cs="Arial"/>
          <w:sz w:val="22"/>
          <w:szCs w:val="22"/>
        </w:rPr>
        <w:t xml:space="preserve"> E and </w:t>
      </w:r>
      <w:proofErr w:type="spellStart"/>
      <w:r w:rsidRPr="0027520B">
        <w:rPr>
          <w:rFonts w:cs="Arial"/>
          <w:sz w:val="22"/>
          <w:szCs w:val="22"/>
        </w:rPr>
        <w:t>Proença</w:t>
      </w:r>
      <w:proofErr w:type="spellEnd"/>
      <w:r w:rsidRPr="0027520B">
        <w:rPr>
          <w:rFonts w:cs="Arial"/>
          <w:sz w:val="22"/>
          <w:szCs w:val="22"/>
        </w:rPr>
        <w:t xml:space="preserve"> R (2011). Assessment of the methodological strategies adopted by food safety training programmes for food service workers: A systematic review. Food Control, 22(8)</w:t>
      </w:r>
      <w:r>
        <w:rPr>
          <w:rFonts w:cs="Arial"/>
          <w:sz w:val="22"/>
          <w:szCs w:val="22"/>
        </w:rPr>
        <w:t xml:space="preserve">: </w:t>
      </w:r>
      <w:r w:rsidRPr="0027520B">
        <w:rPr>
          <w:rFonts w:cs="Arial"/>
          <w:sz w:val="22"/>
          <w:szCs w:val="22"/>
        </w:rPr>
        <w:t>1136-1144.</w:t>
      </w:r>
    </w:p>
    <w:p w14:paraId="7B7FD9C0" w14:textId="77777777" w:rsidR="00CB7716" w:rsidRPr="0027520B" w:rsidRDefault="00CB7716" w:rsidP="00CB7716">
      <w:pPr>
        <w:pStyle w:val="FootnoteText"/>
        <w:rPr>
          <w:rFonts w:cs="Arial"/>
          <w:sz w:val="22"/>
          <w:szCs w:val="22"/>
        </w:rPr>
      </w:pPr>
    </w:p>
    <w:p w14:paraId="72D187D8" w14:textId="77777777" w:rsidR="00CB7716" w:rsidRDefault="00CB7716" w:rsidP="00CB7716">
      <w:r>
        <w:t xml:space="preserve">NSW Food Authority (2015). Food Safety Supervisor Scheme Evaluation, Results summary report. New South Wales (NSW), Government Food Authority, February, 2015. </w:t>
      </w:r>
      <w:hyperlink r:id="rId27" w:history="1">
        <w:r w:rsidRPr="00FC2D46">
          <w:rPr>
            <w:rStyle w:val="Hyperlink"/>
            <w:rFonts w:cstheme="minorBidi"/>
            <w:lang w:val="en-AU"/>
          </w:rPr>
          <w:t>https://www.foodauthority.nsw.gov.au/media/6876</w:t>
        </w:r>
        <w:r w:rsidRPr="00FC2D46">
          <w:rPr>
            <w:rStyle w:val="Hyperlink"/>
            <w:rFonts w:cstheme="minorBidi"/>
          </w:rPr>
          <w:t xml:space="preserve"> accessed 23/08/2019</w:t>
        </w:r>
      </w:hyperlink>
      <w:r>
        <w:t>.</w:t>
      </w:r>
    </w:p>
    <w:p w14:paraId="6B55554A" w14:textId="77777777" w:rsidR="00CB7716" w:rsidRDefault="00CB7716" w:rsidP="00CB7716"/>
    <w:p w14:paraId="43B5E068" w14:textId="77777777" w:rsidR="00CB7716" w:rsidRDefault="00CB7716" w:rsidP="00CB7716">
      <w:pPr>
        <w:rPr>
          <w:rFonts w:cs="Arial"/>
        </w:rPr>
      </w:pPr>
      <w:proofErr w:type="spellStart"/>
      <w:r>
        <w:t>OzFoodNet</w:t>
      </w:r>
      <w:proofErr w:type="spellEnd"/>
      <w:r>
        <w:t xml:space="preserve"> (2010). Monitoring the incidence and causes of diseases potentially transmitted by food in Australia: Annual Report of the </w:t>
      </w:r>
      <w:proofErr w:type="spellStart"/>
      <w:r>
        <w:t>OzFoodnet</w:t>
      </w:r>
      <w:proofErr w:type="spellEnd"/>
      <w:r>
        <w:t xml:space="preserve"> Network, 2009. Australian Department of Health: </w:t>
      </w:r>
      <w:proofErr w:type="spellStart"/>
      <w:r>
        <w:t>OzFoodNet</w:t>
      </w:r>
      <w:proofErr w:type="spellEnd"/>
      <w:r>
        <w:t xml:space="preserve"> working group. Canberra, Australia, December 2010. </w:t>
      </w:r>
      <w:hyperlink r:id="rId28">
        <w:r w:rsidRPr="68C0CA2D">
          <w:rPr>
            <w:rStyle w:val="Hyperlink"/>
            <w:rFonts w:cs="Arial"/>
          </w:rPr>
          <w:t>http://www.health.gov.au/internet/main/publishing.nsf/Content/cda-pubs-annlrpt-ozfnetar.htm</w:t>
        </w:r>
      </w:hyperlink>
    </w:p>
    <w:p w14:paraId="336EDE9B" w14:textId="77777777" w:rsidR="00CB7716" w:rsidRDefault="00CB7716" w:rsidP="00CB7716">
      <w:proofErr w:type="gramStart"/>
      <w:r>
        <w:t>accessed</w:t>
      </w:r>
      <w:proofErr w:type="gramEnd"/>
      <w:r w:rsidRPr="0027520B">
        <w:t xml:space="preserve"> </w:t>
      </w:r>
      <w:r w:rsidRPr="0027520B">
        <w:rPr>
          <w:rFonts w:cs="Arial"/>
        </w:rPr>
        <w:t>26</w:t>
      </w:r>
      <w:r w:rsidRPr="0027520B">
        <w:t>/8/2019.</w:t>
      </w:r>
    </w:p>
    <w:p w14:paraId="3F5EBE92" w14:textId="77777777" w:rsidR="00CB7716" w:rsidRPr="0027520B" w:rsidRDefault="00CB7716" w:rsidP="00CB7716"/>
    <w:p w14:paraId="30C1ADD9" w14:textId="77777777" w:rsidR="00CB7716" w:rsidRDefault="00CB7716" w:rsidP="00CB7716">
      <w:pPr>
        <w:rPr>
          <w:rFonts w:cs="Arial"/>
        </w:rPr>
      </w:pPr>
      <w:proofErr w:type="spellStart"/>
      <w:r>
        <w:t>OzFoodNet</w:t>
      </w:r>
      <w:proofErr w:type="spellEnd"/>
      <w:r>
        <w:t xml:space="preserve"> (2012). Monitoring the incidence and causes of diseases potentially transmitted by food in Australia: Annual Report of the </w:t>
      </w:r>
      <w:proofErr w:type="spellStart"/>
      <w:r>
        <w:t>OzFoodNet</w:t>
      </w:r>
      <w:proofErr w:type="spellEnd"/>
      <w:r>
        <w:t xml:space="preserve"> Network, 2010. Australian Department of Health: </w:t>
      </w:r>
      <w:proofErr w:type="spellStart"/>
      <w:r>
        <w:t>OzFoodNet</w:t>
      </w:r>
      <w:proofErr w:type="spellEnd"/>
      <w:r>
        <w:t xml:space="preserve"> working group. Canberra, Australia, November 2012. </w:t>
      </w:r>
      <w:hyperlink r:id="rId29">
        <w:r w:rsidRPr="68C0CA2D">
          <w:rPr>
            <w:rStyle w:val="Hyperlink"/>
            <w:rFonts w:cs="Arial"/>
          </w:rPr>
          <w:t>http://www.health.gov.au/internet/main/publishing.nsf/Content/cda-pubs-annlrpt-ozfnetar.htm</w:t>
        </w:r>
      </w:hyperlink>
      <w:r w:rsidRPr="68C0CA2D">
        <w:rPr>
          <w:rFonts w:cs="Arial"/>
        </w:rPr>
        <w:t xml:space="preserve"> accessed 26/8/2019.</w:t>
      </w:r>
    </w:p>
    <w:p w14:paraId="11372A43" w14:textId="77777777" w:rsidR="00CB7716" w:rsidRDefault="00CB7716" w:rsidP="00CB7716"/>
    <w:p w14:paraId="0C5D0A4F" w14:textId="77777777" w:rsidR="00CB7716" w:rsidRDefault="00CB7716" w:rsidP="00CB7716">
      <w:pPr>
        <w:rPr>
          <w:rFonts w:cs="Arial"/>
        </w:rPr>
      </w:pPr>
      <w:proofErr w:type="spellStart"/>
      <w:r>
        <w:t>OzFoodNet</w:t>
      </w:r>
      <w:proofErr w:type="spellEnd"/>
      <w:r>
        <w:t xml:space="preserve"> (2015). Monitoring the incidence and causes of diseases potentially transmitted by food in Australia: Annual Report of the </w:t>
      </w:r>
      <w:proofErr w:type="spellStart"/>
      <w:r>
        <w:t>OzFoodnet</w:t>
      </w:r>
      <w:proofErr w:type="spellEnd"/>
      <w:r>
        <w:t xml:space="preserve"> Network, 2011. Australian Department of Health: </w:t>
      </w:r>
      <w:proofErr w:type="spellStart"/>
      <w:r>
        <w:t>OzFoodNet</w:t>
      </w:r>
      <w:proofErr w:type="spellEnd"/>
      <w:r>
        <w:t xml:space="preserve"> working group. Canberra, Australia, July 2015. </w:t>
      </w:r>
      <w:hyperlink r:id="rId30">
        <w:r w:rsidRPr="68C0CA2D">
          <w:rPr>
            <w:rStyle w:val="Hyperlink"/>
            <w:rFonts w:cs="Arial"/>
          </w:rPr>
          <w:t>http://www.health.gov.au/internet/main/publishing.nsf/Content/cda-pubs-annlrpt-ozfnetar.htm</w:t>
        </w:r>
      </w:hyperlink>
      <w:r w:rsidRPr="68C0CA2D">
        <w:rPr>
          <w:rFonts w:cs="Arial"/>
        </w:rPr>
        <w:t xml:space="preserve"> accessed 26/8/2019.</w:t>
      </w:r>
    </w:p>
    <w:p w14:paraId="6861347D" w14:textId="77777777" w:rsidR="00CB7716" w:rsidRDefault="00CB7716" w:rsidP="00CB7716"/>
    <w:p w14:paraId="74279DA9" w14:textId="77777777" w:rsidR="00CB7716" w:rsidRDefault="00CB7716" w:rsidP="00CB7716">
      <w:pPr>
        <w:rPr>
          <w:rFonts w:cs="Arial"/>
        </w:rPr>
      </w:pPr>
      <w:proofErr w:type="spellStart"/>
      <w:r>
        <w:t>OzFoodNet</w:t>
      </w:r>
      <w:proofErr w:type="spellEnd"/>
      <w:r>
        <w:t xml:space="preserve"> (2018). Monitoring the incidence and causes of diseases potentially transmitted by food in Australia: Annual Report of the </w:t>
      </w:r>
      <w:proofErr w:type="spellStart"/>
      <w:r>
        <w:t>OzFoodNet</w:t>
      </w:r>
      <w:proofErr w:type="spellEnd"/>
      <w:r>
        <w:t xml:space="preserve"> network, 2012. Australian Department of Health: </w:t>
      </w:r>
      <w:proofErr w:type="spellStart"/>
      <w:r>
        <w:t>OzFoodNet</w:t>
      </w:r>
      <w:proofErr w:type="spellEnd"/>
      <w:r>
        <w:t xml:space="preserve"> working group. Canberra, Australia, November 2018. </w:t>
      </w:r>
      <w:r w:rsidRPr="68C0CA2D">
        <w:rPr>
          <w:rFonts w:cs="Arial"/>
        </w:rPr>
        <w:t xml:space="preserve">Available online at </w:t>
      </w:r>
      <w:hyperlink r:id="rId31">
        <w:r w:rsidRPr="68C0CA2D">
          <w:rPr>
            <w:rStyle w:val="Hyperlink"/>
            <w:rFonts w:cs="Arial"/>
          </w:rPr>
          <w:t>http://www.health.gov.au/internet/main/publishing.nsf/Content/cda-pubs-annlrpt-ozfnetar.htm</w:t>
        </w:r>
      </w:hyperlink>
      <w:r w:rsidRPr="68C0CA2D">
        <w:rPr>
          <w:rFonts w:cs="Arial"/>
        </w:rPr>
        <w:t>, accessed 26/8/2019.</w:t>
      </w:r>
    </w:p>
    <w:p w14:paraId="2ED85F12" w14:textId="77777777" w:rsidR="00CB7716" w:rsidRDefault="00CB7716" w:rsidP="00CB7716"/>
    <w:p w14:paraId="3DC406FD" w14:textId="77777777" w:rsidR="00CB7716" w:rsidRPr="0027520B" w:rsidRDefault="00CB7716" w:rsidP="00CB7716">
      <w:pPr>
        <w:rPr>
          <w:rFonts w:cs="Arial"/>
        </w:rPr>
      </w:pPr>
      <w:r w:rsidRPr="68C0CA2D">
        <w:rPr>
          <w:rFonts w:cs="Arial"/>
        </w:rPr>
        <w:t>Ross T,</w:t>
      </w:r>
      <w:r w:rsidRPr="68C0CA2D">
        <w:rPr>
          <w:rFonts w:cs="Arial"/>
          <w:b/>
          <w:bCs/>
        </w:rPr>
        <w:t xml:space="preserve"> </w:t>
      </w:r>
      <w:proofErr w:type="spellStart"/>
      <w:r w:rsidRPr="68C0CA2D">
        <w:rPr>
          <w:rFonts w:cs="Arial"/>
        </w:rPr>
        <w:t>Mellefont</w:t>
      </w:r>
      <w:proofErr w:type="spellEnd"/>
      <w:r w:rsidRPr="68C0CA2D">
        <w:rPr>
          <w:rFonts w:cs="Arial"/>
        </w:rPr>
        <w:t xml:space="preserve"> L, </w:t>
      </w:r>
      <w:proofErr w:type="spellStart"/>
      <w:r w:rsidRPr="68C0CA2D">
        <w:rPr>
          <w:rFonts w:cs="Arial"/>
        </w:rPr>
        <w:t>McQuestin</w:t>
      </w:r>
      <w:proofErr w:type="spellEnd"/>
      <w:r w:rsidRPr="68C0CA2D">
        <w:rPr>
          <w:rFonts w:cs="Arial"/>
        </w:rPr>
        <w:t xml:space="preserve"> O, Haines H, Smith J (</w:t>
      </w:r>
      <w:r w:rsidRPr="68C0CA2D">
        <w:rPr>
          <w:rFonts w:cs="Arial"/>
          <w:lang w:val="en-AU"/>
        </w:rPr>
        <w:t xml:space="preserve">2009), </w:t>
      </w:r>
      <w:r w:rsidRPr="68C0CA2D">
        <w:rPr>
          <w:rFonts w:cs="Arial"/>
        </w:rPr>
        <w:t>Risk Profiling Framework Example Classifications (Extracts), prepared for Department of Health and Ageing, Canberra</w:t>
      </w:r>
    </w:p>
    <w:p w14:paraId="244CDC66" w14:textId="77777777" w:rsidR="00CB7716" w:rsidRDefault="00EB0B9D" w:rsidP="00CB7716">
      <w:pPr>
        <w:rPr>
          <w:rFonts w:cs="Arial"/>
        </w:rPr>
      </w:pPr>
      <w:hyperlink r:id="rId32" w:history="1">
        <w:r w:rsidR="00CB7716" w:rsidRPr="0027520B">
          <w:rPr>
            <w:rStyle w:val="Hyperlink"/>
            <w:rFonts w:cs="Arial"/>
          </w:rPr>
          <w:t>https://foodregulation.gov.au/internet/fr/publishing.nsf/Content/37F08208FAC6F504CA2582A40027AA90/$File/FRSC-RPF-ECE.docx</w:t>
        </w:r>
      </w:hyperlink>
      <w:r w:rsidR="00CB7716">
        <w:rPr>
          <w:rStyle w:val="Hyperlink"/>
          <w:rFonts w:cs="Arial"/>
        </w:rPr>
        <w:t>,</w:t>
      </w:r>
      <w:r w:rsidR="00CB7716" w:rsidRPr="0027520B">
        <w:rPr>
          <w:rFonts w:cs="Arial"/>
        </w:rPr>
        <w:t xml:space="preserve"> </w:t>
      </w:r>
      <w:r w:rsidR="00CB7716">
        <w:rPr>
          <w:rFonts w:cs="Arial"/>
        </w:rPr>
        <w:t>a</w:t>
      </w:r>
      <w:r w:rsidR="00CB7716" w:rsidRPr="0027520B">
        <w:rPr>
          <w:rFonts w:cs="Arial"/>
        </w:rPr>
        <w:t>ccessed December 2019</w:t>
      </w:r>
      <w:r w:rsidR="00CB7716">
        <w:rPr>
          <w:rFonts w:cs="Arial"/>
        </w:rPr>
        <w:t>.</w:t>
      </w:r>
    </w:p>
    <w:p w14:paraId="33AFE948" w14:textId="77777777" w:rsidR="00CB7716" w:rsidRPr="0027520B" w:rsidRDefault="00CB7716" w:rsidP="00CB7716">
      <w:pPr>
        <w:rPr>
          <w:rFonts w:cs="Arial"/>
        </w:rPr>
      </w:pPr>
    </w:p>
    <w:p w14:paraId="7E9539C8" w14:textId="77777777" w:rsidR="00CB7716" w:rsidRDefault="00CB7716" w:rsidP="00CB7716">
      <w:pPr>
        <w:pStyle w:val="FootnoteText"/>
        <w:rPr>
          <w:rFonts w:cs="Arial"/>
          <w:sz w:val="22"/>
          <w:szCs w:val="22"/>
        </w:rPr>
      </w:pPr>
      <w:proofErr w:type="spellStart"/>
      <w:r w:rsidRPr="68C0CA2D">
        <w:rPr>
          <w:rFonts w:cs="Arial"/>
          <w:sz w:val="22"/>
          <w:szCs w:val="22"/>
        </w:rPr>
        <w:t>Thaivalappil</w:t>
      </w:r>
      <w:proofErr w:type="spellEnd"/>
      <w:r w:rsidRPr="68C0CA2D">
        <w:rPr>
          <w:rFonts w:cs="Arial"/>
          <w:sz w:val="22"/>
          <w:szCs w:val="22"/>
        </w:rPr>
        <w:t xml:space="preserve"> A, Waddell L, </w:t>
      </w:r>
      <w:proofErr w:type="spellStart"/>
      <w:r w:rsidRPr="68C0CA2D">
        <w:rPr>
          <w:rFonts w:cs="Arial"/>
          <w:sz w:val="22"/>
          <w:szCs w:val="22"/>
        </w:rPr>
        <w:t>Greig</w:t>
      </w:r>
      <w:proofErr w:type="spellEnd"/>
      <w:r w:rsidRPr="68C0CA2D">
        <w:rPr>
          <w:rFonts w:cs="Arial"/>
          <w:sz w:val="22"/>
          <w:szCs w:val="22"/>
        </w:rPr>
        <w:t xml:space="preserve"> J, Meldrum R and Young I (2018), A systematic review and thematic synthesis of qualitative research studies on factors affecting safe food handling at retail and food service. Food Control 89: 97-107.</w:t>
      </w:r>
    </w:p>
    <w:p w14:paraId="3DD6AA90" w14:textId="77777777" w:rsidR="00CB7716" w:rsidRPr="0027520B" w:rsidRDefault="00CB7716" w:rsidP="00CB7716">
      <w:pPr>
        <w:pStyle w:val="FootnoteText"/>
        <w:rPr>
          <w:rFonts w:cs="Arial"/>
          <w:sz w:val="22"/>
          <w:szCs w:val="22"/>
          <w:lang w:val="en-AU"/>
        </w:rPr>
      </w:pPr>
    </w:p>
    <w:p w14:paraId="6F5A285B" w14:textId="77777777" w:rsidR="00CB7716" w:rsidRPr="0027520B" w:rsidRDefault="00CB7716" w:rsidP="00CB7716">
      <w:pPr>
        <w:rPr>
          <w:rFonts w:cs="Arial"/>
        </w:rPr>
      </w:pPr>
      <w:r w:rsidRPr="0027520B">
        <w:rPr>
          <w:rFonts w:cs="Arial"/>
        </w:rPr>
        <w:t>Todd E (2007) Outbreaks where food workers have been implicated in the spread of foodborne disease. Part 3. Factors contributing to outbreaks and description of outbreak categories. Journal of Food Protection 70(9): 2199–2217</w:t>
      </w:r>
      <w:r>
        <w:rPr>
          <w:rFonts w:cs="Arial"/>
        </w:rPr>
        <w:t>.</w:t>
      </w:r>
    </w:p>
    <w:p w14:paraId="70CB2749" w14:textId="77777777" w:rsidR="00CB7716" w:rsidRDefault="00CB7716" w:rsidP="00CB7716">
      <w:pPr>
        <w:rPr>
          <w:rFonts w:cs="Arial"/>
        </w:rPr>
      </w:pPr>
      <w:r w:rsidRPr="0027520B">
        <w:rPr>
          <w:rFonts w:cs="Arial"/>
          <w:lang w:val="en-AU"/>
        </w:rPr>
        <w:t>Treasury (2000). Industry Self-Regulation in Consumer Markets, Report prepared by the Taskforce on Industry Self-regulation. Commonwealth of Australia, Treasury</w:t>
      </w:r>
      <w:r>
        <w:rPr>
          <w:rFonts w:cs="Arial"/>
          <w:lang w:val="en-AU"/>
        </w:rPr>
        <w:t>.</w:t>
      </w:r>
      <w:r w:rsidRPr="0027520B">
        <w:rPr>
          <w:rFonts w:cs="Arial"/>
          <w:lang w:val="en-AU"/>
        </w:rPr>
        <w:t xml:space="preserve"> </w:t>
      </w:r>
      <w:hyperlink r:id="rId33" w:history="1">
        <w:r w:rsidRPr="0027520B">
          <w:rPr>
            <w:rStyle w:val="Hyperlink"/>
            <w:rFonts w:cs="Arial"/>
            <w:lang w:val="en-AU"/>
          </w:rPr>
          <w:t>https://treasury.gov.au/sites/default/files/2019-03/final_report.pdf</w:t>
        </w:r>
      </w:hyperlink>
      <w:r w:rsidRPr="0027520B">
        <w:t>, accessed</w:t>
      </w:r>
      <w:r w:rsidRPr="0027520B">
        <w:rPr>
          <w:rFonts w:cs="Arial"/>
        </w:rPr>
        <w:t xml:space="preserve"> 21</w:t>
      </w:r>
      <w:r>
        <w:rPr>
          <w:rFonts w:cs="Arial"/>
        </w:rPr>
        <w:t>/1/</w:t>
      </w:r>
      <w:r w:rsidRPr="0027520B">
        <w:rPr>
          <w:rFonts w:cs="Arial"/>
        </w:rPr>
        <w:t>2021</w:t>
      </w:r>
      <w:r>
        <w:rPr>
          <w:rFonts w:cs="Arial"/>
        </w:rPr>
        <w:t>.</w:t>
      </w:r>
    </w:p>
    <w:p w14:paraId="3CAF2204" w14:textId="77777777" w:rsidR="00CB7716" w:rsidRPr="0027520B" w:rsidRDefault="00CB7716" w:rsidP="00CB7716">
      <w:pPr>
        <w:rPr>
          <w:rFonts w:cs="Arial"/>
        </w:rPr>
      </w:pPr>
    </w:p>
    <w:p w14:paraId="25B8CF18" w14:textId="77777777" w:rsidR="00CB7716" w:rsidRDefault="00CB7716" w:rsidP="00CB7716">
      <w:pPr>
        <w:rPr>
          <w:b/>
        </w:rPr>
      </w:pPr>
      <w:r w:rsidRPr="0027520B">
        <w:rPr>
          <w:rFonts w:cs="Arial"/>
        </w:rPr>
        <w:t xml:space="preserve">Yapp C </w:t>
      </w:r>
      <w:r>
        <w:rPr>
          <w:rFonts w:cs="Arial"/>
        </w:rPr>
        <w:t>and</w:t>
      </w:r>
      <w:r w:rsidRPr="0027520B">
        <w:rPr>
          <w:rFonts w:cs="Arial"/>
        </w:rPr>
        <w:t xml:space="preserve"> Fairman R (2006)</w:t>
      </w:r>
      <w:r>
        <w:rPr>
          <w:rFonts w:cs="Arial"/>
        </w:rPr>
        <w:t>,</w:t>
      </w:r>
      <w:r w:rsidRPr="0027520B">
        <w:rPr>
          <w:rFonts w:cs="Arial"/>
        </w:rPr>
        <w:t xml:space="preserve"> Factors affecting food safety compliance within small and medium-sized enterprises: implications for regulatory and enforcement strategies. Food Control. 17(1): 42-51</w:t>
      </w:r>
      <w:r>
        <w:rPr>
          <w:rFonts w:cs="Arial"/>
        </w:rPr>
        <w:t xml:space="preserve">. </w:t>
      </w:r>
      <w:hyperlink r:id="rId34" w:history="1">
        <w:r w:rsidRPr="0027520B">
          <w:rPr>
            <w:rStyle w:val="Hyperlink"/>
            <w:rFonts w:cs="Arial"/>
          </w:rPr>
          <w:t>https://www.sciencedirect.com/science/article/pii/S0956713504001975</w:t>
        </w:r>
      </w:hyperlink>
      <w:r>
        <w:rPr>
          <w:rStyle w:val="Hyperlink"/>
          <w:rFonts w:cs="Arial"/>
        </w:rPr>
        <w:t>,</w:t>
      </w:r>
      <w:r w:rsidRPr="0027520B">
        <w:rPr>
          <w:rFonts w:cs="Arial"/>
        </w:rPr>
        <w:t xml:space="preserve"> </w:t>
      </w:r>
      <w:r>
        <w:rPr>
          <w:rFonts w:cs="Arial"/>
        </w:rPr>
        <w:t xml:space="preserve">accessed </w:t>
      </w:r>
      <w:r w:rsidRPr="0027520B">
        <w:rPr>
          <w:rFonts w:cs="Arial"/>
        </w:rPr>
        <w:t>4</w:t>
      </w:r>
      <w:r>
        <w:rPr>
          <w:rFonts w:cs="Arial"/>
        </w:rPr>
        <w:t>/5/</w:t>
      </w:r>
      <w:r w:rsidRPr="0027520B">
        <w:rPr>
          <w:rFonts w:cs="Arial"/>
        </w:rPr>
        <w:t>2021</w:t>
      </w:r>
      <w:r>
        <w:rPr>
          <w:rFonts w:cs="Arial"/>
        </w:rPr>
        <w:t>.</w:t>
      </w:r>
      <w:r>
        <w:rPr>
          <w:b/>
        </w:rPr>
        <w:br w:type="page"/>
      </w:r>
    </w:p>
    <w:p w14:paraId="3DED84D1" w14:textId="77777777" w:rsidR="00CB7716" w:rsidRPr="008F342F" w:rsidRDefault="00CB7716" w:rsidP="0025246D">
      <w:pPr>
        <w:pStyle w:val="Heading2"/>
        <w:numPr>
          <w:ilvl w:val="0"/>
          <w:numId w:val="0"/>
        </w:numPr>
        <w:ind w:left="576" w:hanging="576"/>
      </w:pPr>
      <w:bookmarkStart w:id="153" w:name="_Appendix_1_–"/>
      <w:bookmarkStart w:id="154" w:name="_Toc107412714"/>
      <w:bookmarkStart w:id="155" w:name="_Toc109300465"/>
      <w:bookmarkStart w:id="156" w:name="_Toc121311422"/>
      <w:bookmarkEnd w:id="153"/>
      <w:r w:rsidRPr="008F342F">
        <w:t xml:space="preserve">Appendix 1 – </w:t>
      </w:r>
      <w:r>
        <w:t>Cost–benefit</w:t>
      </w:r>
      <w:r w:rsidRPr="008F342F">
        <w:t xml:space="preserve"> analysis</w:t>
      </w:r>
      <w:bookmarkEnd w:id="154"/>
      <w:bookmarkEnd w:id="155"/>
      <w:bookmarkEnd w:id="156"/>
    </w:p>
    <w:p w14:paraId="5C0D0923" w14:textId="77777777" w:rsidR="00CB7716" w:rsidRPr="0025246D" w:rsidRDefault="00CB7716" w:rsidP="0025246D">
      <w:pPr>
        <w:pStyle w:val="Heading3"/>
        <w:numPr>
          <w:ilvl w:val="0"/>
          <w:numId w:val="0"/>
        </w:numPr>
        <w:ind w:left="720" w:hanging="720"/>
        <w:rPr>
          <w:sz w:val="52"/>
          <w:szCs w:val="36"/>
        </w:rPr>
      </w:pPr>
      <w:bookmarkStart w:id="157" w:name="_Toc107412715"/>
      <w:bookmarkStart w:id="158" w:name="_Toc109300466"/>
      <w:r w:rsidRPr="0025246D">
        <w:rPr>
          <w:sz w:val="28"/>
        </w:rPr>
        <w:t>Introduction</w:t>
      </w:r>
      <w:bookmarkEnd w:id="157"/>
      <w:bookmarkEnd w:id="158"/>
      <w:r w:rsidRPr="0025246D">
        <w:rPr>
          <w:sz w:val="28"/>
        </w:rPr>
        <w:t xml:space="preserve"> </w:t>
      </w:r>
    </w:p>
    <w:p w14:paraId="7B245AEE" w14:textId="77777777" w:rsidR="00CB7716" w:rsidRPr="00373F1A" w:rsidRDefault="00CB7716" w:rsidP="00DA5DD7">
      <w:pPr>
        <w:spacing w:after="240"/>
      </w:pPr>
      <w:r>
        <w:t>This appendix</w:t>
      </w:r>
      <w:r w:rsidRPr="00373F1A">
        <w:t xml:space="preserve"> provid</w:t>
      </w:r>
      <w:r>
        <w:t>es the</w:t>
      </w:r>
      <w:r w:rsidRPr="00373F1A">
        <w:t xml:space="preserve"> underlying assumptions</w:t>
      </w:r>
      <w:r>
        <w:t xml:space="preserve"> associated with the regulatory analysis provided in this DRIS.</w:t>
      </w:r>
      <w:r w:rsidRPr="00373F1A">
        <w:t xml:space="preserve"> The economic modelling is sensitive to several variables</w:t>
      </w:r>
      <w:r>
        <w:t>,</w:t>
      </w:r>
      <w:r w:rsidRPr="00373F1A">
        <w:t xml:space="preserve"> such as the potential efficacy of the intervention, estimated number of illness cases and the cost of those illnesses. These key variables each have a level of u</w:t>
      </w:r>
      <w:r>
        <w:t xml:space="preserve">ncertainty. </w:t>
      </w:r>
    </w:p>
    <w:p w14:paraId="3CC146C9" w14:textId="10710782" w:rsidR="00CB7716" w:rsidRPr="00373F1A" w:rsidRDefault="00CB7716" w:rsidP="00DA5DD7">
      <w:pPr>
        <w:spacing w:after="240"/>
      </w:pPr>
      <w:r>
        <w:t>FSANZ</w:t>
      </w:r>
      <w:r w:rsidRPr="00373F1A" w:rsidDel="00C62FDE">
        <w:t xml:space="preserve"> </w:t>
      </w:r>
      <w:r w:rsidRPr="00373F1A">
        <w:t>consider</w:t>
      </w:r>
      <w:r>
        <w:t>ed</w:t>
      </w:r>
      <w:r w:rsidRPr="00373F1A">
        <w:t xml:space="preserve"> </w:t>
      </w:r>
      <w:r>
        <w:t>two</w:t>
      </w:r>
      <w:r w:rsidRPr="00373F1A">
        <w:t xml:space="preserve"> options in addition to the status quo</w:t>
      </w:r>
      <w:r>
        <w:t xml:space="preserve"> and self-regulation</w:t>
      </w:r>
      <w:r w:rsidRPr="00373F1A">
        <w:t>. These are:</w:t>
      </w:r>
    </w:p>
    <w:p w14:paraId="5DC55D44" w14:textId="6DF2321F" w:rsidR="00CB7716" w:rsidRPr="00373F1A" w:rsidRDefault="00CB7716" w:rsidP="00DA5DD7">
      <w:pPr>
        <w:spacing w:after="240"/>
      </w:pPr>
      <w:r w:rsidRPr="00373F1A">
        <w:rPr>
          <w:b/>
        </w:rPr>
        <w:t xml:space="preserve">Option </w:t>
      </w:r>
      <w:r>
        <w:rPr>
          <w:b/>
        </w:rPr>
        <w:t>3.</w:t>
      </w:r>
      <w:r w:rsidRPr="00373F1A">
        <w:rPr>
          <w:b/>
        </w:rPr>
        <w:t>1:</w:t>
      </w:r>
      <w:r>
        <w:t xml:space="preserve"> Employment of a certified food safety s</w:t>
      </w:r>
      <w:r w:rsidRPr="00373F1A">
        <w:t xml:space="preserve">upervisor (FSS) and requiring food handler staff to </w:t>
      </w:r>
      <w:r>
        <w:t>complete</w:t>
      </w:r>
      <w:r w:rsidRPr="00373F1A">
        <w:t xml:space="preserve"> food handler training (FHT).</w:t>
      </w:r>
    </w:p>
    <w:p w14:paraId="7797E825" w14:textId="3D1E8390" w:rsidR="00CB7716" w:rsidRPr="00373F1A" w:rsidRDefault="00CB7716" w:rsidP="00DA5DD7">
      <w:pPr>
        <w:spacing w:after="240"/>
      </w:pPr>
      <w:r w:rsidRPr="00373F1A">
        <w:rPr>
          <w:b/>
        </w:rPr>
        <w:t xml:space="preserve">Option </w:t>
      </w:r>
      <w:r>
        <w:rPr>
          <w:b/>
        </w:rPr>
        <w:t>3.</w:t>
      </w:r>
      <w:r w:rsidRPr="00373F1A">
        <w:rPr>
          <w:b/>
        </w:rPr>
        <w:t>2:</w:t>
      </w:r>
      <w:r w:rsidRPr="00373F1A">
        <w:t xml:space="preserve"> A package of all three tools (FSS, FHT, </w:t>
      </w:r>
      <w:proofErr w:type="gramStart"/>
      <w:r>
        <w:t>E</w:t>
      </w:r>
      <w:proofErr w:type="gramEnd"/>
      <w:r w:rsidRPr="00373F1A">
        <w:t>).</w:t>
      </w:r>
    </w:p>
    <w:p w14:paraId="19B1C99B" w14:textId="7A547F2D" w:rsidR="00CB7716" w:rsidRPr="00373F1A" w:rsidRDefault="00CB7716" w:rsidP="00DA5DD7">
      <w:pPr>
        <w:spacing w:after="240"/>
      </w:pPr>
      <w:r w:rsidRPr="00373F1A">
        <w:t xml:space="preserve">The following sections summarise the benefits and business costs associated with implementing a regulatory intervention for each tool. </w:t>
      </w:r>
      <w:r>
        <w:t>As noted above only Category 1 and Category 2 businesses were considered in this analysis as the likely illnesses generated by Category 3 businesses are not sufficient to justify the cost of further regulation.</w:t>
      </w:r>
    </w:p>
    <w:p w14:paraId="54900404" w14:textId="3061DA02" w:rsidR="00CB7716" w:rsidRPr="0025246D" w:rsidRDefault="00CB7716" w:rsidP="0025246D">
      <w:pPr>
        <w:pStyle w:val="Heading3"/>
        <w:numPr>
          <w:ilvl w:val="0"/>
          <w:numId w:val="0"/>
        </w:numPr>
        <w:ind w:left="720" w:hanging="720"/>
        <w:rPr>
          <w:sz w:val="28"/>
        </w:rPr>
      </w:pPr>
      <w:bookmarkStart w:id="159" w:name="_Toc107412716"/>
      <w:bookmarkStart w:id="160" w:name="_Toc109300467"/>
      <w:r w:rsidRPr="0025246D">
        <w:rPr>
          <w:sz w:val="28"/>
        </w:rPr>
        <w:t>Cost of interventions</w:t>
      </w:r>
      <w:bookmarkEnd w:id="159"/>
      <w:bookmarkEnd w:id="160"/>
    </w:p>
    <w:p w14:paraId="33F6FCF3" w14:textId="77777777" w:rsidR="00CB7716" w:rsidRPr="00373F1A" w:rsidRDefault="00CB7716" w:rsidP="00DA5DD7">
      <w:pPr>
        <w:spacing w:after="240"/>
      </w:pPr>
      <w:r w:rsidRPr="00373F1A">
        <w:t>Costs associated with implementing food safety management tools occur upfront (such as initial certification fees, training and the development of system</w:t>
      </w:r>
      <w:r>
        <w:t xml:space="preserve"> to keep evidence of food safety management</w:t>
      </w:r>
      <w:r w:rsidRPr="00373F1A">
        <w:t>) as well as ongoing (such as training, verification, certification renewa</w:t>
      </w:r>
      <w:r>
        <w:t>l and creating and maintaining</w:t>
      </w:r>
      <w:r w:rsidRPr="00373F1A">
        <w:t xml:space="preserve"> </w:t>
      </w:r>
      <w:r>
        <w:t>evidence</w:t>
      </w:r>
      <w:r w:rsidRPr="00373F1A">
        <w:t>).</w:t>
      </w:r>
    </w:p>
    <w:p w14:paraId="2552B48B" w14:textId="77777777" w:rsidR="00CB7716" w:rsidRPr="00DA5DD7" w:rsidRDefault="00CB7716" w:rsidP="0025246D">
      <w:pPr>
        <w:pStyle w:val="Heading4"/>
        <w:numPr>
          <w:ilvl w:val="0"/>
          <w:numId w:val="0"/>
        </w:numPr>
        <w:ind w:left="864" w:hanging="864"/>
      </w:pPr>
      <w:bookmarkStart w:id="161" w:name="_Toc107412717"/>
      <w:r w:rsidRPr="00DA5DD7">
        <w:t>Food Safety Supervisor</w:t>
      </w:r>
      <w:bookmarkEnd w:id="161"/>
    </w:p>
    <w:p w14:paraId="70E51029" w14:textId="77777777" w:rsidR="00CB7716" w:rsidRPr="00373F1A" w:rsidRDefault="00CB7716" w:rsidP="00DA5DD7">
      <w:pPr>
        <w:spacing w:after="240"/>
        <w:rPr>
          <w:lang w:eastAsia="en-AU"/>
        </w:rPr>
      </w:pPr>
      <w:r w:rsidRPr="00373F1A">
        <w:rPr>
          <w:lang w:eastAsia="en-AU"/>
        </w:rPr>
        <w:t>Implementing this tool involves training at least one staff member to be a qualified FSS. Qualifications must be renewed every five years.</w:t>
      </w:r>
    </w:p>
    <w:p w14:paraId="1EA9E2AB" w14:textId="3044B660" w:rsidR="00CB7716" w:rsidRPr="00373F1A" w:rsidRDefault="00CB7716" w:rsidP="00DA5DD7">
      <w:pPr>
        <w:spacing w:after="240"/>
        <w:rPr>
          <w:lang w:eastAsia="en-AU"/>
        </w:rPr>
      </w:pPr>
      <w:r w:rsidRPr="00373F1A">
        <w:rPr>
          <w:lang w:eastAsia="en-AU"/>
        </w:rPr>
        <w:t>There are three scenarios across Australia depending on the current requirements within jurisdictions:</w:t>
      </w:r>
    </w:p>
    <w:p w14:paraId="766971A4" w14:textId="77777777" w:rsidR="00CB7716" w:rsidRPr="000A3D4E" w:rsidRDefault="00CB7716" w:rsidP="004E6D96">
      <w:pPr>
        <w:pStyle w:val="ListParagraph"/>
        <w:numPr>
          <w:ilvl w:val="0"/>
          <w:numId w:val="38"/>
        </w:numPr>
        <w:spacing w:after="240"/>
        <w:rPr>
          <w:lang w:eastAsia="en-AU"/>
        </w:rPr>
      </w:pPr>
      <w:r w:rsidRPr="00DA5DD7">
        <w:rPr>
          <w:b/>
          <w:lang w:eastAsia="en-AU"/>
        </w:rPr>
        <w:t>Scenario 1:</w:t>
      </w:r>
      <w:r w:rsidRPr="000A3D4E">
        <w:rPr>
          <w:lang w:eastAsia="en-AU"/>
        </w:rPr>
        <w:t xml:space="preserve"> Those jurisdictions that do not currently mandate FSS (WA, SA, Tasmania, NT)</w:t>
      </w:r>
      <w:r>
        <w:rPr>
          <w:lang w:eastAsia="en-AU"/>
        </w:rPr>
        <w:t>.</w:t>
      </w:r>
    </w:p>
    <w:p w14:paraId="46399145" w14:textId="77777777" w:rsidR="00CB7716" w:rsidRPr="000A3D4E" w:rsidRDefault="00CB7716" w:rsidP="004E6D96">
      <w:pPr>
        <w:pStyle w:val="ListParagraph"/>
        <w:numPr>
          <w:ilvl w:val="0"/>
          <w:numId w:val="38"/>
        </w:numPr>
        <w:spacing w:after="240"/>
        <w:rPr>
          <w:lang w:eastAsia="en-AU"/>
        </w:rPr>
      </w:pPr>
      <w:r w:rsidRPr="00DA5DD7">
        <w:rPr>
          <w:b/>
          <w:lang w:eastAsia="en-AU"/>
        </w:rPr>
        <w:t>Scenario 2:</w:t>
      </w:r>
      <w:r w:rsidRPr="000A3D4E">
        <w:rPr>
          <w:lang w:eastAsia="en-AU"/>
        </w:rPr>
        <w:t xml:space="preserve"> Those jurisdictions that mandate FSS</w:t>
      </w:r>
      <w:r>
        <w:rPr>
          <w:lang w:eastAsia="en-AU"/>
        </w:rPr>
        <w:t>,</w:t>
      </w:r>
      <w:r w:rsidRPr="000A3D4E">
        <w:rPr>
          <w:lang w:eastAsia="en-AU"/>
        </w:rPr>
        <w:t xml:space="preserve"> but have no certification renewal requirements (Queensland, Victoria)</w:t>
      </w:r>
      <w:r>
        <w:rPr>
          <w:lang w:eastAsia="en-AU"/>
        </w:rPr>
        <w:t>.</w:t>
      </w:r>
    </w:p>
    <w:p w14:paraId="2986E51A" w14:textId="77777777" w:rsidR="00CB7716" w:rsidRPr="00373F1A" w:rsidRDefault="00CB7716" w:rsidP="004E6D96">
      <w:pPr>
        <w:pStyle w:val="ListParagraph"/>
        <w:numPr>
          <w:ilvl w:val="0"/>
          <w:numId w:val="38"/>
        </w:numPr>
        <w:spacing w:after="240"/>
        <w:rPr>
          <w:lang w:eastAsia="en-AU"/>
        </w:rPr>
      </w:pPr>
      <w:r w:rsidRPr="00DA5DD7">
        <w:rPr>
          <w:b/>
          <w:lang w:eastAsia="en-AU"/>
        </w:rPr>
        <w:t>Scenario 3:</w:t>
      </w:r>
      <w:r w:rsidRPr="00373F1A">
        <w:rPr>
          <w:lang w:eastAsia="en-AU"/>
        </w:rPr>
        <w:t xml:space="preserve"> Those jurisdictions that have mandated FSS </w:t>
      </w:r>
      <w:r>
        <w:rPr>
          <w:lang w:eastAsia="en-AU"/>
        </w:rPr>
        <w:t>that</w:t>
      </w:r>
      <w:r w:rsidRPr="00373F1A">
        <w:rPr>
          <w:lang w:eastAsia="en-AU"/>
        </w:rPr>
        <w:t xml:space="preserve"> is similar to the proposed requirements (NSW and ACT).</w:t>
      </w:r>
    </w:p>
    <w:p w14:paraId="370FD28A" w14:textId="67D8F24C" w:rsidR="00CB7716" w:rsidRPr="00373F1A" w:rsidRDefault="00CB7716" w:rsidP="00DA5DD7">
      <w:pPr>
        <w:spacing w:after="240"/>
        <w:rPr>
          <w:lang w:eastAsia="en-AU"/>
        </w:rPr>
      </w:pPr>
      <w:r>
        <w:rPr>
          <w:lang w:eastAsia="en-AU"/>
        </w:rPr>
        <w:t>Businesses in S</w:t>
      </w:r>
      <w:r w:rsidRPr="00373F1A">
        <w:rPr>
          <w:lang w:eastAsia="en-AU"/>
        </w:rPr>
        <w:t xml:space="preserve">cenario </w:t>
      </w:r>
      <w:r>
        <w:rPr>
          <w:lang w:eastAsia="en-AU"/>
        </w:rPr>
        <w:t>1</w:t>
      </w:r>
      <w:r w:rsidRPr="00373F1A">
        <w:rPr>
          <w:lang w:eastAsia="en-AU"/>
        </w:rPr>
        <w:t xml:space="preserve"> jurisdictions will incur the highest costs (and highest benefits) with an upfront implementation</w:t>
      </w:r>
      <w:r>
        <w:rPr>
          <w:lang w:eastAsia="en-AU"/>
        </w:rPr>
        <w:t xml:space="preserve"> and</w:t>
      </w:r>
      <w:r w:rsidRPr="00373F1A">
        <w:rPr>
          <w:lang w:eastAsia="en-AU"/>
        </w:rPr>
        <w:t xml:space="preserve"> ongoing costs associated with training new staff to replace staff ‘leakage’ from industry. There is assumed to be a renewal of all FSS qualifications at year six</w:t>
      </w:r>
      <w:r>
        <w:rPr>
          <w:lang w:eastAsia="en-AU"/>
        </w:rPr>
        <w:t xml:space="preserve">. </w:t>
      </w:r>
    </w:p>
    <w:p w14:paraId="750CC588" w14:textId="313A9807" w:rsidR="00CB7716" w:rsidRPr="00373F1A" w:rsidRDefault="00CB7716" w:rsidP="00DA5DD7">
      <w:pPr>
        <w:spacing w:after="240"/>
        <w:rPr>
          <w:lang w:eastAsia="en-AU"/>
        </w:rPr>
      </w:pPr>
      <w:r>
        <w:rPr>
          <w:lang w:eastAsia="en-AU"/>
        </w:rPr>
        <w:t>Businesses in S</w:t>
      </w:r>
      <w:r w:rsidRPr="00373F1A">
        <w:rPr>
          <w:lang w:eastAsia="en-AU"/>
        </w:rPr>
        <w:t>cenario</w:t>
      </w:r>
      <w:r>
        <w:rPr>
          <w:lang w:eastAsia="en-AU"/>
        </w:rPr>
        <w:t xml:space="preserve"> 2</w:t>
      </w:r>
      <w:r w:rsidRPr="00373F1A">
        <w:rPr>
          <w:lang w:eastAsia="en-AU"/>
        </w:rPr>
        <w:t xml:space="preserve"> jurisdictions will only incur renewal training costs at year six. </w:t>
      </w:r>
    </w:p>
    <w:p w14:paraId="518AB80A" w14:textId="779BEE3D" w:rsidR="00F72B9F" w:rsidRDefault="00CB7716" w:rsidP="00DA5DD7">
      <w:pPr>
        <w:spacing w:after="240"/>
        <w:rPr>
          <w:lang w:eastAsia="en-AU"/>
        </w:rPr>
      </w:pPr>
      <w:r w:rsidRPr="00373F1A">
        <w:rPr>
          <w:lang w:eastAsia="en-AU"/>
        </w:rPr>
        <w:t>Busi</w:t>
      </w:r>
      <w:r>
        <w:rPr>
          <w:lang w:eastAsia="en-AU"/>
        </w:rPr>
        <w:t>nesses in S</w:t>
      </w:r>
      <w:r w:rsidRPr="00373F1A">
        <w:rPr>
          <w:lang w:eastAsia="en-AU"/>
        </w:rPr>
        <w:t xml:space="preserve">cenario </w:t>
      </w:r>
      <w:r>
        <w:rPr>
          <w:lang w:eastAsia="en-AU"/>
        </w:rPr>
        <w:t>3</w:t>
      </w:r>
      <w:r w:rsidRPr="00373F1A">
        <w:rPr>
          <w:lang w:eastAsia="en-AU"/>
        </w:rPr>
        <w:t xml:space="preserve"> jurisdictions do not incur incremental costs for implementing this option. </w:t>
      </w:r>
    </w:p>
    <w:p w14:paraId="38089487" w14:textId="44540576" w:rsidR="00CB7716" w:rsidRDefault="00CB7716" w:rsidP="00DA5DD7">
      <w:pPr>
        <w:spacing w:after="240"/>
        <w:rPr>
          <w:lang w:eastAsia="en-AU"/>
        </w:rPr>
      </w:pPr>
      <w:r w:rsidRPr="6A61D147">
        <w:rPr>
          <w:lang w:eastAsia="en-AU"/>
        </w:rPr>
        <w:t>The various assumptions used to calculate cost of implementing the FSS tool for businesses are shown in Table 1.</w:t>
      </w:r>
    </w:p>
    <w:p w14:paraId="1F9B42BB" w14:textId="77777777" w:rsidR="00CB7716" w:rsidRPr="008F342F" w:rsidRDefault="00CB7716" w:rsidP="00CB7716">
      <w:pPr>
        <w:pStyle w:val="FSTableFigureHeading"/>
        <w:rPr>
          <w:sz w:val="20"/>
        </w:rPr>
      </w:pPr>
      <w:r w:rsidRPr="008F342F">
        <w:rPr>
          <w:sz w:val="20"/>
        </w:rPr>
        <w:t xml:space="preserve">Table </w:t>
      </w:r>
      <w:r>
        <w:rPr>
          <w:sz w:val="20"/>
        </w:rPr>
        <w:t>1</w:t>
      </w:r>
      <w:r w:rsidRPr="008F342F">
        <w:rPr>
          <w:sz w:val="20"/>
        </w:rPr>
        <w:t>: Assumptions used to calculate cost of implementing the FSS tool for food businesses</w:t>
      </w:r>
    </w:p>
    <w:tbl>
      <w:tblPr>
        <w:tblW w:w="5000" w:type="pct"/>
        <w:tblLook w:val="04A0" w:firstRow="1" w:lastRow="0" w:firstColumn="1" w:lastColumn="0" w:noHBand="0" w:noVBand="1"/>
      </w:tblPr>
      <w:tblGrid>
        <w:gridCol w:w="4262"/>
        <w:gridCol w:w="4798"/>
      </w:tblGrid>
      <w:tr w:rsidR="00CB7716" w:rsidRPr="00373F1A" w14:paraId="37963FEC" w14:textId="77777777" w:rsidTr="00CB7716">
        <w:trPr>
          <w:trHeight w:val="345"/>
        </w:trPr>
        <w:tc>
          <w:tcPr>
            <w:tcW w:w="5000" w:type="pct"/>
            <w:gridSpan w:val="2"/>
            <w:tcBorders>
              <w:top w:val="single" w:sz="4" w:space="0" w:color="000000" w:themeColor="text1"/>
              <w:left w:val="single" w:sz="4" w:space="0" w:color="000000" w:themeColor="text1"/>
              <w:bottom w:val="single" w:sz="4" w:space="0" w:color="FFFFFF" w:themeColor="background1"/>
              <w:right w:val="single" w:sz="4" w:space="0" w:color="000000" w:themeColor="text1"/>
            </w:tcBorders>
            <w:shd w:val="clear" w:color="auto" w:fill="003300"/>
            <w:vAlign w:val="center"/>
            <w:hideMark/>
          </w:tcPr>
          <w:p w14:paraId="225BD20F" w14:textId="77777777" w:rsidR="00CB7716" w:rsidRPr="00373F1A" w:rsidRDefault="00CB7716" w:rsidP="00CB7716">
            <w:pPr>
              <w:jc w:val="center"/>
              <w:rPr>
                <w:rFonts w:ascii="Calibri" w:hAnsi="Calibri" w:cs="Calibri"/>
                <w:b/>
                <w:bCs/>
                <w:color w:val="F2F2F2"/>
                <w:sz w:val="24"/>
                <w:lang w:eastAsia="en-GB"/>
              </w:rPr>
            </w:pPr>
            <w:r w:rsidRPr="00373F1A">
              <w:rPr>
                <w:rFonts w:ascii="Calibri" w:hAnsi="Calibri" w:cs="Calibri"/>
                <w:b/>
                <w:bCs/>
                <w:color w:val="F2F2F2"/>
                <w:sz w:val="24"/>
                <w:lang w:eastAsia="en-GB"/>
              </w:rPr>
              <w:t xml:space="preserve">FSS costs and assumptions – implementation </w:t>
            </w:r>
          </w:p>
        </w:tc>
      </w:tr>
      <w:tr w:rsidR="00CB7716" w:rsidRPr="00373F1A" w14:paraId="22F91C58" w14:textId="77777777" w:rsidTr="00CB7716">
        <w:trPr>
          <w:trHeight w:val="305"/>
        </w:trPr>
        <w:tc>
          <w:tcPr>
            <w:tcW w:w="2352" w:type="pct"/>
            <w:tcBorders>
              <w:top w:val="nil"/>
              <w:left w:val="single" w:sz="4" w:space="0" w:color="000000" w:themeColor="text1"/>
              <w:bottom w:val="single" w:sz="4" w:space="0" w:color="000000" w:themeColor="text1"/>
              <w:right w:val="single" w:sz="4" w:space="0" w:color="000000" w:themeColor="text1"/>
            </w:tcBorders>
            <w:shd w:val="clear" w:color="auto" w:fill="EDEDED"/>
            <w:vAlign w:val="center"/>
            <w:hideMark/>
          </w:tcPr>
          <w:p w14:paraId="1A1F1C99" w14:textId="77777777" w:rsidR="00CB7716" w:rsidRPr="00373F1A" w:rsidRDefault="00CB7716" w:rsidP="00CB7716">
            <w:pPr>
              <w:rPr>
                <w:rFonts w:ascii="Calibri" w:hAnsi="Calibri" w:cs="Calibri"/>
                <w:color w:val="000000"/>
                <w:lang w:eastAsia="en-GB"/>
              </w:rPr>
            </w:pPr>
            <w:r w:rsidRPr="00373F1A">
              <w:rPr>
                <w:rFonts w:ascii="Calibri" w:hAnsi="Calibri" w:cs="Calibri"/>
                <w:color w:val="000000"/>
                <w:lang w:eastAsia="en-GB"/>
              </w:rPr>
              <w:t>FSS wage</w:t>
            </w:r>
          </w:p>
        </w:tc>
        <w:tc>
          <w:tcPr>
            <w:tcW w:w="2648" w:type="pct"/>
            <w:tcBorders>
              <w:top w:val="nil"/>
              <w:left w:val="nil"/>
              <w:bottom w:val="single" w:sz="4" w:space="0" w:color="000000" w:themeColor="text1"/>
              <w:right w:val="single" w:sz="4" w:space="0" w:color="000000" w:themeColor="text1"/>
            </w:tcBorders>
            <w:shd w:val="clear" w:color="auto" w:fill="EDEDED"/>
            <w:noWrap/>
            <w:vAlign w:val="center"/>
            <w:hideMark/>
          </w:tcPr>
          <w:p w14:paraId="3698E795" w14:textId="77777777" w:rsidR="00CB7716" w:rsidRPr="00373F1A" w:rsidRDefault="00CB7716" w:rsidP="00CB7716">
            <w:pPr>
              <w:jc w:val="center"/>
              <w:rPr>
                <w:rFonts w:ascii="Calibri" w:hAnsi="Calibri" w:cs="Calibri"/>
                <w:color w:val="000000"/>
                <w:lang w:eastAsia="en-GB"/>
              </w:rPr>
            </w:pPr>
            <w:r w:rsidRPr="00373F1A">
              <w:rPr>
                <w:rFonts w:ascii="Calibri" w:hAnsi="Calibri" w:cs="Calibri"/>
                <w:color w:val="000000"/>
                <w:lang w:eastAsia="en-GB"/>
              </w:rPr>
              <w:t>$25.83 (from award)</w:t>
            </w:r>
          </w:p>
        </w:tc>
      </w:tr>
      <w:tr w:rsidR="00CB7716" w:rsidRPr="00373F1A" w14:paraId="695E9191" w14:textId="77777777" w:rsidTr="00CB7716">
        <w:trPr>
          <w:trHeight w:val="361"/>
        </w:trPr>
        <w:tc>
          <w:tcPr>
            <w:tcW w:w="2352" w:type="pct"/>
            <w:tcBorders>
              <w:top w:val="nil"/>
              <w:left w:val="single" w:sz="4" w:space="0" w:color="000000" w:themeColor="text1"/>
              <w:bottom w:val="single" w:sz="4" w:space="0" w:color="000000" w:themeColor="text1"/>
              <w:right w:val="single" w:sz="4" w:space="0" w:color="000000" w:themeColor="text1"/>
            </w:tcBorders>
            <w:shd w:val="clear" w:color="auto" w:fill="EDEDED"/>
            <w:vAlign w:val="center"/>
            <w:hideMark/>
          </w:tcPr>
          <w:p w14:paraId="49C10DF2" w14:textId="77777777" w:rsidR="00CB7716" w:rsidRPr="00373F1A" w:rsidRDefault="00CB7716" w:rsidP="00CB7716">
            <w:pPr>
              <w:rPr>
                <w:rFonts w:ascii="Calibri" w:hAnsi="Calibri" w:cs="Calibri"/>
                <w:color w:val="000000"/>
                <w:lang w:eastAsia="en-GB"/>
              </w:rPr>
            </w:pPr>
            <w:r w:rsidRPr="00373F1A">
              <w:rPr>
                <w:rFonts w:ascii="Calibri" w:hAnsi="Calibri" w:cs="Calibri"/>
                <w:color w:val="000000"/>
                <w:lang w:eastAsia="en-GB"/>
              </w:rPr>
              <w:t>Wage on costs</w:t>
            </w:r>
          </w:p>
        </w:tc>
        <w:tc>
          <w:tcPr>
            <w:tcW w:w="2648" w:type="pct"/>
            <w:tcBorders>
              <w:top w:val="nil"/>
              <w:left w:val="nil"/>
              <w:bottom w:val="single" w:sz="4" w:space="0" w:color="000000" w:themeColor="text1"/>
              <w:right w:val="single" w:sz="4" w:space="0" w:color="000000" w:themeColor="text1"/>
            </w:tcBorders>
            <w:shd w:val="clear" w:color="auto" w:fill="EDEDED"/>
            <w:noWrap/>
            <w:vAlign w:val="center"/>
            <w:hideMark/>
          </w:tcPr>
          <w:p w14:paraId="0E40DCAD" w14:textId="77777777" w:rsidR="00CB7716" w:rsidRPr="00373F1A" w:rsidRDefault="00CB7716" w:rsidP="00CB7716">
            <w:pPr>
              <w:jc w:val="center"/>
              <w:rPr>
                <w:rFonts w:ascii="Calibri" w:hAnsi="Calibri" w:cs="Calibri"/>
                <w:color w:val="000000"/>
                <w:lang w:eastAsia="en-GB"/>
              </w:rPr>
            </w:pPr>
            <w:r>
              <w:rPr>
                <w:rFonts w:ascii="Calibri" w:hAnsi="Calibri" w:cs="Calibri"/>
                <w:color w:val="000000"/>
                <w:lang w:eastAsia="en-GB"/>
              </w:rPr>
              <w:t>30</w:t>
            </w:r>
            <w:r w:rsidRPr="00373F1A">
              <w:rPr>
                <w:rFonts w:ascii="Calibri" w:hAnsi="Calibri" w:cs="Calibri"/>
                <w:color w:val="000000"/>
                <w:lang w:eastAsia="en-GB"/>
              </w:rPr>
              <w:t>%</w:t>
            </w:r>
          </w:p>
        </w:tc>
      </w:tr>
      <w:tr w:rsidR="00CB7716" w:rsidRPr="00373F1A" w14:paraId="35EDBF7E" w14:textId="77777777" w:rsidTr="00CB7716">
        <w:trPr>
          <w:trHeight w:val="219"/>
        </w:trPr>
        <w:tc>
          <w:tcPr>
            <w:tcW w:w="235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DEDED"/>
            <w:vAlign w:val="center"/>
            <w:hideMark/>
          </w:tcPr>
          <w:p w14:paraId="6C0354C5" w14:textId="77777777" w:rsidR="00CB7716" w:rsidRPr="00373F1A" w:rsidRDefault="00CB7716" w:rsidP="00CB7716">
            <w:pPr>
              <w:rPr>
                <w:rFonts w:ascii="Calibri" w:hAnsi="Calibri" w:cs="Calibri"/>
                <w:color w:val="000000"/>
                <w:lang w:eastAsia="en-GB"/>
              </w:rPr>
            </w:pPr>
            <w:r w:rsidRPr="00373F1A">
              <w:rPr>
                <w:rFonts w:ascii="Calibri" w:hAnsi="Calibri" w:cs="Calibri"/>
                <w:color w:val="000000"/>
                <w:lang w:eastAsia="en-GB"/>
              </w:rPr>
              <w:t>FSS training fee</w:t>
            </w:r>
          </w:p>
        </w:tc>
        <w:tc>
          <w:tcPr>
            <w:tcW w:w="2648" w:type="pct"/>
            <w:tcBorders>
              <w:top w:val="nil"/>
              <w:left w:val="nil"/>
              <w:bottom w:val="single" w:sz="4" w:space="0" w:color="000000" w:themeColor="text1"/>
              <w:right w:val="single" w:sz="4" w:space="0" w:color="000000" w:themeColor="text1"/>
            </w:tcBorders>
            <w:shd w:val="clear" w:color="auto" w:fill="EDEDED"/>
            <w:noWrap/>
            <w:vAlign w:val="center"/>
            <w:hideMark/>
          </w:tcPr>
          <w:p w14:paraId="56D7F563" w14:textId="77777777" w:rsidR="00CB7716" w:rsidRPr="00373F1A" w:rsidRDefault="00CB7716" w:rsidP="00CB7716">
            <w:pPr>
              <w:jc w:val="center"/>
              <w:rPr>
                <w:rFonts w:ascii="Calibri" w:hAnsi="Calibri" w:cs="Calibri"/>
                <w:color w:val="000000"/>
                <w:lang w:eastAsia="en-GB"/>
              </w:rPr>
            </w:pPr>
            <w:r w:rsidRPr="48861835">
              <w:rPr>
                <w:rFonts w:ascii="Calibri" w:hAnsi="Calibri" w:cs="Calibri"/>
                <w:color w:val="000000" w:themeColor="text1"/>
                <w:lang w:eastAsia="en-GB"/>
              </w:rPr>
              <w:t>$170 (from an RTO)</w:t>
            </w:r>
          </w:p>
        </w:tc>
      </w:tr>
      <w:tr w:rsidR="00CB7716" w:rsidRPr="00373F1A" w14:paraId="7E2A0770" w14:textId="77777777" w:rsidTr="00CB7716">
        <w:trPr>
          <w:trHeight w:val="281"/>
        </w:trPr>
        <w:tc>
          <w:tcPr>
            <w:tcW w:w="235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DEDED"/>
            <w:vAlign w:val="center"/>
            <w:hideMark/>
          </w:tcPr>
          <w:p w14:paraId="7CD80728" w14:textId="77777777" w:rsidR="00CB7716" w:rsidRPr="00373F1A" w:rsidRDefault="00CB7716" w:rsidP="00CB7716">
            <w:pPr>
              <w:rPr>
                <w:rFonts w:ascii="Calibri" w:hAnsi="Calibri" w:cs="Calibri"/>
                <w:color w:val="000000"/>
                <w:lang w:eastAsia="en-GB"/>
              </w:rPr>
            </w:pPr>
            <w:r>
              <w:rPr>
                <w:rFonts w:ascii="Calibri" w:hAnsi="Calibri" w:cs="Calibri"/>
                <w:color w:val="000000"/>
                <w:lang w:eastAsia="en-GB"/>
              </w:rPr>
              <w:t xml:space="preserve">FSS </w:t>
            </w:r>
            <w:r w:rsidRPr="00373F1A">
              <w:rPr>
                <w:rFonts w:ascii="Calibri" w:hAnsi="Calibri" w:cs="Calibri"/>
                <w:color w:val="000000"/>
                <w:lang w:eastAsia="en-GB"/>
              </w:rPr>
              <w:t>training time</w:t>
            </w:r>
          </w:p>
        </w:tc>
        <w:tc>
          <w:tcPr>
            <w:tcW w:w="2648" w:type="pct"/>
            <w:tcBorders>
              <w:top w:val="nil"/>
              <w:left w:val="nil"/>
              <w:bottom w:val="single" w:sz="4" w:space="0" w:color="000000" w:themeColor="text1"/>
              <w:right w:val="single" w:sz="4" w:space="0" w:color="000000" w:themeColor="text1"/>
            </w:tcBorders>
            <w:shd w:val="clear" w:color="auto" w:fill="EDEDED"/>
            <w:noWrap/>
            <w:vAlign w:val="center"/>
            <w:hideMark/>
          </w:tcPr>
          <w:p w14:paraId="06978731" w14:textId="77777777" w:rsidR="00CB7716" w:rsidRPr="00373F1A" w:rsidRDefault="00CB7716" w:rsidP="00CB7716">
            <w:pPr>
              <w:jc w:val="center"/>
              <w:rPr>
                <w:rFonts w:ascii="Calibri" w:hAnsi="Calibri" w:cs="Calibri"/>
                <w:color w:val="000000"/>
                <w:lang w:eastAsia="en-GB"/>
              </w:rPr>
            </w:pPr>
            <w:r w:rsidRPr="48861835">
              <w:rPr>
                <w:rFonts w:ascii="Calibri" w:hAnsi="Calibri" w:cs="Calibri"/>
                <w:color w:val="000000" w:themeColor="text1"/>
                <w:lang w:eastAsia="en-GB"/>
              </w:rPr>
              <w:t>10 hours (from an RTO)</w:t>
            </w:r>
          </w:p>
        </w:tc>
      </w:tr>
      <w:tr w:rsidR="00CB7716" w:rsidRPr="00373F1A" w14:paraId="51E61AD7" w14:textId="77777777" w:rsidTr="00CB7716">
        <w:trPr>
          <w:trHeight w:val="221"/>
        </w:trPr>
        <w:tc>
          <w:tcPr>
            <w:tcW w:w="2352" w:type="pct"/>
            <w:tcBorders>
              <w:top w:val="nil"/>
              <w:left w:val="single" w:sz="4" w:space="0" w:color="000000" w:themeColor="text1"/>
              <w:bottom w:val="single" w:sz="4" w:space="0" w:color="000000" w:themeColor="text1"/>
              <w:right w:val="single" w:sz="4" w:space="0" w:color="000000" w:themeColor="text1"/>
            </w:tcBorders>
            <w:shd w:val="clear" w:color="auto" w:fill="EDEDED"/>
            <w:vAlign w:val="center"/>
            <w:hideMark/>
          </w:tcPr>
          <w:p w14:paraId="2D6C4D13" w14:textId="77777777" w:rsidR="00CB7716" w:rsidRPr="00373F1A" w:rsidRDefault="00CB7716" w:rsidP="00CB7716">
            <w:pPr>
              <w:rPr>
                <w:rFonts w:ascii="Calibri" w:hAnsi="Calibri" w:cs="Calibri"/>
                <w:color w:val="000000"/>
                <w:lang w:eastAsia="en-GB"/>
              </w:rPr>
            </w:pPr>
            <w:r w:rsidRPr="00373F1A">
              <w:rPr>
                <w:rFonts w:ascii="Calibri" w:hAnsi="Calibri" w:cs="Calibri"/>
                <w:color w:val="000000"/>
                <w:lang w:eastAsia="en-GB"/>
              </w:rPr>
              <w:t>Leakage</w:t>
            </w:r>
          </w:p>
        </w:tc>
        <w:tc>
          <w:tcPr>
            <w:tcW w:w="2648" w:type="pct"/>
            <w:tcBorders>
              <w:top w:val="nil"/>
              <w:left w:val="nil"/>
              <w:bottom w:val="single" w:sz="4" w:space="0" w:color="000000" w:themeColor="text1"/>
              <w:right w:val="single" w:sz="4" w:space="0" w:color="000000" w:themeColor="text1"/>
            </w:tcBorders>
            <w:shd w:val="clear" w:color="auto" w:fill="EDEDED"/>
            <w:noWrap/>
            <w:vAlign w:val="center"/>
            <w:hideMark/>
          </w:tcPr>
          <w:p w14:paraId="2ED58F45" w14:textId="77777777" w:rsidR="00CB7716" w:rsidRPr="00373F1A" w:rsidRDefault="00CB7716" w:rsidP="00CB7716">
            <w:pPr>
              <w:jc w:val="center"/>
              <w:rPr>
                <w:rFonts w:ascii="Calibri" w:hAnsi="Calibri" w:cs="Calibri"/>
                <w:color w:val="000000"/>
                <w:lang w:eastAsia="en-GB"/>
              </w:rPr>
            </w:pPr>
            <w:r w:rsidRPr="00373F1A">
              <w:rPr>
                <w:rFonts w:ascii="Calibri" w:hAnsi="Calibri" w:cs="Calibri"/>
                <w:color w:val="000000"/>
                <w:lang w:eastAsia="en-GB"/>
              </w:rPr>
              <w:t>10%</w:t>
            </w:r>
          </w:p>
        </w:tc>
      </w:tr>
      <w:tr w:rsidR="00CB7716" w:rsidRPr="00373F1A" w14:paraId="24DF4699" w14:textId="77777777" w:rsidTr="00CB7716">
        <w:trPr>
          <w:trHeight w:val="252"/>
        </w:trPr>
        <w:tc>
          <w:tcPr>
            <w:tcW w:w="2352" w:type="pct"/>
            <w:tcBorders>
              <w:top w:val="nil"/>
              <w:left w:val="single" w:sz="4" w:space="0" w:color="000000" w:themeColor="text1"/>
              <w:bottom w:val="single" w:sz="4" w:space="0" w:color="000000" w:themeColor="text1"/>
              <w:right w:val="single" w:sz="4" w:space="0" w:color="000000" w:themeColor="text1"/>
            </w:tcBorders>
            <w:shd w:val="clear" w:color="auto" w:fill="EDEDED"/>
            <w:vAlign w:val="center"/>
            <w:hideMark/>
          </w:tcPr>
          <w:p w14:paraId="03A07C9B" w14:textId="77777777" w:rsidR="00CB7716" w:rsidRPr="00373F1A" w:rsidRDefault="00CB7716" w:rsidP="00CB7716">
            <w:pPr>
              <w:rPr>
                <w:rFonts w:ascii="Calibri" w:hAnsi="Calibri" w:cs="Calibri"/>
                <w:color w:val="000000"/>
                <w:lang w:eastAsia="en-GB"/>
              </w:rPr>
            </w:pPr>
            <w:r w:rsidRPr="00373F1A">
              <w:rPr>
                <w:rFonts w:ascii="Calibri" w:hAnsi="Calibri" w:cs="Calibri"/>
                <w:color w:val="000000"/>
                <w:lang w:eastAsia="en-GB"/>
              </w:rPr>
              <w:t>Renewal of FSS training</w:t>
            </w:r>
          </w:p>
        </w:tc>
        <w:tc>
          <w:tcPr>
            <w:tcW w:w="2648" w:type="pct"/>
            <w:tcBorders>
              <w:top w:val="nil"/>
              <w:left w:val="nil"/>
              <w:bottom w:val="single" w:sz="4" w:space="0" w:color="000000" w:themeColor="text1"/>
              <w:right w:val="single" w:sz="4" w:space="0" w:color="000000" w:themeColor="text1"/>
            </w:tcBorders>
            <w:shd w:val="clear" w:color="auto" w:fill="EDEDED"/>
            <w:noWrap/>
            <w:vAlign w:val="center"/>
            <w:hideMark/>
          </w:tcPr>
          <w:p w14:paraId="3ED8F943" w14:textId="77777777" w:rsidR="00CB7716" w:rsidRPr="00373F1A" w:rsidRDefault="00CB7716" w:rsidP="00CB7716">
            <w:pPr>
              <w:jc w:val="center"/>
              <w:rPr>
                <w:rFonts w:ascii="Calibri" w:hAnsi="Calibri" w:cs="Calibri"/>
                <w:color w:val="000000"/>
                <w:lang w:eastAsia="en-GB"/>
              </w:rPr>
            </w:pPr>
            <w:r w:rsidRPr="00373F1A">
              <w:rPr>
                <w:rFonts w:ascii="Calibri" w:hAnsi="Calibri" w:cs="Calibri"/>
                <w:color w:val="000000"/>
                <w:lang w:eastAsia="en-GB"/>
              </w:rPr>
              <w:t>After 5 years</w:t>
            </w:r>
          </w:p>
        </w:tc>
      </w:tr>
    </w:tbl>
    <w:p w14:paraId="5FA62CFC" w14:textId="77777777" w:rsidR="00CB7716" w:rsidRDefault="00CB7716" w:rsidP="00CB7716">
      <w:pPr>
        <w:rPr>
          <w:sz w:val="20"/>
          <w:lang w:eastAsia="en-AU"/>
        </w:rPr>
      </w:pPr>
      <w:r w:rsidRPr="00D66A38">
        <w:rPr>
          <w:sz w:val="20"/>
          <w:lang w:eastAsia="en-AU"/>
        </w:rPr>
        <w:t>RTO = registered training organisation</w:t>
      </w:r>
    </w:p>
    <w:p w14:paraId="45084655" w14:textId="77777777" w:rsidR="00CB7716" w:rsidRDefault="00CB7716" w:rsidP="00CB7716">
      <w:pPr>
        <w:rPr>
          <w:sz w:val="20"/>
          <w:lang w:eastAsia="en-AU"/>
        </w:rPr>
      </w:pPr>
    </w:p>
    <w:p w14:paraId="4923F31B" w14:textId="4EC05EF9" w:rsidR="00CB7716" w:rsidRPr="00CB7716" w:rsidRDefault="00CB7716" w:rsidP="005473B5">
      <w:pPr>
        <w:spacing w:after="240"/>
        <w:rPr>
          <w:sz w:val="20"/>
          <w:lang w:eastAsia="en-AU"/>
        </w:rPr>
      </w:pPr>
      <w:r w:rsidRPr="00373F1A">
        <w:rPr>
          <w:lang w:eastAsia="en-AU"/>
        </w:rPr>
        <w:t>FSANZ used the assumptions from Table 1 to produce cost estimates for implementing a FSS for each of the three ‘status quo’ scenarios. These estimates are provided in Table 2 and used in the regulatory analysis of the FSS intervention.</w:t>
      </w:r>
    </w:p>
    <w:p w14:paraId="03323737" w14:textId="77777777" w:rsidR="00CB7716" w:rsidRPr="008F342F" w:rsidRDefault="00CB7716" w:rsidP="00CB7716">
      <w:pPr>
        <w:pStyle w:val="FSTableFigureHeading"/>
        <w:rPr>
          <w:sz w:val="20"/>
        </w:rPr>
      </w:pPr>
      <w:r w:rsidRPr="008F342F">
        <w:rPr>
          <w:sz w:val="20"/>
        </w:rPr>
        <w:t xml:space="preserve">Table </w:t>
      </w:r>
      <w:r>
        <w:rPr>
          <w:sz w:val="20"/>
        </w:rPr>
        <w:t>2</w:t>
      </w:r>
      <w:r w:rsidRPr="008F342F">
        <w:rPr>
          <w:sz w:val="20"/>
        </w:rPr>
        <w:t xml:space="preserve">: Cost estimates of implementing the FSS </w:t>
      </w:r>
      <w:r>
        <w:rPr>
          <w:sz w:val="20"/>
        </w:rPr>
        <w:t>tool</w:t>
      </w:r>
      <w:r w:rsidRPr="008F342F">
        <w:rPr>
          <w:sz w:val="20"/>
        </w:rPr>
        <w:t xml:space="preserve"> by </w:t>
      </w:r>
      <w:r>
        <w:rPr>
          <w:sz w:val="20"/>
        </w:rPr>
        <w:t>scenario</w:t>
      </w:r>
    </w:p>
    <w:tbl>
      <w:tblPr>
        <w:tblStyle w:val="GridTable4-Accent6"/>
        <w:tblW w:w="0" w:type="auto"/>
        <w:tblLook w:val="04A0" w:firstRow="1" w:lastRow="0" w:firstColumn="1" w:lastColumn="0" w:noHBand="0" w:noVBand="1"/>
      </w:tblPr>
      <w:tblGrid>
        <w:gridCol w:w="2886"/>
        <w:gridCol w:w="1330"/>
        <w:gridCol w:w="1600"/>
        <w:gridCol w:w="1600"/>
        <w:gridCol w:w="1600"/>
      </w:tblGrid>
      <w:tr w:rsidR="00CB7716" w:rsidRPr="00373F1A" w14:paraId="271406E0" w14:textId="77777777" w:rsidTr="006E77ED">
        <w:trPr>
          <w:cnfStyle w:val="100000000000" w:firstRow="1" w:lastRow="0" w:firstColumn="0" w:lastColumn="0" w:oddVBand="0" w:evenVBand="0" w:oddHBand="0"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886" w:type="dxa"/>
            <w:noWrap/>
            <w:hideMark/>
          </w:tcPr>
          <w:p w14:paraId="387CFBBE" w14:textId="77777777" w:rsidR="00CB7716" w:rsidRPr="00373F1A" w:rsidRDefault="00CB7716" w:rsidP="00CB7716">
            <w:pPr>
              <w:spacing w:after="85"/>
              <w:jc w:val="center"/>
              <w:rPr>
                <w:rFonts w:ascii="Calibri" w:eastAsia="Times New Roman" w:hAnsi="Calibri" w:cs="Calibri"/>
                <w:color w:val="000000"/>
                <w:sz w:val="24"/>
                <w:lang w:eastAsia="en-GB"/>
              </w:rPr>
            </w:pPr>
            <w:r w:rsidRPr="00373F1A">
              <w:rPr>
                <w:rFonts w:ascii="Calibri" w:eastAsia="Times New Roman" w:hAnsi="Calibri" w:cs="Calibri"/>
                <w:color w:val="000000"/>
                <w:sz w:val="24"/>
                <w:lang w:eastAsia="en-GB"/>
              </w:rPr>
              <w:t>FSS per business</w:t>
            </w:r>
          </w:p>
        </w:tc>
        <w:tc>
          <w:tcPr>
            <w:tcW w:w="1330" w:type="dxa"/>
            <w:noWrap/>
            <w:hideMark/>
          </w:tcPr>
          <w:p w14:paraId="2DD27BCC" w14:textId="77777777" w:rsidR="00CB7716" w:rsidRPr="00373F1A" w:rsidRDefault="00CB7716" w:rsidP="00CB7716">
            <w:pPr>
              <w:spacing w:after="85"/>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sz w:val="24"/>
                <w:lang w:eastAsia="en-GB"/>
              </w:rPr>
            </w:pPr>
            <w:r w:rsidRPr="00373F1A">
              <w:rPr>
                <w:rFonts w:ascii="Calibri" w:eastAsia="Times New Roman" w:hAnsi="Calibri" w:cs="Calibri"/>
                <w:color w:val="000000"/>
                <w:sz w:val="24"/>
                <w:lang w:eastAsia="en-GB"/>
              </w:rPr>
              <w:t>Upfront ($)</w:t>
            </w:r>
          </w:p>
          <w:p w14:paraId="7EE40E6F" w14:textId="77777777" w:rsidR="00CB7716" w:rsidRPr="00373F1A" w:rsidRDefault="00CB7716" w:rsidP="00CB7716">
            <w:pPr>
              <w:spacing w:after="85"/>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sz w:val="24"/>
                <w:lang w:eastAsia="en-GB"/>
              </w:rPr>
            </w:pPr>
            <w:r w:rsidRPr="00373F1A">
              <w:rPr>
                <w:rFonts w:ascii="Calibri" w:eastAsia="Times New Roman" w:hAnsi="Calibri" w:cs="Calibri"/>
                <w:color w:val="000000"/>
                <w:sz w:val="24"/>
                <w:lang w:eastAsia="en-GB"/>
              </w:rPr>
              <w:t>(y</w:t>
            </w:r>
            <w:r>
              <w:rPr>
                <w:rFonts w:ascii="Calibri" w:eastAsia="Times New Roman" w:hAnsi="Calibri" w:cs="Calibri"/>
                <w:color w:val="000000"/>
                <w:sz w:val="24"/>
                <w:lang w:eastAsia="en-GB"/>
              </w:rPr>
              <w:t>ear</w:t>
            </w:r>
            <w:r w:rsidRPr="00373F1A">
              <w:rPr>
                <w:rFonts w:ascii="Calibri" w:eastAsia="Times New Roman" w:hAnsi="Calibri" w:cs="Calibri"/>
                <w:color w:val="000000"/>
                <w:sz w:val="24"/>
                <w:lang w:eastAsia="en-GB"/>
              </w:rPr>
              <w:t xml:space="preserve"> 1)</w:t>
            </w:r>
          </w:p>
        </w:tc>
        <w:tc>
          <w:tcPr>
            <w:tcW w:w="1600" w:type="dxa"/>
            <w:noWrap/>
            <w:hideMark/>
          </w:tcPr>
          <w:p w14:paraId="0E0AA38D" w14:textId="77777777" w:rsidR="00CB7716" w:rsidRPr="00373F1A" w:rsidRDefault="00CB7716" w:rsidP="00CB7716">
            <w:pPr>
              <w:spacing w:after="85"/>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sz w:val="24"/>
                <w:lang w:eastAsia="en-GB"/>
              </w:rPr>
            </w:pPr>
            <w:r w:rsidRPr="00373F1A">
              <w:rPr>
                <w:rFonts w:ascii="Calibri" w:eastAsia="Times New Roman" w:hAnsi="Calibri" w:cs="Calibri"/>
                <w:color w:val="000000"/>
                <w:sz w:val="24"/>
                <w:lang w:eastAsia="en-GB"/>
              </w:rPr>
              <w:t>Ongoing ($)</w:t>
            </w:r>
          </w:p>
          <w:p w14:paraId="49310900" w14:textId="77777777" w:rsidR="00CB7716" w:rsidRPr="00373F1A" w:rsidRDefault="00CB7716" w:rsidP="00CB7716">
            <w:pPr>
              <w:spacing w:after="85"/>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sz w:val="24"/>
                <w:lang w:eastAsia="en-GB"/>
              </w:rPr>
            </w:pPr>
            <w:r w:rsidRPr="00373F1A">
              <w:rPr>
                <w:rFonts w:ascii="Calibri" w:eastAsia="Times New Roman" w:hAnsi="Calibri" w:cs="Calibri"/>
                <w:color w:val="000000"/>
                <w:sz w:val="24"/>
                <w:lang w:eastAsia="en-GB"/>
              </w:rPr>
              <w:t>y</w:t>
            </w:r>
            <w:r>
              <w:rPr>
                <w:rFonts w:ascii="Calibri" w:eastAsia="Times New Roman" w:hAnsi="Calibri" w:cs="Calibri"/>
                <w:color w:val="000000"/>
                <w:sz w:val="24"/>
                <w:lang w:eastAsia="en-GB"/>
              </w:rPr>
              <w:t>ear</w:t>
            </w:r>
            <w:r w:rsidRPr="00373F1A">
              <w:rPr>
                <w:rFonts w:ascii="Calibri" w:eastAsia="Times New Roman" w:hAnsi="Calibri" w:cs="Calibri"/>
                <w:color w:val="000000"/>
                <w:sz w:val="24"/>
                <w:lang w:eastAsia="en-GB"/>
              </w:rPr>
              <w:t xml:space="preserve"> 2-5</w:t>
            </w:r>
          </w:p>
        </w:tc>
        <w:tc>
          <w:tcPr>
            <w:tcW w:w="1600" w:type="dxa"/>
            <w:noWrap/>
            <w:hideMark/>
          </w:tcPr>
          <w:p w14:paraId="7933285A" w14:textId="77777777" w:rsidR="00CB7716" w:rsidRPr="00373F1A" w:rsidRDefault="00CB7716" w:rsidP="00CB7716">
            <w:pPr>
              <w:spacing w:after="85"/>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sz w:val="24"/>
                <w:lang w:eastAsia="en-GB"/>
              </w:rPr>
            </w:pPr>
            <w:r w:rsidRPr="00373F1A">
              <w:rPr>
                <w:rFonts w:ascii="Calibri" w:eastAsia="Times New Roman" w:hAnsi="Calibri" w:cs="Calibri"/>
                <w:color w:val="000000"/>
                <w:sz w:val="24"/>
                <w:lang w:eastAsia="en-GB"/>
              </w:rPr>
              <w:t>y</w:t>
            </w:r>
            <w:r>
              <w:rPr>
                <w:rFonts w:ascii="Calibri" w:eastAsia="Times New Roman" w:hAnsi="Calibri" w:cs="Calibri"/>
                <w:color w:val="000000"/>
                <w:sz w:val="24"/>
                <w:lang w:eastAsia="en-GB"/>
              </w:rPr>
              <w:t xml:space="preserve">ear </w:t>
            </w:r>
            <w:r w:rsidRPr="00373F1A">
              <w:rPr>
                <w:rFonts w:ascii="Calibri" w:eastAsia="Times New Roman" w:hAnsi="Calibri" w:cs="Calibri"/>
                <w:color w:val="000000"/>
                <w:sz w:val="24"/>
                <w:lang w:eastAsia="en-GB"/>
              </w:rPr>
              <w:t>6 ($)</w:t>
            </w:r>
          </w:p>
        </w:tc>
        <w:tc>
          <w:tcPr>
            <w:tcW w:w="1600" w:type="dxa"/>
            <w:noWrap/>
            <w:hideMark/>
          </w:tcPr>
          <w:p w14:paraId="3A9FFF5B" w14:textId="77777777" w:rsidR="00CB7716" w:rsidRPr="00373F1A" w:rsidRDefault="00CB7716" w:rsidP="00CB7716">
            <w:pPr>
              <w:spacing w:after="85"/>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sz w:val="24"/>
                <w:lang w:eastAsia="en-GB"/>
              </w:rPr>
            </w:pPr>
            <w:r w:rsidRPr="00373F1A">
              <w:rPr>
                <w:rFonts w:ascii="Calibri" w:eastAsia="Times New Roman" w:hAnsi="Calibri" w:cs="Calibri"/>
                <w:color w:val="000000"/>
                <w:sz w:val="24"/>
                <w:lang w:eastAsia="en-GB"/>
              </w:rPr>
              <w:t>y</w:t>
            </w:r>
            <w:r>
              <w:rPr>
                <w:rFonts w:ascii="Calibri" w:eastAsia="Times New Roman" w:hAnsi="Calibri" w:cs="Calibri"/>
                <w:color w:val="000000"/>
                <w:sz w:val="24"/>
                <w:lang w:eastAsia="en-GB"/>
              </w:rPr>
              <w:t>ear</w:t>
            </w:r>
            <w:r w:rsidRPr="00373F1A">
              <w:rPr>
                <w:rFonts w:ascii="Calibri" w:eastAsia="Times New Roman" w:hAnsi="Calibri" w:cs="Calibri"/>
                <w:color w:val="000000"/>
                <w:sz w:val="24"/>
                <w:lang w:eastAsia="en-GB"/>
              </w:rPr>
              <w:t xml:space="preserve"> 7-10 ($)</w:t>
            </w:r>
          </w:p>
        </w:tc>
      </w:tr>
      <w:tr w:rsidR="00CB7716" w:rsidRPr="00373F1A" w14:paraId="1C20521F" w14:textId="77777777" w:rsidTr="006E77E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886" w:type="dxa"/>
            <w:noWrap/>
            <w:hideMark/>
          </w:tcPr>
          <w:p w14:paraId="4658776C" w14:textId="77777777" w:rsidR="00CB7716" w:rsidRPr="00CD1554" w:rsidRDefault="00CB7716" w:rsidP="00CB7716">
            <w:pPr>
              <w:spacing w:after="85"/>
              <w:rPr>
                <w:rFonts w:ascii="Calibri" w:eastAsia="Times New Roman" w:hAnsi="Calibri" w:cs="Calibri"/>
                <w:b w:val="0"/>
                <w:color w:val="000000"/>
                <w:lang w:val="fr-FR" w:eastAsia="en-GB"/>
              </w:rPr>
            </w:pPr>
            <w:r w:rsidRPr="00CD1554">
              <w:rPr>
                <w:rFonts w:ascii="Calibri" w:eastAsia="Times New Roman" w:hAnsi="Calibri" w:cs="Calibri"/>
                <w:b w:val="0"/>
                <w:color w:val="000000"/>
                <w:lang w:val="fr-FR" w:eastAsia="en-GB"/>
              </w:rPr>
              <w:t>Scenario 1: WA, SA, Tasmania, NT</w:t>
            </w:r>
          </w:p>
        </w:tc>
        <w:tc>
          <w:tcPr>
            <w:tcW w:w="1330" w:type="dxa"/>
            <w:noWrap/>
            <w:hideMark/>
          </w:tcPr>
          <w:p w14:paraId="4AEA3EFA" w14:textId="77777777" w:rsidR="00CB7716" w:rsidRPr="00373F1A" w:rsidRDefault="00CB7716" w:rsidP="00CB7716">
            <w:pPr>
              <w:spacing w:after="85"/>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Cs/>
                <w:color w:val="000000"/>
                <w:lang w:eastAsia="en-GB"/>
              </w:rPr>
            </w:pPr>
            <w:r>
              <w:rPr>
                <w:rFonts w:ascii="Calibri" w:eastAsia="Times New Roman" w:hAnsi="Calibri" w:cs="Calibri"/>
                <w:bCs/>
                <w:color w:val="000000"/>
                <w:lang w:eastAsia="en-GB"/>
              </w:rPr>
              <w:t>506</w:t>
            </w:r>
            <w:r w:rsidRPr="00373F1A">
              <w:rPr>
                <w:rFonts w:ascii="Calibri" w:eastAsia="Times New Roman" w:hAnsi="Calibri" w:cs="Calibri"/>
                <w:bCs/>
                <w:color w:val="000000"/>
                <w:lang w:eastAsia="en-GB"/>
              </w:rPr>
              <w:t>.00</w:t>
            </w:r>
          </w:p>
        </w:tc>
        <w:tc>
          <w:tcPr>
            <w:tcW w:w="1600" w:type="dxa"/>
            <w:noWrap/>
            <w:hideMark/>
          </w:tcPr>
          <w:p w14:paraId="177EE75F" w14:textId="77777777" w:rsidR="00CB7716" w:rsidRPr="00373F1A" w:rsidRDefault="00CB7716" w:rsidP="00CB7716">
            <w:pPr>
              <w:spacing w:after="85"/>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Cs/>
                <w:color w:val="000000"/>
                <w:lang w:eastAsia="en-GB"/>
              </w:rPr>
            </w:pPr>
            <w:r>
              <w:rPr>
                <w:rFonts w:ascii="Calibri" w:eastAsia="Times New Roman" w:hAnsi="Calibri" w:cs="Calibri"/>
                <w:bCs/>
                <w:color w:val="000000"/>
                <w:lang w:eastAsia="en-GB"/>
              </w:rPr>
              <w:t>51</w:t>
            </w:r>
            <w:r w:rsidRPr="00373F1A">
              <w:rPr>
                <w:rFonts w:ascii="Calibri" w:eastAsia="Times New Roman" w:hAnsi="Calibri" w:cs="Calibri"/>
                <w:bCs/>
                <w:color w:val="000000"/>
                <w:lang w:eastAsia="en-GB"/>
              </w:rPr>
              <w:t>.00</w:t>
            </w:r>
          </w:p>
        </w:tc>
        <w:tc>
          <w:tcPr>
            <w:tcW w:w="1600" w:type="dxa"/>
            <w:noWrap/>
            <w:hideMark/>
          </w:tcPr>
          <w:p w14:paraId="7A7EE639" w14:textId="77777777" w:rsidR="00CB7716" w:rsidRPr="00373F1A" w:rsidRDefault="00CB7716" w:rsidP="00CB7716">
            <w:pPr>
              <w:spacing w:after="85"/>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Cs/>
                <w:color w:val="000000"/>
                <w:lang w:eastAsia="en-GB"/>
              </w:rPr>
            </w:pPr>
            <w:r>
              <w:rPr>
                <w:rFonts w:ascii="Calibri" w:eastAsia="Times New Roman" w:hAnsi="Calibri" w:cs="Calibri"/>
                <w:bCs/>
                <w:color w:val="000000"/>
                <w:lang w:eastAsia="en-GB"/>
              </w:rPr>
              <w:t>253</w:t>
            </w:r>
            <w:r w:rsidRPr="00373F1A">
              <w:rPr>
                <w:rFonts w:ascii="Calibri" w:eastAsia="Times New Roman" w:hAnsi="Calibri" w:cs="Calibri"/>
                <w:bCs/>
                <w:color w:val="000000"/>
                <w:lang w:eastAsia="en-GB"/>
              </w:rPr>
              <w:t>.</w:t>
            </w:r>
            <w:r>
              <w:rPr>
                <w:rFonts w:ascii="Calibri" w:eastAsia="Times New Roman" w:hAnsi="Calibri" w:cs="Calibri"/>
                <w:bCs/>
                <w:color w:val="000000"/>
                <w:lang w:eastAsia="en-GB"/>
              </w:rPr>
              <w:t>00</w:t>
            </w:r>
          </w:p>
        </w:tc>
        <w:tc>
          <w:tcPr>
            <w:tcW w:w="1600" w:type="dxa"/>
            <w:noWrap/>
            <w:hideMark/>
          </w:tcPr>
          <w:p w14:paraId="71531A2E" w14:textId="77777777" w:rsidR="00CB7716" w:rsidRPr="00373F1A" w:rsidRDefault="00CB7716" w:rsidP="00CB7716">
            <w:pPr>
              <w:spacing w:after="85"/>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Cs/>
                <w:color w:val="000000"/>
                <w:lang w:eastAsia="en-GB"/>
              </w:rPr>
            </w:pPr>
            <w:r w:rsidRPr="00373F1A">
              <w:rPr>
                <w:rFonts w:ascii="Calibri" w:eastAsia="Times New Roman" w:hAnsi="Calibri" w:cs="Calibri"/>
                <w:bCs/>
                <w:color w:val="000000"/>
                <w:lang w:eastAsia="en-GB"/>
              </w:rPr>
              <w:t>1</w:t>
            </w:r>
            <w:r>
              <w:rPr>
                <w:rFonts w:ascii="Calibri" w:eastAsia="Times New Roman" w:hAnsi="Calibri" w:cs="Calibri"/>
                <w:bCs/>
                <w:color w:val="000000"/>
                <w:lang w:eastAsia="en-GB"/>
              </w:rPr>
              <w:t>0</w:t>
            </w:r>
            <w:r w:rsidRPr="00373F1A">
              <w:rPr>
                <w:rFonts w:ascii="Calibri" w:eastAsia="Times New Roman" w:hAnsi="Calibri" w:cs="Calibri"/>
                <w:bCs/>
                <w:color w:val="000000"/>
                <w:lang w:eastAsia="en-GB"/>
              </w:rPr>
              <w:t>2.40</w:t>
            </w:r>
          </w:p>
        </w:tc>
      </w:tr>
      <w:tr w:rsidR="00CB7716" w:rsidRPr="00373F1A" w14:paraId="5461DE1E" w14:textId="77777777" w:rsidTr="006E77ED">
        <w:trPr>
          <w:trHeight w:val="321"/>
        </w:trPr>
        <w:tc>
          <w:tcPr>
            <w:cnfStyle w:val="001000000000" w:firstRow="0" w:lastRow="0" w:firstColumn="1" w:lastColumn="0" w:oddVBand="0" w:evenVBand="0" w:oddHBand="0" w:evenHBand="0" w:firstRowFirstColumn="0" w:firstRowLastColumn="0" w:lastRowFirstColumn="0" w:lastRowLastColumn="0"/>
            <w:tcW w:w="2886" w:type="dxa"/>
            <w:noWrap/>
            <w:hideMark/>
          </w:tcPr>
          <w:p w14:paraId="1EFB2909" w14:textId="77777777" w:rsidR="00CB7716" w:rsidRPr="007F5AD5" w:rsidRDefault="00CB7716" w:rsidP="00CB7716">
            <w:pPr>
              <w:spacing w:after="85"/>
              <w:rPr>
                <w:rFonts w:ascii="Calibri" w:eastAsia="Times New Roman" w:hAnsi="Calibri" w:cs="Calibri"/>
                <w:b w:val="0"/>
                <w:color w:val="000000"/>
                <w:lang w:eastAsia="en-GB"/>
              </w:rPr>
            </w:pPr>
            <w:r w:rsidRPr="007F5AD5">
              <w:rPr>
                <w:rFonts w:ascii="Calibri" w:eastAsia="Times New Roman" w:hAnsi="Calibri" w:cs="Calibri"/>
                <w:b w:val="0"/>
                <w:color w:val="000000"/>
                <w:lang w:eastAsia="en-GB"/>
              </w:rPr>
              <w:t>Scenario 2: Queensland, Victoria</w:t>
            </w:r>
          </w:p>
        </w:tc>
        <w:tc>
          <w:tcPr>
            <w:tcW w:w="1330" w:type="dxa"/>
            <w:noWrap/>
            <w:hideMark/>
          </w:tcPr>
          <w:p w14:paraId="2461F378" w14:textId="77777777" w:rsidR="00CB7716" w:rsidRPr="00373F1A" w:rsidRDefault="00CB7716" w:rsidP="00CB7716">
            <w:pPr>
              <w:spacing w:after="85"/>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Cs/>
                <w:color w:val="000000"/>
                <w:lang w:eastAsia="en-GB"/>
              </w:rPr>
            </w:pPr>
            <w:r w:rsidRPr="00373F1A">
              <w:rPr>
                <w:rFonts w:ascii="Calibri" w:eastAsia="Times New Roman" w:hAnsi="Calibri" w:cs="Calibri"/>
                <w:bCs/>
                <w:color w:val="000000"/>
                <w:lang w:eastAsia="en-GB"/>
              </w:rPr>
              <w:t>0.00</w:t>
            </w:r>
          </w:p>
        </w:tc>
        <w:tc>
          <w:tcPr>
            <w:tcW w:w="1600" w:type="dxa"/>
            <w:noWrap/>
            <w:hideMark/>
          </w:tcPr>
          <w:p w14:paraId="5CC61B15" w14:textId="77777777" w:rsidR="00CB7716" w:rsidRPr="00373F1A" w:rsidRDefault="00CB7716" w:rsidP="00CB7716">
            <w:pPr>
              <w:spacing w:after="85"/>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Cs/>
                <w:color w:val="000000"/>
                <w:lang w:eastAsia="en-GB"/>
              </w:rPr>
            </w:pPr>
            <w:r w:rsidRPr="00373F1A">
              <w:rPr>
                <w:rFonts w:ascii="Calibri" w:eastAsia="Times New Roman" w:hAnsi="Calibri" w:cs="Calibri"/>
                <w:bCs/>
                <w:color w:val="000000"/>
                <w:lang w:eastAsia="en-GB"/>
              </w:rPr>
              <w:t>0.00</w:t>
            </w:r>
          </w:p>
        </w:tc>
        <w:tc>
          <w:tcPr>
            <w:tcW w:w="1600" w:type="dxa"/>
            <w:noWrap/>
            <w:hideMark/>
          </w:tcPr>
          <w:p w14:paraId="3709E253" w14:textId="77777777" w:rsidR="00CB7716" w:rsidRPr="00373F1A" w:rsidRDefault="00CB7716" w:rsidP="00CB7716">
            <w:pPr>
              <w:spacing w:after="85"/>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Cs/>
                <w:color w:val="000000"/>
                <w:lang w:eastAsia="en-GB"/>
              </w:rPr>
            </w:pPr>
            <w:r>
              <w:rPr>
                <w:rFonts w:ascii="Calibri" w:eastAsia="Times New Roman" w:hAnsi="Calibri" w:cs="Calibri"/>
                <w:bCs/>
                <w:color w:val="000000"/>
                <w:lang w:eastAsia="en-GB"/>
              </w:rPr>
              <w:t>506</w:t>
            </w:r>
            <w:r w:rsidRPr="00373F1A">
              <w:rPr>
                <w:rFonts w:ascii="Calibri" w:eastAsia="Times New Roman" w:hAnsi="Calibri" w:cs="Calibri"/>
                <w:bCs/>
                <w:color w:val="000000"/>
                <w:lang w:eastAsia="en-GB"/>
              </w:rPr>
              <w:t>.00</w:t>
            </w:r>
          </w:p>
        </w:tc>
        <w:tc>
          <w:tcPr>
            <w:tcW w:w="1600" w:type="dxa"/>
            <w:noWrap/>
            <w:hideMark/>
          </w:tcPr>
          <w:p w14:paraId="113C60FF" w14:textId="77777777" w:rsidR="00CB7716" w:rsidRPr="00373F1A" w:rsidRDefault="00CB7716" w:rsidP="00CB7716">
            <w:pPr>
              <w:spacing w:after="85"/>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Cs/>
                <w:color w:val="000000"/>
                <w:lang w:eastAsia="en-GB"/>
              </w:rPr>
            </w:pPr>
            <w:r w:rsidRPr="00373F1A">
              <w:rPr>
                <w:rFonts w:ascii="Calibri" w:eastAsia="Times New Roman" w:hAnsi="Calibri" w:cs="Calibri"/>
                <w:bCs/>
                <w:color w:val="000000"/>
                <w:lang w:eastAsia="en-GB"/>
              </w:rPr>
              <w:t>0.00</w:t>
            </w:r>
          </w:p>
        </w:tc>
      </w:tr>
      <w:tr w:rsidR="00CB7716" w:rsidRPr="00373F1A" w14:paraId="594CBE51" w14:textId="77777777" w:rsidTr="006E77ED">
        <w:trPr>
          <w:cnfStyle w:val="000000100000" w:firstRow="0" w:lastRow="0" w:firstColumn="0" w:lastColumn="0" w:oddVBand="0" w:evenVBand="0" w:oddHBand="1" w:evenHBand="0" w:firstRowFirstColumn="0" w:firstRowLastColumn="0" w:lastRowFirstColumn="0" w:lastRowLastColumn="0"/>
          <w:trHeight w:val="101"/>
        </w:trPr>
        <w:tc>
          <w:tcPr>
            <w:cnfStyle w:val="001000000000" w:firstRow="0" w:lastRow="0" w:firstColumn="1" w:lastColumn="0" w:oddVBand="0" w:evenVBand="0" w:oddHBand="0" w:evenHBand="0" w:firstRowFirstColumn="0" w:firstRowLastColumn="0" w:lastRowFirstColumn="0" w:lastRowLastColumn="0"/>
            <w:tcW w:w="2886" w:type="dxa"/>
            <w:noWrap/>
            <w:hideMark/>
          </w:tcPr>
          <w:p w14:paraId="499309AD" w14:textId="77777777" w:rsidR="00CB7716" w:rsidRPr="007F5AD5" w:rsidRDefault="00CB7716" w:rsidP="00CB7716">
            <w:pPr>
              <w:spacing w:after="85"/>
              <w:rPr>
                <w:rFonts w:ascii="Calibri" w:eastAsia="Times New Roman" w:hAnsi="Calibri" w:cs="Calibri"/>
                <w:b w:val="0"/>
                <w:color w:val="000000"/>
                <w:lang w:eastAsia="en-GB"/>
              </w:rPr>
            </w:pPr>
            <w:r w:rsidRPr="007F5AD5">
              <w:rPr>
                <w:rFonts w:ascii="Calibri" w:eastAsia="Times New Roman" w:hAnsi="Calibri" w:cs="Calibri"/>
                <w:b w:val="0"/>
                <w:color w:val="000000"/>
                <w:lang w:eastAsia="en-GB"/>
              </w:rPr>
              <w:t>Scenario 3: ACT, NSW</w:t>
            </w:r>
          </w:p>
        </w:tc>
        <w:tc>
          <w:tcPr>
            <w:tcW w:w="1330" w:type="dxa"/>
            <w:noWrap/>
            <w:hideMark/>
          </w:tcPr>
          <w:p w14:paraId="28E71774" w14:textId="77777777" w:rsidR="00CB7716" w:rsidRPr="00373F1A" w:rsidRDefault="00CB7716" w:rsidP="00CB7716">
            <w:pPr>
              <w:spacing w:after="85"/>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Cs/>
                <w:color w:val="000000"/>
                <w:lang w:eastAsia="en-GB"/>
              </w:rPr>
            </w:pPr>
            <w:r w:rsidRPr="00373F1A">
              <w:rPr>
                <w:rFonts w:ascii="Calibri" w:eastAsia="Times New Roman" w:hAnsi="Calibri" w:cs="Calibri"/>
                <w:bCs/>
                <w:color w:val="000000"/>
                <w:lang w:eastAsia="en-GB"/>
              </w:rPr>
              <w:t>0.00</w:t>
            </w:r>
          </w:p>
        </w:tc>
        <w:tc>
          <w:tcPr>
            <w:tcW w:w="1600" w:type="dxa"/>
            <w:noWrap/>
            <w:hideMark/>
          </w:tcPr>
          <w:p w14:paraId="447B7C4E" w14:textId="77777777" w:rsidR="00CB7716" w:rsidRPr="00373F1A" w:rsidRDefault="00CB7716" w:rsidP="00CB7716">
            <w:pPr>
              <w:spacing w:after="85"/>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Cs/>
                <w:color w:val="000000"/>
                <w:lang w:eastAsia="en-GB"/>
              </w:rPr>
            </w:pPr>
            <w:r w:rsidRPr="00373F1A">
              <w:rPr>
                <w:rFonts w:ascii="Calibri" w:eastAsia="Times New Roman" w:hAnsi="Calibri" w:cs="Calibri"/>
                <w:bCs/>
                <w:color w:val="000000"/>
                <w:lang w:eastAsia="en-GB"/>
              </w:rPr>
              <w:t>0.00</w:t>
            </w:r>
          </w:p>
        </w:tc>
        <w:tc>
          <w:tcPr>
            <w:tcW w:w="1600" w:type="dxa"/>
            <w:noWrap/>
            <w:hideMark/>
          </w:tcPr>
          <w:p w14:paraId="505C9AE5" w14:textId="77777777" w:rsidR="00CB7716" w:rsidRPr="00373F1A" w:rsidRDefault="00CB7716" w:rsidP="00CB7716">
            <w:pPr>
              <w:spacing w:after="85"/>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Cs/>
                <w:color w:val="000000"/>
                <w:lang w:eastAsia="en-GB"/>
              </w:rPr>
            </w:pPr>
            <w:r w:rsidRPr="00373F1A">
              <w:rPr>
                <w:rFonts w:ascii="Calibri" w:eastAsia="Times New Roman" w:hAnsi="Calibri" w:cs="Calibri"/>
                <w:bCs/>
                <w:color w:val="000000"/>
                <w:lang w:eastAsia="en-GB"/>
              </w:rPr>
              <w:t>0.00</w:t>
            </w:r>
          </w:p>
        </w:tc>
        <w:tc>
          <w:tcPr>
            <w:tcW w:w="1600" w:type="dxa"/>
            <w:noWrap/>
            <w:hideMark/>
          </w:tcPr>
          <w:p w14:paraId="0BAF25E0" w14:textId="77777777" w:rsidR="00CB7716" w:rsidRPr="00373F1A" w:rsidRDefault="00CB7716" w:rsidP="00CB7716">
            <w:pPr>
              <w:spacing w:after="85"/>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Cs/>
                <w:color w:val="000000"/>
                <w:lang w:eastAsia="en-GB"/>
              </w:rPr>
            </w:pPr>
            <w:r w:rsidRPr="00373F1A">
              <w:rPr>
                <w:rFonts w:ascii="Calibri" w:eastAsia="Times New Roman" w:hAnsi="Calibri" w:cs="Calibri"/>
                <w:bCs/>
                <w:color w:val="000000"/>
                <w:lang w:eastAsia="en-GB"/>
              </w:rPr>
              <w:t>0.00</w:t>
            </w:r>
          </w:p>
        </w:tc>
      </w:tr>
    </w:tbl>
    <w:p w14:paraId="2DE00D86" w14:textId="77777777" w:rsidR="0025246D" w:rsidRDefault="0025246D" w:rsidP="0025246D">
      <w:bookmarkStart w:id="162" w:name="_Toc107412718"/>
    </w:p>
    <w:p w14:paraId="702E0F40" w14:textId="5A0C8891" w:rsidR="00CB7716" w:rsidRPr="0025246D" w:rsidRDefault="00CB7716" w:rsidP="0025246D">
      <w:pPr>
        <w:pStyle w:val="Heading4"/>
        <w:numPr>
          <w:ilvl w:val="0"/>
          <w:numId w:val="0"/>
        </w:numPr>
        <w:ind w:left="864" w:hanging="864"/>
      </w:pPr>
      <w:r w:rsidRPr="0025246D">
        <w:t>Food handler training</w:t>
      </w:r>
      <w:bookmarkEnd w:id="162"/>
      <w:r w:rsidRPr="0025246D">
        <w:t xml:space="preserve"> </w:t>
      </w:r>
    </w:p>
    <w:p w14:paraId="320C04AF" w14:textId="77777777" w:rsidR="00CB7716" w:rsidRPr="00373F1A" w:rsidRDefault="00CB7716" w:rsidP="0000604C">
      <w:pPr>
        <w:spacing w:after="240"/>
        <w:rPr>
          <w:lang w:eastAsia="en-AU"/>
        </w:rPr>
      </w:pPr>
      <w:r w:rsidRPr="00373F1A">
        <w:rPr>
          <w:lang w:eastAsia="en-AU"/>
        </w:rPr>
        <w:t xml:space="preserve">Implementing this tool involves all food handler staff within a food business </w:t>
      </w:r>
      <w:r>
        <w:rPr>
          <w:lang w:eastAsia="en-AU"/>
        </w:rPr>
        <w:t>completing</w:t>
      </w:r>
      <w:r w:rsidRPr="00373F1A">
        <w:rPr>
          <w:lang w:eastAsia="en-AU"/>
        </w:rPr>
        <w:t xml:space="preserve"> food safety training once. Food safety training is expected to take approximately an hour and a half to complete. Training packages are freely available on the internet through food regulatory agencies and are provided in multiple languages.</w:t>
      </w:r>
    </w:p>
    <w:p w14:paraId="121C7FEC" w14:textId="3079E17C" w:rsidR="00CB7716" w:rsidRPr="00373F1A" w:rsidRDefault="00CB7716" w:rsidP="0000604C">
      <w:pPr>
        <w:spacing w:after="240"/>
        <w:rPr>
          <w:lang w:eastAsia="en-AU"/>
        </w:rPr>
      </w:pPr>
      <w:r w:rsidRPr="00373F1A">
        <w:rPr>
          <w:lang w:eastAsia="en-AU"/>
        </w:rPr>
        <w:t xml:space="preserve">There is currently no regulatory requirement for mandatory food handler training in any Australian jurisdiction. However, several jurisdictions promote the free training available. </w:t>
      </w:r>
    </w:p>
    <w:p w14:paraId="6A644C1C" w14:textId="77777777" w:rsidR="00CB7716" w:rsidRPr="00373F1A" w:rsidRDefault="00CB7716" w:rsidP="0000604C">
      <w:pPr>
        <w:spacing w:after="240"/>
        <w:rPr>
          <w:lang w:eastAsia="en-AU"/>
        </w:rPr>
      </w:pPr>
      <w:r w:rsidRPr="68C0CA2D">
        <w:rPr>
          <w:lang w:eastAsia="en-AU"/>
        </w:rPr>
        <w:t xml:space="preserve">The status quo assumes that there are varying degrees in the uptake by food handlers of this free training. For the purposes of costing this intervention, FSANZ assumed between 0–20% </w:t>
      </w:r>
      <w:proofErr w:type="gramStart"/>
      <w:r w:rsidRPr="68C0CA2D">
        <w:rPr>
          <w:lang w:eastAsia="en-AU"/>
        </w:rPr>
        <w:t>uptake</w:t>
      </w:r>
      <w:proofErr w:type="gramEnd"/>
      <w:r w:rsidRPr="68C0CA2D">
        <w:rPr>
          <w:lang w:eastAsia="en-AU"/>
        </w:rPr>
        <w:t>. Businesses incurring the highest costs will also incur the highest benefits with upfront implementation of this tool.</w:t>
      </w:r>
    </w:p>
    <w:p w14:paraId="45155C65" w14:textId="2AB9C7E2" w:rsidR="00CB7716" w:rsidRPr="0000604C" w:rsidRDefault="00CB7716" w:rsidP="0000604C">
      <w:pPr>
        <w:rPr>
          <w:lang w:eastAsia="en-AU"/>
        </w:rPr>
      </w:pPr>
      <w:r w:rsidRPr="00373F1A">
        <w:rPr>
          <w:lang w:eastAsia="en-AU"/>
        </w:rPr>
        <w:t>The Allen Consulting Group’s</w:t>
      </w:r>
      <w:r w:rsidRPr="00373F1A">
        <w:rPr>
          <w:vertAlign w:val="superscript"/>
          <w:lang w:eastAsia="en-AU"/>
        </w:rPr>
        <w:t xml:space="preserve"> </w:t>
      </w:r>
      <w:r w:rsidRPr="00373F1A">
        <w:rPr>
          <w:lang w:eastAsia="en-AU"/>
        </w:rPr>
        <w:t xml:space="preserve">report </w:t>
      </w:r>
      <w:sdt>
        <w:sdtPr>
          <w:rPr>
            <w:lang w:eastAsia="en-AU"/>
          </w:rPr>
          <w:id w:val="-762833934"/>
          <w:lock w:val="contentLocked"/>
          <w:placeholder>
            <w:docPart w:val="658E0A4F0F7E48508E0065074B3466B1"/>
          </w:placeholder>
          <w:citation/>
        </w:sdtPr>
        <w:sdtEndPr/>
        <w:sdtContent>
          <w:r w:rsidRPr="00373F1A">
            <w:rPr>
              <w:lang w:eastAsia="en-AU"/>
            </w:rPr>
            <w:fldChar w:fldCharType="begin"/>
          </w:r>
          <w:r w:rsidRPr="00373F1A">
            <w:rPr>
              <w:lang w:val="en-AU" w:eastAsia="en-AU"/>
            </w:rPr>
            <w:instrText xml:space="preserve">CITATION The02 \n  \t  \l 3081 </w:instrText>
          </w:r>
          <w:r w:rsidRPr="00373F1A">
            <w:rPr>
              <w:lang w:eastAsia="en-AU"/>
            </w:rPr>
            <w:fldChar w:fldCharType="separate"/>
          </w:r>
          <w:r>
            <w:rPr>
              <w:noProof/>
              <w:lang w:val="en-AU" w:eastAsia="en-AU"/>
            </w:rPr>
            <w:t>(2002)</w:t>
          </w:r>
          <w:r w:rsidRPr="00373F1A">
            <w:rPr>
              <w:lang w:eastAsia="en-AU"/>
            </w:rPr>
            <w:fldChar w:fldCharType="end"/>
          </w:r>
        </w:sdtContent>
      </w:sdt>
      <w:r w:rsidRPr="00373F1A">
        <w:rPr>
          <w:lang w:eastAsia="en-AU"/>
        </w:rPr>
        <w:t xml:space="preserve"> estimated that there were, on average, eight food handler staff in food service businesses and four in food reta</w:t>
      </w:r>
      <w:r w:rsidR="00F72B9F">
        <w:rPr>
          <w:lang w:eastAsia="en-AU"/>
        </w:rPr>
        <w:t xml:space="preserve">il businesses across Australia. </w:t>
      </w:r>
      <w:r>
        <w:rPr>
          <w:lang w:eastAsia="en-AU"/>
        </w:rPr>
        <w:t>T</w:t>
      </w:r>
      <w:r w:rsidRPr="00373F1A">
        <w:rPr>
          <w:lang w:eastAsia="en-AU"/>
        </w:rPr>
        <w:t xml:space="preserve">o simplify the assumptions for the costing of this scenario, </w:t>
      </w:r>
      <w:r>
        <w:rPr>
          <w:lang w:eastAsia="en-AU"/>
        </w:rPr>
        <w:t>we</w:t>
      </w:r>
      <w:r w:rsidRPr="00373F1A">
        <w:rPr>
          <w:lang w:eastAsia="en-AU"/>
        </w:rPr>
        <w:t xml:space="preserve"> assumed that on average there are six food handling staff for each food business. It </w:t>
      </w:r>
      <w:r>
        <w:rPr>
          <w:lang w:eastAsia="en-AU"/>
        </w:rPr>
        <w:t>wa</w:t>
      </w:r>
      <w:r w:rsidRPr="00373F1A">
        <w:rPr>
          <w:lang w:eastAsia="en-AU"/>
        </w:rPr>
        <w:t>s assumed that one of th</w:t>
      </w:r>
      <w:r>
        <w:rPr>
          <w:lang w:eastAsia="en-AU"/>
        </w:rPr>
        <w:t>ese food handlers will be an FSS; so</w:t>
      </w:r>
      <w:r w:rsidRPr="00373F1A">
        <w:rPr>
          <w:lang w:eastAsia="en-AU"/>
        </w:rPr>
        <w:t xml:space="preserve"> </w:t>
      </w:r>
      <w:r>
        <w:rPr>
          <w:lang w:eastAsia="en-AU"/>
        </w:rPr>
        <w:t xml:space="preserve">was </w:t>
      </w:r>
      <w:r w:rsidRPr="00373F1A">
        <w:rPr>
          <w:lang w:eastAsia="en-AU"/>
        </w:rPr>
        <w:t xml:space="preserve">excluded from the FHT </w:t>
      </w:r>
      <w:r w:rsidR="0000604C">
        <w:rPr>
          <w:lang w:eastAsia="en-AU"/>
        </w:rPr>
        <w:t xml:space="preserve">costings. </w:t>
      </w:r>
      <w:r>
        <w:rPr>
          <w:lang w:eastAsia="en-AU"/>
        </w:rPr>
        <w:t>The v</w:t>
      </w:r>
      <w:r w:rsidRPr="00373F1A">
        <w:rPr>
          <w:lang w:eastAsia="en-AU"/>
        </w:rPr>
        <w:t>arious assumptions used to calculate cost of implementing the FHT tool fo</w:t>
      </w:r>
      <w:r>
        <w:rPr>
          <w:lang w:eastAsia="en-AU"/>
        </w:rPr>
        <w:t>r businesses are shown in Table 3</w:t>
      </w:r>
      <w:r w:rsidRPr="00373F1A">
        <w:rPr>
          <w:lang w:eastAsia="en-AU"/>
        </w:rPr>
        <w:t>.</w:t>
      </w:r>
    </w:p>
    <w:p w14:paraId="5F866156" w14:textId="2ACC8552" w:rsidR="00CB7716" w:rsidRPr="008F342F" w:rsidRDefault="00CB7716" w:rsidP="00CB7716">
      <w:pPr>
        <w:pStyle w:val="FSTableFigureHeading"/>
        <w:rPr>
          <w:sz w:val="20"/>
        </w:rPr>
      </w:pPr>
      <w:r w:rsidRPr="008F342F">
        <w:rPr>
          <w:sz w:val="20"/>
        </w:rPr>
        <w:t xml:space="preserve">Table </w:t>
      </w:r>
      <w:r>
        <w:rPr>
          <w:sz w:val="20"/>
        </w:rPr>
        <w:t>3</w:t>
      </w:r>
      <w:r w:rsidRPr="008F342F">
        <w:rPr>
          <w:sz w:val="20"/>
        </w:rPr>
        <w:t>: Assumptions used to calculate cost of implementing the FHT tool for food businesses</w:t>
      </w:r>
    </w:p>
    <w:tbl>
      <w:tblPr>
        <w:tblW w:w="5000" w:type="pct"/>
        <w:tblLook w:val="04A0" w:firstRow="1" w:lastRow="0" w:firstColumn="1" w:lastColumn="0" w:noHBand="0" w:noVBand="1"/>
      </w:tblPr>
      <w:tblGrid>
        <w:gridCol w:w="5360"/>
        <w:gridCol w:w="3700"/>
      </w:tblGrid>
      <w:tr w:rsidR="00CB7716" w:rsidRPr="00373F1A" w14:paraId="5C995226" w14:textId="77777777" w:rsidTr="00CB7716">
        <w:trPr>
          <w:trHeight w:val="345"/>
          <w:tblHeader/>
        </w:trPr>
        <w:tc>
          <w:tcPr>
            <w:tcW w:w="5000" w:type="pct"/>
            <w:gridSpan w:val="2"/>
            <w:tcBorders>
              <w:top w:val="single" w:sz="4" w:space="0" w:color="FFFFFF"/>
              <w:left w:val="single" w:sz="4" w:space="0" w:color="000000"/>
              <w:bottom w:val="single" w:sz="4" w:space="0" w:color="000000"/>
              <w:right w:val="single" w:sz="4" w:space="0" w:color="000000"/>
            </w:tcBorders>
            <w:shd w:val="clear" w:color="000000" w:fill="003300"/>
            <w:hideMark/>
          </w:tcPr>
          <w:p w14:paraId="4151077E" w14:textId="77777777" w:rsidR="00CB7716" w:rsidRPr="00373F1A" w:rsidRDefault="00CB7716" w:rsidP="00CB7716">
            <w:pPr>
              <w:keepLines/>
              <w:jc w:val="center"/>
              <w:rPr>
                <w:rFonts w:ascii="Calibri" w:hAnsi="Calibri"/>
                <w:b/>
                <w:bCs/>
                <w:color w:val="F2F2F2"/>
                <w:sz w:val="26"/>
                <w:szCs w:val="26"/>
                <w:lang w:eastAsia="en-GB"/>
              </w:rPr>
            </w:pPr>
            <w:r w:rsidRPr="00373F1A">
              <w:rPr>
                <w:rFonts w:ascii="Calibri" w:hAnsi="Calibri"/>
                <w:b/>
                <w:bCs/>
                <w:color w:val="F2F2F2"/>
                <w:sz w:val="26"/>
                <w:szCs w:val="26"/>
                <w:lang w:eastAsia="en-GB"/>
              </w:rPr>
              <w:t xml:space="preserve">FHT costs and assumptions – implementation </w:t>
            </w:r>
          </w:p>
        </w:tc>
      </w:tr>
      <w:tr w:rsidR="00CB7716" w:rsidRPr="00373F1A" w14:paraId="6FA583E4" w14:textId="77777777" w:rsidTr="00CB7716">
        <w:trPr>
          <w:trHeight w:val="274"/>
          <w:tblHeader/>
        </w:trPr>
        <w:tc>
          <w:tcPr>
            <w:tcW w:w="2958" w:type="pct"/>
            <w:tcBorders>
              <w:top w:val="nil"/>
              <w:left w:val="single" w:sz="4" w:space="0" w:color="000000"/>
              <w:bottom w:val="single" w:sz="4" w:space="0" w:color="000000"/>
              <w:right w:val="single" w:sz="4" w:space="0" w:color="000000"/>
            </w:tcBorders>
            <w:shd w:val="clear" w:color="000000" w:fill="EDEDED"/>
            <w:hideMark/>
          </w:tcPr>
          <w:p w14:paraId="00F172CC" w14:textId="77777777" w:rsidR="00CB7716" w:rsidRPr="00373F1A" w:rsidRDefault="00CB7716" w:rsidP="00CB7716">
            <w:pPr>
              <w:keepLines/>
              <w:rPr>
                <w:rFonts w:ascii="Calibri" w:hAnsi="Calibri"/>
                <w:color w:val="000000"/>
                <w:lang w:eastAsia="en-GB"/>
              </w:rPr>
            </w:pPr>
            <w:r w:rsidRPr="00373F1A">
              <w:rPr>
                <w:rFonts w:ascii="Calibri" w:hAnsi="Calibri"/>
                <w:color w:val="000000"/>
                <w:lang w:eastAsia="en-GB"/>
              </w:rPr>
              <w:t>Food handler wage</w:t>
            </w:r>
          </w:p>
        </w:tc>
        <w:tc>
          <w:tcPr>
            <w:tcW w:w="2042" w:type="pct"/>
            <w:tcBorders>
              <w:top w:val="nil"/>
              <w:left w:val="nil"/>
              <w:bottom w:val="single" w:sz="4" w:space="0" w:color="000000"/>
              <w:right w:val="single" w:sz="4" w:space="0" w:color="000000"/>
            </w:tcBorders>
            <w:shd w:val="clear" w:color="000000" w:fill="EDEDED"/>
            <w:noWrap/>
            <w:hideMark/>
          </w:tcPr>
          <w:p w14:paraId="49CD9A4E" w14:textId="77777777" w:rsidR="00CB7716" w:rsidRPr="00373F1A" w:rsidRDefault="00CB7716" w:rsidP="00CB7716">
            <w:pPr>
              <w:keepLines/>
              <w:jc w:val="center"/>
              <w:rPr>
                <w:rFonts w:ascii="Calibri" w:hAnsi="Calibri"/>
                <w:color w:val="000000"/>
                <w:lang w:eastAsia="en-GB"/>
              </w:rPr>
            </w:pPr>
            <w:r w:rsidRPr="00373F1A">
              <w:rPr>
                <w:rFonts w:ascii="Calibri" w:hAnsi="Calibri"/>
                <w:color w:val="000000"/>
                <w:lang w:eastAsia="en-GB"/>
              </w:rPr>
              <w:t>$23 p/h (from award)</w:t>
            </w:r>
          </w:p>
        </w:tc>
      </w:tr>
      <w:tr w:rsidR="00CB7716" w:rsidRPr="00373F1A" w14:paraId="7E521E60" w14:textId="77777777" w:rsidTr="00CB7716">
        <w:trPr>
          <w:trHeight w:val="268"/>
          <w:tblHeader/>
        </w:trPr>
        <w:tc>
          <w:tcPr>
            <w:tcW w:w="2958" w:type="pct"/>
            <w:tcBorders>
              <w:top w:val="nil"/>
              <w:left w:val="single" w:sz="4" w:space="0" w:color="000000"/>
              <w:bottom w:val="single" w:sz="4" w:space="0" w:color="000000"/>
              <w:right w:val="single" w:sz="4" w:space="0" w:color="000000"/>
            </w:tcBorders>
            <w:shd w:val="clear" w:color="000000" w:fill="EDEDED"/>
            <w:hideMark/>
          </w:tcPr>
          <w:p w14:paraId="3BC1BA2A" w14:textId="77777777" w:rsidR="00CB7716" w:rsidRPr="00373F1A" w:rsidRDefault="00CB7716" w:rsidP="00CB7716">
            <w:pPr>
              <w:keepLines/>
              <w:rPr>
                <w:rFonts w:ascii="Calibri" w:hAnsi="Calibri"/>
                <w:color w:val="000000"/>
                <w:lang w:eastAsia="en-GB"/>
              </w:rPr>
            </w:pPr>
            <w:r w:rsidRPr="00373F1A">
              <w:rPr>
                <w:rFonts w:ascii="Calibri" w:hAnsi="Calibri"/>
                <w:color w:val="000000"/>
                <w:lang w:eastAsia="en-GB"/>
              </w:rPr>
              <w:t>Wage on costs</w:t>
            </w:r>
          </w:p>
        </w:tc>
        <w:tc>
          <w:tcPr>
            <w:tcW w:w="2042" w:type="pct"/>
            <w:tcBorders>
              <w:top w:val="nil"/>
              <w:left w:val="nil"/>
              <w:bottom w:val="single" w:sz="4" w:space="0" w:color="000000"/>
              <w:right w:val="single" w:sz="4" w:space="0" w:color="000000"/>
            </w:tcBorders>
            <w:shd w:val="clear" w:color="000000" w:fill="EDEDED"/>
            <w:noWrap/>
            <w:hideMark/>
          </w:tcPr>
          <w:p w14:paraId="120FAC4F" w14:textId="77777777" w:rsidR="00CB7716" w:rsidRPr="00373F1A" w:rsidRDefault="00CB7716" w:rsidP="00CB7716">
            <w:pPr>
              <w:keepLines/>
              <w:jc w:val="center"/>
              <w:rPr>
                <w:rFonts w:ascii="Calibri" w:hAnsi="Calibri"/>
                <w:color w:val="000000"/>
                <w:lang w:eastAsia="en-GB"/>
              </w:rPr>
            </w:pPr>
            <w:r>
              <w:rPr>
                <w:rFonts w:ascii="Calibri" w:hAnsi="Calibri"/>
                <w:color w:val="000000"/>
                <w:lang w:eastAsia="en-GB"/>
              </w:rPr>
              <w:t>30</w:t>
            </w:r>
            <w:r w:rsidRPr="00373F1A">
              <w:rPr>
                <w:rFonts w:ascii="Calibri" w:hAnsi="Calibri"/>
                <w:color w:val="000000"/>
                <w:lang w:eastAsia="en-GB"/>
              </w:rPr>
              <w:t>%</w:t>
            </w:r>
          </w:p>
        </w:tc>
      </w:tr>
      <w:tr w:rsidR="00CB7716" w:rsidRPr="00373F1A" w14:paraId="3EFD93D8" w14:textId="77777777" w:rsidTr="00CB7716">
        <w:trPr>
          <w:trHeight w:val="272"/>
          <w:tblHeader/>
        </w:trPr>
        <w:tc>
          <w:tcPr>
            <w:tcW w:w="2958" w:type="pct"/>
            <w:tcBorders>
              <w:top w:val="single" w:sz="4" w:space="0" w:color="000000"/>
              <w:left w:val="single" w:sz="4" w:space="0" w:color="000000"/>
              <w:bottom w:val="single" w:sz="4" w:space="0" w:color="000000"/>
              <w:right w:val="single" w:sz="4" w:space="0" w:color="000000"/>
            </w:tcBorders>
            <w:shd w:val="clear" w:color="000000" w:fill="EDEDED"/>
          </w:tcPr>
          <w:p w14:paraId="2F643440" w14:textId="77777777" w:rsidR="00CB7716" w:rsidRPr="00373F1A" w:rsidRDefault="00CB7716" w:rsidP="00CB7716">
            <w:pPr>
              <w:keepLines/>
              <w:rPr>
                <w:rFonts w:ascii="Calibri" w:hAnsi="Calibri"/>
                <w:color w:val="000000"/>
                <w:lang w:eastAsia="en-GB"/>
              </w:rPr>
            </w:pPr>
            <w:r w:rsidRPr="00373F1A">
              <w:rPr>
                <w:rFonts w:ascii="Calibri" w:hAnsi="Calibri"/>
                <w:color w:val="000000"/>
                <w:lang w:eastAsia="en-GB"/>
              </w:rPr>
              <w:t>Number of food handler</w:t>
            </w:r>
            <w:r>
              <w:rPr>
                <w:rFonts w:ascii="Calibri" w:hAnsi="Calibri"/>
                <w:color w:val="000000"/>
                <w:lang w:eastAsia="en-GB"/>
              </w:rPr>
              <w:t>s</w:t>
            </w:r>
            <w:r w:rsidRPr="00373F1A">
              <w:rPr>
                <w:rFonts w:ascii="Calibri" w:hAnsi="Calibri"/>
                <w:color w:val="000000"/>
                <w:lang w:eastAsia="en-GB"/>
              </w:rPr>
              <w:t xml:space="preserve"> </w:t>
            </w:r>
          </w:p>
        </w:tc>
        <w:tc>
          <w:tcPr>
            <w:tcW w:w="2042" w:type="pct"/>
            <w:tcBorders>
              <w:top w:val="nil"/>
              <w:left w:val="nil"/>
              <w:bottom w:val="single" w:sz="4" w:space="0" w:color="000000"/>
              <w:right w:val="single" w:sz="4" w:space="0" w:color="000000"/>
            </w:tcBorders>
            <w:shd w:val="clear" w:color="000000" w:fill="EDEDED"/>
            <w:noWrap/>
          </w:tcPr>
          <w:p w14:paraId="323539F7" w14:textId="77777777" w:rsidR="00CB7716" w:rsidRPr="00373F1A" w:rsidRDefault="00CB7716" w:rsidP="00CB7716">
            <w:pPr>
              <w:keepLines/>
              <w:jc w:val="center"/>
              <w:rPr>
                <w:rFonts w:ascii="Calibri" w:hAnsi="Calibri"/>
                <w:color w:val="000000"/>
                <w:lang w:eastAsia="en-GB"/>
              </w:rPr>
            </w:pPr>
            <w:r w:rsidRPr="00373F1A">
              <w:rPr>
                <w:rFonts w:ascii="Calibri" w:hAnsi="Calibri"/>
                <w:color w:val="000000"/>
                <w:lang w:eastAsia="en-GB"/>
              </w:rPr>
              <w:t>5 people</w:t>
            </w:r>
          </w:p>
        </w:tc>
      </w:tr>
      <w:tr w:rsidR="00CB7716" w:rsidRPr="00373F1A" w14:paraId="0A0A7BE7" w14:textId="77777777" w:rsidTr="00CB7716">
        <w:trPr>
          <w:trHeight w:val="300"/>
          <w:tblHeader/>
        </w:trPr>
        <w:tc>
          <w:tcPr>
            <w:tcW w:w="2958" w:type="pct"/>
            <w:tcBorders>
              <w:top w:val="single" w:sz="4" w:space="0" w:color="000000"/>
              <w:left w:val="single" w:sz="4" w:space="0" w:color="000000"/>
              <w:bottom w:val="single" w:sz="4" w:space="0" w:color="000000"/>
              <w:right w:val="single" w:sz="4" w:space="0" w:color="000000"/>
            </w:tcBorders>
            <w:shd w:val="clear" w:color="000000" w:fill="EDEDED"/>
            <w:hideMark/>
          </w:tcPr>
          <w:p w14:paraId="211D9A84" w14:textId="77777777" w:rsidR="00CB7716" w:rsidRPr="00373F1A" w:rsidRDefault="00CB7716" w:rsidP="00CB7716">
            <w:pPr>
              <w:keepLines/>
              <w:rPr>
                <w:rFonts w:ascii="Calibri" w:hAnsi="Calibri"/>
                <w:color w:val="000000"/>
                <w:lang w:eastAsia="en-GB"/>
              </w:rPr>
            </w:pPr>
            <w:r w:rsidRPr="00373F1A">
              <w:rPr>
                <w:rFonts w:ascii="Calibri" w:hAnsi="Calibri"/>
                <w:color w:val="000000"/>
                <w:lang w:eastAsia="en-GB"/>
              </w:rPr>
              <w:t>Food handler training time</w:t>
            </w:r>
          </w:p>
        </w:tc>
        <w:tc>
          <w:tcPr>
            <w:tcW w:w="2042" w:type="pct"/>
            <w:tcBorders>
              <w:top w:val="nil"/>
              <w:left w:val="nil"/>
              <w:bottom w:val="single" w:sz="4" w:space="0" w:color="000000"/>
              <w:right w:val="single" w:sz="4" w:space="0" w:color="000000"/>
            </w:tcBorders>
            <w:shd w:val="clear" w:color="000000" w:fill="EDEDED"/>
            <w:noWrap/>
            <w:hideMark/>
          </w:tcPr>
          <w:p w14:paraId="07BD73A7" w14:textId="77777777" w:rsidR="00CB7716" w:rsidRPr="00373F1A" w:rsidRDefault="00CB7716" w:rsidP="00CB7716">
            <w:pPr>
              <w:keepLines/>
              <w:jc w:val="center"/>
              <w:rPr>
                <w:rFonts w:ascii="Calibri" w:hAnsi="Calibri"/>
                <w:color w:val="000000"/>
                <w:lang w:eastAsia="en-GB"/>
              </w:rPr>
            </w:pPr>
            <w:r w:rsidRPr="00373F1A">
              <w:rPr>
                <w:rFonts w:ascii="Calibri" w:hAnsi="Calibri"/>
                <w:color w:val="000000"/>
                <w:lang w:eastAsia="en-GB"/>
              </w:rPr>
              <w:t>1.5 hours</w:t>
            </w:r>
          </w:p>
        </w:tc>
      </w:tr>
      <w:tr w:rsidR="00CB7716" w:rsidRPr="00373F1A" w14:paraId="03E7BB22" w14:textId="77777777" w:rsidTr="00CB7716">
        <w:trPr>
          <w:trHeight w:val="255"/>
          <w:tblHeader/>
        </w:trPr>
        <w:tc>
          <w:tcPr>
            <w:tcW w:w="2958" w:type="pct"/>
            <w:tcBorders>
              <w:top w:val="nil"/>
              <w:left w:val="single" w:sz="4" w:space="0" w:color="000000"/>
              <w:bottom w:val="single" w:sz="4" w:space="0" w:color="000000"/>
              <w:right w:val="single" w:sz="4" w:space="0" w:color="000000"/>
            </w:tcBorders>
            <w:shd w:val="clear" w:color="000000" w:fill="EDEDED"/>
            <w:hideMark/>
          </w:tcPr>
          <w:p w14:paraId="4F40032A" w14:textId="77777777" w:rsidR="00CB7716" w:rsidRPr="00373F1A" w:rsidRDefault="00CB7716" w:rsidP="00CB7716">
            <w:pPr>
              <w:keepLines/>
              <w:rPr>
                <w:rFonts w:ascii="Calibri" w:hAnsi="Calibri"/>
                <w:color w:val="000000"/>
                <w:lang w:eastAsia="en-GB"/>
              </w:rPr>
            </w:pPr>
            <w:r w:rsidRPr="00373F1A">
              <w:rPr>
                <w:rFonts w:ascii="Calibri" w:hAnsi="Calibri"/>
                <w:color w:val="000000"/>
                <w:lang w:eastAsia="en-GB"/>
              </w:rPr>
              <w:t>Food handler leakage</w:t>
            </w:r>
          </w:p>
        </w:tc>
        <w:tc>
          <w:tcPr>
            <w:tcW w:w="2042" w:type="pct"/>
            <w:tcBorders>
              <w:top w:val="nil"/>
              <w:left w:val="nil"/>
              <w:bottom w:val="single" w:sz="4" w:space="0" w:color="000000"/>
              <w:right w:val="single" w:sz="4" w:space="0" w:color="000000"/>
            </w:tcBorders>
            <w:shd w:val="clear" w:color="000000" w:fill="EDEDED"/>
            <w:noWrap/>
            <w:hideMark/>
          </w:tcPr>
          <w:p w14:paraId="65C64F94" w14:textId="77777777" w:rsidR="00CB7716" w:rsidRPr="00373F1A" w:rsidRDefault="00CB7716" w:rsidP="00CB7716">
            <w:pPr>
              <w:keepLines/>
              <w:jc w:val="center"/>
              <w:rPr>
                <w:rFonts w:ascii="Calibri" w:hAnsi="Calibri"/>
                <w:color w:val="000000"/>
                <w:lang w:eastAsia="en-GB"/>
              </w:rPr>
            </w:pPr>
            <w:r w:rsidRPr="00373F1A">
              <w:rPr>
                <w:rFonts w:ascii="Calibri" w:hAnsi="Calibri"/>
                <w:color w:val="000000"/>
                <w:lang w:eastAsia="en-GB"/>
              </w:rPr>
              <w:t>40%</w:t>
            </w:r>
          </w:p>
        </w:tc>
      </w:tr>
    </w:tbl>
    <w:p w14:paraId="6C02BD13" w14:textId="77777777" w:rsidR="00CB7716" w:rsidRPr="00373F1A" w:rsidRDefault="00CB7716" w:rsidP="00CB7716">
      <w:pPr>
        <w:rPr>
          <w:highlight w:val="yellow"/>
          <w:lang w:eastAsia="en-AU"/>
        </w:rPr>
      </w:pPr>
    </w:p>
    <w:p w14:paraId="401C64CF" w14:textId="77777777" w:rsidR="00CB7716" w:rsidRDefault="00CB7716" w:rsidP="0000604C">
      <w:pPr>
        <w:spacing w:after="240"/>
        <w:rPr>
          <w:lang w:eastAsia="en-AU"/>
        </w:rPr>
      </w:pPr>
      <w:r w:rsidRPr="001B6656">
        <w:rPr>
          <w:lang w:eastAsia="en-AU"/>
        </w:rPr>
        <w:t xml:space="preserve">FSANZ used the assumptions from Table 3 to produce cost estimates for implementing the FHT tool. </w:t>
      </w:r>
      <w:r>
        <w:rPr>
          <w:lang w:eastAsia="en-AU"/>
        </w:rPr>
        <w:t xml:space="preserve">However, businesses have already been encouraged to undertake this training voluntarily in a number of jurisdictions. Three different scenarios </w:t>
      </w:r>
      <w:r w:rsidRPr="48861835">
        <w:rPr>
          <w:lang w:eastAsia="en-AU"/>
        </w:rPr>
        <w:t xml:space="preserve">were </w:t>
      </w:r>
      <w:r>
        <w:rPr>
          <w:lang w:eastAsia="en-AU"/>
        </w:rPr>
        <w:t xml:space="preserve">developed to reflect potential voluntary uptake of this training. </w:t>
      </w:r>
      <w:r w:rsidRPr="001B6656">
        <w:rPr>
          <w:lang w:eastAsia="en-AU"/>
        </w:rPr>
        <w:t xml:space="preserve">These estimates are provided in Table 4 and </w:t>
      </w:r>
      <w:r>
        <w:rPr>
          <w:lang w:eastAsia="en-AU"/>
        </w:rPr>
        <w:t xml:space="preserve">were </w:t>
      </w:r>
      <w:r w:rsidRPr="001B6656">
        <w:rPr>
          <w:lang w:eastAsia="en-AU"/>
        </w:rPr>
        <w:t>used in the regulatory analysis of the intervention.</w:t>
      </w:r>
    </w:p>
    <w:p w14:paraId="1C542A0D" w14:textId="77777777" w:rsidR="00CB7716" w:rsidRPr="008F342F" w:rsidRDefault="00CB7716" w:rsidP="00CB7716">
      <w:pPr>
        <w:pStyle w:val="FSTableFigureHeading"/>
        <w:rPr>
          <w:sz w:val="20"/>
        </w:rPr>
      </w:pPr>
      <w:r w:rsidRPr="008F342F">
        <w:rPr>
          <w:sz w:val="20"/>
        </w:rPr>
        <w:t xml:space="preserve"> Table </w:t>
      </w:r>
      <w:r>
        <w:rPr>
          <w:sz w:val="20"/>
        </w:rPr>
        <w:t>4</w:t>
      </w:r>
      <w:r w:rsidRPr="008F342F">
        <w:rPr>
          <w:sz w:val="20"/>
        </w:rPr>
        <w:t xml:space="preserve">: FSANZ cost estimates of implementing the FHT </w:t>
      </w:r>
      <w:r>
        <w:rPr>
          <w:sz w:val="20"/>
        </w:rPr>
        <w:t>tool,</w:t>
      </w:r>
      <w:r w:rsidRPr="008F342F">
        <w:rPr>
          <w:sz w:val="20"/>
        </w:rPr>
        <w:t xml:space="preserve"> both upfront and ongoing</w:t>
      </w:r>
    </w:p>
    <w:tbl>
      <w:tblPr>
        <w:tblStyle w:val="GridTable4-Accent6"/>
        <w:tblW w:w="9067" w:type="dxa"/>
        <w:tblLook w:val="04A0" w:firstRow="1" w:lastRow="0" w:firstColumn="1" w:lastColumn="0" w:noHBand="0" w:noVBand="1"/>
      </w:tblPr>
      <w:tblGrid>
        <w:gridCol w:w="3539"/>
        <w:gridCol w:w="2410"/>
        <w:gridCol w:w="3118"/>
      </w:tblGrid>
      <w:tr w:rsidR="00CB7716" w:rsidRPr="001B6656" w14:paraId="5C760B95" w14:textId="77777777" w:rsidTr="00DE0E16">
        <w:trPr>
          <w:cnfStyle w:val="100000000000" w:firstRow="1" w:lastRow="0" w:firstColumn="0" w:lastColumn="0" w:oddVBand="0" w:evenVBand="0" w:oddHBand="0"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539" w:type="dxa"/>
            <w:noWrap/>
            <w:hideMark/>
          </w:tcPr>
          <w:p w14:paraId="63DDE7D2" w14:textId="77777777" w:rsidR="00CB7716" w:rsidRPr="001B6656" w:rsidRDefault="00CB7716" w:rsidP="00CB7716">
            <w:pPr>
              <w:jc w:val="center"/>
              <w:rPr>
                <w:rFonts w:ascii="Calibri" w:eastAsia="Times New Roman" w:hAnsi="Calibri" w:cs="Calibri"/>
                <w:color w:val="000000"/>
                <w:lang w:eastAsia="en-GB"/>
              </w:rPr>
            </w:pPr>
            <w:r w:rsidRPr="001B6656">
              <w:rPr>
                <w:rFonts w:ascii="Calibri" w:eastAsia="Times New Roman" w:hAnsi="Calibri" w:cs="Calibri"/>
                <w:color w:val="000000"/>
                <w:lang w:eastAsia="en-GB"/>
              </w:rPr>
              <w:t>FHT per business</w:t>
            </w:r>
          </w:p>
        </w:tc>
        <w:tc>
          <w:tcPr>
            <w:tcW w:w="2410" w:type="dxa"/>
            <w:noWrap/>
            <w:hideMark/>
          </w:tcPr>
          <w:p w14:paraId="53135ED8" w14:textId="77777777" w:rsidR="00CB7716" w:rsidRPr="001B6656" w:rsidRDefault="00CB7716" w:rsidP="00CB771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Pr>
                <w:rFonts w:ascii="Calibri" w:eastAsia="Times New Roman" w:hAnsi="Calibri" w:cs="Calibri"/>
                <w:color w:val="000000"/>
                <w:lang w:eastAsia="en-GB"/>
              </w:rPr>
              <w:t>Upfront ($</w:t>
            </w:r>
            <w:r w:rsidRPr="001B6656">
              <w:rPr>
                <w:rFonts w:ascii="Calibri" w:eastAsia="Times New Roman" w:hAnsi="Calibri" w:cs="Calibri"/>
                <w:color w:val="000000"/>
                <w:lang w:eastAsia="en-GB"/>
              </w:rPr>
              <w:t>)</w:t>
            </w:r>
          </w:p>
        </w:tc>
        <w:tc>
          <w:tcPr>
            <w:tcW w:w="3118" w:type="dxa"/>
            <w:noWrap/>
            <w:hideMark/>
          </w:tcPr>
          <w:p w14:paraId="292A7277" w14:textId="77777777" w:rsidR="00CB7716" w:rsidRPr="001B6656" w:rsidRDefault="00CB7716" w:rsidP="00CB771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Pr>
                <w:rFonts w:ascii="Calibri" w:eastAsia="Times New Roman" w:hAnsi="Calibri" w:cs="Calibri"/>
                <w:color w:val="000000"/>
                <w:lang w:eastAsia="en-GB"/>
              </w:rPr>
              <w:t xml:space="preserve">Ongoing ($ </w:t>
            </w:r>
            <w:proofErr w:type="spellStart"/>
            <w:r>
              <w:rPr>
                <w:rFonts w:ascii="Calibri" w:eastAsia="Times New Roman" w:hAnsi="Calibri" w:cs="Calibri"/>
                <w:color w:val="000000"/>
                <w:lang w:eastAsia="en-GB"/>
              </w:rPr>
              <w:t>p.a</w:t>
            </w:r>
            <w:proofErr w:type="spellEnd"/>
            <w:r w:rsidRPr="001B6656">
              <w:rPr>
                <w:rFonts w:ascii="Calibri" w:eastAsia="Times New Roman" w:hAnsi="Calibri" w:cs="Calibri"/>
                <w:color w:val="000000"/>
                <w:lang w:eastAsia="en-GB"/>
              </w:rPr>
              <w:t>)</w:t>
            </w:r>
          </w:p>
        </w:tc>
      </w:tr>
      <w:tr w:rsidR="00CB7716" w:rsidRPr="001B6656" w14:paraId="52FD95F9" w14:textId="77777777" w:rsidTr="00DE0E16">
        <w:trPr>
          <w:cnfStyle w:val="000000100000" w:firstRow="0" w:lastRow="0" w:firstColumn="0" w:lastColumn="0" w:oddVBand="0" w:evenVBand="0" w:oddHBand="1" w:evenHBand="0" w:firstRowFirstColumn="0" w:firstRowLastColumn="0" w:lastRowFirstColumn="0" w:lastRowLastColumn="0"/>
          <w:trHeight w:val="415"/>
        </w:trPr>
        <w:tc>
          <w:tcPr>
            <w:cnfStyle w:val="001000000000" w:firstRow="0" w:lastRow="0" w:firstColumn="1" w:lastColumn="0" w:oddVBand="0" w:evenVBand="0" w:oddHBand="0" w:evenHBand="0" w:firstRowFirstColumn="0" w:firstRowLastColumn="0" w:lastRowFirstColumn="0" w:lastRowLastColumn="0"/>
            <w:tcW w:w="3539" w:type="dxa"/>
            <w:noWrap/>
          </w:tcPr>
          <w:p w14:paraId="37A7307E" w14:textId="77777777" w:rsidR="00CB7716" w:rsidRPr="007F5AD5" w:rsidRDefault="00CB7716" w:rsidP="00CB7716">
            <w:pPr>
              <w:rPr>
                <w:rFonts w:ascii="Calibri" w:eastAsia="Times New Roman" w:hAnsi="Calibri" w:cs="Calibri"/>
                <w:b w:val="0"/>
                <w:color w:val="000000"/>
                <w:lang w:eastAsia="en-GB"/>
              </w:rPr>
            </w:pPr>
            <w:r w:rsidRPr="007F5AD5">
              <w:rPr>
                <w:rFonts w:ascii="Calibri" w:eastAsia="Times New Roman" w:hAnsi="Calibri" w:cs="Calibri"/>
                <w:b w:val="0"/>
                <w:color w:val="000000"/>
                <w:lang w:eastAsia="en-GB"/>
              </w:rPr>
              <w:t>Scenario 1: low uptake (0%)</w:t>
            </w:r>
          </w:p>
        </w:tc>
        <w:tc>
          <w:tcPr>
            <w:tcW w:w="2410" w:type="dxa"/>
            <w:noWrap/>
          </w:tcPr>
          <w:p w14:paraId="23FC11B0" w14:textId="77777777" w:rsidR="00CB7716" w:rsidRPr="001B6656" w:rsidRDefault="00CB7716" w:rsidP="00CB771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GB"/>
              </w:rPr>
            </w:pPr>
            <w:r>
              <w:rPr>
                <w:rFonts w:ascii="Calibri" w:eastAsia="Times New Roman" w:hAnsi="Calibri" w:cs="Calibri"/>
                <w:color w:val="000000"/>
                <w:lang w:eastAsia="en-GB"/>
              </w:rPr>
              <w:t>224</w:t>
            </w:r>
          </w:p>
        </w:tc>
        <w:tc>
          <w:tcPr>
            <w:tcW w:w="3118" w:type="dxa"/>
            <w:noWrap/>
          </w:tcPr>
          <w:p w14:paraId="183F6475" w14:textId="77777777" w:rsidR="00CB7716" w:rsidRPr="001B6656" w:rsidRDefault="00CB7716" w:rsidP="00CB771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GB"/>
              </w:rPr>
            </w:pPr>
            <w:r>
              <w:rPr>
                <w:rFonts w:ascii="Calibri" w:eastAsia="Times New Roman" w:hAnsi="Calibri" w:cs="Calibri"/>
                <w:color w:val="000000"/>
                <w:lang w:eastAsia="en-GB"/>
              </w:rPr>
              <w:t>90</w:t>
            </w:r>
          </w:p>
        </w:tc>
      </w:tr>
      <w:tr w:rsidR="00CB7716" w:rsidRPr="001B6656" w14:paraId="7D682522" w14:textId="77777777" w:rsidTr="00DE0E16">
        <w:trPr>
          <w:trHeight w:val="415"/>
        </w:trPr>
        <w:tc>
          <w:tcPr>
            <w:cnfStyle w:val="001000000000" w:firstRow="0" w:lastRow="0" w:firstColumn="1" w:lastColumn="0" w:oddVBand="0" w:evenVBand="0" w:oddHBand="0" w:evenHBand="0" w:firstRowFirstColumn="0" w:firstRowLastColumn="0" w:lastRowFirstColumn="0" w:lastRowLastColumn="0"/>
            <w:tcW w:w="3539" w:type="dxa"/>
            <w:noWrap/>
          </w:tcPr>
          <w:p w14:paraId="656F5782" w14:textId="77777777" w:rsidR="00CB7716" w:rsidRPr="007F5AD5" w:rsidRDefault="00CB7716" w:rsidP="00CB7716">
            <w:pPr>
              <w:rPr>
                <w:rFonts w:ascii="Calibri" w:eastAsia="Times New Roman" w:hAnsi="Calibri" w:cs="Calibri"/>
                <w:b w:val="0"/>
                <w:color w:val="000000"/>
                <w:lang w:eastAsia="en-GB"/>
              </w:rPr>
            </w:pPr>
            <w:r w:rsidRPr="007F5AD5">
              <w:rPr>
                <w:rFonts w:ascii="Calibri" w:eastAsia="Times New Roman" w:hAnsi="Calibri" w:cs="Calibri"/>
                <w:b w:val="0"/>
                <w:color w:val="000000"/>
                <w:lang w:eastAsia="en-GB"/>
              </w:rPr>
              <w:t>Scenario 2: medium uptake (10%)</w:t>
            </w:r>
          </w:p>
        </w:tc>
        <w:tc>
          <w:tcPr>
            <w:tcW w:w="2410" w:type="dxa"/>
            <w:noWrap/>
          </w:tcPr>
          <w:p w14:paraId="7B7CFF33" w14:textId="77777777" w:rsidR="00CB7716" w:rsidRPr="001B6656" w:rsidRDefault="00CB7716" w:rsidP="00CB771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Pr>
                <w:rFonts w:ascii="Calibri" w:eastAsia="Times New Roman" w:hAnsi="Calibri" w:cs="Calibri"/>
                <w:color w:val="000000"/>
                <w:lang w:eastAsia="en-GB"/>
              </w:rPr>
              <w:t>202</w:t>
            </w:r>
          </w:p>
        </w:tc>
        <w:tc>
          <w:tcPr>
            <w:tcW w:w="3118" w:type="dxa"/>
            <w:noWrap/>
          </w:tcPr>
          <w:p w14:paraId="055733BA" w14:textId="77777777" w:rsidR="00CB7716" w:rsidRPr="001B6656" w:rsidRDefault="00CB7716" w:rsidP="00CB771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Pr>
                <w:rFonts w:ascii="Calibri" w:eastAsia="Times New Roman" w:hAnsi="Calibri" w:cs="Calibri"/>
                <w:color w:val="000000"/>
                <w:lang w:eastAsia="en-GB"/>
              </w:rPr>
              <w:t>81</w:t>
            </w:r>
          </w:p>
        </w:tc>
      </w:tr>
      <w:tr w:rsidR="00CB7716" w:rsidRPr="00373F1A" w14:paraId="7DD5BCE2" w14:textId="77777777" w:rsidTr="00DE0E16">
        <w:trPr>
          <w:cnfStyle w:val="000000100000" w:firstRow="0" w:lastRow="0" w:firstColumn="0" w:lastColumn="0" w:oddVBand="0" w:evenVBand="0" w:oddHBand="1" w:evenHBand="0" w:firstRowFirstColumn="0" w:firstRowLastColumn="0" w:lastRowFirstColumn="0" w:lastRowLastColumn="0"/>
          <w:trHeight w:val="415"/>
        </w:trPr>
        <w:tc>
          <w:tcPr>
            <w:cnfStyle w:val="001000000000" w:firstRow="0" w:lastRow="0" w:firstColumn="1" w:lastColumn="0" w:oddVBand="0" w:evenVBand="0" w:oddHBand="0" w:evenHBand="0" w:firstRowFirstColumn="0" w:firstRowLastColumn="0" w:lastRowFirstColumn="0" w:lastRowLastColumn="0"/>
            <w:tcW w:w="3539" w:type="dxa"/>
            <w:noWrap/>
          </w:tcPr>
          <w:p w14:paraId="1F657CE5" w14:textId="77777777" w:rsidR="00CB7716" w:rsidRPr="007F5AD5" w:rsidRDefault="00CB7716" w:rsidP="00CB7716">
            <w:pPr>
              <w:rPr>
                <w:rFonts w:ascii="Calibri" w:eastAsia="Times New Roman" w:hAnsi="Calibri" w:cs="Calibri"/>
                <w:b w:val="0"/>
                <w:color w:val="000000"/>
                <w:lang w:eastAsia="en-GB"/>
              </w:rPr>
            </w:pPr>
            <w:r w:rsidRPr="007F5AD5">
              <w:rPr>
                <w:rFonts w:ascii="Calibri" w:eastAsia="Times New Roman" w:hAnsi="Calibri" w:cs="Calibri"/>
                <w:b w:val="0"/>
                <w:color w:val="000000"/>
                <w:lang w:eastAsia="en-GB"/>
              </w:rPr>
              <w:t>Scenario 3: high uptake (20%)</w:t>
            </w:r>
          </w:p>
        </w:tc>
        <w:tc>
          <w:tcPr>
            <w:tcW w:w="2410" w:type="dxa"/>
            <w:noWrap/>
          </w:tcPr>
          <w:p w14:paraId="13751444" w14:textId="77777777" w:rsidR="00CB7716" w:rsidRPr="001B6656" w:rsidRDefault="00CB7716" w:rsidP="00CB771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GB"/>
              </w:rPr>
            </w:pPr>
            <w:r>
              <w:rPr>
                <w:rFonts w:ascii="Calibri" w:eastAsia="Times New Roman" w:hAnsi="Calibri" w:cs="Calibri"/>
                <w:color w:val="000000"/>
                <w:lang w:eastAsia="en-GB"/>
              </w:rPr>
              <w:t>179</w:t>
            </w:r>
          </w:p>
        </w:tc>
        <w:tc>
          <w:tcPr>
            <w:tcW w:w="3118" w:type="dxa"/>
            <w:noWrap/>
          </w:tcPr>
          <w:p w14:paraId="0D973B97" w14:textId="77777777" w:rsidR="00CB7716" w:rsidRPr="001B6656" w:rsidRDefault="00CB7716" w:rsidP="00CB771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GB"/>
              </w:rPr>
            </w:pPr>
            <w:r>
              <w:rPr>
                <w:rFonts w:ascii="Calibri" w:eastAsia="Times New Roman" w:hAnsi="Calibri" w:cs="Calibri"/>
                <w:color w:val="000000"/>
                <w:lang w:eastAsia="en-GB"/>
              </w:rPr>
              <w:t>72</w:t>
            </w:r>
          </w:p>
        </w:tc>
      </w:tr>
    </w:tbl>
    <w:p w14:paraId="57BBD052" w14:textId="77777777" w:rsidR="0000604C" w:rsidRDefault="0000604C" w:rsidP="0000604C">
      <w:pPr>
        <w:spacing w:after="240"/>
      </w:pPr>
      <w:bookmarkStart w:id="163" w:name="_Toc107412719"/>
    </w:p>
    <w:p w14:paraId="0BBC30AD" w14:textId="6BB9F368" w:rsidR="00CB7716" w:rsidRPr="0000604C" w:rsidRDefault="00CB7716" w:rsidP="0025246D">
      <w:pPr>
        <w:pStyle w:val="Heading4"/>
        <w:numPr>
          <w:ilvl w:val="0"/>
          <w:numId w:val="0"/>
        </w:numPr>
        <w:ind w:left="864" w:hanging="864"/>
      </w:pPr>
      <w:r w:rsidRPr="0000604C">
        <w:t>Evidence to substantiate food safety management (E)</w:t>
      </w:r>
      <w:bookmarkEnd w:id="163"/>
    </w:p>
    <w:p w14:paraId="4DA41904" w14:textId="77777777" w:rsidR="00CB7716" w:rsidRDefault="00CB7716" w:rsidP="0000604C">
      <w:pPr>
        <w:spacing w:after="240"/>
        <w:rPr>
          <w:lang w:eastAsia="en-AU"/>
        </w:rPr>
      </w:pPr>
      <w:r w:rsidRPr="00373F1A">
        <w:rPr>
          <w:lang w:eastAsia="en-AU"/>
        </w:rPr>
        <w:t xml:space="preserve">Implementing </w:t>
      </w:r>
      <w:r>
        <w:rPr>
          <w:lang w:eastAsia="en-AU"/>
        </w:rPr>
        <w:t>this proposed tool</w:t>
      </w:r>
      <w:r w:rsidRPr="00373F1A">
        <w:rPr>
          <w:lang w:eastAsia="en-AU"/>
        </w:rPr>
        <w:t xml:space="preserve"> involves identifying processes that will require </w:t>
      </w:r>
      <w:r>
        <w:rPr>
          <w:lang w:eastAsia="en-AU"/>
        </w:rPr>
        <w:t>evidence to be kept,</w:t>
      </w:r>
      <w:r w:rsidRPr="00373F1A">
        <w:rPr>
          <w:lang w:eastAsia="en-AU"/>
        </w:rPr>
        <w:t xml:space="preserve"> developing a system (such as </w:t>
      </w:r>
      <w:r>
        <w:rPr>
          <w:lang w:eastAsia="en-AU"/>
        </w:rPr>
        <w:t>a template–</w:t>
      </w:r>
      <w:r w:rsidRPr="00373F1A">
        <w:rPr>
          <w:lang w:eastAsia="en-AU"/>
        </w:rPr>
        <w:t>these are assumed to be freely available through food regulatory agencies)</w:t>
      </w:r>
      <w:r>
        <w:rPr>
          <w:lang w:eastAsia="en-AU"/>
        </w:rPr>
        <w:t>,</w:t>
      </w:r>
      <w:r w:rsidRPr="00373F1A">
        <w:rPr>
          <w:lang w:eastAsia="en-AU"/>
        </w:rPr>
        <w:t xml:space="preserve"> training staff</w:t>
      </w:r>
      <w:r>
        <w:rPr>
          <w:lang w:eastAsia="en-AU"/>
        </w:rPr>
        <w:t>,</w:t>
      </w:r>
      <w:r w:rsidRPr="00373F1A">
        <w:rPr>
          <w:lang w:eastAsia="en-AU"/>
        </w:rPr>
        <w:t xml:space="preserve"> and ongoing labour/time c</w:t>
      </w:r>
      <w:r>
        <w:rPr>
          <w:lang w:eastAsia="en-AU"/>
        </w:rPr>
        <w:t>osts to create the evidence</w:t>
      </w:r>
      <w:r w:rsidRPr="00373F1A">
        <w:rPr>
          <w:lang w:eastAsia="en-AU"/>
        </w:rPr>
        <w:t xml:space="preserve">. </w:t>
      </w:r>
    </w:p>
    <w:p w14:paraId="2B6082D3" w14:textId="70A1455D" w:rsidR="00CB7716" w:rsidRDefault="00CB7716" w:rsidP="0000604C">
      <w:pPr>
        <w:spacing w:after="240"/>
      </w:pPr>
      <w:r>
        <w:t xml:space="preserve">Determining costs and benefits of implementing an E requirement was challenging, as it is a new approach. The proposed requirement is intended to be a tool that lies between the </w:t>
      </w:r>
      <w:proofErr w:type="gramStart"/>
      <w:r>
        <w:t>baseline</w:t>
      </w:r>
      <w:proofErr w:type="gramEnd"/>
      <w:r>
        <w:t xml:space="preserve"> </w:t>
      </w:r>
      <w:r w:rsidDel="00B93C34">
        <w:t>GHPs</w:t>
      </w:r>
      <w:r>
        <w:t xml:space="preserve"> (Good Hygienic Practices) in Standard 3.2.2 and the HACCP approach of a food safety program (FSP). </w:t>
      </w:r>
    </w:p>
    <w:p w14:paraId="3087A05C" w14:textId="77777777" w:rsidR="00CB7716" w:rsidRDefault="00CB7716" w:rsidP="0000604C">
      <w:pPr>
        <w:spacing w:after="240"/>
      </w:pPr>
      <w:r>
        <w:t>The costs and benefits of implementing FSPs have been investigated in two complementary studies. The National Risk Validation Project (2002) included a cost–benefit analysis of FSPs in five high-risk food business sectors, including the catering sector. In addition, the Department of Health and Aging commissioned an assessment of food safety management costs, benefits and alternatives in these sectors (Allen Consulting Group</w:t>
      </w:r>
      <w:r w:rsidRPr="00D56FE7">
        <w:rPr>
          <w:rFonts w:cs="Arial"/>
        </w:rPr>
        <w:t xml:space="preserve">, </w:t>
      </w:r>
      <w:r w:rsidRPr="00052BFA">
        <w:rPr>
          <w:rFonts w:cs="Arial"/>
        </w:rPr>
        <w:t>2002</w:t>
      </w:r>
      <w:r>
        <w:t>).</w:t>
      </w:r>
    </w:p>
    <w:p w14:paraId="5E1FBCBE" w14:textId="77777777" w:rsidR="00CB7716" w:rsidRDefault="00CB7716" w:rsidP="0000604C">
      <w:pPr>
        <w:rPr>
          <w:b/>
        </w:rPr>
      </w:pPr>
      <w:r>
        <w:rPr>
          <w:b/>
        </w:rPr>
        <w:t>Benefits</w:t>
      </w:r>
    </w:p>
    <w:p w14:paraId="02989E44" w14:textId="77777777" w:rsidR="00CB7716" w:rsidRDefault="00CB7716" w:rsidP="0000604C">
      <w:pPr>
        <w:spacing w:after="240"/>
      </w:pPr>
      <w:r>
        <w:t>In effect, the Allen report (2002) examined where foodborne illness could be reduced if certain deficiencies in skills, knowledge and record keeping were addressed. While having a FSP would not avoid all problems, it was assumed to have a positive effect on businesses’ food safety culture and food safety outcomes.</w:t>
      </w:r>
    </w:p>
    <w:p w14:paraId="33FC56FE" w14:textId="77777777" w:rsidR="00CB7716" w:rsidRDefault="00CB7716" w:rsidP="0000604C">
      <w:pPr>
        <w:spacing w:after="240"/>
      </w:pPr>
      <w:r>
        <w:rPr>
          <w:lang w:eastAsia="en-AU"/>
        </w:rPr>
        <w:t>The Allen report recommended that behavioural changes by businesses be reinforced by a comprehensive enforcement strategy. Requirements for keeping evidence, such as a record, were an important component of an enforcement strategy. The report also states that without business documentation, it would be significantly more difficult to detect non-compliance and evaluate business performance. While the context referred to enforcement, F</w:t>
      </w:r>
      <w:r>
        <w:t xml:space="preserve">SANZ considers that keeping evidence of food safety management can also assist businesses with monitoring potential hazards in their operations and detecting if safety parameters are breached. It can also reinforce food handler awareness of potential risks, while verifying controls are working as intended. </w:t>
      </w:r>
    </w:p>
    <w:p w14:paraId="72A22245" w14:textId="34ACEDF1" w:rsidR="00CB7716" w:rsidRDefault="00CB7716" w:rsidP="0000604C">
      <w:pPr>
        <w:spacing w:after="240"/>
      </w:pPr>
      <w:r>
        <w:t>FSANZ considers other noted benefits</w:t>
      </w:r>
      <w:r>
        <w:rPr>
          <w:rStyle w:val="FootnoteReference"/>
        </w:rPr>
        <w:footnoteReference w:id="30"/>
      </w:r>
      <w:r>
        <w:t xml:space="preserve"> would be experienced by businesses who make a record or have other evidence of food safety management. Tangible benefits include production savings, reduced wastage and reduced maintenance. Intangible benefits include improved understanding of their business, better management practices and supplier standards, relationships with environmental health officers and reduced overall stress. </w:t>
      </w:r>
    </w:p>
    <w:p w14:paraId="5109934C" w14:textId="4732084D" w:rsidR="00CB7716" w:rsidRDefault="00CB7716" w:rsidP="0000604C">
      <w:pPr>
        <w:rPr>
          <w:b/>
        </w:rPr>
      </w:pPr>
      <w:r>
        <w:rPr>
          <w:b/>
        </w:rPr>
        <w:t>Costs</w:t>
      </w:r>
    </w:p>
    <w:p w14:paraId="7764A98A" w14:textId="77777777" w:rsidR="00CB7716" w:rsidRPr="00373F1A" w:rsidRDefault="00CB7716" w:rsidP="0000604C">
      <w:pPr>
        <w:spacing w:after="240"/>
        <w:rPr>
          <w:lang w:eastAsia="en-AU"/>
        </w:rPr>
      </w:pPr>
      <w:r>
        <w:t>We estimated the costs of E by making reasonable estimates of the time it will take to develop a system, train staff to use the system and use that system in day-to-day operations.</w:t>
      </w:r>
    </w:p>
    <w:p w14:paraId="6BC918A7" w14:textId="77777777" w:rsidR="00CB7716" w:rsidRPr="0000604C" w:rsidRDefault="00CB7716" w:rsidP="0000604C">
      <w:pPr>
        <w:rPr>
          <w:i/>
          <w:lang w:eastAsia="en-AU"/>
        </w:rPr>
      </w:pPr>
      <w:r w:rsidRPr="0000604C">
        <w:rPr>
          <w:i/>
          <w:lang w:eastAsia="en-AU"/>
        </w:rPr>
        <w:t>Upfront implementation</w:t>
      </w:r>
    </w:p>
    <w:p w14:paraId="1CC3B2E2" w14:textId="6DD71123" w:rsidR="00CB7716" w:rsidRPr="00373F1A" w:rsidRDefault="00CB7716" w:rsidP="0000604C">
      <w:pPr>
        <w:spacing w:after="240"/>
        <w:rPr>
          <w:lang w:eastAsia="en-AU"/>
        </w:rPr>
      </w:pPr>
      <w:r w:rsidRPr="1176F9AC">
        <w:rPr>
          <w:lang w:eastAsia="en-AU"/>
        </w:rPr>
        <w:t>Implementation costs are broadly time-based and were calculated at a rate of $</w:t>
      </w:r>
      <w:r w:rsidR="64A3DBA3" w:rsidRPr="1176F9AC">
        <w:rPr>
          <w:lang w:eastAsia="en-AU"/>
        </w:rPr>
        <w:t>23</w:t>
      </w:r>
      <w:r w:rsidRPr="1176F9AC">
        <w:rPr>
          <w:lang w:eastAsia="en-AU"/>
        </w:rPr>
        <w:t xml:space="preserve"> per hour. Upfront costs include the development of the system and the training of staff. </w:t>
      </w:r>
    </w:p>
    <w:p w14:paraId="1AB25774" w14:textId="222EB24E" w:rsidR="00CB7716" w:rsidRPr="00373F1A" w:rsidRDefault="00CB7716" w:rsidP="0000604C">
      <w:pPr>
        <w:spacing w:after="240"/>
        <w:rPr>
          <w:rFonts w:cs="Calibri"/>
          <w:lang w:val="en-AU"/>
        </w:rPr>
      </w:pPr>
      <w:r w:rsidRPr="00373F1A">
        <w:rPr>
          <w:rFonts w:cs="Calibri"/>
          <w:lang w:val="en-AU"/>
        </w:rPr>
        <w:t xml:space="preserve">Under the proposed </w:t>
      </w:r>
      <w:r>
        <w:rPr>
          <w:rFonts w:cs="Calibri"/>
          <w:lang w:val="en-AU"/>
        </w:rPr>
        <w:t>E</w:t>
      </w:r>
      <w:r w:rsidRPr="00373F1A">
        <w:rPr>
          <w:rFonts w:cs="Calibri"/>
          <w:lang w:val="en-AU"/>
        </w:rPr>
        <w:t xml:space="preserve"> tool, businesses would not need to conduct a hazard analysis. They instead need to identify if the business </w:t>
      </w:r>
      <w:r>
        <w:rPr>
          <w:rFonts w:cs="Calibri"/>
          <w:lang w:val="en-AU"/>
        </w:rPr>
        <w:t>does</w:t>
      </w:r>
      <w:r w:rsidRPr="00373F1A">
        <w:rPr>
          <w:rFonts w:cs="Calibri"/>
          <w:lang w:val="en-AU"/>
        </w:rPr>
        <w:t xml:space="preserve"> any of the specified key food handling processes outlined in the draft standard. The critical control points and limits for these processes would be provided through the freely available templates. </w:t>
      </w:r>
    </w:p>
    <w:p w14:paraId="5CE45700" w14:textId="0A8C36F1" w:rsidR="00CB7716" w:rsidRDefault="00CB7716" w:rsidP="0000604C">
      <w:pPr>
        <w:spacing w:after="240"/>
        <w:rPr>
          <w:b/>
          <w:sz w:val="20"/>
        </w:rPr>
      </w:pPr>
      <w:r w:rsidRPr="00373F1A">
        <w:rPr>
          <w:lang w:eastAsia="en-AU"/>
        </w:rPr>
        <w:t xml:space="preserve">The various assumptions used to calculate cost of implementing the </w:t>
      </w:r>
      <w:r>
        <w:rPr>
          <w:lang w:eastAsia="en-AU"/>
        </w:rPr>
        <w:t>E</w:t>
      </w:r>
      <w:r w:rsidRPr="00373F1A">
        <w:rPr>
          <w:lang w:eastAsia="en-AU"/>
        </w:rPr>
        <w:t xml:space="preserve"> intervention for businesses </w:t>
      </w:r>
      <w:r>
        <w:rPr>
          <w:lang w:eastAsia="en-AU"/>
        </w:rPr>
        <w:t>are</w:t>
      </w:r>
      <w:r w:rsidRPr="00373F1A">
        <w:rPr>
          <w:lang w:eastAsia="en-AU"/>
        </w:rPr>
        <w:t xml:space="preserve"> shown in Table </w:t>
      </w:r>
      <w:r>
        <w:rPr>
          <w:lang w:eastAsia="en-AU"/>
        </w:rPr>
        <w:t>5</w:t>
      </w:r>
      <w:r w:rsidRPr="00373F1A">
        <w:rPr>
          <w:lang w:eastAsia="en-AU"/>
        </w:rPr>
        <w:t>.</w:t>
      </w:r>
    </w:p>
    <w:p w14:paraId="777F7767" w14:textId="46AC5922" w:rsidR="00CB7716" w:rsidRPr="003A5E9C" w:rsidRDefault="00CB7716" w:rsidP="00CB7716">
      <w:pPr>
        <w:pStyle w:val="Caption"/>
        <w:keepNext/>
        <w:rPr>
          <w:b/>
          <w:color w:val="auto"/>
          <w:sz w:val="20"/>
        </w:rPr>
      </w:pPr>
      <w:r w:rsidRPr="003A5E9C">
        <w:rPr>
          <w:b/>
          <w:color w:val="auto"/>
          <w:sz w:val="20"/>
        </w:rPr>
        <w:t>Table 5: Assumptions used to calculate cost of E</w:t>
      </w:r>
    </w:p>
    <w:tbl>
      <w:tblPr>
        <w:tblW w:w="5000" w:type="pct"/>
        <w:tblLook w:val="04A0" w:firstRow="1" w:lastRow="0" w:firstColumn="1" w:lastColumn="0" w:noHBand="0" w:noVBand="1"/>
      </w:tblPr>
      <w:tblGrid>
        <w:gridCol w:w="5525"/>
        <w:gridCol w:w="3535"/>
      </w:tblGrid>
      <w:tr w:rsidR="00CB7716" w:rsidRPr="00373F1A" w14:paraId="600873CA" w14:textId="77777777" w:rsidTr="00CB7716">
        <w:trPr>
          <w:trHeight w:val="345"/>
          <w:tblHeader/>
        </w:trPr>
        <w:tc>
          <w:tcPr>
            <w:tcW w:w="5000" w:type="pct"/>
            <w:gridSpan w:val="2"/>
            <w:tcBorders>
              <w:top w:val="single" w:sz="4" w:space="0" w:color="FFFFFF" w:themeColor="background1"/>
              <w:left w:val="single" w:sz="4" w:space="0" w:color="000000" w:themeColor="text1"/>
              <w:bottom w:val="single" w:sz="4" w:space="0" w:color="000000" w:themeColor="text1"/>
              <w:right w:val="single" w:sz="4" w:space="0" w:color="000000" w:themeColor="text1"/>
            </w:tcBorders>
            <w:shd w:val="clear" w:color="auto" w:fill="003300"/>
            <w:hideMark/>
          </w:tcPr>
          <w:p w14:paraId="701490EB" w14:textId="77777777" w:rsidR="00CB7716" w:rsidRPr="00373F1A" w:rsidRDefault="00CB7716" w:rsidP="00CB7716">
            <w:pPr>
              <w:keepLines/>
              <w:jc w:val="center"/>
              <w:rPr>
                <w:rFonts w:ascii="Calibri" w:hAnsi="Calibri"/>
                <w:b/>
                <w:bCs/>
                <w:color w:val="F2F2F2"/>
                <w:sz w:val="26"/>
                <w:szCs w:val="26"/>
                <w:lang w:eastAsia="en-GB"/>
              </w:rPr>
            </w:pPr>
            <w:r w:rsidRPr="68C0CA2D">
              <w:rPr>
                <w:rFonts w:cs="Calibri"/>
                <w:lang w:val="en-AU"/>
              </w:rPr>
              <w:t xml:space="preserve"> </w:t>
            </w:r>
            <w:r w:rsidRPr="68C0CA2D">
              <w:rPr>
                <w:rFonts w:ascii="Calibri" w:hAnsi="Calibri"/>
                <w:b/>
                <w:bCs/>
                <w:color w:val="F2F2F2" w:themeColor="background1" w:themeShade="F2"/>
                <w:sz w:val="26"/>
                <w:szCs w:val="26"/>
                <w:lang w:eastAsia="en-GB"/>
              </w:rPr>
              <w:t>E costs and assumptions – implementation</w:t>
            </w:r>
          </w:p>
        </w:tc>
      </w:tr>
      <w:tr w:rsidR="00CB7716" w:rsidRPr="00373F1A" w14:paraId="09FF6DD6" w14:textId="77777777" w:rsidTr="00CB7716">
        <w:trPr>
          <w:trHeight w:val="274"/>
          <w:tblHeader/>
        </w:trPr>
        <w:tc>
          <w:tcPr>
            <w:tcW w:w="3049" w:type="pct"/>
            <w:tcBorders>
              <w:top w:val="nil"/>
              <w:left w:val="single" w:sz="4" w:space="0" w:color="000000" w:themeColor="text1"/>
              <w:bottom w:val="single" w:sz="4" w:space="0" w:color="000000" w:themeColor="text1"/>
              <w:right w:val="single" w:sz="4" w:space="0" w:color="000000" w:themeColor="text1"/>
            </w:tcBorders>
            <w:shd w:val="clear" w:color="auto" w:fill="EDEDED"/>
          </w:tcPr>
          <w:p w14:paraId="3F4F064B" w14:textId="77777777" w:rsidR="00CB7716" w:rsidRPr="00373F1A" w:rsidRDefault="00CB7716" w:rsidP="00CB7716">
            <w:pPr>
              <w:keepLines/>
              <w:rPr>
                <w:rFonts w:ascii="Calibri" w:hAnsi="Calibri"/>
                <w:color w:val="000000"/>
                <w:lang w:eastAsia="en-GB"/>
              </w:rPr>
            </w:pPr>
            <w:r>
              <w:rPr>
                <w:rFonts w:ascii="Calibri" w:hAnsi="Calibri"/>
                <w:color w:val="000000"/>
                <w:lang w:eastAsia="en-GB"/>
              </w:rPr>
              <w:t xml:space="preserve">FSS wage </w:t>
            </w:r>
          </w:p>
        </w:tc>
        <w:tc>
          <w:tcPr>
            <w:tcW w:w="1951" w:type="pct"/>
            <w:tcBorders>
              <w:top w:val="nil"/>
              <w:left w:val="nil"/>
              <w:bottom w:val="single" w:sz="4" w:space="0" w:color="000000" w:themeColor="text1"/>
              <w:right w:val="single" w:sz="4" w:space="0" w:color="000000" w:themeColor="text1"/>
            </w:tcBorders>
            <w:shd w:val="clear" w:color="auto" w:fill="EDEDED"/>
            <w:noWrap/>
          </w:tcPr>
          <w:p w14:paraId="55B13307" w14:textId="77777777" w:rsidR="00CB7716" w:rsidRPr="00373F1A" w:rsidRDefault="00CB7716" w:rsidP="00CB7716">
            <w:pPr>
              <w:keepLines/>
              <w:jc w:val="center"/>
              <w:rPr>
                <w:rFonts w:ascii="Calibri" w:hAnsi="Calibri"/>
                <w:color w:val="000000"/>
                <w:lang w:eastAsia="en-GB"/>
              </w:rPr>
            </w:pPr>
            <w:r>
              <w:rPr>
                <w:rFonts w:ascii="Calibri" w:hAnsi="Calibri"/>
                <w:color w:val="000000"/>
                <w:lang w:eastAsia="en-GB"/>
              </w:rPr>
              <w:t>$25.83 p/h (from award)</w:t>
            </w:r>
          </w:p>
        </w:tc>
      </w:tr>
      <w:tr w:rsidR="00CB7716" w:rsidRPr="00373F1A" w14:paraId="692ECFBB" w14:textId="77777777" w:rsidTr="00CB7716">
        <w:trPr>
          <w:trHeight w:val="274"/>
          <w:tblHeader/>
        </w:trPr>
        <w:tc>
          <w:tcPr>
            <w:tcW w:w="3049" w:type="pct"/>
            <w:tcBorders>
              <w:top w:val="nil"/>
              <w:left w:val="single" w:sz="4" w:space="0" w:color="000000" w:themeColor="text1"/>
              <w:bottom w:val="single" w:sz="4" w:space="0" w:color="000000" w:themeColor="text1"/>
              <w:right w:val="single" w:sz="4" w:space="0" w:color="000000" w:themeColor="text1"/>
            </w:tcBorders>
            <w:shd w:val="clear" w:color="auto" w:fill="EDEDED"/>
            <w:hideMark/>
          </w:tcPr>
          <w:p w14:paraId="27255980" w14:textId="77777777" w:rsidR="00CB7716" w:rsidRPr="00373F1A" w:rsidRDefault="00CB7716" w:rsidP="00CB7716">
            <w:pPr>
              <w:keepLines/>
              <w:rPr>
                <w:rFonts w:ascii="Calibri" w:hAnsi="Calibri"/>
                <w:color w:val="000000"/>
                <w:lang w:eastAsia="en-GB"/>
              </w:rPr>
            </w:pPr>
            <w:r w:rsidRPr="00373F1A">
              <w:rPr>
                <w:rFonts w:ascii="Calibri" w:hAnsi="Calibri"/>
                <w:color w:val="000000"/>
                <w:lang w:eastAsia="en-GB"/>
              </w:rPr>
              <w:t>Food handler wage</w:t>
            </w:r>
          </w:p>
        </w:tc>
        <w:tc>
          <w:tcPr>
            <w:tcW w:w="1951" w:type="pct"/>
            <w:tcBorders>
              <w:top w:val="nil"/>
              <w:left w:val="nil"/>
              <w:bottom w:val="single" w:sz="4" w:space="0" w:color="000000" w:themeColor="text1"/>
              <w:right w:val="single" w:sz="4" w:space="0" w:color="000000" w:themeColor="text1"/>
            </w:tcBorders>
            <w:shd w:val="clear" w:color="auto" w:fill="EDEDED"/>
            <w:noWrap/>
            <w:hideMark/>
          </w:tcPr>
          <w:p w14:paraId="5EE74429" w14:textId="77777777" w:rsidR="00CB7716" w:rsidRPr="00373F1A" w:rsidRDefault="00CB7716" w:rsidP="00CB7716">
            <w:pPr>
              <w:keepLines/>
              <w:jc w:val="center"/>
              <w:rPr>
                <w:rFonts w:ascii="Calibri" w:hAnsi="Calibri"/>
                <w:color w:val="000000"/>
                <w:lang w:eastAsia="en-GB"/>
              </w:rPr>
            </w:pPr>
            <w:r w:rsidRPr="00373F1A">
              <w:rPr>
                <w:rFonts w:ascii="Calibri" w:hAnsi="Calibri"/>
                <w:color w:val="000000"/>
                <w:lang w:eastAsia="en-GB"/>
              </w:rPr>
              <w:t>$23</w:t>
            </w:r>
            <w:r>
              <w:rPr>
                <w:rFonts w:ascii="Calibri" w:hAnsi="Calibri"/>
                <w:color w:val="000000"/>
                <w:lang w:eastAsia="en-GB"/>
              </w:rPr>
              <w:t xml:space="preserve"> p/h</w:t>
            </w:r>
            <w:r w:rsidRPr="00373F1A">
              <w:rPr>
                <w:rFonts w:ascii="Calibri" w:hAnsi="Calibri"/>
                <w:color w:val="000000"/>
                <w:lang w:eastAsia="en-GB"/>
              </w:rPr>
              <w:t xml:space="preserve"> (from award)</w:t>
            </w:r>
          </w:p>
        </w:tc>
      </w:tr>
      <w:tr w:rsidR="00CB7716" w:rsidRPr="00373F1A" w14:paraId="7D0AD7BD" w14:textId="77777777" w:rsidTr="00CB7716">
        <w:trPr>
          <w:trHeight w:val="268"/>
          <w:tblHeader/>
        </w:trPr>
        <w:tc>
          <w:tcPr>
            <w:tcW w:w="3049" w:type="pct"/>
            <w:tcBorders>
              <w:top w:val="nil"/>
              <w:left w:val="single" w:sz="4" w:space="0" w:color="000000" w:themeColor="text1"/>
              <w:bottom w:val="single" w:sz="4" w:space="0" w:color="000000" w:themeColor="text1"/>
              <w:right w:val="single" w:sz="4" w:space="0" w:color="000000" w:themeColor="text1"/>
            </w:tcBorders>
            <w:shd w:val="clear" w:color="auto" w:fill="EDEDED"/>
            <w:hideMark/>
          </w:tcPr>
          <w:p w14:paraId="43E415EB" w14:textId="77777777" w:rsidR="00CB7716" w:rsidRPr="00373F1A" w:rsidRDefault="00CB7716" w:rsidP="00CB7716">
            <w:pPr>
              <w:keepLines/>
              <w:rPr>
                <w:rFonts w:ascii="Calibri" w:hAnsi="Calibri"/>
                <w:color w:val="000000"/>
                <w:lang w:eastAsia="en-GB"/>
              </w:rPr>
            </w:pPr>
            <w:r w:rsidRPr="00373F1A">
              <w:rPr>
                <w:rFonts w:ascii="Calibri" w:hAnsi="Calibri"/>
                <w:color w:val="000000"/>
                <w:lang w:eastAsia="en-GB"/>
              </w:rPr>
              <w:t>Wage on costs</w:t>
            </w:r>
          </w:p>
        </w:tc>
        <w:tc>
          <w:tcPr>
            <w:tcW w:w="1951" w:type="pct"/>
            <w:tcBorders>
              <w:top w:val="nil"/>
              <w:left w:val="nil"/>
              <w:bottom w:val="single" w:sz="4" w:space="0" w:color="000000" w:themeColor="text1"/>
              <w:right w:val="single" w:sz="4" w:space="0" w:color="000000" w:themeColor="text1"/>
            </w:tcBorders>
            <w:shd w:val="clear" w:color="auto" w:fill="EDEDED"/>
            <w:noWrap/>
            <w:hideMark/>
          </w:tcPr>
          <w:p w14:paraId="2029C22C" w14:textId="77777777" w:rsidR="00CB7716" w:rsidRPr="00373F1A" w:rsidRDefault="00CB7716" w:rsidP="00CB7716">
            <w:pPr>
              <w:keepLines/>
              <w:jc w:val="center"/>
              <w:rPr>
                <w:rFonts w:ascii="Calibri" w:hAnsi="Calibri"/>
                <w:color w:val="000000"/>
                <w:lang w:eastAsia="en-GB"/>
              </w:rPr>
            </w:pPr>
            <w:r>
              <w:rPr>
                <w:rFonts w:ascii="Calibri" w:hAnsi="Calibri"/>
                <w:color w:val="000000"/>
                <w:lang w:eastAsia="en-GB"/>
              </w:rPr>
              <w:t>30</w:t>
            </w:r>
            <w:r w:rsidRPr="00373F1A">
              <w:rPr>
                <w:rFonts w:ascii="Calibri" w:hAnsi="Calibri"/>
                <w:color w:val="000000"/>
                <w:lang w:eastAsia="en-GB"/>
              </w:rPr>
              <w:t>%</w:t>
            </w:r>
          </w:p>
        </w:tc>
      </w:tr>
      <w:tr w:rsidR="00CB7716" w:rsidRPr="00373F1A" w14:paraId="1EAB7820" w14:textId="77777777" w:rsidTr="00CB7716">
        <w:trPr>
          <w:trHeight w:val="272"/>
          <w:tblHeader/>
        </w:trPr>
        <w:tc>
          <w:tcPr>
            <w:tcW w:w="3049" w:type="pct"/>
            <w:tcBorders>
              <w:top w:val="single" w:sz="4" w:space="0" w:color="000000" w:themeColor="text1"/>
              <w:left w:val="single" w:sz="4" w:space="0" w:color="000000" w:themeColor="text1"/>
              <w:bottom w:val="single" w:sz="4" w:space="0" w:color="auto"/>
              <w:right w:val="single" w:sz="4" w:space="0" w:color="000000" w:themeColor="text1"/>
            </w:tcBorders>
            <w:shd w:val="clear" w:color="auto" w:fill="EDEDED"/>
          </w:tcPr>
          <w:p w14:paraId="240371FC" w14:textId="77777777" w:rsidR="00CB7716" w:rsidRPr="00373F1A" w:rsidRDefault="00CB7716" w:rsidP="00CB7716">
            <w:pPr>
              <w:keepLines/>
              <w:rPr>
                <w:rFonts w:ascii="Calibri" w:hAnsi="Calibri"/>
                <w:color w:val="000000"/>
                <w:lang w:eastAsia="en-GB"/>
              </w:rPr>
            </w:pPr>
            <w:r w:rsidRPr="00373F1A">
              <w:rPr>
                <w:rFonts w:ascii="Calibri" w:hAnsi="Calibri"/>
                <w:color w:val="000000"/>
                <w:lang w:eastAsia="en-GB"/>
              </w:rPr>
              <w:t>Number of food handler staff</w:t>
            </w:r>
          </w:p>
        </w:tc>
        <w:tc>
          <w:tcPr>
            <w:tcW w:w="1951" w:type="pct"/>
            <w:tcBorders>
              <w:top w:val="nil"/>
              <w:left w:val="nil"/>
              <w:bottom w:val="single" w:sz="4" w:space="0" w:color="auto"/>
              <w:right w:val="single" w:sz="4" w:space="0" w:color="000000" w:themeColor="text1"/>
            </w:tcBorders>
            <w:shd w:val="clear" w:color="auto" w:fill="EDEDED"/>
            <w:noWrap/>
          </w:tcPr>
          <w:p w14:paraId="3338A1FF" w14:textId="77777777" w:rsidR="00CB7716" w:rsidRPr="00373F1A" w:rsidRDefault="00CB7716" w:rsidP="00CB7716">
            <w:pPr>
              <w:keepLines/>
              <w:jc w:val="center"/>
              <w:rPr>
                <w:rFonts w:ascii="Calibri" w:hAnsi="Calibri"/>
                <w:color w:val="000000"/>
                <w:lang w:eastAsia="en-GB"/>
              </w:rPr>
            </w:pPr>
            <w:r>
              <w:rPr>
                <w:rFonts w:ascii="Calibri" w:hAnsi="Calibri"/>
                <w:color w:val="000000"/>
                <w:lang w:eastAsia="en-GB"/>
              </w:rPr>
              <w:t>5</w:t>
            </w:r>
            <w:r w:rsidRPr="00373F1A">
              <w:rPr>
                <w:rFonts w:ascii="Calibri" w:hAnsi="Calibri"/>
                <w:color w:val="000000"/>
                <w:lang w:eastAsia="en-GB"/>
              </w:rPr>
              <w:t xml:space="preserve"> people</w:t>
            </w:r>
          </w:p>
        </w:tc>
      </w:tr>
      <w:tr w:rsidR="00CB7716" w:rsidRPr="00373F1A" w14:paraId="1DA70532" w14:textId="77777777" w:rsidTr="00CB7716">
        <w:trPr>
          <w:trHeight w:val="275"/>
          <w:tblHeader/>
        </w:trPr>
        <w:tc>
          <w:tcPr>
            <w:tcW w:w="3049" w:type="pct"/>
            <w:tcBorders>
              <w:top w:val="single" w:sz="4" w:space="0" w:color="auto"/>
              <w:left w:val="single" w:sz="4" w:space="0" w:color="auto"/>
              <w:bottom w:val="single" w:sz="4" w:space="0" w:color="auto"/>
              <w:right w:val="single" w:sz="4" w:space="0" w:color="auto"/>
            </w:tcBorders>
            <w:shd w:val="clear" w:color="auto" w:fill="EDEDED"/>
          </w:tcPr>
          <w:p w14:paraId="332C17DA" w14:textId="77777777" w:rsidR="00CB7716" w:rsidRPr="00373F1A" w:rsidRDefault="00CB7716" w:rsidP="00CB7716">
            <w:pPr>
              <w:keepLines/>
              <w:rPr>
                <w:rFonts w:ascii="Calibri" w:hAnsi="Calibri"/>
                <w:color w:val="000000"/>
                <w:lang w:eastAsia="en-GB"/>
              </w:rPr>
            </w:pPr>
            <w:r>
              <w:rPr>
                <w:rFonts w:ascii="Calibri" w:hAnsi="Calibri"/>
                <w:color w:val="000000"/>
                <w:lang w:eastAsia="en-GB"/>
              </w:rPr>
              <w:t>Hours to develop documented system (category 1)</w:t>
            </w:r>
          </w:p>
        </w:tc>
        <w:tc>
          <w:tcPr>
            <w:tcW w:w="1951" w:type="pct"/>
            <w:tcBorders>
              <w:top w:val="single" w:sz="4" w:space="0" w:color="auto"/>
              <w:left w:val="single" w:sz="4" w:space="0" w:color="auto"/>
              <w:bottom w:val="single" w:sz="4" w:space="0" w:color="auto"/>
              <w:right w:val="single" w:sz="4" w:space="0" w:color="auto"/>
            </w:tcBorders>
            <w:shd w:val="clear" w:color="auto" w:fill="EDEDED"/>
            <w:noWrap/>
          </w:tcPr>
          <w:p w14:paraId="3D9BD0D3" w14:textId="77777777" w:rsidR="00CB7716" w:rsidRPr="00373F1A" w:rsidRDefault="00CB7716" w:rsidP="00CB7716">
            <w:pPr>
              <w:keepLines/>
              <w:jc w:val="center"/>
              <w:rPr>
                <w:rFonts w:ascii="Calibri" w:hAnsi="Calibri"/>
                <w:color w:val="000000"/>
                <w:lang w:eastAsia="en-GB"/>
              </w:rPr>
            </w:pPr>
            <w:r>
              <w:rPr>
                <w:rFonts w:ascii="Calibri" w:hAnsi="Calibri"/>
                <w:color w:val="000000"/>
                <w:lang w:eastAsia="en-GB"/>
              </w:rPr>
              <w:t>8</w:t>
            </w:r>
          </w:p>
        </w:tc>
      </w:tr>
      <w:tr w:rsidR="00CB7716" w:rsidRPr="00373F1A" w14:paraId="3FCF0D24" w14:textId="77777777" w:rsidTr="00CB7716">
        <w:trPr>
          <w:trHeight w:val="275"/>
          <w:tblHeader/>
        </w:trPr>
        <w:tc>
          <w:tcPr>
            <w:tcW w:w="3049" w:type="pct"/>
            <w:tcBorders>
              <w:top w:val="single" w:sz="4" w:space="0" w:color="auto"/>
              <w:left w:val="single" w:sz="4" w:space="0" w:color="auto"/>
              <w:bottom w:val="single" w:sz="4" w:space="0" w:color="auto"/>
              <w:right w:val="single" w:sz="4" w:space="0" w:color="auto"/>
            </w:tcBorders>
            <w:shd w:val="clear" w:color="auto" w:fill="EDEDED"/>
          </w:tcPr>
          <w:p w14:paraId="2B7F2123" w14:textId="77777777" w:rsidR="00CB7716" w:rsidRPr="00373F1A" w:rsidRDefault="00CB7716" w:rsidP="00CB7716">
            <w:pPr>
              <w:keepLines/>
              <w:rPr>
                <w:rFonts w:ascii="Calibri" w:hAnsi="Calibri"/>
                <w:color w:val="000000"/>
                <w:lang w:eastAsia="en-GB"/>
              </w:rPr>
            </w:pPr>
            <w:r>
              <w:rPr>
                <w:rFonts w:ascii="Calibri" w:hAnsi="Calibri"/>
                <w:color w:val="000000"/>
                <w:lang w:eastAsia="en-GB"/>
              </w:rPr>
              <w:t>Hours to develop documented system (category 2)</w:t>
            </w:r>
          </w:p>
        </w:tc>
        <w:tc>
          <w:tcPr>
            <w:tcW w:w="1951" w:type="pct"/>
            <w:tcBorders>
              <w:top w:val="single" w:sz="4" w:space="0" w:color="auto"/>
              <w:left w:val="single" w:sz="4" w:space="0" w:color="auto"/>
              <w:bottom w:val="single" w:sz="4" w:space="0" w:color="auto"/>
              <w:right w:val="single" w:sz="4" w:space="0" w:color="auto"/>
            </w:tcBorders>
            <w:shd w:val="clear" w:color="auto" w:fill="EDEDED"/>
            <w:noWrap/>
          </w:tcPr>
          <w:p w14:paraId="47270A9D" w14:textId="77777777" w:rsidR="00CB7716" w:rsidRPr="00373F1A" w:rsidRDefault="00CB7716" w:rsidP="00CB7716">
            <w:pPr>
              <w:keepLines/>
              <w:jc w:val="center"/>
              <w:rPr>
                <w:rFonts w:ascii="Calibri" w:hAnsi="Calibri"/>
                <w:color w:val="000000"/>
                <w:lang w:eastAsia="en-GB"/>
              </w:rPr>
            </w:pPr>
            <w:r>
              <w:rPr>
                <w:rFonts w:ascii="Calibri" w:hAnsi="Calibri"/>
                <w:color w:val="000000"/>
                <w:lang w:eastAsia="en-GB"/>
              </w:rPr>
              <w:t>6</w:t>
            </w:r>
          </w:p>
        </w:tc>
      </w:tr>
      <w:tr w:rsidR="00CB7716" w:rsidRPr="00373F1A" w14:paraId="71EE35C0" w14:textId="77777777" w:rsidTr="00CB7716">
        <w:trPr>
          <w:trHeight w:val="275"/>
          <w:tblHeader/>
        </w:trPr>
        <w:tc>
          <w:tcPr>
            <w:tcW w:w="3049" w:type="pct"/>
            <w:tcBorders>
              <w:top w:val="single" w:sz="4" w:space="0" w:color="auto"/>
              <w:left w:val="single" w:sz="4" w:space="0" w:color="auto"/>
              <w:bottom w:val="single" w:sz="4" w:space="0" w:color="auto"/>
              <w:right w:val="single" w:sz="4" w:space="0" w:color="auto"/>
            </w:tcBorders>
            <w:shd w:val="clear" w:color="auto" w:fill="EDEDED"/>
          </w:tcPr>
          <w:p w14:paraId="0537EB55" w14:textId="77777777" w:rsidR="00CB7716" w:rsidRPr="00373F1A" w:rsidRDefault="00CB7716" w:rsidP="00CB7716">
            <w:pPr>
              <w:keepLines/>
              <w:rPr>
                <w:rFonts w:ascii="Calibri" w:hAnsi="Calibri"/>
                <w:color w:val="000000"/>
                <w:lang w:eastAsia="en-GB"/>
              </w:rPr>
            </w:pPr>
            <w:r>
              <w:rPr>
                <w:rFonts w:ascii="Calibri" w:hAnsi="Calibri"/>
                <w:color w:val="000000"/>
                <w:lang w:eastAsia="en-GB"/>
              </w:rPr>
              <w:t>Hours to train each staff member to use the system</w:t>
            </w:r>
          </w:p>
        </w:tc>
        <w:tc>
          <w:tcPr>
            <w:tcW w:w="1951" w:type="pct"/>
            <w:tcBorders>
              <w:top w:val="single" w:sz="4" w:space="0" w:color="auto"/>
              <w:left w:val="single" w:sz="4" w:space="0" w:color="auto"/>
              <w:bottom w:val="single" w:sz="4" w:space="0" w:color="auto"/>
              <w:right w:val="single" w:sz="4" w:space="0" w:color="auto"/>
            </w:tcBorders>
            <w:shd w:val="clear" w:color="auto" w:fill="EDEDED"/>
            <w:noWrap/>
          </w:tcPr>
          <w:p w14:paraId="4D4BD9C5" w14:textId="77777777" w:rsidR="00CB7716" w:rsidRPr="00373F1A" w:rsidRDefault="00CB7716" w:rsidP="00CB7716">
            <w:pPr>
              <w:keepLines/>
              <w:jc w:val="center"/>
              <w:rPr>
                <w:rFonts w:ascii="Calibri" w:hAnsi="Calibri"/>
                <w:color w:val="000000"/>
                <w:lang w:eastAsia="en-GB"/>
              </w:rPr>
            </w:pPr>
            <w:r>
              <w:rPr>
                <w:rFonts w:ascii="Calibri" w:hAnsi="Calibri"/>
                <w:color w:val="000000"/>
                <w:lang w:eastAsia="en-GB"/>
              </w:rPr>
              <w:t>0.5</w:t>
            </w:r>
          </w:p>
        </w:tc>
      </w:tr>
    </w:tbl>
    <w:p w14:paraId="5A910920" w14:textId="77777777" w:rsidR="00CB7716" w:rsidRPr="00373F1A" w:rsidRDefault="00CB7716" w:rsidP="00CB7716">
      <w:pPr>
        <w:rPr>
          <w:lang w:eastAsia="en-AU"/>
        </w:rPr>
      </w:pPr>
    </w:p>
    <w:p w14:paraId="0917EC91" w14:textId="77777777" w:rsidR="00CB7716" w:rsidRDefault="00CB7716" w:rsidP="0000604C">
      <w:pPr>
        <w:spacing w:after="240"/>
        <w:rPr>
          <w:lang w:eastAsia="en-AU"/>
        </w:rPr>
      </w:pPr>
      <w:r>
        <w:rPr>
          <w:lang w:eastAsia="en-AU"/>
        </w:rPr>
        <w:t>B</w:t>
      </w:r>
      <w:r w:rsidRPr="00373F1A">
        <w:rPr>
          <w:lang w:eastAsia="en-AU"/>
        </w:rPr>
        <w:t xml:space="preserve">ased on assumptions in Table </w:t>
      </w:r>
      <w:r>
        <w:rPr>
          <w:lang w:eastAsia="en-AU"/>
        </w:rPr>
        <w:t>5 (e.g. current wage costs)</w:t>
      </w:r>
      <w:r w:rsidRPr="00373F1A">
        <w:rPr>
          <w:lang w:eastAsia="en-AU"/>
        </w:rPr>
        <w:t xml:space="preserve">, FSANZ estimated the cost of implementing </w:t>
      </w:r>
      <w:r>
        <w:rPr>
          <w:lang w:eastAsia="en-AU"/>
        </w:rPr>
        <w:t>the E tool in T</w:t>
      </w:r>
      <w:r w:rsidRPr="00373F1A">
        <w:rPr>
          <w:lang w:eastAsia="en-AU"/>
        </w:rPr>
        <w:t xml:space="preserve">able </w:t>
      </w:r>
      <w:r>
        <w:rPr>
          <w:lang w:eastAsia="en-AU"/>
        </w:rPr>
        <w:t>6</w:t>
      </w:r>
      <w:r w:rsidRPr="00373F1A">
        <w:rPr>
          <w:lang w:eastAsia="en-AU"/>
        </w:rPr>
        <w:t>.</w:t>
      </w:r>
    </w:p>
    <w:p w14:paraId="75DB2547" w14:textId="77777777" w:rsidR="00CB7716" w:rsidRPr="008F342F" w:rsidRDefault="00CB7716" w:rsidP="00CB7716">
      <w:pPr>
        <w:pStyle w:val="FSTableFigureHeading"/>
        <w:rPr>
          <w:sz w:val="20"/>
        </w:rPr>
      </w:pPr>
      <w:r w:rsidRPr="008F342F">
        <w:rPr>
          <w:sz w:val="20"/>
        </w:rPr>
        <w:t>Table 6: FSANZ cost estimates of implementing the E tool by business category</w:t>
      </w:r>
    </w:p>
    <w:tbl>
      <w:tblPr>
        <w:tblStyle w:val="GridTable4-Accent6"/>
        <w:tblW w:w="5000" w:type="pct"/>
        <w:tblLook w:val="04A0" w:firstRow="1" w:lastRow="0" w:firstColumn="1" w:lastColumn="0" w:noHBand="0" w:noVBand="1"/>
      </w:tblPr>
      <w:tblGrid>
        <w:gridCol w:w="2364"/>
        <w:gridCol w:w="2815"/>
        <w:gridCol w:w="1701"/>
        <w:gridCol w:w="2180"/>
      </w:tblGrid>
      <w:tr w:rsidR="00CB7716" w:rsidRPr="00373F1A" w14:paraId="09545C4A" w14:textId="77777777" w:rsidTr="00DE0E16">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04" w:type="pct"/>
            <w:noWrap/>
            <w:hideMark/>
          </w:tcPr>
          <w:p w14:paraId="7332143E" w14:textId="77777777" w:rsidR="00CB7716" w:rsidRPr="00373F1A" w:rsidRDefault="00CB7716" w:rsidP="00CB7716">
            <w:pPr>
              <w:rPr>
                <w:rFonts w:ascii="Calibri" w:hAnsi="Calibri" w:cs="Calibri"/>
                <w:color w:val="000000"/>
              </w:rPr>
            </w:pPr>
            <w:r w:rsidRPr="00373F1A">
              <w:rPr>
                <w:rFonts w:ascii="Calibri" w:hAnsi="Calibri" w:cs="Calibri"/>
                <w:color w:val="000000"/>
              </w:rPr>
              <w:t>Category</w:t>
            </w:r>
          </w:p>
        </w:tc>
        <w:tc>
          <w:tcPr>
            <w:tcW w:w="1553" w:type="pct"/>
            <w:noWrap/>
            <w:hideMark/>
          </w:tcPr>
          <w:p w14:paraId="633F8DAD" w14:textId="77777777" w:rsidR="00CB7716" w:rsidRPr="00373F1A" w:rsidRDefault="00CB7716" w:rsidP="00CB7716">
            <w:pPr>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000000"/>
              </w:rPr>
            </w:pPr>
            <w:r w:rsidRPr="00373F1A">
              <w:rPr>
                <w:rFonts w:ascii="Calibri" w:hAnsi="Calibri" w:cs="Calibri"/>
                <w:color w:val="000000"/>
              </w:rPr>
              <w:t>Development ($)</w:t>
            </w:r>
          </w:p>
        </w:tc>
        <w:tc>
          <w:tcPr>
            <w:tcW w:w="939" w:type="pct"/>
            <w:noWrap/>
            <w:hideMark/>
          </w:tcPr>
          <w:p w14:paraId="182B0921" w14:textId="77777777" w:rsidR="00CB7716" w:rsidRPr="00373F1A" w:rsidRDefault="00CB7716" w:rsidP="00CB7716">
            <w:pPr>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000000"/>
              </w:rPr>
            </w:pPr>
            <w:r w:rsidRPr="00373F1A">
              <w:rPr>
                <w:rFonts w:ascii="Calibri" w:hAnsi="Calibri" w:cs="Calibri"/>
                <w:color w:val="000000"/>
              </w:rPr>
              <w:t>Training ($)</w:t>
            </w:r>
          </w:p>
        </w:tc>
        <w:tc>
          <w:tcPr>
            <w:tcW w:w="1203" w:type="pct"/>
            <w:noWrap/>
            <w:hideMark/>
          </w:tcPr>
          <w:p w14:paraId="460A0450" w14:textId="77777777" w:rsidR="00CB7716" w:rsidRPr="00373F1A" w:rsidRDefault="00CB7716" w:rsidP="00CB7716">
            <w:pPr>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000000"/>
              </w:rPr>
            </w:pPr>
            <w:r w:rsidRPr="00373F1A">
              <w:rPr>
                <w:rFonts w:ascii="Calibri" w:hAnsi="Calibri" w:cs="Calibri"/>
                <w:color w:val="000000"/>
              </w:rPr>
              <w:t>Total per business ($)</w:t>
            </w:r>
          </w:p>
        </w:tc>
      </w:tr>
      <w:tr w:rsidR="00CB7716" w:rsidRPr="00373F1A" w14:paraId="1415933B" w14:textId="77777777" w:rsidTr="00DE0E1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04" w:type="pct"/>
            <w:noWrap/>
            <w:hideMark/>
          </w:tcPr>
          <w:p w14:paraId="04653397" w14:textId="77777777" w:rsidR="00CB7716" w:rsidRPr="007F5AD5" w:rsidRDefault="00CB7716" w:rsidP="00CB7716">
            <w:pPr>
              <w:rPr>
                <w:rFonts w:ascii="Calibri" w:hAnsi="Calibri" w:cs="Calibri"/>
                <w:b w:val="0"/>
                <w:color w:val="000000"/>
              </w:rPr>
            </w:pPr>
            <w:r w:rsidRPr="007F5AD5">
              <w:rPr>
                <w:rFonts w:ascii="Calibri" w:hAnsi="Calibri" w:cs="Calibri"/>
                <w:b w:val="0"/>
                <w:color w:val="000000"/>
              </w:rPr>
              <w:t>Category 1 business</w:t>
            </w:r>
          </w:p>
        </w:tc>
        <w:tc>
          <w:tcPr>
            <w:tcW w:w="1553" w:type="pct"/>
            <w:noWrap/>
            <w:hideMark/>
          </w:tcPr>
          <w:p w14:paraId="3978DDE1" w14:textId="77777777" w:rsidR="00CB7716" w:rsidRPr="00373F1A" w:rsidRDefault="00CB7716" w:rsidP="00CB771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248</w:t>
            </w:r>
          </w:p>
        </w:tc>
        <w:tc>
          <w:tcPr>
            <w:tcW w:w="939" w:type="pct"/>
            <w:noWrap/>
            <w:hideMark/>
          </w:tcPr>
          <w:p w14:paraId="6CE4D927" w14:textId="77777777" w:rsidR="00CB7716" w:rsidRPr="00373F1A" w:rsidRDefault="00CB7716" w:rsidP="00CB771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75</w:t>
            </w:r>
          </w:p>
        </w:tc>
        <w:tc>
          <w:tcPr>
            <w:tcW w:w="1203" w:type="pct"/>
            <w:noWrap/>
            <w:hideMark/>
          </w:tcPr>
          <w:p w14:paraId="226B93E6" w14:textId="77777777" w:rsidR="00CB7716" w:rsidRPr="00373F1A" w:rsidRDefault="00CB7716" w:rsidP="00CB771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323</w:t>
            </w:r>
            <w:r w:rsidRPr="00373F1A">
              <w:rPr>
                <w:rFonts w:ascii="Calibri" w:hAnsi="Calibri" w:cs="Calibri"/>
                <w:color w:val="000000"/>
              </w:rPr>
              <w:t xml:space="preserve"> </w:t>
            </w:r>
          </w:p>
        </w:tc>
      </w:tr>
      <w:tr w:rsidR="00CB7716" w:rsidRPr="00373F1A" w14:paraId="1C6634EB" w14:textId="77777777" w:rsidTr="00DE0E16">
        <w:trPr>
          <w:trHeight w:val="300"/>
        </w:trPr>
        <w:tc>
          <w:tcPr>
            <w:cnfStyle w:val="001000000000" w:firstRow="0" w:lastRow="0" w:firstColumn="1" w:lastColumn="0" w:oddVBand="0" w:evenVBand="0" w:oddHBand="0" w:evenHBand="0" w:firstRowFirstColumn="0" w:firstRowLastColumn="0" w:lastRowFirstColumn="0" w:lastRowLastColumn="0"/>
            <w:tcW w:w="1304" w:type="pct"/>
            <w:noWrap/>
            <w:hideMark/>
          </w:tcPr>
          <w:p w14:paraId="1ABE0C83" w14:textId="77777777" w:rsidR="00CB7716" w:rsidRPr="007F5AD5" w:rsidRDefault="00CB7716" w:rsidP="00CB7716">
            <w:pPr>
              <w:rPr>
                <w:rFonts w:ascii="Calibri" w:hAnsi="Calibri" w:cs="Calibri"/>
                <w:b w:val="0"/>
                <w:color w:val="000000"/>
              </w:rPr>
            </w:pPr>
            <w:r w:rsidRPr="007F5AD5">
              <w:rPr>
                <w:rFonts w:ascii="Calibri" w:hAnsi="Calibri" w:cs="Calibri"/>
                <w:b w:val="0"/>
                <w:color w:val="000000"/>
              </w:rPr>
              <w:t>Category 2 business</w:t>
            </w:r>
          </w:p>
        </w:tc>
        <w:tc>
          <w:tcPr>
            <w:tcW w:w="1553" w:type="pct"/>
            <w:noWrap/>
            <w:hideMark/>
          </w:tcPr>
          <w:p w14:paraId="07F2BB69" w14:textId="77777777" w:rsidR="00CB7716" w:rsidRPr="00373F1A" w:rsidRDefault="00CB7716" w:rsidP="00CB771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201</w:t>
            </w:r>
          </w:p>
        </w:tc>
        <w:tc>
          <w:tcPr>
            <w:tcW w:w="939" w:type="pct"/>
            <w:noWrap/>
            <w:hideMark/>
          </w:tcPr>
          <w:p w14:paraId="060C5901" w14:textId="77777777" w:rsidR="00CB7716" w:rsidRPr="00373F1A" w:rsidRDefault="00CB7716" w:rsidP="00CB771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75</w:t>
            </w:r>
          </w:p>
        </w:tc>
        <w:tc>
          <w:tcPr>
            <w:tcW w:w="1203" w:type="pct"/>
            <w:noWrap/>
            <w:hideMark/>
          </w:tcPr>
          <w:p w14:paraId="22BF3523" w14:textId="77777777" w:rsidR="00CB7716" w:rsidRPr="00373F1A" w:rsidRDefault="00CB7716" w:rsidP="00CB771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373F1A">
              <w:rPr>
                <w:rFonts w:ascii="Calibri" w:hAnsi="Calibri" w:cs="Calibri"/>
                <w:color w:val="000000"/>
              </w:rPr>
              <w:t>2</w:t>
            </w:r>
            <w:r>
              <w:rPr>
                <w:rFonts w:ascii="Calibri" w:hAnsi="Calibri" w:cs="Calibri"/>
                <w:color w:val="000000"/>
              </w:rPr>
              <w:t>76</w:t>
            </w:r>
            <w:r w:rsidRPr="00373F1A">
              <w:rPr>
                <w:rFonts w:ascii="Calibri" w:hAnsi="Calibri" w:cs="Calibri"/>
                <w:color w:val="000000"/>
              </w:rPr>
              <w:t xml:space="preserve"> </w:t>
            </w:r>
          </w:p>
        </w:tc>
      </w:tr>
    </w:tbl>
    <w:p w14:paraId="2610BBF5" w14:textId="77777777" w:rsidR="0000604C" w:rsidRDefault="0000604C" w:rsidP="0000604C">
      <w:pPr>
        <w:spacing w:after="240"/>
        <w:rPr>
          <w:rFonts w:eastAsiaTheme="majorEastAsia"/>
          <w:lang w:eastAsia="en-AU"/>
        </w:rPr>
      </w:pPr>
    </w:p>
    <w:p w14:paraId="1808CD80" w14:textId="65526C47" w:rsidR="00CB7716" w:rsidRPr="0000604C" w:rsidRDefault="00CB7716" w:rsidP="0000604C">
      <w:pPr>
        <w:rPr>
          <w:rFonts w:eastAsiaTheme="majorEastAsia"/>
          <w:i/>
          <w:lang w:eastAsia="en-AU"/>
        </w:rPr>
      </w:pPr>
      <w:r w:rsidRPr="0000604C">
        <w:rPr>
          <w:rFonts w:eastAsiaTheme="majorEastAsia"/>
          <w:i/>
          <w:lang w:eastAsia="en-AU"/>
        </w:rPr>
        <w:t>Ongoing requirements</w:t>
      </w:r>
    </w:p>
    <w:p w14:paraId="24C06ED5" w14:textId="77777777" w:rsidR="00CB7716" w:rsidRPr="00373F1A" w:rsidRDefault="00CB7716" w:rsidP="0000604C">
      <w:pPr>
        <w:spacing w:after="240"/>
        <w:rPr>
          <w:lang w:eastAsia="en-AU"/>
        </w:rPr>
      </w:pPr>
      <w:r w:rsidRPr="68C0CA2D">
        <w:rPr>
          <w:lang w:eastAsia="en-AU"/>
        </w:rPr>
        <w:t>The ongoing costs in a business reflect the additional labour time involved in creating the evidence, and the need for an annual review of the system. It was assumed that Category 1 businesses will spend between 10 and 12 minutes per day creating this evidence, depending on their handling activities (70</w:t>
      </w:r>
      <w:r w:rsidRPr="68C0CA2D">
        <w:rPr>
          <w:rFonts w:cs="Arial"/>
          <w:lang w:eastAsia="en-AU"/>
        </w:rPr>
        <w:t>−</w:t>
      </w:r>
      <w:r w:rsidRPr="68C0CA2D">
        <w:rPr>
          <w:lang w:eastAsia="en-AU"/>
        </w:rPr>
        <w:t>84 minutes per week, 60.6</w:t>
      </w:r>
      <w:r w:rsidRPr="68C0CA2D">
        <w:rPr>
          <w:rFonts w:cs="Arial"/>
          <w:lang w:eastAsia="en-AU"/>
        </w:rPr>
        <w:t>−</w:t>
      </w:r>
      <w:r w:rsidRPr="68C0CA2D">
        <w:rPr>
          <w:lang w:eastAsia="en-AU"/>
        </w:rPr>
        <w:t xml:space="preserve">72.8 hours per annum). Category 2 businesses </w:t>
      </w:r>
      <w:bookmarkStart w:id="164" w:name="_GoBack"/>
      <w:bookmarkEnd w:id="164"/>
      <w:r w:rsidRPr="68C0CA2D">
        <w:rPr>
          <w:lang w:eastAsia="en-AU"/>
        </w:rPr>
        <w:t xml:space="preserve">were assumed to spend </w:t>
      </w:r>
      <w:r>
        <w:t>eight minutes</w:t>
      </w:r>
      <w:r w:rsidRPr="68C0CA2D">
        <w:rPr>
          <w:lang w:eastAsia="en-AU"/>
        </w:rPr>
        <w:t xml:space="preserve"> per day (56 minutes per week, 48.5 hours per annum). This timing is based on the assumption that all businesses operate seven days per week, 52 weeks per annum.</w:t>
      </w:r>
    </w:p>
    <w:p w14:paraId="0568B83A" w14:textId="77777777" w:rsidR="00CB7716" w:rsidRPr="00373F1A" w:rsidRDefault="00CB7716" w:rsidP="0000604C">
      <w:pPr>
        <w:spacing w:after="240"/>
        <w:rPr>
          <w:lang w:eastAsia="en-AU"/>
        </w:rPr>
      </w:pPr>
      <w:r w:rsidRPr="00373F1A">
        <w:rPr>
          <w:lang w:eastAsia="en-AU"/>
        </w:rPr>
        <w:t xml:space="preserve">The </w:t>
      </w:r>
      <w:r w:rsidRPr="00373F1A">
        <w:t>various assumptions used to calculate the cost of maintaining a</w:t>
      </w:r>
      <w:r>
        <w:t>n</w:t>
      </w:r>
      <w:r w:rsidRPr="00373F1A">
        <w:t xml:space="preserve"> </w:t>
      </w:r>
      <w:r>
        <w:rPr>
          <w:lang w:eastAsia="en-AU"/>
        </w:rPr>
        <w:t>E</w:t>
      </w:r>
      <w:r w:rsidRPr="00373F1A">
        <w:rPr>
          <w:lang w:eastAsia="en-AU"/>
        </w:rPr>
        <w:t xml:space="preserve"> tool for businesses are shown in Table 7.</w:t>
      </w:r>
    </w:p>
    <w:p w14:paraId="1D702A31" w14:textId="77777777" w:rsidR="00CB7716" w:rsidRPr="00FA2DC4" w:rsidRDefault="00CB7716" w:rsidP="00CB7716">
      <w:pPr>
        <w:pStyle w:val="FSTableFigureHeading"/>
        <w:rPr>
          <w:sz w:val="20"/>
        </w:rPr>
      </w:pPr>
      <w:r w:rsidRPr="00FA2DC4">
        <w:rPr>
          <w:sz w:val="20"/>
        </w:rPr>
        <w:t>Table 7: Assumptions used to calculate the cost of maintaining E tool for food businesses</w:t>
      </w:r>
    </w:p>
    <w:tbl>
      <w:tblPr>
        <w:tblW w:w="5000" w:type="pct"/>
        <w:tblLook w:val="04A0" w:firstRow="1" w:lastRow="0" w:firstColumn="1" w:lastColumn="0" w:noHBand="0" w:noVBand="1"/>
      </w:tblPr>
      <w:tblGrid>
        <w:gridCol w:w="5360"/>
        <w:gridCol w:w="3700"/>
      </w:tblGrid>
      <w:tr w:rsidR="00CB7716" w:rsidRPr="00373F1A" w14:paraId="2EB81B96" w14:textId="77777777" w:rsidTr="00CB7716">
        <w:trPr>
          <w:trHeight w:val="345"/>
          <w:tblHeader/>
        </w:trPr>
        <w:tc>
          <w:tcPr>
            <w:tcW w:w="5000" w:type="pct"/>
            <w:gridSpan w:val="2"/>
            <w:tcBorders>
              <w:top w:val="single" w:sz="4" w:space="0" w:color="FFFFFF" w:themeColor="background1"/>
              <w:left w:val="single" w:sz="4" w:space="0" w:color="000000" w:themeColor="text1"/>
              <w:bottom w:val="single" w:sz="4" w:space="0" w:color="000000" w:themeColor="text1"/>
              <w:right w:val="single" w:sz="4" w:space="0" w:color="000000" w:themeColor="text1"/>
            </w:tcBorders>
            <w:shd w:val="clear" w:color="auto" w:fill="003300"/>
            <w:hideMark/>
          </w:tcPr>
          <w:p w14:paraId="730F5837" w14:textId="77777777" w:rsidR="00CB7716" w:rsidRPr="00373F1A" w:rsidRDefault="00CB7716" w:rsidP="00CB7716">
            <w:pPr>
              <w:keepLines/>
              <w:jc w:val="center"/>
              <w:rPr>
                <w:rFonts w:ascii="Calibri" w:hAnsi="Calibri"/>
                <w:b/>
                <w:bCs/>
                <w:color w:val="F2F2F2"/>
                <w:sz w:val="26"/>
                <w:szCs w:val="26"/>
                <w:lang w:eastAsia="en-GB"/>
              </w:rPr>
            </w:pPr>
            <w:r>
              <w:rPr>
                <w:rFonts w:ascii="Calibri" w:hAnsi="Calibri"/>
                <w:b/>
                <w:bCs/>
                <w:color w:val="F2F2F2"/>
                <w:sz w:val="26"/>
                <w:szCs w:val="26"/>
                <w:lang w:eastAsia="en-GB"/>
              </w:rPr>
              <w:t>E</w:t>
            </w:r>
            <w:r w:rsidRPr="00373F1A">
              <w:rPr>
                <w:rFonts w:ascii="Calibri" w:hAnsi="Calibri"/>
                <w:b/>
                <w:bCs/>
                <w:color w:val="F2F2F2"/>
                <w:sz w:val="26"/>
                <w:szCs w:val="26"/>
                <w:lang w:eastAsia="en-GB"/>
              </w:rPr>
              <w:t xml:space="preserve"> costs and assumptions - ongoing</w:t>
            </w:r>
          </w:p>
        </w:tc>
      </w:tr>
      <w:tr w:rsidR="00CB7716" w:rsidRPr="00373F1A" w14:paraId="7404CA88" w14:textId="77777777" w:rsidTr="00CB7716">
        <w:trPr>
          <w:trHeight w:val="274"/>
          <w:tblHeader/>
        </w:trPr>
        <w:tc>
          <w:tcPr>
            <w:tcW w:w="2958" w:type="pct"/>
            <w:tcBorders>
              <w:top w:val="nil"/>
              <w:left w:val="single" w:sz="4" w:space="0" w:color="000000" w:themeColor="text1"/>
              <w:bottom w:val="nil"/>
              <w:right w:val="single" w:sz="4" w:space="0" w:color="000000" w:themeColor="text1"/>
            </w:tcBorders>
            <w:shd w:val="clear" w:color="auto" w:fill="EDEDED"/>
          </w:tcPr>
          <w:p w14:paraId="680708A8" w14:textId="77777777" w:rsidR="00CB7716" w:rsidRPr="00373F1A" w:rsidRDefault="00CB7716" w:rsidP="00CB7716">
            <w:pPr>
              <w:keepLines/>
              <w:rPr>
                <w:rFonts w:ascii="Calibri" w:hAnsi="Calibri"/>
                <w:color w:val="000000"/>
                <w:lang w:eastAsia="en-GB"/>
              </w:rPr>
            </w:pPr>
            <w:r w:rsidRPr="00373F1A">
              <w:rPr>
                <w:rFonts w:ascii="Calibri" w:hAnsi="Calibri"/>
                <w:color w:val="000000"/>
                <w:lang w:eastAsia="en-GB"/>
              </w:rPr>
              <w:t>Food handler wage</w:t>
            </w:r>
          </w:p>
        </w:tc>
        <w:tc>
          <w:tcPr>
            <w:tcW w:w="2042" w:type="pct"/>
            <w:tcBorders>
              <w:top w:val="nil"/>
              <w:left w:val="nil"/>
              <w:bottom w:val="nil"/>
              <w:right w:val="single" w:sz="4" w:space="0" w:color="000000" w:themeColor="text1"/>
            </w:tcBorders>
            <w:shd w:val="clear" w:color="auto" w:fill="EDEDED"/>
            <w:noWrap/>
          </w:tcPr>
          <w:p w14:paraId="70E3F397" w14:textId="77777777" w:rsidR="00CB7716" w:rsidRPr="00373F1A" w:rsidRDefault="00CB7716" w:rsidP="00CB7716">
            <w:pPr>
              <w:keepLines/>
              <w:jc w:val="center"/>
              <w:rPr>
                <w:rFonts w:ascii="Calibri" w:hAnsi="Calibri"/>
                <w:color w:val="000000"/>
                <w:lang w:eastAsia="en-GB"/>
              </w:rPr>
            </w:pPr>
            <w:r w:rsidRPr="00373F1A">
              <w:rPr>
                <w:rFonts w:ascii="Calibri" w:hAnsi="Calibri"/>
                <w:color w:val="000000"/>
                <w:lang w:eastAsia="en-GB"/>
              </w:rPr>
              <w:t>$23 p/h (from award)</w:t>
            </w:r>
          </w:p>
        </w:tc>
      </w:tr>
      <w:tr w:rsidR="00CB7716" w:rsidRPr="00373F1A" w14:paraId="42C455D7" w14:textId="77777777" w:rsidTr="00CB7716">
        <w:trPr>
          <w:trHeight w:val="274"/>
          <w:tblHeader/>
        </w:trPr>
        <w:tc>
          <w:tcPr>
            <w:tcW w:w="2958" w:type="pct"/>
            <w:tcBorders>
              <w:top w:val="nil"/>
              <w:left w:val="single" w:sz="4" w:space="0" w:color="000000" w:themeColor="text1"/>
              <w:bottom w:val="nil"/>
              <w:right w:val="single" w:sz="4" w:space="0" w:color="000000" w:themeColor="text1"/>
            </w:tcBorders>
            <w:shd w:val="clear" w:color="auto" w:fill="EDEDED"/>
          </w:tcPr>
          <w:p w14:paraId="76DACC26" w14:textId="77777777" w:rsidR="00CB7716" w:rsidRDefault="00CB7716" w:rsidP="00CB7716">
            <w:pPr>
              <w:keepLines/>
              <w:rPr>
                <w:rFonts w:ascii="Calibri" w:hAnsi="Calibri"/>
                <w:color w:val="000000"/>
                <w:lang w:eastAsia="en-GB"/>
              </w:rPr>
            </w:pPr>
            <w:r w:rsidRPr="00373F1A">
              <w:rPr>
                <w:rFonts w:ascii="Calibri" w:hAnsi="Calibri"/>
                <w:color w:val="000000"/>
                <w:lang w:eastAsia="en-GB"/>
              </w:rPr>
              <w:t>Wage on costs</w:t>
            </w:r>
          </w:p>
        </w:tc>
        <w:tc>
          <w:tcPr>
            <w:tcW w:w="2042" w:type="pct"/>
            <w:tcBorders>
              <w:top w:val="nil"/>
              <w:left w:val="nil"/>
              <w:bottom w:val="nil"/>
              <w:right w:val="single" w:sz="4" w:space="0" w:color="000000" w:themeColor="text1"/>
            </w:tcBorders>
            <w:shd w:val="clear" w:color="auto" w:fill="EDEDED"/>
            <w:noWrap/>
          </w:tcPr>
          <w:p w14:paraId="42D6BAAD" w14:textId="77777777" w:rsidR="00CB7716" w:rsidRDefault="00CB7716" w:rsidP="00CB7716">
            <w:pPr>
              <w:keepLines/>
              <w:jc w:val="center"/>
              <w:rPr>
                <w:rFonts w:ascii="Calibri" w:hAnsi="Calibri"/>
                <w:color w:val="000000"/>
                <w:lang w:eastAsia="en-GB"/>
              </w:rPr>
            </w:pPr>
            <w:r>
              <w:rPr>
                <w:rFonts w:ascii="Calibri" w:hAnsi="Calibri"/>
                <w:color w:val="000000"/>
                <w:lang w:eastAsia="en-GB"/>
              </w:rPr>
              <w:t>30</w:t>
            </w:r>
            <w:r w:rsidRPr="00373F1A">
              <w:rPr>
                <w:rFonts w:ascii="Calibri" w:hAnsi="Calibri"/>
                <w:color w:val="000000"/>
                <w:lang w:eastAsia="en-GB"/>
              </w:rPr>
              <w:t>%</w:t>
            </w:r>
          </w:p>
        </w:tc>
      </w:tr>
      <w:tr w:rsidR="00CB7716" w:rsidRPr="00373F1A" w14:paraId="65088F55" w14:textId="77777777" w:rsidTr="00CB7716">
        <w:trPr>
          <w:trHeight w:val="274"/>
          <w:tblHeader/>
        </w:trPr>
        <w:tc>
          <w:tcPr>
            <w:tcW w:w="2958" w:type="pct"/>
            <w:tcBorders>
              <w:top w:val="nil"/>
              <w:left w:val="single" w:sz="4" w:space="0" w:color="000000" w:themeColor="text1"/>
              <w:bottom w:val="nil"/>
              <w:right w:val="single" w:sz="4" w:space="0" w:color="000000" w:themeColor="text1"/>
            </w:tcBorders>
            <w:shd w:val="clear" w:color="auto" w:fill="EDEDED"/>
          </w:tcPr>
          <w:p w14:paraId="011DEE87" w14:textId="77777777" w:rsidR="00CB7716" w:rsidRDefault="00CB7716" w:rsidP="00CB7716">
            <w:pPr>
              <w:keepLines/>
              <w:rPr>
                <w:rFonts w:ascii="Calibri" w:hAnsi="Calibri"/>
                <w:color w:val="000000"/>
                <w:lang w:eastAsia="en-GB"/>
              </w:rPr>
            </w:pPr>
            <w:r w:rsidRPr="00373F1A">
              <w:rPr>
                <w:rFonts w:ascii="Calibri" w:hAnsi="Calibri" w:cs="Calibri"/>
                <w:color w:val="000000"/>
              </w:rPr>
              <w:t xml:space="preserve">Category 1 business </w:t>
            </w:r>
            <w:r>
              <w:rPr>
                <w:rFonts w:ascii="Calibri" w:hAnsi="Calibri" w:cs="Calibri"/>
                <w:color w:val="000000"/>
              </w:rPr>
              <w:t>E</w:t>
            </w:r>
            <w:r w:rsidRPr="00373F1A">
              <w:rPr>
                <w:rFonts w:ascii="Calibri" w:hAnsi="Calibri" w:cs="Calibri"/>
                <w:color w:val="000000"/>
              </w:rPr>
              <w:t xml:space="preserve"> hours per annum</w:t>
            </w:r>
          </w:p>
        </w:tc>
        <w:tc>
          <w:tcPr>
            <w:tcW w:w="2042" w:type="pct"/>
            <w:tcBorders>
              <w:top w:val="nil"/>
              <w:left w:val="nil"/>
              <w:bottom w:val="nil"/>
              <w:right w:val="single" w:sz="4" w:space="0" w:color="000000" w:themeColor="text1"/>
            </w:tcBorders>
            <w:shd w:val="clear" w:color="auto" w:fill="EDEDED"/>
            <w:noWrap/>
          </w:tcPr>
          <w:p w14:paraId="74546737" w14:textId="77777777" w:rsidR="00CB7716" w:rsidRDefault="00CB7716" w:rsidP="00CB7716">
            <w:pPr>
              <w:keepLines/>
              <w:jc w:val="center"/>
              <w:rPr>
                <w:rFonts w:ascii="Calibri" w:hAnsi="Calibri"/>
                <w:color w:val="000000"/>
                <w:lang w:eastAsia="en-GB"/>
              </w:rPr>
            </w:pPr>
            <w:r w:rsidRPr="25DEA6C8">
              <w:rPr>
                <w:rFonts w:ascii="Calibri" w:hAnsi="Calibri" w:cs="Calibri"/>
                <w:color w:val="000000" w:themeColor="text1"/>
              </w:rPr>
              <w:t>52</w:t>
            </w:r>
          </w:p>
        </w:tc>
      </w:tr>
      <w:tr w:rsidR="00CB7716" w:rsidRPr="00373F1A" w14:paraId="1DC5DEBA" w14:textId="77777777" w:rsidTr="00CB7716">
        <w:trPr>
          <w:trHeight w:val="274"/>
          <w:tblHeader/>
        </w:trPr>
        <w:tc>
          <w:tcPr>
            <w:tcW w:w="2958" w:type="pct"/>
            <w:tcBorders>
              <w:top w:val="nil"/>
              <w:left w:val="single" w:sz="4" w:space="0" w:color="000000" w:themeColor="text1"/>
              <w:bottom w:val="single" w:sz="4" w:space="0" w:color="000000" w:themeColor="text1"/>
              <w:right w:val="single" w:sz="4" w:space="0" w:color="000000" w:themeColor="text1"/>
            </w:tcBorders>
            <w:shd w:val="clear" w:color="auto" w:fill="EDEDED"/>
          </w:tcPr>
          <w:p w14:paraId="146F99E8" w14:textId="77777777" w:rsidR="00CB7716" w:rsidRDefault="00CB7716" w:rsidP="00CB7716">
            <w:pPr>
              <w:keepLines/>
              <w:rPr>
                <w:rFonts w:ascii="Calibri" w:hAnsi="Calibri"/>
                <w:color w:val="000000"/>
                <w:lang w:eastAsia="en-GB"/>
              </w:rPr>
            </w:pPr>
            <w:r w:rsidRPr="00373F1A">
              <w:rPr>
                <w:rFonts w:ascii="Calibri" w:hAnsi="Calibri" w:cs="Calibri"/>
                <w:color w:val="000000"/>
              </w:rPr>
              <w:t xml:space="preserve">Category 2 business </w:t>
            </w:r>
            <w:r>
              <w:rPr>
                <w:rFonts w:ascii="Calibri" w:hAnsi="Calibri" w:cs="Calibri"/>
                <w:color w:val="000000"/>
              </w:rPr>
              <w:t>E</w:t>
            </w:r>
            <w:r w:rsidRPr="00373F1A">
              <w:rPr>
                <w:rFonts w:ascii="Calibri" w:hAnsi="Calibri" w:cs="Calibri"/>
                <w:color w:val="000000"/>
              </w:rPr>
              <w:t xml:space="preserve"> hours per annum</w:t>
            </w:r>
          </w:p>
        </w:tc>
        <w:tc>
          <w:tcPr>
            <w:tcW w:w="2042" w:type="pct"/>
            <w:tcBorders>
              <w:top w:val="nil"/>
              <w:left w:val="nil"/>
              <w:bottom w:val="single" w:sz="4" w:space="0" w:color="000000" w:themeColor="text1"/>
              <w:right w:val="single" w:sz="4" w:space="0" w:color="000000" w:themeColor="text1"/>
            </w:tcBorders>
            <w:shd w:val="clear" w:color="auto" w:fill="EDEDED"/>
            <w:noWrap/>
          </w:tcPr>
          <w:p w14:paraId="18700D95" w14:textId="77777777" w:rsidR="00CB7716" w:rsidRDefault="00CB7716" w:rsidP="00CB7716">
            <w:pPr>
              <w:keepLines/>
              <w:jc w:val="center"/>
              <w:rPr>
                <w:rFonts w:ascii="Calibri" w:hAnsi="Calibri"/>
                <w:color w:val="000000"/>
                <w:lang w:eastAsia="en-GB"/>
              </w:rPr>
            </w:pPr>
            <w:r w:rsidRPr="48861835" w:rsidDel="005B22F8">
              <w:rPr>
                <w:rFonts w:ascii="Calibri" w:hAnsi="Calibri" w:cs="Calibri"/>
                <w:color w:val="000000" w:themeColor="text1"/>
              </w:rPr>
              <w:t>39</w:t>
            </w:r>
          </w:p>
        </w:tc>
      </w:tr>
    </w:tbl>
    <w:p w14:paraId="4AFE57FE" w14:textId="77777777" w:rsidR="00CB7716" w:rsidRPr="00212B50" w:rsidRDefault="00CB7716" w:rsidP="00CB7716">
      <w:pPr>
        <w:rPr>
          <w:sz w:val="20"/>
          <w:lang w:eastAsia="en-AU"/>
        </w:rPr>
      </w:pPr>
    </w:p>
    <w:p w14:paraId="0F8E2857" w14:textId="1823F154" w:rsidR="00CB7716" w:rsidRPr="0000604C" w:rsidRDefault="00CB7716" w:rsidP="0000604C">
      <w:pPr>
        <w:spacing w:after="240"/>
        <w:rPr>
          <w:lang w:eastAsia="en-AU"/>
        </w:rPr>
      </w:pPr>
      <w:r w:rsidRPr="00373F1A">
        <w:rPr>
          <w:lang w:eastAsia="en-AU"/>
        </w:rPr>
        <w:t xml:space="preserve">Using the assumptions in Table </w:t>
      </w:r>
      <w:r>
        <w:rPr>
          <w:lang w:eastAsia="en-AU"/>
        </w:rPr>
        <w:t>7</w:t>
      </w:r>
      <w:r w:rsidRPr="00373F1A">
        <w:rPr>
          <w:lang w:eastAsia="en-AU"/>
        </w:rPr>
        <w:t xml:space="preserve">, FSANZ estimated the cost of maintaining </w:t>
      </w:r>
      <w:r>
        <w:rPr>
          <w:lang w:eastAsia="en-AU"/>
        </w:rPr>
        <w:t xml:space="preserve">the E tool, shown </w:t>
      </w:r>
      <w:r w:rsidRPr="00373F1A">
        <w:rPr>
          <w:lang w:eastAsia="en-AU"/>
        </w:rPr>
        <w:t xml:space="preserve">in </w:t>
      </w:r>
      <w:r>
        <w:rPr>
          <w:lang w:eastAsia="en-AU"/>
        </w:rPr>
        <w:t>T</w:t>
      </w:r>
      <w:r w:rsidRPr="00373F1A">
        <w:rPr>
          <w:lang w:eastAsia="en-AU"/>
        </w:rPr>
        <w:t xml:space="preserve">able </w:t>
      </w:r>
      <w:r>
        <w:rPr>
          <w:lang w:eastAsia="en-AU"/>
        </w:rPr>
        <w:t xml:space="preserve">8 </w:t>
      </w:r>
      <w:r w:rsidR="0000604C">
        <w:rPr>
          <w:lang w:eastAsia="en-AU"/>
        </w:rPr>
        <w:t>below.</w:t>
      </w:r>
    </w:p>
    <w:p w14:paraId="1B1A0824" w14:textId="20BD0C50" w:rsidR="00CB7716" w:rsidRPr="00FA2DC4" w:rsidRDefault="00CB7716" w:rsidP="00CB7716">
      <w:pPr>
        <w:pStyle w:val="FSTableFigureHeading"/>
        <w:rPr>
          <w:sz w:val="20"/>
        </w:rPr>
      </w:pPr>
      <w:r w:rsidRPr="00FA2DC4">
        <w:rPr>
          <w:sz w:val="20"/>
        </w:rPr>
        <w:t>Table 8: FSANZ cost estimates for maintaining the E tool, per annum, by business category</w:t>
      </w:r>
    </w:p>
    <w:tbl>
      <w:tblPr>
        <w:tblStyle w:val="GridTable4-Accent6"/>
        <w:tblW w:w="4478" w:type="pct"/>
        <w:tblLook w:val="04A0" w:firstRow="1" w:lastRow="0" w:firstColumn="1" w:lastColumn="0" w:noHBand="0" w:noVBand="1"/>
      </w:tblPr>
      <w:tblGrid>
        <w:gridCol w:w="3272"/>
        <w:gridCol w:w="4842"/>
      </w:tblGrid>
      <w:tr w:rsidR="00CB7716" w:rsidRPr="00373F1A" w14:paraId="1BBD857A" w14:textId="77777777" w:rsidTr="00DE0E16">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016" w:type="pct"/>
            <w:noWrap/>
            <w:hideMark/>
          </w:tcPr>
          <w:p w14:paraId="50B71C94" w14:textId="77777777" w:rsidR="00CB7716" w:rsidRPr="00373F1A" w:rsidRDefault="00CB7716" w:rsidP="00CB7716">
            <w:pPr>
              <w:rPr>
                <w:rFonts w:ascii="Calibri" w:hAnsi="Calibri" w:cs="Calibri"/>
                <w:color w:val="000000"/>
              </w:rPr>
            </w:pPr>
            <w:r w:rsidRPr="00373F1A">
              <w:rPr>
                <w:rFonts w:ascii="Calibri" w:hAnsi="Calibri" w:cs="Calibri"/>
                <w:color w:val="000000"/>
              </w:rPr>
              <w:t>Category</w:t>
            </w:r>
          </w:p>
        </w:tc>
        <w:tc>
          <w:tcPr>
            <w:tcW w:w="2984" w:type="pct"/>
            <w:noWrap/>
            <w:hideMark/>
          </w:tcPr>
          <w:p w14:paraId="1BD028E4" w14:textId="77777777" w:rsidR="00CB7716" w:rsidRPr="00373F1A" w:rsidRDefault="00CB7716" w:rsidP="00CB7716">
            <w:pPr>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Ongoing</w:t>
            </w:r>
            <w:r w:rsidRPr="00373F1A">
              <w:rPr>
                <w:rFonts w:ascii="Calibri" w:hAnsi="Calibri" w:cs="Calibri"/>
                <w:color w:val="000000"/>
              </w:rPr>
              <w:t xml:space="preserve"> ($ p.a.)</w:t>
            </w:r>
          </w:p>
        </w:tc>
      </w:tr>
      <w:tr w:rsidR="00CB7716" w:rsidRPr="00373F1A" w14:paraId="2F197F7A" w14:textId="77777777" w:rsidTr="00DE0E1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016" w:type="pct"/>
            <w:noWrap/>
            <w:hideMark/>
          </w:tcPr>
          <w:p w14:paraId="50B65A35" w14:textId="77777777" w:rsidR="00CB7716" w:rsidRPr="007D3651" w:rsidRDefault="00CB7716" w:rsidP="00CB7716">
            <w:pPr>
              <w:rPr>
                <w:rFonts w:ascii="Calibri" w:hAnsi="Calibri" w:cs="Calibri"/>
                <w:b w:val="0"/>
              </w:rPr>
            </w:pPr>
            <w:r w:rsidRPr="007D3651">
              <w:rPr>
                <w:rFonts w:ascii="Calibri" w:hAnsi="Calibri" w:cs="Calibri"/>
                <w:b w:val="0"/>
              </w:rPr>
              <w:t>Category 1 business</w:t>
            </w:r>
          </w:p>
        </w:tc>
        <w:tc>
          <w:tcPr>
            <w:tcW w:w="2984" w:type="pct"/>
            <w:noWrap/>
          </w:tcPr>
          <w:p w14:paraId="7EAF88A1" w14:textId="77777777" w:rsidR="00CB7716" w:rsidRPr="00373F1A" w:rsidRDefault="00CB7716" w:rsidP="00CB771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48861835" w:rsidDel="005B22F8">
              <w:rPr>
                <w:rFonts w:ascii="Calibri" w:hAnsi="Calibri" w:cs="Calibri"/>
                <w:color w:val="000000" w:themeColor="text1"/>
              </w:rPr>
              <w:t>1,555</w:t>
            </w:r>
          </w:p>
        </w:tc>
      </w:tr>
      <w:tr w:rsidR="00CB7716" w:rsidRPr="00373F1A" w14:paraId="14AFA61F" w14:textId="77777777" w:rsidTr="00DE0E16">
        <w:trPr>
          <w:trHeight w:val="300"/>
        </w:trPr>
        <w:tc>
          <w:tcPr>
            <w:cnfStyle w:val="001000000000" w:firstRow="0" w:lastRow="0" w:firstColumn="1" w:lastColumn="0" w:oddVBand="0" w:evenVBand="0" w:oddHBand="0" w:evenHBand="0" w:firstRowFirstColumn="0" w:firstRowLastColumn="0" w:lastRowFirstColumn="0" w:lastRowLastColumn="0"/>
            <w:tcW w:w="2016" w:type="pct"/>
            <w:noWrap/>
            <w:hideMark/>
          </w:tcPr>
          <w:p w14:paraId="003C2FE2" w14:textId="77777777" w:rsidR="00CB7716" w:rsidRPr="007D3651" w:rsidRDefault="00CB7716" w:rsidP="00CB7716">
            <w:pPr>
              <w:rPr>
                <w:rFonts w:ascii="Calibri" w:hAnsi="Calibri" w:cs="Calibri"/>
                <w:b w:val="0"/>
              </w:rPr>
            </w:pPr>
            <w:r w:rsidRPr="007D3651">
              <w:rPr>
                <w:rFonts w:ascii="Calibri" w:hAnsi="Calibri" w:cs="Calibri"/>
                <w:b w:val="0"/>
              </w:rPr>
              <w:t>Category 2 business</w:t>
            </w:r>
          </w:p>
        </w:tc>
        <w:tc>
          <w:tcPr>
            <w:tcW w:w="2984" w:type="pct"/>
            <w:noWrap/>
          </w:tcPr>
          <w:p w14:paraId="2005AC4C" w14:textId="77777777" w:rsidR="00CB7716" w:rsidRPr="00373F1A" w:rsidRDefault="00CB7716" w:rsidP="00CB771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48861835" w:rsidDel="005B22F8">
              <w:rPr>
                <w:rFonts w:ascii="Calibri" w:hAnsi="Calibri" w:cs="Calibri"/>
                <w:color w:val="000000" w:themeColor="text1"/>
              </w:rPr>
              <w:t>1,166</w:t>
            </w:r>
          </w:p>
        </w:tc>
      </w:tr>
    </w:tbl>
    <w:p w14:paraId="3184B234" w14:textId="77777777" w:rsidR="00CB7716" w:rsidRPr="0025246D" w:rsidRDefault="00CB7716" w:rsidP="0025246D">
      <w:pPr>
        <w:pStyle w:val="Heading3"/>
        <w:numPr>
          <w:ilvl w:val="0"/>
          <w:numId w:val="0"/>
        </w:numPr>
        <w:ind w:left="720" w:hanging="720"/>
        <w:rPr>
          <w:sz w:val="28"/>
        </w:rPr>
      </w:pPr>
      <w:bookmarkStart w:id="165" w:name="_Toc107412720"/>
      <w:bookmarkStart w:id="166" w:name="_Toc109300468"/>
      <w:r w:rsidRPr="0025246D">
        <w:rPr>
          <w:sz w:val="28"/>
        </w:rPr>
        <w:t>Efficacy of interventions</w:t>
      </w:r>
      <w:bookmarkEnd w:id="165"/>
      <w:bookmarkEnd w:id="166"/>
    </w:p>
    <w:p w14:paraId="4AB53E8B" w14:textId="77777777" w:rsidR="00CB7716" w:rsidRPr="00373F1A" w:rsidRDefault="00CB7716" w:rsidP="0000604C">
      <w:pPr>
        <w:spacing w:after="240"/>
      </w:pPr>
      <w:r w:rsidRPr="00373F1A">
        <w:t xml:space="preserve">The assumed efficacy of the tools used in FSANZ’s regulatory analysis </w:t>
      </w:r>
      <w:r>
        <w:t>was</w:t>
      </w:r>
      <w:r w:rsidRPr="00373F1A">
        <w:t xml:space="preserve"> estimated based on:</w:t>
      </w:r>
    </w:p>
    <w:p w14:paraId="262D498B" w14:textId="77777777" w:rsidR="00CB7716" w:rsidRPr="00373F1A" w:rsidRDefault="00CB7716" w:rsidP="004E6D96">
      <w:pPr>
        <w:pStyle w:val="ListParagraph"/>
        <w:numPr>
          <w:ilvl w:val="0"/>
          <w:numId w:val="39"/>
        </w:numPr>
        <w:spacing w:after="240"/>
      </w:pPr>
      <w:r w:rsidRPr="00373F1A">
        <w:t xml:space="preserve">the causes of foodborne illness outbreaks as reported by </w:t>
      </w:r>
      <w:proofErr w:type="spellStart"/>
      <w:r w:rsidRPr="00373F1A">
        <w:t>OzFoodNet</w:t>
      </w:r>
      <w:proofErr w:type="spellEnd"/>
      <w:r w:rsidRPr="00373F1A">
        <w:t xml:space="preserve"> </w:t>
      </w:r>
    </w:p>
    <w:p w14:paraId="326B1451" w14:textId="77777777" w:rsidR="00CB7716" w:rsidRPr="00373F1A" w:rsidRDefault="00CB7716" w:rsidP="004E6D96">
      <w:pPr>
        <w:pStyle w:val="ListParagraph"/>
        <w:numPr>
          <w:ilvl w:val="0"/>
          <w:numId w:val="39"/>
        </w:numPr>
        <w:spacing w:after="240"/>
      </w:pPr>
      <w:r w:rsidRPr="00373F1A">
        <w:t>whether the tools are likely to help manage the causes of illness</w:t>
      </w:r>
    </w:p>
    <w:p w14:paraId="50F73174" w14:textId="77777777" w:rsidR="00CB7716" w:rsidRPr="00373F1A" w:rsidRDefault="00CB7716" w:rsidP="004E6D96">
      <w:pPr>
        <w:pStyle w:val="ListParagraph"/>
        <w:numPr>
          <w:ilvl w:val="0"/>
          <w:numId w:val="39"/>
        </w:numPr>
        <w:spacing w:after="240"/>
      </w:pPr>
      <w:r w:rsidRPr="00373F1A">
        <w:t>whether the tools have already been implemented in the jurisdiction</w:t>
      </w:r>
    </w:p>
    <w:p w14:paraId="36311AAA" w14:textId="77777777" w:rsidR="00CB7716" w:rsidRPr="00373F1A" w:rsidRDefault="00CB7716" w:rsidP="004E6D96">
      <w:pPr>
        <w:pStyle w:val="ListParagraph"/>
        <w:numPr>
          <w:ilvl w:val="0"/>
          <w:numId w:val="39"/>
        </w:numPr>
        <w:spacing w:after="240"/>
      </w:pPr>
      <w:proofErr w:type="gramStart"/>
      <w:r w:rsidRPr="00373F1A">
        <w:t>the</w:t>
      </w:r>
      <w:proofErr w:type="gramEnd"/>
      <w:r w:rsidRPr="00373F1A">
        <w:t xml:space="preserve"> estimated likely efficacy for similar measures in the NSW Better Regulation Statement</w:t>
      </w:r>
      <w:sdt>
        <w:sdtPr>
          <w:id w:val="-1340072679"/>
          <w:lock w:val="contentLocked"/>
          <w:citation/>
        </w:sdtPr>
        <w:sdtEndPr/>
        <w:sdtContent>
          <w:r w:rsidRPr="00373F1A">
            <w:fldChar w:fldCharType="begin"/>
          </w:r>
          <w:r w:rsidRPr="0000604C">
            <w:rPr>
              <w:lang w:val="en-AU"/>
            </w:rPr>
            <w:instrText xml:space="preserve"> CITATION NSW09 \l 3081 </w:instrText>
          </w:r>
          <w:r w:rsidRPr="00373F1A">
            <w:fldChar w:fldCharType="separate"/>
          </w:r>
          <w:r w:rsidRPr="0000604C">
            <w:rPr>
              <w:noProof/>
              <w:lang w:val="en-AU"/>
            </w:rPr>
            <w:t xml:space="preserve"> (NSW Food Authority, 2009)</w:t>
          </w:r>
          <w:r w:rsidRPr="00373F1A">
            <w:fldChar w:fldCharType="end"/>
          </w:r>
        </w:sdtContent>
      </w:sdt>
      <w:r w:rsidRPr="00373F1A">
        <w:t>, the Allen Report</w:t>
      </w:r>
      <w:sdt>
        <w:sdtPr>
          <w:id w:val="-509759552"/>
          <w:lock w:val="contentLocked"/>
          <w:citation/>
        </w:sdtPr>
        <w:sdtEndPr/>
        <w:sdtContent>
          <w:r w:rsidRPr="00373F1A">
            <w:fldChar w:fldCharType="begin"/>
          </w:r>
          <w:r w:rsidRPr="0000604C">
            <w:rPr>
              <w:lang w:val="en-AU"/>
            </w:rPr>
            <w:instrText xml:space="preserve">CITATION The02 \n  \t  \l 3081 </w:instrText>
          </w:r>
          <w:r w:rsidRPr="00373F1A">
            <w:fldChar w:fldCharType="separate"/>
          </w:r>
          <w:r w:rsidRPr="0000604C">
            <w:rPr>
              <w:noProof/>
              <w:lang w:val="en-AU"/>
            </w:rPr>
            <w:t xml:space="preserve"> (2002)</w:t>
          </w:r>
          <w:r w:rsidRPr="00373F1A">
            <w:fldChar w:fldCharType="end"/>
          </w:r>
        </w:sdtContent>
      </w:sdt>
      <w:r w:rsidRPr="00373F1A">
        <w:t>, and the National Risk Validation Project</w:t>
      </w:r>
      <w:sdt>
        <w:sdtPr>
          <w:id w:val="-975136862"/>
          <w:lock w:val="contentLocked"/>
          <w:citation/>
        </w:sdtPr>
        <w:sdtEndPr/>
        <w:sdtContent>
          <w:r w:rsidRPr="00373F1A">
            <w:fldChar w:fldCharType="begin"/>
          </w:r>
          <w:r w:rsidRPr="0000604C">
            <w:rPr>
              <w:lang w:val="en-AU"/>
            </w:rPr>
            <w:instrText xml:space="preserve">CITATION Foo02 \n  \t  \l 3081 </w:instrText>
          </w:r>
          <w:r w:rsidRPr="00373F1A">
            <w:fldChar w:fldCharType="separate"/>
          </w:r>
          <w:r w:rsidRPr="0000604C">
            <w:rPr>
              <w:noProof/>
              <w:lang w:val="en-AU"/>
            </w:rPr>
            <w:t xml:space="preserve"> (2002)</w:t>
          </w:r>
          <w:r w:rsidRPr="00373F1A">
            <w:fldChar w:fldCharType="end"/>
          </w:r>
        </w:sdtContent>
      </w:sdt>
      <w:r w:rsidRPr="00373F1A">
        <w:t>.</w:t>
      </w:r>
    </w:p>
    <w:p w14:paraId="14D8B856" w14:textId="77777777" w:rsidR="00CB7716" w:rsidRPr="00373F1A" w:rsidRDefault="00CB7716" w:rsidP="0000604C">
      <w:pPr>
        <w:spacing w:after="240"/>
      </w:pPr>
      <w:r w:rsidRPr="00373F1A">
        <w:t xml:space="preserve">The base efficacy for each of the tools </w:t>
      </w:r>
      <w:r>
        <w:t>was</w:t>
      </w:r>
      <w:r w:rsidRPr="00373F1A">
        <w:t xml:space="preserve"> estimated at: 10% for FSS, 5% for FHT, 10% for </w:t>
      </w:r>
      <w:r>
        <w:t>E,</w:t>
      </w:r>
      <w:r w:rsidRPr="00373F1A">
        <w:t xml:space="preserve"> and an additional 5% where all three measures are implemented</w:t>
      </w:r>
      <w:r>
        <w:t>,</w:t>
      </w:r>
      <w:r w:rsidRPr="00373F1A">
        <w:t xml:space="preserve"> to recognise their complementary nature.</w:t>
      </w:r>
    </w:p>
    <w:p w14:paraId="59248725" w14:textId="1B140142" w:rsidR="00CB7716" w:rsidRPr="00373F1A" w:rsidRDefault="00CB7716" w:rsidP="0000604C">
      <w:pPr>
        <w:spacing w:after="240"/>
      </w:pPr>
      <w:r w:rsidRPr="00373F1A">
        <w:t xml:space="preserve">These estimates </w:t>
      </w:r>
      <w:r>
        <w:t>were</w:t>
      </w:r>
      <w:r w:rsidRPr="00373F1A">
        <w:t xml:space="preserve"> then</w:t>
      </w:r>
      <w:r w:rsidRPr="00373F1A" w:rsidDel="00F00293">
        <w:t xml:space="preserve"> </w:t>
      </w:r>
      <w:r w:rsidRPr="00373F1A">
        <w:t>adjusted downwards, where appropriate, to take into account where measures are already in place in some jurisdictions</w:t>
      </w:r>
      <w:r>
        <w:t>—</w:t>
      </w:r>
      <w:r w:rsidRPr="00373F1A">
        <w:t>it is the incremental effect th</w:t>
      </w:r>
      <w:r>
        <w:t>at is relevant to the analysis.</w:t>
      </w:r>
    </w:p>
    <w:p w14:paraId="6961705A" w14:textId="5763CF9A" w:rsidR="00CB7716" w:rsidRPr="0025246D" w:rsidRDefault="00CB7716" w:rsidP="0025246D">
      <w:pPr>
        <w:pStyle w:val="Heading3"/>
        <w:numPr>
          <w:ilvl w:val="0"/>
          <w:numId w:val="0"/>
        </w:numPr>
        <w:ind w:left="720" w:hanging="720"/>
        <w:rPr>
          <w:sz w:val="28"/>
        </w:rPr>
      </w:pPr>
      <w:bookmarkStart w:id="167" w:name="_Toc107412721"/>
      <w:bookmarkStart w:id="168" w:name="_Toc109300469"/>
      <w:r w:rsidRPr="0025246D">
        <w:rPr>
          <w:sz w:val="28"/>
        </w:rPr>
        <w:t>Number of businesses</w:t>
      </w:r>
      <w:bookmarkEnd w:id="167"/>
      <w:bookmarkEnd w:id="168"/>
    </w:p>
    <w:p w14:paraId="5A202BB3" w14:textId="77777777" w:rsidR="00CB7716" w:rsidRPr="00373F1A" w:rsidRDefault="00CB7716" w:rsidP="0000604C">
      <w:pPr>
        <w:spacing w:after="240"/>
      </w:pPr>
      <w:r>
        <w:t>Historically, FSANZ uses data from the Australian Bureau of Statistics (</w:t>
      </w:r>
      <w:r w:rsidDel="004F4C6E">
        <w:t>ABS)</w:t>
      </w:r>
      <w:r>
        <w:t xml:space="preserve"> when estimating business numbers. However, estimating business numbers was challenging in this project, as the categorisation of in-scope businesses do not align well with the ABS categorisation of food businesses. As an alternative, survey results were used from South Australia on the number of businesses in their jurisdiction in the respective categories. These were then scaled according to the population of each state and territory. This approach produced slightly higher business numbers for each category than attempts to manipulate the ABS statistics, which means costs are also higher. </w:t>
      </w:r>
    </w:p>
    <w:p w14:paraId="1F39474C" w14:textId="77777777" w:rsidR="00CB7716" w:rsidRPr="00052BFA" w:rsidRDefault="00CB7716" w:rsidP="00CB7716">
      <w:pPr>
        <w:pStyle w:val="FSTableFigureHeading"/>
        <w:ind w:left="0" w:firstLine="0"/>
        <w:rPr>
          <w:sz w:val="20"/>
          <w:szCs w:val="20"/>
        </w:rPr>
      </w:pPr>
      <w:r w:rsidRPr="00052BFA">
        <w:rPr>
          <w:sz w:val="20"/>
          <w:szCs w:val="20"/>
        </w:rPr>
        <w:t>Table 9: Number of Category 1 and 2 businesses per jurisdiction and percentage, by Australian population</w:t>
      </w:r>
    </w:p>
    <w:tbl>
      <w:tblPr>
        <w:tblStyle w:val="GridTable4-Accent5"/>
        <w:tblW w:w="9080" w:type="dxa"/>
        <w:tblLook w:val="04A0" w:firstRow="1" w:lastRow="0" w:firstColumn="1" w:lastColumn="0" w:noHBand="0" w:noVBand="1"/>
      </w:tblPr>
      <w:tblGrid>
        <w:gridCol w:w="2830"/>
        <w:gridCol w:w="1560"/>
        <w:gridCol w:w="1275"/>
        <w:gridCol w:w="1701"/>
        <w:gridCol w:w="1714"/>
      </w:tblGrid>
      <w:tr w:rsidR="00CB7716" w:rsidRPr="00373F1A" w14:paraId="44740781" w14:textId="77777777" w:rsidTr="00DE0E16">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830" w:type="dxa"/>
            <w:noWrap/>
            <w:hideMark/>
          </w:tcPr>
          <w:p w14:paraId="7370FD35" w14:textId="1C55D133" w:rsidR="00CB7716" w:rsidRPr="00373F1A" w:rsidRDefault="00CB7716" w:rsidP="006E77ED">
            <w:pPr>
              <w:jc w:val="center"/>
              <w:rPr>
                <w:rFonts w:ascii="Calibri" w:eastAsia="Times New Roman" w:hAnsi="Calibri" w:cs="Calibri"/>
                <w:color w:val="000000"/>
                <w:lang w:eastAsia="en-GB"/>
              </w:rPr>
            </w:pPr>
            <w:r w:rsidRPr="00373F1A">
              <w:rPr>
                <w:rFonts w:ascii="Calibri" w:eastAsia="Times New Roman" w:hAnsi="Calibri" w:cs="Calibri"/>
                <w:color w:val="000000"/>
                <w:lang w:eastAsia="en-GB"/>
              </w:rPr>
              <w:t>Jurisdictions</w:t>
            </w:r>
          </w:p>
        </w:tc>
        <w:tc>
          <w:tcPr>
            <w:tcW w:w="1560" w:type="dxa"/>
            <w:noWrap/>
            <w:hideMark/>
          </w:tcPr>
          <w:p w14:paraId="50AEC8D9" w14:textId="77777777" w:rsidR="00CB7716" w:rsidRPr="00373F1A" w:rsidRDefault="00CB7716" w:rsidP="006E77ED">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373F1A">
              <w:rPr>
                <w:rFonts w:ascii="Calibri" w:eastAsia="Times New Roman" w:hAnsi="Calibri" w:cs="Calibri"/>
                <w:color w:val="000000"/>
                <w:lang w:eastAsia="en-GB"/>
              </w:rPr>
              <w:t>Population</w:t>
            </w:r>
          </w:p>
        </w:tc>
        <w:tc>
          <w:tcPr>
            <w:tcW w:w="1275" w:type="dxa"/>
            <w:noWrap/>
            <w:hideMark/>
          </w:tcPr>
          <w:p w14:paraId="5C5C0A91" w14:textId="77777777" w:rsidR="00CB7716" w:rsidRPr="00373F1A" w:rsidRDefault="00CB7716" w:rsidP="006E77ED">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373F1A">
              <w:rPr>
                <w:rFonts w:ascii="Calibri" w:eastAsia="Times New Roman" w:hAnsi="Calibri" w:cs="Calibri"/>
                <w:color w:val="000000"/>
                <w:lang w:eastAsia="en-GB"/>
              </w:rPr>
              <w:t>% of Aus</w:t>
            </w:r>
            <w:r>
              <w:rPr>
                <w:rFonts w:ascii="Calibri" w:eastAsia="Times New Roman" w:hAnsi="Calibri" w:cs="Calibri"/>
                <w:color w:val="000000"/>
                <w:lang w:eastAsia="en-GB"/>
              </w:rPr>
              <w:t>tralia</w:t>
            </w:r>
          </w:p>
        </w:tc>
        <w:tc>
          <w:tcPr>
            <w:tcW w:w="1701" w:type="dxa"/>
            <w:noWrap/>
            <w:hideMark/>
          </w:tcPr>
          <w:p w14:paraId="520E3F6E" w14:textId="77777777" w:rsidR="00CB7716" w:rsidRPr="00373F1A" w:rsidRDefault="00CB7716" w:rsidP="006E77ED">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373F1A">
              <w:rPr>
                <w:rFonts w:ascii="Calibri" w:eastAsia="Times New Roman" w:hAnsi="Calibri" w:cs="Calibri"/>
                <w:color w:val="000000"/>
                <w:lang w:eastAsia="en-GB"/>
              </w:rPr>
              <w:t>Cat</w:t>
            </w:r>
            <w:r>
              <w:rPr>
                <w:rFonts w:ascii="Calibri" w:eastAsia="Times New Roman" w:hAnsi="Calibri" w:cs="Calibri"/>
                <w:color w:val="000000"/>
                <w:lang w:eastAsia="en-GB"/>
              </w:rPr>
              <w:t>egory</w:t>
            </w:r>
            <w:r w:rsidRPr="00373F1A">
              <w:rPr>
                <w:rFonts w:ascii="Calibri" w:eastAsia="Times New Roman" w:hAnsi="Calibri" w:cs="Calibri"/>
                <w:color w:val="000000"/>
                <w:lang w:eastAsia="en-GB"/>
              </w:rPr>
              <w:t xml:space="preserve"> 1 Business</w:t>
            </w:r>
          </w:p>
        </w:tc>
        <w:tc>
          <w:tcPr>
            <w:tcW w:w="1714" w:type="dxa"/>
            <w:noWrap/>
            <w:hideMark/>
          </w:tcPr>
          <w:p w14:paraId="07A4483D" w14:textId="77777777" w:rsidR="00CB7716" w:rsidRPr="00373F1A" w:rsidRDefault="00CB7716" w:rsidP="006E77ED">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373F1A">
              <w:rPr>
                <w:rFonts w:ascii="Calibri" w:eastAsia="Times New Roman" w:hAnsi="Calibri" w:cs="Calibri"/>
                <w:color w:val="000000"/>
                <w:lang w:eastAsia="en-GB"/>
              </w:rPr>
              <w:t>Cat</w:t>
            </w:r>
            <w:r>
              <w:rPr>
                <w:rFonts w:ascii="Calibri" w:eastAsia="Times New Roman" w:hAnsi="Calibri" w:cs="Calibri"/>
                <w:color w:val="000000"/>
                <w:lang w:eastAsia="en-GB"/>
              </w:rPr>
              <w:t>egory</w:t>
            </w:r>
            <w:r w:rsidRPr="00373F1A">
              <w:rPr>
                <w:rFonts w:ascii="Calibri" w:eastAsia="Times New Roman" w:hAnsi="Calibri" w:cs="Calibri"/>
                <w:color w:val="000000"/>
                <w:lang w:eastAsia="en-GB"/>
              </w:rPr>
              <w:t xml:space="preserve"> 2 Business</w:t>
            </w:r>
          </w:p>
        </w:tc>
      </w:tr>
      <w:tr w:rsidR="00CB7716" w:rsidRPr="00373F1A" w14:paraId="4A0D3F75" w14:textId="77777777" w:rsidTr="00DE0E16">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2830" w:type="dxa"/>
            <w:hideMark/>
          </w:tcPr>
          <w:p w14:paraId="3250B44F" w14:textId="77777777" w:rsidR="00CB7716" w:rsidRPr="0042757B" w:rsidRDefault="00CB7716" w:rsidP="00CB7716">
            <w:pPr>
              <w:rPr>
                <w:rFonts w:ascii="Calibri" w:eastAsia="Times New Roman" w:hAnsi="Calibri" w:cs="Calibri"/>
                <w:b w:val="0"/>
                <w:color w:val="000000"/>
                <w:lang w:eastAsia="en-GB"/>
              </w:rPr>
            </w:pPr>
            <w:r w:rsidRPr="0042757B">
              <w:rPr>
                <w:rFonts w:ascii="Calibri" w:eastAsia="Times New Roman" w:hAnsi="Calibri" w:cs="Calibri"/>
                <w:b w:val="0"/>
                <w:color w:val="000000"/>
                <w:lang w:eastAsia="en-GB"/>
              </w:rPr>
              <w:t>NSW</w:t>
            </w:r>
          </w:p>
        </w:tc>
        <w:tc>
          <w:tcPr>
            <w:tcW w:w="1560" w:type="dxa"/>
            <w:hideMark/>
          </w:tcPr>
          <w:p w14:paraId="5D22095F" w14:textId="77777777" w:rsidR="00CB7716" w:rsidRPr="00373F1A" w:rsidRDefault="00CB7716" w:rsidP="00CB771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GB"/>
              </w:rPr>
            </w:pPr>
            <w:r w:rsidRPr="00373F1A">
              <w:rPr>
                <w:rFonts w:ascii="Calibri" w:eastAsia="Times New Roman" w:hAnsi="Calibri" w:cs="Calibri"/>
                <w:color w:val="000000"/>
                <w:lang w:eastAsia="en-GB"/>
              </w:rPr>
              <w:t>8,172,505</w:t>
            </w:r>
          </w:p>
        </w:tc>
        <w:tc>
          <w:tcPr>
            <w:tcW w:w="1275" w:type="dxa"/>
            <w:noWrap/>
            <w:hideMark/>
          </w:tcPr>
          <w:p w14:paraId="7DCE7712" w14:textId="77777777" w:rsidR="00CB7716" w:rsidRPr="00373F1A" w:rsidRDefault="00CB7716" w:rsidP="00CB771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GB"/>
              </w:rPr>
            </w:pPr>
            <w:r>
              <w:rPr>
                <w:rFonts w:ascii="Calibri" w:eastAsia="Times New Roman" w:hAnsi="Calibri" w:cs="Calibri"/>
                <w:color w:val="000000"/>
                <w:lang w:eastAsia="en-GB"/>
              </w:rPr>
              <w:t>31.8</w:t>
            </w:r>
          </w:p>
        </w:tc>
        <w:tc>
          <w:tcPr>
            <w:tcW w:w="1701" w:type="dxa"/>
            <w:noWrap/>
            <w:hideMark/>
          </w:tcPr>
          <w:p w14:paraId="74BAED84" w14:textId="77777777" w:rsidR="00CB7716" w:rsidRPr="00373F1A" w:rsidRDefault="00CB7716" w:rsidP="00CB771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GB"/>
              </w:rPr>
            </w:pPr>
            <w:r w:rsidRPr="00373F1A">
              <w:rPr>
                <w:rFonts w:ascii="Calibri" w:eastAsia="Times New Roman" w:hAnsi="Calibri" w:cs="Calibri"/>
                <w:color w:val="000000"/>
                <w:lang w:eastAsia="en-GB"/>
              </w:rPr>
              <w:t>45,154</w:t>
            </w:r>
          </w:p>
        </w:tc>
        <w:tc>
          <w:tcPr>
            <w:tcW w:w="1714" w:type="dxa"/>
            <w:noWrap/>
            <w:hideMark/>
          </w:tcPr>
          <w:p w14:paraId="4236C415" w14:textId="77777777" w:rsidR="00CB7716" w:rsidRPr="00373F1A" w:rsidRDefault="00CB7716" w:rsidP="00CB771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GB"/>
              </w:rPr>
            </w:pPr>
            <w:r w:rsidRPr="00373F1A">
              <w:rPr>
                <w:rFonts w:ascii="Calibri" w:eastAsia="Times New Roman" w:hAnsi="Calibri" w:cs="Calibri"/>
                <w:color w:val="000000"/>
                <w:lang w:eastAsia="en-GB"/>
              </w:rPr>
              <w:t>3,648</w:t>
            </w:r>
          </w:p>
        </w:tc>
      </w:tr>
      <w:tr w:rsidR="00CB7716" w:rsidRPr="00373F1A" w14:paraId="6E8AF7F4" w14:textId="77777777" w:rsidTr="00DE0E16">
        <w:trPr>
          <w:trHeight w:val="337"/>
        </w:trPr>
        <w:tc>
          <w:tcPr>
            <w:cnfStyle w:val="001000000000" w:firstRow="0" w:lastRow="0" w:firstColumn="1" w:lastColumn="0" w:oddVBand="0" w:evenVBand="0" w:oddHBand="0" w:evenHBand="0" w:firstRowFirstColumn="0" w:firstRowLastColumn="0" w:lastRowFirstColumn="0" w:lastRowLastColumn="0"/>
            <w:tcW w:w="2830" w:type="dxa"/>
            <w:hideMark/>
          </w:tcPr>
          <w:p w14:paraId="79483F92" w14:textId="77777777" w:rsidR="00CB7716" w:rsidRPr="0042757B" w:rsidRDefault="00CB7716" w:rsidP="00CB7716">
            <w:pPr>
              <w:rPr>
                <w:rFonts w:ascii="Calibri" w:eastAsia="Times New Roman" w:hAnsi="Calibri" w:cs="Calibri"/>
                <w:b w:val="0"/>
                <w:color w:val="000000"/>
                <w:lang w:eastAsia="en-GB"/>
              </w:rPr>
            </w:pPr>
            <w:r w:rsidRPr="0042757B">
              <w:rPr>
                <w:rFonts w:ascii="Calibri" w:eastAsia="Times New Roman" w:hAnsi="Calibri" w:cs="Calibri"/>
                <w:b w:val="0"/>
                <w:color w:val="000000"/>
                <w:lang w:eastAsia="en-GB"/>
              </w:rPr>
              <w:t>Victoria</w:t>
            </w:r>
          </w:p>
        </w:tc>
        <w:tc>
          <w:tcPr>
            <w:tcW w:w="1560" w:type="dxa"/>
            <w:hideMark/>
          </w:tcPr>
          <w:p w14:paraId="63BBBC99" w14:textId="77777777" w:rsidR="00CB7716" w:rsidRPr="00373F1A" w:rsidRDefault="00CB7716" w:rsidP="00CB771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373F1A">
              <w:rPr>
                <w:rFonts w:ascii="Calibri" w:eastAsia="Times New Roman" w:hAnsi="Calibri" w:cs="Calibri"/>
                <w:color w:val="000000"/>
                <w:lang w:eastAsia="en-GB"/>
              </w:rPr>
              <w:t>6,661,736</w:t>
            </w:r>
          </w:p>
        </w:tc>
        <w:tc>
          <w:tcPr>
            <w:tcW w:w="1275" w:type="dxa"/>
            <w:noWrap/>
            <w:hideMark/>
          </w:tcPr>
          <w:p w14:paraId="343F1D76" w14:textId="77777777" w:rsidR="00CB7716" w:rsidRPr="00373F1A" w:rsidRDefault="00CB7716" w:rsidP="00CB771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Pr>
                <w:rFonts w:ascii="Calibri" w:eastAsia="Times New Roman" w:hAnsi="Calibri" w:cs="Calibri"/>
                <w:color w:val="000000"/>
                <w:lang w:eastAsia="en-GB"/>
              </w:rPr>
              <w:t>25.9</w:t>
            </w:r>
          </w:p>
        </w:tc>
        <w:tc>
          <w:tcPr>
            <w:tcW w:w="1701" w:type="dxa"/>
            <w:noWrap/>
            <w:hideMark/>
          </w:tcPr>
          <w:p w14:paraId="745A1693" w14:textId="77777777" w:rsidR="00CB7716" w:rsidRPr="00373F1A" w:rsidRDefault="00CB7716" w:rsidP="00CB771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373F1A">
              <w:rPr>
                <w:rFonts w:ascii="Calibri" w:eastAsia="Times New Roman" w:hAnsi="Calibri" w:cs="Calibri"/>
                <w:color w:val="000000"/>
                <w:lang w:eastAsia="en-GB"/>
              </w:rPr>
              <w:t>36,807</w:t>
            </w:r>
          </w:p>
        </w:tc>
        <w:tc>
          <w:tcPr>
            <w:tcW w:w="1714" w:type="dxa"/>
            <w:noWrap/>
            <w:hideMark/>
          </w:tcPr>
          <w:p w14:paraId="3F20F605" w14:textId="77777777" w:rsidR="00CB7716" w:rsidRPr="00373F1A" w:rsidRDefault="00CB7716" w:rsidP="00CB771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373F1A">
              <w:rPr>
                <w:rFonts w:ascii="Calibri" w:eastAsia="Times New Roman" w:hAnsi="Calibri" w:cs="Calibri"/>
                <w:color w:val="000000"/>
                <w:lang w:eastAsia="en-GB"/>
              </w:rPr>
              <w:t>2,974</w:t>
            </w:r>
          </w:p>
        </w:tc>
      </w:tr>
      <w:tr w:rsidR="00CB7716" w:rsidRPr="00373F1A" w14:paraId="6633A31E" w14:textId="77777777" w:rsidTr="00DE0E16">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2830" w:type="dxa"/>
            <w:hideMark/>
          </w:tcPr>
          <w:p w14:paraId="6457392F" w14:textId="77777777" w:rsidR="00CB7716" w:rsidRPr="0042757B" w:rsidRDefault="00CB7716" w:rsidP="00CB7716">
            <w:pPr>
              <w:rPr>
                <w:rFonts w:ascii="Calibri" w:eastAsia="Times New Roman" w:hAnsi="Calibri" w:cs="Calibri"/>
                <w:b w:val="0"/>
                <w:color w:val="000000"/>
                <w:lang w:eastAsia="en-GB"/>
              </w:rPr>
            </w:pPr>
            <w:r w:rsidRPr="0042757B">
              <w:rPr>
                <w:rFonts w:ascii="Calibri" w:eastAsia="Times New Roman" w:hAnsi="Calibri" w:cs="Calibri"/>
                <w:b w:val="0"/>
                <w:color w:val="000000"/>
                <w:lang w:eastAsia="en-GB"/>
              </w:rPr>
              <w:t>Queensland</w:t>
            </w:r>
          </w:p>
        </w:tc>
        <w:tc>
          <w:tcPr>
            <w:tcW w:w="1560" w:type="dxa"/>
            <w:hideMark/>
          </w:tcPr>
          <w:p w14:paraId="0139AF7F" w14:textId="77777777" w:rsidR="00CB7716" w:rsidRPr="00373F1A" w:rsidRDefault="00CB7716" w:rsidP="00CB771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GB"/>
              </w:rPr>
            </w:pPr>
            <w:r w:rsidRPr="00373F1A">
              <w:rPr>
                <w:rFonts w:ascii="Calibri" w:eastAsia="Times New Roman" w:hAnsi="Calibri" w:cs="Calibri"/>
                <w:color w:val="000000"/>
                <w:lang w:eastAsia="en-GB"/>
              </w:rPr>
              <w:t>5,194,879</w:t>
            </w:r>
          </w:p>
        </w:tc>
        <w:tc>
          <w:tcPr>
            <w:tcW w:w="1275" w:type="dxa"/>
            <w:noWrap/>
            <w:hideMark/>
          </w:tcPr>
          <w:p w14:paraId="1D0E5270" w14:textId="77777777" w:rsidR="00CB7716" w:rsidRPr="00373F1A" w:rsidRDefault="00CB7716" w:rsidP="00CB771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GB"/>
              </w:rPr>
            </w:pPr>
            <w:r>
              <w:rPr>
                <w:rFonts w:ascii="Calibri" w:eastAsia="Times New Roman" w:hAnsi="Calibri" w:cs="Calibri"/>
                <w:color w:val="000000"/>
                <w:lang w:eastAsia="en-GB"/>
              </w:rPr>
              <w:t>20.2</w:t>
            </w:r>
          </w:p>
        </w:tc>
        <w:tc>
          <w:tcPr>
            <w:tcW w:w="1701" w:type="dxa"/>
            <w:noWrap/>
            <w:hideMark/>
          </w:tcPr>
          <w:p w14:paraId="497D481D" w14:textId="77777777" w:rsidR="00CB7716" w:rsidRPr="00373F1A" w:rsidRDefault="00CB7716" w:rsidP="00CB771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GB"/>
              </w:rPr>
            </w:pPr>
            <w:r w:rsidRPr="00373F1A">
              <w:rPr>
                <w:rFonts w:ascii="Calibri" w:eastAsia="Times New Roman" w:hAnsi="Calibri" w:cs="Calibri"/>
                <w:color w:val="000000"/>
                <w:lang w:eastAsia="en-GB"/>
              </w:rPr>
              <w:t>28,702</w:t>
            </w:r>
          </w:p>
        </w:tc>
        <w:tc>
          <w:tcPr>
            <w:tcW w:w="1714" w:type="dxa"/>
            <w:noWrap/>
            <w:hideMark/>
          </w:tcPr>
          <w:p w14:paraId="66445311" w14:textId="77777777" w:rsidR="00CB7716" w:rsidRPr="00373F1A" w:rsidRDefault="00CB7716" w:rsidP="00CB771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GB"/>
              </w:rPr>
            </w:pPr>
            <w:r w:rsidRPr="00373F1A">
              <w:rPr>
                <w:rFonts w:ascii="Calibri" w:eastAsia="Times New Roman" w:hAnsi="Calibri" w:cs="Calibri"/>
                <w:color w:val="000000"/>
                <w:lang w:eastAsia="en-GB"/>
              </w:rPr>
              <w:t>2,319</w:t>
            </w:r>
          </w:p>
        </w:tc>
      </w:tr>
      <w:tr w:rsidR="00CB7716" w:rsidRPr="00373F1A" w14:paraId="53244790" w14:textId="77777777" w:rsidTr="00DE0E16">
        <w:trPr>
          <w:trHeight w:val="310"/>
        </w:trPr>
        <w:tc>
          <w:tcPr>
            <w:cnfStyle w:val="001000000000" w:firstRow="0" w:lastRow="0" w:firstColumn="1" w:lastColumn="0" w:oddVBand="0" w:evenVBand="0" w:oddHBand="0" w:evenHBand="0" w:firstRowFirstColumn="0" w:firstRowLastColumn="0" w:lastRowFirstColumn="0" w:lastRowLastColumn="0"/>
            <w:tcW w:w="2830" w:type="dxa"/>
            <w:hideMark/>
          </w:tcPr>
          <w:p w14:paraId="66059DF9" w14:textId="77777777" w:rsidR="00CB7716" w:rsidRPr="0042757B" w:rsidRDefault="00CB7716" w:rsidP="00CB7716">
            <w:pPr>
              <w:rPr>
                <w:rFonts w:ascii="Calibri" w:eastAsia="Times New Roman" w:hAnsi="Calibri" w:cs="Calibri"/>
                <w:b w:val="0"/>
                <w:color w:val="000000"/>
                <w:lang w:eastAsia="en-GB"/>
              </w:rPr>
            </w:pPr>
            <w:r w:rsidRPr="0042757B">
              <w:rPr>
                <w:rFonts w:ascii="Calibri" w:eastAsia="Times New Roman" w:hAnsi="Calibri" w:cs="Calibri"/>
                <w:b w:val="0"/>
                <w:color w:val="000000"/>
                <w:lang w:eastAsia="en-GB"/>
              </w:rPr>
              <w:t>South Australia</w:t>
            </w:r>
          </w:p>
        </w:tc>
        <w:tc>
          <w:tcPr>
            <w:tcW w:w="1560" w:type="dxa"/>
            <w:hideMark/>
          </w:tcPr>
          <w:p w14:paraId="008A3EC4" w14:textId="77777777" w:rsidR="00CB7716" w:rsidRPr="00373F1A" w:rsidRDefault="00CB7716" w:rsidP="00CB771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373F1A">
              <w:rPr>
                <w:rFonts w:ascii="Calibri" w:eastAsia="Times New Roman" w:hAnsi="Calibri" w:cs="Calibri"/>
                <w:color w:val="000000"/>
                <w:lang w:eastAsia="en-GB"/>
              </w:rPr>
              <w:t>1,770,790</w:t>
            </w:r>
          </w:p>
        </w:tc>
        <w:tc>
          <w:tcPr>
            <w:tcW w:w="1275" w:type="dxa"/>
            <w:noWrap/>
            <w:hideMark/>
          </w:tcPr>
          <w:p w14:paraId="5296887E" w14:textId="77777777" w:rsidR="00CB7716" w:rsidRPr="00373F1A" w:rsidRDefault="00CB7716" w:rsidP="00CB771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Pr>
                <w:rFonts w:ascii="Calibri" w:eastAsia="Times New Roman" w:hAnsi="Calibri" w:cs="Calibri"/>
                <w:color w:val="000000"/>
                <w:lang w:eastAsia="en-GB"/>
              </w:rPr>
              <w:t>6.9</w:t>
            </w:r>
          </w:p>
        </w:tc>
        <w:tc>
          <w:tcPr>
            <w:tcW w:w="1701" w:type="dxa"/>
            <w:noWrap/>
            <w:hideMark/>
          </w:tcPr>
          <w:p w14:paraId="73FF38D1" w14:textId="77777777" w:rsidR="00CB7716" w:rsidRPr="00373F1A" w:rsidRDefault="00CB7716" w:rsidP="00CB771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373F1A">
              <w:rPr>
                <w:rFonts w:ascii="Calibri" w:eastAsia="Times New Roman" w:hAnsi="Calibri" w:cs="Calibri"/>
                <w:color w:val="000000"/>
                <w:lang w:eastAsia="en-GB"/>
              </w:rPr>
              <w:t>9,784</w:t>
            </w:r>
          </w:p>
        </w:tc>
        <w:tc>
          <w:tcPr>
            <w:tcW w:w="1714" w:type="dxa"/>
            <w:noWrap/>
            <w:hideMark/>
          </w:tcPr>
          <w:p w14:paraId="21339693" w14:textId="77777777" w:rsidR="00CB7716" w:rsidRPr="00373F1A" w:rsidRDefault="00CB7716" w:rsidP="00CB771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373F1A">
              <w:rPr>
                <w:rFonts w:ascii="Calibri" w:eastAsia="Times New Roman" w:hAnsi="Calibri" w:cs="Calibri"/>
                <w:color w:val="000000"/>
                <w:lang w:eastAsia="en-GB"/>
              </w:rPr>
              <w:t>790</w:t>
            </w:r>
          </w:p>
        </w:tc>
      </w:tr>
      <w:tr w:rsidR="00CB7716" w:rsidRPr="00373F1A" w14:paraId="4D5B847E" w14:textId="77777777" w:rsidTr="00DE0E16">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2830" w:type="dxa"/>
            <w:hideMark/>
          </w:tcPr>
          <w:p w14:paraId="31DA4810" w14:textId="77777777" w:rsidR="00CB7716" w:rsidRPr="0042757B" w:rsidRDefault="00CB7716" w:rsidP="00CB7716">
            <w:pPr>
              <w:rPr>
                <w:rFonts w:ascii="Calibri" w:eastAsia="Times New Roman" w:hAnsi="Calibri" w:cs="Calibri"/>
                <w:b w:val="0"/>
                <w:color w:val="000000"/>
                <w:lang w:eastAsia="en-GB"/>
              </w:rPr>
            </w:pPr>
            <w:r w:rsidRPr="0042757B">
              <w:rPr>
                <w:rFonts w:ascii="Calibri" w:eastAsia="Times New Roman" w:hAnsi="Calibri" w:cs="Calibri"/>
                <w:b w:val="0"/>
                <w:color w:val="000000"/>
                <w:lang w:eastAsia="en-GB"/>
              </w:rPr>
              <w:t>Western Australia</w:t>
            </w:r>
          </w:p>
        </w:tc>
        <w:tc>
          <w:tcPr>
            <w:tcW w:w="1560" w:type="dxa"/>
            <w:hideMark/>
          </w:tcPr>
          <w:p w14:paraId="1E0B651B" w14:textId="77777777" w:rsidR="00CB7716" w:rsidRPr="00373F1A" w:rsidRDefault="00CB7716" w:rsidP="00CB771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GB"/>
              </w:rPr>
            </w:pPr>
            <w:r w:rsidRPr="00373F1A">
              <w:rPr>
                <w:rFonts w:ascii="Calibri" w:eastAsia="Times New Roman" w:hAnsi="Calibri" w:cs="Calibri"/>
                <w:color w:val="000000"/>
                <w:lang w:eastAsia="en-GB"/>
              </w:rPr>
              <w:t>2,670,241</w:t>
            </w:r>
          </w:p>
        </w:tc>
        <w:tc>
          <w:tcPr>
            <w:tcW w:w="1275" w:type="dxa"/>
            <w:noWrap/>
            <w:hideMark/>
          </w:tcPr>
          <w:p w14:paraId="363287BD" w14:textId="77777777" w:rsidR="00CB7716" w:rsidRPr="00373F1A" w:rsidRDefault="00CB7716" w:rsidP="00CB771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GB"/>
              </w:rPr>
            </w:pPr>
            <w:r>
              <w:rPr>
                <w:rFonts w:ascii="Calibri" w:eastAsia="Times New Roman" w:hAnsi="Calibri" w:cs="Calibri"/>
                <w:color w:val="000000"/>
                <w:lang w:eastAsia="en-GB"/>
              </w:rPr>
              <w:t>10.4</w:t>
            </w:r>
          </w:p>
        </w:tc>
        <w:tc>
          <w:tcPr>
            <w:tcW w:w="1701" w:type="dxa"/>
            <w:noWrap/>
            <w:hideMark/>
          </w:tcPr>
          <w:p w14:paraId="4B8E29B6" w14:textId="77777777" w:rsidR="00CB7716" w:rsidRPr="00373F1A" w:rsidRDefault="00CB7716" w:rsidP="00CB771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GB"/>
              </w:rPr>
            </w:pPr>
            <w:r w:rsidRPr="00373F1A">
              <w:rPr>
                <w:rFonts w:ascii="Calibri" w:eastAsia="Times New Roman" w:hAnsi="Calibri" w:cs="Calibri"/>
                <w:color w:val="000000"/>
                <w:lang w:eastAsia="en-GB"/>
              </w:rPr>
              <w:t>14,753</w:t>
            </w:r>
          </w:p>
        </w:tc>
        <w:tc>
          <w:tcPr>
            <w:tcW w:w="1714" w:type="dxa"/>
            <w:noWrap/>
            <w:hideMark/>
          </w:tcPr>
          <w:p w14:paraId="27E312F8" w14:textId="77777777" w:rsidR="00CB7716" w:rsidRPr="00373F1A" w:rsidRDefault="00CB7716" w:rsidP="00CB771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GB"/>
              </w:rPr>
            </w:pPr>
            <w:r w:rsidRPr="00373F1A">
              <w:rPr>
                <w:rFonts w:ascii="Calibri" w:eastAsia="Times New Roman" w:hAnsi="Calibri" w:cs="Calibri"/>
                <w:color w:val="000000"/>
                <w:lang w:eastAsia="en-GB"/>
              </w:rPr>
              <w:t>1,192</w:t>
            </w:r>
          </w:p>
        </w:tc>
      </w:tr>
      <w:tr w:rsidR="00CB7716" w:rsidRPr="00373F1A" w14:paraId="169A34DB" w14:textId="77777777" w:rsidTr="00DE0E16">
        <w:trPr>
          <w:trHeight w:val="310"/>
        </w:trPr>
        <w:tc>
          <w:tcPr>
            <w:cnfStyle w:val="001000000000" w:firstRow="0" w:lastRow="0" w:firstColumn="1" w:lastColumn="0" w:oddVBand="0" w:evenVBand="0" w:oddHBand="0" w:evenHBand="0" w:firstRowFirstColumn="0" w:firstRowLastColumn="0" w:lastRowFirstColumn="0" w:lastRowLastColumn="0"/>
            <w:tcW w:w="2830" w:type="dxa"/>
            <w:hideMark/>
          </w:tcPr>
          <w:p w14:paraId="4AF6ABCA" w14:textId="77777777" w:rsidR="00CB7716" w:rsidRPr="0042757B" w:rsidRDefault="00CB7716" w:rsidP="00CB7716">
            <w:pPr>
              <w:rPr>
                <w:rFonts w:ascii="Calibri" w:eastAsia="Times New Roman" w:hAnsi="Calibri" w:cs="Calibri"/>
                <w:b w:val="0"/>
                <w:color w:val="000000"/>
                <w:lang w:eastAsia="en-GB"/>
              </w:rPr>
            </w:pPr>
            <w:r w:rsidRPr="0042757B">
              <w:rPr>
                <w:rFonts w:ascii="Calibri" w:eastAsia="Times New Roman" w:hAnsi="Calibri" w:cs="Calibri"/>
                <w:b w:val="0"/>
                <w:color w:val="000000"/>
                <w:lang w:eastAsia="en-GB"/>
              </w:rPr>
              <w:t>Tasmania</w:t>
            </w:r>
          </w:p>
        </w:tc>
        <w:tc>
          <w:tcPr>
            <w:tcW w:w="1560" w:type="dxa"/>
            <w:hideMark/>
          </w:tcPr>
          <w:p w14:paraId="7429524D" w14:textId="77777777" w:rsidR="00CB7716" w:rsidRPr="00373F1A" w:rsidRDefault="00CB7716" w:rsidP="00CB771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373F1A">
              <w:rPr>
                <w:rFonts w:ascii="Calibri" w:eastAsia="Times New Roman" w:hAnsi="Calibri" w:cs="Calibri"/>
                <w:color w:val="000000"/>
                <w:lang w:eastAsia="en-GB"/>
              </w:rPr>
              <w:t>541,506</w:t>
            </w:r>
          </w:p>
        </w:tc>
        <w:tc>
          <w:tcPr>
            <w:tcW w:w="1275" w:type="dxa"/>
            <w:noWrap/>
            <w:hideMark/>
          </w:tcPr>
          <w:p w14:paraId="70473FB8" w14:textId="77777777" w:rsidR="00CB7716" w:rsidRPr="00373F1A" w:rsidRDefault="00CB7716" w:rsidP="00CB771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Pr>
                <w:rFonts w:ascii="Calibri" w:eastAsia="Times New Roman" w:hAnsi="Calibri" w:cs="Calibri"/>
                <w:color w:val="000000"/>
                <w:lang w:eastAsia="en-GB"/>
              </w:rPr>
              <w:t>2.1</w:t>
            </w:r>
          </w:p>
        </w:tc>
        <w:tc>
          <w:tcPr>
            <w:tcW w:w="1701" w:type="dxa"/>
            <w:noWrap/>
            <w:hideMark/>
          </w:tcPr>
          <w:p w14:paraId="78645779" w14:textId="77777777" w:rsidR="00CB7716" w:rsidRPr="00373F1A" w:rsidRDefault="00CB7716" w:rsidP="00CB771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373F1A">
              <w:rPr>
                <w:rFonts w:ascii="Calibri" w:eastAsia="Times New Roman" w:hAnsi="Calibri" w:cs="Calibri"/>
                <w:color w:val="000000"/>
                <w:lang w:eastAsia="en-GB"/>
              </w:rPr>
              <w:t>2,992</w:t>
            </w:r>
          </w:p>
        </w:tc>
        <w:tc>
          <w:tcPr>
            <w:tcW w:w="1714" w:type="dxa"/>
            <w:noWrap/>
            <w:hideMark/>
          </w:tcPr>
          <w:p w14:paraId="3C7CB0DF" w14:textId="77777777" w:rsidR="00CB7716" w:rsidRPr="00373F1A" w:rsidRDefault="00CB7716" w:rsidP="00CB771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373F1A">
              <w:rPr>
                <w:rFonts w:ascii="Calibri" w:eastAsia="Times New Roman" w:hAnsi="Calibri" w:cs="Calibri"/>
                <w:color w:val="000000"/>
                <w:lang w:eastAsia="en-GB"/>
              </w:rPr>
              <w:t>242</w:t>
            </w:r>
          </w:p>
        </w:tc>
      </w:tr>
      <w:tr w:rsidR="00CB7716" w:rsidRPr="00373F1A" w14:paraId="59155189" w14:textId="77777777" w:rsidTr="00DE0E16">
        <w:trPr>
          <w:cnfStyle w:val="000000100000" w:firstRow="0" w:lastRow="0" w:firstColumn="0" w:lastColumn="0" w:oddVBand="0" w:evenVBand="0" w:oddHBand="1" w:evenHBand="0" w:firstRowFirstColumn="0" w:firstRowLastColumn="0" w:lastRowFirstColumn="0" w:lastRowLastColumn="0"/>
          <w:trHeight w:val="278"/>
        </w:trPr>
        <w:tc>
          <w:tcPr>
            <w:cnfStyle w:val="001000000000" w:firstRow="0" w:lastRow="0" w:firstColumn="1" w:lastColumn="0" w:oddVBand="0" w:evenVBand="0" w:oddHBand="0" w:evenHBand="0" w:firstRowFirstColumn="0" w:firstRowLastColumn="0" w:lastRowFirstColumn="0" w:lastRowLastColumn="0"/>
            <w:tcW w:w="2830" w:type="dxa"/>
            <w:hideMark/>
          </w:tcPr>
          <w:p w14:paraId="34EA60DE" w14:textId="77777777" w:rsidR="00CB7716" w:rsidRPr="0042757B" w:rsidRDefault="00CB7716" w:rsidP="00CB7716">
            <w:pPr>
              <w:rPr>
                <w:rFonts w:ascii="Calibri" w:eastAsia="Times New Roman" w:hAnsi="Calibri" w:cs="Calibri"/>
                <w:b w:val="0"/>
                <w:color w:val="000000"/>
                <w:lang w:eastAsia="en-GB"/>
              </w:rPr>
            </w:pPr>
            <w:r w:rsidRPr="0042757B">
              <w:rPr>
                <w:rFonts w:ascii="Calibri" w:eastAsia="Times New Roman" w:hAnsi="Calibri" w:cs="Calibri"/>
                <w:b w:val="0"/>
                <w:color w:val="000000"/>
                <w:lang w:eastAsia="en-GB"/>
              </w:rPr>
              <w:t>ACT</w:t>
            </w:r>
          </w:p>
        </w:tc>
        <w:tc>
          <w:tcPr>
            <w:tcW w:w="1560" w:type="dxa"/>
            <w:hideMark/>
          </w:tcPr>
          <w:p w14:paraId="1E92FE0A" w14:textId="77777777" w:rsidR="00CB7716" w:rsidRPr="00373F1A" w:rsidRDefault="00CB7716" w:rsidP="00CB771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GB"/>
              </w:rPr>
            </w:pPr>
            <w:r w:rsidRPr="00373F1A">
              <w:rPr>
                <w:rFonts w:ascii="Calibri" w:eastAsia="Times New Roman" w:hAnsi="Calibri" w:cs="Calibri"/>
                <w:color w:val="000000"/>
                <w:lang w:eastAsia="en-GB"/>
              </w:rPr>
              <w:t>431,484</w:t>
            </w:r>
          </w:p>
        </w:tc>
        <w:tc>
          <w:tcPr>
            <w:tcW w:w="1275" w:type="dxa"/>
            <w:noWrap/>
            <w:hideMark/>
          </w:tcPr>
          <w:p w14:paraId="082893DD" w14:textId="77777777" w:rsidR="00CB7716" w:rsidRPr="00373F1A" w:rsidRDefault="00CB7716" w:rsidP="00CB771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GB"/>
              </w:rPr>
            </w:pPr>
            <w:r>
              <w:rPr>
                <w:rFonts w:ascii="Calibri" w:eastAsia="Times New Roman" w:hAnsi="Calibri" w:cs="Calibri"/>
                <w:color w:val="000000"/>
                <w:lang w:eastAsia="en-GB"/>
              </w:rPr>
              <w:t>1.7</w:t>
            </w:r>
          </w:p>
        </w:tc>
        <w:tc>
          <w:tcPr>
            <w:tcW w:w="1701" w:type="dxa"/>
            <w:noWrap/>
            <w:hideMark/>
          </w:tcPr>
          <w:p w14:paraId="17BD2AAD" w14:textId="77777777" w:rsidR="00CB7716" w:rsidRPr="00373F1A" w:rsidRDefault="00CB7716" w:rsidP="00CB771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GB"/>
              </w:rPr>
            </w:pPr>
            <w:r w:rsidRPr="00373F1A">
              <w:rPr>
                <w:rFonts w:ascii="Calibri" w:eastAsia="Times New Roman" w:hAnsi="Calibri" w:cs="Calibri"/>
                <w:color w:val="000000"/>
                <w:lang w:eastAsia="en-GB"/>
              </w:rPr>
              <w:t>2,384</w:t>
            </w:r>
          </w:p>
        </w:tc>
        <w:tc>
          <w:tcPr>
            <w:tcW w:w="1714" w:type="dxa"/>
            <w:noWrap/>
            <w:hideMark/>
          </w:tcPr>
          <w:p w14:paraId="4F1AFAD3" w14:textId="77777777" w:rsidR="00CB7716" w:rsidRPr="00373F1A" w:rsidRDefault="00CB7716" w:rsidP="00CB771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GB"/>
              </w:rPr>
            </w:pPr>
            <w:r w:rsidRPr="00373F1A">
              <w:rPr>
                <w:rFonts w:ascii="Calibri" w:eastAsia="Times New Roman" w:hAnsi="Calibri" w:cs="Calibri"/>
                <w:color w:val="000000"/>
                <w:lang w:eastAsia="en-GB"/>
              </w:rPr>
              <w:t>193</w:t>
            </w:r>
          </w:p>
        </w:tc>
      </w:tr>
      <w:tr w:rsidR="00CB7716" w:rsidRPr="00373F1A" w14:paraId="78823D11" w14:textId="77777777" w:rsidTr="00DE0E16">
        <w:trPr>
          <w:trHeight w:val="371"/>
        </w:trPr>
        <w:tc>
          <w:tcPr>
            <w:cnfStyle w:val="001000000000" w:firstRow="0" w:lastRow="0" w:firstColumn="1" w:lastColumn="0" w:oddVBand="0" w:evenVBand="0" w:oddHBand="0" w:evenHBand="0" w:firstRowFirstColumn="0" w:firstRowLastColumn="0" w:lastRowFirstColumn="0" w:lastRowLastColumn="0"/>
            <w:tcW w:w="2830" w:type="dxa"/>
            <w:hideMark/>
          </w:tcPr>
          <w:p w14:paraId="21E5C94A" w14:textId="77777777" w:rsidR="00CB7716" w:rsidRPr="0042757B" w:rsidRDefault="00CB7716" w:rsidP="00CB7716">
            <w:pPr>
              <w:rPr>
                <w:rFonts w:ascii="Calibri" w:eastAsia="Times New Roman" w:hAnsi="Calibri" w:cs="Calibri"/>
                <w:b w:val="0"/>
                <w:color w:val="000000"/>
                <w:lang w:eastAsia="en-GB"/>
              </w:rPr>
            </w:pPr>
            <w:r w:rsidRPr="0042757B">
              <w:rPr>
                <w:rFonts w:ascii="Calibri" w:eastAsia="Times New Roman" w:hAnsi="Calibri" w:cs="Calibri"/>
                <w:b w:val="0"/>
                <w:color w:val="000000"/>
                <w:lang w:eastAsia="en-GB"/>
              </w:rPr>
              <w:t>Northern Territory</w:t>
            </w:r>
          </w:p>
        </w:tc>
        <w:tc>
          <w:tcPr>
            <w:tcW w:w="1560" w:type="dxa"/>
            <w:hideMark/>
          </w:tcPr>
          <w:p w14:paraId="0767F188" w14:textId="77777777" w:rsidR="00CB7716" w:rsidRPr="00373F1A" w:rsidRDefault="00CB7716" w:rsidP="00CB771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373F1A">
              <w:rPr>
                <w:rFonts w:ascii="Calibri" w:eastAsia="Times New Roman" w:hAnsi="Calibri" w:cs="Calibri"/>
                <w:color w:val="000000"/>
                <w:lang w:eastAsia="en-GB"/>
              </w:rPr>
              <w:t>246,561</w:t>
            </w:r>
          </w:p>
        </w:tc>
        <w:tc>
          <w:tcPr>
            <w:tcW w:w="1275" w:type="dxa"/>
            <w:noWrap/>
            <w:hideMark/>
          </w:tcPr>
          <w:p w14:paraId="39A9931F" w14:textId="77777777" w:rsidR="00CB7716" w:rsidRPr="00373F1A" w:rsidRDefault="00CB7716" w:rsidP="00CB771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Pr>
                <w:rFonts w:ascii="Calibri" w:eastAsia="Times New Roman" w:hAnsi="Calibri" w:cs="Calibri"/>
                <w:color w:val="000000"/>
                <w:lang w:eastAsia="en-GB"/>
              </w:rPr>
              <w:t>1.0</w:t>
            </w:r>
          </w:p>
        </w:tc>
        <w:tc>
          <w:tcPr>
            <w:tcW w:w="1701" w:type="dxa"/>
            <w:noWrap/>
            <w:hideMark/>
          </w:tcPr>
          <w:p w14:paraId="397DE640" w14:textId="77777777" w:rsidR="00CB7716" w:rsidRPr="00373F1A" w:rsidRDefault="00CB7716" w:rsidP="00CB771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373F1A">
              <w:rPr>
                <w:rFonts w:ascii="Calibri" w:eastAsia="Times New Roman" w:hAnsi="Calibri" w:cs="Calibri"/>
                <w:color w:val="000000"/>
                <w:lang w:eastAsia="en-GB"/>
              </w:rPr>
              <w:t>1,362</w:t>
            </w:r>
          </w:p>
        </w:tc>
        <w:tc>
          <w:tcPr>
            <w:tcW w:w="1714" w:type="dxa"/>
            <w:noWrap/>
            <w:hideMark/>
          </w:tcPr>
          <w:p w14:paraId="2DF704DC" w14:textId="77777777" w:rsidR="00CB7716" w:rsidRPr="00373F1A" w:rsidRDefault="00CB7716" w:rsidP="00CB771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373F1A">
              <w:rPr>
                <w:rFonts w:ascii="Calibri" w:eastAsia="Times New Roman" w:hAnsi="Calibri" w:cs="Calibri"/>
                <w:color w:val="000000"/>
                <w:lang w:eastAsia="en-GB"/>
              </w:rPr>
              <w:t>110</w:t>
            </w:r>
          </w:p>
        </w:tc>
      </w:tr>
      <w:tr w:rsidR="00CB7716" w:rsidRPr="00373F1A" w14:paraId="3363E51C" w14:textId="77777777" w:rsidTr="00DE0E16">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2830" w:type="dxa"/>
            <w:hideMark/>
          </w:tcPr>
          <w:p w14:paraId="376DAA84" w14:textId="77777777" w:rsidR="00CB7716" w:rsidRPr="0042757B" w:rsidRDefault="00CB7716" w:rsidP="00CB7716">
            <w:pPr>
              <w:rPr>
                <w:rFonts w:ascii="Calibri" w:eastAsia="Times New Roman" w:hAnsi="Calibri" w:cs="Calibri"/>
                <w:b w:val="0"/>
                <w:color w:val="000000"/>
                <w:lang w:eastAsia="en-GB"/>
              </w:rPr>
            </w:pPr>
            <w:r w:rsidRPr="0042757B">
              <w:rPr>
                <w:rFonts w:ascii="Calibri" w:eastAsia="Times New Roman" w:hAnsi="Calibri" w:cs="Calibri"/>
                <w:b w:val="0"/>
                <w:color w:val="000000"/>
                <w:lang w:eastAsia="en-GB"/>
              </w:rPr>
              <w:t>Australia</w:t>
            </w:r>
          </w:p>
        </w:tc>
        <w:tc>
          <w:tcPr>
            <w:tcW w:w="1560" w:type="dxa"/>
            <w:noWrap/>
            <w:hideMark/>
          </w:tcPr>
          <w:p w14:paraId="05334ED1" w14:textId="77777777" w:rsidR="00CB7716" w:rsidRPr="00373F1A" w:rsidRDefault="00CB7716" w:rsidP="00CB771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GB"/>
              </w:rPr>
            </w:pPr>
            <w:r w:rsidRPr="00373F1A">
              <w:rPr>
                <w:rFonts w:ascii="Calibri" w:eastAsia="Times New Roman" w:hAnsi="Calibri" w:cs="Calibri"/>
                <w:color w:val="000000"/>
                <w:lang w:eastAsia="en-GB"/>
              </w:rPr>
              <w:t>25,689,702</w:t>
            </w:r>
          </w:p>
        </w:tc>
        <w:tc>
          <w:tcPr>
            <w:tcW w:w="1275" w:type="dxa"/>
            <w:noWrap/>
            <w:hideMark/>
          </w:tcPr>
          <w:p w14:paraId="1C6358A2" w14:textId="77777777" w:rsidR="00CB7716" w:rsidRPr="00373F1A" w:rsidRDefault="00CB7716" w:rsidP="00CB771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GB"/>
              </w:rPr>
            </w:pPr>
            <w:r w:rsidRPr="00373F1A">
              <w:rPr>
                <w:rFonts w:ascii="Calibri" w:eastAsia="Times New Roman" w:hAnsi="Calibri" w:cs="Calibri"/>
                <w:color w:val="000000"/>
                <w:lang w:eastAsia="en-GB"/>
              </w:rPr>
              <w:t> </w:t>
            </w:r>
          </w:p>
        </w:tc>
        <w:tc>
          <w:tcPr>
            <w:tcW w:w="1701" w:type="dxa"/>
            <w:noWrap/>
            <w:hideMark/>
          </w:tcPr>
          <w:p w14:paraId="2A4BF4E0" w14:textId="77777777" w:rsidR="00CB7716" w:rsidRPr="00373F1A" w:rsidRDefault="00CB7716" w:rsidP="00CB771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GB"/>
              </w:rPr>
            </w:pPr>
            <w:r w:rsidRPr="00373F1A">
              <w:rPr>
                <w:rFonts w:ascii="Calibri" w:eastAsia="Times New Roman" w:hAnsi="Calibri" w:cs="Calibri"/>
                <w:color w:val="000000"/>
                <w:lang w:eastAsia="en-GB"/>
              </w:rPr>
              <w:t>141,938</w:t>
            </w:r>
          </w:p>
        </w:tc>
        <w:tc>
          <w:tcPr>
            <w:tcW w:w="1714" w:type="dxa"/>
            <w:noWrap/>
            <w:hideMark/>
          </w:tcPr>
          <w:p w14:paraId="3EFE0DCA" w14:textId="77777777" w:rsidR="00CB7716" w:rsidRPr="00373F1A" w:rsidRDefault="00CB7716" w:rsidP="00CB771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GB"/>
              </w:rPr>
            </w:pPr>
            <w:r>
              <w:rPr>
                <w:rFonts w:ascii="Calibri" w:eastAsia="Times New Roman" w:hAnsi="Calibri" w:cs="Calibri"/>
                <w:color w:val="000000"/>
                <w:lang w:eastAsia="en-GB"/>
              </w:rPr>
              <w:t>11,467</w:t>
            </w:r>
          </w:p>
        </w:tc>
      </w:tr>
    </w:tbl>
    <w:p w14:paraId="1A593E23" w14:textId="361668FF" w:rsidR="00CB7716" w:rsidRPr="0025246D" w:rsidRDefault="00CB7716" w:rsidP="0025246D">
      <w:pPr>
        <w:pStyle w:val="Heading3"/>
        <w:numPr>
          <w:ilvl w:val="0"/>
          <w:numId w:val="0"/>
        </w:numPr>
        <w:ind w:left="720" w:hanging="720"/>
        <w:rPr>
          <w:sz w:val="28"/>
        </w:rPr>
      </w:pPr>
      <w:bookmarkStart w:id="169" w:name="_Toc107412722"/>
      <w:bookmarkStart w:id="170" w:name="_Toc109300470"/>
      <w:r w:rsidRPr="0025246D">
        <w:rPr>
          <w:sz w:val="28"/>
        </w:rPr>
        <w:t>Number of illnesses from in-scope food business settings</w:t>
      </w:r>
      <w:bookmarkEnd w:id="169"/>
      <w:bookmarkEnd w:id="170"/>
    </w:p>
    <w:p w14:paraId="6CB18BD2" w14:textId="77777777" w:rsidR="00CB7716" w:rsidRPr="00373F1A" w:rsidRDefault="00CB7716" w:rsidP="0000604C">
      <w:pPr>
        <w:spacing w:after="240"/>
      </w:pPr>
      <w:r>
        <w:t xml:space="preserve">Avoiding cases of foodborne illness is the principal benefit that will arise from this project. The per cost case was taken from the Australian National University cost modelling work completed for FSANZ to update, extend and increase the sophistication of in-house modelling. The cost estimates in our CRIS were revised for this DRIS based on our updated model. </w:t>
      </w:r>
    </w:p>
    <w:p w14:paraId="724DDF96" w14:textId="5E2C57D0" w:rsidR="00CB7716" w:rsidRPr="00373F1A" w:rsidRDefault="00CB7716" w:rsidP="0000604C">
      <w:pPr>
        <w:spacing w:after="240"/>
      </w:pPr>
      <w:r>
        <w:t xml:space="preserve">The number of cases of foodborne illness was estimated using the methodology described in Kirk et al. (2014). Model inputs were updated to circa 2020, using data from national and jurisdictional notifiable disease and population statistics. Attribution of cases to relevant food service settings was based on evidence from Australian outbreaks identified by </w:t>
      </w:r>
      <w:proofErr w:type="spellStart"/>
      <w:r>
        <w:t>OzFoodNet</w:t>
      </w:r>
      <w:proofErr w:type="spellEnd"/>
      <w:r>
        <w:t>.</w:t>
      </w:r>
    </w:p>
    <w:p w14:paraId="308777B4" w14:textId="7E734876" w:rsidR="00CB7716" w:rsidRDefault="00CB7716" w:rsidP="0000604C">
      <w:pPr>
        <w:spacing w:after="240"/>
        <w:rPr>
          <w:rFonts w:cs="Arial"/>
        </w:rPr>
      </w:pPr>
      <w:r w:rsidRPr="00373F1A">
        <w:rPr>
          <w:rFonts w:cs="Arial"/>
        </w:rPr>
        <w:t>The cost estimates represent a significant increase to those previously estimated circ</w:t>
      </w:r>
      <w:r>
        <w:rPr>
          <w:rFonts w:cs="Arial"/>
        </w:rPr>
        <w:t>a 2010 (by Kirk et al., 2014</w:t>
      </w:r>
      <w:r w:rsidRPr="00373F1A">
        <w:rPr>
          <w:rFonts w:cs="Arial"/>
        </w:rPr>
        <w:t>). This is a result of an increase in the esti</w:t>
      </w:r>
      <w:r>
        <w:rPr>
          <w:rFonts w:cs="Arial"/>
        </w:rPr>
        <w:t>mated number of illnesses due to several factors, including</w:t>
      </w:r>
      <w:r w:rsidRPr="00373F1A">
        <w:rPr>
          <w:rFonts w:cs="Arial"/>
        </w:rPr>
        <w:t xml:space="preserve"> an increase in population, increases in notifications in salmonellosis and </w:t>
      </w:r>
      <w:proofErr w:type="spellStart"/>
      <w:r w:rsidRPr="00373F1A">
        <w:rPr>
          <w:rFonts w:cs="Arial"/>
        </w:rPr>
        <w:t>campylobacteriosis</w:t>
      </w:r>
      <w:proofErr w:type="spellEnd"/>
      <w:r>
        <w:rPr>
          <w:rFonts w:cs="Arial"/>
        </w:rPr>
        <w:t>,</w:t>
      </w:r>
      <w:r w:rsidRPr="00373F1A">
        <w:rPr>
          <w:rFonts w:cs="Arial"/>
        </w:rPr>
        <w:t xml:space="preserve"> and inclusion of costs associated with sequela</w:t>
      </w:r>
      <w:r>
        <w:rPr>
          <w:rStyle w:val="FootnoteReference"/>
          <w:rFonts w:cs="Arial"/>
        </w:rPr>
        <w:footnoteReference w:id="31"/>
      </w:r>
      <w:r>
        <w:rPr>
          <w:rFonts w:cs="Arial"/>
        </w:rPr>
        <w:t xml:space="preserve">. </w:t>
      </w:r>
    </w:p>
    <w:p w14:paraId="5807F1C1" w14:textId="77777777" w:rsidR="00CB7716" w:rsidRPr="00052BFA" w:rsidRDefault="00CB7716" w:rsidP="00CB7716">
      <w:pPr>
        <w:pStyle w:val="FSTableFigureHeading"/>
        <w:rPr>
          <w:sz w:val="20"/>
        </w:rPr>
      </w:pPr>
      <w:r w:rsidRPr="00052BFA">
        <w:rPr>
          <w:sz w:val="20"/>
        </w:rPr>
        <w:t>Table 10: Estimated illness and cost for Category 1 food businesses, by pathogen</w:t>
      </w:r>
    </w:p>
    <w:tbl>
      <w:tblPr>
        <w:tblStyle w:val="GridTable4-Accent4"/>
        <w:tblW w:w="8926" w:type="dxa"/>
        <w:tblLook w:val="04A0" w:firstRow="1" w:lastRow="0" w:firstColumn="1" w:lastColumn="0" w:noHBand="0" w:noVBand="1"/>
      </w:tblPr>
      <w:tblGrid>
        <w:gridCol w:w="1920"/>
        <w:gridCol w:w="2186"/>
        <w:gridCol w:w="2410"/>
        <w:gridCol w:w="2410"/>
      </w:tblGrid>
      <w:tr w:rsidR="00CB7716" w:rsidRPr="00373F1A" w14:paraId="76932540" w14:textId="77777777" w:rsidTr="00DE0E16">
        <w:trPr>
          <w:cnfStyle w:val="100000000000" w:firstRow="1" w:lastRow="0" w:firstColumn="0" w:lastColumn="0" w:oddVBand="0" w:evenVBand="0" w:oddHBand="0"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1920" w:type="dxa"/>
            <w:hideMark/>
          </w:tcPr>
          <w:p w14:paraId="43D27040" w14:textId="77777777" w:rsidR="00CB7716" w:rsidRPr="00373F1A" w:rsidRDefault="00CB7716" w:rsidP="00CB7716">
            <w:pPr>
              <w:jc w:val="center"/>
              <w:rPr>
                <w:rFonts w:ascii="Calibri" w:hAnsi="Calibri" w:cs="Calibri"/>
                <w:color w:val="FFFFFF"/>
                <w:lang w:eastAsia="en-GB"/>
              </w:rPr>
            </w:pPr>
            <w:r w:rsidRPr="00373F1A">
              <w:rPr>
                <w:rFonts w:ascii="Calibri" w:hAnsi="Calibri" w:cs="Calibri"/>
                <w:color w:val="FFFFFF"/>
                <w:lang w:eastAsia="en-GB"/>
              </w:rPr>
              <w:t>Pathogen</w:t>
            </w:r>
          </w:p>
        </w:tc>
        <w:tc>
          <w:tcPr>
            <w:tcW w:w="2186" w:type="dxa"/>
            <w:hideMark/>
          </w:tcPr>
          <w:p w14:paraId="7B2919BE" w14:textId="77777777" w:rsidR="00CB7716" w:rsidRPr="00373F1A" w:rsidRDefault="00CB7716" w:rsidP="00CB7716">
            <w:pPr>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FFFFFF"/>
                <w:lang w:eastAsia="en-GB"/>
              </w:rPr>
            </w:pPr>
            <w:r w:rsidRPr="00373F1A">
              <w:rPr>
                <w:rFonts w:ascii="Calibri" w:hAnsi="Calibri" w:cs="Calibri"/>
                <w:color w:val="FFFFFF"/>
                <w:lang w:eastAsia="en-GB"/>
              </w:rPr>
              <w:t xml:space="preserve">Number of cases </w:t>
            </w:r>
          </w:p>
        </w:tc>
        <w:tc>
          <w:tcPr>
            <w:tcW w:w="2410" w:type="dxa"/>
            <w:hideMark/>
          </w:tcPr>
          <w:p w14:paraId="72CD8DB3" w14:textId="77777777" w:rsidR="00CB7716" w:rsidRPr="00373F1A" w:rsidRDefault="00CB7716" w:rsidP="00CB7716">
            <w:pPr>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FFFFFF"/>
                <w:lang w:eastAsia="en-GB"/>
              </w:rPr>
            </w:pPr>
            <w:r w:rsidRPr="00373F1A">
              <w:rPr>
                <w:rFonts w:ascii="Calibri" w:hAnsi="Calibri" w:cs="Calibri"/>
                <w:color w:val="FFFFFF"/>
                <w:lang w:eastAsia="en-GB"/>
              </w:rPr>
              <w:t>Average cost per case ($)</w:t>
            </w:r>
          </w:p>
        </w:tc>
        <w:tc>
          <w:tcPr>
            <w:tcW w:w="2410" w:type="dxa"/>
            <w:hideMark/>
          </w:tcPr>
          <w:p w14:paraId="52C1F9A6" w14:textId="77777777" w:rsidR="00CB7716" w:rsidRPr="00373F1A" w:rsidRDefault="00CB7716" w:rsidP="00CB7716">
            <w:pPr>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FFFFFF"/>
                <w:lang w:eastAsia="en-GB"/>
              </w:rPr>
            </w:pPr>
            <w:r w:rsidRPr="00373F1A">
              <w:rPr>
                <w:rFonts w:ascii="Calibri" w:hAnsi="Calibri" w:cs="Calibri"/>
                <w:color w:val="FFFFFF"/>
                <w:lang w:eastAsia="en-GB"/>
              </w:rPr>
              <w:t>Cost per annum ($)</w:t>
            </w:r>
          </w:p>
        </w:tc>
      </w:tr>
      <w:tr w:rsidR="00CB7716" w:rsidRPr="00373F1A" w14:paraId="5C41E703" w14:textId="77777777" w:rsidTr="00DE0E16">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1920" w:type="dxa"/>
            <w:noWrap/>
            <w:hideMark/>
          </w:tcPr>
          <w:p w14:paraId="06090130" w14:textId="77777777" w:rsidR="00CB7716" w:rsidRPr="00D56FE7" w:rsidRDefault="00CB7716" w:rsidP="00CB7716">
            <w:pPr>
              <w:jc w:val="center"/>
              <w:rPr>
                <w:rFonts w:ascii="Calibri" w:hAnsi="Calibri" w:cs="Calibri"/>
                <w:b w:val="0"/>
                <w:bCs w:val="0"/>
                <w:i/>
                <w:iCs/>
                <w:color w:val="000000"/>
                <w:lang w:eastAsia="en-GB"/>
              </w:rPr>
            </w:pPr>
            <w:r w:rsidRPr="68C0CA2D">
              <w:rPr>
                <w:rFonts w:ascii="Calibri" w:hAnsi="Calibri" w:cs="Calibri"/>
                <w:b w:val="0"/>
                <w:bCs w:val="0"/>
                <w:i/>
                <w:iCs/>
                <w:color w:val="000000" w:themeColor="text1"/>
                <w:lang w:eastAsia="en-GB"/>
              </w:rPr>
              <w:t>Salmonella</w:t>
            </w:r>
          </w:p>
        </w:tc>
        <w:tc>
          <w:tcPr>
            <w:tcW w:w="2186" w:type="dxa"/>
            <w:noWrap/>
            <w:hideMark/>
          </w:tcPr>
          <w:p w14:paraId="227F4882" w14:textId="77777777" w:rsidR="00CB7716" w:rsidRPr="00373F1A" w:rsidRDefault="00CB7716" w:rsidP="00CB771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lang w:eastAsia="en-GB"/>
              </w:rPr>
            </w:pPr>
            <w:r w:rsidRPr="68C0CA2D">
              <w:rPr>
                <w:rFonts w:ascii="Calibri" w:hAnsi="Calibri" w:cs="Calibri"/>
                <w:color w:val="000000" w:themeColor="text1"/>
                <w:lang w:eastAsia="en-GB"/>
              </w:rPr>
              <w:t>50,175</w:t>
            </w:r>
          </w:p>
        </w:tc>
        <w:tc>
          <w:tcPr>
            <w:tcW w:w="2410" w:type="dxa"/>
            <w:noWrap/>
            <w:hideMark/>
          </w:tcPr>
          <w:p w14:paraId="080D744D" w14:textId="77777777" w:rsidR="00CB7716" w:rsidRPr="00373F1A" w:rsidRDefault="00CB7716" w:rsidP="00CB771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lang w:eastAsia="en-GB"/>
              </w:rPr>
            </w:pPr>
            <w:r w:rsidRPr="48861835">
              <w:rPr>
                <w:rFonts w:ascii="Calibri" w:hAnsi="Calibri" w:cs="Calibri"/>
                <w:color w:val="000000" w:themeColor="text1"/>
                <w:lang w:eastAsia="en-GB"/>
              </w:rPr>
              <w:t xml:space="preserve">2,270 </w:t>
            </w:r>
          </w:p>
        </w:tc>
        <w:tc>
          <w:tcPr>
            <w:tcW w:w="2410" w:type="dxa"/>
            <w:noWrap/>
            <w:hideMark/>
          </w:tcPr>
          <w:p w14:paraId="073375FC" w14:textId="6962D398" w:rsidR="00CB7716" w:rsidRPr="00373F1A" w:rsidRDefault="0081747A" w:rsidP="00CB771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lang w:eastAsia="en-GB"/>
              </w:rPr>
            </w:pPr>
            <w:r>
              <w:rPr>
                <w:rFonts w:ascii="Calibri" w:hAnsi="Calibri" w:cs="Calibri"/>
                <w:color w:val="000000" w:themeColor="text1"/>
                <w:lang w:eastAsia="en-GB"/>
              </w:rPr>
              <w:t xml:space="preserve"> </w:t>
            </w:r>
            <w:r w:rsidR="00CB7716" w:rsidRPr="68C0CA2D">
              <w:rPr>
                <w:rFonts w:ascii="Calibri" w:hAnsi="Calibri" w:cs="Calibri"/>
                <w:color w:val="000000" w:themeColor="text1"/>
                <w:lang w:eastAsia="en-GB"/>
              </w:rPr>
              <w:t>113,897,</w:t>
            </w:r>
            <w:r w:rsidR="00CB7716" w:rsidRPr="48861835">
              <w:rPr>
                <w:rFonts w:ascii="Calibri" w:hAnsi="Calibri" w:cs="Calibri"/>
                <w:color w:val="000000" w:themeColor="text1"/>
                <w:lang w:eastAsia="en-GB"/>
              </w:rPr>
              <w:t>250</w:t>
            </w:r>
            <w:r w:rsidR="00CB7716" w:rsidRPr="68C0CA2D">
              <w:rPr>
                <w:rFonts w:ascii="Calibri" w:hAnsi="Calibri" w:cs="Calibri"/>
                <w:color w:val="000000" w:themeColor="text1"/>
                <w:lang w:eastAsia="en-GB"/>
              </w:rPr>
              <w:t xml:space="preserve"> </w:t>
            </w:r>
          </w:p>
        </w:tc>
      </w:tr>
      <w:tr w:rsidR="00CB7716" w:rsidRPr="00373F1A" w14:paraId="1FF9A6CD" w14:textId="77777777" w:rsidTr="00DE0E16">
        <w:trPr>
          <w:trHeight w:val="310"/>
        </w:trPr>
        <w:tc>
          <w:tcPr>
            <w:cnfStyle w:val="001000000000" w:firstRow="0" w:lastRow="0" w:firstColumn="1" w:lastColumn="0" w:oddVBand="0" w:evenVBand="0" w:oddHBand="0" w:evenHBand="0" w:firstRowFirstColumn="0" w:firstRowLastColumn="0" w:lastRowFirstColumn="0" w:lastRowLastColumn="0"/>
            <w:tcW w:w="1920" w:type="dxa"/>
            <w:noWrap/>
            <w:hideMark/>
          </w:tcPr>
          <w:p w14:paraId="67484D35" w14:textId="77777777" w:rsidR="00CB7716" w:rsidRPr="00D56FE7" w:rsidRDefault="00CB7716" w:rsidP="00CB7716">
            <w:pPr>
              <w:jc w:val="center"/>
              <w:rPr>
                <w:rFonts w:ascii="Calibri" w:hAnsi="Calibri" w:cs="Calibri"/>
                <w:b w:val="0"/>
                <w:bCs w:val="0"/>
                <w:i/>
                <w:iCs/>
                <w:color w:val="000000"/>
                <w:lang w:eastAsia="en-GB"/>
              </w:rPr>
            </w:pPr>
            <w:r w:rsidRPr="68C0CA2D">
              <w:rPr>
                <w:rFonts w:ascii="Calibri" w:hAnsi="Calibri" w:cs="Calibri"/>
                <w:b w:val="0"/>
                <w:bCs w:val="0"/>
                <w:i/>
                <w:iCs/>
                <w:color w:val="000000" w:themeColor="text1"/>
                <w:lang w:eastAsia="en-GB"/>
              </w:rPr>
              <w:t>Campylobacter</w:t>
            </w:r>
          </w:p>
        </w:tc>
        <w:tc>
          <w:tcPr>
            <w:tcW w:w="2186" w:type="dxa"/>
            <w:noWrap/>
            <w:hideMark/>
          </w:tcPr>
          <w:p w14:paraId="5BC6D267" w14:textId="77777777" w:rsidR="00CB7716" w:rsidRPr="00373F1A" w:rsidRDefault="00CB7716" w:rsidP="00CB771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lang w:eastAsia="en-GB"/>
              </w:rPr>
            </w:pPr>
            <w:r w:rsidRPr="68C0CA2D">
              <w:rPr>
                <w:rFonts w:ascii="Calibri" w:hAnsi="Calibri" w:cs="Calibri"/>
                <w:color w:val="000000" w:themeColor="text1"/>
                <w:lang w:eastAsia="en-GB"/>
              </w:rPr>
              <w:t>200,570</w:t>
            </w:r>
          </w:p>
        </w:tc>
        <w:tc>
          <w:tcPr>
            <w:tcW w:w="2410" w:type="dxa"/>
            <w:noWrap/>
            <w:hideMark/>
          </w:tcPr>
          <w:p w14:paraId="7582A5B0" w14:textId="77777777" w:rsidR="00CB7716" w:rsidRPr="00373F1A" w:rsidRDefault="00CB7716" w:rsidP="00CB771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lang w:eastAsia="en-GB"/>
              </w:rPr>
            </w:pPr>
            <w:r w:rsidRPr="48861835">
              <w:rPr>
                <w:rFonts w:ascii="Calibri" w:hAnsi="Calibri" w:cs="Calibri"/>
                <w:color w:val="000000" w:themeColor="text1"/>
                <w:lang w:eastAsia="en-GB"/>
              </w:rPr>
              <w:t xml:space="preserve">1,390 </w:t>
            </w:r>
          </w:p>
        </w:tc>
        <w:tc>
          <w:tcPr>
            <w:tcW w:w="2410" w:type="dxa"/>
            <w:noWrap/>
            <w:hideMark/>
          </w:tcPr>
          <w:p w14:paraId="301B3CD6" w14:textId="6C3BE54C" w:rsidR="00CB7716" w:rsidRPr="00373F1A" w:rsidRDefault="0081747A" w:rsidP="00CB771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lang w:eastAsia="en-GB"/>
              </w:rPr>
            </w:pPr>
            <w:r>
              <w:rPr>
                <w:rFonts w:ascii="Calibri" w:hAnsi="Calibri" w:cs="Calibri"/>
                <w:color w:val="000000" w:themeColor="text1"/>
                <w:lang w:eastAsia="en-GB"/>
              </w:rPr>
              <w:t xml:space="preserve"> </w:t>
            </w:r>
            <w:r w:rsidR="00CB7716" w:rsidRPr="68C0CA2D">
              <w:rPr>
                <w:rFonts w:ascii="Calibri" w:hAnsi="Calibri" w:cs="Calibri"/>
                <w:color w:val="000000" w:themeColor="text1"/>
                <w:lang w:eastAsia="en-GB"/>
              </w:rPr>
              <w:t>278,792,</w:t>
            </w:r>
            <w:r w:rsidR="00CB7716" w:rsidRPr="48861835">
              <w:rPr>
                <w:rFonts w:ascii="Calibri" w:hAnsi="Calibri" w:cs="Calibri"/>
                <w:color w:val="000000" w:themeColor="text1"/>
                <w:lang w:eastAsia="en-GB"/>
              </w:rPr>
              <w:t>300</w:t>
            </w:r>
            <w:r w:rsidR="00CB7716" w:rsidRPr="68C0CA2D">
              <w:rPr>
                <w:rFonts w:ascii="Calibri" w:hAnsi="Calibri" w:cs="Calibri"/>
                <w:color w:val="000000" w:themeColor="text1"/>
                <w:lang w:eastAsia="en-GB"/>
              </w:rPr>
              <w:t xml:space="preserve"> </w:t>
            </w:r>
          </w:p>
        </w:tc>
      </w:tr>
      <w:tr w:rsidR="00CB7716" w:rsidRPr="00373F1A" w14:paraId="1D27CAFB" w14:textId="77777777" w:rsidTr="00DE0E16">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1920" w:type="dxa"/>
            <w:noWrap/>
            <w:hideMark/>
          </w:tcPr>
          <w:p w14:paraId="4780BDC5" w14:textId="77777777" w:rsidR="00CB7716" w:rsidRPr="00D56FE7" w:rsidRDefault="00CB7716" w:rsidP="00CB7716">
            <w:pPr>
              <w:jc w:val="center"/>
              <w:rPr>
                <w:rFonts w:ascii="Calibri" w:hAnsi="Calibri" w:cs="Calibri"/>
                <w:b w:val="0"/>
                <w:bCs w:val="0"/>
                <w:color w:val="000000"/>
                <w:lang w:eastAsia="en-GB"/>
              </w:rPr>
            </w:pPr>
            <w:r w:rsidRPr="68C0CA2D">
              <w:rPr>
                <w:rFonts w:ascii="Calibri" w:hAnsi="Calibri" w:cs="Calibri"/>
                <w:b w:val="0"/>
                <w:bCs w:val="0"/>
                <w:color w:val="000000" w:themeColor="text1"/>
                <w:lang w:eastAsia="en-GB"/>
              </w:rPr>
              <w:t>Norovirus</w:t>
            </w:r>
          </w:p>
        </w:tc>
        <w:tc>
          <w:tcPr>
            <w:tcW w:w="2186" w:type="dxa"/>
            <w:noWrap/>
            <w:hideMark/>
          </w:tcPr>
          <w:p w14:paraId="30FD0A5B" w14:textId="77777777" w:rsidR="00CB7716" w:rsidRPr="00373F1A" w:rsidRDefault="00CB7716" w:rsidP="00CB771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lang w:eastAsia="en-GB"/>
              </w:rPr>
            </w:pPr>
            <w:r w:rsidRPr="68C0CA2D">
              <w:rPr>
                <w:rFonts w:ascii="Calibri" w:hAnsi="Calibri" w:cs="Calibri"/>
                <w:color w:val="000000" w:themeColor="text1"/>
                <w:lang w:eastAsia="en-GB"/>
              </w:rPr>
              <w:t>2,728,789</w:t>
            </w:r>
          </w:p>
        </w:tc>
        <w:tc>
          <w:tcPr>
            <w:tcW w:w="2410" w:type="dxa"/>
            <w:noWrap/>
            <w:hideMark/>
          </w:tcPr>
          <w:p w14:paraId="76830C16" w14:textId="77777777" w:rsidR="00CB7716" w:rsidRPr="00373F1A" w:rsidRDefault="00CB7716" w:rsidP="00CB771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lang w:eastAsia="en-GB"/>
              </w:rPr>
            </w:pPr>
            <w:r w:rsidRPr="48861835">
              <w:rPr>
                <w:rFonts w:ascii="Calibri" w:hAnsi="Calibri" w:cs="Calibri"/>
                <w:color w:val="000000" w:themeColor="text1"/>
                <w:lang w:eastAsia="en-GB"/>
              </w:rPr>
              <w:t xml:space="preserve">396 </w:t>
            </w:r>
          </w:p>
        </w:tc>
        <w:tc>
          <w:tcPr>
            <w:tcW w:w="2410" w:type="dxa"/>
            <w:noWrap/>
            <w:hideMark/>
          </w:tcPr>
          <w:p w14:paraId="1C73AFB1" w14:textId="60F66E74" w:rsidR="00CB7716" w:rsidRPr="00373F1A" w:rsidRDefault="0081747A" w:rsidP="00CB771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lang w:eastAsia="en-GB"/>
              </w:rPr>
            </w:pPr>
            <w:r>
              <w:rPr>
                <w:rFonts w:ascii="Calibri" w:hAnsi="Calibri" w:cs="Calibri"/>
                <w:color w:val="000000" w:themeColor="text1"/>
                <w:lang w:eastAsia="en-GB"/>
              </w:rPr>
              <w:t xml:space="preserve"> </w:t>
            </w:r>
            <w:r w:rsidR="00CB7716" w:rsidRPr="68C0CA2D">
              <w:rPr>
                <w:rFonts w:ascii="Calibri" w:hAnsi="Calibri" w:cs="Calibri"/>
                <w:color w:val="000000" w:themeColor="text1"/>
                <w:lang w:eastAsia="en-GB"/>
              </w:rPr>
              <w:t>1,080,600,</w:t>
            </w:r>
            <w:r w:rsidR="00CB7716" w:rsidRPr="48861835">
              <w:rPr>
                <w:rFonts w:ascii="Calibri" w:hAnsi="Calibri" w:cs="Calibri"/>
                <w:color w:val="000000" w:themeColor="text1"/>
                <w:lang w:eastAsia="en-GB"/>
              </w:rPr>
              <w:t>444</w:t>
            </w:r>
            <w:r w:rsidR="00CB7716" w:rsidRPr="68C0CA2D">
              <w:rPr>
                <w:rFonts w:ascii="Calibri" w:hAnsi="Calibri" w:cs="Calibri"/>
                <w:color w:val="000000" w:themeColor="text1"/>
                <w:lang w:eastAsia="en-GB"/>
              </w:rPr>
              <w:t xml:space="preserve"> </w:t>
            </w:r>
          </w:p>
        </w:tc>
      </w:tr>
      <w:tr w:rsidR="00CB7716" w:rsidRPr="00373F1A" w14:paraId="0242677C" w14:textId="77777777" w:rsidTr="00DE0E16">
        <w:trPr>
          <w:trHeight w:val="310"/>
        </w:trPr>
        <w:tc>
          <w:tcPr>
            <w:cnfStyle w:val="001000000000" w:firstRow="0" w:lastRow="0" w:firstColumn="1" w:lastColumn="0" w:oddVBand="0" w:evenVBand="0" w:oddHBand="0" w:evenHBand="0" w:firstRowFirstColumn="0" w:firstRowLastColumn="0" w:lastRowFirstColumn="0" w:lastRowLastColumn="0"/>
            <w:tcW w:w="1920" w:type="dxa"/>
            <w:noWrap/>
            <w:hideMark/>
          </w:tcPr>
          <w:p w14:paraId="1AA2C312" w14:textId="77777777" w:rsidR="00CB7716" w:rsidRPr="00D56FE7" w:rsidRDefault="00CB7716" w:rsidP="00CB7716">
            <w:pPr>
              <w:jc w:val="center"/>
              <w:rPr>
                <w:rFonts w:ascii="Calibri" w:hAnsi="Calibri" w:cs="Calibri"/>
                <w:b w:val="0"/>
                <w:bCs w:val="0"/>
                <w:i/>
                <w:iCs/>
                <w:color w:val="000000"/>
                <w:lang w:eastAsia="en-GB"/>
              </w:rPr>
            </w:pPr>
            <w:r w:rsidRPr="68C0CA2D">
              <w:rPr>
                <w:rFonts w:ascii="Calibri" w:hAnsi="Calibri" w:cs="Calibri"/>
                <w:b w:val="0"/>
                <w:bCs w:val="0"/>
                <w:i/>
                <w:iCs/>
                <w:color w:val="000000" w:themeColor="text1"/>
                <w:lang w:eastAsia="en-GB"/>
              </w:rPr>
              <w:t>Listeria</w:t>
            </w:r>
          </w:p>
        </w:tc>
        <w:tc>
          <w:tcPr>
            <w:tcW w:w="2186" w:type="dxa"/>
            <w:noWrap/>
            <w:hideMark/>
          </w:tcPr>
          <w:p w14:paraId="712252BE" w14:textId="77777777" w:rsidR="00CB7716" w:rsidRPr="00373F1A" w:rsidRDefault="00CB7716" w:rsidP="00CB771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lang w:eastAsia="en-GB"/>
              </w:rPr>
            </w:pPr>
            <w:r w:rsidRPr="68C0CA2D">
              <w:rPr>
                <w:rFonts w:ascii="Calibri" w:hAnsi="Calibri" w:cs="Calibri"/>
                <w:color w:val="000000" w:themeColor="text1"/>
                <w:lang w:eastAsia="en-GB"/>
              </w:rPr>
              <w:t>6</w:t>
            </w:r>
          </w:p>
        </w:tc>
        <w:tc>
          <w:tcPr>
            <w:tcW w:w="2410" w:type="dxa"/>
            <w:noWrap/>
            <w:hideMark/>
          </w:tcPr>
          <w:p w14:paraId="4CCD2E9F" w14:textId="77777777" w:rsidR="00CB7716" w:rsidRPr="00373F1A" w:rsidRDefault="00CB7716" w:rsidP="00CB771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lang w:eastAsia="en-GB"/>
              </w:rPr>
            </w:pPr>
            <w:r w:rsidRPr="48861835">
              <w:rPr>
                <w:rFonts w:ascii="Calibri" w:hAnsi="Calibri" w:cs="Calibri"/>
                <w:color w:val="000000" w:themeColor="text1"/>
                <w:lang w:eastAsia="en-GB"/>
              </w:rPr>
              <w:t xml:space="preserve">785,000 </w:t>
            </w:r>
          </w:p>
        </w:tc>
        <w:tc>
          <w:tcPr>
            <w:tcW w:w="2410" w:type="dxa"/>
            <w:noWrap/>
            <w:hideMark/>
          </w:tcPr>
          <w:p w14:paraId="76825D4E" w14:textId="77777777" w:rsidR="00CB7716" w:rsidRPr="00373F1A" w:rsidRDefault="00CB7716" w:rsidP="00CB771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lang w:eastAsia="en-GB"/>
              </w:rPr>
            </w:pPr>
            <w:r w:rsidRPr="68C0CA2D">
              <w:rPr>
                <w:rFonts w:ascii="Calibri" w:hAnsi="Calibri" w:cs="Calibri"/>
                <w:color w:val="000000" w:themeColor="text1"/>
                <w:lang w:eastAsia="en-GB"/>
              </w:rPr>
              <w:t xml:space="preserve"> 4,710,</w:t>
            </w:r>
            <w:r w:rsidRPr="48861835">
              <w:rPr>
                <w:rFonts w:ascii="Calibri" w:hAnsi="Calibri" w:cs="Calibri"/>
                <w:color w:val="000000" w:themeColor="text1"/>
                <w:lang w:eastAsia="en-GB"/>
              </w:rPr>
              <w:t>000</w:t>
            </w:r>
            <w:r w:rsidRPr="68C0CA2D">
              <w:rPr>
                <w:rFonts w:ascii="Calibri" w:hAnsi="Calibri" w:cs="Calibri"/>
                <w:color w:val="000000" w:themeColor="text1"/>
                <w:lang w:eastAsia="en-GB"/>
              </w:rPr>
              <w:t xml:space="preserve"> </w:t>
            </w:r>
          </w:p>
        </w:tc>
      </w:tr>
      <w:tr w:rsidR="00CB7716" w:rsidRPr="00373F1A" w14:paraId="0F61807C" w14:textId="77777777" w:rsidTr="00DE0E16">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920" w:type="dxa"/>
            <w:noWrap/>
            <w:hideMark/>
          </w:tcPr>
          <w:p w14:paraId="4888B41F" w14:textId="77777777" w:rsidR="00CB7716" w:rsidRPr="00D56FE7" w:rsidRDefault="00CB7716" w:rsidP="00CB7716">
            <w:pPr>
              <w:jc w:val="center"/>
              <w:rPr>
                <w:rFonts w:ascii="Calibri" w:hAnsi="Calibri" w:cs="Calibri"/>
                <w:b w:val="0"/>
                <w:bCs w:val="0"/>
                <w:color w:val="000000"/>
                <w:lang w:eastAsia="en-GB"/>
              </w:rPr>
            </w:pPr>
            <w:r w:rsidRPr="68C0CA2D">
              <w:rPr>
                <w:rFonts w:ascii="Calibri" w:hAnsi="Calibri" w:cs="Calibri"/>
                <w:b w:val="0"/>
                <w:bCs w:val="0"/>
                <w:color w:val="000000" w:themeColor="text1"/>
                <w:lang w:eastAsia="en-GB"/>
              </w:rPr>
              <w:t>STEC</w:t>
            </w:r>
          </w:p>
        </w:tc>
        <w:tc>
          <w:tcPr>
            <w:tcW w:w="2186" w:type="dxa"/>
            <w:noWrap/>
            <w:hideMark/>
          </w:tcPr>
          <w:p w14:paraId="3F72EC52" w14:textId="77777777" w:rsidR="00CB7716" w:rsidRPr="00373F1A" w:rsidRDefault="00CB7716" w:rsidP="00CB771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lang w:eastAsia="en-GB"/>
              </w:rPr>
            </w:pPr>
            <w:r w:rsidRPr="68C0CA2D">
              <w:rPr>
                <w:rFonts w:ascii="Calibri" w:hAnsi="Calibri" w:cs="Calibri"/>
                <w:color w:val="000000" w:themeColor="text1"/>
                <w:lang w:eastAsia="en-GB"/>
              </w:rPr>
              <w:t>11,130</w:t>
            </w:r>
          </w:p>
        </w:tc>
        <w:tc>
          <w:tcPr>
            <w:tcW w:w="2410" w:type="dxa"/>
            <w:noWrap/>
            <w:hideMark/>
          </w:tcPr>
          <w:p w14:paraId="36E0D537" w14:textId="77777777" w:rsidR="00CB7716" w:rsidRPr="00373F1A" w:rsidRDefault="00CB7716" w:rsidP="00CB771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lang w:eastAsia="en-GB"/>
              </w:rPr>
            </w:pPr>
            <w:r w:rsidRPr="48861835">
              <w:rPr>
                <w:rFonts w:ascii="Calibri" w:hAnsi="Calibri" w:cs="Calibri"/>
                <w:color w:val="000000" w:themeColor="text1"/>
                <w:lang w:eastAsia="en-GB"/>
              </w:rPr>
              <w:t xml:space="preserve">4,330 </w:t>
            </w:r>
          </w:p>
        </w:tc>
        <w:tc>
          <w:tcPr>
            <w:tcW w:w="2410" w:type="dxa"/>
            <w:noWrap/>
            <w:hideMark/>
          </w:tcPr>
          <w:p w14:paraId="6A606722" w14:textId="76C66243" w:rsidR="00CB7716" w:rsidRPr="00373F1A" w:rsidRDefault="0081747A" w:rsidP="00CB771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lang w:eastAsia="en-GB"/>
              </w:rPr>
            </w:pPr>
            <w:r>
              <w:rPr>
                <w:rFonts w:ascii="Calibri" w:hAnsi="Calibri" w:cs="Calibri"/>
                <w:color w:val="000000" w:themeColor="text1"/>
                <w:lang w:eastAsia="en-GB"/>
              </w:rPr>
              <w:t xml:space="preserve"> </w:t>
            </w:r>
            <w:r w:rsidR="00CB7716" w:rsidRPr="68C0CA2D">
              <w:rPr>
                <w:rFonts w:ascii="Calibri" w:hAnsi="Calibri" w:cs="Calibri"/>
                <w:color w:val="000000" w:themeColor="text1"/>
                <w:lang w:eastAsia="en-GB"/>
              </w:rPr>
              <w:t>48,192,</w:t>
            </w:r>
            <w:r w:rsidR="00CB7716" w:rsidRPr="48861835">
              <w:rPr>
                <w:rFonts w:ascii="Calibri" w:hAnsi="Calibri" w:cs="Calibri"/>
                <w:color w:val="000000" w:themeColor="text1"/>
                <w:lang w:eastAsia="en-GB"/>
              </w:rPr>
              <w:t>900</w:t>
            </w:r>
            <w:r w:rsidR="00CB7716" w:rsidRPr="68C0CA2D">
              <w:rPr>
                <w:rFonts w:ascii="Calibri" w:hAnsi="Calibri" w:cs="Calibri"/>
                <w:color w:val="000000" w:themeColor="text1"/>
                <w:lang w:eastAsia="en-GB"/>
              </w:rPr>
              <w:t xml:space="preserve"> </w:t>
            </w:r>
          </w:p>
        </w:tc>
      </w:tr>
      <w:tr w:rsidR="00CB7716" w:rsidRPr="00373F1A" w14:paraId="1762504E" w14:textId="77777777" w:rsidTr="00DE0E16">
        <w:trPr>
          <w:trHeight w:val="306"/>
        </w:trPr>
        <w:tc>
          <w:tcPr>
            <w:cnfStyle w:val="001000000000" w:firstRow="0" w:lastRow="0" w:firstColumn="1" w:lastColumn="0" w:oddVBand="0" w:evenVBand="0" w:oddHBand="0" w:evenHBand="0" w:firstRowFirstColumn="0" w:firstRowLastColumn="0" w:lastRowFirstColumn="0" w:lastRowLastColumn="0"/>
            <w:tcW w:w="1920" w:type="dxa"/>
            <w:hideMark/>
          </w:tcPr>
          <w:p w14:paraId="2A8AD590" w14:textId="77777777" w:rsidR="00CB7716" w:rsidRPr="00D56FE7" w:rsidRDefault="00CB7716" w:rsidP="00CB7716">
            <w:pPr>
              <w:jc w:val="center"/>
              <w:rPr>
                <w:rFonts w:ascii="Calibri" w:hAnsi="Calibri" w:cs="Calibri"/>
                <w:lang w:eastAsia="en-GB"/>
              </w:rPr>
            </w:pPr>
            <w:r w:rsidRPr="68C0CA2D">
              <w:rPr>
                <w:rFonts w:ascii="Calibri" w:hAnsi="Calibri" w:cs="Calibri"/>
                <w:lang w:eastAsia="en-GB"/>
              </w:rPr>
              <w:t>Total</w:t>
            </w:r>
          </w:p>
        </w:tc>
        <w:tc>
          <w:tcPr>
            <w:tcW w:w="2186" w:type="dxa"/>
            <w:hideMark/>
          </w:tcPr>
          <w:p w14:paraId="2B2FB7DA" w14:textId="77777777" w:rsidR="00CB7716" w:rsidRPr="00373F1A" w:rsidRDefault="00CB7716" w:rsidP="00CB771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lang w:eastAsia="en-GB"/>
              </w:rPr>
            </w:pPr>
            <w:r w:rsidRPr="68C0CA2D">
              <w:rPr>
                <w:rFonts w:ascii="Calibri" w:hAnsi="Calibri" w:cs="Calibri"/>
                <w:b/>
                <w:bCs/>
                <w:lang w:eastAsia="en-GB"/>
              </w:rPr>
              <w:t>2,990,670</w:t>
            </w:r>
          </w:p>
        </w:tc>
        <w:tc>
          <w:tcPr>
            <w:tcW w:w="2410" w:type="dxa"/>
            <w:hideMark/>
          </w:tcPr>
          <w:p w14:paraId="60ACE50F" w14:textId="77777777" w:rsidR="00CB7716" w:rsidRPr="00373F1A" w:rsidRDefault="00CB7716" w:rsidP="00CB771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lang w:eastAsia="en-GB"/>
              </w:rPr>
            </w:pPr>
            <w:r w:rsidRPr="68C0CA2D">
              <w:rPr>
                <w:rFonts w:ascii="Calibri" w:hAnsi="Calibri" w:cs="Calibri"/>
                <w:b/>
                <w:bCs/>
                <w:lang w:eastAsia="en-GB"/>
              </w:rPr>
              <w:t> </w:t>
            </w:r>
          </w:p>
        </w:tc>
        <w:tc>
          <w:tcPr>
            <w:tcW w:w="2410" w:type="dxa"/>
            <w:hideMark/>
          </w:tcPr>
          <w:p w14:paraId="63DC597F" w14:textId="038238EE" w:rsidR="00CB7716" w:rsidRPr="00373F1A" w:rsidRDefault="0081747A" w:rsidP="00CB771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lang w:eastAsia="en-GB"/>
              </w:rPr>
            </w:pPr>
            <w:r>
              <w:rPr>
                <w:rFonts w:ascii="Calibri" w:hAnsi="Calibri" w:cs="Calibri"/>
                <w:b/>
                <w:bCs/>
                <w:lang w:eastAsia="en-GB"/>
              </w:rPr>
              <w:t xml:space="preserve"> </w:t>
            </w:r>
            <w:r w:rsidR="00CB7716" w:rsidRPr="68C0CA2D">
              <w:rPr>
                <w:rFonts w:ascii="Calibri" w:hAnsi="Calibri" w:cs="Calibri"/>
                <w:b/>
                <w:bCs/>
                <w:lang w:eastAsia="en-GB"/>
              </w:rPr>
              <w:t>1,526,192,</w:t>
            </w:r>
            <w:r w:rsidR="00CB7716" w:rsidRPr="48861835">
              <w:rPr>
                <w:rFonts w:ascii="Calibri" w:hAnsi="Calibri" w:cs="Calibri"/>
                <w:b/>
                <w:bCs/>
                <w:lang w:eastAsia="en-GB"/>
              </w:rPr>
              <w:t>894</w:t>
            </w:r>
            <w:r w:rsidR="00CB7716" w:rsidRPr="68C0CA2D">
              <w:rPr>
                <w:rFonts w:ascii="Calibri" w:hAnsi="Calibri" w:cs="Calibri"/>
                <w:b/>
                <w:bCs/>
                <w:lang w:eastAsia="en-GB"/>
              </w:rPr>
              <w:t xml:space="preserve"> </w:t>
            </w:r>
          </w:p>
        </w:tc>
      </w:tr>
    </w:tbl>
    <w:p w14:paraId="31AF7AC8" w14:textId="3FB92AF2" w:rsidR="00CB7716" w:rsidRDefault="00CB7716" w:rsidP="00CB7716"/>
    <w:p w14:paraId="3DB15AA9" w14:textId="77777777" w:rsidR="00F72B9F" w:rsidRPr="00373F1A" w:rsidRDefault="00F72B9F" w:rsidP="00CB7716"/>
    <w:p w14:paraId="34061835" w14:textId="77777777" w:rsidR="00CB7716" w:rsidRPr="00052BFA" w:rsidRDefault="00CB7716" w:rsidP="00CB7716">
      <w:pPr>
        <w:pStyle w:val="FSTableFigureHeading"/>
        <w:rPr>
          <w:sz w:val="20"/>
        </w:rPr>
      </w:pPr>
      <w:r w:rsidRPr="00052BFA">
        <w:rPr>
          <w:sz w:val="20"/>
        </w:rPr>
        <w:t>Table 11: Estimated illness and cost for Category 2 food businesses, by pathogen</w:t>
      </w:r>
    </w:p>
    <w:tbl>
      <w:tblPr>
        <w:tblStyle w:val="GridTable4-Accent4"/>
        <w:tblW w:w="8926" w:type="dxa"/>
        <w:tblLook w:val="04A0" w:firstRow="1" w:lastRow="0" w:firstColumn="1" w:lastColumn="0" w:noHBand="0" w:noVBand="1"/>
      </w:tblPr>
      <w:tblGrid>
        <w:gridCol w:w="1920"/>
        <w:gridCol w:w="2186"/>
        <w:gridCol w:w="2410"/>
        <w:gridCol w:w="2410"/>
      </w:tblGrid>
      <w:tr w:rsidR="00CB7716" w:rsidRPr="00373F1A" w14:paraId="35A825EC" w14:textId="77777777" w:rsidTr="00DE0E16">
        <w:trPr>
          <w:cnfStyle w:val="100000000000" w:firstRow="1" w:lastRow="0" w:firstColumn="0" w:lastColumn="0" w:oddVBand="0" w:evenVBand="0" w:oddHBand="0" w:evenHBand="0" w:firstRowFirstColumn="0" w:firstRowLastColumn="0" w:lastRowFirstColumn="0" w:lastRowLastColumn="0"/>
          <w:trHeight w:val="580"/>
        </w:trPr>
        <w:tc>
          <w:tcPr>
            <w:cnfStyle w:val="001000000000" w:firstRow="0" w:lastRow="0" w:firstColumn="1" w:lastColumn="0" w:oddVBand="0" w:evenVBand="0" w:oddHBand="0" w:evenHBand="0" w:firstRowFirstColumn="0" w:firstRowLastColumn="0" w:lastRowFirstColumn="0" w:lastRowLastColumn="0"/>
            <w:tcW w:w="1920" w:type="dxa"/>
            <w:hideMark/>
          </w:tcPr>
          <w:p w14:paraId="68DB8304" w14:textId="77777777" w:rsidR="00CB7716" w:rsidRPr="00373F1A" w:rsidRDefault="00CB7716" w:rsidP="00CB7716">
            <w:pPr>
              <w:jc w:val="center"/>
              <w:rPr>
                <w:rFonts w:ascii="Calibri" w:hAnsi="Calibri" w:cs="Calibri"/>
                <w:color w:val="FFFFFF"/>
                <w:lang w:eastAsia="en-GB"/>
              </w:rPr>
            </w:pPr>
            <w:r w:rsidRPr="00373F1A">
              <w:rPr>
                <w:rFonts w:ascii="Calibri" w:hAnsi="Calibri" w:cs="Calibri"/>
                <w:color w:val="FFFFFF"/>
                <w:lang w:eastAsia="en-GB"/>
              </w:rPr>
              <w:t>Pathogen</w:t>
            </w:r>
          </w:p>
        </w:tc>
        <w:tc>
          <w:tcPr>
            <w:tcW w:w="2186" w:type="dxa"/>
            <w:hideMark/>
          </w:tcPr>
          <w:p w14:paraId="483E2185" w14:textId="77777777" w:rsidR="00CB7716" w:rsidRPr="00373F1A" w:rsidRDefault="00CB7716" w:rsidP="00CB7716">
            <w:pPr>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FFFFFF"/>
                <w:lang w:eastAsia="en-GB"/>
              </w:rPr>
            </w:pPr>
            <w:r w:rsidRPr="68C0CA2D">
              <w:rPr>
                <w:rFonts w:ascii="Calibri" w:hAnsi="Calibri" w:cs="Calibri"/>
                <w:lang w:eastAsia="en-GB"/>
              </w:rPr>
              <w:t>Number of</w:t>
            </w:r>
            <w:r w:rsidRPr="68C0CA2D" w:rsidDel="004F4C6E">
              <w:rPr>
                <w:rFonts w:ascii="Calibri" w:hAnsi="Calibri" w:cs="Calibri"/>
                <w:lang w:eastAsia="en-GB"/>
              </w:rPr>
              <w:t xml:space="preserve"> </w:t>
            </w:r>
            <w:r w:rsidRPr="68C0CA2D">
              <w:rPr>
                <w:rFonts w:ascii="Calibri" w:hAnsi="Calibri" w:cs="Calibri"/>
                <w:lang w:eastAsia="en-GB"/>
              </w:rPr>
              <w:t xml:space="preserve">cases </w:t>
            </w:r>
          </w:p>
        </w:tc>
        <w:tc>
          <w:tcPr>
            <w:tcW w:w="2410" w:type="dxa"/>
            <w:hideMark/>
          </w:tcPr>
          <w:p w14:paraId="1298C8D4" w14:textId="77777777" w:rsidR="00CB7716" w:rsidRPr="00373F1A" w:rsidRDefault="00CB7716" w:rsidP="00CB7716">
            <w:pPr>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FFFFFF"/>
                <w:lang w:eastAsia="en-GB"/>
              </w:rPr>
            </w:pPr>
            <w:r w:rsidRPr="00373F1A">
              <w:rPr>
                <w:rFonts w:ascii="Calibri" w:hAnsi="Calibri" w:cs="Calibri"/>
                <w:color w:val="FFFFFF"/>
                <w:lang w:eastAsia="en-GB"/>
              </w:rPr>
              <w:t>Average cost per case ($)</w:t>
            </w:r>
          </w:p>
        </w:tc>
        <w:tc>
          <w:tcPr>
            <w:tcW w:w="2410" w:type="dxa"/>
            <w:hideMark/>
          </w:tcPr>
          <w:p w14:paraId="0A5D3ADF" w14:textId="77777777" w:rsidR="00CB7716" w:rsidRPr="00373F1A" w:rsidRDefault="00CB7716" w:rsidP="00CB7716">
            <w:pPr>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FFFFFF"/>
                <w:lang w:eastAsia="en-GB"/>
              </w:rPr>
            </w:pPr>
            <w:r w:rsidRPr="00373F1A">
              <w:rPr>
                <w:rFonts w:ascii="Calibri" w:hAnsi="Calibri" w:cs="Calibri"/>
                <w:color w:val="FFFFFF"/>
                <w:lang w:eastAsia="en-GB"/>
              </w:rPr>
              <w:t>Cost per annum ($)</w:t>
            </w:r>
          </w:p>
        </w:tc>
      </w:tr>
      <w:tr w:rsidR="00CB7716" w:rsidRPr="00373F1A" w14:paraId="5F4FCAEB" w14:textId="77777777" w:rsidTr="00DE0E1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920" w:type="dxa"/>
            <w:noWrap/>
            <w:hideMark/>
          </w:tcPr>
          <w:p w14:paraId="0EC3AF52" w14:textId="77777777" w:rsidR="00CB7716" w:rsidRPr="00D56FE7" w:rsidRDefault="00CB7716" w:rsidP="00CB7716">
            <w:pPr>
              <w:rPr>
                <w:rFonts w:ascii="Calibri" w:hAnsi="Calibri" w:cs="Calibri"/>
                <w:b w:val="0"/>
                <w:i/>
                <w:color w:val="000000"/>
                <w:lang w:eastAsia="en-GB"/>
              </w:rPr>
            </w:pPr>
            <w:r w:rsidRPr="00D56FE7">
              <w:rPr>
                <w:rFonts w:ascii="Calibri" w:hAnsi="Calibri" w:cs="Calibri"/>
                <w:b w:val="0"/>
                <w:i/>
                <w:color w:val="000000"/>
                <w:lang w:eastAsia="en-GB"/>
              </w:rPr>
              <w:t>Salmonella</w:t>
            </w:r>
          </w:p>
        </w:tc>
        <w:tc>
          <w:tcPr>
            <w:tcW w:w="2186" w:type="dxa"/>
            <w:noWrap/>
            <w:hideMark/>
          </w:tcPr>
          <w:p w14:paraId="04299570" w14:textId="77777777" w:rsidR="00CB7716" w:rsidRPr="00373F1A" w:rsidRDefault="00CB7716" w:rsidP="00CB771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lang w:eastAsia="en-GB"/>
              </w:rPr>
            </w:pPr>
            <w:r w:rsidRPr="48861835">
              <w:rPr>
                <w:rFonts w:ascii="Calibri" w:hAnsi="Calibri" w:cs="Calibri"/>
                <w:color w:val="000000" w:themeColor="text1"/>
                <w:lang w:eastAsia="en-GB"/>
              </w:rPr>
              <w:t>2,116</w:t>
            </w:r>
          </w:p>
        </w:tc>
        <w:tc>
          <w:tcPr>
            <w:tcW w:w="2410" w:type="dxa"/>
            <w:noWrap/>
            <w:hideMark/>
          </w:tcPr>
          <w:p w14:paraId="4A56A974" w14:textId="77777777" w:rsidR="00CB7716" w:rsidRPr="00373F1A" w:rsidRDefault="00CB7716" w:rsidP="00CB771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lang w:eastAsia="en-GB"/>
              </w:rPr>
            </w:pPr>
            <w:r w:rsidRPr="48861835">
              <w:rPr>
                <w:rFonts w:ascii="Calibri" w:hAnsi="Calibri" w:cs="Calibri"/>
                <w:color w:val="000000" w:themeColor="text1"/>
                <w:lang w:eastAsia="en-GB"/>
              </w:rPr>
              <w:t xml:space="preserve">2,270 </w:t>
            </w:r>
          </w:p>
        </w:tc>
        <w:tc>
          <w:tcPr>
            <w:tcW w:w="2410" w:type="dxa"/>
            <w:noWrap/>
            <w:hideMark/>
          </w:tcPr>
          <w:p w14:paraId="79AF90B8" w14:textId="77777777" w:rsidR="00CB7716" w:rsidRPr="00373F1A" w:rsidRDefault="00CB7716" w:rsidP="00CB771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lang w:eastAsia="en-GB"/>
              </w:rPr>
            </w:pPr>
            <w:r w:rsidRPr="48861835">
              <w:rPr>
                <w:rFonts w:ascii="Calibri" w:hAnsi="Calibri" w:cs="Calibri"/>
                <w:color w:val="000000" w:themeColor="text1"/>
                <w:lang w:eastAsia="en-GB"/>
              </w:rPr>
              <w:t xml:space="preserve">4,803,320 </w:t>
            </w:r>
          </w:p>
        </w:tc>
      </w:tr>
      <w:tr w:rsidR="00CB7716" w:rsidRPr="00373F1A" w14:paraId="1936A69D" w14:textId="77777777" w:rsidTr="00DE0E16">
        <w:trPr>
          <w:trHeight w:val="290"/>
        </w:trPr>
        <w:tc>
          <w:tcPr>
            <w:cnfStyle w:val="001000000000" w:firstRow="0" w:lastRow="0" w:firstColumn="1" w:lastColumn="0" w:oddVBand="0" w:evenVBand="0" w:oddHBand="0" w:evenHBand="0" w:firstRowFirstColumn="0" w:firstRowLastColumn="0" w:lastRowFirstColumn="0" w:lastRowLastColumn="0"/>
            <w:tcW w:w="1920" w:type="dxa"/>
            <w:noWrap/>
            <w:hideMark/>
          </w:tcPr>
          <w:p w14:paraId="13287EC1" w14:textId="77777777" w:rsidR="00CB7716" w:rsidRPr="00D56FE7" w:rsidRDefault="00CB7716" w:rsidP="00CB7716">
            <w:pPr>
              <w:rPr>
                <w:rFonts w:ascii="Calibri" w:hAnsi="Calibri" w:cs="Calibri"/>
                <w:b w:val="0"/>
                <w:i/>
                <w:color w:val="000000"/>
                <w:lang w:eastAsia="en-GB"/>
              </w:rPr>
            </w:pPr>
            <w:r w:rsidRPr="00D56FE7">
              <w:rPr>
                <w:rFonts w:ascii="Calibri" w:hAnsi="Calibri" w:cs="Calibri"/>
                <w:b w:val="0"/>
                <w:i/>
                <w:color w:val="000000"/>
                <w:lang w:eastAsia="en-GB"/>
              </w:rPr>
              <w:t>Campylobacter</w:t>
            </w:r>
          </w:p>
        </w:tc>
        <w:tc>
          <w:tcPr>
            <w:tcW w:w="2186" w:type="dxa"/>
            <w:noWrap/>
            <w:hideMark/>
          </w:tcPr>
          <w:p w14:paraId="13935C60" w14:textId="77777777" w:rsidR="00CB7716" w:rsidRPr="00373F1A" w:rsidRDefault="00CB7716" w:rsidP="00CB771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lang w:eastAsia="en-GB"/>
              </w:rPr>
            </w:pPr>
            <w:r w:rsidRPr="48861835">
              <w:rPr>
                <w:rFonts w:ascii="Calibri" w:hAnsi="Calibri" w:cs="Calibri"/>
                <w:color w:val="000000" w:themeColor="text1"/>
                <w:lang w:eastAsia="en-GB"/>
              </w:rPr>
              <w:t>32,432</w:t>
            </w:r>
          </w:p>
        </w:tc>
        <w:tc>
          <w:tcPr>
            <w:tcW w:w="2410" w:type="dxa"/>
            <w:noWrap/>
            <w:hideMark/>
          </w:tcPr>
          <w:p w14:paraId="174B9370" w14:textId="77777777" w:rsidR="00CB7716" w:rsidRPr="00373F1A" w:rsidRDefault="00CB7716" w:rsidP="00CB771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lang w:eastAsia="en-GB"/>
              </w:rPr>
            </w:pPr>
            <w:r w:rsidRPr="48861835">
              <w:rPr>
                <w:rFonts w:ascii="Calibri" w:hAnsi="Calibri" w:cs="Calibri"/>
                <w:color w:val="000000" w:themeColor="text1"/>
                <w:lang w:eastAsia="en-GB"/>
              </w:rPr>
              <w:t xml:space="preserve">1,390 </w:t>
            </w:r>
          </w:p>
        </w:tc>
        <w:tc>
          <w:tcPr>
            <w:tcW w:w="2410" w:type="dxa"/>
            <w:noWrap/>
            <w:hideMark/>
          </w:tcPr>
          <w:p w14:paraId="4963EAE1" w14:textId="77777777" w:rsidR="00CB7716" w:rsidRPr="00373F1A" w:rsidRDefault="00CB7716" w:rsidP="00CB771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lang w:eastAsia="en-GB"/>
              </w:rPr>
            </w:pPr>
            <w:r w:rsidRPr="48861835">
              <w:rPr>
                <w:rFonts w:ascii="Calibri" w:hAnsi="Calibri" w:cs="Calibri"/>
                <w:color w:val="000000" w:themeColor="text1"/>
                <w:lang w:eastAsia="en-GB"/>
              </w:rPr>
              <w:t xml:space="preserve">45,080,480 </w:t>
            </w:r>
          </w:p>
        </w:tc>
      </w:tr>
      <w:tr w:rsidR="00CB7716" w:rsidRPr="00373F1A" w14:paraId="0151A743" w14:textId="77777777" w:rsidTr="00DE0E1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920" w:type="dxa"/>
            <w:noWrap/>
            <w:hideMark/>
          </w:tcPr>
          <w:p w14:paraId="60A28596" w14:textId="77777777" w:rsidR="00CB7716" w:rsidRPr="00D56FE7" w:rsidRDefault="00CB7716" w:rsidP="00CB7716">
            <w:pPr>
              <w:rPr>
                <w:rFonts w:ascii="Calibri" w:hAnsi="Calibri" w:cs="Calibri"/>
                <w:b w:val="0"/>
                <w:color w:val="000000"/>
                <w:lang w:eastAsia="en-GB"/>
              </w:rPr>
            </w:pPr>
            <w:r w:rsidRPr="00D56FE7">
              <w:rPr>
                <w:rFonts w:ascii="Calibri" w:hAnsi="Calibri" w:cs="Calibri"/>
                <w:b w:val="0"/>
                <w:color w:val="000000"/>
                <w:lang w:eastAsia="en-GB"/>
              </w:rPr>
              <w:t>Norovirus</w:t>
            </w:r>
          </w:p>
        </w:tc>
        <w:tc>
          <w:tcPr>
            <w:tcW w:w="2186" w:type="dxa"/>
            <w:noWrap/>
            <w:hideMark/>
          </w:tcPr>
          <w:p w14:paraId="55EBC04E" w14:textId="77777777" w:rsidR="00CB7716" w:rsidRPr="00373F1A" w:rsidRDefault="00CB7716" w:rsidP="00CB771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lang w:eastAsia="en-GB"/>
              </w:rPr>
            </w:pPr>
            <w:r w:rsidRPr="48861835">
              <w:rPr>
                <w:rFonts w:ascii="Calibri" w:hAnsi="Calibri" w:cs="Calibri"/>
                <w:color w:val="000000" w:themeColor="text1"/>
                <w:lang w:eastAsia="en-GB"/>
              </w:rPr>
              <w:t>188,129</w:t>
            </w:r>
          </w:p>
        </w:tc>
        <w:tc>
          <w:tcPr>
            <w:tcW w:w="2410" w:type="dxa"/>
            <w:noWrap/>
            <w:hideMark/>
          </w:tcPr>
          <w:p w14:paraId="503D50FE" w14:textId="77777777" w:rsidR="00CB7716" w:rsidRPr="00373F1A" w:rsidRDefault="00CB7716" w:rsidP="00CB771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lang w:eastAsia="en-GB"/>
              </w:rPr>
            </w:pPr>
            <w:r w:rsidRPr="48861835">
              <w:rPr>
                <w:rFonts w:ascii="Calibri" w:hAnsi="Calibri" w:cs="Calibri"/>
                <w:color w:val="000000" w:themeColor="text1"/>
                <w:lang w:eastAsia="en-GB"/>
              </w:rPr>
              <w:t xml:space="preserve">396 </w:t>
            </w:r>
          </w:p>
        </w:tc>
        <w:tc>
          <w:tcPr>
            <w:tcW w:w="2410" w:type="dxa"/>
            <w:noWrap/>
            <w:hideMark/>
          </w:tcPr>
          <w:p w14:paraId="5B590640" w14:textId="77777777" w:rsidR="00CB7716" w:rsidRPr="00373F1A" w:rsidRDefault="00CB7716" w:rsidP="00CB771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lang w:eastAsia="en-GB"/>
              </w:rPr>
            </w:pPr>
            <w:r w:rsidRPr="48861835">
              <w:rPr>
                <w:rFonts w:ascii="Calibri" w:hAnsi="Calibri" w:cs="Calibri"/>
                <w:color w:val="000000" w:themeColor="text1"/>
                <w:lang w:eastAsia="en-GB"/>
              </w:rPr>
              <w:t xml:space="preserve">74,499,084 </w:t>
            </w:r>
          </w:p>
        </w:tc>
      </w:tr>
      <w:tr w:rsidR="00CB7716" w:rsidRPr="00373F1A" w14:paraId="72278C40" w14:textId="77777777" w:rsidTr="00DE0E16">
        <w:trPr>
          <w:trHeight w:val="290"/>
        </w:trPr>
        <w:tc>
          <w:tcPr>
            <w:cnfStyle w:val="001000000000" w:firstRow="0" w:lastRow="0" w:firstColumn="1" w:lastColumn="0" w:oddVBand="0" w:evenVBand="0" w:oddHBand="0" w:evenHBand="0" w:firstRowFirstColumn="0" w:firstRowLastColumn="0" w:lastRowFirstColumn="0" w:lastRowLastColumn="0"/>
            <w:tcW w:w="1920" w:type="dxa"/>
            <w:noWrap/>
            <w:hideMark/>
          </w:tcPr>
          <w:p w14:paraId="348A58EF" w14:textId="77777777" w:rsidR="00CB7716" w:rsidRPr="00D56FE7" w:rsidRDefault="00CB7716" w:rsidP="00CB7716">
            <w:pPr>
              <w:rPr>
                <w:rFonts w:ascii="Calibri" w:hAnsi="Calibri" w:cs="Calibri"/>
                <w:b w:val="0"/>
                <w:i/>
                <w:color w:val="000000"/>
                <w:lang w:eastAsia="en-GB"/>
              </w:rPr>
            </w:pPr>
            <w:r w:rsidRPr="00D56FE7">
              <w:rPr>
                <w:rFonts w:ascii="Calibri" w:hAnsi="Calibri" w:cs="Calibri"/>
                <w:b w:val="0"/>
                <w:i/>
                <w:color w:val="000000"/>
                <w:lang w:eastAsia="en-GB"/>
              </w:rPr>
              <w:t>Listeria</w:t>
            </w:r>
          </w:p>
        </w:tc>
        <w:tc>
          <w:tcPr>
            <w:tcW w:w="2186" w:type="dxa"/>
            <w:noWrap/>
            <w:hideMark/>
          </w:tcPr>
          <w:p w14:paraId="3A828704" w14:textId="77777777" w:rsidR="00CB7716" w:rsidRPr="00373F1A" w:rsidRDefault="00CB7716" w:rsidP="00CB771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lang w:eastAsia="en-GB"/>
              </w:rPr>
            </w:pPr>
            <w:r w:rsidRPr="48861835">
              <w:rPr>
                <w:rFonts w:ascii="Calibri" w:hAnsi="Calibri" w:cs="Calibri"/>
                <w:color w:val="000000" w:themeColor="text1"/>
                <w:lang w:eastAsia="en-GB"/>
              </w:rPr>
              <w:t>0</w:t>
            </w:r>
          </w:p>
        </w:tc>
        <w:tc>
          <w:tcPr>
            <w:tcW w:w="2410" w:type="dxa"/>
            <w:noWrap/>
            <w:hideMark/>
          </w:tcPr>
          <w:p w14:paraId="3C8280A7" w14:textId="77777777" w:rsidR="00CB7716" w:rsidRPr="00373F1A" w:rsidRDefault="00CB7716" w:rsidP="00CB771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lang w:eastAsia="en-GB"/>
              </w:rPr>
            </w:pPr>
            <w:r w:rsidRPr="48861835">
              <w:rPr>
                <w:rFonts w:ascii="Calibri" w:hAnsi="Calibri" w:cs="Calibri"/>
                <w:color w:val="000000" w:themeColor="text1"/>
                <w:lang w:eastAsia="en-GB"/>
              </w:rPr>
              <w:t xml:space="preserve">785,000 </w:t>
            </w:r>
          </w:p>
        </w:tc>
        <w:tc>
          <w:tcPr>
            <w:tcW w:w="2410" w:type="dxa"/>
            <w:noWrap/>
            <w:hideMark/>
          </w:tcPr>
          <w:p w14:paraId="758E60E1" w14:textId="50DB7690" w:rsidR="00CB7716" w:rsidRPr="00373F1A" w:rsidRDefault="00CB7716" w:rsidP="00CB771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lang w:eastAsia="en-GB"/>
              </w:rPr>
            </w:pPr>
            <w:r w:rsidRPr="48861835">
              <w:rPr>
                <w:rFonts w:ascii="Calibri" w:hAnsi="Calibri" w:cs="Calibri"/>
                <w:color w:val="000000" w:themeColor="text1"/>
                <w:lang w:eastAsia="en-GB"/>
              </w:rPr>
              <w:t>-</w:t>
            </w:r>
            <w:r w:rsidR="0081747A">
              <w:rPr>
                <w:rFonts w:ascii="Calibri" w:hAnsi="Calibri" w:cs="Calibri"/>
                <w:color w:val="000000" w:themeColor="text1"/>
                <w:lang w:eastAsia="en-GB"/>
              </w:rPr>
              <w:t xml:space="preserve"> </w:t>
            </w:r>
          </w:p>
        </w:tc>
      </w:tr>
      <w:tr w:rsidR="00CB7716" w:rsidRPr="00373F1A" w14:paraId="70496753" w14:textId="77777777" w:rsidTr="00DE0E1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920" w:type="dxa"/>
            <w:noWrap/>
            <w:hideMark/>
          </w:tcPr>
          <w:p w14:paraId="723C5E78" w14:textId="77777777" w:rsidR="00CB7716" w:rsidRPr="00D56FE7" w:rsidRDefault="00CB7716" w:rsidP="00CB7716">
            <w:pPr>
              <w:rPr>
                <w:rFonts w:ascii="Calibri" w:hAnsi="Calibri" w:cs="Calibri"/>
                <w:b w:val="0"/>
                <w:color w:val="000000"/>
                <w:lang w:eastAsia="en-GB"/>
              </w:rPr>
            </w:pPr>
            <w:r w:rsidRPr="00D56FE7">
              <w:rPr>
                <w:rFonts w:ascii="Calibri" w:hAnsi="Calibri" w:cs="Calibri"/>
                <w:b w:val="0"/>
                <w:color w:val="000000"/>
                <w:lang w:eastAsia="en-GB"/>
              </w:rPr>
              <w:t>STEC</w:t>
            </w:r>
          </w:p>
        </w:tc>
        <w:tc>
          <w:tcPr>
            <w:tcW w:w="2186" w:type="dxa"/>
            <w:noWrap/>
            <w:hideMark/>
          </w:tcPr>
          <w:p w14:paraId="11011F1A" w14:textId="77777777" w:rsidR="00CB7716" w:rsidRPr="00373F1A" w:rsidRDefault="00CB7716" w:rsidP="00CB771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lang w:eastAsia="en-GB"/>
              </w:rPr>
            </w:pPr>
            <w:r w:rsidRPr="48861835">
              <w:rPr>
                <w:rFonts w:ascii="Calibri" w:hAnsi="Calibri" w:cs="Calibri"/>
                <w:color w:val="000000" w:themeColor="text1"/>
                <w:lang w:eastAsia="en-GB"/>
              </w:rPr>
              <w:t>4,637</w:t>
            </w:r>
          </w:p>
        </w:tc>
        <w:tc>
          <w:tcPr>
            <w:tcW w:w="2410" w:type="dxa"/>
            <w:noWrap/>
            <w:hideMark/>
          </w:tcPr>
          <w:p w14:paraId="7312E582" w14:textId="77777777" w:rsidR="00CB7716" w:rsidRPr="00373F1A" w:rsidRDefault="00CB7716" w:rsidP="00CB771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lang w:eastAsia="en-GB"/>
              </w:rPr>
            </w:pPr>
            <w:r w:rsidRPr="48861835">
              <w:rPr>
                <w:rFonts w:ascii="Calibri" w:hAnsi="Calibri" w:cs="Calibri"/>
                <w:color w:val="000000" w:themeColor="text1"/>
                <w:lang w:eastAsia="en-GB"/>
              </w:rPr>
              <w:t xml:space="preserve">4,330 </w:t>
            </w:r>
          </w:p>
        </w:tc>
        <w:tc>
          <w:tcPr>
            <w:tcW w:w="2410" w:type="dxa"/>
            <w:noWrap/>
            <w:hideMark/>
          </w:tcPr>
          <w:p w14:paraId="36FBADDA" w14:textId="77777777" w:rsidR="00CB7716" w:rsidRPr="00373F1A" w:rsidRDefault="00CB7716" w:rsidP="00CB771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lang w:eastAsia="en-GB"/>
              </w:rPr>
            </w:pPr>
            <w:r w:rsidRPr="48861835">
              <w:rPr>
                <w:rFonts w:ascii="Calibri" w:hAnsi="Calibri" w:cs="Calibri"/>
                <w:color w:val="000000" w:themeColor="text1"/>
                <w:lang w:eastAsia="en-GB"/>
              </w:rPr>
              <w:t xml:space="preserve">20,078,210 </w:t>
            </w:r>
          </w:p>
        </w:tc>
      </w:tr>
      <w:tr w:rsidR="00CB7716" w:rsidRPr="00373F1A" w14:paraId="7D95A823" w14:textId="77777777" w:rsidTr="00DE0E16">
        <w:trPr>
          <w:trHeight w:val="290"/>
        </w:trPr>
        <w:tc>
          <w:tcPr>
            <w:cnfStyle w:val="001000000000" w:firstRow="0" w:lastRow="0" w:firstColumn="1" w:lastColumn="0" w:oddVBand="0" w:evenVBand="0" w:oddHBand="0" w:evenHBand="0" w:firstRowFirstColumn="0" w:firstRowLastColumn="0" w:lastRowFirstColumn="0" w:lastRowLastColumn="0"/>
            <w:tcW w:w="1920" w:type="dxa"/>
            <w:hideMark/>
          </w:tcPr>
          <w:p w14:paraId="4B0DC0E8" w14:textId="77777777" w:rsidR="00CB7716" w:rsidRPr="00D56FE7" w:rsidRDefault="00CB7716" w:rsidP="00CB7716">
            <w:pPr>
              <w:rPr>
                <w:rFonts w:ascii="Calibri" w:hAnsi="Calibri" w:cs="Calibri"/>
                <w:lang w:eastAsia="en-GB"/>
              </w:rPr>
            </w:pPr>
            <w:r w:rsidRPr="00D56FE7">
              <w:rPr>
                <w:rFonts w:ascii="Calibri" w:hAnsi="Calibri" w:cs="Calibri"/>
                <w:lang w:eastAsia="en-GB"/>
              </w:rPr>
              <w:t>Total</w:t>
            </w:r>
          </w:p>
        </w:tc>
        <w:tc>
          <w:tcPr>
            <w:tcW w:w="2186" w:type="dxa"/>
            <w:hideMark/>
          </w:tcPr>
          <w:p w14:paraId="69AE5188" w14:textId="77777777" w:rsidR="00CB7716" w:rsidRPr="00373F1A" w:rsidRDefault="00CB7716" w:rsidP="00CB771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lang w:eastAsia="en-GB"/>
              </w:rPr>
            </w:pPr>
            <w:r w:rsidRPr="00373F1A">
              <w:rPr>
                <w:rFonts w:ascii="Calibri" w:hAnsi="Calibri" w:cs="Calibri"/>
                <w:b/>
                <w:bCs/>
                <w:lang w:eastAsia="en-GB"/>
              </w:rPr>
              <w:t>227,314</w:t>
            </w:r>
          </w:p>
        </w:tc>
        <w:tc>
          <w:tcPr>
            <w:tcW w:w="2410" w:type="dxa"/>
            <w:hideMark/>
          </w:tcPr>
          <w:p w14:paraId="5F7AB2A9" w14:textId="77777777" w:rsidR="00CB7716" w:rsidRPr="00373F1A" w:rsidRDefault="00CB7716" w:rsidP="00CB771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lang w:eastAsia="en-GB"/>
              </w:rPr>
            </w:pPr>
            <w:r w:rsidRPr="00373F1A">
              <w:rPr>
                <w:rFonts w:ascii="Calibri" w:hAnsi="Calibri" w:cs="Calibri"/>
                <w:b/>
                <w:bCs/>
                <w:lang w:eastAsia="en-GB"/>
              </w:rPr>
              <w:t> </w:t>
            </w:r>
          </w:p>
        </w:tc>
        <w:tc>
          <w:tcPr>
            <w:tcW w:w="2410" w:type="dxa"/>
            <w:hideMark/>
          </w:tcPr>
          <w:p w14:paraId="0124D896" w14:textId="77777777" w:rsidR="00CB7716" w:rsidRPr="00373F1A" w:rsidRDefault="00CB7716" w:rsidP="00CB771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lang w:eastAsia="en-GB"/>
              </w:rPr>
            </w:pPr>
            <w:r w:rsidRPr="48861835">
              <w:rPr>
                <w:rFonts w:ascii="Calibri" w:hAnsi="Calibri" w:cs="Calibri"/>
                <w:b/>
                <w:bCs/>
                <w:lang w:eastAsia="en-GB"/>
              </w:rPr>
              <w:t xml:space="preserve">144,461,094 </w:t>
            </w:r>
          </w:p>
        </w:tc>
      </w:tr>
    </w:tbl>
    <w:p w14:paraId="71604903" w14:textId="074F5B96" w:rsidR="00CB7716" w:rsidRPr="0025246D" w:rsidRDefault="00CB7716" w:rsidP="0025246D">
      <w:pPr>
        <w:pStyle w:val="Heading3"/>
        <w:numPr>
          <w:ilvl w:val="0"/>
          <w:numId w:val="0"/>
        </w:numPr>
        <w:ind w:left="720" w:hanging="720"/>
        <w:rPr>
          <w:sz w:val="28"/>
        </w:rPr>
      </w:pPr>
      <w:bookmarkStart w:id="171" w:name="_Toc107412723"/>
      <w:bookmarkStart w:id="172" w:name="_Toc109300471"/>
      <w:r w:rsidRPr="0025246D">
        <w:rPr>
          <w:sz w:val="28"/>
        </w:rPr>
        <w:t>Net benefit of each option</w:t>
      </w:r>
      <w:bookmarkEnd w:id="171"/>
      <w:bookmarkEnd w:id="172"/>
    </w:p>
    <w:p w14:paraId="15DDFF0A" w14:textId="77777777" w:rsidR="00CB7716" w:rsidRDefault="00CB7716" w:rsidP="0000604C">
      <w:pPr>
        <w:spacing w:after="240"/>
      </w:pPr>
      <w:r w:rsidRPr="008C1472">
        <w:t>The ne</w:t>
      </w:r>
      <w:r>
        <w:t xml:space="preserve">t benefits of Options 3.1 and 3.2 were calculated over a ten-year period for both Category 1 and Category 2 businesses. An annual discount rate of 7% was applied as per the recommendation of the Office of Best Practice Regulation. </w:t>
      </w:r>
    </w:p>
    <w:p w14:paraId="008DDB5C" w14:textId="0F85B544" w:rsidR="00CB7716" w:rsidRPr="003A5E9C" w:rsidRDefault="00CB7716" w:rsidP="00CB7716">
      <w:pPr>
        <w:pStyle w:val="Caption"/>
        <w:keepNext/>
        <w:rPr>
          <w:b/>
          <w:color w:val="auto"/>
          <w:sz w:val="20"/>
        </w:rPr>
      </w:pPr>
      <w:r>
        <w:rPr>
          <w:b/>
          <w:color w:val="auto"/>
          <w:sz w:val="20"/>
        </w:rPr>
        <w:t>Table 12: Output of cost–</w:t>
      </w:r>
      <w:r w:rsidRPr="003A5E9C">
        <w:rPr>
          <w:b/>
          <w:color w:val="auto"/>
          <w:sz w:val="20"/>
        </w:rPr>
        <w:t>benefit analysis</w:t>
      </w:r>
    </w:p>
    <w:tbl>
      <w:tblPr>
        <w:tblStyle w:val="ListTable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5"/>
        <w:gridCol w:w="3005"/>
        <w:gridCol w:w="3006"/>
      </w:tblGrid>
      <w:tr w:rsidR="00CB7716" w14:paraId="68780FAC" w14:textId="77777777" w:rsidTr="006E77E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5" w:type="dxa"/>
            <w:shd w:val="clear" w:color="auto" w:fill="DDD9C3" w:themeFill="background2" w:themeFillShade="E6"/>
          </w:tcPr>
          <w:p w14:paraId="5D24F8CA" w14:textId="77777777" w:rsidR="00CB7716" w:rsidRPr="006E77ED" w:rsidRDefault="00CB7716" w:rsidP="006E77ED">
            <w:pPr>
              <w:spacing w:after="85"/>
              <w:jc w:val="center"/>
              <w:rPr>
                <w:color w:val="auto"/>
              </w:rPr>
            </w:pPr>
            <w:r w:rsidRPr="006E77ED">
              <w:rPr>
                <w:color w:val="auto"/>
              </w:rPr>
              <w:t>Option</w:t>
            </w:r>
          </w:p>
        </w:tc>
        <w:tc>
          <w:tcPr>
            <w:tcW w:w="3005" w:type="dxa"/>
            <w:shd w:val="clear" w:color="auto" w:fill="DDD9C3" w:themeFill="background2" w:themeFillShade="E6"/>
          </w:tcPr>
          <w:p w14:paraId="6E694934" w14:textId="77777777" w:rsidR="00CB7716" w:rsidRPr="006E77ED" w:rsidRDefault="00CB7716" w:rsidP="006E77ED">
            <w:pPr>
              <w:spacing w:after="85"/>
              <w:jc w:val="center"/>
              <w:cnfStyle w:val="100000000000" w:firstRow="1" w:lastRow="0" w:firstColumn="0" w:lastColumn="0" w:oddVBand="0" w:evenVBand="0" w:oddHBand="0" w:evenHBand="0" w:firstRowFirstColumn="0" w:firstRowLastColumn="0" w:lastRowFirstColumn="0" w:lastRowLastColumn="0"/>
              <w:rPr>
                <w:color w:val="auto"/>
              </w:rPr>
            </w:pPr>
            <w:r w:rsidRPr="006E77ED">
              <w:rPr>
                <w:color w:val="auto"/>
              </w:rPr>
              <w:t>Business category</w:t>
            </w:r>
          </w:p>
        </w:tc>
        <w:tc>
          <w:tcPr>
            <w:tcW w:w="3006" w:type="dxa"/>
            <w:shd w:val="clear" w:color="auto" w:fill="DDD9C3" w:themeFill="background2" w:themeFillShade="E6"/>
          </w:tcPr>
          <w:p w14:paraId="582A43CE" w14:textId="77777777" w:rsidR="00CB7716" w:rsidRPr="006E77ED" w:rsidRDefault="00CB7716" w:rsidP="006E77ED">
            <w:pPr>
              <w:spacing w:after="85"/>
              <w:jc w:val="center"/>
              <w:cnfStyle w:val="100000000000" w:firstRow="1" w:lastRow="0" w:firstColumn="0" w:lastColumn="0" w:oddVBand="0" w:evenVBand="0" w:oddHBand="0" w:evenHBand="0" w:firstRowFirstColumn="0" w:firstRowLastColumn="0" w:lastRowFirstColumn="0" w:lastRowLastColumn="0"/>
              <w:rPr>
                <w:color w:val="auto"/>
              </w:rPr>
            </w:pPr>
            <w:r w:rsidRPr="006E77ED">
              <w:rPr>
                <w:color w:val="auto"/>
              </w:rPr>
              <w:t>Net benefit over 10 years at 7% discount</w:t>
            </w:r>
          </w:p>
        </w:tc>
      </w:tr>
      <w:tr w:rsidR="006E77ED" w14:paraId="3CC7B5F0" w14:textId="77777777" w:rsidTr="006E77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5" w:type="dxa"/>
            <w:vMerge w:val="restart"/>
            <w:shd w:val="clear" w:color="auto" w:fill="B8CCE4" w:themeFill="accent1" w:themeFillTint="66"/>
          </w:tcPr>
          <w:p w14:paraId="60FE3185" w14:textId="77777777" w:rsidR="006E77ED" w:rsidRDefault="006E77ED" w:rsidP="00CB7716">
            <w:pPr>
              <w:spacing w:after="85"/>
              <w:jc w:val="center"/>
            </w:pPr>
            <w:r>
              <w:t>3.1</w:t>
            </w:r>
          </w:p>
        </w:tc>
        <w:tc>
          <w:tcPr>
            <w:tcW w:w="3005" w:type="dxa"/>
            <w:shd w:val="clear" w:color="auto" w:fill="auto"/>
          </w:tcPr>
          <w:p w14:paraId="12BE94B5" w14:textId="77777777" w:rsidR="006E77ED" w:rsidRDefault="006E77ED" w:rsidP="00CB7716">
            <w:pPr>
              <w:spacing w:after="85"/>
              <w:jc w:val="center"/>
              <w:cnfStyle w:val="000000100000" w:firstRow="0" w:lastRow="0" w:firstColumn="0" w:lastColumn="0" w:oddVBand="0" w:evenVBand="0" w:oddHBand="1" w:evenHBand="0" w:firstRowFirstColumn="0" w:firstRowLastColumn="0" w:lastRowFirstColumn="0" w:lastRowLastColumn="0"/>
            </w:pPr>
            <w:r>
              <w:t>Category 1</w:t>
            </w:r>
          </w:p>
        </w:tc>
        <w:tc>
          <w:tcPr>
            <w:tcW w:w="3006" w:type="dxa"/>
            <w:shd w:val="clear" w:color="auto" w:fill="auto"/>
          </w:tcPr>
          <w:p w14:paraId="345BB1FB" w14:textId="77777777" w:rsidR="006E77ED" w:rsidRPr="00E81357" w:rsidRDefault="006E77ED" w:rsidP="00CB771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48861835">
              <w:rPr>
                <w:rFonts w:ascii="Calibri" w:hAnsi="Calibri" w:cs="Calibri"/>
                <w:color w:val="000000" w:themeColor="text1"/>
              </w:rPr>
              <w:t>$681,116,675</w:t>
            </w:r>
          </w:p>
        </w:tc>
      </w:tr>
      <w:tr w:rsidR="006E77ED" w14:paraId="54EB9839" w14:textId="77777777" w:rsidTr="006E77ED">
        <w:tc>
          <w:tcPr>
            <w:cnfStyle w:val="001000000000" w:firstRow="0" w:lastRow="0" w:firstColumn="1" w:lastColumn="0" w:oddVBand="0" w:evenVBand="0" w:oddHBand="0" w:evenHBand="0" w:firstRowFirstColumn="0" w:firstRowLastColumn="0" w:lastRowFirstColumn="0" w:lastRowLastColumn="0"/>
            <w:tcW w:w="3005" w:type="dxa"/>
            <w:vMerge/>
            <w:shd w:val="clear" w:color="auto" w:fill="B8CCE4" w:themeFill="accent1" w:themeFillTint="66"/>
          </w:tcPr>
          <w:p w14:paraId="549B842A" w14:textId="77777777" w:rsidR="006E77ED" w:rsidRDefault="006E77ED" w:rsidP="00CB7716">
            <w:pPr>
              <w:spacing w:after="85"/>
              <w:jc w:val="right"/>
            </w:pPr>
          </w:p>
        </w:tc>
        <w:tc>
          <w:tcPr>
            <w:tcW w:w="3005" w:type="dxa"/>
            <w:shd w:val="clear" w:color="auto" w:fill="D9D9D9" w:themeFill="background1" w:themeFillShade="D9"/>
          </w:tcPr>
          <w:p w14:paraId="6D2A2023" w14:textId="77777777" w:rsidR="006E77ED" w:rsidRDefault="006E77ED" w:rsidP="00CB7716">
            <w:pPr>
              <w:spacing w:after="85"/>
              <w:jc w:val="center"/>
              <w:cnfStyle w:val="000000000000" w:firstRow="0" w:lastRow="0" w:firstColumn="0" w:lastColumn="0" w:oddVBand="0" w:evenVBand="0" w:oddHBand="0" w:evenHBand="0" w:firstRowFirstColumn="0" w:firstRowLastColumn="0" w:lastRowFirstColumn="0" w:lastRowLastColumn="0"/>
            </w:pPr>
            <w:r>
              <w:t>Category 2</w:t>
            </w:r>
          </w:p>
        </w:tc>
        <w:tc>
          <w:tcPr>
            <w:tcW w:w="3006" w:type="dxa"/>
            <w:shd w:val="clear" w:color="auto" w:fill="D9D9D9" w:themeFill="background1" w:themeFillShade="D9"/>
          </w:tcPr>
          <w:p w14:paraId="041FD99A" w14:textId="77777777" w:rsidR="006E77ED" w:rsidRPr="00F743DB" w:rsidRDefault="006E77ED" w:rsidP="00CB771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48861835">
              <w:rPr>
                <w:rFonts w:ascii="Calibri" w:hAnsi="Calibri" w:cs="Calibri"/>
                <w:color w:val="000000" w:themeColor="text1"/>
              </w:rPr>
              <w:t>$66,642,919</w:t>
            </w:r>
          </w:p>
        </w:tc>
      </w:tr>
      <w:tr w:rsidR="006E77ED" w14:paraId="30F23A14" w14:textId="77777777" w:rsidTr="006E77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5" w:type="dxa"/>
            <w:vMerge w:val="restart"/>
            <w:shd w:val="clear" w:color="auto" w:fill="FBD4B4" w:themeFill="accent6" w:themeFillTint="66"/>
          </w:tcPr>
          <w:p w14:paraId="6D3BB425" w14:textId="77777777" w:rsidR="006E77ED" w:rsidRDefault="006E77ED" w:rsidP="00CB7716">
            <w:pPr>
              <w:spacing w:after="85"/>
              <w:jc w:val="center"/>
            </w:pPr>
            <w:r>
              <w:t>3.2</w:t>
            </w:r>
          </w:p>
        </w:tc>
        <w:tc>
          <w:tcPr>
            <w:tcW w:w="3005" w:type="dxa"/>
            <w:shd w:val="clear" w:color="auto" w:fill="auto"/>
          </w:tcPr>
          <w:p w14:paraId="267AEFCC" w14:textId="77777777" w:rsidR="006E77ED" w:rsidRDefault="006E77ED" w:rsidP="00CB7716">
            <w:pPr>
              <w:spacing w:after="85"/>
              <w:jc w:val="center"/>
              <w:cnfStyle w:val="000000100000" w:firstRow="0" w:lastRow="0" w:firstColumn="0" w:lastColumn="0" w:oddVBand="0" w:evenVBand="0" w:oddHBand="1" w:evenHBand="0" w:firstRowFirstColumn="0" w:firstRowLastColumn="0" w:lastRowFirstColumn="0" w:lastRowLastColumn="0"/>
            </w:pPr>
            <w:r>
              <w:t>Category 1</w:t>
            </w:r>
          </w:p>
        </w:tc>
        <w:tc>
          <w:tcPr>
            <w:tcW w:w="3006" w:type="dxa"/>
            <w:shd w:val="clear" w:color="auto" w:fill="auto"/>
          </w:tcPr>
          <w:p w14:paraId="554E1E6E" w14:textId="77777777" w:rsidR="006E77ED" w:rsidRPr="00F743DB" w:rsidRDefault="006E77ED" w:rsidP="00CB771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48861835">
              <w:rPr>
                <w:rFonts w:ascii="Calibri" w:hAnsi="Calibri" w:cs="Calibri"/>
                <w:color w:val="000000" w:themeColor="text1"/>
              </w:rPr>
              <w:t>$621,539,085</w:t>
            </w:r>
          </w:p>
        </w:tc>
      </w:tr>
      <w:tr w:rsidR="006E77ED" w14:paraId="0BD34294" w14:textId="77777777" w:rsidTr="006E77ED">
        <w:tc>
          <w:tcPr>
            <w:cnfStyle w:val="001000000000" w:firstRow="0" w:lastRow="0" w:firstColumn="1" w:lastColumn="0" w:oddVBand="0" w:evenVBand="0" w:oddHBand="0" w:evenHBand="0" w:firstRowFirstColumn="0" w:firstRowLastColumn="0" w:lastRowFirstColumn="0" w:lastRowLastColumn="0"/>
            <w:tcW w:w="3005" w:type="dxa"/>
            <w:vMerge/>
            <w:shd w:val="clear" w:color="auto" w:fill="FBD4B4" w:themeFill="accent6" w:themeFillTint="66"/>
          </w:tcPr>
          <w:p w14:paraId="57AADC1E" w14:textId="77777777" w:rsidR="006E77ED" w:rsidRDefault="006E77ED" w:rsidP="00CB7716">
            <w:pPr>
              <w:spacing w:after="85"/>
              <w:jc w:val="center"/>
            </w:pPr>
          </w:p>
        </w:tc>
        <w:tc>
          <w:tcPr>
            <w:tcW w:w="3005" w:type="dxa"/>
            <w:shd w:val="clear" w:color="auto" w:fill="D9D9D9" w:themeFill="background1" w:themeFillShade="D9"/>
          </w:tcPr>
          <w:p w14:paraId="50CB5658" w14:textId="77777777" w:rsidR="006E77ED" w:rsidRDefault="006E77ED" w:rsidP="00CB7716">
            <w:pPr>
              <w:spacing w:after="85"/>
              <w:jc w:val="center"/>
              <w:cnfStyle w:val="000000000000" w:firstRow="0" w:lastRow="0" w:firstColumn="0" w:lastColumn="0" w:oddVBand="0" w:evenVBand="0" w:oddHBand="0" w:evenHBand="0" w:firstRowFirstColumn="0" w:firstRowLastColumn="0" w:lastRowFirstColumn="0" w:lastRowLastColumn="0"/>
            </w:pPr>
            <w:r>
              <w:t>Category 2</w:t>
            </w:r>
          </w:p>
        </w:tc>
        <w:tc>
          <w:tcPr>
            <w:tcW w:w="3006" w:type="dxa"/>
            <w:shd w:val="clear" w:color="auto" w:fill="D9D9D9" w:themeFill="background1" w:themeFillShade="D9"/>
          </w:tcPr>
          <w:p w14:paraId="23BC59F1" w14:textId="77777777" w:rsidR="006E77ED" w:rsidRPr="00F743DB" w:rsidRDefault="006E77ED" w:rsidP="00CB771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48861835">
              <w:rPr>
                <w:rFonts w:ascii="Calibri" w:hAnsi="Calibri" w:cs="Calibri"/>
                <w:color w:val="000000" w:themeColor="text1"/>
              </w:rPr>
              <w:t>$111,918,638</w:t>
            </w:r>
          </w:p>
        </w:tc>
      </w:tr>
    </w:tbl>
    <w:p w14:paraId="42ADDAF1" w14:textId="77777777" w:rsidR="00CB7716" w:rsidRDefault="00CB7716" w:rsidP="00CB7716">
      <w:pPr>
        <w:rPr>
          <w:rFonts w:eastAsia="Calibri"/>
          <w:b/>
          <w:sz w:val="28"/>
          <w:szCs w:val="28"/>
        </w:rPr>
      </w:pPr>
    </w:p>
    <w:p w14:paraId="22B52BB7" w14:textId="544205E8" w:rsidR="00CB7716" w:rsidRPr="0025246D" w:rsidRDefault="00CB7716" w:rsidP="0025246D">
      <w:pPr>
        <w:pStyle w:val="Heading3"/>
        <w:numPr>
          <w:ilvl w:val="0"/>
          <w:numId w:val="0"/>
        </w:numPr>
        <w:ind w:left="720" w:hanging="720"/>
        <w:rPr>
          <w:rFonts w:eastAsiaTheme="majorEastAsia"/>
          <w:sz w:val="28"/>
        </w:rPr>
      </w:pPr>
      <w:bookmarkStart w:id="173" w:name="_Toc109300472"/>
      <w:r w:rsidRPr="0025246D">
        <w:rPr>
          <w:rFonts w:eastAsiaTheme="majorEastAsia"/>
          <w:sz w:val="28"/>
        </w:rPr>
        <w:t>References</w:t>
      </w:r>
      <w:bookmarkEnd w:id="173"/>
    </w:p>
    <w:p w14:paraId="1B5ACEFE" w14:textId="77777777" w:rsidR="00CB7716" w:rsidRPr="00373F1A" w:rsidRDefault="00CB7716" w:rsidP="00CB7716">
      <w:pPr>
        <w:rPr>
          <w:lang w:eastAsia="en-AU"/>
        </w:rPr>
      </w:pPr>
      <w:r w:rsidRPr="00373F1A">
        <w:rPr>
          <w:lang w:eastAsia="en-AU"/>
        </w:rPr>
        <w:t>Allen (2002). The Allen Consulting Group. Food Safety Management Systems; Costs, Benefits and Alternatives. Canberra: Commonwealth Department of Health and Aging.</w:t>
      </w:r>
    </w:p>
    <w:p w14:paraId="05C3B301" w14:textId="77777777" w:rsidR="00CB7716" w:rsidRPr="00373F1A" w:rsidRDefault="00CB7716" w:rsidP="00CB7716">
      <w:pPr>
        <w:rPr>
          <w:lang w:eastAsia="en-AU"/>
        </w:rPr>
      </w:pPr>
      <w:r w:rsidRPr="00373F1A">
        <w:rPr>
          <w:lang w:eastAsia="en-AU"/>
        </w:rPr>
        <w:t>Food Science Australia and Minter Ellison Consulting (2002). National Risk Validation Project Final Report. Canberra: NSW Department of Health &amp; the Commonwealth Department of Health and Aging.</w:t>
      </w:r>
    </w:p>
    <w:p w14:paraId="1546E04C" w14:textId="77777777" w:rsidR="00F72B9F" w:rsidRDefault="00F72B9F" w:rsidP="00CB7716"/>
    <w:p w14:paraId="3FB6E0D7" w14:textId="169CB7E1" w:rsidR="00CB7716" w:rsidRPr="00373F1A" w:rsidRDefault="00CB7716" w:rsidP="00CB7716">
      <w:r w:rsidRPr="00373F1A">
        <w:t>Kirk</w:t>
      </w:r>
      <w:r>
        <w:t xml:space="preserve"> M, Ford L, Glass K, Hall G</w:t>
      </w:r>
      <w:r w:rsidRPr="00373F1A">
        <w:t xml:space="preserve"> (2014). Foodborne Illness, Australia, Circa 2000 and Circa 2010. Emerging Infectious Diseases, 20(11)</w:t>
      </w:r>
      <w:r>
        <w:t xml:space="preserve">: 1857-1864. </w:t>
      </w:r>
      <w:hyperlink r:id="rId35" w:history="1">
        <w:r w:rsidRPr="00191DF0">
          <w:rPr>
            <w:rStyle w:val="Hyperlink"/>
            <w:rFonts w:cstheme="minorBidi"/>
          </w:rPr>
          <w:t>https://doi.org/10.3201/eid2011.131315</w:t>
        </w:r>
      </w:hyperlink>
      <w:r w:rsidRPr="00373F1A">
        <w:t xml:space="preserve"> </w:t>
      </w:r>
    </w:p>
    <w:p w14:paraId="684D174B" w14:textId="77777777" w:rsidR="00F72B9F" w:rsidRDefault="00F72B9F" w:rsidP="00CB7716">
      <w:pPr>
        <w:rPr>
          <w:lang w:eastAsia="en-AU"/>
        </w:rPr>
      </w:pPr>
    </w:p>
    <w:p w14:paraId="65DC69C6" w14:textId="1FDC7A50" w:rsidR="00CB7716" w:rsidRDefault="00CB7716" w:rsidP="00CB7716">
      <w:pPr>
        <w:rPr>
          <w:lang w:eastAsia="en-AU"/>
        </w:rPr>
      </w:pPr>
      <w:r w:rsidRPr="00373F1A">
        <w:rPr>
          <w:lang w:eastAsia="en-AU"/>
        </w:rPr>
        <w:t>NSW Food Authority (2009). Better Regulation Statement; Food Handler Training Initiative - Food Safety Supervisor requirement for NSW hospitality businesses. Sydney: NSW Food Authority.</w:t>
      </w:r>
    </w:p>
    <w:p w14:paraId="72A67BDF" w14:textId="77777777" w:rsidR="00F72B9F" w:rsidRDefault="00F72B9F" w:rsidP="00CB7716">
      <w:pPr>
        <w:rPr>
          <w:lang w:eastAsia="en-AU"/>
        </w:rPr>
      </w:pPr>
    </w:p>
    <w:p w14:paraId="53D2D0AE" w14:textId="317B4F88" w:rsidR="00CB7716" w:rsidRDefault="00CB7716" w:rsidP="00CB7716">
      <w:pPr>
        <w:rPr>
          <w:lang w:eastAsia="en-AU"/>
        </w:rPr>
      </w:pPr>
      <w:r>
        <w:rPr>
          <w:lang w:eastAsia="en-AU"/>
        </w:rPr>
        <w:t xml:space="preserve">Office of Best Practice Regulation, </w:t>
      </w:r>
      <w:r w:rsidRPr="00261D17">
        <w:rPr>
          <w:i/>
          <w:lang w:eastAsia="en-AU"/>
        </w:rPr>
        <w:t>Guidance Note – Cost Benefit Analysis</w:t>
      </w:r>
      <w:r>
        <w:rPr>
          <w:lang w:eastAsia="en-AU"/>
        </w:rPr>
        <w:t xml:space="preserve">, March 2020 p.7 </w:t>
      </w:r>
      <w:hyperlink r:id="rId36" w:history="1">
        <w:r w:rsidRPr="00261D17">
          <w:rPr>
            <w:color w:val="0000FF"/>
            <w:u w:val="single"/>
          </w:rPr>
          <w:t>Cost-Benefit Analysis | OBPR (pmc.gov.au)</w:t>
        </w:r>
      </w:hyperlink>
      <w:r w:rsidR="0081747A">
        <w:t xml:space="preserve"> </w:t>
      </w:r>
      <w:r>
        <w:t>accessed 29/10/2021.</w:t>
      </w:r>
      <w:r>
        <w:rPr>
          <w:lang w:eastAsia="en-AU"/>
        </w:rPr>
        <w:br w:type="page"/>
      </w:r>
    </w:p>
    <w:p w14:paraId="599C97CC" w14:textId="77777777" w:rsidR="00CB7716" w:rsidRPr="008F342F" w:rsidRDefault="00CB7716" w:rsidP="0025246D">
      <w:pPr>
        <w:pStyle w:val="Heading2"/>
        <w:numPr>
          <w:ilvl w:val="0"/>
          <w:numId w:val="0"/>
        </w:numPr>
        <w:ind w:left="576" w:hanging="576"/>
      </w:pPr>
      <w:bookmarkStart w:id="174" w:name="_Toc70953248"/>
      <w:bookmarkStart w:id="175" w:name="_Toc107412724"/>
      <w:bookmarkStart w:id="176" w:name="_Toc109300473"/>
      <w:bookmarkStart w:id="177" w:name="_Toc121311423"/>
      <w:r w:rsidRPr="008F342F">
        <w:t>Appendix 2 – Food safety culture initiatives and education</w:t>
      </w:r>
      <w:bookmarkEnd w:id="174"/>
      <w:bookmarkEnd w:id="175"/>
      <w:bookmarkEnd w:id="176"/>
      <w:bookmarkEnd w:id="177"/>
      <w:r w:rsidRPr="008F342F">
        <w:t xml:space="preserve"> </w:t>
      </w:r>
    </w:p>
    <w:p w14:paraId="67785F39" w14:textId="5F1B90F2" w:rsidR="00CB7716" w:rsidRDefault="00CB7716" w:rsidP="0000604C">
      <w:pPr>
        <w:spacing w:after="240"/>
        <w:rPr>
          <w:lang w:val="en-AU"/>
        </w:rPr>
      </w:pPr>
      <w:r w:rsidRPr="004032CC">
        <w:rPr>
          <w:lang w:val="en-AU"/>
        </w:rPr>
        <w:t xml:space="preserve">Food safety culture in a food business is how everyone (owners, managers and employees) thinks and acts in their daily job to make sure the food they produce or serve is safe. A strong food safety culture is achieved when </w:t>
      </w:r>
      <w:r>
        <w:rPr>
          <w:lang w:val="en-AU"/>
        </w:rPr>
        <w:t>everyone</w:t>
      </w:r>
      <w:r w:rsidRPr="004032CC">
        <w:rPr>
          <w:lang w:val="en-AU"/>
        </w:rPr>
        <w:t xml:space="preserve"> understand</w:t>
      </w:r>
      <w:r>
        <w:rPr>
          <w:lang w:val="en-AU"/>
        </w:rPr>
        <w:t>s</w:t>
      </w:r>
      <w:r w:rsidRPr="004032CC">
        <w:rPr>
          <w:lang w:val="en-AU"/>
        </w:rPr>
        <w:t xml:space="preserve"> the importance of making safe food and commit</w:t>
      </w:r>
      <w:r>
        <w:rPr>
          <w:lang w:val="en-AU"/>
        </w:rPr>
        <w:t>s</w:t>
      </w:r>
      <w:r w:rsidRPr="004032CC">
        <w:rPr>
          <w:lang w:val="en-AU"/>
        </w:rPr>
        <w:t xml:space="preserve"> to doing </w:t>
      </w:r>
      <w:r>
        <w:rPr>
          <w:lang w:val="en-AU"/>
        </w:rPr>
        <w:t>the right</w:t>
      </w:r>
      <w:r w:rsidRPr="004032CC">
        <w:rPr>
          <w:lang w:val="en-AU"/>
        </w:rPr>
        <w:t xml:space="preserve"> </w:t>
      </w:r>
      <w:r>
        <w:rPr>
          <w:lang w:val="en-AU"/>
        </w:rPr>
        <w:t xml:space="preserve">thing </w:t>
      </w:r>
      <w:r w:rsidRPr="004032CC">
        <w:rPr>
          <w:lang w:val="en-AU"/>
        </w:rPr>
        <w:t xml:space="preserve">every time. </w:t>
      </w:r>
    </w:p>
    <w:p w14:paraId="0FEA000D" w14:textId="77777777" w:rsidR="00CB7716" w:rsidRPr="004032CC" w:rsidRDefault="00CB7716" w:rsidP="0000604C">
      <w:pPr>
        <w:spacing w:after="240"/>
        <w:rPr>
          <w:lang w:val="en-AU"/>
        </w:rPr>
      </w:pPr>
      <w:r w:rsidRPr="004032CC">
        <w:rPr>
          <w:lang w:val="en-AU"/>
        </w:rPr>
        <w:t xml:space="preserve">A strong positive culture can significantly improve food safety and productivity performance. A proactive focus on food safety means issues can be identified and promptly rectified or prevented. Raised awareness and commitment to food safety across the business reduces its risk. Production of safe food means consumers are protected from foodborne illness. Businesses also benefit from preventing incidents that could cause reputational damage and financial loss. </w:t>
      </w:r>
    </w:p>
    <w:p w14:paraId="1F10AD3E" w14:textId="77777777" w:rsidR="00CB7716" w:rsidRPr="0000604C" w:rsidRDefault="00CB7716" w:rsidP="0000604C">
      <w:pPr>
        <w:spacing w:after="240"/>
        <w:rPr>
          <w:b/>
          <w:i/>
        </w:rPr>
      </w:pPr>
      <w:bookmarkStart w:id="178" w:name="_Toc70953249"/>
      <w:bookmarkStart w:id="179" w:name="_Toc107412725"/>
      <w:r w:rsidRPr="0000604C">
        <w:rPr>
          <w:b/>
          <w:i/>
        </w:rPr>
        <w:t>Global, international and national focus on food safety culture</w:t>
      </w:r>
      <w:bookmarkEnd w:id="178"/>
      <w:bookmarkEnd w:id="179"/>
      <w:r w:rsidRPr="0000604C">
        <w:rPr>
          <w:b/>
          <w:i/>
        </w:rPr>
        <w:t xml:space="preserve"> </w:t>
      </w:r>
    </w:p>
    <w:p w14:paraId="5DD2F80B" w14:textId="77777777" w:rsidR="00CB7716" w:rsidRPr="004032CC" w:rsidRDefault="00CB7716" w:rsidP="0000604C">
      <w:pPr>
        <w:spacing w:after="240"/>
        <w:rPr>
          <w:lang w:val="en-AU"/>
        </w:rPr>
      </w:pPr>
      <w:r w:rsidRPr="004032CC">
        <w:rPr>
          <w:lang w:val="en-AU"/>
        </w:rPr>
        <w:t>Food safety culture is being incorporated as a formal element or requirement in global and international standards, strategies and regulation including:</w:t>
      </w:r>
    </w:p>
    <w:p w14:paraId="018293A5" w14:textId="77777777" w:rsidR="00CB7716" w:rsidRPr="004032CC" w:rsidRDefault="00CB7716" w:rsidP="004E6D96">
      <w:pPr>
        <w:pStyle w:val="ListParagraph"/>
        <w:numPr>
          <w:ilvl w:val="0"/>
          <w:numId w:val="40"/>
        </w:numPr>
        <w:spacing w:after="240"/>
      </w:pPr>
      <w:r w:rsidRPr="004032CC">
        <w:t xml:space="preserve">the overarching General Principles of Food Hygiene of the Codex </w:t>
      </w:r>
      <w:proofErr w:type="spellStart"/>
      <w:r w:rsidRPr="004032CC">
        <w:t>Alimentarius</w:t>
      </w:r>
      <w:proofErr w:type="spellEnd"/>
      <w:r w:rsidRPr="004032CC">
        <w:t xml:space="preserve"> Commission, the global standard-setting body (September 2020) </w:t>
      </w:r>
    </w:p>
    <w:p w14:paraId="0966C5A9" w14:textId="77777777" w:rsidR="00CB7716" w:rsidRPr="004032CC" w:rsidRDefault="00CB7716" w:rsidP="004E6D96">
      <w:pPr>
        <w:pStyle w:val="ListParagraph"/>
        <w:numPr>
          <w:ilvl w:val="0"/>
          <w:numId w:val="40"/>
        </w:numPr>
        <w:spacing w:after="240"/>
      </w:pPr>
      <w:r w:rsidRPr="004032CC">
        <w:t xml:space="preserve">draft revised European regulation on food hygiene (EC Regulation No 852/2004) </w:t>
      </w:r>
    </w:p>
    <w:p w14:paraId="46B99805" w14:textId="77777777" w:rsidR="00CB7716" w:rsidRPr="004032CC" w:rsidRDefault="00CB7716" w:rsidP="004E6D96">
      <w:pPr>
        <w:pStyle w:val="ListParagraph"/>
        <w:numPr>
          <w:ilvl w:val="0"/>
          <w:numId w:val="40"/>
        </w:numPr>
        <w:spacing w:after="240"/>
      </w:pPr>
      <w:r w:rsidRPr="004032CC">
        <w:t xml:space="preserve">food safety strategies of the United Kingdom Food Safety Authority and the US Food and Drug Administration </w:t>
      </w:r>
    </w:p>
    <w:p w14:paraId="5909E2ED" w14:textId="64086439" w:rsidR="00CB7716" w:rsidRPr="004032CC" w:rsidRDefault="00CB7716" w:rsidP="004E6D96">
      <w:pPr>
        <w:pStyle w:val="ListParagraph"/>
        <w:numPr>
          <w:ilvl w:val="0"/>
          <w:numId w:val="40"/>
        </w:numPr>
        <w:spacing w:after="240"/>
      </w:pPr>
      <w:r w:rsidRPr="004032CC">
        <w:t>the Global Food Safety Initiative (GFSI) Benchmarking Requirements (Version 2020), setting a precedent for many other industry standards</w:t>
      </w:r>
      <w:r w:rsidR="0081747A">
        <w:t xml:space="preserve"> </w:t>
      </w:r>
    </w:p>
    <w:p w14:paraId="6B537DDB" w14:textId="77777777" w:rsidR="00CB7716" w:rsidRPr="004032CC" w:rsidRDefault="00CB7716" w:rsidP="004E6D96">
      <w:pPr>
        <w:pStyle w:val="ListParagraph"/>
        <w:numPr>
          <w:ilvl w:val="0"/>
          <w:numId w:val="40"/>
        </w:numPr>
        <w:spacing w:after="240"/>
      </w:pPr>
      <w:proofErr w:type="gramStart"/>
      <w:r w:rsidRPr="004032CC">
        <w:t>other</w:t>
      </w:r>
      <w:proofErr w:type="gramEnd"/>
      <w:r w:rsidRPr="004032CC">
        <w:t xml:space="preserve"> global industry standards on food safety such as BRC and SQF. </w:t>
      </w:r>
    </w:p>
    <w:p w14:paraId="7D1019A4" w14:textId="0DBB0529" w:rsidR="00CB7716" w:rsidRPr="004032CC" w:rsidRDefault="00CB7716" w:rsidP="0000604C">
      <w:pPr>
        <w:spacing w:after="240"/>
        <w:rPr>
          <w:lang w:val="en-AU"/>
        </w:rPr>
      </w:pPr>
      <w:r w:rsidRPr="004032CC">
        <w:rPr>
          <w:lang w:val="en-AU"/>
        </w:rPr>
        <w:t xml:space="preserve">A common element in each of these documents is management commitment to food safety. </w:t>
      </w:r>
    </w:p>
    <w:p w14:paraId="6DB495BF" w14:textId="77777777" w:rsidR="00CB7716" w:rsidRPr="0000604C" w:rsidRDefault="00CB7716" w:rsidP="0000604C">
      <w:pPr>
        <w:spacing w:after="240"/>
        <w:rPr>
          <w:b/>
          <w:i/>
        </w:rPr>
      </w:pPr>
      <w:bookmarkStart w:id="180" w:name="_Toc70953250"/>
      <w:bookmarkStart w:id="181" w:name="_Toc107412726"/>
      <w:r w:rsidRPr="0000604C">
        <w:rPr>
          <w:b/>
          <w:i/>
        </w:rPr>
        <w:t>Food safety culture initiatives in Australia</w:t>
      </w:r>
      <w:bookmarkEnd w:id="180"/>
      <w:bookmarkEnd w:id="181"/>
      <w:r w:rsidRPr="0000604C">
        <w:rPr>
          <w:b/>
          <w:i/>
        </w:rPr>
        <w:t xml:space="preserve"> </w:t>
      </w:r>
    </w:p>
    <w:p w14:paraId="43E1B340" w14:textId="4F01E7E3" w:rsidR="00CB7716" w:rsidRDefault="00CB7716" w:rsidP="0000604C">
      <w:pPr>
        <w:spacing w:after="240"/>
      </w:pPr>
      <w:r w:rsidRPr="004032CC">
        <w:rPr>
          <w:lang w:val="en-AU"/>
        </w:rPr>
        <w:t>Australia’s food regulation system has iden</w:t>
      </w:r>
      <w:r>
        <w:rPr>
          <w:lang w:val="en-AU"/>
        </w:rPr>
        <w:t>tified food safety culture as fundamental in</w:t>
      </w:r>
      <w:r w:rsidRPr="004032CC">
        <w:rPr>
          <w:lang w:val="en-AU"/>
        </w:rPr>
        <w:t xml:space="preserve"> the national </w:t>
      </w:r>
      <w:r w:rsidRPr="3C0957AF">
        <w:rPr>
          <w:i/>
          <w:iCs/>
          <w:lang w:val="en-AU"/>
        </w:rPr>
        <w:t>Foodborne Illness Reduction Strategy 2018-2021</w:t>
      </w:r>
      <w:r w:rsidRPr="00616D39">
        <w:rPr>
          <w:lang w:val="en-AU"/>
        </w:rPr>
        <w:t xml:space="preserve">+. </w:t>
      </w:r>
      <w:r>
        <w:t>Food regulators</w:t>
      </w:r>
      <w:r w:rsidRPr="00601829">
        <w:t xml:space="preserve"> have been working with food businesses to promote and improve food safety culture</w:t>
      </w:r>
      <w:r>
        <w:t>, under Strategy activities</w:t>
      </w:r>
      <w:r w:rsidRPr="00601829">
        <w:t>. To</w:t>
      </w:r>
      <w:r>
        <w:t xml:space="preserve"> date, this work has involved</w:t>
      </w:r>
      <w:r w:rsidRPr="00A83A44">
        <w:t xml:space="preserve"> dairy manufacturers (see Dairy Food Safety Victoria website</w:t>
      </w:r>
      <w:r w:rsidRPr="00A83A44">
        <w:rPr>
          <w:rStyle w:val="FootnoteReference"/>
        </w:rPr>
        <w:footnoteReference w:id="32"/>
      </w:r>
      <w:r w:rsidRPr="00A83A44">
        <w:t xml:space="preserve">) </w:t>
      </w:r>
      <w:bookmarkStart w:id="182" w:name="_Int_3vkg1Gb6"/>
      <w:r w:rsidRPr="00A83A44">
        <w:t>and</w:t>
      </w:r>
      <w:bookmarkEnd w:id="182"/>
      <w:r w:rsidRPr="00A83A44">
        <w:t xml:space="preserve"> </w:t>
      </w:r>
      <w:r>
        <w:t>food service businesses. The role of authorised officers as educators is a key part of these initiatives. This work is ongoing.</w:t>
      </w:r>
    </w:p>
    <w:p w14:paraId="44A6899F" w14:textId="297307E2" w:rsidR="00CB7716" w:rsidRDefault="00CB7716" w:rsidP="0000604C">
      <w:pPr>
        <w:spacing w:after="240"/>
        <w:rPr>
          <w:lang w:val="en-AU"/>
        </w:rPr>
      </w:pPr>
      <w:r>
        <w:rPr>
          <w:lang w:val="en-AU"/>
        </w:rPr>
        <w:t>I</w:t>
      </w:r>
      <w:r w:rsidRPr="00A83A44">
        <w:rPr>
          <w:lang w:val="en-AU"/>
        </w:rPr>
        <w:t>nformation and resources on food safety culture for use by industry and regulators</w:t>
      </w:r>
      <w:r w:rsidRPr="00CE3429">
        <w:rPr>
          <w:lang w:val="en-AU"/>
        </w:rPr>
        <w:t xml:space="preserve"> </w:t>
      </w:r>
      <w:r>
        <w:rPr>
          <w:lang w:val="en-AU"/>
        </w:rPr>
        <w:t>are on the FSANZ website</w:t>
      </w:r>
      <w:r w:rsidRPr="00A83A44">
        <w:rPr>
          <w:lang w:val="en-AU"/>
        </w:rPr>
        <w:t xml:space="preserve">. </w:t>
      </w:r>
      <w:r>
        <w:rPr>
          <w:lang w:val="en-AU"/>
        </w:rPr>
        <w:t>Other national resources are being developed by FSANZ and Implementation Subcommittee for Food Regulation (ISFR).</w:t>
      </w:r>
    </w:p>
    <w:p w14:paraId="43FA7DC4" w14:textId="740EBC21" w:rsidR="00CB7716" w:rsidRDefault="00CB7716" w:rsidP="0000604C">
      <w:pPr>
        <w:spacing w:after="240"/>
        <w:rPr>
          <w:lang w:val="en-AU"/>
        </w:rPr>
      </w:pPr>
      <w:r>
        <w:rPr>
          <w:lang w:val="en-AU"/>
        </w:rPr>
        <w:t>Australian f</w:t>
      </w:r>
      <w:r w:rsidRPr="00A83A44">
        <w:rPr>
          <w:lang w:val="en-AU"/>
        </w:rPr>
        <w:t>ood industry schemes</w:t>
      </w:r>
      <w:r>
        <w:rPr>
          <w:lang w:val="en-AU"/>
        </w:rPr>
        <w:t xml:space="preserve"> </w:t>
      </w:r>
      <w:r w:rsidRPr="00A83A44">
        <w:rPr>
          <w:lang w:val="en-AU"/>
        </w:rPr>
        <w:t xml:space="preserve">are adopting food safety culture requirements to reflect </w:t>
      </w:r>
      <w:r>
        <w:rPr>
          <w:lang w:val="en-AU"/>
        </w:rPr>
        <w:t>international benchmarks</w:t>
      </w:r>
      <w:r w:rsidRPr="00A83A44">
        <w:rPr>
          <w:lang w:val="en-AU"/>
        </w:rPr>
        <w:t xml:space="preserve">. </w:t>
      </w:r>
      <w:r>
        <w:rPr>
          <w:lang w:val="en-AU"/>
        </w:rPr>
        <w:t>Major retailers</w:t>
      </w:r>
      <w:r w:rsidRPr="00A83A44">
        <w:rPr>
          <w:lang w:val="en-AU"/>
        </w:rPr>
        <w:t xml:space="preserve"> have </w:t>
      </w:r>
      <w:r>
        <w:rPr>
          <w:lang w:val="en-AU"/>
        </w:rPr>
        <w:t xml:space="preserve">also </w:t>
      </w:r>
      <w:r w:rsidRPr="00A83A44">
        <w:rPr>
          <w:lang w:val="en-AU"/>
        </w:rPr>
        <w:t xml:space="preserve">introduced requirements </w:t>
      </w:r>
      <w:r>
        <w:rPr>
          <w:lang w:val="en-AU"/>
        </w:rPr>
        <w:t xml:space="preserve">for </w:t>
      </w:r>
      <w:r w:rsidRPr="00A83A44">
        <w:rPr>
          <w:lang w:val="en-AU"/>
        </w:rPr>
        <w:t xml:space="preserve">management commitment to </w:t>
      </w:r>
      <w:r>
        <w:rPr>
          <w:lang w:val="en-AU"/>
        </w:rPr>
        <w:t xml:space="preserve">food safety. </w:t>
      </w:r>
      <w:r w:rsidRPr="00A83A44">
        <w:rPr>
          <w:lang w:val="en-AU"/>
        </w:rPr>
        <w:t>The Australian Institute of Food Science and Technology is developing a ‘</w:t>
      </w:r>
      <w:r>
        <w:rPr>
          <w:lang w:val="en-AU"/>
        </w:rPr>
        <w:t xml:space="preserve">food safety </w:t>
      </w:r>
      <w:r w:rsidRPr="00A83A44">
        <w:rPr>
          <w:lang w:val="en-AU"/>
        </w:rPr>
        <w:t xml:space="preserve">governance guide’ for </w:t>
      </w:r>
      <w:r>
        <w:rPr>
          <w:lang w:val="en-AU"/>
        </w:rPr>
        <w:t xml:space="preserve">food </w:t>
      </w:r>
      <w:r w:rsidRPr="00A83A44">
        <w:rPr>
          <w:lang w:val="en-AU"/>
        </w:rPr>
        <w:t xml:space="preserve">business owners and boards, </w:t>
      </w:r>
      <w:r>
        <w:rPr>
          <w:lang w:val="en-AU"/>
        </w:rPr>
        <w:t>to assist</w:t>
      </w:r>
      <w:r w:rsidRPr="00A83A44">
        <w:rPr>
          <w:lang w:val="en-AU"/>
        </w:rPr>
        <w:t xml:space="preserve"> </w:t>
      </w:r>
      <w:r>
        <w:rPr>
          <w:lang w:val="en-AU"/>
        </w:rPr>
        <w:t>industry with strengthening</w:t>
      </w:r>
      <w:r w:rsidRPr="00A83A44">
        <w:rPr>
          <w:lang w:val="en-AU"/>
        </w:rPr>
        <w:t xml:space="preserve"> food safety culture.</w:t>
      </w:r>
    </w:p>
    <w:p w14:paraId="79009310" w14:textId="77777777" w:rsidR="0000604C" w:rsidRDefault="0000604C">
      <w:pPr>
        <w:widowControl/>
        <w:rPr>
          <w:lang w:val="en-AU"/>
        </w:rPr>
      </w:pPr>
      <w:r>
        <w:rPr>
          <w:lang w:val="en-AU"/>
        </w:rPr>
        <w:br w:type="page"/>
      </w:r>
    </w:p>
    <w:p w14:paraId="7BB79C58" w14:textId="77777777" w:rsidR="00CB7716" w:rsidRPr="00835F5A" w:rsidRDefault="00CB7716" w:rsidP="0025246D">
      <w:pPr>
        <w:pStyle w:val="Heading2"/>
        <w:numPr>
          <w:ilvl w:val="0"/>
          <w:numId w:val="0"/>
        </w:numPr>
        <w:ind w:left="576" w:hanging="576"/>
      </w:pPr>
      <w:bookmarkStart w:id="183" w:name="_Toc70953252"/>
      <w:bookmarkStart w:id="184" w:name="_Toc107412727"/>
      <w:bookmarkStart w:id="185" w:name="_Toc109300474"/>
      <w:bookmarkStart w:id="186" w:name="_Toc121311424"/>
      <w:r w:rsidRPr="008F342F">
        <w:t>Appendix 3 – International approaches</w:t>
      </w:r>
      <w:bookmarkEnd w:id="183"/>
      <w:bookmarkEnd w:id="184"/>
      <w:bookmarkEnd w:id="185"/>
      <w:bookmarkEnd w:id="186"/>
    </w:p>
    <w:p w14:paraId="30AC3BB0" w14:textId="77777777" w:rsidR="0000604C" w:rsidRDefault="00CB7716" w:rsidP="0000604C">
      <w:pPr>
        <w:spacing w:after="240"/>
        <w:rPr>
          <w:b/>
          <w:i/>
        </w:rPr>
      </w:pPr>
      <w:bookmarkStart w:id="187" w:name="_Toc70953253"/>
      <w:bookmarkStart w:id="188" w:name="_Toc107412728"/>
      <w:r w:rsidRPr="0000604C">
        <w:rPr>
          <w:b/>
          <w:i/>
        </w:rPr>
        <w:t>Codex overarching principles</w:t>
      </w:r>
      <w:bookmarkEnd w:id="187"/>
      <w:bookmarkEnd w:id="188"/>
    </w:p>
    <w:p w14:paraId="6BF276F8" w14:textId="186D358E" w:rsidR="00CB7716" w:rsidRPr="00A83AD8" w:rsidRDefault="00CB7716" w:rsidP="0000604C">
      <w:pPr>
        <w:spacing w:after="240"/>
        <w:rPr>
          <w:rFonts w:cs="Calibri"/>
        </w:rPr>
      </w:pPr>
      <w:r w:rsidRPr="00A83AD8">
        <w:rPr>
          <w:lang w:val="en-US"/>
        </w:rPr>
        <w:t xml:space="preserve">In </w:t>
      </w:r>
      <w:r>
        <w:rPr>
          <w:lang w:val="en-US"/>
        </w:rPr>
        <w:t>our</w:t>
      </w:r>
      <w:r w:rsidRPr="00A83AD8">
        <w:rPr>
          <w:lang w:val="en-US"/>
        </w:rPr>
        <w:t xml:space="preserve"> assessment of P1053, FSANZ has considered international best practice for food safety management arrangements based on the Codex </w:t>
      </w:r>
      <w:r w:rsidRPr="00A83AD8">
        <w:rPr>
          <w:rFonts w:cs="Calibri"/>
        </w:rPr>
        <w:t xml:space="preserve">General Principles for Food Hygiene (CXC1-1969). The General Principles </w:t>
      </w:r>
      <w:r>
        <w:rPr>
          <w:rFonts w:cs="Calibri"/>
        </w:rPr>
        <w:t xml:space="preserve">document </w:t>
      </w:r>
      <w:r w:rsidRPr="00A83AD8">
        <w:rPr>
          <w:rFonts w:cs="Calibri"/>
        </w:rPr>
        <w:t>was recently reviewed</w:t>
      </w:r>
      <w:r>
        <w:rPr>
          <w:rFonts w:cs="Calibri"/>
        </w:rPr>
        <w:t xml:space="preserve"> to include</w:t>
      </w:r>
      <w:r w:rsidRPr="00A83AD8">
        <w:rPr>
          <w:rFonts w:cs="Calibri"/>
        </w:rPr>
        <w:t>:</w:t>
      </w:r>
    </w:p>
    <w:p w14:paraId="4FCAEE25" w14:textId="77777777" w:rsidR="00CB7716" w:rsidRPr="00A83AD8" w:rsidRDefault="00CB7716" w:rsidP="004E6D96">
      <w:pPr>
        <w:pStyle w:val="ListParagraph"/>
        <w:numPr>
          <w:ilvl w:val="0"/>
          <w:numId w:val="41"/>
        </w:numPr>
        <w:spacing w:after="240"/>
      </w:pPr>
      <w:proofErr w:type="gramStart"/>
      <w:r w:rsidRPr="00A83AD8">
        <w:t>management</w:t>
      </w:r>
      <w:proofErr w:type="gramEnd"/>
      <w:r w:rsidRPr="00A83AD8">
        <w:t xml:space="preserve"> commitment to food safety and a positive food safety culture – a section has been included in the final revision. It emphasises personnel’s awareness of the importance of food hygiene, clear roles and responsibilities, verifying controls and documentation are up to date, and appropriate training</w:t>
      </w:r>
      <w:r>
        <w:t xml:space="preserve">. </w:t>
      </w:r>
    </w:p>
    <w:p w14:paraId="78329408" w14:textId="77777777" w:rsidR="0000604C" w:rsidRPr="0000604C" w:rsidRDefault="00CB7716" w:rsidP="004E6D96">
      <w:pPr>
        <w:pStyle w:val="ListParagraph"/>
        <w:numPr>
          <w:ilvl w:val="0"/>
          <w:numId w:val="41"/>
        </w:numPr>
        <w:spacing w:after="240"/>
        <w:rPr>
          <w:rFonts w:cs="Times New Roman"/>
        </w:rPr>
      </w:pPr>
      <w:proofErr w:type="gramStart"/>
      <w:r>
        <w:t>the</w:t>
      </w:r>
      <w:proofErr w:type="gramEnd"/>
      <w:r>
        <w:t xml:space="preserve"> concept of additional food safety measures that are above general good hygienic practice (GHP) but are not considered critical control points (as defined within the Hazard Analysis and Critical Control Point [HACCP system). Initially these measures were described as ‘enhanced food safety control </w:t>
      </w:r>
      <w:bookmarkStart w:id="189" w:name="_Int_CpuCDnyT"/>
      <w:r>
        <w:t>measures’</w:t>
      </w:r>
      <w:bookmarkEnd w:id="189"/>
      <w:r>
        <w:t>. In the final revision, the text refers to GHPs that ‘require more attention’:</w:t>
      </w:r>
    </w:p>
    <w:p w14:paraId="38199072" w14:textId="4425C63B" w:rsidR="00CB7716" w:rsidRPr="0000604C" w:rsidRDefault="00CB7716" w:rsidP="0000604C">
      <w:pPr>
        <w:spacing w:after="240"/>
        <w:ind w:left="360"/>
      </w:pPr>
      <w:r w:rsidRPr="0000604C">
        <w:rPr>
          <w:rFonts w:cs="Calibri"/>
        </w:rPr>
        <w:t xml:space="preserve">Depending on the nature of the food, food process, and the potential for adverse health effects, to control hazards it may be sufficient to apply GHPs, including, as appropriate, some that </w:t>
      </w:r>
      <w:r w:rsidRPr="0000604C">
        <w:rPr>
          <w:rFonts w:cs="Calibri"/>
          <w:b/>
          <w:bCs/>
        </w:rPr>
        <w:t>require more attention</w:t>
      </w:r>
      <w:r w:rsidRPr="0000604C">
        <w:rPr>
          <w:rFonts w:cs="Calibri"/>
        </w:rPr>
        <w:t xml:space="preserve"> than others, as they have a greater impact on food safety. When the application of GHPs alone is not sufficient, a combination of GHPs and additional control measures at CCPs [critical control points] should be applied. (Codex 2019 report from</w:t>
      </w:r>
      <w:r w:rsidRPr="0000604C">
        <w:rPr>
          <w:rFonts w:eastAsia="Arial" w:cs="Arial"/>
        </w:rPr>
        <w:t xml:space="preserve"> </w:t>
      </w:r>
      <w:hyperlink r:id="rId37">
        <w:r w:rsidRPr="0000604C">
          <w:rPr>
            <w:rStyle w:val="Hyperlink"/>
            <w:rFonts w:eastAsia="Arial" w:cs="Arial"/>
          </w:rPr>
          <w:t>CCFH51</w:t>
        </w:r>
      </w:hyperlink>
      <w:r w:rsidRPr="0000604C">
        <w:rPr>
          <w:rFonts w:cs="Calibri"/>
        </w:rPr>
        <w:t>, Appendix IV).</w:t>
      </w:r>
    </w:p>
    <w:p w14:paraId="47C7421A" w14:textId="4C0E48C3" w:rsidR="00CB7716" w:rsidRPr="00A83AD8" w:rsidRDefault="00CB7716" w:rsidP="0000604C">
      <w:pPr>
        <w:spacing w:after="240"/>
      </w:pPr>
      <w:r w:rsidRPr="00A83AD8">
        <w:rPr>
          <w:rFonts w:cs="Calibri"/>
        </w:rPr>
        <w:t>In addition, the revised version includes some flexibility on the HACCP appro</w:t>
      </w:r>
      <w:r>
        <w:rPr>
          <w:rFonts w:cs="Calibri"/>
        </w:rPr>
        <w:t>ach for small and/or less-</w:t>
      </w:r>
      <w:r w:rsidRPr="00A83AD8">
        <w:rPr>
          <w:rFonts w:cs="Calibri"/>
        </w:rPr>
        <w:t xml:space="preserve">developed food businesses. This flexibility </w:t>
      </w:r>
      <w:r>
        <w:rPr>
          <w:rFonts w:cs="Calibri"/>
        </w:rPr>
        <w:t>enables</w:t>
      </w:r>
      <w:r w:rsidRPr="00A83AD8">
        <w:rPr>
          <w:rFonts w:cs="Calibri"/>
        </w:rPr>
        <w:t xml:space="preserve"> a risk-based approach </w:t>
      </w:r>
      <w:r w:rsidRPr="00A83AD8">
        <w:t>to determining food safety hazards and applying management measures</w:t>
      </w:r>
      <w:r w:rsidRPr="00A83AD8">
        <w:rPr>
          <w:rFonts w:cs="Calibri"/>
        </w:rPr>
        <w:t xml:space="preserve"> that does not unnecessarily burden businesses</w:t>
      </w:r>
      <w:r w:rsidRPr="00A83AD8">
        <w:t xml:space="preserve">. </w:t>
      </w:r>
    </w:p>
    <w:p w14:paraId="423FAD5F" w14:textId="77777777" w:rsidR="00CB7716" w:rsidRPr="0000604C" w:rsidRDefault="00CB7716" w:rsidP="0000604C">
      <w:pPr>
        <w:spacing w:after="240"/>
        <w:rPr>
          <w:b/>
          <w:i/>
        </w:rPr>
      </w:pPr>
      <w:bookmarkStart w:id="190" w:name="_Toc70953254"/>
      <w:bookmarkStart w:id="191" w:name="_Toc107412729"/>
      <w:r w:rsidRPr="0000604C">
        <w:rPr>
          <w:b/>
          <w:i/>
        </w:rPr>
        <w:t>Regulatory measures for food safety management</w:t>
      </w:r>
      <w:bookmarkEnd w:id="190"/>
      <w:bookmarkEnd w:id="191"/>
      <w:r w:rsidRPr="0000604C">
        <w:rPr>
          <w:b/>
          <w:i/>
        </w:rPr>
        <w:t xml:space="preserve"> </w:t>
      </w:r>
    </w:p>
    <w:p w14:paraId="1FEAEBC2" w14:textId="2237CFA1" w:rsidR="00CB7716" w:rsidRDefault="00CB7716" w:rsidP="0000604C">
      <w:pPr>
        <w:spacing w:after="240"/>
      </w:pPr>
      <w:r>
        <w:t xml:space="preserve">Internationally, there is considerable variation in food safety regulatory measures in different countries. Examples of approaches taken, particularly food handler </w:t>
      </w:r>
      <w:bookmarkStart w:id="192" w:name="_Int_QWKlbMIz"/>
      <w:r>
        <w:t>training</w:t>
      </w:r>
      <w:bookmarkEnd w:id="192"/>
      <w:r>
        <w:t xml:space="preserve"> and supervision are outlined below.</w:t>
      </w:r>
    </w:p>
    <w:p w14:paraId="12632794" w14:textId="77777777" w:rsidR="00CB7716" w:rsidRPr="00A83AD8" w:rsidRDefault="00CB7716" w:rsidP="0000604C">
      <w:pPr>
        <w:spacing w:after="240"/>
      </w:pPr>
      <w:r>
        <w:t xml:space="preserve">In New Zealand, the </w:t>
      </w:r>
      <w:r w:rsidRPr="68C0CA2D">
        <w:rPr>
          <w:i/>
          <w:iCs/>
        </w:rPr>
        <w:t>Food Act 2014</w:t>
      </w:r>
      <w:r>
        <w:t xml:space="preserve"> focusses on the food production process rather than the premises on which the food is made. Food safety risk in New Zealand is managed through food control plans and, for lower risk food businesses, through national programs. </w:t>
      </w:r>
    </w:p>
    <w:p w14:paraId="00F211CA" w14:textId="303211FB" w:rsidR="00CB7716" w:rsidRDefault="00CB7716" w:rsidP="0000604C">
      <w:pPr>
        <w:spacing w:after="240"/>
      </w:pPr>
      <w:r>
        <w:t xml:space="preserve">In the United States, the Food and Drug Administration (FDA) </w:t>
      </w:r>
      <w:r w:rsidRPr="68C0CA2D">
        <w:rPr>
          <w:i/>
          <w:iCs/>
        </w:rPr>
        <w:t>Food Safety Modernization Act</w:t>
      </w:r>
      <w:r>
        <w:t xml:space="preserve"> (FSMA) is shifting the focus from responding to foodborne illness to preventing it. The FSMA requires mandatory accredited training for all food </w:t>
      </w:r>
      <w:bookmarkStart w:id="193" w:name="_Int_aY7QZCBM"/>
      <w:r>
        <w:t>handlers, and</w:t>
      </w:r>
      <w:bookmarkEnd w:id="193"/>
      <w:r>
        <w:t xml:space="preserve"> recommends competency-based training for a certified food safety supervisor. </w:t>
      </w:r>
    </w:p>
    <w:p w14:paraId="61A12EA0" w14:textId="596A11E0" w:rsidR="00CB7716" w:rsidRDefault="00CB7716" w:rsidP="0000604C">
      <w:pPr>
        <w:spacing w:after="240"/>
      </w:pPr>
      <w:r>
        <w:t xml:space="preserve">In Canada, the </w:t>
      </w:r>
      <w:r w:rsidRPr="68C0CA2D">
        <w:rPr>
          <w:i/>
          <w:iCs/>
        </w:rPr>
        <w:t>Safe Food for Canadians Act</w:t>
      </w:r>
      <w:r>
        <w:t xml:space="preserve"> (SFCA) and </w:t>
      </w:r>
      <w:r w:rsidRPr="68C0CA2D">
        <w:rPr>
          <w:i/>
          <w:iCs/>
        </w:rPr>
        <w:t>Food and Drugs Act</w:t>
      </w:r>
      <w:r>
        <w:t xml:space="preserve"> requires food businesses to employ staff that have obtained Food Handler Certification. For some managers/operators, training in a recognised food safety course may be mandatory depending on the local jurisdiction.</w:t>
      </w:r>
    </w:p>
    <w:p w14:paraId="7F868B76" w14:textId="77777777" w:rsidR="00CB7716" w:rsidRPr="00A83AD8" w:rsidRDefault="00CB7716" w:rsidP="0000604C">
      <w:pPr>
        <w:spacing w:after="240"/>
      </w:pPr>
      <w:r w:rsidRPr="00A83AD8">
        <w:t xml:space="preserve">The European Community and the United Kingdom have both taken preliminary steps toward centralising their food safety efforts. The incentives for these efforts include enhancing efficiency and reducing costs by providing a single, consolidated focus for food safety. Currently, </w:t>
      </w:r>
      <w:r>
        <w:t>in</w:t>
      </w:r>
      <w:r w:rsidRPr="00A83AD8">
        <w:t xml:space="preserve"> </w:t>
      </w:r>
      <w:r>
        <w:t xml:space="preserve">the </w:t>
      </w:r>
      <w:r w:rsidRPr="00A83AD8">
        <w:t>U</w:t>
      </w:r>
      <w:r>
        <w:t xml:space="preserve">nited </w:t>
      </w:r>
      <w:r w:rsidRPr="00A83AD8">
        <w:t>K</w:t>
      </w:r>
      <w:r>
        <w:t>ingdom</w:t>
      </w:r>
      <w:r w:rsidRPr="00A83AD8">
        <w:t xml:space="preserve"> there is no legal requirement for food handlers to attend a formal training course or get a qualification. However, food business operators must ensure that food handlers receive appropriate supervision and training in food hygiene. </w:t>
      </w:r>
    </w:p>
    <w:p w14:paraId="67A12347" w14:textId="5CE3173C" w:rsidR="00CB7716" w:rsidRDefault="00CB7716" w:rsidP="0000604C">
      <w:pPr>
        <w:spacing w:after="240"/>
      </w:pPr>
      <w:r>
        <w:t>The</w:t>
      </w:r>
      <w:r w:rsidRPr="00A83AD8">
        <w:t xml:space="preserve"> Singapore Food Agency (SFA) has put in place an integrated food safety system to ensure that food is safe for consumption. Under this system, all food handlers who prepare and handle food need to be trained and registered with SFA. There is also a regulatory requirement that food hygiene officers assist licensees to ensure high standards of hygiene sanitation are mainta</w:t>
      </w:r>
      <w:r>
        <w:t xml:space="preserve">ined in the licensed premises. </w:t>
      </w:r>
    </w:p>
    <w:bookmarkEnd w:id="9"/>
    <w:p w14:paraId="2BD34CE9" w14:textId="77777777" w:rsidR="00CB7716" w:rsidRPr="00373F1A" w:rsidRDefault="00CB7716" w:rsidP="00CB7716"/>
    <w:sectPr w:rsidR="00CB7716" w:rsidRPr="00373F1A" w:rsidSect="0012399E">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0CD55B" w14:textId="77777777" w:rsidR="004E6D96" w:rsidRDefault="004E6D96">
      <w:r>
        <w:separator/>
      </w:r>
    </w:p>
    <w:p w14:paraId="0861F607" w14:textId="77777777" w:rsidR="004E6D96" w:rsidRDefault="004E6D96"/>
  </w:endnote>
  <w:endnote w:type="continuationSeparator" w:id="0">
    <w:p w14:paraId="6CACA51F" w14:textId="77777777" w:rsidR="004E6D96" w:rsidRDefault="004E6D96">
      <w:r>
        <w:continuationSeparator/>
      </w:r>
    </w:p>
    <w:p w14:paraId="36478C46" w14:textId="77777777" w:rsidR="004E6D96" w:rsidRDefault="004E6D96"/>
  </w:endnote>
  <w:endnote w:type="continuationNotice" w:id="1">
    <w:p w14:paraId="4E832A0C" w14:textId="77777777" w:rsidR="004E6D96" w:rsidRDefault="004E6D9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Bold">
    <w:altName w:val="Arial"/>
    <w:panose1 w:val="020B0704020202020204"/>
    <w:charset w:val="59"/>
    <w:family w:val="auto"/>
    <w:pitch w:val="variable"/>
    <w:sig w:usb0="00000000" w:usb1="C0007843"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Helvetica 65 Medium">
    <w:charset w:val="00"/>
    <w:family w:val="auto"/>
    <w:pitch w:val="variable"/>
    <w:sig w:usb0="E00002FF" w:usb1="5000785B" w:usb2="00000000" w:usb3="00000000" w:csb0="000001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8C4306" w14:textId="77777777" w:rsidR="003E12CF" w:rsidRPr="0080443F" w:rsidRDefault="003E12CF" w:rsidP="0080443F">
    <w:pPr>
      <w:pStyle w:val="Footer"/>
      <w:jc w:val="center"/>
      <w:rPr>
        <w:rFonts w:ascii="Calibri" w:hAnsi="Calibri" w:cs="Calibri"/>
        <w:b/>
        <w:color w:val="F00000"/>
        <w:sz w:val="24"/>
      </w:rPr>
    </w:pPr>
    <w:r>
      <w:fldChar w:fldCharType="begin" w:fldLock="1"/>
    </w:r>
    <w:r>
      <w:instrText xml:space="preserve"> DOCPROPERTY bjFooterEvenPageDocProperty \* MERGEFORMAT </w:instrText>
    </w:r>
    <w:r>
      <w:fldChar w:fldCharType="separate"/>
    </w:r>
  </w:p>
  <w:p w14:paraId="5FCA07AC" w14:textId="16F43598" w:rsidR="003E12CF" w:rsidRPr="0080443F" w:rsidRDefault="003E12CF" w:rsidP="0080443F">
    <w:pPr>
      <w:pStyle w:val="Footer"/>
      <w:jc w:val="center"/>
    </w:pPr>
    <w:r w:rsidRPr="0080443F">
      <w:rPr>
        <w:rFonts w:ascii="Calibri" w:hAnsi="Calibri" w:cs="Calibri"/>
        <w:b/>
        <w:color w:val="F00000"/>
        <w:sz w:val="24"/>
      </w:rPr>
      <w:t>OFFICIAL</w:t>
    </w:r>
    <w:r>
      <w:t xml:space="preserve"> </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74677126"/>
      <w:docPartObj>
        <w:docPartGallery w:val="Page Numbers (Bottom of Page)"/>
        <w:docPartUnique/>
      </w:docPartObj>
    </w:sdtPr>
    <w:sdtEndPr>
      <w:rPr>
        <w:noProof/>
      </w:rPr>
    </w:sdtEndPr>
    <w:sdtContent>
      <w:p w14:paraId="2B167701" w14:textId="3355B587" w:rsidR="0012399E" w:rsidRDefault="0012399E">
        <w:pPr>
          <w:pStyle w:val="Footer"/>
          <w:jc w:val="center"/>
        </w:pPr>
        <w:r>
          <w:fldChar w:fldCharType="begin"/>
        </w:r>
        <w:r>
          <w:instrText xml:space="preserve"> PAGE   \* MERGEFORMAT </w:instrText>
        </w:r>
        <w:r>
          <w:fldChar w:fldCharType="separate"/>
        </w:r>
        <w:r w:rsidR="00EB0B9D">
          <w:rPr>
            <w:noProof/>
          </w:rPr>
          <w:t>45</w:t>
        </w:r>
        <w:r>
          <w:rPr>
            <w:noProof/>
          </w:rPr>
          <w:fldChar w:fldCharType="end"/>
        </w:r>
      </w:p>
    </w:sdtContent>
  </w:sdt>
  <w:p w14:paraId="060FE6D0" w14:textId="77777777" w:rsidR="0012399E" w:rsidRDefault="0012399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E6C462" w14:textId="77777777" w:rsidR="003E12CF" w:rsidRPr="0080443F" w:rsidRDefault="003E12CF" w:rsidP="0080443F">
    <w:pPr>
      <w:pStyle w:val="Footer"/>
      <w:jc w:val="center"/>
      <w:rPr>
        <w:rFonts w:ascii="Calibri" w:hAnsi="Calibri" w:cs="Calibri"/>
        <w:b/>
        <w:color w:val="F00000"/>
        <w:sz w:val="24"/>
      </w:rPr>
    </w:pPr>
    <w:r>
      <w:fldChar w:fldCharType="begin" w:fldLock="1"/>
    </w:r>
    <w:r>
      <w:instrText xml:space="preserve"> DOCPROPERTY bjFooterFirstPageDocProperty \* MERGEFORMAT </w:instrText>
    </w:r>
    <w:r>
      <w:fldChar w:fldCharType="separate"/>
    </w:r>
  </w:p>
  <w:p w14:paraId="58CB4700" w14:textId="5208968D" w:rsidR="003E12CF" w:rsidRPr="0080443F" w:rsidRDefault="003E12CF" w:rsidP="0080443F">
    <w:pPr>
      <w:pStyle w:val="Footer"/>
      <w:jc w:val="center"/>
    </w:pPr>
    <w:r w:rsidRPr="0080443F">
      <w:rPr>
        <w:rFonts w:ascii="Calibri" w:hAnsi="Calibri" w:cs="Calibri"/>
        <w:b/>
        <w:color w:val="F00000"/>
        <w:sz w:val="24"/>
      </w:rPr>
      <w:t>OFFICIAL</w:t>
    </w:r>
    <w:r>
      <w:t xml:space="preserve"> </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55D711" w14:textId="77777777" w:rsidR="004E6D96" w:rsidRDefault="004E6D96">
      <w:r>
        <w:separator/>
      </w:r>
    </w:p>
  </w:footnote>
  <w:footnote w:type="continuationSeparator" w:id="0">
    <w:p w14:paraId="3865B70E" w14:textId="77777777" w:rsidR="004E6D96" w:rsidRDefault="004E6D96">
      <w:r>
        <w:continuationSeparator/>
      </w:r>
    </w:p>
  </w:footnote>
  <w:footnote w:type="continuationNotice" w:id="1">
    <w:p w14:paraId="0F683B72" w14:textId="77777777" w:rsidR="004E6D96" w:rsidRDefault="004E6D96"/>
  </w:footnote>
  <w:footnote w:id="2">
    <w:p w14:paraId="5AC00882" w14:textId="77777777" w:rsidR="003E12CF" w:rsidRPr="00DA7FDA" w:rsidRDefault="003E12CF" w:rsidP="00CB7716">
      <w:pPr>
        <w:pStyle w:val="FootnoteText"/>
        <w:rPr>
          <w:sz w:val="16"/>
          <w:szCs w:val="16"/>
          <w:lang w:val="en-AU"/>
        </w:rPr>
      </w:pPr>
      <w:r w:rsidRPr="00DA7FDA">
        <w:rPr>
          <w:rStyle w:val="FootnoteReference"/>
          <w:sz w:val="16"/>
          <w:szCs w:val="16"/>
        </w:rPr>
        <w:footnoteRef/>
      </w:r>
      <w:r w:rsidRPr="00DA7FDA">
        <w:rPr>
          <w:sz w:val="16"/>
          <w:szCs w:val="16"/>
        </w:rPr>
        <w:t xml:space="preserve"> </w:t>
      </w:r>
      <w:hyperlink r:id="rId1" w:history="1">
        <w:r w:rsidRPr="00DA7FDA">
          <w:rPr>
            <w:rStyle w:val="Hyperlink"/>
            <w:rFonts w:cstheme="minorBidi"/>
            <w:sz w:val="16"/>
            <w:szCs w:val="16"/>
          </w:rPr>
          <w:t>https://obpr.pmc.gov.au/resources/guidance-impact-analysis/regulatory-impact-analysis-guide-ministers-meetings-and-national</w:t>
        </w:r>
      </w:hyperlink>
      <w:r w:rsidRPr="00DA7FDA">
        <w:rPr>
          <w:sz w:val="16"/>
          <w:szCs w:val="16"/>
        </w:rPr>
        <w:t xml:space="preserve"> </w:t>
      </w:r>
    </w:p>
  </w:footnote>
  <w:footnote w:id="3">
    <w:p w14:paraId="141354AC" w14:textId="46BC4C84" w:rsidR="003E12CF" w:rsidRPr="00DA7FDA" w:rsidRDefault="003E12CF" w:rsidP="00CB7716">
      <w:pPr>
        <w:pStyle w:val="FootnoteText"/>
        <w:rPr>
          <w:sz w:val="16"/>
          <w:szCs w:val="16"/>
          <w:lang w:val="en-AU"/>
        </w:rPr>
      </w:pPr>
      <w:r w:rsidRPr="004A4B78">
        <w:rPr>
          <w:rStyle w:val="FootnoteReference"/>
          <w:rFonts w:cs="Arial"/>
          <w:sz w:val="16"/>
          <w:szCs w:val="16"/>
        </w:rPr>
        <w:footnoteRef/>
      </w:r>
      <w:r w:rsidRPr="004A4B78">
        <w:rPr>
          <w:rFonts w:cs="Arial"/>
          <w:sz w:val="16"/>
          <w:szCs w:val="16"/>
          <w:shd w:val="clear" w:color="auto" w:fill="FFFFFF"/>
        </w:rPr>
        <w:t xml:space="preserve"> A detailed r</w:t>
      </w:r>
      <w:r w:rsidRPr="004A4B78">
        <w:rPr>
          <w:rFonts w:cs="Arial"/>
          <w:sz w:val="16"/>
          <w:szCs w:val="16"/>
        </w:rPr>
        <w:t>isk</w:t>
      </w:r>
      <w:r w:rsidRPr="004A4B78">
        <w:rPr>
          <w:sz w:val="16"/>
          <w:szCs w:val="16"/>
        </w:rPr>
        <w:t xml:space="preserve"> </w:t>
      </w:r>
      <w:r w:rsidRPr="00DA7FDA">
        <w:rPr>
          <w:sz w:val="16"/>
          <w:szCs w:val="16"/>
        </w:rPr>
        <w:t>profile for Australian food service and related food retail businesses</w:t>
      </w:r>
      <w:r>
        <w:rPr>
          <w:sz w:val="16"/>
          <w:szCs w:val="16"/>
        </w:rPr>
        <w:t xml:space="preserve"> has been developed for this proposal. This risk profile used </w:t>
      </w:r>
      <w:proofErr w:type="spellStart"/>
      <w:r>
        <w:rPr>
          <w:sz w:val="16"/>
          <w:szCs w:val="16"/>
        </w:rPr>
        <w:t>OzFoodNet</w:t>
      </w:r>
      <w:proofErr w:type="spellEnd"/>
      <w:r>
        <w:rPr>
          <w:sz w:val="16"/>
          <w:szCs w:val="16"/>
        </w:rPr>
        <w:t xml:space="preserve"> data on foodborne outbreaks linked to these sectors (FSANZ, 2022)</w:t>
      </w:r>
      <w:r w:rsidRPr="00DA7FDA">
        <w:rPr>
          <w:sz w:val="16"/>
          <w:szCs w:val="16"/>
          <w:lang w:val="en-AU"/>
        </w:rPr>
        <w:t xml:space="preserve"> </w:t>
      </w:r>
    </w:p>
  </w:footnote>
  <w:footnote w:id="4">
    <w:p w14:paraId="44A3FE1C" w14:textId="77777777" w:rsidR="003E12CF" w:rsidRPr="00DA7FDA" w:rsidRDefault="003E12CF" w:rsidP="00CB7716">
      <w:pPr>
        <w:pStyle w:val="FootnoteText"/>
        <w:rPr>
          <w:rFonts w:cs="Arial"/>
          <w:sz w:val="16"/>
          <w:szCs w:val="16"/>
          <w:lang w:val="en-AU"/>
        </w:rPr>
      </w:pPr>
      <w:r w:rsidRPr="00DA7FDA">
        <w:rPr>
          <w:rStyle w:val="FootnoteReference"/>
          <w:rFonts w:cs="Arial"/>
          <w:sz w:val="16"/>
          <w:szCs w:val="16"/>
        </w:rPr>
        <w:footnoteRef/>
      </w:r>
      <w:r w:rsidRPr="00DA7FDA">
        <w:rPr>
          <w:rFonts w:cs="Arial"/>
          <w:sz w:val="16"/>
          <w:szCs w:val="16"/>
        </w:rPr>
        <w:t xml:space="preserve"> Ministerial Policy Guidelines were developed to guide the processes for determining and implementing appropriate risk management tools for specified retail/food service sectors or business types.</w:t>
      </w:r>
    </w:p>
  </w:footnote>
  <w:footnote w:id="5">
    <w:p w14:paraId="625857C7" w14:textId="77777777" w:rsidR="003E12CF" w:rsidRPr="00DA7FDA" w:rsidRDefault="003E12CF" w:rsidP="00CB7716">
      <w:pPr>
        <w:rPr>
          <w:sz w:val="16"/>
          <w:szCs w:val="16"/>
        </w:rPr>
      </w:pPr>
      <w:r w:rsidRPr="00DA7FDA">
        <w:rPr>
          <w:rStyle w:val="FootnoteReference"/>
          <w:sz w:val="16"/>
          <w:szCs w:val="16"/>
        </w:rPr>
        <w:footnoteRef/>
      </w:r>
      <w:r w:rsidRPr="00DA7FDA">
        <w:rPr>
          <w:sz w:val="16"/>
          <w:szCs w:val="16"/>
        </w:rPr>
        <w:t xml:space="preserve"> </w:t>
      </w:r>
      <w:r w:rsidRPr="00DA7FDA">
        <w:rPr>
          <w:rStyle w:val="Hyperlink"/>
          <w:rFonts w:cs="Arial"/>
          <w:sz w:val="16"/>
          <w:szCs w:val="16"/>
        </w:rPr>
        <w:t>https://www.foodstandards.gov.au/code/proposals/Documents/P1053%20CFS%20report.docx</w:t>
      </w:r>
    </w:p>
  </w:footnote>
  <w:footnote w:id="6">
    <w:p w14:paraId="722C64CD" w14:textId="77777777" w:rsidR="003E12CF" w:rsidRPr="00DA7FDA" w:rsidRDefault="003E12CF" w:rsidP="00CB7716">
      <w:pPr>
        <w:pStyle w:val="FootnoteText"/>
        <w:rPr>
          <w:sz w:val="16"/>
          <w:szCs w:val="16"/>
          <w:lang w:val="en-AU"/>
        </w:rPr>
      </w:pPr>
      <w:r w:rsidRPr="00DA7FDA">
        <w:rPr>
          <w:rStyle w:val="FootnoteReference"/>
          <w:sz w:val="16"/>
          <w:szCs w:val="16"/>
        </w:rPr>
        <w:footnoteRef/>
      </w:r>
      <w:r w:rsidRPr="00DA7FDA">
        <w:rPr>
          <w:sz w:val="16"/>
          <w:szCs w:val="16"/>
        </w:rPr>
        <w:t xml:space="preserve"> In 2017 a stakeholder consultation roadshow was run across all jurisdictions. The feedback provided helped the FSM WG refine the package presented to FRSC. Section 5.1 provides more detail.</w:t>
      </w:r>
    </w:p>
  </w:footnote>
  <w:footnote w:id="7">
    <w:p w14:paraId="2C2401D0" w14:textId="77777777" w:rsidR="003E12CF" w:rsidRPr="00DA7FDA" w:rsidRDefault="003E12CF" w:rsidP="00CB7716">
      <w:pPr>
        <w:pStyle w:val="FootnoteText"/>
        <w:rPr>
          <w:rFonts w:cs="Arial"/>
          <w:sz w:val="16"/>
          <w:szCs w:val="16"/>
          <w:lang w:val="en-AU"/>
        </w:rPr>
      </w:pPr>
      <w:r w:rsidRPr="00DA7FDA">
        <w:rPr>
          <w:rStyle w:val="FootnoteReference"/>
          <w:rFonts w:cs="Arial"/>
          <w:sz w:val="16"/>
          <w:szCs w:val="16"/>
        </w:rPr>
        <w:footnoteRef/>
      </w:r>
      <w:r w:rsidRPr="00DA7FDA">
        <w:rPr>
          <w:rFonts w:cs="Arial"/>
          <w:sz w:val="16"/>
          <w:szCs w:val="16"/>
        </w:rPr>
        <w:t xml:space="preserve"> FRSC </w:t>
      </w:r>
      <w:r w:rsidRPr="00DA7FDA">
        <w:rPr>
          <w:rFonts w:cs="Arial"/>
          <w:color w:val="222222"/>
          <w:sz w:val="16"/>
          <w:szCs w:val="16"/>
          <w:lang w:val="en-AU"/>
        </w:rPr>
        <w:t xml:space="preserve">is a committee under the Food Ministers’ Meeting (formerly the Ministerial Forum) responsible for developing food policy </w:t>
      </w:r>
    </w:p>
  </w:footnote>
  <w:footnote w:id="8">
    <w:p w14:paraId="7C664D6B" w14:textId="77777777" w:rsidR="003E12CF" w:rsidRPr="00DA7FDA" w:rsidRDefault="003E12CF" w:rsidP="00CB7716">
      <w:pPr>
        <w:pStyle w:val="FootnoteText"/>
        <w:rPr>
          <w:sz w:val="16"/>
          <w:szCs w:val="16"/>
          <w:lang w:val="en-AU"/>
        </w:rPr>
      </w:pPr>
      <w:r w:rsidRPr="00DA7FDA">
        <w:rPr>
          <w:rStyle w:val="FootnoteReference"/>
          <w:sz w:val="16"/>
          <w:szCs w:val="16"/>
        </w:rPr>
        <w:footnoteRef/>
      </w:r>
      <w:r w:rsidRPr="00DA7FDA">
        <w:rPr>
          <w:sz w:val="16"/>
          <w:szCs w:val="16"/>
        </w:rPr>
        <w:t xml:space="preserve"> </w:t>
      </w:r>
      <w:r>
        <w:rPr>
          <w:sz w:val="16"/>
          <w:szCs w:val="16"/>
        </w:rPr>
        <w:t xml:space="preserve">The </w:t>
      </w:r>
      <w:r w:rsidRPr="008D5610">
        <w:rPr>
          <w:sz w:val="16"/>
          <w:szCs w:val="16"/>
        </w:rPr>
        <w:t>Integrated Model ensures that when</w:t>
      </w:r>
      <w:r>
        <w:rPr>
          <w:sz w:val="16"/>
          <w:szCs w:val="16"/>
        </w:rPr>
        <w:t xml:space="preserve"> food</w:t>
      </w:r>
      <w:r w:rsidRPr="008D5610">
        <w:rPr>
          <w:sz w:val="16"/>
          <w:szCs w:val="16"/>
        </w:rPr>
        <w:t xml:space="preserve"> </w:t>
      </w:r>
      <w:r>
        <w:rPr>
          <w:sz w:val="16"/>
          <w:szCs w:val="16"/>
        </w:rPr>
        <w:t>Ministers give</w:t>
      </w:r>
      <w:r w:rsidRPr="008D5610">
        <w:rPr>
          <w:sz w:val="16"/>
          <w:szCs w:val="16"/>
        </w:rPr>
        <w:t xml:space="preserve"> consideration to the approval of a</w:t>
      </w:r>
      <w:r>
        <w:rPr>
          <w:sz w:val="16"/>
          <w:szCs w:val="16"/>
        </w:rPr>
        <w:t xml:space="preserve"> s</w:t>
      </w:r>
      <w:r w:rsidRPr="008D5610">
        <w:rPr>
          <w:sz w:val="16"/>
          <w:szCs w:val="16"/>
        </w:rPr>
        <w:t xml:space="preserve">tandard, </w:t>
      </w:r>
      <w:r>
        <w:rPr>
          <w:sz w:val="16"/>
          <w:szCs w:val="16"/>
        </w:rPr>
        <w:t>they can be assured that the s</w:t>
      </w:r>
      <w:r w:rsidRPr="008D5610">
        <w:rPr>
          <w:sz w:val="16"/>
          <w:szCs w:val="16"/>
        </w:rPr>
        <w:t>tandard can be consistently implemented in all jurisdictions and that guidance is available to industry to assist in</w:t>
      </w:r>
      <w:r>
        <w:rPr>
          <w:sz w:val="16"/>
          <w:szCs w:val="16"/>
        </w:rPr>
        <w:t xml:space="preserve"> achieving compliance with the s</w:t>
      </w:r>
      <w:r w:rsidRPr="008D5610">
        <w:rPr>
          <w:sz w:val="16"/>
          <w:szCs w:val="16"/>
        </w:rPr>
        <w:t>tandard.</w:t>
      </w:r>
      <w:r>
        <w:rPr>
          <w:sz w:val="16"/>
          <w:szCs w:val="16"/>
        </w:rPr>
        <w:t xml:space="preserve"> </w:t>
      </w:r>
    </w:p>
  </w:footnote>
  <w:footnote w:id="9">
    <w:p w14:paraId="7BB4FF4C" w14:textId="77777777" w:rsidR="003E12CF" w:rsidRPr="00DA7FDA" w:rsidRDefault="003E12CF" w:rsidP="00CB7716">
      <w:pPr>
        <w:pStyle w:val="FootnoteText"/>
        <w:rPr>
          <w:rFonts w:cs="Arial"/>
          <w:sz w:val="16"/>
          <w:szCs w:val="16"/>
          <w:lang w:val="en-AU"/>
        </w:rPr>
      </w:pPr>
      <w:r w:rsidRPr="00DA7FDA">
        <w:rPr>
          <w:rStyle w:val="FootnoteReference"/>
          <w:rFonts w:cs="Arial"/>
          <w:sz w:val="16"/>
          <w:szCs w:val="16"/>
        </w:rPr>
        <w:footnoteRef/>
      </w:r>
      <w:r w:rsidRPr="00DA7FDA">
        <w:rPr>
          <w:rFonts w:cs="Arial"/>
          <w:sz w:val="16"/>
          <w:szCs w:val="16"/>
        </w:rPr>
        <w:t xml:space="preserve"> </w:t>
      </w:r>
      <w:r w:rsidRPr="00DA7FDA">
        <w:rPr>
          <w:rFonts w:cs="Arial"/>
          <w:sz w:val="16"/>
          <w:szCs w:val="16"/>
          <w:lang w:val="en-AU"/>
        </w:rPr>
        <w:t xml:space="preserve">Risk classification for these business was assessed by a working group of technical experts and endorsed by the Australian Department of Health. </w:t>
      </w:r>
      <w:hyperlink r:id="rId2" w:history="1">
        <w:r w:rsidRPr="00DA7FDA">
          <w:rPr>
            <w:rStyle w:val="Hyperlink"/>
            <w:rFonts w:cs="Arial"/>
            <w:sz w:val="16"/>
            <w:szCs w:val="16"/>
            <w:lang w:val="en-AU"/>
          </w:rPr>
          <w:t>https://foodregulation.gov.au/internet/fr/publishing.nsf/Content/risk-profiling-framework</w:t>
        </w:r>
      </w:hyperlink>
      <w:r w:rsidRPr="00DA7FDA">
        <w:rPr>
          <w:rFonts w:cs="Arial"/>
          <w:sz w:val="16"/>
          <w:szCs w:val="16"/>
          <w:lang w:val="en-AU"/>
        </w:rPr>
        <w:t xml:space="preserve"> </w:t>
      </w:r>
    </w:p>
  </w:footnote>
  <w:footnote w:id="10">
    <w:p w14:paraId="69B30982" w14:textId="77777777" w:rsidR="003E12CF" w:rsidRPr="0012232E" w:rsidRDefault="003E12CF" w:rsidP="00CB7716">
      <w:pPr>
        <w:pStyle w:val="FootnoteText"/>
        <w:rPr>
          <w:rFonts w:cs="Arial"/>
          <w:szCs w:val="18"/>
          <w:lang w:val="en-AU"/>
        </w:rPr>
      </w:pPr>
      <w:r w:rsidRPr="00DA7FDA">
        <w:rPr>
          <w:rStyle w:val="FootnoteReference"/>
          <w:rFonts w:cs="Arial"/>
          <w:sz w:val="16"/>
          <w:szCs w:val="16"/>
        </w:rPr>
        <w:footnoteRef/>
      </w:r>
      <w:r w:rsidRPr="00DA7FDA">
        <w:rPr>
          <w:rFonts w:cs="Arial"/>
          <w:sz w:val="16"/>
          <w:szCs w:val="16"/>
        </w:rPr>
        <w:t xml:space="preserve"> The HACCP system, is a science based and systematic identification of hazards and control measures to ensure the safety of food along the food chain, rather than relyin</w:t>
      </w:r>
      <w:r>
        <w:rPr>
          <w:rFonts w:cs="Arial"/>
          <w:sz w:val="16"/>
          <w:szCs w:val="16"/>
        </w:rPr>
        <w:t>g mainly on end-product testing</w:t>
      </w:r>
    </w:p>
  </w:footnote>
  <w:footnote w:id="11">
    <w:p w14:paraId="1480A6A8" w14:textId="77777777" w:rsidR="003E12CF" w:rsidRPr="0077754C" w:rsidRDefault="003E12CF" w:rsidP="00CB7716">
      <w:pPr>
        <w:pStyle w:val="FootnoteText"/>
        <w:rPr>
          <w:lang w:val="en-AU"/>
        </w:rPr>
      </w:pPr>
      <w:r w:rsidRPr="00DA7FDA">
        <w:rPr>
          <w:rStyle w:val="FootnoteReference"/>
          <w:rFonts w:cs="Arial"/>
          <w:sz w:val="16"/>
          <w:szCs w:val="16"/>
        </w:rPr>
        <w:footnoteRef/>
      </w:r>
      <w:r w:rsidRPr="00DA7FDA">
        <w:rPr>
          <w:rFonts w:cs="Arial"/>
          <w:sz w:val="16"/>
          <w:szCs w:val="16"/>
        </w:rPr>
        <w:t xml:space="preserve"> </w:t>
      </w:r>
      <w:r w:rsidRPr="00DA7FDA">
        <w:rPr>
          <w:rFonts w:cs="Arial"/>
          <w:color w:val="222222"/>
          <w:sz w:val="16"/>
          <w:szCs w:val="16"/>
          <w:shd w:val="clear" w:color="auto" w:fill="FFFFFF"/>
        </w:rPr>
        <w:t>In 2009, an independent team of food safety experts led by the University of Tasmania’s Food Safety Centre, was commissioned to classify 32 business types throughout the food supply chain using the science-based national Risk Profiling Framework. Each business type was given a risk classification under the four-tier model between Priority 1 and Priority 4.</w:t>
      </w:r>
    </w:p>
  </w:footnote>
  <w:footnote w:id="12">
    <w:p w14:paraId="26863A1F" w14:textId="77777777" w:rsidR="003E12CF" w:rsidRPr="00DA7FDA" w:rsidRDefault="003E12CF" w:rsidP="00CB7716">
      <w:pPr>
        <w:pStyle w:val="FootnoteText"/>
        <w:rPr>
          <w:sz w:val="16"/>
          <w:szCs w:val="16"/>
          <w:lang w:val="en-AU"/>
        </w:rPr>
      </w:pPr>
      <w:r w:rsidRPr="00DA7FDA">
        <w:rPr>
          <w:rStyle w:val="FootnoteReference"/>
          <w:sz w:val="16"/>
          <w:szCs w:val="16"/>
        </w:rPr>
        <w:footnoteRef/>
      </w:r>
      <w:r w:rsidRPr="00DA7FDA">
        <w:rPr>
          <w:sz w:val="16"/>
          <w:szCs w:val="16"/>
        </w:rPr>
        <w:t xml:space="preserve"> </w:t>
      </w:r>
      <w:hyperlink r:id="rId3" w:anchor=":~:text=number%20of%20infrastructure%20initiatives%20intended%20to%20guide%20the,the%20food%20safety%20risks%20associated%20with%20the%20business." w:history="1">
        <w:r w:rsidRPr="00DA7FDA">
          <w:rPr>
            <w:rStyle w:val="Hyperlink"/>
            <w:rFonts w:cstheme="minorBidi"/>
            <w:sz w:val="16"/>
            <w:szCs w:val="16"/>
          </w:rPr>
          <w:t>ANZFA_1578_Info_Paper__final.pdf (foodstandards.gov.au)</w:t>
        </w:r>
      </w:hyperlink>
    </w:p>
  </w:footnote>
  <w:footnote w:id="13">
    <w:p w14:paraId="06708EDB" w14:textId="77777777" w:rsidR="003E12CF" w:rsidRPr="00216F1A" w:rsidRDefault="003E12CF" w:rsidP="00CB7716">
      <w:pPr>
        <w:pStyle w:val="FootnoteText"/>
        <w:rPr>
          <w:sz w:val="16"/>
          <w:szCs w:val="16"/>
          <w:lang w:val="en-AU"/>
        </w:rPr>
      </w:pPr>
      <w:r w:rsidRPr="00DA7FDA">
        <w:rPr>
          <w:rStyle w:val="FootnoteReference"/>
          <w:sz w:val="16"/>
          <w:szCs w:val="16"/>
        </w:rPr>
        <w:footnoteRef/>
      </w:r>
      <w:hyperlink r:id="rId4" w:history="1">
        <w:r w:rsidRPr="00DA7FDA">
          <w:rPr>
            <w:rStyle w:val="Hyperlink"/>
            <w:rFonts w:cstheme="minorBidi"/>
            <w:sz w:val="16"/>
            <w:szCs w:val="16"/>
            <w:lang w:val="en-AU"/>
          </w:rPr>
          <w:t>https://www.qld.gov.au/health/staying-healthy/food-pantry/starting-a-food-business/food-business-licences/do-i-need-a-food-business-licence</w:t>
        </w:r>
      </w:hyperlink>
      <w:r w:rsidRPr="00216F1A">
        <w:rPr>
          <w:sz w:val="16"/>
          <w:szCs w:val="16"/>
          <w:lang w:val="en-AU"/>
        </w:rPr>
        <w:t xml:space="preserve"> </w:t>
      </w:r>
    </w:p>
  </w:footnote>
  <w:footnote w:id="14">
    <w:p w14:paraId="27252800" w14:textId="77777777" w:rsidR="003E12CF" w:rsidRPr="00DA7FDA" w:rsidRDefault="003E12CF" w:rsidP="00CB7716">
      <w:pPr>
        <w:pStyle w:val="FootnoteText"/>
        <w:rPr>
          <w:sz w:val="16"/>
          <w:szCs w:val="16"/>
          <w:lang w:val="en-AU"/>
        </w:rPr>
      </w:pPr>
      <w:r w:rsidRPr="00DA7FDA">
        <w:rPr>
          <w:rStyle w:val="FootnoteReference"/>
          <w:sz w:val="16"/>
          <w:szCs w:val="16"/>
        </w:rPr>
        <w:footnoteRef/>
      </w:r>
      <w:r w:rsidRPr="00DA7FDA">
        <w:rPr>
          <w:sz w:val="16"/>
          <w:szCs w:val="16"/>
        </w:rPr>
        <w:t xml:space="preserve"> </w:t>
      </w:r>
      <w:hyperlink r:id="rId5" w:history="1">
        <w:r w:rsidRPr="00DA7FDA">
          <w:rPr>
            <w:rStyle w:val="Hyperlink"/>
            <w:rFonts w:cstheme="minorBidi"/>
            <w:sz w:val="16"/>
            <w:szCs w:val="16"/>
          </w:rPr>
          <w:t>https://www.health.vic.gov.au/food-safety/food-business-classification</w:t>
        </w:r>
      </w:hyperlink>
    </w:p>
  </w:footnote>
  <w:footnote w:id="15">
    <w:p w14:paraId="577C4391" w14:textId="77777777" w:rsidR="003E12CF" w:rsidRPr="00DA7FDA" w:rsidRDefault="003E12CF" w:rsidP="00CB7716">
      <w:pPr>
        <w:pStyle w:val="FootnoteText"/>
        <w:rPr>
          <w:sz w:val="16"/>
          <w:szCs w:val="16"/>
          <w:lang w:val="en-AU"/>
        </w:rPr>
      </w:pPr>
      <w:r w:rsidRPr="00DA7FDA">
        <w:rPr>
          <w:rStyle w:val="FootnoteReference"/>
          <w:sz w:val="16"/>
          <w:szCs w:val="16"/>
        </w:rPr>
        <w:footnoteRef/>
      </w:r>
      <w:hyperlink r:id="rId6" w:history="1">
        <w:r w:rsidRPr="00DA7FDA">
          <w:rPr>
            <w:rStyle w:val="Hyperlink"/>
            <w:rFonts w:cstheme="minorBidi"/>
            <w:sz w:val="16"/>
            <w:szCs w:val="16"/>
          </w:rPr>
          <w:t>https://ww2.health.wa.gov.au/~/media/Files/Corporate/general%20documents/food/PDF/WA_Food_Regulation_Food_Business_Risk_Profiling.pdf</w:t>
        </w:r>
      </w:hyperlink>
      <w:r w:rsidRPr="00DA7FDA">
        <w:rPr>
          <w:sz w:val="16"/>
          <w:szCs w:val="16"/>
        </w:rPr>
        <w:t xml:space="preserve"> </w:t>
      </w:r>
    </w:p>
  </w:footnote>
  <w:footnote w:id="16">
    <w:p w14:paraId="5538FB06" w14:textId="77777777" w:rsidR="003E12CF" w:rsidRPr="00DA7FDA" w:rsidRDefault="003E12CF" w:rsidP="00CB7716">
      <w:pPr>
        <w:pStyle w:val="FootnoteText"/>
        <w:rPr>
          <w:rFonts w:cs="Arial"/>
          <w:sz w:val="16"/>
          <w:szCs w:val="16"/>
        </w:rPr>
      </w:pPr>
      <w:r w:rsidRPr="00DA7FDA">
        <w:rPr>
          <w:rStyle w:val="FootnoteReference"/>
          <w:rFonts w:cs="Arial"/>
          <w:sz w:val="16"/>
          <w:szCs w:val="16"/>
        </w:rPr>
        <w:footnoteRef/>
      </w:r>
      <w:r w:rsidRPr="00DA7FDA">
        <w:rPr>
          <w:rFonts w:cs="Arial"/>
          <w:sz w:val="16"/>
          <w:szCs w:val="16"/>
        </w:rPr>
        <w:t xml:space="preserve"> Australia’s Foodborne Illness Reduction Strategy 2018-2021+ identifies three priority areas for 2018 to 2021 and beyond to further strengthen the food regulatory system</w:t>
      </w:r>
    </w:p>
    <w:p w14:paraId="0602FDDC" w14:textId="77777777" w:rsidR="003E12CF" w:rsidRPr="0012232E" w:rsidRDefault="00EB0B9D" w:rsidP="00CB7716">
      <w:pPr>
        <w:pStyle w:val="FootnoteText"/>
        <w:rPr>
          <w:rFonts w:cs="Arial"/>
          <w:sz w:val="16"/>
          <w:lang w:val="en-AU"/>
        </w:rPr>
      </w:pPr>
      <w:hyperlink r:id="rId7" w:history="1">
        <w:r w:rsidR="003E12CF" w:rsidRPr="00DA7FDA">
          <w:rPr>
            <w:rStyle w:val="Hyperlink"/>
            <w:rFonts w:cs="Arial"/>
            <w:sz w:val="16"/>
            <w:szCs w:val="16"/>
          </w:rPr>
          <w:t>https://foodregulation.gov.au/internet/fr/publishing.nsf/Content/aus-foodborne-illness-reduction-strategy-2018-2021-Jun-2018</w:t>
        </w:r>
      </w:hyperlink>
    </w:p>
  </w:footnote>
  <w:footnote w:id="17">
    <w:p w14:paraId="3BD18AE2" w14:textId="77777777" w:rsidR="003E12CF" w:rsidRPr="00DA7FDA" w:rsidRDefault="003E12CF" w:rsidP="00CB7716">
      <w:pPr>
        <w:pStyle w:val="FootnoteText"/>
        <w:rPr>
          <w:rFonts w:cs="Arial"/>
          <w:sz w:val="16"/>
          <w:szCs w:val="16"/>
          <w:lang w:val="en-AU"/>
        </w:rPr>
      </w:pPr>
      <w:r w:rsidRPr="00DA7FDA">
        <w:rPr>
          <w:rStyle w:val="FootnoteReference"/>
          <w:rFonts w:cs="Arial"/>
          <w:sz w:val="16"/>
          <w:szCs w:val="16"/>
        </w:rPr>
        <w:footnoteRef/>
      </w:r>
      <w:r w:rsidRPr="00DA7FDA">
        <w:rPr>
          <w:rFonts w:cs="Arial"/>
          <w:sz w:val="16"/>
          <w:szCs w:val="16"/>
        </w:rPr>
        <w:t xml:space="preserve"> </w:t>
      </w:r>
      <w:proofErr w:type="spellStart"/>
      <w:r w:rsidRPr="00DA7FDA">
        <w:rPr>
          <w:rFonts w:cs="Arial"/>
          <w:sz w:val="16"/>
          <w:szCs w:val="16"/>
        </w:rPr>
        <w:t>OzFoodNet</w:t>
      </w:r>
      <w:proofErr w:type="spellEnd"/>
      <w:r w:rsidRPr="00DA7FDA">
        <w:rPr>
          <w:rFonts w:cs="Arial"/>
          <w:sz w:val="16"/>
          <w:szCs w:val="16"/>
        </w:rPr>
        <w:t xml:space="preserve"> is a</w:t>
      </w:r>
      <w:r w:rsidRPr="00DA7FDA">
        <w:rPr>
          <w:rFonts w:cs="Arial"/>
          <w:color w:val="000000"/>
          <w:sz w:val="16"/>
          <w:szCs w:val="16"/>
          <w:shd w:val="clear" w:color="auto" w:fill="FFFFFF"/>
        </w:rPr>
        <w:t xml:space="preserve"> national health network to enhance the surveillance of foodborne diseases in Australia. </w:t>
      </w:r>
      <w:hyperlink r:id="rId8" w:history="1">
        <w:proofErr w:type="spellStart"/>
        <w:r w:rsidRPr="00DA7FDA">
          <w:rPr>
            <w:rStyle w:val="Hyperlink"/>
            <w:rFonts w:cs="Arial"/>
            <w:sz w:val="16"/>
            <w:szCs w:val="16"/>
          </w:rPr>
          <w:t>OzFoodNet</w:t>
        </w:r>
        <w:proofErr w:type="spellEnd"/>
        <w:r w:rsidRPr="00DA7FDA">
          <w:rPr>
            <w:rStyle w:val="Hyperlink"/>
            <w:rFonts w:cs="Arial"/>
            <w:sz w:val="16"/>
            <w:szCs w:val="16"/>
          </w:rPr>
          <w:t xml:space="preserve"> surveillance data reports</w:t>
        </w:r>
      </w:hyperlink>
    </w:p>
  </w:footnote>
  <w:footnote w:id="18">
    <w:p w14:paraId="70C9CF26" w14:textId="77777777" w:rsidR="003E12CF" w:rsidRPr="00DA7FDA" w:rsidRDefault="003E12CF" w:rsidP="00CB7716">
      <w:pPr>
        <w:pStyle w:val="FootnoteText"/>
        <w:rPr>
          <w:rFonts w:cs="Arial"/>
          <w:sz w:val="16"/>
          <w:szCs w:val="16"/>
          <w:lang w:val="en-AU"/>
        </w:rPr>
      </w:pPr>
      <w:r w:rsidRPr="00DA7FDA">
        <w:rPr>
          <w:rStyle w:val="FootnoteReference"/>
          <w:rFonts w:cs="Arial"/>
          <w:sz w:val="16"/>
          <w:szCs w:val="16"/>
        </w:rPr>
        <w:footnoteRef/>
      </w:r>
      <w:r w:rsidRPr="00DA7FDA">
        <w:rPr>
          <w:rFonts w:cs="Arial"/>
          <w:sz w:val="16"/>
          <w:szCs w:val="16"/>
        </w:rPr>
        <w:t xml:space="preserve"> </w:t>
      </w:r>
      <w:r w:rsidRPr="00DA7FDA">
        <w:rPr>
          <w:rFonts w:cs="Arial"/>
          <w:color w:val="000000"/>
          <w:sz w:val="16"/>
          <w:szCs w:val="16"/>
          <w:shd w:val="clear" w:color="auto" w:fill="FFFFFF"/>
        </w:rPr>
        <w:t xml:space="preserve">The </w:t>
      </w:r>
      <w:hyperlink r:id="rId9" w:history="1">
        <w:r w:rsidRPr="00DA7FDA">
          <w:rPr>
            <w:rStyle w:val="Hyperlink"/>
            <w:rFonts w:cs="Arial"/>
            <w:sz w:val="16"/>
            <w:szCs w:val="16"/>
            <w:shd w:val="clear" w:color="auto" w:fill="FFFFFF"/>
          </w:rPr>
          <w:t>National Notifiable Diseases Surveillance System</w:t>
        </w:r>
      </w:hyperlink>
      <w:r w:rsidRPr="00DA7FDA">
        <w:rPr>
          <w:rFonts w:cs="Arial"/>
          <w:color w:val="000000"/>
          <w:sz w:val="16"/>
          <w:szCs w:val="16"/>
          <w:shd w:val="clear" w:color="auto" w:fill="FFFFFF"/>
        </w:rPr>
        <w:t xml:space="preserve"> (NNDSS) co-ordinates the national surveillance of more than 50 communicable diseases or disease groups.</w:t>
      </w:r>
    </w:p>
  </w:footnote>
  <w:footnote w:id="19">
    <w:p w14:paraId="091CD6D9" w14:textId="77777777" w:rsidR="003E12CF" w:rsidRPr="00096EF8" w:rsidRDefault="003E12CF" w:rsidP="00CB7716">
      <w:pPr>
        <w:pStyle w:val="FootnoteText"/>
        <w:rPr>
          <w:sz w:val="16"/>
          <w:szCs w:val="16"/>
          <w:lang w:val="en-AU"/>
        </w:rPr>
      </w:pPr>
      <w:r w:rsidRPr="00096EF8">
        <w:rPr>
          <w:rStyle w:val="FootnoteReference"/>
          <w:sz w:val="16"/>
          <w:szCs w:val="16"/>
        </w:rPr>
        <w:footnoteRef/>
      </w:r>
      <w:r w:rsidRPr="00096EF8">
        <w:rPr>
          <w:sz w:val="16"/>
          <w:szCs w:val="16"/>
        </w:rPr>
        <w:t xml:space="preserve"> </w:t>
      </w:r>
      <w:r>
        <w:rPr>
          <w:sz w:val="16"/>
          <w:szCs w:val="16"/>
        </w:rPr>
        <w:t xml:space="preserve">Class 1 premises are those that prepare food for vulnerable persons. </w:t>
      </w:r>
      <w:r w:rsidRPr="00096EF8">
        <w:rPr>
          <w:rFonts w:cs="Arial"/>
          <w:sz w:val="16"/>
          <w:szCs w:val="16"/>
          <w:lang w:val="en-AU"/>
        </w:rPr>
        <w:t>Class 2 premises are those that handle unpackaged potentially hazardous foods that need correct temperature control d</w:t>
      </w:r>
      <w:r>
        <w:rPr>
          <w:rFonts w:cs="Arial"/>
          <w:sz w:val="16"/>
          <w:szCs w:val="16"/>
          <w:lang w:val="en-AU"/>
        </w:rPr>
        <w:t xml:space="preserve">uring the food handling process. </w:t>
      </w:r>
      <w:r w:rsidRPr="00096EF8">
        <w:rPr>
          <w:rFonts w:cs="Arial"/>
          <w:sz w:val="16"/>
          <w:szCs w:val="16"/>
          <w:lang w:val="en-AU"/>
        </w:rPr>
        <w:t>This includes restaurants, fast-food outlets, pubs, caterers, delicatessens, supermarkets with delicatessens, cafes, food vending machines handling high risk foods and most manufacturers.</w:t>
      </w:r>
    </w:p>
  </w:footnote>
  <w:footnote w:id="20">
    <w:p w14:paraId="326B07FE" w14:textId="77777777" w:rsidR="003E12CF" w:rsidRPr="00096EF8" w:rsidRDefault="003E12CF" w:rsidP="00CB7716">
      <w:pPr>
        <w:pStyle w:val="FootnoteText"/>
        <w:rPr>
          <w:sz w:val="16"/>
          <w:szCs w:val="16"/>
        </w:rPr>
      </w:pPr>
      <w:r w:rsidRPr="00096EF8">
        <w:rPr>
          <w:rStyle w:val="FootnoteReference"/>
          <w:sz w:val="16"/>
          <w:szCs w:val="16"/>
        </w:rPr>
        <w:footnoteRef/>
      </w:r>
      <w:r w:rsidRPr="00096EF8">
        <w:rPr>
          <w:sz w:val="16"/>
          <w:szCs w:val="16"/>
        </w:rPr>
        <w:t xml:space="preserve"> </w:t>
      </w:r>
      <w:r w:rsidRPr="00096EF8">
        <w:rPr>
          <w:sz w:val="16"/>
          <w:szCs w:val="16"/>
          <w:lang w:val="en-AU"/>
        </w:rPr>
        <w:t xml:space="preserve">Includes off-site caterers and on-site catering where the primary activity is at the premises stated in the license or where the primary activity at part of the premises stated in the licence to cater to 200 </w:t>
      </w:r>
      <w:r w:rsidRPr="00096EF8">
        <w:rPr>
          <w:rFonts w:cs="Arial"/>
          <w:sz w:val="16"/>
          <w:szCs w:val="16"/>
          <w:lang w:val="en-AU"/>
        </w:rPr>
        <w:t>or more people on 12 or more occasions in any 12- month period.</w:t>
      </w:r>
    </w:p>
  </w:footnote>
  <w:footnote w:id="21">
    <w:p w14:paraId="4F1E67D9" w14:textId="77777777" w:rsidR="003E12CF" w:rsidRPr="007354E2" w:rsidRDefault="003E12CF" w:rsidP="00CB7716">
      <w:pPr>
        <w:pStyle w:val="FootnoteText"/>
        <w:rPr>
          <w:sz w:val="16"/>
          <w:lang w:val="en-AU"/>
        </w:rPr>
      </w:pPr>
      <w:r w:rsidRPr="00096EF8">
        <w:rPr>
          <w:rStyle w:val="FootnoteReference"/>
          <w:sz w:val="16"/>
          <w:szCs w:val="16"/>
        </w:rPr>
        <w:footnoteRef/>
      </w:r>
      <w:r w:rsidRPr="00096EF8">
        <w:rPr>
          <w:sz w:val="16"/>
          <w:szCs w:val="16"/>
        </w:rPr>
        <w:t xml:space="preserve"> </w:t>
      </w:r>
      <w:r w:rsidRPr="00096EF8">
        <w:rPr>
          <w:sz w:val="16"/>
          <w:szCs w:val="16"/>
          <w:lang w:val="en-AU"/>
        </w:rPr>
        <w:t xml:space="preserve">ACT has registration exemptions for some businesses: </w:t>
      </w:r>
      <w:hyperlink r:id="rId10" w:history="1">
        <w:r w:rsidRPr="00096EF8">
          <w:rPr>
            <w:rStyle w:val="Hyperlink"/>
            <w:rFonts w:cstheme="minorBidi"/>
            <w:sz w:val="16"/>
            <w:szCs w:val="16"/>
          </w:rPr>
          <w:t>https://www.health.act.gov.au/businesses/food-safety-regulation/starting-food-business</w:t>
        </w:r>
      </w:hyperlink>
      <w:r w:rsidRPr="007354E2">
        <w:rPr>
          <w:sz w:val="16"/>
        </w:rPr>
        <w:t xml:space="preserve"> </w:t>
      </w:r>
    </w:p>
  </w:footnote>
  <w:footnote w:id="22">
    <w:p w14:paraId="5C82E219" w14:textId="77777777" w:rsidR="003E12CF" w:rsidRDefault="003E12CF" w:rsidP="00CB7716">
      <w:pPr>
        <w:pStyle w:val="FootnoteText"/>
        <w:rPr>
          <w:lang w:val="en-AU"/>
        </w:rPr>
      </w:pPr>
      <w:r w:rsidRPr="48861835">
        <w:rPr>
          <w:rStyle w:val="FootnoteReference"/>
          <w:sz w:val="16"/>
          <w:szCs w:val="16"/>
        </w:rPr>
        <w:footnoteRef/>
      </w:r>
      <w:r w:rsidRPr="48861835">
        <w:rPr>
          <w:sz w:val="16"/>
          <w:szCs w:val="16"/>
        </w:rPr>
        <w:t>Page 105. Note that this guidance is not provided in the present version of the handbook but it remains useful guidance in consideration of whether a self-regulatory approach is appropriate.</w:t>
      </w:r>
    </w:p>
  </w:footnote>
  <w:footnote w:id="23">
    <w:p w14:paraId="2428B2FF" w14:textId="77777777" w:rsidR="003E12CF" w:rsidRPr="0012232E" w:rsidRDefault="003E12CF" w:rsidP="00CB7716">
      <w:pPr>
        <w:pStyle w:val="FootnoteText"/>
        <w:rPr>
          <w:rFonts w:cs="Arial"/>
          <w:sz w:val="16"/>
          <w:szCs w:val="18"/>
          <w:lang w:val="en-AU"/>
        </w:rPr>
      </w:pPr>
      <w:r w:rsidRPr="0012232E">
        <w:rPr>
          <w:rStyle w:val="FootnoteReference"/>
          <w:rFonts w:cs="Arial"/>
          <w:sz w:val="16"/>
          <w:szCs w:val="18"/>
        </w:rPr>
        <w:footnoteRef/>
      </w:r>
      <w:r w:rsidRPr="0012232E">
        <w:rPr>
          <w:rFonts w:cs="Arial"/>
          <w:sz w:val="16"/>
          <w:szCs w:val="18"/>
        </w:rPr>
        <w:t xml:space="preserve"> </w:t>
      </w:r>
      <w:r w:rsidRPr="0012232E">
        <w:rPr>
          <w:rFonts w:cs="Arial"/>
          <w:sz w:val="16"/>
          <w:szCs w:val="18"/>
          <w:lang w:val="en-AU"/>
        </w:rPr>
        <w:t xml:space="preserve">NSW prepared a RIS for the introduction of a Food Safety Supervisor regulatory measure in their </w:t>
      </w:r>
      <w:r>
        <w:rPr>
          <w:rFonts w:cs="Arial"/>
          <w:sz w:val="16"/>
          <w:szCs w:val="18"/>
          <w:lang w:val="en-AU"/>
        </w:rPr>
        <w:t>Food A</w:t>
      </w:r>
      <w:r w:rsidRPr="0012232E">
        <w:rPr>
          <w:rFonts w:cs="Arial"/>
          <w:sz w:val="16"/>
          <w:szCs w:val="18"/>
          <w:lang w:val="en-AU"/>
        </w:rPr>
        <w:t>ct</w:t>
      </w:r>
    </w:p>
  </w:footnote>
  <w:footnote w:id="24">
    <w:p w14:paraId="4867B947" w14:textId="77777777" w:rsidR="003E12CF" w:rsidRPr="0012232E" w:rsidRDefault="003E12CF" w:rsidP="00CB7716">
      <w:pPr>
        <w:pStyle w:val="FootnoteText"/>
        <w:rPr>
          <w:sz w:val="16"/>
          <w:szCs w:val="18"/>
          <w:lang w:val="en-AU"/>
        </w:rPr>
      </w:pPr>
      <w:r w:rsidRPr="0012232E">
        <w:rPr>
          <w:rStyle w:val="FootnoteReference"/>
          <w:sz w:val="16"/>
          <w:szCs w:val="18"/>
        </w:rPr>
        <w:footnoteRef/>
      </w:r>
      <w:r w:rsidRPr="0012232E">
        <w:rPr>
          <w:sz w:val="16"/>
          <w:szCs w:val="18"/>
        </w:rPr>
        <w:t xml:space="preserve"> </w:t>
      </w:r>
      <w:r w:rsidRPr="0012232E">
        <w:rPr>
          <w:sz w:val="16"/>
          <w:szCs w:val="18"/>
          <w:lang w:val="en-AU"/>
        </w:rPr>
        <w:t xml:space="preserve">Four of the studies were in the United States, one in Malaysia and one in Korea. </w:t>
      </w:r>
    </w:p>
  </w:footnote>
  <w:footnote w:id="25">
    <w:p w14:paraId="4E3BAE10" w14:textId="77777777" w:rsidR="003E12CF" w:rsidRPr="00337655" w:rsidRDefault="003E12CF" w:rsidP="00CB7716">
      <w:pPr>
        <w:pStyle w:val="FootnoteText"/>
        <w:rPr>
          <w:lang w:val="en-AU"/>
        </w:rPr>
      </w:pPr>
      <w:r w:rsidRPr="0012232E">
        <w:rPr>
          <w:rStyle w:val="FootnoteReference"/>
          <w:sz w:val="16"/>
          <w:szCs w:val="18"/>
        </w:rPr>
        <w:footnoteRef/>
      </w:r>
      <w:r w:rsidRPr="0012232E">
        <w:rPr>
          <w:sz w:val="16"/>
          <w:szCs w:val="18"/>
        </w:rPr>
        <w:t xml:space="preserve"> </w:t>
      </w:r>
      <w:r w:rsidRPr="0012232E">
        <w:rPr>
          <w:sz w:val="16"/>
          <w:szCs w:val="18"/>
          <w:lang w:val="en-AU"/>
        </w:rPr>
        <w:t>Four studies were in the United States, three in Italy, two in the UK, two in India, one in Thailand, one in Egypt and one in Turkey.</w:t>
      </w:r>
      <w:r w:rsidRPr="0012232E">
        <w:rPr>
          <w:sz w:val="16"/>
          <w:lang w:val="en-AU"/>
        </w:rPr>
        <w:t xml:space="preserve"> </w:t>
      </w:r>
    </w:p>
  </w:footnote>
  <w:footnote w:id="26">
    <w:p w14:paraId="62916A69" w14:textId="77777777" w:rsidR="003E12CF" w:rsidRPr="00096EF8" w:rsidRDefault="003E12CF" w:rsidP="00CB7716">
      <w:pPr>
        <w:pStyle w:val="FootnoteText"/>
        <w:rPr>
          <w:lang w:val="en-AU"/>
        </w:rPr>
      </w:pPr>
      <w:r>
        <w:rPr>
          <w:rStyle w:val="FootnoteReference"/>
        </w:rPr>
        <w:footnoteRef/>
      </w:r>
      <w:r>
        <w:t xml:space="preserve"> </w:t>
      </w:r>
      <w:r w:rsidRPr="68C0CA2D">
        <w:rPr>
          <w:rFonts w:cs="Arial"/>
          <w:sz w:val="16"/>
          <w:szCs w:val="16"/>
        </w:rPr>
        <w:t xml:space="preserve">Class 3 premises are </w:t>
      </w:r>
      <w:r w:rsidRPr="68C0CA2D">
        <w:rPr>
          <w:rFonts w:cs="Arial"/>
          <w:sz w:val="16"/>
          <w:szCs w:val="16"/>
          <w:lang w:val="en"/>
        </w:rPr>
        <w:t>are those that sell prepackaged potentially hazardous food (food that needs temperature control to keep safe). Examples of businesses include fruit stalls selling cut fruit, wholesalers distributing prepackaged foods, most milk bars, convenience stores and coffee bars.</w:t>
      </w:r>
    </w:p>
  </w:footnote>
  <w:footnote w:id="27">
    <w:p w14:paraId="7FAC2CBC" w14:textId="1C5F91E1" w:rsidR="003E12CF" w:rsidRPr="008D4EFA" w:rsidRDefault="003E12CF" w:rsidP="00CB7716">
      <w:pPr>
        <w:pStyle w:val="FootnoteText"/>
        <w:rPr>
          <w:sz w:val="16"/>
          <w:szCs w:val="16"/>
          <w:lang w:val="en-AU"/>
        </w:rPr>
      </w:pPr>
      <w:r w:rsidRPr="008D4EFA">
        <w:rPr>
          <w:rStyle w:val="FootnoteReference"/>
          <w:sz w:val="16"/>
          <w:szCs w:val="16"/>
        </w:rPr>
        <w:footnoteRef/>
      </w:r>
      <w:r w:rsidRPr="008D4EFA">
        <w:rPr>
          <w:sz w:val="16"/>
          <w:szCs w:val="16"/>
        </w:rPr>
        <w:t xml:space="preserve"> </w:t>
      </w:r>
      <w:r>
        <w:rPr>
          <w:sz w:val="16"/>
          <w:szCs w:val="16"/>
        </w:rPr>
        <w:t>The ​draft implementation guide</w:t>
      </w:r>
      <w:r w:rsidRPr="008D4EFA">
        <w:rPr>
          <w:sz w:val="16"/>
          <w:szCs w:val="16"/>
        </w:rPr>
        <w:t xml:space="preserve"> </w:t>
      </w:r>
      <w:r>
        <w:rPr>
          <w:sz w:val="16"/>
          <w:szCs w:val="16"/>
        </w:rPr>
        <w:t xml:space="preserve">was developed by the ISFR implementation WG and released alongside the P1053 call for submission report, to help stakeholders understand how the proposed requirements may be applied: </w:t>
      </w:r>
      <w:hyperlink r:id="rId11" w:history="1">
        <w:r w:rsidRPr="008D4EFA">
          <w:rPr>
            <w:rStyle w:val="Hyperlink"/>
            <w:rFonts w:cs="Arial"/>
            <w:sz w:val="16"/>
            <w:szCs w:val="16"/>
          </w:rPr>
          <w:t>https://www.foodstandards.gov.au/code/proposals/Documents/CFS%20SD3_draft%20implementation%20information%20for%20businesses.pdf</w:t>
        </w:r>
      </w:hyperlink>
    </w:p>
  </w:footnote>
  <w:footnote w:id="28">
    <w:p w14:paraId="0B3D2C66" w14:textId="77777777" w:rsidR="003E12CF" w:rsidRPr="003B55BB" w:rsidRDefault="003E12CF" w:rsidP="00CB7716">
      <w:pPr>
        <w:pStyle w:val="FootnoteText"/>
        <w:rPr>
          <w:lang w:val="en-AU"/>
        </w:rPr>
      </w:pPr>
      <w:r w:rsidRPr="68C0CA2D">
        <w:rPr>
          <w:rStyle w:val="FootnoteReference"/>
          <w:sz w:val="16"/>
          <w:szCs w:val="16"/>
        </w:rPr>
        <w:footnoteRef/>
      </w:r>
      <w:r w:rsidRPr="68C0CA2D">
        <w:rPr>
          <w:sz w:val="16"/>
          <w:szCs w:val="16"/>
        </w:rPr>
        <w:t xml:space="preserve"> </w:t>
      </w:r>
      <w:r w:rsidRPr="68C0CA2D">
        <w:rPr>
          <w:sz w:val="16"/>
          <w:szCs w:val="16"/>
          <w:lang w:val="en-AU"/>
        </w:rPr>
        <w:t>These criteria were developed following feedback received to data requests as part of earlier consultations.</w:t>
      </w:r>
    </w:p>
  </w:footnote>
  <w:footnote w:id="29">
    <w:p w14:paraId="44DD0186" w14:textId="77777777" w:rsidR="003E12CF" w:rsidRPr="00734341" w:rsidRDefault="003E12CF" w:rsidP="00CB7716">
      <w:pPr>
        <w:pStyle w:val="FootnoteText"/>
        <w:rPr>
          <w:b/>
          <w:lang w:val="en-AU"/>
        </w:rPr>
      </w:pPr>
      <w:r>
        <w:rPr>
          <w:rStyle w:val="FootnoteReference"/>
        </w:rPr>
        <w:footnoteRef/>
      </w:r>
      <w:hyperlink r:id="rId12" w:history="1">
        <w:r w:rsidRPr="00746448">
          <w:rPr>
            <w:rStyle w:val="Hyperlink"/>
            <w:rFonts w:cs="Arial"/>
            <w:sz w:val="16"/>
            <w:szCs w:val="16"/>
          </w:rPr>
          <w:t>https://webarchive.nla.gov.au/awa/20151020103533/http://www.health.gov.au/internet/main/publishing.nsf/Content/foodsecretariat-isc-model.htm</w:t>
        </w:r>
      </w:hyperlink>
      <w:r>
        <w:rPr>
          <w:sz w:val="16"/>
          <w:szCs w:val="16"/>
        </w:rPr>
        <w:t xml:space="preserve"> </w:t>
      </w:r>
    </w:p>
  </w:footnote>
  <w:footnote w:id="30">
    <w:p w14:paraId="6D903B8E" w14:textId="77777777" w:rsidR="003E12CF" w:rsidRDefault="003E12CF" w:rsidP="00CB7716">
      <w:pPr>
        <w:pStyle w:val="FootnoteText"/>
        <w:rPr>
          <w:lang w:val="en-AU"/>
        </w:rPr>
      </w:pPr>
      <w:r w:rsidRPr="008E32F3">
        <w:rPr>
          <w:rStyle w:val="FootnoteReference"/>
          <w:rFonts w:eastAsia="Arial" w:cs="Arial"/>
          <w:sz w:val="16"/>
          <w:szCs w:val="16"/>
        </w:rPr>
        <w:footnoteRef/>
      </w:r>
      <w:r w:rsidRPr="008E32F3">
        <w:rPr>
          <w:rFonts w:eastAsia="Arial" w:cs="Arial"/>
          <w:sz w:val="16"/>
          <w:szCs w:val="16"/>
        </w:rPr>
        <w:t xml:space="preserve"> N</w:t>
      </w:r>
      <w:r w:rsidRPr="68C0CA2D">
        <w:rPr>
          <w:rFonts w:eastAsia="Arial" w:cs="Arial"/>
          <w:sz w:val="16"/>
          <w:szCs w:val="16"/>
        </w:rPr>
        <w:t>oted in the Allen report (2002).</w:t>
      </w:r>
    </w:p>
  </w:footnote>
  <w:footnote w:id="31">
    <w:p w14:paraId="5149BA89" w14:textId="77777777" w:rsidR="003E12CF" w:rsidRPr="00EA2308" w:rsidRDefault="003E12CF" w:rsidP="00CB7716">
      <w:pPr>
        <w:pStyle w:val="FootnoteText"/>
        <w:rPr>
          <w:lang w:val="en-AU"/>
        </w:rPr>
      </w:pPr>
      <w:r>
        <w:rPr>
          <w:rStyle w:val="FootnoteReference"/>
        </w:rPr>
        <w:footnoteRef/>
      </w:r>
      <w:r w:rsidRPr="68C0CA2D">
        <w:rPr>
          <w:sz w:val="16"/>
          <w:szCs w:val="16"/>
        </w:rPr>
        <w:t xml:space="preserve"> </w:t>
      </w:r>
      <w:r w:rsidRPr="68C0CA2D">
        <w:rPr>
          <w:sz w:val="16"/>
          <w:szCs w:val="16"/>
          <w:lang w:val="en-AU"/>
        </w:rPr>
        <w:t>This refers to longer term illness or conditions which occur as a consequence of an initial illness. For example, Immunologic conditions, such as reactive arthritis, can occur after salmonellosis, due to localized infiltration of Salmonella in joints, bones, organs, and tissues.</w:t>
      </w:r>
    </w:p>
  </w:footnote>
  <w:footnote w:id="32">
    <w:p w14:paraId="1485EEAB" w14:textId="77777777" w:rsidR="003E12CF" w:rsidRPr="00A22EE0" w:rsidRDefault="003E12CF" w:rsidP="00CB7716">
      <w:pPr>
        <w:pStyle w:val="FootnoteText"/>
        <w:rPr>
          <w:rFonts w:cs="Arial"/>
          <w:lang w:val="en-AU"/>
        </w:rPr>
      </w:pPr>
      <w:r w:rsidRPr="00A22EE0">
        <w:rPr>
          <w:rStyle w:val="FootnoteReference"/>
          <w:rFonts w:cs="Arial"/>
          <w:sz w:val="16"/>
          <w:szCs w:val="18"/>
        </w:rPr>
        <w:footnoteRef/>
      </w:r>
      <w:r w:rsidRPr="00A22EE0">
        <w:rPr>
          <w:rFonts w:cs="Arial"/>
          <w:sz w:val="16"/>
          <w:szCs w:val="18"/>
        </w:rPr>
        <w:t xml:space="preserve"> </w:t>
      </w:r>
      <w:r w:rsidRPr="00A22EE0">
        <w:rPr>
          <w:rFonts w:cs="Arial"/>
          <w:sz w:val="16"/>
          <w:szCs w:val="18"/>
          <w:lang w:val="en-AU"/>
        </w:rPr>
        <w:t xml:space="preserve">Available at </w:t>
      </w:r>
      <w:hyperlink r:id="rId13" w:history="1">
        <w:r w:rsidRPr="00A22EE0">
          <w:rPr>
            <w:rStyle w:val="Hyperlink"/>
            <w:rFonts w:cs="Arial"/>
            <w:sz w:val="16"/>
            <w:szCs w:val="18"/>
          </w:rPr>
          <w:t>https://www.dairysafe.vic.gov.au/licensees/dairy-regtech/foodsafetyculture</w:t>
        </w:r>
      </w:hyperlink>
      <w:r w:rsidRPr="00A22EE0">
        <w:rPr>
          <w:rStyle w:val="Hyperlink"/>
          <w:rFonts w:cs="Arial"/>
          <w:sz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2AEE1C" w14:textId="77777777" w:rsidR="003E12CF" w:rsidRPr="0080443F" w:rsidRDefault="003E12CF" w:rsidP="0080443F">
    <w:pPr>
      <w:pStyle w:val="Header"/>
      <w:jc w:val="center"/>
      <w:rPr>
        <w:rFonts w:ascii="Calibri" w:hAnsi="Calibri" w:cs="Calibri"/>
        <w:b/>
        <w:color w:val="F00000"/>
        <w:sz w:val="24"/>
      </w:rPr>
    </w:pPr>
    <w:r>
      <w:fldChar w:fldCharType="begin" w:fldLock="1"/>
    </w:r>
    <w:r>
      <w:instrText xml:space="preserve"> DOCPROPERTY bjHeaderEvenPageDocProperty \* MERGEFORMAT </w:instrText>
    </w:r>
    <w:r>
      <w:fldChar w:fldCharType="separate"/>
    </w:r>
    <w:r w:rsidRPr="0080443F">
      <w:rPr>
        <w:rFonts w:ascii="Calibri" w:hAnsi="Calibri" w:cs="Calibri"/>
        <w:b/>
        <w:color w:val="F00000"/>
        <w:sz w:val="24"/>
      </w:rPr>
      <w:t>OFFICIAL</w:t>
    </w:r>
  </w:p>
  <w:p w14:paraId="3717B193" w14:textId="39FD8FA6" w:rsidR="003E12CF" w:rsidRPr="0080443F" w:rsidRDefault="003E12CF" w:rsidP="0080443F">
    <w:pPr>
      <w:pStyle w:val="Header"/>
      <w:jc w:val="center"/>
    </w:pPr>
    <w:r w:rsidRPr="0080443F">
      <w:rPr>
        <w:rFonts w:ascii="Calibri" w:hAnsi="Calibri" w:cs="Calibri"/>
        <w:b/>
        <w:color w:val="F00000"/>
        <w:sz w:val="24"/>
      </w:rPr>
      <w:t xml:space="preserve"> </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6933B6" w14:textId="6F95C55F" w:rsidR="003E12CF" w:rsidRPr="0080443F" w:rsidRDefault="003E12CF" w:rsidP="0080443F">
    <w:pPr>
      <w:pStyle w:val="Header"/>
      <w:jc w:val="center"/>
      <w:rPr>
        <w:rFonts w:ascii="Calibri" w:hAnsi="Calibri" w:cs="Calibri"/>
        <w:b/>
        <w:color w:val="F00000"/>
        <w:sz w:val="24"/>
      </w:rPr>
    </w:pPr>
    <w:r>
      <w:fldChar w:fldCharType="begin" w:fldLock="1"/>
    </w:r>
    <w:r>
      <w:instrText xml:space="preserve"> DOCPROPERTY bjHeaderBothDocProperty \* MERGEFORMAT </w:instrText>
    </w:r>
    <w:r>
      <w:fldChar w:fldCharType="separate"/>
    </w:r>
  </w:p>
  <w:p w14:paraId="3036367E" w14:textId="1AF1BE56" w:rsidR="003E12CF" w:rsidRPr="0080443F" w:rsidRDefault="003E12CF" w:rsidP="0080443F">
    <w:pPr>
      <w:pStyle w:val="Header"/>
      <w:jc w:val="center"/>
    </w:pPr>
    <w:r w:rsidRPr="0080443F">
      <w:rPr>
        <w:rFonts w:ascii="Calibri" w:hAnsi="Calibri" w:cs="Calibri"/>
        <w:b/>
        <w:color w:val="F00000"/>
        <w:sz w:val="24"/>
      </w:rPr>
      <w:t xml:space="preserve"> </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CC6A78" w14:textId="77777777" w:rsidR="003E12CF" w:rsidRPr="0080443F" w:rsidRDefault="003E12CF" w:rsidP="0080443F">
    <w:pPr>
      <w:pStyle w:val="Header"/>
      <w:jc w:val="center"/>
      <w:rPr>
        <w:rFonts w:ascii="Calibri" w:hAnsi="Calibri" w:cs="Calibri"/>
        <w:b/>
        <w:color w:val="F00000"/>
        <w:sz w:val="24"/>
      </w:rPr>
    </w:pPr>
    <w:r>
      <w:fldChar w:fldCharType="begin" w:fldLock="1"/>
    </w:r>
    <w:r>
      <w:instrText xml:space="preserve"> DOCPROPERTY bjHeaderFirstPageDocProperty \* MERGEFORMAT </w:instrText>
    </w:r>
    <w:r>
      <w:fldChar w:fldCharType="separate"/>
    </w:r>
    <w:r w:rsidRPr="0080443F">
      <w:rPr>
        <w:rFonts w:ascii="Calibri" w:hAnsi="Calibri" w:cs="Calibri"/>
        <w:b/>
        <w:color w:val="F00000"/>
        <w:sz w:val="24"/>
      </w:rPr>
      <w:t>OFFICIAL</w:t>
    </w:r>
  </w:p>
  <w:p w14:paraId="576C97FA" w14:textId="5B1D5AF4" w:rsidR="003E12CF" w:rsidRPr="0080443F" w:rsidRDefault="003E12CF" w:rsidP="0080443F">
    <w:pPr>
      <w:pStyle w:val="Header"/>
      <w:jc w:val="center"/>
    </w:pPr>
    <w:r w:rsidRPr="0080443F">
      <w:rPr>
        <w:rFonts w:ascii="Calibri" w:hAnsi="Calibri" w:cs="Calibri"/>
        <w:b/>
        <w:color w:val="F00000"/>
        <w:sz w:val="24"/>
      </w:rPr>
      <w:t xml:space="preserve"> </w:t>
    </w:r>
    <w:r>
      <w:fldChar w:fldCharType="end"/>
    </w:r>
  </w:p>
</w:hdr>
</file>

<file path=word/intelligence2.xml><?xml version="1.0" encoding="utf-8"?>
<int2:intelligence xmlns:int2="http://schemas.microsoft.com/office/intelligence/2020/intelligence" xmlns:oel="http://schemas.microsoft.com/office/2019/extlst">
  <int2:observations>
    <int2:textHash int2:hashCode="qhPbnXQ/p6voXQ" int2:id="0qpT66Aw">
      <int2:state int2:value="Rejected" int2:type="LegacyProofing"/>
    </int2:textHash>
    <int2:textHash int2:hashCode="SOVj8UjcBNizHJ" int2:id="5l5QEFff">
      <int2:state int2:value="Rejected" int2:type="LegacyProofing"/>
    </int2:textHash>
    <int2:textHash int2:hashCode="yc0Zi8GptjU2XO" int2:id="6aRrniBF">
      <int2:state int2:value="Rejected" int2:type="LegacyProofing"/>
    </int2:textHash>
    <int2:textHash int2:hashCode="K5k3SIcfUZsfuT" int2:id="EOP3KY0P">
      <int2:state int2:value="Rejected" int2:type="LegacyProofing"/>
    </int2:textHash>
    <int2:textHash int2:hashCode="BC3EUS+j05HFFw" int2:id="KOyJ1woo">
      <int2:state int2:value="Rejected" int2:type="LegacyProofing"/>
    </int2:textHash>
    <int2:textHash int2:hashCode="7TxRGGjZA9DbHN" int2:id="Pe3aeBdw">
      <int2:state int2:value="Rejected" int2:type="LegacyProofing"/>
    </int2:textHash>
    <int2:textHash int2:hashCode="wja/eKPeLUZ+CE" int2:id="SUG9r3tI">
      <int2:state int2:value="Rejected" int2:type="LegacyProofing"/>
    </int2:textHash>
    <int2:textHash int2:hashCode="lV8o4Y7xbneoSd" int2:id="Tr2cHqlS">
      <int2:state int2:value="Rejected" int2:type="LegacyProofing"/>
    </int2:textHash>
    <int2:textHash int2:hashCode="R2LPjaxTt1ZFPq" int2:id="Vc0vXLWn">
      <int2:state int2:value="Rejected" int2:type="LegacyProofing"/>
    </int2:textHash>
    <int2:textHash int2:hashCode="WzHdTi3Sf0E/ep" int2:id="WWpCgM2U">
      <int2:state int2:value="Rejected" int2:type="LegacyProofing"/>
    </int2:textHash>
    <int2:textHash int2:hashCode="PRNy64E4FMcS6f" int2:id="cWE4cCkk">
      <int2:state int2:value="Rejected" int2:type="LegacyProofing"/>
    </int2:textHash>
    <int2:textHash int2:hashCode="0lxNvDq2Y8KNjP" int2:id="gF5DPB7G">
      <int2:state int2:value="Rejected" int2:type="LegacyProofing"/>
    </int2:textHash>
    <int2:textHash int2:hashCode="bdR/fSevDSJH4P" int2:id="iytSuUNw">
      <int2:state int2:value="Rejected" int2:type="LegacyProofing"/>
    </int2:textHash>
    <int2:textHash int2:hashCode="XKotXVUowDNcgE" int2:id="m9g0k9xE">
      <int2:state int2:value="Rejected" int2:type="LegacyProofing"/>
    </int2:textHash>
    <int2:textHash int2:hashCode="CWIpVNUyGW1mml" int2:id="mpZTRH4K">
      <int2:state int2:value="Rejected" int2:type="LegacyProofing"/>
    </int2:textHash>
    <int2:textHash int2:hashCode="C0J74MU85jmt2D" int2:id="tWCAxUIB">
      <int2:state int2:value="Rejected" int2:type="LegacyProofing"/>
    </int2:textHash>
    <int2:textHash int2:hashCode="U3jwNOv9rnDoyV" int2:id="vc0r7biT">
      <int2:state int2:value="Rejected" int2:type="LegacyProofing"/>
    </int2:textHash>
    <int2:textHash int2:hashCode="3TURMmwU7XD4IY" int2:id="vzrlzhe4">
      <int2:state int2:value="Rejected" int2:type="LegacyProofing"/>
    </int2:textHash>
    <int2:bookmark int2:bookmarkName="_Int_jxLgtMkN" int2:invalidationBookmarkName="" int2:hashCode="3aKsP3YcWmO9eC" int2:id="8GDJ22UK">
      <int2:state int2:value="Rejected" int2:type="AugLoop_Text_Critique"/>
    </int2:bookmark>
    <int2:bookmark int2:bookmarkName="_Int_dKPO1Fj0" int2:invalidationBookmarkName="" int2:hashCode="f1OmjTJDRvyEV6" int2:id="B4RQ7f4e">
      <int2:state int2:value="Rejected" int2:type="LegacyProofing"/>
    </int2:bookmark>
    <int2:bookmark int2:bookmarkName="_Int_ZMLS8siU" int2:invalidationBookmarkName="" int2:hashCode="W5Z4vmu9anL2GF" int2:id="Lb8Sfie1"/>
    <int2:bookmark int2:bookmarkName="_Int_HdJSmr4K" int2:invalidationBookmarkName="" int2:hashCode="LDoO9u9DFubl0c" int2:id="QoCts3LF">
      <int2:state int2:value="Rejected" int2:type="LegacyProofing"/>
    </int2:bookmark>
    <int2:bookmark int2:bookmarkName="_Int_E8w7O3nx" int2:invalidationBookmarkName="" int2:hashCode="3aKsP3YcWmO9eC" int2:id="Rc31CEWZ">
      <int2:state int2:value="Rejected" int2:type="AugLoop_Text_Critique"/>
    </int2:bookmark>
    <int2:bookmark int2:bookmarkName="_Int_Wqrhvvgv" int2:invalidationBookmarkName="" int2:hashCode="E1+Tt6RJBbZOzq" int2:id="UJcGR4hn">
      <int2:state int2:value="Rejected" int2:type="AugLoop_Text_Critique"/>
    </int2:bookmark>
    <int2:bookmark int2:bookmarkName="_Int_jh79IaSv" int2:invalidationBookmarkName="" int2:hashCode="wYBAQbIVzVCihN" int2:id="UObxF80M"/>
    <int2:bookmark int2:bookmarkName="_Int_3hqTkSCy" int2:invalidationBookmarkName="" int2:hashCode="f1OmjTJDRvyEV6" int2:id="a6PToq5M">
      <int2:state int2:value="Rejected" int2:type="LegacyProofing"/>
    </int2:bookmark>
    <int2:bookmark int2:bookmarkName="_Int_HHwebQ2h" int2:invalidationBookmarkName="" int2:hashCode="PYDTeeVw+1a//i" int2:id="akMxa4yF">
      <int2:state int2:value="Rejected" int2:type="AugLoop_Text_Critique"/>
    </int2:bookmark>
    <int2:bookmark int2:bookmarkName="_Int_QQBJb9Zj" int2:invalidationBookmarkName="" int2:hashCode="pZGmU5Q5PUeaBE" int2:id="mUK2qfQk"/>
    <int2:bookmark int2:bookmarkName="_Int_60xCYplT" int2:invalidationBookmarkName="" int2:hashCode="c+qYAB7ENg4zpT" int2:id="muNfrwdG"/>
    <int2:bookmark int2:bookmarkName="_Int_lCD4lJf4" int2:invalidationBookmarkName="" int2:hashCode="f1OmjTJDRvyEV6" int2:id="nAbg5FlM">
      <int2:state int2:value="Rejected" int2:type="LegacyProofing"/>
    </int2:bookmark>
    <int2:bookmark int2:bookmarkName="_Int_zcSEk6qB" int2:invalidationBookmarkName="" int2:hashCode="f1OmjTJDRvyEV6" int2:id="oqwPqHcJ">
      <int2:state int2:value="Rejected" int2:type="LegacyProofing"/>
    </int2:bookmark>
    <int2:bookmark int2:bookmarkName="_Int_CLaJJLrg" int2:invalidationBookmarkName="" int2:hashCode="oDKeFME1Nby2NZ" int2:id="pDb3Fvid"/>
    <int2:bookmark int2:bookmarkName="_Int_oCjmi30c" int2:invalidationBookmarkName="" int2:hashCode="PUgpLk0nFPEcKt" int2:id="rBVVobiR"/>
    <int2:bookmark int2:bookmarkName="_Int_BTiX8Uca" int2:invalidationBookmarkName="" int2:hashCode="hR6OT9eGvYj4O2" int2:id="tf6hBy4m">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320ED"/>
    <w:multiLevelType w:val="hybridMultilevel"/>
    <w:tmpl w:val="BA3AE302"/>
    <w:lvl w:ilvl="0" w:tplc="B234E9C4">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1082CA2"/>
    <w:multiLevelType w:val="hybridMultilevel"/>
    <w:tmpl w:val="EF1CAE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132024B"/>
    <w:multiLevelType w:val="hybridMultilevel"/>
    <w:tmpl w:val="536CAB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663BF2"/>
    <w:multiLevelType w:val="hybridMultilevel"/>
    <w:tmpl w:val="D2B4D2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5EB47CC"/>
    <w:multiLevelType w:val="hybridMultilevel"/>
    <w:tmpl w:val="4BE050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6AA643B"/>
    <w:multiLevelType w:val="hybridMultilevel"/>
    <w:tmpl w:val="CD2A67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7020CC1"/>
    <w:multiLevelType w:val="hybridMultilevel"/>
    <w:tmpl w:val="F28681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EFF03CA"/>
    <w:multiLevelType w:val="hybridMultilevel"/>
    <w:tmpl w:val="00A032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FA30746"/>
    <w:multiLevelType w:val="hybridMultilevel"/>
    <w:tmpl w:val="8BEC675E"/>
    <w:lvl w:ilvl="0" w:tplc="1892DE34">
      <w:start w:val="1"/>
      <w:numFmt w:val="bullet"/>
      <w:pStyle w:val="FSBullet2"/>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9" w15:restartNumberingAfterBreak="0">
    <w:nsid w:val="0FF7397E"/>
    <w:multiLevelType w:val="hybridMultilevel"/>
    <w:tmpl w:val="880250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5440CB2"/>
    <w:multiLevelType w:val="hybridMultilevel"/>
    <w:tmpl w:val="9B00C0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5547DD6"/>
    <w:multiLevelType w:val="hybridMultilevel"/>
    <w:tmpl w:val="96E433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5D36763"/>
    <w:multiLevelType w:val="hybridMultilevel"/>
    <w:tmpl w:val="AF18CC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6417BF9"/>
    <w:multiLevelType w:val="multilevel"/>
    <w:tmpl w:val="08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4" w15:restartNumberingAfterBreak="0">
    <w:nsid w:val="187D2221"/>
    <w:multiLevelType w:val="hybridMultilevel"/>
    <w:tmpl w:val="E2F42D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2F1219C"/>
    <w:multiLevelType w:val="hybridMultilevel"/>
    <w:tmpl w:val="28C2E1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6FA0076"/>
    <w:multiLevelType w:val="hybridMultilevel"/>
    <w:tmpl w:val="E2F449E6"/>
    <w:lvl w:ilvl="0" w:tplc="7C8ED0EA">
      <w:start w:val="1"/>
      <w:numFmt w:val="decimal"/>
      <w:pStyle w:val="AARBullet"/>
      <w:lvlText w:val="%1."/>
      <w:lvlJc w:val="left"/>
      <w:pPr>
        <w:ind w:left="927" w:hanging="360"/>
      </w:pPr>
      <w:rPr>
        <w:rFonts w:ascii="Arial" w:eastAsia="Times New Roman" w:hAnsi="Arial" w:cs="Arial"/>
        <w:color w:val="auto"/>
        <w:sz w:val="24"/>
      </w:rPr>
    </w:lvl>
    <w:lvl w:ilvl="1" w:tplc="42E4712C">
      <w:start w:val="1"/>
      <w:numFmt w:val="bullet"/>
      <w:lvlText w:val=""/>
      <w:lvlJc w:val="left"/>
      <w:pPr>
        <w:tabs>
          <w:tab w:val="num" w:pos="2214"/>
        </w:tabs>
        <w:ind w:left="2214" w:hanging="567"/>
      </w:pPr>
      <w:rPr>
        <w:rFonts w:ascii="Symbol" w:hAnsi="Symbol" w:hint="default"/>
        <w:sz w:val="18"/>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7" w15:restartNumberingAfterBreak="0">
    <w:nsid w:val="28730D99"/>
    <w:multiLevelType w:val="hybridMultilevel"/>
    <w:tmpl w:val="ACD847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89D4965"/>
    <w:multiLevelType w:val="hybridMultilevel"/>
    <w:tmpl w:val="F3940D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A9A2399"/>
    <w:multiLevelType w:val="hybridMultilevel"/>
    <w:tmpl w:val="9D647F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BFD33E8"/>
    <w:multiLevelType w:val="hybridMultilevel"/>
    <w:tmpl w:val="03A2BFAE"/>
    <w:lvl w:ilvl="0" w:tplc="F31AED10">
      <w:start w:val="1"/>
      <w:numFmt w:val="bullet"/>
      <w:pStyle w:val="FSBullet1"/>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2D9A2812"/>
    <w:multiLevelType w:val="hybridMultilevel"/>
    <w:tmpl w:val="F2123BC8"/>
    <w:lvl w:ilvl="0" w:tplc="B234E9C4">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2F05014A"/>
    <w:multiLevelType w:val="hybridMultilevel"/>
    <w:tmpl w:val="4FF0FA32"/>
    <w:lvl w:ilvl="0" w:tplc="2C6C7F68">
      <w:start w:val="1"/>
      <w:numFmt w:val="bullet"/>
      <w:pStyle w:val="FSBullet3"/>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3" w15:restartNumberingAfterBreak="0">
    <w:nsid w:val="38E32227"/>
    <w:multiLevelType w:val="hybridMultilevel"/>
    <w:tmpl w:val="B3C2A0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C9D097F"/>
    <w:multiLevelType w:val="hybridMultilevel"/>
    <w:tmpl w:val="0F3A94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24358C2"/>
    <w:multiLevelType w:val="hybridMultilevel"/>
    <w:tmpl w:val="9A682642"/>
    <w:lvl w:ilvl="0" w:tplc="B234E9C4">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430264E8"/>
    <w:multiLevelType w:val="hybridMultilevel"/>
    <w:tmpl w:val="DAE890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591087A"/>
    <w:multiLevelType w:val="hybridMultilevel"/>
    <w:tmpl w:val="CE8EA0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6562391"/>
    <w:multiLevelType w:val="hybridMultilevel"/>
    <w:tmpl w:val="78D05A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7734637"/>
    <w:multiLevelType w:val="hybridMultilevel"/>
    <w:tmpl w:val="EF74FD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B99679E"/>
    <w:multiLevelType w:val="singleLevel"/>
    <w:tmpl w:val="7832B752"/>
    <w:lvl w:ilvl="0">
      <w:start w:val="1"/>
      <w:numFmt w:val="bullet"/>
      <w:pStyle w:val="ISCbulleted"/>
      <w:lvlText w:val=""/>
      <w:lvlJc w:val="left"/>
      <w:pPr>
        <w:tabs>
          <w:tab w:val="num" w:pos="360"/>
        </w:tabs>
        <w:ind w:left="360" w:hanging="360"/>
      </w:pPr>
      <w:rPr>
        <w:rFonts w:ascii="Symbol" w:hAnsi="Symbol" w:hint="default"/>
        <w:sz w:val="16"/>
      </w:rPr>
    </w:lvl>
  </w:abstractNum>
  <w:abstractNum w:abstractNumId="31" w15:restartNumberingAfterBreak="0">
    <w:nsid w:val="4E4F7877"/>
    <w:multiLevelType w:val="multilevel"/>
    <w:tmpl w:val="B35C601C"/>
    <w:lvl w:ilvl="0">
      <w:start w:val="1"/>
      <w:numFmt w:val="decimal"/>
      <w:pStyle w:val="TOCHeading"/>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2" w15:restartNumberingAfterBreak="0">
    <w:nsid w:val="57BE4FD7"/>
    <w:multiLevelType w:val="hybridMultilevel"/>
    <w:tmpl w:val="665C38C0"/>
    <w:lvl w:ilvl="0" w:tplc="B234E9C4">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5AB47BBC"/>
    <w:multiLevelType w:val="hybridMultilevel"/>
    <w:tmpl w:val="3EE8C438"/>
    <w:lvl w:ilvl="0" w:tplc="B234E9C4">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6411273C"/>
    <w:multiLevelType w:val="hybridMultilevel"/>
    <w:tmpl w:val="A0DED3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5B76E57"/>
    <w:multiLevelType w:val="hybridMultilevel"/>
    <w:tmpl w:val="8FDA03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6B45402"/>
    <w:multiLevelType w:val="hybridMultilevel"/>
    <w:tmpl w:val="3B56B1B0"/>
    <w:lvl w:ilvl="0" w:tplc="27B21D44">
      <w:start w:val="1"/>
      <w:numFmt w:val="bullet"/>
      <w:pStyle w:val="ListBullet"/>
      <w:lvlText w:val=""/>
      <w:lvlJc w:val="left"/>
      <w:pPr>
        <w:tabs>
          <w:tab w:val="num" w:pos="360"/>
        </w:tabs>
        <w:ind w:left="360" w:hanging="360"/>
      </w:pPr>
      <w:rPr>
        <w:rFonts w:ascii="Symbol" w:hAnsi="Symbol" w:hint="default"/>
        <w:color w:val="354677"/>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8AE283D"/>
    <w:multiLevelType w:val="hybridMultilevel"/>
    <w:tmpl w:val="E61A13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A237E75"/>
    <w:multiLevelType w:val="hybridMultilevel"/>
    <w:tmpl w:val="30988F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BD22059"/>
    <w:multiLevelType w:val="hybridMultilevel"/>
    <w:tmpl w:val="7F1852BC"/>
    <w:lvl w:ilvl="0" w:tplc="B234E9C4">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6C170EA1"/>
    <w:multiLevelType w:val="hybridMultilevel"/>
    <w:tmpl w:val="C3064C06"/>
    <w:lvl w:ilvl="0" w:tplc="08090001">
      <w:start w:val="1"/>
      <w:numFmt w:val="bullet"/>
      <w:lvlText w:val=""/>
      <w:lvlJc w:val="left"/>
      <w:pPr>
        <w:ind w:left="720" w:hanging="360"/>
      </w:pPr>
      <w:rPr>
        <w:rFonts w:ascii="Symbol" w:hAnsi="Symbol" w:hint="default"/>
      </w:rPr>
    </w:lvl>
    <w:lvl w:ilvl="1" w:tplc="B234E9C4">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9AF703E"/>
    <w:multiLevelType w:val="hybridMultilevel"/>
    <w:tmpl w:val="B224AF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EF00445"/>
    <w:multiLevelType w:val="hybridMultilevel"/>
    <w:tmpl w:val="171261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0"/>
  </w:num>
  <w:num w:numId="2">
    <w:abstractNumId w:val="8"/>
  </w:num>
  <w:num w:numId="3">
    <w:abstractNumId w:val="22"/>
  </w:num>
  <w:num w:numId="4">
    <w:abstractNumId w:val="0"/>
  </w:num>
  <w:num w:numId="5">
    <w:abstractNumId w:val="36"/>
  </w:num>
  <w:num w:numId="6">
    <w:abstractNumId w:val="16"/>
  </w:num>
  <w:num w:numId="7">
    <w:abstractNumId w:val="30"/>
  </w:num>
  <w:num w:numId="8">
    <w:abstractNumId w:val="33"/>
  </w:num>
  <w:num w:numId="9">
    <w:abstractNumId w:val="39"/>
  </w:num>
  <w:num w:numId="10">
    <w:abstractNumId w:val="25"/>
  </w:num>
  <w:num w:numId="11">
    <w:abstractNumId w:val="21"/>
  </w:num>
  <w:num w:numId="12">
    <w:abstractNumId w:val="32"/>
  </w:num>
  <w:num w:numId="13">
    <w:abstractNumId w:val="11"/>
  </w:num>
  <w:num w:numId="14">
    <w:abstractNumId w:val="14"/>
  </w:num>
  <w:num w:numId="15">
    <w:abstractNumId w:val="24"/>
  </w:num>
  <w:num w:numId="16">
    <w:abstractNumId w:val="23"/>
  </w:num>
  <w:num w:numId="17">
    <w:abstractNumId w:val="10"/>
  </w:num>
  <w:num w:numId="18">
    <w:abstractNumId w:val="12"/>
  </w:num>
  <w:num w:numId="19">
    <w:abstractNumId w:val="40"/>
  </w:num>
  <w:num w:numId="20">
    <w:abstractNumId w:val="17"/>
  </w:num>
  <w:num w:numId="21">
    <w:abstractNumId w:val="2"/>
  </w:num>
  <w:num w:numId="22">
    <w:abstractNumId w:val="15"/>
  </w:num>
  <w:num w:numId="23">
    <w:abstractNumId w:val="5"/>
  </w:num>
  <w:num w:numId="24">
    <w:abstractNumId w:val="42"/>
  </w:num>
  <w:num w:numId="25">
    <w:abstractNumId w:val="19"/>
  </w:num>
  <w:num w:numId="26">
    <w:abstractNumId w:val="35"/>
  </w:num>
  <w:num w:numId="27">
    <w:abstractNumId w:val="3"/>
  </w:num>
  <w:num w:numId="28">
    <w:abstractNumId w:val="9"/>
  </w:num>
  <w:num w:numId="29">
    <w:abstractNumId w:val="28"/>
  </w:num>
  <w:num w:numId="30">
    <w:abstractNumId w:val="37"/>
  </w:num>
  <w:num w:numId="31">
    <w:abstractNumId w:val="34"/>
  </w:num>
  <w:num w:numId="32">
    <w:abstractNumId w:val="38"/>
  </w:num>
  <w:num w:numId="33">
    <w:abstractNumId w:val="29"/>
  </w:num>
  <w:num w:numId="34">
    <w:abstractNumId w:val="7"/>
  </w:num>
  <w:num w:numId="35">
    <w:abstractNumId w:val="1"/>
  </w:num>
  <w:num w:numId="36">
    <w:abstractNumId w:val="6"/>
  </w:num>
  <w:num w:numId="37">
    <w:abstractNumId w:val="26"/>
  </w:num>
  <w:num w:numId="38">
    <w:abstractNumId w:val="18"/>
  </w:num>
  <w:num w:numId="39">
    <w:abstractNumId w:val="27"/>
  </w:num>
  <w:num w:numId="40">
    <w:abstractNumId w:val="4"/>
  </w:num>
  <w:num w:numId="41">
    <w:abstractNumId w:val="41"/>
  </w:num>
  <w:num w:numId="42">
    <w:abstractNumId w:val="31"/>
  </w:num>
  <w:num w:numId="43">
    <w:abstractNumId w:val="13"/>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activeWritingStyle w:appName="MSWord" w:lang="fr-FR" w:vendorID="64" w:dllVersion="131078" w:nlCheck="1" w:checkStyle="0"/>
  <w:activeWritingStyle w:appName="MSWord" w:lang="en-AU" w:vendorID="64" w:dllVersion="131078" w:nlCheck="1" w:checkStyle="1"/>
  <w:activeWritingStyle w:appName="MSWord" w:lang="en-GB" w:vendorID="64" w:dllVersion="131078" w:nlCheck="1" w:checkStyle="1"/>
  <w:activeWritingStyle w:appName="MSWord" w:lang="en-US" w:vendorID="64" w:dllVersion="131078" w:nlCheck="1" w:checkStyle="1"/>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567"/>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5550"/>
    <w:rsid w:val="0000247B"/>
    <w:rsid w:val="00003CCC"/>
    <w:rsid w:val="0000469B"/>
    <w:rsid w:val="000046CB"/>
    <w:rsid w:val="0000604C"/>
    <w:rsid w:val="00010A1A"/>
    <w:rsid w:val="00010E79"/>
    <w:rsid w:val="00011187"/>
    <w:rsid w:val="0001175D"/>
    <w:rsid w:val="00014424"/>
    <w:rsid w:val="00014E34"/>
    <w:rsid w:val="00025CDA"/>
    <w:rsid w:val="00025EB1"/>
    <w:rsid w:val="00032166"/>
    <w:rsid w:val="000332AE"/>
    <w:rsid w:val="00035FF3"/>
    <w:rsid w:val="000418F0"/>
    <w:rsid w:val="00051021"/>
    <w:rsid w:val="000524F0"/>
    <w:rsid w:val="00052D54"/>
    <w:rsid w:val="000576EB"/>
    <w:rsid w:val="00064B2D"/>
    <w:rsid w:val="00065F1F"/>
    <w:rsid w:val="0006673F"/>
    <w:rsid w:val="000677F6"/>
    <w:rsid w:val="00072792"/>
    <w:rsid w:val="00076D33"/>
    <w:rsid w:val="00076D3B"/>
    <w:rsid w:val="00077859"/>
    <w:rsid w:val="00077AEA"/>
    <w:rsid w:val="00081B0A"/>
    <w:rsid w:val="00081B97"/>
    <w:rsid w:val="00095A22"/>
    <w:rsid w:val="00097FB0"/>
    <w:rsid w:val="000A0E8D"/>
    <w:rsid w:val="000A30A6"/>
    <w:rsid w:val="000A382C"/>
    <w:rsid w:val="000A3D8B"/>
    <w:rsid w:val="000A7805"/>
    <w:rsid w:val="000B417B"/>
    <w:rsid w:val="000B427A"/>
    <w:rsid w:val="000B5454"/>
    <w:rsid w:val="000B6AF2"/>
    <w:rsid w:val="000B7791"/>
    <w:rsid w:val="000C4BD7"/>
    <w:rsid w:val="000C7717"/>
    <w:rsid w:val="000D02A2"/>
    <w:rsid w:val="000D049A"/>
    <w:rsid w:val="000D31D2"/>
    <w:rsid w:val="000D5652"/>
    <w:rsid w:val="000D6FD4"/>
    <w:rsid w:val="000D7B1C"/>
    <w:rsid w:val="000E0AE4"/>
    <w:rsid w:val="000E1EA4"/>
    <w:rsid w:val="000E3DBC"/>
    <w:rsid w:val="000E4263"/>
    <w:rsid w:val="000E662F"/>
    <w:rsid w:val="000E6C19"/>
    <w:rsid w:val="000F2049"/>
    <w:rsid w:val="000F3CFE"/>
    <w:rsid w:val="000F5576"/>
    <w:rsid w:val="000F6568"/>
    <w:rsid w:val="00101D97"/>
    <w:rsid w:val="001027B9"/>
    <w:rsid w:val="00102819"/>
    <w:rsid w:val="00104544"/>
    <w:rsid w:val="00104EB3"/>
    <w:rsid w:val="0010576D"/>
    <w:rsid w:val="0010778D"/>
    <w:rsid w:val="00111F83"/>
    <w:rsid w:val="001122EC"/>
    <w:rsid w:val="00117BBF"/>
    <w:rsid w:val="0012388D"/>
    <w:rsid w:val="0012399E"/>
    <w:rsid w:val="001309F9"/>
    <w:rsid w:val="00136B57"/>
    <w:rsid w:val="00143E62"/>
    <w:rsid w:val="001447F2"/>
    <w:rsid w:val="00146358"/>
    <w:rsid w:val="00150B54"/>
    <w:rsid w:val="0015187A"/>
    <w:rsid w:val="00152C07"/>
    <w:rsid w:val="00157093"/>
    <w:rsid w:val="001574A1"/>
    <w:rsid w:val="0016035F"/>
    <w:rsid w:val="0016056E"/>
    <w:rsid w:val="001664BD"/>
    <w:rsid w:val="0017240C"/>
    <w:rsid w:val="001763F4"/>
    <w:rsid w:val="00180DE0"/>
    <w:rsid w:val="00181688"/>
    <w:rsid w:val="001824E0"/>
    <w:rsid w:val="00182C4C"/>
    <w:rsid w:val="001864C6"/>
    <w:rsid w:val="0018652E"/>
    <w:rsid w:val="001878C5"/>
    <w:rsid w:val="001902FF"/>
    <w:rsid w:val="00191F1B"/>
    <w:rsid w:val="0019399D"/>
    <w:rsid w:val="00195180"/>
    <w:rsid w:val="00197D8D"/>
    <w:rsid w:val="001A1A75"/>
    <w:rsid w:val="001A3902"/>
    <w:rsid w:val="001A445B"/>
    <w:rsid w:val="001A4546"/>
    <w:rsid w:val="001A7E9A"/>
    <w:rsid w:val="001B20D8"/>
    <w:rsid w:val="001B4D0A"/>
    <w:rsid w:val="001C27A3"/>
    <w:rsid w:val="001C40FF"/>
    <w:rsid w:val="001C7BD2"/>
    <w:rsid w:val="001D43F6"/>
    <w:rsid w:val="001E09FA"/>
    <w:rsid w:val="001E7C04"/>
    <w:rsid w:val="001F28A0"/>
    <w:rsid w:val="001F7F63"/>
    <w:rsid w:val="00202A6F"/>
    <w:rsid w:val="00204A31"/>
    <w:rsid w:val="00204D97"/>
    <w:rsid w:val="00212A85"/>
    <w:rsid w:val="00215FB3"/>
    <w:rsid w:val="00217CAC"/>
    <w:rsid w:val="0022197C"/>
    <w:rsid w:val="00221D07"/>
    <w:rsid w:val="0022403F"/>
    <w:rsid w:val="00224E3B"/>
    <w:rsid w:val="00227DC2"/>
    <w:rsid w:val="00227E4A"/>
    <w:rsid w:val="00233422"/>
    <w:rsid w:val="0023744B"/>
    <w:rsid w:val="002421C1"/>
    <w:rsid w:val="00242E38"/>
    <w:rsid w:val="0024700D"/>
    <w:rsid w:val="00250197"/>
    <w:rsid w:val="0025246D"/>
    <w:rsid w:val="00253DA3"/>
    <w:rsid w:val="00260B5D"/>
    <w:rsid w:val="0026387E"/>
    <w:rsid w:val="002671C0"/>
    <w:rsid w:val="00271462"/>
    <w:rsid w:val="002739F9"/>
    <w:rsid w:val="002758A0"/>
    <w:rsid w:val="00280892"/>
    <w:rsid w:val="00281162"/>
    <w:rsid w:val="002869F3"/>
    <w:rsid w:val="00291967"/>
    <w:rsid w:val="0029204E"/>
    <w:rsid w:val="00292B9B"/>
    <w:rsid w:val="00293B14"/>
    <w:rsid w:val="00294947"/>
    <w:rsid w:val="002A0194"/>
    <w:rsid w:val="002A5F8B"/>
    <w:rsid w:val="002A7F6C"/>
    <w:rsid w:val="002B0071"/>
    <w:rsid w:val="002B1769"/>
    <w:rsid w:val="002B62CF"/>
    <w:rsid w:val="002C1A3B"/>
    <w:rsid w:val="002C37E8"/>
    <w:rsid w:val="002C4F27"/>
    <w:rsid w:val="002C51E0"/>
    <w:rsid w:val="002C7827"/>
    <w:rsid w:val="002D4AF2"/>
    <w:rsid w:val="002D5170"/>
    <w:rsid w:val="002E05F4"/>
    <w:rsid w:val="002E16D5"/>
    <w:rsid w:val="002E1820"/>
    <w:rsid w:val="002E3533"/>
    <w:rsid w:val="002E7A54"/>
    <w:rsid w:val="002F104E"/>
    <w:rsid w:val="002F35EA"/>
    <w:rsid w:val="002F6488"/>
    <w:rsid w:val="00301253"/>
    <w:rsid w:val="00305C54"/>
    <w:rsid w:val="0031016C"/>
    <w:rsid w:val="0031346D"/>
    <w:rsid w:val="0031426B"/>
    <w:rsid w:val="00317507"/>
    <w:rsid w:val="0032002D"/>
    <w:rsid w:val="003213F9"/>
    <w:rsid w:val="00323AB6"/>
    <w:rsid w:val="00323DBF"/>
    <w:rsid w:val="00327867"/>
    <w:rsid w:val="00332B12"/>
    <w:rsid w:val="00335215"/>
    <w:rsid w:val="003366BF"/>
    <w:rsid w:val="00336CDC"/>
    <w:rsid w:val="00337A02"/>
    <w:rsid w:val="00337CBC"/>
    <w:rsid w:val="00340148"/>
    <w:rsid w:val="003424CE"/>
    <w:rsid w:val="003428FC"/>
    <w:rsid w:val="0034464C"/>
    <w:rsid w:val="00344936"/>
    <w:rsid w:val="00346622"/>
    <w:rsid w:val="003475F7"/>
    <w:rsid w:val="003507DB"/>
    <w:rsid w:val="00351B07"/>
    <w:rsid w:val="003560D0"/>
    <w:rsid w:val="0036533D"/>
    <w:rsid w:val="00367FCD"/>
    <w:rsid w:val="0037014C"/>
    <w:rsid w:val="00370FB8"/>
    <w:rsid w:val="00370FF0"/>
    <w:rsid w:val="00371B29"/>
    <w:rsid w:val="00372D0A"/>
    <w:rsid w:val="00373285"/>
    <w:rsid w:val="003766F8"/>
    <w:rsid w:val="00380106"/>
    <w:rsid w:val="003814F0"/>
    <w:rsid w:val="00381B88"/>
    <w:rsid w:val="00381DDF"/>
    <w:rsid w:val="00381E07"/>
    <w:rsid w:val="003837BA"/>
    <w:rsid w:val="00384880"/>
    <w:rsid w:val="00385788"/>
    <w:rsid w:val="00391769"/>
    <w:rsid w:val="00391A37"/>
    <w:rsid w:val="003953E1"/>
    <w:rsid w:val="003956B3"/>
    <w:rsid w:val="00395D77"/>
    <w:rsid w:val="003A0A4D"/>
    <w:rsid w:val="003A3D30"/>
    <w:rsid w:val="003A458A"/>
    <w:rsid w:val="003A525B"/>
    <w:rsid w:val="003A68BE"/>
    <w:rsid w:val="003A743E"/>
    <w:rsid w:val="003A7B84"/>
    <w:rsid w:val="003B2774"/>
    <w:rsid w:val="003C41B8"/>
    <w:rsid w:val="003C429C"/>
    <w:rsid w:val="003C4969"/>
    <w:rsid w:val="003C69AA"/>
    <w:rsid w:val="003C75C6"/>
    <w:rsid w:val="003D2CDC"/>
    <w:rsid w:val="003E08B4"/>
    <w:rsid w:val="003E12CF"/>
    <w:rsid w:val="003E41D5"/>
    <w:rsid w:val="003E46BA"/>
    <w:rsid w:val="003E676F"/>
    <w:rsid w:val="003F49F8"/>
    <w:rsid w:val="003F74C1"/>
    <w:rsid w:val="00401ADE"/>
    <w:rsid w:val="00402F97"/>
    <w:rsid w:val="00405B1A"/>
    <w:rsid w:val="00410C76"/>
    <w:rsid w:val="00411907"/>
    <w:rsid w:val="00414BDE"/>
    <w:rsid w:val="00417EE3"/>
    <w:rsid w:val="004207EB"/>
    <w:rsid w:val="00421730"/>
    <w:rsid w:val="00422EC9"/>
    <w:rsid w:val="0042357F"/>
    <w:rsid w:val="00423AC7"/>
    <w:rsid w:val="00424454"/>
    <w:rsid w:val="00427C32"/>
    <w:rsid w:val="00427F04"/>
    <w:rsid w:val="00430CA7"/>
    <w:rsid w:val="00432A42"/>
    <w:rsid w:val="00437276"/>
    <w:rsid w:val="0044027B"/>
    <w:rsid w:val="00442F15"/>
    <w:rsid w:val="00453646"/>
    <w:rsid w:val="00456B54"/>
    <w:rsid w:val="00456BD5"/>
    <w:rsid w:val="00463D67"/>
    <w:rsid w:val="00464643"/>
    <w:rsid w:val="004671D4"/>
    <w:rsid w:val="0047679E"/>
    <w:rsid w:val="00486793"/>
    <w:rsid w:val="00486C66"/>
    <w:rsid w:val="004878C1"/>
    <w:rsid w:val="00491437"/>
    <w:rsid w:val="00494A3F"/>
    <w:rsid w:val="004A0452"/>
    <w:rsid w:val="004A0FE0"/>
    <w:rsid w:val="004A2037"/>
    <w:rsid w:val="004A5588"/>
    <w:rsid w:val="004A793C"/>
    <w:rsid w:val="004B047B"/>
    <w:rsid w:val="004B1D7E"/>
    <w:rsid w:val="004B4CDC"/>
    <w:rsid w:val="004B4DBE"/>
    <w:rsid w:val="004B6C70"/>
    <w:rsid w:val="004C52C2"/>
    <w:rsid w:val="004D121E"/>
    <w:rsid w:val="004D1B1C"/>
    <w:rsid w:val="004D26C5"/>
    <w:rsid w:val="004D51AD"/>
    <w:rsid w:val="004E6D96"/>
    <w:rsid w:val="004F36C6"/>
    <w:rsid w:val="004F4F98"/>
    <w:rsid w:val="004F69F6"/>
    <w:rsid w:val="004F79AC"/>
    <w:rsid w:val="0050046D"/>
    <w:rsid w:val="00506E9B"/>
    <w:rsid w:val="005078BE"/>
    <w:rsid w:val="005207D8"/>
    <w:rsid w:val="0052310C"/>
    <w:rsid w:val="00523930"/>
    <w:rsid w:val="005244F1"/>
    <w:rsid w:val="00524AE2"/>
    <w:rsid w:val="00537CDC"/>
    <w:rsid w:val="005401A6"/>
    <w:rsid w:val="005473B5"/>
    <w:rsid w:val="00550B72"/>
    <w:rsid w:val="00551B39"/>
    <w:rsid w:val="00551F5D"/>
    <w:rsid w:val="00552670"/>
    <w:rsid w:val="00560185"/>
    <w:rsid w:val="00562917"/>
    <w:rsid w:val="00571B8C"/>
    <w:rsid w:val="00574F1C"/>
    <w:rsid w:val="00576B36"/>
    <w:rsid w:val="00580DDF"/>
    <w:rsid w:val="005811B7"/>
    <w:rsid w:val="00582EC1"/>
    <w:rsid w:val="00583F7A"/>
    <w:rsid w:val="0058558E"/>
    <w:rsid w:val="00586228"/>
    <w:rsid w:val="0059290D"/>
    <w:rsid w:val="005946D3"/>
    <w:rsid w:val="00595CBB"/>
    <w:rsid w:val="00597631"/>
    <w:rsid w:val="005979DD"/>
    <w:rsid w:val="005A35FD"/>
    <w:rsid w:val="005A572E"/>
    <w:rsid w:val="005B084E"/>
    <w:rsid w:val="005B0D9A"/>
    <w:rsid w:val="005B1D89"/>
    <w:rsid w:val="005B6AF4"/>
    <w:rsid w:val="005B7115"/>
    <w:rsid w:val="005C04CB"/>
    <w:rsid w:val="005C14C3"/>
    <w:rsid w:val="005C7A9C"/>
    <w:rsid w:val="005C7ECF"/>
    <w:rsid w:val="005D16AD"/>
    <w:rsid w:val="005D2016"/>
    <w:rsid w:val="005D607A"/>
    <w:rsid w:val="005D72E1"/>
    <w:rsid w:val="005E06C0"/>
    <w:rsid w:val="005E07CB"/>
    <w:rsid w:val="005E10AA"/>
    <w:rsid w:val="005E1ACF"/>
    <w:rsid w:val="005E58D3"/>
    <w:rsid w:val="005E6A98"/>
    <w:rsid w:val="005E6E16"/>
    <w:rsid w:val="005F400E"/>
    <w:rsid w:val="005F4B63"/>
    <w:rsid w:val="005F6755"/>
    <w:rsid w:val="005F7342"/>
    <w:rsid w:val="006066D8"/>
    <w:rsid w:val="00610A3C"/>
    <w:rsid w:val="006116DC"/>
    <w:rsid w:val="006138D7"/>
    <w:rsid w:val="00614475"/>
    <w:rsid w:val="00614506"/>
    <w:rsid w:val="00614A08"/>
    <w:rsid w:val="00614AF5"/>
    <w:rsid w:val="00615E83"/>
    <w:rsid w:val="00616017"/>
    <w:rsid w:val="006178BC"/>
    <w:rsid w:val="00624E43"/>
    <w:rsid w:val="00625D96"/>
    <w:rsid w:val="006261DD"/>
    <w:rsid w:val="00627B9A"/>
    <w:rsid w:val="00627F48"/>
    <w:rsid w:val="0063455F"/>
    <w:rsid w:val="00635814"/>
    <w:rsid w:val="00635F96"/>
    <w:rsid w:val="006360F7"/>
    <w:rsid w:val="00643567"/>
    <w:rsid w:val="0065399C"/>
    <w:rsid w:val="0065461D"/>
    <w:rsid w:val="006552E0"/>
    <w:rsid w:val="00662E44"/>
    <w:rsid w:val="00663FCF"/>
    <w:rsid w:val="006652A2"/>
    <w:rsid w:val="006707EC"/>
    <w:rsid w:val="00672336"/>
    <w:rsid w:val="006813E9"/>
    <w:rsid w:val="00683071"/>
    <w:rsid w:val="00692490"/>
    <w:rsid w:val="00692C9C"/>
    <w:rsid w:val="00693E2F"/>
    <w:rsid w:val="00695B46"/>
    <w:rsid w:val="00695F47"/>
    <w:rsid w:val="006969CC"/>
    <w:rsid w:val="00696A15"/>
    <w:rsid w:val="006A0BA3"/>
    <w:rsid w:val="006A48A7"/>
    <w:rsid w:val="006A5D40"/>
    <w:rsid w:val="006B11F0"/>
    <w:rsid w:val="006B5A79"/>
    <w:rsid w:val="006B6EB5"/>
    <w:rsid w:val="006B71A8"/>
    <w:rsid w:val="006C116D"/>
    <w:rsid w:val="006C22A7"/>
    <w:rsid w:val="006C5905"/>
    <w:rsid w:val="006C5CF5"/>
    <w:rsid w:val="006D33FF"/>
    <w:rsid w:val="006D619E"/>
    <w:rsid w:val="006E10A1"/>
    <w:rsid w:val="006E77ED"/>
    <w:rsid w:val="006E798B"/>
    <w:rsid w:val="006E7F3D"/>
    <w:rsid w:val="006F11CE"/>
    <w:rsid w:val="006F4A82"/>
    <w:rsid w:val="006F4BB3"/>
    <w:rsid w:val="006F63BF"/>
    <w:rsid w:val="00701C42"/>
    <w:rsid w:val="007052A8"/>
    <w:rsid w:val="00705CE8"/>
    <w:rsid w:val="00706F8E"/>
    <w:rsid w:val="00710C37"/>
    <w:rsid w:val="00711A87"/>
    <w:rsid w:val="0072090D"/>
    <w:rsid w:val="00724283"/>
    <w:rsid w:val="00724FA4"/>
    <w:rsid w:val="0072761C"/>
    <w:rsid w:val="00730800"/>
    <w:rsid w:val="00731A36"/>
    <w:rsid w:val="0074082E"/>
    <w:rsid w:val="007473BD"/>
    <w:rsid w:val="00755F02"/>
    <w:rsid w:val="007602AA"/>
    <w:rsid w:val="0076368A"/>
    <w:rsid w:val="0076382D"/>
    <w:rsid w:val="007652EF"/>
    <w:rsid w:val="00765DE1"/>
    <w:rsid w:val="00766A84"/>
    <w:rsid w:val="00772BDC"/>
    <w:rsid w:val="0077356B"/>
    <w:rsid w:val="00776E0B"/>
    <w:rsid w:val="00777437"/>
    <w:rsid w:val="007776B4"/>
    <w:rsid w:val="00780792"/>
    <w:rsid w:val="00781A8B"/>
    <w:rsid w:val="00782E77"/>
    <w:rsid w:val="0078309E"/>
    <w:rsid w:val="0078337E"/>
    <w:rsid w:val="00787C57"/>
    <w:rsid w:val="0079530B"/>
    <w:rsid w:val="00795BAF"/>
    <w:rsid w:val="00795D86"/>
    <w:rsid w:val="007A40CB"/>
    <w:rsid w:val="007A44B4"/>
    <w:rsid w:val="007A53BF"/>
    <w:rsid w:val="007A7D3D"/>
    <w:rsid w:val="007B225D"/>
    <w:rsid w:val="007B29FF"/>
    <w:rsid w:val="007B37B3"/>
    <w:rsid w:val="007B7EAC"/>
    <w:rsid w:val="007C01C0"/>
    <w:rsid w:val="007C1C64"/>
    <w:rsid w:val="007C22CB"/>
    <w:rsid w:val="007C4F6B"/>
    <w:rsid w:val="007C5C73"/>
    <w:rsid w:val="007C65E1"/>
    <w:rsid w:val="007D0189"/>
    <w:rsid w:val="007D021B"/>
    <w:rsid w:val="007D0523"/>
    <w:rsid w:val="007D0EC7"/>
    <w:rsid w:val="007D17AF"/>
    <w:rsid w:val="007D4AC6"/>
    <w:rsid w:val="007E2728"/>
    <w:rsid w:val="007E4500"/>
    <w:rsid w:val="007E48BC"/>
    <w:rsid w:val="007E57F5"/>
    <w:rsid w:val="007E79F7"/>
    <w:rsid w:val="007F136C"/>
    <w:rsid w:val="007F3630"/>
    <w:rsid w:val="007F4673"/>
    <w:rsid w:val="007F46B3"/>
    <w:rsid w:val="007F7BF7"/>
    <w:rsid w:val="00802D2B"/>
    <w:rsid w:val="0080443F"/>
    <w:rsid w:val="00807559"/>
    <w:rsid w:val="0081042E"/>
    <w:rsid w:val="0081102A"/>
    <w:rsid w:val="00813035"/>
    <w:rsid w:val="00813464"/>
    <w:rsid w:val="0081383A"/>
    <w:rsid w:val="0081747A"/>
    <w:rsid w:val="00827217"/>
    <w:rsid w:val="00831154"/>
    <w:rsid w:val="00833E0B"/>
    <w:rsid w:val="008347C9"/>
    <w:rsid w:val="00835B22"/>
    <w:rsid w:val="00842F38"/>
    <w:rsid w:val="00843BC2"/>
    <w:rsid w:val="00844B2B"/>
    <w:rsid w:val="008450BC"/>
    <w:rsid w:val="00847066"/>
    <w:rsid w:val="00850B09"/>
    <w:rsid w:val="00852286"/>
    <w:rsid w:val="00852BC2"/>
    <w:rsid w:val="0085334B"/>
    <w:rsid w:val="008537BA"/>
    <w:rsid w:val="00855A32"/>
    <w:rsid w:val="00856712"/>
    <w:rsid w:val="00860808"/>
    <w:rsid w:val="00861447"/>
    <w:rsid w:val="00861C13"/>
    <w:rsid w:val="00862349"/>
    <w:rsid w:val="0086571E"/>
    <w:rsid w:val="00870214"/>
    <w:rsid w:val="00870909"/>
    <w:rsid w:val="00871116"/>
    <w:rsid w:val="0087500B"/>
    <w:rsid w:val="00880EF3"/>
    <w:rsid w:val="00883203"/>
    <w:rsid w:val="008846C8"/>
    <w:rsid w:val="00885C51"/>
    <w:rsid w:val="00894D7B"/>
    <w:rsid w:val="008962CE"/>
    <w:rsid w:val="00896B85"/>
    <w:rsid w:val="008A243D"/>
    <w:rsid w:val="008A635D"/>
    <w:rsid w:val="008B1699"/>
    <w:rsid w:val="008B5ADF"/>
    <w:rsid w:val="008B6B1A"/>
    <w:rsid w:val="008C2EA6"/>
    <w:rsid w:val="008C3E07"/>
    <w:rsid w:val="008C4E76"/>
    <w:rsid w:val="008C7C0F"/>
    <w:rsid w:val="008D003A"/>
    <w:rsid w:val="008D00F2"/>
    <w:rsid w:val="008D06C6"/>
    <w:rsid w:val="008D11D1"/>
    <w:rsid w:val="008D3E3F"/>
    <w:rsid w:val="008D4346"/>
    <w:rsid w:val="008D45DA"/>
    <w:rsid w:val="008D5E9D"/>
    <w:rsid w:val="008E283D"/>
    <w:rsid w:val="008E432C"/>
    <w:rsid w:val="008E6250"/>
    <w:rsid w:val="008E62FD"/>
    <w:rsid w:val="0090635C"/>
    <w:rsid w:val="00913033"/>
    <w:rsid w:val="00917C6F"/>
    <w:rsid w:val="00920249"/>
    <w:rsid w:val="00922FB8"/>
    <w:rsid w:val="0092322A"/>
    <w:rsid w:val="009279F5"/>
    <w:rsid w:val="009302BC"/>
    <w:rsid w:val="00932F14"/>
    <w:rsid w:val="00937D53"/>
    <w:rsid w:val="00941144"/>
    <w:rsid w:val="00941150"/>
    <w:rsid w:val="0094172D"/>
    <w:rsid w:val="0094247F"/>
    <w:rsid w:val="00942D60"/>
    <w:rsid w:val="0094358A"/>
    <w:rsid w:val="009460FA"/>
    <w:rsid w:val="00947172"/>
    <w:rsid w:val="00947534"/>
    <w:rsid w:val="009478A1"/>
    <w:rsid w:val="009640F1"/>
    <w:rsid w:val="0096523B"/>
    <w:rsid w:val="0096592A"/>
    <w:rsid w:val="00966602"/>
    <w:rsid w:val="00966EBA"/>
    <w:rsid w:val="009711E0"/>
    <w:rsid w:val="00972D06"/>
    <w:rsid w:val="009755E4"/>
    <w:rsid w:val="009820AA"/>
    <w:rsid w:val="0099323D"/>
    <w:rsid w:val="00993FC2"/>
    <w:rsid w:val="0099623A"/>
    <w:rsid w:val="009A2699"/>
    <w:rsid w:val="009A2DC9"/>
    <w:rsid w:val="009A3796"/>
    <w:rsid w:val="009A3844"/>
    <w:rsid w:val="009A391C"/>
    <w:rsid w:val="009A5CE2"/>
    <w:rsid w:val="009B24A7"/>
    <w:rsid w:val="009B493B"/>
    <w:rsid w:val="009B6C58"/>
    <w:rsid w:val="009B73F6"/>
    <w:rsid w:val="009D0206"/>
    <w:rsid w:val="009E0A61"/>
    <w:rsid w:val="009E0D52"/>
    <w:rsid w:val="009E19B6"/>
    <w:rsid w:val="009E3010"/>
    <w:rsid w:val="009E46F5"/>
    <w:rsid w:val="009E57A2"/>
    <w:rsid w:val="009F016A"/>
    <w:rsid w:val="009F310B"/>
    <w:rsid w:val="009F6BF9"/>
    <w:rsid w:val="009F7065"/>
    <w:rsid w:val="009F72D6"/>
    <w:rsid w:val="00A07AA0"/>
    <w:rsid w:val="00A10151"/>
    <w:rsid w:val="00A21410"/>
    <w:rsid w:val="00A2312A"/>
    <w:rsid w:val="00A2449C"/>
    <w:rsid w:val="00A24BBB"/>
    <w:rsid w:val="00A318EB"/>
    <w:rsid w:val="00A32036"/>
    <w:rsid w:val="00A33CCA"/>
    <w:rsid w:val="00A4273A"/>
    <w:rsid w:val="00A461B2"/>
    <w:rsid w:val="00A46529"/>
    <w:rsid w:val="00A47FE3"/>
    <w:rsid w:val="00A5127A"/>
    <w:rsid w:val="00A551B9"/>
    <w:rsid w:val="00A56DC7"/>
    <w:rsid w:val="00A644F1"/>
    <w:rsid w:val="00A64761"/>
    <w:rsid w:val="00A66FDD"/>
    <w:rsid w:val="00A671E6"/>
    <w:rsid w:val="00A709E5"/>
    <w:rsid w:val="00A74FD1"/>
    <w:rsid w:val="00A759FD"/>
    <w:rsid w:val="00A75D2E"/>
    <w:rsid w:val="00A80795"/>
    <w:rsid w:val="00A84A58"/>
    <w:rsid w:val="00A8610A"/>
    <w:rsid w:val="00A929A9"/>
    <w:rsid w:val="00A94813"/>
    <w:rsid w:val="00A96594"/>
    <w:rsid w:val="00AA05EC"/>
    <w:rsid w:val="00AA41BA"/>
    <w:rsid w:val="00AA6D0D"/>
    <w:rsid w:val="00AA6FA3"/>
    <w:rsid w:val="00AAF5A1"/>
    <w:rsid w:val="00AB1120"/>
    <w:rsid w:val="00AB7DFE"/>
    <w:rsid w:val="00AC16F3"/>
    <w:rsid w:val="00AC428E"/>
    <w:rsid w:val="00AC6958"/>
    <w:rsid w:val="00AD344F"/>
    <w:rsid w:val="00AE384D"/>
    <w:rsid w:val="00AE38EB"/>
    <w:rsid w:val="00AE4FFD"/>
    <w:rsid w:val="00AE768B"/>
    <w:rsid w:val="00AF1008"/>
    <w:rsid w:val="00AF24FA"/>
    <w:rsid w:val="00AF251E"/>
    <w:rsid w:val="00AF387F"/>
    <w:rsid w:val="00AF397D"/>
    <w:rsid w:val="00AF762E"/>
    <w:rsid w:val="00B00E7F"/>
    <w:rsid w:val="00B02746"/>
    <w:rsid w:val="00B12F37"/>
    <w:rsid w:val="00B17112"/>
    <w:rsid w:val="00B21055"/>
    <w:rsid w:val="00B21ACB"/>
    <w:rsid w:val="00B21DCC"/>
    <w:rsid w:val="00B23A93"/>
    <w:rsid w:val="00B25F37"/>
    <w:rsid w:val="00B31E62"/>
    <w:rsid w:val="00B37158"/>
    <w:rsid w:val="00B37206"/>
    <w:rsid w:val="00B37689"/>
    <w:rsid w:val="00B425AA"/>
    <w:rsid w:val="00B42EBA"/>
    <w:rsid w:val="00B42F35"/>
    <w:rsid w:val="00B44422"/>
    <w:rsid w:val="00B44545"/>
    <w:rsid w:val="00B45E2C"/>
    <w:rsid w:val="00B46EA0"/>
    <w:rsid w:val="00B51AA5"/>
    <w:rsid w:val="00B52B60"/>
    <w:rsid w:val="00B55714"/>
    <w:rsid w:val="00B57F5A"/>
    <w:rsid w:val="00B60AA2"/>
    <w:rsid w:val="00B61BE2"/>
    <w:rsid w:val="00B63BBA"/>
    <w:rsid w:val="00B66010"/>
    <w:rsid w:val="00B667E8"/>
    <w:rsid w:val="00B67B69"/>
    <w:rsid w:val="00B731D3"/>
    <w:rsid w:val="00B75A78"/>
    <w:rsid w:val="00B75B57"/>
    <w:rsid w:val="00B75EBF"/>
    <w:rsid w:val="00B77C18"/>
    <w:rsid w:val="00B811B3"/>
    <w:rsid w:val="00B839A3"/>
    <w:rsid w:val="00B86CDE"/>
    <w:rsid w:val="00B902BD"/>
    <w:rsid w:val="00B92501"/>
    <w:rsid w:val="00B95550"/>
    <w:rsid w:val="00B95762"/>
    <w:rsid w:val="00BA1009"/>
    <w:rsid w:val="00BA403F"/>
    <w:rsid w:val="00BB0EC9"/>
    <w:rsid w:val="00BB4533"/>
    <w:rsid w:val="00BB4E66"/>
    <w:rsid w:val="00BB629B"/>
    <w:rsid w:val="00BC4E05"/>
    <w:rsid w:val="00BC4FDB"/>
    <w:rsid w:val="00BD00E2"/>
    <w:rsid w:val="00BD2A39"/>
    <w:rsid w:val="00BD2E80"/>
    <w:rsid w:val="00BD3F7E"/>
    <w:rsid w:val="00BD49FF"/>
    <w:rsid w:val="00BD4B64"/>
    <w:rsid w:val="00BD6B7F"/>
    <w:rsid w:val="00BD77E1"/>
    <w:rsid w:val="00BE11B8"/>
    <w:rsid w:val="00BE1DD3"/>
    <w:rsid w:val="00BE6BE8"/>
    <w:rsid w:val="00BF45A3"/>
    <w:rsid w:val="00BF5988"/>
    <w:rsid w:val="00BF7FF0"/>
    <w:rsid w:val="00C11AEA"/>
    <w:rsid w:val="00C12502"/>
    <w:rsid w:val="00C15CA9"/>
    <w:rsid w:val="00C1642A"/>
    <w:rsid w:val="00C23067"/>
    <w:rsid w:val="00C26B3B"/>
    <w:rsid w:val="00C305B2"/>
    <w:rsid w:val="00C30971"/>
    <w:rsid w:val="00C37577"/>
    <w:rsid w:val="00C40AA5"/>
    <w:rsid w:val="00C434C8"/>
    <w:rsid w:val="00C44A3E"/>
    <w:rsid w:val="00C46F70"/>
    <w:rsid w:val="00C476D0"/>
    <w:rsid w:val="00C5293A"/>
    <w:rsid w:val="00C6434A"/>
    <w:rsid w:val="00C64555"/>
    <w:rsid w:val="00C64BA1"/>
    <w:rsid w:val="00C74398"/>
    <w:rsid w:val="00C830B9"/>
    <w:rsid w:val="00C836E3"/>
    <w:rsid w:val="00C836FF"/>
    <w:rsid w:val="00C854DC"/>
    <w:rsid w:val="00C86577"/>
    <w:rsid w:val="00C9062E"/>
    <w:rsid w:val="00C91C02"/>
    <w:rsid w:val="00C92E07"/>
    <w:rsid w:val="00C941CB"/>
    <w:rsid w:val="00C96868"/>
    <w:rsid w:val="00CA0416"/>
    <w:rsid w:val="00CA273A"/>
    <w:rsid w:val="00CA4A97"/>
    <w:rsid w:val="00CA5734"/>
    <w:rsid w:val="00CB115C"/>
    <w:rsid w:val="00CB3250"/>
    <w:rsid w:val="00CB7716"/>
    <w:rsid w:val="00CC044F"/>
    <w:rsid w:val="00CC3764"/>
    <w:rsid w:val="00CC3A35"/>
    <w:rsid w:val="00CC5468"/>
    <w:rsid w:val="00CC560B"/>
    <w:rsid w:val="00CC6575"/>
    <w:rsid w:val="00CC75E2"/>
    <w:rsid w:val="00CD1554"/>
    <w:rsid w:val="00CD3835"/>
    <w:rsid w:val="00CD46EB"/>
    <w:rsid w:val="00CD60C4"/>
    <w:rsid w:val="00CD60FD"/>
    <w:rsid w:val="00CD7EBF"/>
    <w:rsid w:val="00CE29A3"/>
    <w:rsid w:val="00CE3DD3"/>
    <w:rsid w:val="00CE59AA"/>
    <w:rsid w:val="00CF0E86"/>
    <w:rsid w:val="00CF136E"/>
    <w:rsid w:val="00CF2FC9"/>
    <w:rsid w:val="00CF6D00"/>
    <w:rsid w:val="00D00DD1"/>
    <w:rsid w:val="00D00DFA"/>
    <w:rsid w:val="00D038BF"/>
    <w:rsid w:val="00D056F1"/>
    <w:rsid w:val="00D06616"/>
    <w:rsid w:val="00D144D7"/>
    <w:rsid w:val="00D145DF"/>
    <w:rsid w:val="00D14EFB"/>
    <w:rsid w:val="00D15A08"/>
    <w:rsid w:val="00D23DB6"/>
    <w:rsid w:val="00D272D0"/>
    <w:rsid w:val="00D3401D"/>
    <w:rsid w:val="00D349E5"/>
    <w:rsid w:val="00D42B5D"/>
    <w:rsid w:val="00D43E48"/>
    <w:rsid w:val="00D458B6"/>
    <w:rsid w:val="00D50467"/>
    <w:rsid w:val="00D516D4"/>
    <w:rsid w:val="00D51A95"/>
    <w:rsid w:val="00D557D1"/>
    <w:rsid w:val="00D60568"/>
    <w:rsid w:val="00D70C7A"/>
    <w:rsid w:val="00D70EC3"/>
    <w:rsid w:val="00D71237"/>
    <w:rsid w:val="00D72A29"/>
    <w:rsid w:val="00D757C2"/>
    <w:rsid w:val="00D75821"/>
    <w:rsid w:val="00D762C6"/>
    <w:rsid w:val="00D772F5"/>
    <w:rsid w:val="00D82D44"/>
    <w:rsid w:val="00D83186"/>
    <w:rsid w:val="00D834E5"/>
    <w:rsid w:val="00D836C9"/>
    <w:rsid w:val="00D854DF"/>
    <w:rsid w:val="00D92109"/>
    <w:rsid w:val="00D958AB"/>
    <w:rsid w:val="00D96C9C"/>
    <w:rsid w:val="00D97584"/>
    <w:rsid w:val="00DA1025"/>
    <w:rsid w:val="00DA10A8"/>
    <w:rsid w:val="00DA36A0"/>
    <w:rsid w:val="00DA4C37"/>
    <w:rsid w:val="00DA5DD7"/>
    <w:rsid w:val="00DB123A"/>
    <w:rsid w:val="00DB1E08"/>
    <w:rsid w:val="00DB2973"/>
    <w:rsid w:val="00DC0FBA"/>
    <w:rsid w:val="00DC14FC"/>
    <w:rsid w:val="00DC1B56"/>
    <w:rsid w:val="00DC20CC"/>
    <w:rsid w:val="00DC2129"/>
    <w:rsid w:val="00DC2B75"/>
    <w:rsid w:val="00DC2CEA"/>
    <w:rsid w:val="00DC440D"/>
    <w:rsid w:val="00DC6570"/>
    <w:rsid w:val="00DD0A69"/>
    <w:rsid w:val="00DD265C"/>
    <w:rsid w:val="00DD3703"/>
    <w:rsid w:val="00DD6A29"/>
    <w:rsid w:val="00DE0E16"/>
    <w:rsid w:val="00DE5528"/>
    <w:rsid w:val="00DF25C3"/>
    <w:rsid w:val="00DF5CFF"/>
    <w:rsid w:val="00DF72BB"/>
    <w:rsid w:val="00E01585"/>
    <w:rsid w:val="00E04062"/>
    <w:rsid w:val="00E063C6"/>
    <w:rsid w:val="00E135C9"/>
    <w:rsid w:val="00E2003B"/>
    <w:rsid w:val="00E25DB5"/>
    <w:rsid w:val="00E26887"/>
    <w:rsid w:val="00E279D8"/>
    <w:rsid w:val="00E27D15"/>
    <w:rsid w:val="00E30092"/>
    <w:rsid w:val="00E319B1"/>
    <w:rsid w:val="00E32625"/>
    <w:rsid w:val="00E326E4"/>
    <w:rsid w:val="00E327A6"/>
    <w:rsid w:val="00E36269"/>
    <w:rsid w:val="00E3684F"/>
    <w:rsid w:val="00E37687"/>
    <w:rsid w:val="00E4136E"/>
    <w:rsid w:val="00E420E5"/>
    <w:rsid w:val="00E47D3B"/>
    <w:rsid w:val="00E5247F"/>
    <w:rsid w:val="00E52D1A"/>
    <w:rsid w:val="00E5492F"/>
    <w:rsid w:val="00E572B1"/>
    <w:rsid w:val="00E6369A"/>
    <w:rsid w:val="00E7078C"/>
    <w:rsid w:val="00E70A86"/>
    <w:rsid w:val="00E72998"/>
    <w:rsid w:val="00E73E50"/>
    <w:rsid w:val="00E777EC"/>
    <w:rsid w:val="00E80FCD"/>
    <w:rsid w:val="00E81CE2"/>
    <w:rsid w:val="00E8239F"/>
    <w:rsid w:val="00E8527C"/>
    <w:rsid w:val="00E86163"/>
    <w:rsid w:val="00E92E6F"/>
    <w:rsid w:val="00E97AB5"/>
    <w:rsid w:val="00EA2226"/>
    <w:rsid w:val="00EA49D8"/>
    <w:rsid w:val="00EA7DB0"/>
    <w:rsid w:val="00EA7F2F"/>
    <w:rsid w:val="00EB0B9D"/>
    <w:rsid w:val="00EB0EFB"/>
    <w:rsid w:val="00EB111D"/>
    <w:rsid w:val="00EB1F85"/>
    <w:rsid w:val="00EB2B39"/>
    <w:rsid w:val="00EB576F"/>
    <w:rsid w:val="00EB6048"/>
    <w:rsid w:val="00EB6590"/>
    <w:rsid w:val="00EC00DE"/>
    <w:rsid w:val="00EC21DF"/>
    <w:rsid w:val="00EC30E1"/>
    <w:rsid w:val="00EC3436"/>
    <w:rsid w:val="00EC3B70"/>
    <w:rsid w:val="00EC53EA"/>
    <w:rsid w:val="00EC66BB"/>
    <w:rsid w:val="00ED172A"/>
    <w:rsid w:val="00ED38D1"/>
    <w:rsid w:val="00ED5757"/>
    <w:rsid w:val="00ED6AE7"/>
    <w:rsid w:val="00EE01DC"/>
    <w:rsid w:val="00EE1F47"/>
    <w:rsid w:val="00EE359E"/>
    <w:rsid w:val="00F11551"/>
    <w:rsid w:val="00F12BD0"/>
    <w:rsid w:val="00F13010"/>
    <w:rsid w:val="00F13633"/>
    <w:rsid w:val="00F14AB3"/>
    <w:rsid w:val="00F14BEC"/>
    <w:rsid w:val="00F224B7"/>
    <w:rsid w:val="00F225C5"/>
    <w:rsid w:val="00F2587A"/>
    <w:rsid w:val="00F33470"/>
    <w:rsid w:val="00F34E02"/>
    <w:rsid w:val="00F3715D"/>
    <w:rsid w:val="00F37A10"/>
    <w:rsid w:val="00F420C8"/>
    <w:rsid w:val="00F42449"/>
    <w:rsid w:val="00F42A4C"/>
    <w:rsid w:val="00F445ED"/>
    <w:rsid w:val="00F464AE"/>
    <w:rsid w:val="00F476A3"/>
    <w:rsid w:val="00F526BD"/>
    <w:rsid w:val="00F54D82"/>
    <w:rsid w:val="00F634A1"/>
    <w:rsid w:val="00F7062B"/>
    <w:rsid w:val="00F710F1"/>
    <w:rsid w:val="00F721CF"/>
    <w:rsid w:val="00F72B9F"/>
    <w:rsid w:val="00F7525D"/>
    <w:rsid w:val="00F80E16"/>
    <w:rsid w:val="00F9370E"/>
    <w:rsid w:val="00F96EAF"/>
    <w:rsid w:val="00FA1FA0"/>
    <w:rsid w:val="00FA3AF9"/>
    <w:rsid w:val="00FB52A5"/>
    <w:rsid w:val="00FB7512"/>
    <w:rsid w:val="00FC3743"/>
    <w:rsid w:val="00FC58B3"/>
    <w:rsid w:val="00FD40A1"/>
    <w:rsid w:val="00FD415B"/>
    <w:rsid w:val="00FD582D"/>
    <w:rsid w:val="00FD5F2E"/>
    <w:rsid w:val="00FD7547"/>
    <w:rsid w:val="00FE122F"/>
    <w:rsid w:val="00FE287B"/>
    <w:rsid w:val="00FE3EBC"/>
    <w:rsid w:val="00FE413C"/>
    <w:rsid w:val="00FE5DB1"/>
    <w:rsid w:val="00FE6B50"/>
    <w:rsid w:val="00FF1344"/>
    <w:rsid w:val="00FF1B03"/>
    <w:rsid w:val="00FF1B63"/>
    <w:rsid w:val="00FF3E26"/>
    <w:rsid w:val="00FF5F5C"/>
    <w:rsid w:val="011E6F00"/>
    <w:rsid w:val="01E36515"/>
    <w:rsid w:val="024F1196"/>
    <w:rsid w:val="02C895D1"/>
    <w:rsid w:val="034B53FF"/>
    <w:rsid w:val="036E3BFD"/>
    <w:rsid w:val="03A275A1"/>
    <w:rsid w:val="03BAFFA5"/>
    <w:rsid w:val="0496527B"/>
    <w:rsid w:val="04A23876"/>
    <w:rsid w:val="04BAAF68"/>
    <w:rsid w:val="0501FBA6"/>
    <w:rsid w:val="05043C29"/>
    <w:rsid w:val="058F8B84"/>
    <w:rsid w:val="059E7F6C"/>
    <w:rsid w:val="05C018D6"/>
    <w:rsid w:val="05E399C2"/>
    <w:rsid w:val="05FB25AF"/>
    <w:rsid w:val="0673E8C7"/>
    <w:rsid w:val="069F1F24"/>
    <w:rsid w:val="06A54518"/>
    <w:rsid w:val="06D69990"/>
    <w:rsid w:val="0756D606"/>
    <w:rsid w:val="077D29CB"/>
    <w:rsid w:val="080A7446"/>
    <w:rsid w:val="084CE790"/>
    <w:rsid w:val="0861779A"/>
    <w:rsid w:val="08766F4E"/>
    <w:rsid w:val="08E5C76E"/>
    <w:rsid w:val="09262755"/>
    <w:rsid w:val="0945EAA2"/>
    <w:rsid w:val="0973E443"/>
    <w:rsid w:val="09D354D4"/>
    <w:rsid w:val="09F42DAD"/>
    <w:rsid w:val="0A080F7D"/>
    <w:rsid w:val="0A200A64"/>
    <w:rsid w:val="0A2FF12A"/>
    <w:rsid w:val="0A3979B4"/>
    <w:rsid w:val="0A3D10B0"/>
    <w:rsid w:val="0A9D2EF5"/>
    <w:rsid w:val="0B9137FB"/>
    <w:rsid w:val="0C539292"/>
    <w:rsid w:val="0CF6DFAF"/>
    <w:rsid w:val="0D4E2B47"/>
    <w:rsid w:val="0D7D7DB2"/>
    <w:rsid w:val="0DD32B6C"/>
    <w:rsid w:val="0DEE1B76"/>
    <w:rsid w:val="0E36A901"/>
    <w:rsid w:val="0E5D3116"/>
    <w:rsid w:val="0ED6326C"/>
    <w:rsid w:val="0EE40C9C"/>
    <w:rsid w:val="0EEBAD4A"/>
    <w:rsid w:val="0F9CA0DF"/>
    <w:rsid w:val="0F9CEF91"/>
    <w:rsid w:val="1038F146"/>
    <w:rsid w:val="10A9C5B9"/>
    <w:rsid w:val="113EDBE9"/>
    <w:rsid w:val="1152E544"/>
    <w:rsid w:val="1176F9AC"/>
    <w:rsid w:val="129174C8"/>
    <w:rsid w:val="129946EA"/>
    <w:rsid w:val="12B43141"/>
    <w:rsid w:val="1349DF80"/>
    <w:rsid w:val="139D35C7"/>
    <w:rsid w:val="13D60F1E"/>
    <w:rsid w:val="13E011DF"/>
    <w:rsid w:val="14205B11"/>
    <w:rsid w:val="14785412"/>
    <w:rsid w:val="1484005B"/>
    <w:rsid w:val="14B82598"/>
    <w:rsid w:val="14D44E95"/>
    <w:rsid w:val="155506EF"/>
    <w:rsid w:val="15618156"/>
    <w:rsid w:val="15677C94"/>
    <w:rsid w:val="159DBFAE"/>
    <w:rsid w:val="15D2CDB1"/>
    <w:rsid w:val="15D319E0"/>
    <w:rsid w:val="161B24FC"/>
    <w:rsid w:val="162D31D0"/>
    <w:rsid w:val="165385A9"/>
    <w:rsid w:val="16B78064"/>
    <w:rsid w:val="17098DB1"/>
    <w:rsid w:val="17829B8F"/>
    <w:rsid w:val="17917256"/>
    <w:rsid w:val="17EB1510"/>
    <w:rsid w:val="17EB77BE"/>
    <w:rsid w:val="1802E210"/>
    <w:rsid w:val="1816F068"/>
    <w:rsid w:val="181A73F2"/>
    <w:rsid w:val="18739665"/>
    <w:rsid w:val="18DB2999"/>
    <w:rsid w:val="1909CA84"/>
    <w:rsid w:val="1985258E"/>
    <w:rsid w:val="1A11F409"/>
    <w:rsid w:val="1A253D90"/>
    <w:rsid w:val="1A2BD2DB"/>
    <w:rsid w:val="1B00A2F3"/>
    <w:rsid w:val="1B03D4B9"/>
    <w:rsid w:val="1BA28AD1"/>
    <w:rsid w:val="1C1CE4F6"/>
    <w:rsid w:val="1C634EA7"/>
    <w:rsid w:val="1C683488"/>
    <w:rsid w:val="1C6C4964"/>
    <w:rsid w:val="1C8394C5"/>
    <w:rsid w:val="1CD325A1"/>
    <w:rsid w:val="1D0045B8"/>
    <w:rsid w:val="1DCD6CF5"/>
    <w:rsid w:val="1E430110"/>
    <w:rsid w:val="1EC425AD"/>
    <w:rsid w:val="1EC82DDD"/>
    <w:rsid w:val="20D32DF1"/>
    <w:rsid w:val="213FE9E9"/>
    <w:rsid w:val="2155677E"/>
    <w:rsid w:val="229CBCE3"/>
    <w:rsid w:val="23139802"/>
    <w:rsid w:val="232174D2"/>
    <w:rsid w:val="2351ECC1"/>
    <w:rsid w:val="23C03B40"/>
    <w:rsid w:val="242A4912"/>
    <w:rsid w:val="246306DC"/>
    <w:rsid w:val="24BBBFBA"/>
    <w:rsid w:val="256D4027"/>
    <w:rsid w:val="2596A8E5"/>
    <w:rsid w:val="26E089C6"/>
    <w:rsid w:val="2841F41D"/>
    <w:rsid w:val="28EA2264"/>
    <w:rsid w:val="28F5FC44"/>
    <w:rsid w:val="28FB8B03"/>
    <w:rsid w:val="294EDF6D"/>
    <w:rsid w:val="2A056F63"/>
    <w:rsid w:val="2A135711"/>
    <w:rsid w:val="2A3D8B44"/>
    <w:rsid w:val="2A6CD819"/>
    <w:rsid w:val="2A847949"/>
    <w:rsid w:val="2AEBFF71"/>
    <w:rsid w:val="2B92910A"/>
    <w:rsid w:val="2BDF45A4"/>
    <w:rsid w:val="2CBDB66A"/>
    <w:rsid w:val="2D2EAE76"/>
    <w:rsid w:val="2D6BE247"/>
    <w:rsid w:val="2D8D31B4"/>
    <w:rsid w:val="2D93BD79"/>
    <w:rsid w:val="2DD51A17"/>
    <w:rsid w:val="2DEA2F8C"/>
    <w:rsid w:val="2E128DB5"/>
    <w:rsid w:val="2E89FA96"/>
    <w:rsid w:val="2FA9027B"/>
    <w:rsid w:val="308B4FB4"/>
    <w:rsid w:val="30A79219"/>
    <w:rsid w:val="30FBF4B7"/>
    <w:rsid w:val="3127CE83"/>
    <w:rsid w:val="31336D9D"/>
    <w:rsid w:val="31520E93"/>
    <w:rsid w:val="31DE223F"/>
    <w:rsid w:val="3282E3F5"/>
    <w:rsid w:val="32A2117D"/>
    <w:rsid w:val="32D6745C"/>
    <w:rsid w:val="33852736"/>
    <w:rsid w:val="339BCD25"/>
    <w:rsid w:val="341E8617"/>
    <w:rsid w:val="342FFC39"/>
    <w:rsid w:val="34701DE6"/>
    <w:rsid w:val="3568B61B"/>
    <w:rsid w:val="3574DC37"/>
    <w:rsid w:val="35BA5678"/>
    <w:rsid w:val="35D8597B"/>
    <w:rsid w:val="35F108A2"/>
    <w:rsid w:val="369C8CFF"/>
    <w:rsid w:val="371B29BB"/>
    <w:rsid w:val="378FA437"/>
    <w:rsid w:val="37A60A59"/>
    <w:rsid w:val="37CE33B8"/>
    <w:rsid w:val="37E2BA52"/>
    <w:rsid w:val="382AF396"/>
    <w:rsid w:val="3981D69F"/>
    <w:rsid w:val="39C13C05"/>
    <w:rsid w:val="39F4E25D"/>
    <w:rsid w:val="3A311D3B"/>
    <w:rsid w:val="3A7CB379"/>
    <w:rsid w:val="3AD2AC00"/>
    <w:rsid w:val="3BFFD2EA"/>
    <w:rsid w:val="3C0957AF"/>
    <w:rsid w:val="3C3AA47D"/>
    <w:rsid w:val="3C5037A0"/>
    <w:rsid w:val="3CF2C39A"/>
    <w:rsid w:val="3D199661"/>
    <w:rsid w:val="3D543641"/>
    <w:rsid w:val="3D86726A"/>
    <w:rsid w:val="3DFBDC4F"/>
    <w:rsid w:val="3E051761"/>
    <w:rsid w:val="3E06500C"/>
    <w:rsid w:val="3E4ACB0C"/>
    <w:rsid w:val="3EB137CA"/>
    <w:rsid w:val="3F029620"/>
    <w:rsid w:val="4004E0CD"/>
    <w:rsid w:val="40853101"/>
    <w:rsid w:val="4089DC16"/>
    <w:rsid w:val="40A99FC8"/>
    <w:rsid w:val="40F5ECC7"/>
    <w:rsid w:val="41000EAC"/>
    <w:rsid w:val="412E2C91"/>
    <w:rsid w:val="41724581"/>
    <w:rsid w:val="41A205BE"/>
    <w:rsid w:val="41D87FC1"/>
    <w:rsid w:val="42B772A4"/>
    <w:rsid w:val="42D93651"/>
    <w:rsid w:val="431A7EA6"/>
    <w:rsid w:val="43797606"/>
    <w:rsid w:val="43A48333"/>
    <w:rsid w:val="4458979D"/>
    <w:rsid w:val="45189643"/>
    <w:rsid w:val="45688DEA"/>
    <w:rsid w:val="45716F08"/>
    <w:rsid w:val="45CF8864"/>
    <w:rsid w:val="46729CD8"/>
    <w:rsid w:val="469FC55E"/>
    <w:rsid w:val="46A3FCE8"/>
    <w:rsid w:val="46C0243A"/>
    <w:rsid w:val="47A38EE0"/>
    <w:rsid w:val="47E55186"/>
    <w:rsid w:val="481FA856"/>
    <w:rsid w:val="489C1E60"/>
    <w:rsid w:val="49311F1A"/>
    <w:rsid w:val="497C6EFD"/>
    <w:rsid w:val="498D6368"/>
    <w:rsid w:val="4A0CC7BA"/>
    <w:rsid w:val="4A3C993A"/>
    <w:rsid w:val="4A96C371"/>
    <w:rsid w:val="4ABD7905"/>
    <w:rsid w:val="4AC898DD"/>
    <w:rsid w:val="4B0E836B"/>
    <w:rsid w:val="4B0F0377"/>
    <w:rsid w:val="4B511BBF"/>
    <w:rsid w:val="4BF32F5B"/>
    <w:rsid w:val="4C12F9D5"/>
    <w:rsid w:val="4C2BDF24"/>
    <w:rsid w:val="4C91511F"/>
    <w:rsid w:val="4CFA160F"/>
    <w:rsid w:val="4D51C59C"/>
    <w:rsid w:val="4D6C38EE"/>
    <w:rsid w:val="4D7ACFCC"/>
    <w:rsid w:val="4DD580CF"/>
    <w:rsid w:val="4E9906CC"/>
    <w:rsid w:val="4EA419A8"/>
    <w:rsid w:val="4EB5B86E"/>
    <w:rsid w:val="4EB6B12C"/>
    <w:rsid w:val="4FF07FE7"/>
    <w:rsid w:val="505BC1D8"/>
    <w:rsid w:val="50ABDABE"/>
    <w:rsid w:val="511EAB6D"/>
    <w:rsid w:val="512689D5"/>
    <w:rsid w:val="519665EC"/>
    <w:rsid w:val="51B2CA61"/>
    <w:rsid w:val="525495A4"/>
    <w:rsid w:val="536E4FC1"/>
    <w:rsid w:val="537B1F35"/>
    <w:rsid w:val="53928505"/>
    <w:rsid w:val="53DEFBC6"/>
    <w:rsid w:val="552254E5"/>
    <w:rsid w:val="5523F00C"/>
    <w:rsid w:val="55B7E3D8"/>
    <w:rsid w:val="55CA05F7"/>
    <w:rsid w:val="561BB753"/>
    <w:rsid w:val="5657DE19"/>
    <w:rsid w:val="56730ED4"/>
    <w:rsid w:val="571B415D"/>
    <w:rsid w:val="57451260"/>
    <w:rsid w:val="57713396"/>
    <w:rsid w:val="57DF9E4A"/>
    <w:rsid w:val="57E620DF"/>
    <w:rsid w:val="58110808"/>
    <w:rsid w:val="58161467"/>
    <w:rsid w:val="58564F98"/>
    <w:rsid w:val="592EB917"/>
    <w:rsid w:val="593A6F95"/>
    <w:rsid w:val="5991CA19"/>
    <w:rsid w:val="59AAAF96"/>
    <w:rsid w:val="59B2606D"/>
    <w:rsid w:val="59E50CFF"/>
    <w:rsid w:val="5A0C87C4"/>
    <w:rsid w:val="5A5388BF"/>
    <w:rsid w:val="5B3DB903"/>
    <w:rsid w:val="5B5F30BA"/>
    <w:rsid w:val="5B7F919D"/>
    <w:rsid w:val="5C6D02A7"/>
    <w:rsid w:val="5C8DABC4"/>
    <w:rsid w:val="5CB80E9D"/>
    <w:rsid w:val="5D104CC1"/>
    <w:rsid w:val="5D198693"/>
    <w:rsid w:val="5D3867AC"/>
    <w:rsid w:val="5D81D27C"/>
    <w:rsid w:val="5DABC5A3"/>
    <w:rsid w:val="5E297C25"/>
    <w:rsid w:val="5E3EAA62"/>
    <w:rsid w:val="5E8297B0"/>
    <w:rsid w:val="5E91601C"/>
    <w:rsid w:val="5F691D0C"/>
    <w:rsid w:val="5F74F266"/>
    <w:rsid w:val="5F830661"/>
    <w:rsid w:val="5FC54C86"/>
    <w:rsid w:val="6071C13E"/>
    <w:rsid w:val="60AF1C1A"/>
    <w:rsid w:val="60C8C707"/>
    <w:rsid w:val="60E73399"/>
    <w:rsid w:val="613B9D8E"/>
    <w:rsid w:val="61735CF9"/>
    <w:rsid w:val="6182471C"/>
    <w:rsid w:val="61A4F722"/>
    <w:rsid w:val="621E59E4"/>
    <w:rsid w:val="625098B7"/>
    <w:rsid w:val="625EBC59"/>
    <w:rsid w:val="6285ED7A"/>
    <w:rsid w:val="62911EFA"/>
    <w:rsid w:val="62C8297E"/>
    <w:rsid w:val="62CB3E8A"/>
    <w:rsid w:val="6427036D"/>
    <w:rsid w:val="64A3DBA3"/>
    <w:rsid w:val="6583D237"/>
    <w:rsid w:val="658434D4"/>
    <w:rsid w:val="65C48644"/>
    <w:rsid w:val="65F7B7B0"/>
    <w:rsid w:val="66829F92"/>
    <w:rsid w:val="66B0A612"/>
    <w:rsid w:val="66D1BB14"/>
    <w:rsid w:val="66D5669C"/>
    <w:rsid w:val="66D59DA6"/>
    <w:rsid w:val="67990591"/>
    <w:rsid w:val="67EFF0AB"/>
    <w:rsid w:val="680ACE63"/>
    <w:rsid w:val="680BE5C0"/>
    <w:rsid w:val="686EC76E"/>
    <w:rsid w:val="68A5D714"/>
    <w:rsid w:val="68DBA996"/>
    <w:rsid w:val="690F1BB9"/>
    <w:rsid w:val="691A2794"/>
    <w:rsid w:val="69342DC2"/>
    <w:rsid w:val="69772BA5"/>
    <w:rsid w:val="697EF049"/>
    <w:rsid w:val="6A014AF1"/>
    <w:rsid w:val="6A0D4BCE"/>
    <w:rsid w:val="6A61D147"/>
    <w:rsid w:val="6A80ECF6"/>
    <w:rsid w:val="6A8557C4"/>
    <w:rsid w:val="6A9B6DF6"/>
    <w:rsid w:val="6AFC1311"/>
    <w:rsid w:val="6B589A21"/>
    <w:rsid w:val="6B5A3F7C"/>
    <w:rsid w:val="6B80D7FF"/>
    <w:rsid w:val="6B9992B8"/>
    <w:rsid w:val="6BD95185"/>
    <w:rsid w:val="6C753F52"/>
    <w:rsid w:val="6C8FEED6"/>
    <w:rsid w:val="6CB62E50"/>
    <w:rsid w:val="6CD90D74"/>
    <w:rsid w:val="6CDA0624"/>
    <w:rsid w:val="6CE8EE70"/>
    <w:rsid w:val="6D86FCAF"/>
    <w:rsid w:val="6D88C429"/>
    <w:rsid w:val="6E8E8CD3"/>
    <w:rsid w:val="6E9E9321"/>
    <w:rsid w:val="6EB4E2CC"/>
    <w:rsid w:val="6F26C02B"/>
    <w:rsid w:val="701625DA"/>
    <w:rsid w:val="702D1067"/>
    <w:rsid w:val="704CC38E"/>
    <w:rsid w:val="705C1211"/>
    <w:rsid w:val="70633900"/>
    <w:rsid w:val="70B7AD76"/>
    <w:rsid w:val="710177B5"/>
    <w:rsid w:val="714C9B32"/>
    <w:rsid w:val="718BE40F"/>
    <w:rsid w:val="71973B8C"/>
    <w:rsid w:val="71D61641"/>
    <w:rsid w:val="720E21D4"/>
    <w:rsid w:val="7240F1A5"/>
    <w:rsid w:val="725ECA4A"/>
    <w:rsid w:val="72800DDE"/>
    <w:rsid w:val="72DE5238"/>
    <w:rsid w:val="73277BC9"/>
    <w:rsid w:val="73496D11"/>
    <w:rsid w:val="736FBEC0"/>
    <w:rsid w:val="73A06282"/>
    <w:rsid w:val="73EDABA8"/>
    <w:rsid w:val="74248E0C"/>
    <w:rsid w:val="74BBED10"/>
    <w:rsid w:val="750595F5"/>
    <w:rsid w:val="750B8F21"/>
    <w:rsid w:val="765A3A77"/>
    <w:rsid w:val="7682ECA5"/>
    <w:rsid w:val="76C7BA9B"/>
    <w:rsid w:val="77133D94"/>
    <w:rsid w:val="772EC2BD"/>
    <w:rsid w:val="773A32E6"/>
    <w:rsid w:val="7764C1C3"/>
    <w:rsid w:val="778B3A8C"/>
    <w:rsid w:val="77CFFF22"/>
    <w:rsid w:val="77D32BE9"/>
    <w:rsid w:val="78B23ED9"/>
    <w:rsid w:val="791A3856"/>
    <w:rsid w:val="794B9866"/>
    <w:rsid w:val="79554981"/>
    <w:rsid w:val="7A2F3305"/>
    <w:rsid w:val="7A4255A9"/>
    <w:rsid w:val="7AE6F31D"/>
    <w:rsid w:val="7B5028F3"/>
    <w:rsid w:val="7CE6D4BA"/>
    <w:rsid w:val="7D715385"/>
    <w:rsid w:val="7E1769BB"/>
    <w:rsid w:val="7EE78D95"/>
    <w:rsid w:val="7F196FF1"/>
    <w:rsid w:val="7F1ECE64"/>
    <w:rsid w:val="7F25C416"/>
    <w:rsid w:val="7F90F50E"/>
    <w:rsid w:val="7FBF8C05"/>
    <w:rsid w:val="7FDE965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1E6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371">
    <w:lsdException w:name="Normal" w:qFormat="1"/>
    <w:lsdException w:name="heading 1" w:uiPriority="2" w:qFormat="1"/>
    <w:lsdException w:name="heading 2" w:uiPriority="9" w:qFormat="1"/>
    <w:lsdException w:name="heading 3" w:uiPriority="2" w:qFormat="1"/>
    <w:lsdException w:name="heading 4" w:uiPriority="9" w:qFormat="1"/>
    <w:lsdException w:name="heading 5" w:uiPriority="2" w:qFormat="1"/>
    <w:lsdException w:name="heading 6" w:uiPriority="9"/>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qFormat="1"/>
    <w:lsdException w:name="annotation text" w:semiHidden="1" w:uiPriority="99" w:unhideWhenUsed="1"/>
    <w:lsdException w:name="header" w:semiHidden="1" w:unhideWhenUsed="1" w:qFormat="1"/>
    <w:lsdException w:name="footer" w:semiHidden="1" w:uiPriority="99"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2B9B"/>
    <w:pPr>
      <w:widowControl w:val="0"/>
    </w:pPr>
    <w:rPr>
      <w:rFonts w:ascii="Arial" w:hAnsi="Arial"/>
      <w:sz w:val="22"/>
      <w:szCs w:val="24"/>
      <w:lang w:eastAsia="en-US" w:bidi="en-US"/>
    </w:rPr>
  </w:style>
  <w:style w:type="paragraph" w:styleId="Heading1">
    <w:name w:val="heading 1"/>
    <w:aliases w:val="FSHeading 1,Chapter heading"/>
    <w:basedOn w:val="Normal"/>
    <w:next w:val="Normal"/>
    <w:link w:val="Heading1Char"/>
    <w:uiPriority w:val="2"/>
    <w:qFormat/>
    <w:rsid w:val="007F7BF7"/>
    <w:pPr>
      <w:keepNext/>
      <w:numPr>
        <w:numId w:val="43"/>
      </w:numPr>
      <w:spacing w:before="240" w:after="240"/>
      <w:outlineLvl w:val="0"/>
    </w:pPr>
    <w:rPr>
      <w:b/>
      <w:bCs/>
      <w:sz w:val="36"/>
      <w:szCs w:val="28"/>
      <w:lang w:bidi="ar-SA"/>
    </w:rPr>
  </w:style>
  <w:style w:type="paragraph" w:styleId="Heading2">
    <w:name w:val="heading 2"/>
    <w:aliases w:val="FSHeading 2,Section heading,FS Heading 2"/>
    <w:basedOn w:val="Normal"/>
    <w:next w:val="Normal"/>
    <w:link w:val="Heading2Char"/>
    <w:uiPriority w:val="9"/>
    <w:unhideWhenUsed/>
    <w:qFormat/>
    <w:rsid w:val="00381E07"/>
    <w:pPr>
      <w:keepNext/>
      <w:numPr>
        <w:ilvl w:val="1"/>
        <w:numId w:val="43"/>
      </w:numPr>
      <w:spacing w:before="240" w:after="240"/>
      <w:outlineLvl w:val="1"/>
    </w:pPr>
    <w:rPr>
      <w:rFonts w:cs="Arial"/>
      <w:b/>
      <w:bCs/>
      <w:sz w:val="28"/>
      <w:szCs w:val="22"/>
      <w:lang w:bidi="ar-SA"/>
    </w:rPr>
  </w:style>
  <w:style w:type="paragraph" w:styleId="Heading3">
    <w:name w:val="heading 3"/>
    <w:aliases w:val="FSHeading 3,Subheading 1"/>
    <w:basedOn w:val="Normal"/>
    <w:next w:val="Normal"/>
    <w:link w:val="Heading3Char"/>
    <w:uiPriority w:val="2"/>
    <w:unhideWhenUsed/>
    <w:qFormat/>
    <w:rsid w:val="00850B09"/>
    <w:pPr>
      <w:keepNext/>
      <w:numPr>
        <w:ilvl w:val="2"/>
        <w:numId w:val="43"/>
      </w:numPr>
      <w:spacing w:before="240" w:after="240"/>
      <w:outlineLvl w:val="2"/>
    </w:pPr>
    <w:rPr>
      <w:b/>
      <w:bCs/>
      <w:lang w:eastAsia="en-AU" w:bidi="ar-SA"/>
    </w:rPr>
  </w:style>
  <w:style w:type="paragraph" w:styleId="Heading4">
    <w:name w:val="heading 4"/>
    <w:aliases w:val="FSHeading 4,Subheading 2"/>
    <w:basedOn w:val="Normal"/>
    <w:next w:val="Normal"/>
    <w:link w:val="Heading4Char"/>
    <w:uiPriority w:val="9"/>
    <w:unhideWhenUsed/>
    <w:qFormat/>
    <w:rsid w:val="00CA5734"/>
    <w:pPr>
      <w:keepNext/>
      <w:numPr>
        <w:ilvl w:val="3"/>
        <w:numId w:val="43"/>
      </w:numPr>
      <w:spacing w:before="240" w:after="240"/>
      <w:outlineLvl w:val="3"/>
    </w:pPr>
    <w:rPr>
      <w:b/>
      <w:bCs/>
      <w:i/>
      <w:iCs/>
      <w:szCs w:val="22"/>
      <w:lang w:bidi="ar-SA"/>
    </w:rPr>
  </w:style>
  <w:style w:type="paragraph" w:styleId="Heading5">
    <w:name w:val="heading 5"/>
    <w:aliases w:val="FSHeading 5,Subheading 3"/>
    <w:basedOn w:val="Normal"/>
    <w:next w:val="Normal"/>
    <w:link w:val="Heading5Char"/>
    <w:uiPriority w:val="2"/>
    <w:unhideWhenUsed/>
    <w:qFormat/>
    <w:rsid w:val="00CA5734"/>
    <w:pPr>
      <w:keepNext/>
      <w:numPr>
        <w:ilvl w:val="4"/>
        <w:numId w:val="43"/>
      </w:numPr>
      <w:spacing w:before="240" w:after="240"/>
      <w:outlineLvl w:val="4"/>
    </w:pPr>
    <w:rPr>
      <w:i/>
      <w:szCs w:val="22"/>
      <w:lang w:bidi="ar-SA"/>
    </w:rPr>
  </w:style>
  <w:style w:type="paragraph" w:styleId="Heading6">
    <w:name w:val="heading 6"/>
    <w:basedOn w:val="Normal"/>
    <w:next w:val="Normal"/>
    <w:link w:val="Heading6Char"/>
    <w:uiPriority w:val="9"/>
    <w:unhideWhenUsed/>
    <w:rsid w:val="00B731D3"/>
    <w:pPr>
      <w:numPr>
        <w:ilvl w:val="5"/>
        <w:numId w:val="43"/>
      </w:numPr>
      <w:spacing w:before="240" w:after="60"/>
      <w:outlineLvl w:val="5"/>
    </w:pPr>
    <w:rPr>
      <w:rFonts w:cs="Arial Unicode MS"/>
      <w:b/>
      <w:bCs/>
      <w:szCs w:val="22"/>
    </w:rPr>
  </w:style>
  <w:style w:type="paragraph" w:styleId="Heading7">
    <w:name w:val="heading 7"/>
    <w:basedOn w:val="Normal"/>
    <w:next w:val="Normal"/>
    <w:link w:val="Heading7Char"/>
    <w:uiPriority w:val="9"/>
    <w:unhideWhenUsed/>
    <w:rsid w:val="00B731D3"/>
    <w:pPr>
      <w:numPr>
        <w:ilvl w:val="6"/>
        <w:numId w:val="43"/>
      </w:numPr>
      <w:spacing w:before="240" w:after="60"/>
      <w:outlineLvl w:val="6"/>
    </w:pPr>
  </w:style>
  <w:style w:type="paragraph" w:styleId="Heading8">
    <w:name w:val="heading 8"/>
    <w:basedOn w:val="Normal"/>
    <w:next w:val="Normal"/>
    <w:link w:val="Heading8Char"/>
    <w:uiPriority w:val="9"/>
    <w:unhideWhenUsed/>
    <w:rsid w:val="00B731D3"/>
    <w:pPr>
      <w:numPr>
        <w:ilvl w:val="7"/>
        <w:numId w:val="43"/>
      </w:numPr>
      <w:spacing w:before="240" w:after="60"/>
      <w:outlineLvl w:val="7"/>
    </w:pPr>
    <w:rPr>
      <w:i/>
      <w:iCs/>
    </w:rPr>
  </w:style>
  <w:style w:type="paragraph" w:styleId="Heading9">
    <w:name w:val="heading 9"/>
    <w:basedOn w:val="Normal"/>
    <w:next w:val="Normal"/>
    <w:link w:val="Heading9Char"/>
    <w:uiPriority w:val="9"/>
    <w:unhideWhenUsed/>
    <w:rsid w:val="00B731D3"/>
    <w:pPr>
      <w:numPr>
        <w:ilvl w:val="8"/>
        <w:numId w:val="43"/>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link w:val="Heading1"/>
    <w:uiPriority w:val="2"/>
    <w:rsid w:val="007F7BF7"/>
    <w:rPr>
      <w:rFonts w:ascii="Arial" w:hAnsi="Arial"/>
      <w:b/>
      <w:bCs/>
      <w:sz w:val="36"/>
      <w:szCs w:val="28"/>
      <w:lang w:eastAsia="en-US"/>
    </w:rPr>
  </w:style>
  <w:style w:type="character" w:customStyle="1" w:styleId="Heading2Char">
    <w:name w:val="Heading 2 Char"/>
    <w:aliases w:val="FSHeading 2 Char,Section heading Char,FS Heading 2 Char"/>
    <w:link w:val="Heading2"/>
    <w:uiPriority w:val="9"/>
    <w:rsid w:val="00381E07"/>
    <w:rPr>
      <w:rFonts w:ascii="Arial" w:hAnsi="Arial" w:cs="Arial"/>
      <w:b/>
      <w:bCs/>
      <w:sz w:val="28"/>
      <w:szCs w:val="22"/>
      <w:lang w:eastAsia="en-US"/>
    </w:rPr>
  </w:style>
  <w:style w:type="character" w:customStyle="1" w:styleId="Heading3Char">
    <w:name w:val="Heading 3 Char"/>
    <w:aliases w:val="FSHeading 3 Char,Subheading 1 Char"/>
    <w:link w:val="Heading3"/>
    <w:uiPriority w:val="2"/>
    <w:rsid w:val="00850B09"/>
    <w:rPr>
      <w:rFonts w:ascii="Arial" w:hAnsi="Arial"/>
      <w:b/>
      <w:bCs/>
      <w:sz w:val="22"/>
      <w:szCs w:val="24"/>
      <w:lang w:eastAsia="en-AU"/>
    </w:rPr>
  </w:style>
  <w:style w:type="character" w:customStyle="1" w:styleId="Heading4Char">
    <w:name w:val="Heading 4 Char"/>
    <w:aliases w:val="FSHeading 4 Char,Subheading 2 Char"/>
    <w:link w:val="Heading4"/>
    <w:uiPriority w:val="9"/>
    <w:rsid w:val="00CA5734"/>
    <w:rPr>
      <w:rFonts w:ascii="Arial" w:hAnsi="Arial"/>
      <w:b/>
      <w:bCs/>
      <w:i/>
      <w:iCs/>
      <w:sz w:val="22"/>
      <w:szCs w:val="22"/>
      <w:lang w:eastAsia="en-US"/>
    </w:rPr>
  </w:style>
  <w:style w:type="character" w:customStyle="1" w:styleId="Heading5Char">
    <w:name w:val="Heading 5 Char"/>
    <w:aliases w:val="FSHeading 5 Char,Subheading 3 Char"/>
    <w:link w:val="Heading5"/>
    <w:uiPriority w:val="2"/>
    <w:rsid w:val="00CA5734"/>
    <w:rPr>
      <w:rFonts w:ascii="Arial" w:hAnsi="Arial"/>
      <w:i/>
      <w:sz w:val="22"/>
      <w:szCs w:val="22"/>
      <w:lang w:eastAsia="en-US"/>
    </w:rPr>
  </w:style>
  <w:style w:type="character" w:customStyle="1" w:styleId="Heading6Char">
    <w:name w:val="Heading 6 Char"/>
    <w:basedOn w:val="DefaultParagraphFont"/>
    <w:link w:val="Heading6"/>
    <w:uiPriority w:val="9"/>
    <w:rsid w:val="00B731D3"/>
    <w:rPr>
      <w:rFonts w:ascii="Arial" w:hAnsi="Arial" w:cs="Arial Unicode MS"/>
      <w:b/>
      <w:bCs/>
      <w:sz w:val="22"/>
      <w:szCs w:val="22"/>
      <w:lang w:eastAsia="en-US" w:bidi="en-US"/>
    </w:rPr>
  </w:style>
  <w:style w:type="character" w:customStyle="1" w:styleId="Heading7Char">
    <w:name w:val="Heading 7 Char"/>
    <w:basedOn w:val="DefaultParagraphFont"/>
    <w:link w:val="Heading7"/>
    <w:uiPriority w:val="9"/>
    <w:rsid w:val="00B731D3"/>
    <w:rPr>
      <w:rFonts w:ascii="Arial" w:hAnsi="Arial"/>
      <w:sz w:val="22"/>
      <w:szCs w:val="24"/>
      <w:lang w:eastAsia="en-US" w:bidi="en-US"/>
    </w:rPr>
  </w:style>
  <w:style w:type="character" w:customStyle="1" w:styleId="Heading8Char">
    <w:name w:val="Heading 8 Char"/>
    <w:basedOn w:val="DefaultParagraphFont"/>
    <w:link w:val="Heading8"/>
    <w:uiPriority w:val="9"/>
    <w:rsid w:val="00B731D3"/>
    <w:rPr>
      <w:rFonts w:ascii="Arial" w:hAnsi="Arial"/>
      <w:i/>
      <w:iCs/>
      <w:sz w:val="22"/>
      <w:szCs w:val="24"/>
      <w:lang w:eastAsia="en-US" w:bidi="en-US"/>
    </w:rPr>
  </w:style>
  <w:style w:type="character" w:customStyle="1" w:styleId="Heading9Char">
    <w:name w:val="Heading 9 Char"/>
    <w:basedOn w:val="DefaultParagraphFont"/>
    <w:link w:val="Heading9"/>
    <w:uiPriority w:val="9"/>
    <w:rsid w:val="00B731D3"/>
    <w:rPr>
      <w:rFonts w:ascii="Cambria" w:hAnsi="Cambria"/>
      <w:sz w:val="22"/>
      <w:szCs w:val="22"/>
      <w:lang w:eastAsia="en-US" w:bidi="en-US"/>
    </w:rPr>
  </w:style>
  <w:style w:type="character" w:styleId="Hyperlink">
    <w:name w:val="Hyperlink"/>
    <w:basedOn w:val="DefaultParagraphFont"/>
    <w:uiPriority w:val="99"/>
    <w:rsid w:val="007D0189"/>
    <w:rPr>
      <w:color w:val="3333FF"/>
      <w:u w:val="single"/>
    </w:rPr>
  </w:style>
  <w:style w:type="paragraph" w:styleId="Header">
    <w:name w:val="header"/>
    <w:aliases w:val="FSHeader"/>
    <w:basedOn w:val="Normal"/>
    <w:link w:val="HeaderChar"/>
    <w:qFormat/>
    <w:rsid w:val="00E777EC"/>
  </w:style>
  <w:style w:type="character" w:customStyle="1" w:styleId="HeaderChar">
    <w:name w:val="Header Char"/>
    <w:aliases w:val="FSHeader Char"/>
    <w:basedOn w:val="DefaultParagraphFont"/>
    <w:link w:val="Header"/>
    <w:rsid w:val="00616017"/>
    <w:rPr>
      <w:rFonts w:ascii="Arial" w:hAnsi="Arial"/>
      <w:sz w:val="22"/>
      <w:szCs w:val="24"/>
      <w:lang w:eastAsia="en-US" w:bidi="en-US"/>
    </w:rPr>
  </w:style>
  <w:style w:type="paragraph" w:customStyle="1" w:styleId="FSTitle">
    <w:name w:val="FS Title"/>
    <w:basedOn w:val="Normal"/>
    <w:qFormat/>
    <w:rsid w:val="00B425AA"/>
    <w:rPr>
      <w:rFonts w:cs="Tahoma"/>
      <w:bCs/>
      <w:sz w:val="32"/>
    </w:rPr>
  </w:style>
  <w:style w:type="paragraph" w:styleId="TOC1">
    <w:name w:val="toc 1"/>
    <w:basedOn w:val="Normal"/>
    <w:next w:val="Normal"/>
    <w:autoRedefine/>
    <w:uiPriority w:val="39"/>
    <w:rsid w:val="0012399E"/>
    <w:pPr>
      <w:tabs>
        <w:tab w:val="right" w:leader="dot" w:pos="9060"/>
      </w:tabs>
      <w:spacing w:before="120" w:after="120"/>
    </w:pPr>
    <w:rPr>
      <w:rFonts w:asciiTheme="minorHAnsi" w:hAnsiTheme="minorHAnsi" w:cstheme="minorHAnsi"/>
      <w:caps/>
      <w:noProof/>
      <w:sz w:val="20"/>
      <w:szCs w:val="20"/>
    </w:rPr>
  </w:style>
  <w:style w:type="paragraph" w:styleId="TOC2">
    <w:name w:val="toc 2"/>
    <w:basedOn w:val="Normal"/>
    <w:next w:val="Normal"/>
    <w:autoRedefine/>
    <w:uiPriority w:val="39"/>
    <w:rsid w:val="00035FF3"/>
    <w:pPr>
      <w:ind w:left="220"/>
    </w:pPr>
    <w:rPr>
      <w:rFonts w:asciiTheme="minorHAnsi" w:hAnsiTheme="minorHAnsi" w:cstheme="minorHAnsi"/>
      <w:smallCaps/>
      <w:sz w:val="20"/>
      <w:szCs w:val="20"/>
    </w:rPr>
  </w:style>
  <w:style w:type="paragraph" w:styleId="Footer">
    <w:name w:val="footer"/>
    <w:aliases w:val="FSFooter"/>
    <w:basedOn w:val="Normal"/>
    <w:link w:val="FooterChar"/>
    <w:uiPriority w:val="99"/>
    <w:qFormat/>
    <w:rsid w:val="000B427A"/>
    <w:pPr>
      <w:tabs>
        <w:tab w:val="center" w:pos="4153"/>
        <w:tab w:val="right" w:pos="8306"/>
      </w:tabs>
    </w:pPr>
    <w:rPr>
      <w:sz w:val="20"/>
    </w:rPr>
  </w:style>
  <w:style w:type="character" w:customStyle="1" w:styleId="FooterChar">
    <w:name w:val="Footer Char"/>
    <w:aliases w:val="FSFooter Char"/>
    <w:basedOn w:val="DefaultParagraphFont"/>
    <w:link w:val="Footer"/>
    <w:uiPriority w:val="99"/>
    <w:rsid w:val="000B427A"/>
    <w:rPr>
      <w:rFonts w:ascii="Arial" w:hAnsi="Arial"/>
      <w:szCs w:val="24"/>
      <w:lang w:eastAsia="en-US" w:bidi="en-US"/>
    </w:rPr>
  </w:style>
  <w:style w:type="character" w:styleId="PageNumber">
    <w:name w:val="page number"/>
    <w:basedOn w:val="DefaultParagraphFont"/>
    <w:rsid w:val="00C6434A"/>
    <w:rPr>
      <w:rFonts w:ascii="Arial" w:hAnsi="Arial"/>
      <w:sz w:val="20"/>
    </w:rPr>
  </w:style>
  <w:style w:type="paragraph" w:styleId="TOC3">
    <w:name w:val="toc 3"/>
    <w:basedOn w:val="Normal"/>
    <w:next w:val="Normal"/>
    <w:autoRedefine/>
    <w:uiPriority w:val="39"/>
    <w:rsid w:val="00A318EB"/>
    <w:pPr>
      <w:ind w:left="440"/>
    </w:pPr>
    <w:rPr>
      <w:rFonts w:asciiTheme="minorHAnsi" w:hAnsiTheme="minorHAnsi" w:cstheme="minorHAnsi"/>
      <w:i/>
      <w:iCs/>
      <w:sz w:val="20"/>
      <w:szCs w:val="20"/>
    </w:rPr>
  </w:style>
  <w:style w:type="paragraph" w:styleId="TOC4">
    <w:name w:val="toc 4"/>
    <w:basedOn w:val="Normal"/>
    <w:next w:val="Normal"/>
    <w:autoRedefine/>
    <w:uiPriority w:val="39"/>
    <w:rsid w:val="00A318EB"/>
    <w:pPr>
      <w:ind w:left="660"/>
    </w:pPr>
    <w:rPr>
      <w:rFonts w:asciiTheme="minorHAnsi" w:hAnsiTheme="minorHAnsi" w:cstheme="minorHAnsi"/>
      <w:sz w:val="18"/>
      <w:szCs w:val="18"/>
    </w:rPr>
  </w:style>
  <w:style w:type="paragraph" w:styleId="TOC5">
    <w:name w:val="toc 5"/>
    <w:basedOn w:val="Normal"/>
    <w:next w:val="Normal"/>
    <w:autoRedefine/>
    <w:uiPriority w:val="39"/>
    <w:rsid w:val="00A318EB"/>
    <w:pPr>
      <w:ind w:left="880"/>
    </w:pPr>
    <w:rPr>
      <w:rFonts w:asciiTheme="minorHAnsi" w:hAnsiTheme="minorHAnsi" w:cstheme="minorHAnsi"/>
      <w:sz w:val="18"/>
      <w:szCs w:val="18"/>
    </w:rPr>
  </w:style>
  <w:style w:type="character" w:styleId="FollowedHyperlink">
    <w:name w:val="FollowedHyperlink"/>
    <w:basedOn w:val="DefaultParagraphFont"/>
    <w:uiPriority w:val="99"/>
    <w:rsid w:val="007D0189"/>
    <w:rPr>
      <w:color w:val="3333FF"/>
      <w:u w:val="single"/>
    </w:rPr>
  </w:style>
  <w:style w:type="paragraph" w:styleId="TOC6">
    <w:name w:val="toc 6"/>
    <w:basedOn w:val="Normal"/>
    <w:next w:val="Normal"/>
    <w:autoRedefine/>
    <w:uiPriority w:val="39"/>
    <w:rsid w:val="00A318EB"/>
    <w:pPr>
      <w:ind w:left="1100"/>
    </w:pPr>
    <w:rPr>
      <w:rFonts w:asciiTheme="minorHAnsi" w:hAnsiTheme="minorHAnsi" w:cstheme="minorHAnsi"/>
      <w:sz w:val="18"/>
      <w:szCs w:val="18"/>
    </w:rPr>
  </w:style>
  <w:style w:type="paragraph" w:customStyle="1" w:styleId="Footnote">
    <w:name w:val="Footnote"/>
    <w:basedOn w:val="Normal"/>
    <w:link w:val="FootnoteChar"/>
    <w:rsid w:val="00E47D3B"/>
    <w:pPr>
      <w:tabs>
        <w:tab w:val="left" w:pos="851"/>
      </w:tabs>
    </w:pPr>
    <w:rPr>
      <w:sz w:val="18"/>
      <w:szCs w:val="20"/>
    </w:rPr>
  </w:style>
  <w:style w:type="character" w:customStyle="1" w:styleId="FootnoteChar">
    <w:name w:val="Footnote Char"/>
    <w:basedOn w:val="DefaultParagraphFont"/>
    <w:link w:val="Footnote"/>
    <w:rsid w:val="00DC14FC"/>
    <w:rPr>
      <w:rFonts w:ascii="Arial" w:hAnsi="Arial"/>
      <w:sz w:val="18"/>
      <w:lang w:eastAsia="en-US" w:bidi="en-US"/>
    </w:rPr>
  </w:style>
  <w:style w:type="paragraph" w:customStyle="1" w:styleId="Table1">
    <w:name w:val="Table 1"/>
    <w:basedOn w:val="Normal"/>
    <w:uiPriority w:val="20"/>
    <w:qFormat/>
    <w:rsid w:val="00C6434A"/>
    <w:pPr>
      <w:spacing w:after="120"/>
      <w:jc w:val="center"/>
    </w:pPr>
    <w:rPr>
      <w:b/>
      <w:bCs/>
      <w:sz w:val="18"/>
      <w:szCs w:val="20"/>
    </w:rPr>
  </w:style>
  <w:style w:type="paragraph" w:customStyle="1" w:styleId="Table2">
    <w:name w:val="Table 2"/>
    <w:basedOn w:val="Normal"/>
    <w:uiPriority w:val="20"/>
    <w:rsid w:val="005811B7"/>
    <w:pPr>
      <w:ind w:left="142" w:hanging="142"/>
    </w:pPr>
    <w:rPr>
      <w:bCs/>
      <w:sz w:val="18"/>
      <w:szCs w:val="20"/>
    </w:rPr>
  </w:style>
  <w:style w:type="paragraph" w:styleId="TOC7">
    <w:name w:val="toc 7"/>
    <w:basedOn w:val="Normal"/>
    <w:next w:val="Normal"/>
    <w:autoRedefine/>
    <w:uiPriority w:val="39"/>
    <w:rsid w:val="00A318EB"/>
    <w:pPr>
      <w:ind w:left="1320"/>
    </w:pPr>
    <w:rPr>
      <w:rFonts w:asciiTheme="minorHAnsi" w:hAnsiTheme="minorHAnsi" w:cstheme="minorHAnsi"/>
      <w:sz w:val="18"/>
      <w:szCs w:val="18"/>
    </w:rPr>
  </w:style>
  <w:style w:type="paragraph" w:styleId="TOC8">
    <w:name w:val="toc 8"/>
    <w:basedOn w:val="Normal"/>
    <w:next w:val="Normal"/>
    <w:autoRedefine/>
    <w:uiPriority w:val="39"/>
    <w:rsid w:val="00A318EB"/>
    <w:pPr>
      <w:ind w:left="1540"/>
    </w:pPr>
    <w:rPr>
      <w:rFonts w:asciiTheme="minorHAnsi" w:hAnsiTheme="minorHAnsi" w:cstheme="minorHAnsi"/>
      <w:sz w:val="18"/>
      <w:szCs w:val="18"/>
    </w:rPr>
  </w:style>
  <w:style w:type="paragraph" w:styleId="TOC9">
    <w:name w:val="toc 9"/>
    <w:basedOn w:val="Normal"/>
    <w:next w:val="Normal"/>
    <w:autoRedefine/>
    <w:uiPriority w:val="39"/>
    <w:rsid w:val="00A318EB"/>
    <w:pPr>
      <w:ind w:left="1760"/>
    </w:pPr>
    <w:rPr>
      <w:rFonts w:asciiTheme="minorHAnsi" w:hAnsiTheme="minorHAnsi" w:cstheme="minorHAnsi"/>
      <w:sz w:val="18"/>
      <w:szCs w:val="18"/>
    </w:rPr>
  </w:style>
  <w:style w:type="paragraph" w:styleId="FootnoteText">
    <w:name w:val="footnote text"/>
    <w:aliases w:val="Footnotes Text,FSFootnotes Text,FSFootnote Text"/>
    <w:basedOn w:val="Normal"/>
    <w:link w:val="FootnoteTextChar"/>
    <w:uiPriority w:val="5"/>
    <w:qFormat/>
    <w:rsid w:val="00A318EB"/>
    <w:rPr>
      <w:sz w:val="20"/>
      <w:szCs w:val="20"/>
    </w:rPr>
  </w:style>
  <w:style w:type="character" w:customStyle="1" w:styleId="FootnoteTextChar">
    <w:name w:val="Footnote Text Char"/>
    <w:aliases w:val="Footnotes Text Char,FSFootnotes Text Char,FSFootnote Text Char"/>
    <w:basedOn w:val="DefaultParagraphFont"/>
    <w:link w:val="FootnoteText"/>
    <w:uiPriority w:val="5"/>
    <w:rsid w:val="006E10A1"/>
    <w:rPr>
      <w:rFonts w:ascii="Arial" w:hAnsi="Arial"/>
      <w:lang w:eastAsia="en-US" w:bidi="en-US"/>
    </w:rPr>
  </w:style>
  <w:style w:type="character" w:styleId="FootnoteReference">
    <w:name w:val="footnote reference"/>
    <w:basedOn w:val="DefaultParagraphFont"/>
    <w:uiPriority w:val="99"/>
    <w:rsid w:val="00A318EB"/>
    <w:rPr>
      <w:vertAlign w:val="superscript"/>
    </w:rPr>
  </w:style>
  <w:style w:type="paragraph" w:styleId="BalloonText">
    <w:name w:val="Balloon Text"/>
    <w:basedOn w:val="Normal"/>
    <w:link w:val="BalloonTextChar"/>
    <w:uiPriority w:val="99"/>
    <w:semiHidden/>
    <w:rsid w:val="00BD2A39"/>
    <w:rPr>
      <w:rFonts w:ascii="Tahoma" w:hAnsi="Tahoma" w:cs="Tahoma"/>
      <w:sz w:val="16"/>
      <w:szCs w:val="16"/>
    </w:rPr>
  </w:style>
  <w:style w:type="character" w:customStyle="1" w:styleId="BalloonTextChar">
    <w:name w:val="Balloon Text Char"/>
    <w:basedOn w:val="DefaultParagraphFont"/>
    <w:link w:val="BalloonText"/>
    <w:uiPriority w:val="99"/>
    <w:semiHidden/>
    <w:rsid w:val="00CB7716"/>
    <w:rPr>
      <w:rFonts w:ascii="Tahoma" w:hAnsi="Tahoma" w:cs="Tahoma"/>
      <w:sz w:val="16"/>
      <w:szCs w:val="16"/>
      <w:lang w:eastAsia="en-US" w:bidi="en-US"/>
    </w:rPr>
  </w:style>
  <w:style w:type="paragraph" w:styleId="TOCHeading">
    <w:name w:val="TOC Heading"/>
    <w:basedOn w:val="Heading1"/>
    <w:next w:val="Normal"/>
    <w:uiPriority w:val="39"/>
    <w:semiHidden/>
    <w:unhideWhenUsed/>
    <w:qFormat/>
    <w:rsid w:val="00B731D3"/>
    <w:pPr>
      <w:numPr>
        <w:numId w:val="42"/>
      </w:numPr>
      <w:outlineLvl w:val="9"/>
    </w:pPr>
  </w:style>
  <w:style w:type="table" w:styleId="TableGrid">
    <w:name w:val="Table Grid"/>
    <w:basedOn w:val="TableNormal"/>
    <w:uiPriority w:val="59"/>
    <w:rsid w:val="00E777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STableTitle">
    <w:name w:val="FS Table Title"/>
    <w:basedOn w:val="Normal"/>
    <w:next w:val="Normal"/>
    <w:qFormat/>
    <w:rsid w:val="005B6AF4"/>
    <w:rPr>
      <w:rFonts w:cs="Arial"/>
      <w:b/>
    </w:rPr>
  </w:style>
  <w:style w:type="paragraph" w:customStyle="1" w:styleId="FSTableHeading">
    <w:name w:val="FS Table Heading"/>
    <w:basedOn w:val="Normal"/>
    <w:qFormat/>
    <w:rsid w:val="008C4E76"/>
    <w:pPr>
      <w:spacing w:before="60" w:after="60"/>
      <w:jc w:val="center"/>
    </w:pPr>
    <w:rPr>
      <w:rFonts w:cs="Arial"/>
      <w:b/>
      <w:sz w:val="20"/>
      <w:szCs w:val="20"/>
    </w:rPr>
  </w:style>
  <w:style w:type="paragraph" w:customStyle="1" w:styleId="FSTableText">
    <w:name w:val="FS Table Text"/>
    <w:basedOn w:val="Normal"/>
    <w:qFormat/>
    <w:rsid w:val="005B6AF4"/>
    <w:rPr>
      <w:rFonts w:cs="Arial"/>
      <w:sz w:val="20"/>
      <w:szCs w:val="20"/>
    </w:rPr>
  </w:style>
  <w:style w:type="paragraph" w:customStyle="1" w:styleId="FSFigureTitle">
    <w:name w:val="FS Figure Title"/>
    <w:basedOn w:val="Normal"/>
    <w:next w:val="Normal"/>
    <w:qFormat/>
    <w:rsid w:val="005B6AF4"/>
    <w:rPr>
      <w:rFonts w:cs="Arial"/>
      <w:i/>
    </w:rPr>
  </w:style>
  <w:style w:type="paragraph" w:styleId="CommentText">
    <w:name w:val="annotation text"/>
    <w:basedOn w:val="Normal"/>
    <w:link w:val="CommentTextChar"/>
    <w:uiPriority w:val="99"/>
    <w:rsid w:val="00AF387F"/>
    <w:rPr>
      <w:sz w:val="20"/>
      <w:szCs w:val="20"/>
    </w:rPr>
  </w:style>
  <w:style w:type="character" w:customStyle="1" w:styleId="CommentTextChar">
    <w:name w:val="Comment Text Char"/>
    <w:basedOn w:val="DefaultParagraphFont"/>
    <w:link w:val="CommentText"/>
    <w:uiPriority w:val="99"/>
    <w:rsid w:val="00AF387F"/>
    <w:rPr>
      <w:rFonts w:ascii="Arial" w:hAnsi="Arial"/>
      <w:lang w:eastAsia="en-US" w:bidi="en-US"/>
    </w:rPr>
  </w:style>
  <w:style w:type="table" w:styleId="TableColorful3">
    <w:name w:val="Table Colorful 3"/>
    <w:basedOn w:val="TableNormal"/>
    <w:rsid w:val="009478A1"/>
    <w:pPr>
      <w:widowControl w:val="0"/>
      <w:spacing w:before="12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2">
    <w:name w:val="Table Classic 2"/>
    <w:basedOn w:val="TableNormal"/>
    <w:rsid w:val="009478A1"/>
    <w:pPr>
      <w:widowControl w:val="0"/>
      <w:spacing w:before="12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9478A1"/>
    <w:pPr>
      <w:widowControl w:val="0"/>
      <w:spacing w:before="12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MediumShading1-Accent3">
    <w:name w:val="Medium Shading 1 Accent 3"/>
    <w:basedOn w:val="TableNormal"/>
    <w:uiPriority w:val="63"/>
    <w:rsid w:val="00421730"/>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paragraph" w:customStyle="1" w:styleId="FSBullet1">
    <w:name w:val="FSBullet 1"/>
    <w:basedOn w:val="Normal"/>
    <w:next w:val="Normal"/>
    <w:link w:val="FSBullet1Char"/>
    <w:uiPriority w:val="6"/>
    <w:qFormat/>
    <w:rsid w:val="00EA2226"/>
    <w:pPr>
      <w:widowControl/>
      <w:numPr>
        <w:numId w:val="1"/>
      </w:numPr>
    </w:pPr>
    <w:rPr>
      <w:rFonts w:cs="Arial"/>
      <w:lang w:bidi="ar-SA"/>
    </w:rPr>
  </w:style>
  <w:style w:type="character" w:customStyle="1" w:styleId="FSBullet1Char">
    <w:name w:val="FSBullet 1 Char"/>
    <w:link w:val="FSBullet1"/>
    <w:uiPriority w:val="6"/>
    <w:rsid w:val="00EA2226"/>
    <w:rPr>
      <w:rFonts w:ascii="Arial" w:hAnsi="Arial" w:cs="Arial"/>
      <w:sz w:val="22"/>
      <w:szCs w:val="24"/>
      <w:lang w:eastAsia="en-US"/>
    </w:rPr>
  </w:style>
  <w:style w:type="paragraph" w:customStyle="1" w:styleId="FSBullet2">
    <w:name w:val="FSBullet 2"/>
    <w:basedOn w:val="Normal"/>
    <w:uiPriority w:val="6"/>
    <w:qFormat/>
    <w:rsid w:val="00DD265C"/>
    <w:pPr>
      <w:widowControl/>
      <w:numPr>
        <w:numId w:val="2"/>
      </w:numPr>
    </w:pPr>
    <w:rPr>
      <w:rFonts w:eastAsia="Calibri"/>
      <w:szCs w:val="22"/>
      <w:lang w:bidi="ar-SA"/>
    </w:rPr>
  </w:style>
  <w:style w:type="paragraph" w:customStyle="1" w:styleId="FSBullet3">
    <w:name w:val="FSBullet 3"/>
    <w:basedOn w:val="Normal"/>
    <w:uiPriority w:val="6"/>
    <w:qFormat/>
    <w:rsid w:val="0015187A"/>
    <w:pPr>
      <w:keepNext/>
      <w:widowControl/>
      <w:numPr>
        <w:numId w:val="3"/>
      </w:numPr>
    </w:pPr>
    <w:rPr>
      <w:rFonts w:eastAsia="Calibri"/>
      <w:szCs w:val="22"/>
      <w:lang w:bidi="ar-SA"/>
    </w:rPr>
  </w:style>
  <w:style w:type="table" w:styleId="MediumList1-Accent5">
    <w:name w:val="Medium List 1 Accent 5"/>
    <w:basedOn w:val="TableNormal"/>
    <w:uiPriority w:val="65"/>
    <w:rsid w:val="000524F0"/>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2-Accent5">
    <w:name w:val="Medium List 2 Accent 5"/>
    <w:basedOn w:val="TableNormal"/>
    <w:uiPriority w:val="66"/>
    <w:rsid w:val="000524F0"/>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Accent5">
    <w:name w:val="Medium Shading 1 Accent 5"/>
    <w:basedOn w:val="TableNormal"/>
    <w:uiPriority w:val="63"/>
    <w:rsid w:val="000524F0"/>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paragraph" w:customStyle="1" w:styleId="Default">
    <w:name w:val="Default"/>
    <w:rsid w:val="007D0189"/>
    <w:pPr>
      <w:autoSpaceDE w:val="0"/>
      <w:autoSpaceDN w:val="0"/>
      <w:adjustRightInd w:val="0"/>
    </w:pPr>
    <w:rPr>
      <w:rFonts w:ascii="Times New Roman" w:hAnsi="Times New Roman"/>
      <w:color w:val="000000"/>
      <w:sz w:val="24"/>
      <w:szCs w:val="24"/>
      <w:lang w:val="en-AU"/>
    </w:rPr>
  </w:style>
  <w:style w:type="paragraph" w:styleId="Revision">
    <w:name w:val="Revision"/>
    <w:hidden/>
    <w:uiPriority w:val="99"/>
    <w:semiHidden/>
    <w:rsid w:val="001122EC"/>
    <w:rPr>
      <w:rFonts w:ascii="Arial" w:hAnsi="Arial"/>
      <w:sz w:val="22"/>
      <w:szCs w:val="24"/>
      <w:lang w:eastAsia="en-US" w:bidi="en-US"/>
    </w:rPr>
  </w:style>
  <w:style w:type="paragraph" w:customStyle="1" w:styleId="FSCbaseheading">
    <w:name w:val="FSC_base_heading"/>
    <w:rsid w:val="00292B9B"/>
    <w:pPr>
      <w:keepNext/>
      <w:keepLines/>
      <w:spacing w:before="360"/>
      <w:ind w:left="2835" w:hanging="2835"/>
    </w:pPr>
    <w:rPr>
      <w:rFonts w:ascii="Arial" w:hAnsi="Arial" w:cs="Arial"/>
      <w:b/>
      <w:bCs/>
      <w:kern w:val="32"/>
      <w:sz w:val="24"/>
      <w:szCs w:val="32"/>
      <w:lang w:eastAsia="en-AU"/>
    </w:rPr>
  </w:style>
  <w:style w:type="paragraph" w:customStyle="1" w:styleId="FSCbasepara">
    <w:name w:val="FSC_base_para"/>
    <w:rsid w:val="00292B9B"/>
    <w:pPr>
      <w:keepLines/>
      <w:spacing w:before="120"/>
      <w:ind w:left="1701" w:hanging="1701"/>
    </w:pPr>
    <w:rPr>
      <w:rFonts w:ascii="Arial" w:hAnsi="Arial" w:cs="Arial"/>
      <w:iCs/>
      <w:szCs w:val="22"/>
      <w:lang w:eastAsia="en-AU"/>
    </w:rPr>
  </w:style>
  <w:style w:type="paragraph" w:customStyle="1" w:styleId="FSCbasetbl">
    <w:name w:val="FSC_base_tbl"/>
    <w:basedOn w:val="FSCbasepara"/>
    <w:rsid w:val="00292B9B"/>
    <w:pPr>
      <w:spacing w:before="60" w:after="60"/>
      <w:ind w:left="0" w:firstLine="0"/>
    </w:pPr>
    <w:rPr>
      <w:sz w:val="18"/>
    </w:rPr>
  </w:style>
  <w:style w:type="paragraph" w:customStyle="1" w:styleId="FSCbaseTOC">
    <w:name w:val="FSC_base_TOC"/>
    <w:rsid w:val="00292B9B"/>
    <w:pPr>
      <w:tabs>
        <w:tab w:val="right" w:pos="8278"/>
      </w:tabs>
      <w:ind w:left="2126" w:hanging="2126"/>
    </w:pPr>
    <w:rPr>
      <w:rFonts w:ascii="Arial" w:hAnsi="Arial" w:cs="Arial"/>
      <w:noProof/>
      <w:szCs w:val="22"/>
      <w:lang w:eastAsia="en-AU"/>
    </w:rPr>
  </w:style>
  <w:style w:type="paragraph" w:customStyle="1" w:styleId="FSCDraftingitem">
    <w:name w:val="FSC_Drafting_item"/>
    <w:basedOn w:val="Normal"/>
    <w:qFormat/>
    <w:rsid w:val="00292B9B"/>
    <w:pPr>
      <w:widowControl/>
      <w:tabs>
        <w:tab w:val="left" w:pos="851"/>
      </w:tabs>
      <w:spacing w:before="120" w:after="120"/>
    </w:pPr>
    <w:rPr>
      <w:sz w:val="20"/>
      <w:szCs w:val="20"/>
      <w:lang w:bidi="ar-SA"/>
    </w:rPr>
  </w:style>
  <w:style w:type="paragraph" w:customStyle="1" w:styleId="FSCDraftingitemheading">
    <w:name w:val="FSC_Drafting_item_heading"/>
    <w:basedOn w:val="Normal"/>
    <w:qFormat/>
    <w:rsid w:val="00292B9B"/>
    <w:pPr>
      <w:spacing w:before="120" w:after="120"/>
      <w:ind w:left="851" w:hanging="851"/>
    </w:pPr>
    <w:rPr>
      <w:b/>
      <w:sz w:val="20"/>
      <w:szCs w:val="20"/>
      <w:lang w:bidi="ar-SA"/>
    </w:rPr>
  </w:style>
  <w:style w:type="paragraph" w:customStyle="1" w:styleId="FSCfooter">
    <w:name w:val="FSC_footer"/>
    <w:basedOn w:val="Normal"/>
    <w:rsid w:val="00292B9B"/>
    <w:pPr>
      <w:widowControl/>
      <w:tabs>
        <w:tab w:val="center" w:pos="4536"/>
        <w:tab w:val="right" w:pos="9072"/>
      </w:tabs>
    </w:pPr>
    <w:rPr>
      <w:sz w:val="18"/>
      <w:szCs w:val="20"/>
      <w:lang w:bidi="ar-SA"/>
    </w:rPr>
  </w:style>
  <w:style w:type="paragraph" w:customStyle="1" w:styleId="FSCh1Chap">
    <w:name w:val="FSC_h1_Chap"/>
    <w:basedOn w:val="FSCbaseheading"/>
    <w:next w:val="FSCh2Part"/>
    <w:qFormat/>
    <w:rsid w:val="00292B9B"/>
    <w:pPr>
      <w:spacing w:before="0" w:after="240"/>
      <w:outlineLvl w:val="0"/>
    </w:pPr>
    <w:rPr>
      <w:bCs w:val="0"/>
      <w:sz w:val="40"/>
    </w:rPr>
  </w:style>
  <w:style w:type="paragraph" w:customStyle="1" w:styleId="FSCh2Part">
    <w:name w:val="FSC_h2_Part"/>
    <w:basedOn w:val="FSCbaseheading"/>
    <w:next w:val="FSCh3Standard"/>
    <w:qFormat/>
    <w:rsid w:val="00292B9B"/>
    <w:pPr>
      <w:spacing w:before="240" w:after="240"/>
      <w:outlineLvl w:val="1"/>
    </w:pPr>
    <w:rPr>
      <w:bCs w:val="0"/>
      <w:sz w:val="36"/>
      <w:szCs w:val="22"/>
    </w:rPr>
  </w:style>
  <w:style w:type="paragraph" w:customStyle="1" w:styleId="FSCh3Standard">
    <w:name w:val="FSC_h3_Standard"/>
    <w:basedOn w:val="FSCbaseheading"/>
    <w:next w:val="FSCh5Section"/>
    <w:qFormat/>
    <w:rsid w:val="00292B9B"/>
    <w:pPr>
      <w:spacing w:before="0" w:after="240"/>
      <w:outlineLvl w:val="2"/>
    </w:pPr>
    <w:rPr>
      <w:sz w:val="32"/>
    </w:rPr>
  </w:style>
  <w:style w:type="paragraph" w:customStyle="1" w:styleId="FSCh5Section">
    <w:name w:val="FSC_h5_Section"/>
    <w:basedOn w:val="FSCbaseheading"/>
    <w:next w:val="FSCtMain"/>
    <w:qFormat/>
    <w:rsid w:val="00292B9B"/>
    <w:pPr>
      <w:keepLines w:val="0"/>
      <w:widowControl w:val="0"/>
      <w:spacing w:before="240" w:after="120"/>
      <w:ind w:left="1701" w:hanging="1701"/>
      <w:outlineLvl w:val="4"/>
    </w:pPr>
    <w:rPr>
      <w:rFonts w:cs="Times New Roman"/>
      <w:sz w:val="22"/>
      <w:szCs w:val="24"/>
    </w:rPr>
  </w:style>
  <w:style w:type="paragraph" w:customStyle="1" w:styleId="FSCtMain">
    <w:name w:val="FSC_t_Main"/>
    <w:basedOn w:val="FSCbasepara"/>
    <w:rsid w:val="00292B9B"/>
    <w:pPr>
      <w:keepLines w:val="0"/>
      <w:widowControl w:val="0"/>
      <w:tabs>
        <w:tab w:val="left" w:pos="1134"/>
      </w:tabs>
      <w:spacing w:after="120"/>
    </w:pPr>
  </w:style>
  <w:style w:type="paragraph" w:customStyle="1" w:styleId="FSCh3Contents">
    <w:name w:val="FSC_h3_Contents"/>
    <w:basedOn w:val="FSCh3Standard"/>
    <w:rsid w:val="00292B9B"/>
    <w:pPr>
      <w:ind w:left="0" w:firstLine="0"/>
      <w:jc w:val="center"/>
    </w:pPr>
  </w:style>
  <w:style w:type="paragraph" w:customStyle="1" w:styleId="FSCh4Div">
    <w:name w:val="FSC_h4_Div"/>
    <w:basedOn w:val="FSCbaseheading"/>
    <w:next w:val="FSCh5Section"/>
    <w:qFormat/>
    <w:rsid w:val="00292B9B"/>
    <w:pPr>
      <w:keepNext w:val="0"/>
      <w:keepLines w:val="0"/>
      <w:widowControl w:val="0"/>
      <w:spacing w:before="240" w:after="240"/>
      <w:ind w:left="1701" w:hanging="1701"/>
      <w:outlineLvl w:val="3"/>
    </w:pPr>
    <w:rPr>
      <w:rFonts w:cs="Times New Roman"/>
      <w:sz w:val="26"/>
    </w:rPr>
  </w:style>
  <w:style w:type="paragraph" w:customStyle="1" w:styleId="FSCh5SchItem">
    <w:name w:val="FSC_h5_Sch_Item"/>
    <w:basedOn w:val="Normal"/>
    <w:next w:val="Normal"/>
    <w:qFormat/>
    <w:rsid w:val="00292B9B"/>
    <w:pPr>
      <w:keepNext/>
      <w:keepLines/>
      <w:widowControl/>
      <w:spacing w:before="360" w:after="60"/>
      <w:ind w:left="964" w:hanging="964"/>
    </w:pPr>
    <w:rPr>
      <w:rFonts w:cs="Arial"/>
      <w:b/>
      <w:bCs/>
      <w:kern w:val="32"/>
      <w:sz w:val="24"/>
      <w:szCs w:val="32"/>
      <w:lang w:val="en-AU" w:eastAsia="en-AU" w:bidi="ar-SA"/>
    </w:rPr>
  </w:style>
  <w:style w:type="paragraph" w:customStyle="1" w:styleId="FSCh6Subsec">
    <w:name w:val="FSC_h6_Subsec"/>
    <w:basedOn w:val="FSCbaseheading"/>
    <w:next w:val="FSCtMain"/>
    <w:qFormat/>
    <w:rsid w:val="00292B9B"/>
    <w:pPr>
      <w:keepLines w:val="0"/>
      <w:widowControl w:val="0"/>
      <w:spacing w:before="120" w:after="60"/>
      <w:ind w:left="1701" w:firstLine="0"/>
    </w:pPr>
    <w:rPr>
      <w:b w:val="0"/>
      <w:i/>
      <w:sz w:val="20"/>
    </w:rPr>
  </w:style>
  <w:style w:type="paragraph" w:customStyle="1" w:styleId="FSCnatHeading">
    <w:name w:val="FSC_n_at_Heading"/>
    <w:basedOn w:val="FSCtMain"/>
    <w:qFormat/>
    <w:rsid w:val="00292B9B"/>
    <w:pPr>
      <w:ind w:left="851" w:hanging="851"/>
    </w:pPr>
    <w:rPr>
      <w:sz w:val="16"/>
    </w:rPr>
  </w:style>
  <w:style w:type="paragraph" w:customStyle="1" w:styleId="FSCtPara">
    <w:name w:val="FSC_t_Para"/>
    <w:basedOn w:val="FSCtMain"/>
    <w:qFormat/>
    <w:rsid w:val="00292B9B"/>
    <w:pPr>
      <w:tabs>
        <w:tab w:val="clear" w:pos="1134"/>
        <w:tab w:val="left" w:pos="1701"/>
      </w:tabs>
      <w:spacing w:before="60" w:after="60"/>
      <w:ind w:left="2268" w:hanging="2268"/>
    </w:pPr>
  </w:style>
  <w:style w:type="paragraph" w:customStyle="1" w:styleId="FSCnMain">
    <w:name w:val="FSC_n_Main"/>
    <w:basedOn w:val="FSCtPara"/>
    <w:qFormat/>
    <w:rsid w:val="00292B9B"/>
    <w:rPr>
      <w:iCs w:val="0"/>
      <w:sz w:val="16"/>
      <w:szCs w:val="18"/>
    </w:rPr>
  </w:style>
  <w:style w:type="paragraph" w:customStyle="1" w:styleId="FSCtSubpara">
    <w:name w:val="FSC_t_Subpara"/>
    <w:basedOn w:val="FSCtMain"/>
    <w:qFormat/>
    <w:rsid w:val="00292B9B"/>
    <w:pPr>
      <w:tabs>
        <w:tab w:val="clear" w:pos="1134"/>
        <w:tab w:val="left" w:pos="2268"/>
      </w:tabs>
      <w:spacing w:before="60" w:after="60"/>
      <w:ind w:left="2835" w:hanging="2835"/>
    </w:pPr>
  </w:style>
  <w:style w:type="paragraph" w:customStyle="1" w:styleId="FSCnPara">
    <w:name w:val="FSC_n_Para"/>
    <w:basedOn w:val="FSCtSubpara"/>
    <w:qFormat/>
    <w:rsid w:val="00292B9B"/>
    <w:rPr>
      <w:sz w:val="16"/>
    </w:rPr>
  </w:style>
  <w:style w:type="paragraph" w:customStyle="1" w:styleId="FSCtSubsub">
    <w:name w:val="FSC_t_Subsub"/>
    <w:basedOn w:val="FSCtPara"/>
    <w:qFormat/>
    <w:rsid w:val="00292B9B"/>
    <w:pPr>
      <w:tabs>
        <w:tab w:val="clear" w:pos="1701"/>
        <w:tab w:val="left" w:pos="2835"/>
      </w:tabs>
      <w:ind w:left="3402" w:hanging="3402"/>
    </w:pPr>
  </w:style>
  <w:style w:type="paragraph" w:customStyle="1" w:styleId="FSCnSubpara">
    <w:name w:val="FSC_n_Subpara"/>
    <w:basedOn w:val="FSCtSubsub"/>
    <w:qFormat/>
    <w:rsid w:val="00292B9B"/>
    <w:rPr>
      <w:sz w:val="16"/>
    </w:rPr>
  </w:style>
  <w:style w:type="paragraph" w:customStyle="1" w:styleId="FSCnSubsub">
    <w:name w:val="FSC_n_Subsub"/>
    <w:basedOn w:val="FSCnSubpara"/>
    <w:qFormat/>
    <w:rsid w:val="00292B9B"/>
    <w:pPr>
      <w:tabs>
        <w:tab w:val="clear" w:pos="2835"/>
        <w:tab w:val="left" w:pos="3402"/>
      </w:tabs>
      <w:ind w:left="3969" w:hanging="3969"/>
    </w:pPr>
  </w:style>
  <w:style w:type="paragraph" w:customStyle="1" w:styleId="FSCoContents">
    <w:name w:val="FSC_o_Contents"/>
    <w:basedOn w:val="FSCh2Part"/>
    <w:rsid w:val="00292B9B"/>
    <w:pPr>
      <w:ind w:left="0" w:firstLine="0"/>
      <w:jc w:val="center"/>
    </w:pPr>
  </w:style>
  <w:style w:type="paragraph" w:customStyle="1" w:styleId="FSCoDraftstrip">
    <w:name w:val="FSC_o_Draft_strip"/>
    <w:basedOn w:val="Normal"/>
    <w:rsid w:val="00292B9B"/>
    <w:pPr>
      <w:widowControl/>
      <w:shd w:val="clear" w:color="auto" w:fill="99CCFF"/>
      <w:tabs>
        <w:tab w:val="center" w:pos="4253"/>
        <w:tab w:val="right" w:pos="8505"/>
      </w:tabs>
    </w:pPr>
    <w:rPr>
      <w:rFonts w:cs="Arial"/>
      <w:b/>
      <w:sz w:val="32"/>
      <w:szCs w:val="32"/>
      <w:lang w:eastAsia="en-AU" w:bidi="ar-SA"/>
    </w:rPr>
  </w:style>
  <w:style w:type="paragraph" w:customStyle="1" w:styleId="FSCoDraftersComment">
    <w:name w:val="FSC_o_Drafters_Comment"/>
    <w:basedOn w:val="Normal"/>
    <w:rsid w:val="00292B9B"/>
    <w:pPr>
      <w:widowControl/>
      <w:tabs>
        <w:tab w:val="left" w:pos="737"/>
        <w:tab w:val="left" w:pos="1191"/>
        <w:tab w:val="left" w:pos="1644"/>
      </w:tabs>
      <w:spacing w:before="80" w:line="260" w:lineRule="atLeast"/>
    </w:pPr>
    <w:rPr>
      <w:rFonts w:eastAsia="Calibri"/>
      <w:color w:val="7030A0"/>
      <w:szCs w:val="20"/>
      <w:lang w:bidi="ar-SA"/>
    </w:rPr>
  </w:style>
  <w:style w:type="paragraph" w:customStyle="1" w:styleId="FSCoExplainTemplate">
    <w:name w:val="FSC_o_Explain_Template"/>
    <w:basedOn w:val="Normal"/>
    <w:qFormat/>
    <w:rsid w:val="00292B9B"/>
    <w:pPr>
      <w:widowControl/>
      <w:spacing w:before="80"/>
    </w:pPr>
    <w:rPr>
      <w:color w:val="7030A0"/>
      <w:lang w:eastAsia="en-AU" w:bidi="ar-SA"/>
    </w:rPr>
  </w:style>
  <w:style w:type="paragraph" w:customStyle="1" w:styleId="FSCoFooter">
    <w:name w:val="FSC_o_Footer"/>
    <w:basedOn w:val="Normal"/>
    <w:rsid w:val="00292B9B"/>
    <w:pPr>
      <w:widowControl/>
      <w:tabs>
        <w:tab w:val="center" w:pos="4153"/>
        <w:tab w:val="right" w:pos="8363"/>
      </w:tabs>
      <w:spacing w:before="20" w:after="40"/>
      <w:jc w:val="center"/>
    </w:pPr>
    <w:rPr>
      <w:i/>
      <w:sz w:val="18"/>
      <w:lang w:eastAsia="en-AU" w:bidi="ar-SA"/>
    </w:rPr>
  </w:style>
  <w:style w:type="paragraph" w:customStyle="1" w:styleId="FSCoFooterdraft">
    <w:name w:val="FSC_o_Footer_draft"/>
    <w:basedOn w:val="Normal"/>
    <w:rsid w:val="00292B9B"/>
    <w:pPr>
      <w:widowControl/>
      <w:tabs>
        <w:tab w:val="center" w:pos="4253"/>
        <w:tab w:val="right" w:pos="8505"/>
      </w:tabs>
      <w:spacing w:before="100"/>
      <w:jc w:val="both"/>
    </w:pPr>
    <w:rPr>
      <w:b/>
      <w:sz w:val="40"/>
      <w:lang w:eastAsia="en-AU" w:bidi="ar-SA"/>
    </w:rPr>
  </w:style>
  <w:style w:type="paragraph" w:customStyle="1" w:styleId="FSCoHeader">
    <w:name w:val="FSC_o_Header"/>
    <w:basedOn w:val="Normal"/>
    <w:link w:val="FSCoHeaderChar"/>
    <w:rsid w:val="00292B9B"/>
    <w:pPr>
      <w:widowControl/>
      <w:pBdr>
        <w:bottom w:val="single" w:sz="4" w:space="1" w:color="auto"/>
      </w:pBdr>
      <w:tabs>
        <w:tab w:val="left" w:pos="1985"/>
      </w:tabs>
      <w:ind w:left="1985" w:hanging="1985"/>
    </w:pPr>
    <w:rPr>
      <w:b/>
      <w:noProof/>
      <w:sz w:val="20"/>
      <w:lang w:eastAsia="en-AU" w:bidi="ar-SA"/>
    </w:rPr>
  </w:style>
  <w:style w:type="character" w:customStyle="1" w:styleId="FSCoHeaderChar">
    <w:name w:val="FSC_o_Header Char"/>
    <w:basedOn w:val="DefaultParagraphFont"/>
    <w:link w:val="FSCoHeader"/>
    <w:rsid w:val="00292B9B"/>
    <w:rPr>
      <w:rFonts w:ascii="Arial" w:hAnsi="Arial"/>
      <w:b/>
      <w:noProof/>
      <w:szCs w:val="24"/>
      <w:lang w:eastAsia="en-AU"/>
    </w:rPr>
  </w:style>
  <w:style w:type="paragraph" w:customStyle="1" w:styleId="FSCoParaMark">
    <w:name w:val="FSC_o_Para_Mark"/>
    <w:basedOn w:val="Normal"/>
    <w:next w:val="Normal"/>
    <w:qFormat/>
    <w:rsid w:val="00292B9B"/>
    <w:pPr>
      <w:widowControl/>
    </w:pPr>
    <w:rPr>
      <w:sz w:val="16"/>
      <w:lang w:eastAsia="en-AU" w:bidi="ar-SA"/>
    </w:rPr>
  </w:style>
  <w:style w:type="paragraph" w:customStyle="1" w:styleId="FSCoStandardEnd">
    <w:name w:val="FSC_o_Standard_End"/>
    <w:basedOn w:val="FSCtMain"/>
    <w:qFormat/>
    <w:rsid w:val="00292B9B"/>
    <w:pPr>
      <w:spacing w:before="240" w:after="0"/>
      <w:jc w:val="center"/>
    </w:pPr>
    <w:rPr>
      <w:iCs w:val="0"/>
    </w:rPr>
  </w:style>
  <w:style w:type="paragraph" w:customStyle="1" w:styleId="FSCoTitleofInstrument">
    <w:name w:val="FSC_o_Title_of_Instrument"/>
    <w:basedOn w:val="Normal"/>
    <w:rsid w:val="00292B9B"/>
    <w:pPr>
      <w:widowControl/>
      <w:spacing w:before="200"/>
    </w:pPr>
    <w:rPr>
      <w:b/>
      <w:sz w:val="32"/>
      <w:lang w:eastAsia="en-AU" w:bidi="ar-SA"/>
    </w:rPr>
  </w:style>
  <w:style w:type="paragraph" w:customStyle="1" w:styleId="FSCoutChap">
    <w:name w:val="FSC_out_Chap"/>
    <w:basedOn w:val="FSCh4Div"/>
    <w:qFormat/>
    <w:rsid w:val="00292B9B"/>
    <w:pPr>
      <w:tabs>
        <w:tab w:val="left" w:pos="1701"/>
      </w:tabs>
      <w:spacing w:after="120"/>
      <w:ind w:left="3402" w:hanging="3402"/>
    </w:pPr>
  </w:style>
  <w:style w:type="paragraph" w:customStyle="1" w:styleId="FSCoutPart">
    <w:name w:val="FSC_out_Part"/>
    <w:basedOn w:val="FSCh5Section"/>
    <w:qFormat/>
    <w:rsid w:val="00292B9B"/>
    <w:pPr>
      <w:keepNext w:val="0"/>
      <w:tabs>
        <w:tab w:val="left" w:pos="1701"/>
      </w:tabs>
      <w:ind w:left="3402" w:hanging="3402"/>
    </w:pPr>
  </w:style>
  <w:style w:type="paragraph" w:customStyle="1" w:styleId="FSCoutStand">
    <w:name w:val="FSC_out_Stand"/>
    <w:aliases w:val="n_outline_standard"/>
    <w:basedOn w:val="FSCtMain"/>
    <w:qFormat/>
    <w:rsid w:val="00292B9B"/>
    <w:pPr>
      <w:tabs>
        <w:tab w:val="clear" w:pos="1134"/>
        <w:tab w:val="left" w:pos="1701"/>
      </w:tabs>
      <w:ind w:left="3402" w:hanging="3402"/>
    </w:pPr>
  </w:style>
  <w:style w:type="paragraph" w:customStyle="1" w:styleId="FSCtDefn">
    <w:name w:val="FSC_t_Defn"/>
    <w:basedOn w:val="FSCtMain"/>
    <w:rsid w:val="00292B9B"/>
    <w:pPr>
      <w:ind w:firstLine="0"/>
    </w:pPr>
  </w:style>
  <w:style w:type="paragraph" w:customStyle="1" w:styleId="FSCtblAddh1">
    <w:name w:val="FSC_tbl_Add_h1"/>
    <w:basedOn w:val="FSCh4Div"/>
    <w:rsid w:val="00292B9B"/>
    <w:pPr>
      <w:spacing w:before="120" w:after="120"/>
    </w:pPr>
    <w:rPr>
      <w:rFonts w:eastAsiaTheme="minorHAnsi"/>
      <w:sz w:val="20"/>
      <w:lang w:eastAsia="en-US"/>
    </w:rPr>
  </w:style>
  <w:style w:type="paragraph" w:customStyle="1" w:styleId="FSCtblAddh2">
    <w:name w:val="FSC_tbl_Add_h2"/>
    <w:basedOn w:val="FSCtblAddh1"/>
    <w:rsid w:val="00292B9B"/>
    <w:pPr>
      <w:spacing w:before="60" w:after="60"/>
    </w:pPr>
    <w:rPr>
      <w:i/>
    </w:rPr>
  </w:style>
  <w:style w:type="paragraph" w:customStyle="1" w:styleId="FSCtblAddh3">
    <w:name w:val="FSC_tbl_Add_h3"/>
    <w:basedOn w:val="Normal"/>
    <w:rsid w:val="00292B9B"/>
    <w:pPr>
      <w:keepNext/>
      <w:keepLines/>
      <w:widowControl/>
      <w:spacing w:before="60" w:after="60"/>
      <w:ind w:left="1701" w:hanging="1701"/>
    </w:pPr>
    <w:rPr>
      <w:rFonts w:eastAsiaTheme="minorHAnsi" w:cs="Arial"/>
      <w:b/>
      <w:iCs/>
      <w:sz w:val="18"/>
      <w:szCs w:val="22"/>
      <w:lang w:bidi="ar-SA"/>
    </w:rPr>
  </w:style>
  <w:style w:type="paragraph" w:customStyle="1" w:styleId="FSCtblAddh4">
    <w:name w:val="FSC_tbl_Add_h4"/>
    <w:basedOn w:val="Normal"/>
    <w:rsid w:val="00292B9B"/>
    <w:pPr>
      <w:keepNext/>
      <w:keepLines/>
      <w:widowControl/>
      <w:spacing w:before="60" w:after="60"/>
      <w:ind w:left="1701" w:hanging="1701"/>
    </w:pPr>
    <w:rPr>
      <w:rFonts w:eastAsiaTheme="minorHAnsi" w:cs="Arial"/>
      <w:b/>
      <w:i/>
      <w:iCs/>
      <w:sz w:val="18"/>
      <w:szCs w:val="20"/>
      <w:lang w:bidi="ar-SA"/>
    </w:rPr>
  </w:style>
  <w:style w:type="paragraph" w:customStyle="1" w:styleId="FSCtblAddh5">
    <w:name w:val="FSC_tbl_Add_h5"/>
    <w:basedOn w:val="Normal"/>
    <w:rsid w:val="00292B9B"/>
    <w:pPr>
      <w:keepLines/>
      <w:widowControl/>
      <w:spacing w:before="60" w:after="60"/>
      <w:ind w:left="1701" w:hanging="1701"/>
    </w:pPr>
    <w:rPr>
      <w:rFonts w:eastAsiaTheme="minorHAnsi" w:cs="Arial"/>
      <w:i/>
      <w:sz w:val="18"/>
      <w:szCs w:val="22"/>
      <w:lang w:bidi="ar-SA"/>
    </w:rPr>
  </w:style>
  <w:style w:type="paragraph" w:customStyle="1" w:styleId="FSCtblAdd1">
    <w:name w:val="FSC_tbl_Add1"/>
    <w:basedOn w:val="Normal"/>
    <w:qFormat/>
    <w:rsid w:val="00292B9B"/>
    <w:pPr>
      <w:keepLines/>
      <w:widowControl/>
      <w:spacing w:before="20" w:after="20"/>
    </w:pPr>
    <w:rPr>
      <w:rFonts w:eastAsiaTheme="minorHAnsi" w:cs="Arial"/>
      <w:sz w:val="18"/>
      <w:szCs w:val="22"/>
      <w:lang w:bidi="ar-SA"/>
    </w:rPr>
  </w:style>
  <w:style w:type="paragraph" w:customStyle="1" w:styleId="FSCtblAdd2">
    <w:name w:val="FSC_tbl_Add2"/>
    <w:basedOn w:val="Normal"/>
    <w:qFormat/>
    <w:rsid w:val="00292B9B"/>
    <w:pPr>
      <w:keepLines/>
      <w:widowControl/>
      <w:spacing w:before="20" w:after="20"/>
      <w:jc w:val="right"/>
    </w:pPr>
    <w:rPr>
      <w:rFonts w:eastAsiaTheme="minorHAnsi" w:cs="Arial"/>
      <w:sz w:val="18"/>
      <w:szCs w:val="22"/>
      <w:lang w:bidi="ar-SA"/>
    </w:rPr>
  </w:style>
  <w:style w:type="paragraph" w:customStyle="1" w:styleId="FSCtblAmendh">
    <w:name w:val="FSC_tbl_Amend_h"/>
    <w:basedOn w:val="Normal"/>
    <w:rsid w:val="00292B9B"/>
    <w:pPr>
      <w:keepNext/>
      <w:widowControl/>
      <w:spacing w:after="60"/>
    </w:pPr>
    <w:rPr>
      <w:rFonts w:eastAsia="Calibri"/>
      <w:b/>
      <w:sz w:val="16"/>
      <w:szCs w:val="20"/>
      <w:lang w:eastAsia="en-AU" w:bidi="ar-SA"/>
    </w:rPr>
  </w:style>
  <w:style w:type="paragraph" w:customStyle="1" w:styleId="FSCtblAmendmain">
    <w:name w:val="FSC_tbl_Amend_main"/>
    <w:basedOn w:val="Normal"/>
    <w:qFormat/>
    <w:rsid w:val="00292B9B"/>
    <w:pPr>
      <w:widowControl/>
      <w:ind w:left="113" w:hanging="113"/>
    </w:pPr>
    <w:rPr>
      <w:bCs/>
      <w:sz w:val="16"/>
      <w:szCs w:val="20"/>
      <w:lang w:bidi="ar-SA"/>
    </w:rPr>
  </w:style>
  <w:style w:type="paragraph" w:customStyle="1" w:styleId="FSCtblh2">
    <w:name w:val="FSC_tbl_h2"/>
    <w:basedOn w:val="Normal"/>
    <w:qFormat/>
    <w:rsid w:val="00292B9B"/>
    <w:pPr>
      <w:keepNext/>
      <w:keepLines/>
      <w:widowControl/>
      <w:spacing w:before="240" w:after="120"/>
      <w:jc w:val="center"/>
    </w:pPr>
    <w:rPr>
      <w:rFonts w:cs="Arial"/>
      <w:b/>
      <w:color w:val="000000"/>
      <w:sz w:val="18"/>
      <w:szCs w:val="22"/>
      <w:lang w:eastAsia="en-AU" w:bidi="ar-SA"/>
    </w:rPr>
  </w:style>
  <w:style w:type="paragraph" w:customStyle="1" w:styleId="FSCtblh3">
    <w:name w:val="FSC_tbl_h3"/>
    <w:basedOn w:val="Normal"/>
    <w:next w:val="Normal"/>
    <w:rsid w:val="00292B9B"/>
    <w:pPr>
      <w:keepNext/>
      <w:keepLines/>
      <w:widowControl/>
      <w:spacing w:before="60" w:after="60"/>
    </w:pPr>
    <w:rPr>
      <w:rFonts w:cs="Arial"/>
      <w:b/>
      <w:i/>
      <w:sz w:val="18"/>
      <w:szCs w:val="22"/>
      <w:lang w:eastAsia="en-AU" w:bidi="ar-SA"/>
    </w:rPr>
  </w:style>
  <w:style w:type="paragraph" w:customStyle="1" w:styleId="FSCtblh4">
    <w:name w:val="FSC_tbl_h4"/>
    <w:basedOn w:val="Normal"/>
    <w:next w:val="Normal"/>
    <w:rsid w:val="00292B9B"/>
    <w:pPr>
      <w:keepNext/>
      <w:keepLines/>
      <w:widowControl/>
      <w:spacing w:before="60" w:after="60"/>
    </w:pPr>
    <w:rPr>
      <w:rFonts w:cs="Arial"/>
      <w:i/>
      <w:sz w:val="18"/>
      <w:szCs w:val="22"/>
      <w:lang w:eastAsia="en-AU" w:bidi="ar-SA"/>
    </w:rPr>
  </w:style>
  <w:style w:type="paragraph" w:customStyle="1" w:styleId="FSCtblMain">
    <w:name w:val="FSC_tbl_Main"/>
    <w:basedOn w:val="Normal"/>
    <w:rsid w:val="00292B9B"/>
    <w:pPr>
      <w:keepLines/>
      <w:widowControl/>
      <w:tabs>
        <w:tab w:val="right" w:pos="3969"/>
      </w:tabs>
      <w:spacing w:before="60" w:after="60"/>
    </w:pPr>
    <w:rPr>
      <w:rFonts w:cs="Arial"/>
      <w:sz w:val="18"/>
      <w:szCs w:val="20"/>
      <w:lang w:eastAsia="en-AU" w:bidi="ar-SA"/>
    </w:rPr>
  </w:style>
  <w:style w:type="paragraph" w:customStyle="1" w:styleId="FSCtblMainC">
    <w:name w:val="FSC_tbl_Main_C"/>
    <w:basedOn w:val="FSCtblMain"/>
    <w:qFormat/>
    <w:rsid w:val="00292B9B"/>
    <w:pPr>
      <w:jc w:val="center"/>
    </w:pPr>
    <w:rPr>
      <w:rFonts w:eastAsiaTheme="minorHAnsi"/>
      <w:lang w:eastAsia="en-US"/>
    </w:rPr>
  </w:style>
  <w:style w:type="paragraph" w:customStyle="1" w:styleId="FSCtblMainRH">
    <w:name w:val="FSC_tbl_Main_RH"/>
    <w:basedOn w:val="FSCtblMain"/>
    <w:qFormat/>
    <w:rsid w:val="00292B9B"/>
    <w:pPr>
      <w:jc w:val="right"/>
    </w:pPr>
    <w:rPr>
      <w:rFonts w:eastAsiaTheme="minorHAnsi"/>
      <w:lang w:eastAsia="en-US"/>
    </w:rPr>
  </w:style>
  <w:style w:type="paragraph" w:customStyle="1" w:styleId="FSCtblMRL1">
    <w:name w:val="FSC_tbl_MRL1"/>
    <w:basedOn w:val="Normal"/>
    <w:rsid w:val="00292B9B"/>
    <w:pPr>
      <w:keepLines/>
      <w:widowControl/>
      <w:spacing w:before="20" w:after="20"/>
    </w:pPr>
    <w:rPr>
      <w:rFonts w:cs="Arial"/>
      <w:sz w:val="18"/>
      <w:szCs w:val="20"/>
      <w:lang w:eastAsia="en-AU" w:bidi="ar-SA"/>
    </w:rPr>
  </w:style>
  <w:style w:type="paragraph" w:customStyle="1" w:styleId="FSCtblMRL2">
    <w:name w:val="FSC_tbl_MRL2"/>
    <w:basedOn w:val="FSCtblMRL1"/>
    <w:qFormat/>
    <w:rsid w:val="00292B9B"/>
    <w:pPr>
      <w:jc w:val="right"/>
    </w:pPr>
    <w:rPr>
      <w:rFonts w:eastAsiaTheme="minorHAnsi"/>
      <w:lang w:eastAsia="en-US"/>
    </w:rPr>
  </w:style>
  <w:style w:type="paragraph" w:customStyle="1" w:styleId="FSCtblPara">
    <w:name w:val="FSC_tbl_Para"/>
    <w:basedOn w:val="Normal"/>
    <w:rsid w:val="00292B9B"/>
    <w:pPr>
      <w:keepLines/>
      <w:widowControl/>
      <w:spacing w:before="60" w:after="60"/>
      <w:ind w:left="397" w:hanging="397"/>
    </w:pPr>
    <w:rPr>
      <w:rFonts w:cs="Arial"/>
      <w:sz w:val="18"/>
      <w:szCs w:val="22"/>
      <w:lang w:eastAsia="en-AU" w:bidi="ar-SA"/>
    </w:rPr>
  </w:style>
  <w:style w:type="paragraph" w:customStyle="1" w:styleId="FSCtblSubpara">
    <w:name w:val="FSC_tbl_Subpara"/>
    <w:basedOn w:val="Normal"/>
    <w:rsid w:val="00292B9B"/>
    <w:pPr>
      <w:keepLines/>
      <w:widowControl/>
      <w:spacing w:before="60" w:after="60"/>
      <w:ind w:left="794" w:hanging="397"/>
    </w:pPr>
    <w:rPr>
      <w:rFonts w:cs="Arial"/>
      <w:sz w:val="18"/>
      <w:szCs w:val="22"/>
      <w:lang w:eastAsia="en-AU" w:bidi="ar-SA"/>
    </w:rPr>
  </w:style>
  <w:style w:type="character" w:styleId="CommentReference">
    <w:name w:val="annotation reference"/>
    <w:basedOn w:val="DefaultParagraphFont"/>
    <w:uiPriority w:val="99"/>
    <w:rPr>
      <w:sz w:val="16"/>
      <w:szCs w:val="16"/>
    </w:rPr>
  </w:style>
  <w:style w:type="paragraph" w:styleId="CommentSubject">
    <w:name w:val="annotation subject"/>
    <w:basedOn w:val="CommentText"/>
    <w:next w:val="CommentText"/>
    <w:link w:val="CommentSubjectChar"/>
    <w:uiPriority w:val="99"/>
    <w:rsid w:val="001F7F63"/>
    <w:rPr>
      <w:b/>
      <w:bCs/>
    </w:rPr>
  </w:style>
  <w:style w:type="character" w:customStyle="1" w:styleId="CommentSubjectChar">
    <w:name w:val="Comment Subject Char"/>
    <w:basedOn w:val="CommentTextChar"/>
    <w:link w:val="CommentSubject"/>
    <w:uiPriority w:val="99"/>
    <w:rsid w:val="001F7F63"/>
    <w:rPr>
      <w:rFonts w:ascii="Arial" w:hAnsi="Arial"/>
      <w:b/>
      <w:bCs/>
      <w:lang w:eastAsia="en-US" w:bidi="en-US"/>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C14FC"/>
    <w:pPr>
      <w:widowControl/>
      <w:ind w:left="720"/>
      <w:contextualSpacing/>
    </w:pPr>
    <w:rPr>
      <w:rFonts w:eastAsiaTheme="minorHAnsi" w:cstheme="minorBidi"/>
      <w:szCs w:val="22"/>
      <w:lang w:bidi="ar-SA"/>
    </w:r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qFormat/>
    <w:locked/>
    <w:rsid w:val="00010A1A"/>
    <w:rPr>
      <w:rFonts w:ascii="Arial" w:eastAsiaTheme="minorHAnsi" w:hAnsi="Arial" w:cstheme="minorBidi"/>
      <w:sz w:val="22"/>
      <w:szCs w:val="22"/>
      <w:lang w:eastAsia="en-US"/>
    </w:rPr>
  </w:style>
  <w:style w:type="paragraph" w:styleId="Caption">
    <w:name w:val="caption"/>
    <w:basedOn w:val="Normal"/>
    <w:next w:val="Normal"/>
    <w:uiPriority w:val="35"/>
    <w:unhideWhenUsed/>
    <w:qFormat/>
    <w:rsid w:val="00842F38"/>
    <w:pPr>
      <w:spacing w:after="200"/>
    </w:pPr>
    <w:rPr>
      <w:i/>
      <w:iCs/>
      <w:color w:val="1F497D" w:themeColor="text2"/>
      <w:sz w:val="18"/>
      <w:szCs w:val="18"/>
    </w:rPr>
  </w:style>
  <w:style w:type="table" w:styleId="GridTable1Light">
    <w:name w:val="Grid Table 1 Light"/>
    <w:basedOn w:val="TableNormal"/>
    <w:uiPriority w:val="46"/>
    <w:rsid w:val="00414BDE"/>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FSBullet">
    <w:name w:val="FS Bullet"/>
    <w:basedOn w:val="Normal"/>
    <w:next w:val="Normal"/>
    <w:link w:val="FSBulletChar"/>
    <w:qFormat/>
    <w:rsid w:val="00D349E5"/>
    <w:pPr>
      <w:ind w:left="567" w:hanging="567"/>
    </w:pPr>
    <w:rPr>
      <w:rFonts w:cs="Arial"/>
    </w:rPr>
  </w:style>
  <w:style w:type="character" w:customStyle="1" w:styleId="FSBulletChar">
    <w:name w:val="FS Bullet Char"/>
    <w:basedOn w:val="DefaultParagraphFont"/>
    <w:link w:val="FSBullet"/>
    <w:rsid w:val="00D349E5"/>
    <w:rPr>
      <w:rFonts w:ascii="Arial" w:hAnsi="Arial" w:cs="Arial"/>
      <w:sz w:val="22"/>
      <w:szCs w:val="24"/>
      <w:lang w:eastAsia="en-US" w:bidi="en-US"/>
    </w:rPr>
  </w:style>
  <w:style w:type="character" w:customStyle="1" w:styleId="normaltextrun">
    <w:name w:val="normaltextrun"/>
    <w:basedOn w:val="DefaultParagraphFont"/>
    <w:rsid w:val="00D349E5"/>
  </w:style>
  <w:style w:type="paragraph" w:customStyle="1" w:styleId="HeaderEPHFF-17052022-31449PM">
    <w:name w:val="HeaderEPHFF-17052022-31449 PM"/>
    <w:rsid w:val="00AF762E"/>
    <w:pPr>
      <w:widowControl w:val="0"/>
    </w:pPr>
    <w:rPr>
      <w:rFonts w:ascii="Arial" w:hAnsi="Arial"/>
      <w:sz w:val="22"/>
      <w:szCs w:val="24"/>
      <w:lang w:eastAsia="en-US" w:bidi="en-US"/>
    </w:rPr>
  </w:style>
  <w:style w:type="character" w:customStyle="1" w:styleId="eop">
    <w:name w:val="eop"/>
    <w:basedOn w:val="DefaultParagraphFont"/>
    <w:rsid w:val="000A382C"/>
  </w:style>
  <w:style w:type="paragraph" w:customStyle="1" w:styleId="FSCh2Amendmentheading">
    <w:name w:val="FSC_h2_Amendment_heading"/>
    <w:basedOn w:val="Normal"/>
    <w:qFormat/>
    <w:rsid w:val="00280892"/>
    <w:pPr>
      <w:keepNext/>
      <w:keepLines/>
      <w:widowControl/>
      <w:spacing w:before="360" w:after="240"/>
      <w:ind w:left="2835" w:hanging="2835"/>
      <w:outlineLvl w:val="2"/>
    </w:pPr>
    <w:rPr>
      <w:rFonts w:cs="Arial"/>
      <w:b/>
      <w:bCs/>
      <w:i/>
      <w:kern w:val="32"/>
      <w:sz w:val="32"/>
      <w:szCs w:val="32"/>
      <w:lang w:val="en-AU" w:eastAsia="en-AU" w:bidi="ar-SA"/>
    </w:rPr>
  </w:style>
  <w:style w:type="paragraph" w:customStyle="1" w:styleId="FSCtAmendingwords">
    <w:name w:val="FSC_t_Amending_words"/>
    <w:basedOn w:val="Normal"/>
    <w:qFormat/>
    <w:rsid w:val="00280892"/>
    <w:pPr>
      <w:keepLines/>
      <w:widowControl/>
      <w:spacing w:before="120"/>
      <w:ind w:left="1134"/>
    </w:pPr>
    <w:rPr>
      <w:rFonts w:cs="Arial"/>
      <w:iCs/>
      <w:sz w:val="24"/>
      <w:szCs w:val="22"/>
      <w:lang w:val="en-AU" w:eastAsia="en-AU" w:bidi="ar-SA"/>
    </w:rPr>
  </w:style>
  <w:style w:type="paragraph" w:customStyle="1" w:styleId="131ItemHeading">
    <w:name w:val="1.3.1 Item Heading"/>
    <w:basedOn w:val="Table2"/>
    <w:next w:val="Table2"/>
    <w:uiPriority w:val="22"/>
    <w:rsid w:val="00CB7716"/>
    <w:pPr>
      <w:keepNext/>
      <w:widowControl/>
      <w:tabs>
        <w:tab w:val="left" w:pos="851"/>
      </w:tabs>
      <w:spacing w:after="200"/>
      <w:ind w:left="0" w:firstLine="0"/>
    </w:pPr>
    <w:rPr>
      <w:b/>
      <w:bCs w:val="0"/>
      <w:caps/>
      <w:sz w:val="20"/>
      <w:lang w:bidi="ar-SA"/>
    </w:rPr>
  </w:style>
  <w:style w:type="paragraph" w:customStyle="1" w:styleId="131Subitemheading">
    <w:name w:val="1.3.1 Subitem heading"/>
    <w:basedOn w:val="131ItemHeading"/>
    <w:next w:val="Table2"/>
    <w:uiPriority w:val="22"/>
    <w:rsid w:val="00CB7716"/>
    <w:pPr>
      <w:spacing w:after="120"/>
    </w:pPr>
    <w:rPr>
      <w:caps w:val="0"/>
      <w:sz w:val="18"/>
    </w:rPr>
  </w:style>
  <w:style w:type="paragraph" w:customStyle="1" w:styleId="142Tableheading1">
    <w:name w:val="1.4.2 Table heading1"/>
    <w:basedOn w:val="Normal"/>
    <w:uiPriority w:val="22"/>
    <w:rsid w:val="00CB7716"/>
    <w:pPr>
      <w:keepNext/>
      <w:widowControl/>
      <w:spacing w:after="120"/>
      <w:jc w:val="center"/>
    </w:pPr>
    <w:rPr>
      <w:rFonts w:ascii="Arial Bold" w:eastAsiaTheme="minorHAnsi" w:hAnsi="Arial Bold" w:cstheme="minorBidi"/>
      <w:b/>
      <w:bCs/>
      <w:iCs/>
      <w:sz w:val="18"/>
      <w:szCs w:val="22"/>
      <w:lang w:bidi="ar-SA"/>
    </w:rPr>
  </w:style>
  <w:style w:type="paragraph" w:customStyle="1" w:styleId="142Tableheading2">
    <w:name w:val="1.4.2 Table heading2"/>
    <w:basedOn w:val="142Tableheading1"/>
    <w:uiPriority w:val="22"/>
    <w:rsid w:val="00CB7716"/>
    <w:rPr>
      <w:rFonts w:ascii="Arial" w:eastAsia="Times New Roman" w:hAnsi="Arial" w:cs="Times New Roman"/>
      <w:b w:val="0"/>
      <w:iCs w:val="0"/>
      <w:szCs w:val="20"/>
    </w:rPr>
  </w:style>
  <w:style w:type="paragraph" w:customStyle="1" w:styleId="142Tabletext1">
    <w:name w:val="1.4.2 Table text1"/>
    <w:basedOn w:val="Normal"/>
    <w:link w:val="142Tabletext1Char"/>
    <w:uiPriority w:val="22"/>
    <w:rsid w:val="00CB7716"/>
    <w:pPr>
      <w:widowControl/>
      <w:spacing w:after="120"/>
      <w:ind w:left="142" w:hanging="142"/>
    </w:pPr>
    <w:rPr>
      <w:sz w:val="18"/>
      <w:szCs w:val="20"/>
      <w:lang w:bidi="ar-SA"/>
    </w:rPr>
  </w:style>
  <w:style w:type="character" w:customStyle="1" w:styleId="142Tabletext1Char">
    <w:name w:val="1.4.2 Table text1 Char"/>
    <w:basedOn w:val="DefaultParagraphFont"/>
    <w:link w:val="142Tabletext1"/>
    <w:uiPriority w:val="22"/>
    <w:rsid w:val="00CB7716"/>
    <w:rPr>
      <w:rFonts w:ascii="Arial" w:hAnsi="Arial"/>
      <w:sz w:val="18"/>
      <w:lang w:eastAsia="en-US"/>
    </w:rPr>
  </w:style>
  <w:style w:type="paragraph" w:customStyle="1" w:styleId="142Tabletext2">
    <w:name w:val="1.4.2 Table text2"/>
    <w:basedOn w:val="142Tabletext1"/>
    <w:uiPriority w:val="22"/>
    <w:rsid w:val="00CB7716"/>
    <w:pPr>
      <w:jc w:val="right"/>
    </w:pPr>
  </w:style>
  <w:style w:type="paragraph" w:customStyle="1" w:styleId="Clause">
    <w:name w:val="Clause"/>
    <w:basedOn w:val="Normal"/>
    <w:next w:val="Normal"/>
    <w:link w:val="ClauseChar"/>
    <w:uiPriority w:val="10"/>
    <w:qFormat/>
    <w:rsid w:val="00CB7716"/>
    <w:pPr>
      <w:widowControl/>
      <w:tabs>
        <w:tab w:val="left" w:pos="851"/>
      </w:tabs>
      <w:spacing w:after="120"/>
    </w:pPr>
    <w:rPr>
      <w:sz w:val="20"/>
      <w:szCs w:val="20"/>
      <w:lang w:bidi="ar-SA"/>
    </w:rPr>
  </w:style>
  <w:style w:type="character" w:customStyle="1" w:styleId="ClauseChar">
    <w:name w:val="Clause Char"/>
    <w:basedOn w:val="DefaultParagraphFont"/>
    <w:link w:val="Clause"/>
    <w:uiPriority w:val="10"/>
    <w:rsid w:val="00CB7716"/>
    <w:rPr>
      <w:rFonts w:ascii="Arial" w:hAnsi="Arial"/>
      <w:lang w:eastAsia="en-US"/>
    </w:rPr>
  </w:style>
  <w:style w:type="paragraph" w:customStyle="1" w:styleId="Clauseheading">
    <w:name w:val="Clause heading"/>
    <w:basedOn w:val="Normal"/>
    <w:next w:val="Normal"/>
    <w:uiPriority w:val="14"/>
    <w:rsid w:val="00CB7716"/>
    <w:pPr>
      <w:keepNext/>
      <w:widowControl/>
      <w:tabs>
        <w:tab w:val="left" w:pos="851"/>
      </w:tabs>
      <w:spacing w:after="120"/>
    </w:pPr>
    <w:rPr>
      <w:b/>
      <w:sz w:val="20"/>
      <w:szCs w:val="20"/>
      <w:lang w:bidi="ar-SA"/>
    </w:rPr>
  </w:style>
  <w:style w:type="paragraph" w:customStyle="1" w:styleId="ClauseList">
    <w:name w:val="Clause List"/>
    <w:basedOn w:val="Clause"/>
    <w:next w:val="Normal"/>
    <w:uiPriority w:val="14"/>
    <w:rsid w:val="00CB7716"/>
    <w:pPr>
      <w:tabs>
        <w:tab w:val="clear" w:pos="851"/>
      </w:tabs>
      <w:ind w:left="851" w:hanging="851"/>
    </w:pPr>
  </w:style>
  <w:style w:type="paragraph" w:customStyle="1" w:styleId="Definition">
    <w:name w:val="Definition"/>
    <w:basedOn w:val="Normal"/>
    <w:next w:val="Normal"/>
    <w:uiPriority w:val="15"/>
    <w:rsid w:val="00CB7716"/>
    <w:pPr>
      <w:widowControl/>
      <w:spacing w:after="120"/>
      <w:ind w:left="1701" w:hanging="851"/>
    </w:pPr>
    <w:rPr>
      <w:sz w:val="20"/>
      <w:szCs w:val="20"/>
      <w:lang w:bidi="ar-SA"/>
    </w:rPr>
  </w:style>
  <w:style w:type="paragraph" w:customStyle="1" w:styleId="DivisionHeading">
    <w:name w:val="Division Heading"/>
    <w:basedOn w:val="Normal"/>
    <w:next w:val="Normal"/>
    <w:uiPriority w:val="15"/>
    <w:rsid w:val="00CB7716"/>
    <w:pPr>
      <w:keepNext/>
      <w:widowControl/>
      <w:tabs>
        <w:tab w:val="left" w:pos="851"/>
      </w:tabs>
      <w:spacing w:after="120"/>
      <w:jc w:val="center"/>
    </w:pPr>
    <w:rPr>
      <w:b/>
      <w:sz w:val="26"/>
      <w:szCs w:val="20"/>
      <w:lang w:bidi="ar-SA"/>
    </w:rPr>
  </w:style>
  <w:style w:type="paragraph" w:customStyle="1" w:styleId="EditorialNoteLine1">
    <w:name w:val="Editorial Note Line 1"/>
    <w:basedOn w:val="Normal"/>
    <w:next w:val="Normal"/>
    <w:uiPriority w:val="16"/>
    <w:rsid w:val="00CB7716"/>
    <w:pPr>
      <w:keepNext/>
      <w:widowControl/>
      <w:pBdr>
        <w:top w:val="single" w:sz="6" w:space="0" w:color="auto"/>
        <w:left w:val="single" w:sz="6" w:space="0" w:color="auto"/>
        <w:bottom w:val="single" w:sz="6" w:space="0" w:color="auto"/>
        <w:right w:val="single" w:sz="6" w:space="0" w:color="auto"/>
      </w:pBdr>
      <w:tabs>
        <w:tab w:val="left" w:pos="851"/>
      </w:tabs>
      <w:spacing w:after="120"/>
    </w:pPr>
    <w:rPr>
      <w:b/>
      <w:sz w:val="20"/>
      <w:szCs w:val="20"/>
      <w:lang w:bidi="ar-SA"/>
    </w:rPr>
  </w:style>
  <w:style w:type="paragraph" w:customStyle="1" w:styleId="EditorialNotetext">
    <w:name w:val="Editorial Note text"/>
    <w:basedOn w:val="EditorialNoteLine1"/>
    <w:uiPriority w:val="16"/>
    <w:rsid w:val="00CB7716"/>
    <w:pPr>
      <w:keepNext w:val="0"/>
    </w:pPr>
    <w:rPr>
      <w:b w:val="0"/>
    </w:rPr>
  </w:style>
  <w:style w:type="paragraph" w:customStyle="1" w:styleId="FSCaption">
    <w:name w:val="FSCaption"/>
    <w:basedOn w:val="Normal"/>
    <w:uiPriority w:val="9"/>
    <w:qFormat/>
    <w:rsid w:val="00CB7716"/>
    <w:pPr>
      <w:keepNext/>
      <w:keepLines/>
      <w:widowControl/>
      <w:spacing w:before="120" w:after="120"/>
    </w:pPr>
    <w:rPr>
      <w:rFonts w:eastAsiaTheme="minorHAnsi" w:cstheme="minorBidi"/>
      <w:i/>
      <w:sz w:val="16"/>
      <w:szCs w:val="16"/>
      <w:lang w:bidi="ar-SA"/>
    </w:rPr>
  </w:style>
  <w:style w:type="paragraph" w:customStyle="1" w:styleId="FSCFootnote">
    <w:name w:val="FSCFootnote"/>
    <w:basedOn w:val="Normal"/>
    <w:next w:val="Normal"/>
    <w:uiPriority w:val="17"/>
    <w:qFormat/>
    <w:rsid w:val="00CB7716"/>
    <w:pPr>
      <w:widowControl/>
      <w:spacing w:after="120"/>
    </w:pPr>
    <w:rPr>
      <w:sz w:val="16"/>
      <w:szCs w:val="20"/>
      <w:lang w:bidi="ar-SA"/>
    </w:rPr>
  </w:style>
  <w:style w:type="paragraph" w:customStyle="1" w:styleId="FSCFooter0">
    <w:name w:val="FSCFooter"/>
    <w:basedOn w:val="FSCFootnote"/>
    <w:uiPriority w:val="17"/>
    <w:qFormat/>
    <w:rsid w:val="00CB7716"/>
    <w:pPr>
      <w:tabs>
        <w:tab w:val="center" w:pos="4536"/>
        <w:tab w:val="right" w:pos="9070"/>
      </w:tabs>
    </w:pPr>
    <w:rPr>
      <w:sz w:val="18"/>
      <w:szCs w:val="18"/>
    </w:rPr>
  </w:style>
  <w:style w:type="paragraph" w:customStyle="1" w:styleId="FSPagenumber">
    <w:name w:val="FSPage number"/>
    <w:basedOn w:val="Normal"/>
    <w:uiPriority w:val="1"/>
    <w:qFormat/>
    <w:rsid w:val="00CB7716"/>
    <w:pPr>
      <w:widowControl/>
      <w:spacing w:after="120"/>
      <w:jc w:val="center"/>
    </w:pPr>
    <w:rPr>
      <w:rFonts w:eastAsiaTheme="minorHAnsi" w:cstheme="minorBidi"/>
      <w:sz w:val="20"/>
      <w:szCs w:val="20"/>
      <w:lang w:bidi="ar-SA"/>
    </w:rPr>
  </w:style>
  <w:style w:type="paragraph" w:customStyle="1" w:styleId="FSTableColumnRowheading">
    <w:name w:val="FSTable Column/Row heading"/>
    <w:basedOn w:val="Normal"/>
    <w:uiPriority w:val="8"/>
    <w:qFormat/>
    <w:rsid w:val="00CB7716"/>
    <w:pPr>
      <w:widowControl/>
      <w:spacing w:before="120" w:after="120"/>
    </w:pPr>
    <w:rPr>
      <w:rFonts w:eastAsiaTheme="minorHAnsi" w:cstheme="minorBidi"/>
      <w:b/>
      <w:sz w:val="20"/>
      <w:szCs w:val="20"/>
      <w:lang w:bidi="ar-SA"/>
    </w:rPr>
  </w:style>
  <w:style w:type="paragraph" w:customStyle="1" w:styleId="FSTableFigureHeading">
    <w:name w:val="FSTable/Figure Heading"/>
    <w:basedOn w:val="Normal"/>
    <w:uiPriority w:val="7"/>
    <w:qFormat/>
    <w:rsid w:val="00CB7716"/>
    <w:pPr>
      <w:keepNext/>
      <w:widowControl/>
      <w:spacing w:before="120" w:after="120"/>
      <w:ind w:left="1134" w:hanging="1134"/>
    </w:pPr>
    <w:rPr>
      <w:rFonts w:eastAsiaTheme="minorHAnsi" w:cstheme="minorBidi"/>
      <w:b/>
      <w:i/>
      <w:szCs w:val="22"/>
      <w:lang w:bidi="ar-SA"/>
    </w:rPr>
  </w:style>
  <w:style w:type="paragraph" w:customStyle="1" w:styleId="Paragraph">
    <w:name w:val="Paragraph"/>
    <w:basedOn w:val="Clause"/>
    <w:next w:val="Normal"/>
    <w:uiPriority w:val="12"/>
    <w:rsid w:val="00CB7716"/>
    <w:pPr>
      <w:tabs>
        <w:tab w:val="clear" w:pos="851"/>
      </w:tabs>
      <w:ind w:left="1702" w:hanging="851"/>
    </w:pPr>
  </w:style>
  <w:style w:type="paragraph" w:customStyle="1" w:styleId="ScheduleHeading">
    <w:name w:val="Schedule Heading"/>
    <w:basedOn w:val="Normal"/>
    <w:next w:val="Normal"/>
    <w:uiPriority w:val="18"/>
    <w:rsid w:val="00CB7716"/>
    <w:pPr>
      <w:widowControl/>
      <w:tabs>
        <w:tab w:val="left" w:pos="851"/>
      </w:tabs>
      <w:spacing w:after="120"/>
      <w:jc w:val="center"/>
    </w:pPr>
    <w:rPr>
      <w:b/>
      <w:caps/>
      <w:sz w:val="20"/>
      <w:szCs w:val="20"/>
      <w:lang w:bidi="ar-SA"/>
    </w:rPr>
  </w:style>
  <w:style w:type="paragraph" w:customStyle="1" w:styleId="Standardtitle">
    <w:name w:val="Standard title"/>
    <w:basedOn w:val="Normal"/>
    <w:uiPriority w:val="18"/>
    <w:rsid w:val="00CB7716"/>
    <w:pPr>
      <w:keepNext/>
      <w:widowControl/>
      <w:tabs>
        <w:tab w:val="left" w:pos="851"/>
      </w:tabs>
      <w:spacing w:after="120"/>
      <w:jc w:val="center"/>
    </w:pPr>
    <w:rPr>
      <w:b/>
      <w:i/>
      <w:iCs/>
      <w:caps/>
      <w:sz w:val="28"/>
      <w:szCs w:val="20"/>
      <w:lang w:bidi="ar-SA"/>
    </w:rPr>
  </w:style>
  <w:style w:type="paragraph" w:customStyle="1" w:styleId="Subclause">
    <w:name w:val="Subclause"/>
    <w:basedOn w:val="Clause"/>
    <w:uiPriority w:val="11"/>
    <w:qFormat/>
    <w:rsid w:val="00CB7716"/>
    <w:pPr>
      <w:ind w:left="567" w:hanging="567"/>
    </w:pPr>
  </w:style>
  <w:style w:type="paragraph" w:customStyle="1" w:styleId="Subparagraph">
    <w:name w:val="Subparagraph"/>
    <w:basedOn w:val="Paragraph"/>
    <w:next w:val="Normal"/>
    <w:uiPriority w:val="13"/>
    <w:rsid w:val="00CB7716"/>
    <w:pPr>
      <w:ind w:left="2553"/>
    </w:pPr>
  </w:style>
  <w:style w:type="paragraph" w:customStyle="1" w:styleId="TitleBorder">
    <w:name w:val="TitleBorder"/>
    <w:basedOn w:val="Normal"/>
    <w:uiPriority w:val="19"/>
    <w:rsid w:val="00CB7716"/>
    <w:pPr>
      <w:widowControl/>
      <w:pBdr>
        <w:bottom w:val="double" w:sz="6" w:space="0" w:color="auto"/>
      </w:pBdr>
      <w:tabs>
        <w:tab w:val="left" w:pos="851"/>
      </w:tabs>
      <w:spacing w:after="120"/>
    </w:pPr>
    <w:rPr>
      <w:sz w:val="20"/>
      <w:szCs w:val="20"/>
      <w:lang w:bidi="ar-SA"/>
    </w:rPr>
  </w:style>
  <w:style w:type="paragraph" w:styleId="Subtitle">
    <w:name w:val="Subtitle"/>
    <w:basedOn w:val="Normal"/>
    <w:next w:val="Normal"/>
    <w:link w:val="SubtitleChar"/>
    <w:uiPriority w:val="11"/>
    <w:rsid w:val="00CB7716"/>
    <w:pPr>
      <w:widowControl/>
      <w:numPr>
        <w:ilvl w:val="1"/>
      </w:numPr>
      <w:spacing w:after="120"/>
      <w:ind w:left="567" w:hanging="567"/>
    </w:pPr>
    <w:rPr>
      <w:rFonts w:asciiTheme="majorHAnsi" w:eastAsiaTheme="majorEastAsia" w:hAnsiTheme="majorHAnsi" w:cstheme="majorBidi"/>
      <w:i/>
      <w:iCs/>
      <w:color w:val="4F81BD" w:themeColor="accent1"/>
      <w:spacing w:val="15"/>
      <w:sz w:val="24"/>
      <w:lang w:bidi="ar-SA"/>
    </w:rPr>
  </w:style>
  <w:style w:type="character" w:customStyle="1" w:styleId="SubtitleChar">
    <w:name w:val="Subtitle Char"/>
    <w:basedOn w:val="DefaultParagraphFont"/>
    <w:link w:val="Subtitle"/>
    <w:uiPriority w:val="11"/>
    <w:rsid w:val="00CB7716"/>
    <w:rPr>
      <w:rFonts w:asciiTheme="majorHAnsi" w:eastAsiaTheme="majorEastAsia" w:hAnsiTheme="majorHAnsi" w:cstheme="majorBidi"/>
      <w:i/>
      <w:iCs/>
      <w:color w:val="4F81BD" w:themeColor="accent1"/>
      <w:spacing w:val="15"/>
      <w:sz w:val="24"/>
      <w:szCs w:val="24"/>
      <w:lang w:eastAsia="en-US"/>
    </w:rPr>
  </w:style>
  <w:style w:type="paragraph" w:styleId="ListBullet">
    <w:name w:val="List Bullet"/>
    <w:basedOn w:val="Normal"/>
    <w:uiPriority w:val="99"/>
    <w:rsid w:val="00CB7716"/>
    <w:pPr>
      <w:widowControl/>
      <w:numPr>
        <w:numId w:val="5"/>
      </w:numPr>
      <w:spacing w:after="120" w:line="280" w:lineRule="atLeast"/>
      <w:jc w:val="both"/>
    </w:pPr>
    <w:rPr>
      <w:sz w:val="20"/>
      <w:szCs w:val="20"/>
      <w:lang w:val="en-AU" w:bidi="ar-SA"/>
    </w:rPr>
  </w:style>
  <w:style w:type="character" w:customStyle="1" w:styleId="BodyTextChar">
    <w:name w:val="Body Text Char"/>
    <w:basedOn w:val="DefaultParagraphFont"/>
    <w:link w:val="BodyText"/>
    <w:uiPriority w:val="99"/>
    <w:semiHidden/>
    <w:rsid w:val="00CB7716"/>
    <w:rPr>
      <w:rFonts w:ascii="Arial" w:hAnsi="Arial"/>
      <w:lang w:val="en-AU" w:eastAsia="en-AU"/>
    </w:rPr>
  </w:style>
  <w:style w:type="paragraph" w:styleId="BodyText">
    <w:name w:val="Body Text"/>
    <w:basedOn w:val="Normal"/>
    <w:link w:val="BodyTextChar"/>
    <w:uiPriority w:val="99"/>
    <w:semiHidden/>
    <w:unhideWhenUsed/>
    <w:rsid w:val="00CB7716"/>
    <w:pPr>
      <w:widowControl/>
      <w:spacing w:before="180" w:after="120" w:line="280" w:lineRule="atLeast"/>
    </w:pPr>
    <w:rPr>
      <w:sz w:val="20"/>
      <w:szCs w:val="20"/>
      <w:lang w:val="en-AU" w:eastAsia="en-AU" w:bidi="ar-SA"/>
    </w:rPr>
  </w:style>
  <w:style w:type="paragraph" w:customStyle="1" w:styleId="AARBullet">
    <w:name w:val="AAR Bullet"/>
    <w:basedOn w:val="Normal"/>
    <w:uiPriority w:val="99"/>
    <w:qFormat/>
    <w:rsid w:val="00CB7716"/>
    <w:pPr>
      <w:widowControl/>
      <w:numPr>
        <w:numId w:val="6"/>
      </w:numPr>
      <w:spacing w:before="60" w:after="120"/>
      <w:contextualSpacing/>
    </w:pPr>
    <w:rPr>
      <w:rFonts w:cs="Arial"/>
      <w:lang w:val="en-AU" w:bidi="ar-SA"/>
    </w:rPr>
  </w:style>
  <w:style w:type="paragraph" w:customStyle="1" w:styleId="TableText">
    <w:name w:val="TableText"/>
    <w:basedOn w:val="Normal"/>
    <w:qFormat/>
    <w:rsid w:val="00CB7716"/>
    <w:pPr>
      <w:widowControl/>
      <w:spacing w:before="120" w:after="120"/>
    </w:pPr>
    <w:rPr>
      <w:rFonts w:eastAsiaTheme="majorEastAsia" w:cs="Arial"/>
      <w:bCs/>
      <w:sz w:val="20"/>
      <w:szCs w:val="20"/>
      <w:lang w:val="en-AU" w:bidi="ar-SA"/>
    </w:rPr>
  </w:style>
  <w:style w:type="paragraph" w:customStyle="1" w:styleId="TableName">
    <w:name w:val="TableName"/>
    <w:basedOn w:val="Normal"/>
    <w:qFormat/>
    <w:rsid w:val="00CB7716"/>
    <w:pPr>
      <w:keepNext/>
      <w:widowControl/>
      <w:spacing w:after="120"/>
    </w:pPr>
    <w:rPr>
      <w:rFonts w:eastAsiaTheme="minorEastAsia" w:cs="Arial"/>
      <w:szCs w:val="22"/>
      <w:lang w:val="en-AU" w:bidi="ar-SA"/>
    </w:rPr>
  </w:style>
  <w:style w:type="paragraph" w:customStyle="1" w:styleId="Pa14">
    <w:name w:val="Pa14"/>
    <w:basedOn w:val="Default"/>
    <w:next w:val="Default"/>
    <w:uiPriority w:val="99"/>
    <w:rsid w:val="00CB7716"/>
    <w:pPr>
      <w:spacing w:line="201" w:lineRule="atLeast"/>
    </w:pPr>
    <w:rPr>
      <w:rFonts w:ascii="Helvetica 65 Medium" w:eastAsiaTheme="minorHAnsi" w:hAnsi="Helvetica 65 Medium" w:cstheme="minorBidi"/>
      <w:color w:val="auto"/>
      <w:lang w:val="en-GB" w:eastAsia="en-US"/>
    </w:rPr>
  </w:style>
  <w:style w:type="table" w:styleId="GridTable5Dark-Accent6">
    <w:name w:val="Grid Table 5 Dark Accent 6"/>
    <w:basedOn w:val="TableNormal"/>
    <w:uiPriority w:val="50"/>
    <w:rsid w:val="00CB7716"/>
    <w:rPr>
      <w:rFonts w:ascii="Arial" w:eastAsiaTheme="minorHAnsi" w:hAnsi="Arial" w:cs="Arial"/>
      <w:sz w:val="22"/>
      <w:szCs w:val="22"/>
      <w:lang w:val="en-AU"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2-Accent3">
    <w:name w:val="Grid Table 2 Accent 3"/>
    <w:basedOn w:val="TableNormal"/>
    <w:uiPriority w:val="47"/>
    <w:rsid w:val="00CB7716"/>
    <w:rPr>
      <w:rFonts w:ascii="Arial" w:eastAsiaTheme="minorHAnsi" w:hAnsi="Arial" w:cs="Arial"/>
      <w:sz w:val="22"/>
      <w:szCs w:val="22"/>
      <w:lang w:val="en-AU" w:eastAsia="en-US"/>
    </w:r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5">
    <w:name w:val="Grid Table 4 Accent 5"/>
    <w:basedOn w:val="TableNormal"/>
    <w:uiPriority w:val="49"/>
    <w:rsid w:val="00CB7716"/>
    <w:rPr>
      <w:rFonts w:ascii="Arial" w:eastAsiaTheme="minorHAnsi" w:hAnsi="Arial" w:cs="Arial"/>
      <w:sz w:val="22"/>
      <w:szCs w:val="22"/>
      <w:lang w:val="en-AU"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CB7716"/>
    <w:rPr>
      <w:rFonts w:ascii="Arial" w:eastAsiaTheme="minorHAnsi" w:hAnsi="Arial" w:cs="Arial"/>
      <w:sz w:val="22"/>
      <w:szCs w:val="22"/>
      <w:lang w:val="en-AU"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4-Accent4">
    <w:name w:val="Grid Table 4 Accent 4"/>
    <w:basedOn w:val="TableNormal"/>
    <w:uiPriority w:val="49"/>
    <w:rsid w:val="00CB7716"/>
    <w:rPr>
      <w:rFonts w:ascii="Arial" w:eastAsiaTheme="minorHAnsi" w:hAnsi="Arial" w:cs="Arial"/>
      <w:sz w:val="22"/>
      <w:szCs w:val="22"/>
      <w:lang w:val="en-AU"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paragraph" w:customStyle="1" w:styleId="ISCbulleted">
    <w:name w:val="ISC bulleted"/>
    <w:basedOn w:val="Normal"/>
    <w:rsid w:val="00CB7716"/>
    <w:pPr>
      <w:widowControl/>
      <w:numPr>
        <w:numId w:val="7"/>
      </w:numPr>
      <w:tabs>
        <w:tab w:val="left" w:pos="567"/>
      </w:tabs>
      <w:spacing w:after="120"/>
    </w:pPr>
    <w:rPr>
      <w:rFonts w:ascii="Times New Roman" w:hAnsi="Times New Roman"/>
      <w:sz w:val="24"/>
      <w:lang w:val="en-AU" w:eastAsia="en-AU" w:bidi="ar-SA"/>
    </w:rPr>
  </w:style>
  <w:style w:type="table" w:styleId="GridTable2">
    <w:name w:val="Grid Table 2"/>
    <w:basedOn w:val="TableNormal"/>
    <w:uiPriority w:val="47"/>
    <w:rsid w:val="00CB7716"/>
    <w:rPr>
      <w:rFonts w:ascii="Arial" w:eastAsiaTheme="minorHAnsi" w:hAnsi="Arial" w:cs="Arial"/>
      <w:sz w:val="22"/>
      <w:szCs w:val="22"/>
      <w:lang w:val="en-AU" w:eastAsia="en-US"/>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EndnoteTextChar">
    <w:name w:val="Endnote Text Char"/>
    <w:basedOn w:val="DefaultParagraphFont"/>
    <w:link w:val="EndnoteText"/>
    <w:uiPriority w:val="99"/>
    <w:semiHidden/>
    <w:rsid w:val="00CB7716"/>
    <w:rPr>
      <w:rFonts w:ascii="Arial" w:eastAsiaTheme="minorHAnsi" w:hAnsi="Arial" w:cstheme="minorBidi"/>
      <w:lang w:eastAsia="en-US"/>
    </w:rPr>
  </w:style>
  <w:style w:type="paragraph" w:styleId="EndnoteText">
    <w:name w:val="endnote text"/>
    <w:basedOn w:val="Normal"/>
    <w:link w:val="EndnoteTextChar"/>
    <w:uiPriority w:val="99"/>
    <w:semiHidden/>
    <w:unhideWhenUsed/>
    <w:rsid w:val="00CB7716"/>
    <w:pPr>
      <w:widowControl/>
    </w:pPr>
    <w:rPr>
      <w:rFonts w:eastAsiaTheme="minorHAnsi" w:cstheme="minorBidi"/>
      <w:sz w:val="20"/>
      <w:szCs w:val="20"/>
      <w:lang w:bidi="ar-SA"/>
    </w:rPr>
  </w:style>
  <w:style w:type="table" w:styleId="GridTable4">
    <w:name w:val="Grid Table 4"/>
    <w:basedOn w:val="TableNormal"/>
    <w:uiPriority w:val="49"/>
    <w:rsid w:val="00A9481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
    <w:name w:val="List Table 4"/>
    <w:basedOn w:val="TableNormal"/>
    <w:uiPriority w:val="49"/>
    <w:rsid w:val="00A9481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paragraph0">
    <w:name w:val="paragraph"/>
    <w:basedOn w:val="Normal"/>
    <w:rsid w:val="003C41B8"/>
    <w:pPr>
      <w:widowControl/>
      <w:spacing w:before="100" w:beforeAutospacing="1" w:after="100" w:afterAutospacing="1"/>
    </w:pPr>
    <w:rPr>
      <w:rFonts w:ascii="Times New Roman" w:hAnsi="Times New Roman"/>
      <w:sz w:val="24"/>
      <w:lang w:eastAsia="en-GB" w:bidi="ar-SA"/>
    </w:rPr>
  </w:style>
  <w:style w:type="character" w:customStyle="1" w:styleId="UnresolvedMention">
    <w:name w:val="Unresolved Mention"/>
    <w:basedOn w:val="DefaultParagraphFont"/>
    <w:uiPriority w:val="99"/>
    <w:semiHidden/>
    <w:unhideWhenUsed/>
    <w:rsid w:val="00595C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169470">
      <w:bodyDiv w:val="1"/>
      <w:marLeft w:val="0"/>
      <w:marRight w:val="0"/>
      <w:marTop w:val="0"/>
      <w:marBottom w:val="0"/>
      <w:divBdr>
        <w:top w:val="none" w:sz="0" w:space="0" w:color="auto"/>
        <w:left w:val="none" w:sz="0" w:space="0" w:color="auto"/>
        <w:bottom w:val="none" w:sz="0" w:space="0" w:color="auto"/>
        <w:right w:val="none" w:sz="0" w:space="0" w:color="auto"/>
      </w:divBdr>
    </w:div>
    <w:div w:id="99959150">
      <w:bodyDiv w:val="1"/>
      <w:marLeft w:val="0"/>
      <w:marRight w:val="0"/>
      <w:marTop w:val="0"/>
      <w:marBottom w:val="0"/>
      <w:divBdr>
        <w:top w:val="none" w:sz="0" w:space="0" w:color="auto"/>
        <w:left w:val="none" w:sz="0" w:space="0" w:color="auto"/>
        <w:bottom w:val="none" w:sz="0" w:space="0" w:color="auto"/>
        <w:right w:val="none" w:sz="0" w:space="0" w:color="auto"/>
      </w:divBdr>
    </w:div>
    <w:div w:id="502278432">
      <w:bodyDiv w:val="1"/>
      <w:marLeft w:val="0"/>
      <w:marRight w:val="0"/>
      <w:marTop w:val="0"/>
      <w:marBottom w:val="0"/>
      <w:divBdr>
        <w:top w:val="none" w:sz="0" w:space="0" w:color="auto"/>
        <w:left w:val="none" w:sz="0" w:space="0" w:color="auto"/>
        <w:bottom w:val="none" w:sz="0" w:space="0" w:color="auto"/>
        <w:right w:val="none" w:sz="0" w:space="0" w:color="auto"/>
      </w:divBdr>
    </w:div>
    <w:div w:id="744298838">
      <w:bodyDiv w:val="1"/>
      <w:marLeft w:val="0"/>
      <w:marRight w:val="0"/>
      <w:marTop w:val="0"/>
      <w:marBottom w:val="0"/>
      <w:divBdr>
        <w:top w:val="none" w:sz="0" w:space="0" w:color="auto"/>
        <w:left w:val="none" w:sz="0" w:space="0" w:color="auto"/>
        <w:bottom w:val="none" w:sz="0" w:space="0" w:color="auto"/>
        <w:right w:val="none" w:sz="0" w:space="0" w:color="auto"/>
      </w:divBdr>
    </w:div>
    <w:div w:id="819926476">
      <w:bodyDiv w:val="1"/>
      <w:marLeft w:val="0"/>
      <w:marRight w:val="0"/>
      <w:marTop w:val="0"/>
      <w:marBottom w:val="0"/>
      <w:divBdr>
        <w:top w:val="none" w:sz="0" w:space="0" w:color="auto"/>
        <w:left w:val="none" w:sz="0" w:space="0" w:color="auto"/>
        <w:bottom w:val="none" w:sz="0" w:space="0" w:color="auto"/>
        <w:right w:val="none" w:sz="0" w:space="0" w:color="auto"/>
      </w:divBdr>
    </w:div>
    <w:div w:id="1021123261">
      <w:bodyDiv w:val="1"/>
      <w:marLeft w:val="0"/>
      <w:marRight w:val="0"/>
      <w:marTop w:val="0"/>
      <w:marBottom w:val="0"/>
      <w:divBdr>
        <w:top w:val="none" w:sz="0" w:space="0" w:color="auto"/>
        <w:left w:val="none" w:sz="0" w:space="0" w:color="auto"/>
        <w:bottom w:val="none" w:sz="0" w:space="0" w:color="auto"/>
        <w:right w:val="none" w:sz="0" w:space="0" w:color="auto"/>
      </w:divBdr>
    </w:div>
    <w:div w:id="1374815638">
      <w:bodyDiv w:val="1"/>
      <w:marLeft w:val="0"/>
      <w:marRight w:val="0"/>
      <w:marTop w:val="0"/>
      <w:marBottom w:val="0"/>
      <w:divBdr>
        <w:top w:val="none" w:sz="0" w:space="0" w:color="auto"/>
        <w:left w:val="none" w:sz="0" w:space="0" w:color="auto"/>
        <w:bottom w:val="none" w:sz="0" w:space="0" w:color="auto"/>
        <w:right w:val="none" w:sz="0" w:space="0" w:color="auto"/>
      </w:divBdr>
    </w:div>
    <w:div w:id="1621298643">
      <w:bodyDiv w:val="1"/>
      <w:marLeft w:val="0"/>
      <w:marRight w:val="0"/>
      <w:marTop w:val="0"/>
      <w:marBottom w:val="0"/>
      <w:divBdr>
        <w:top w:val="none" w:sz="0" w:space="0" w:color="auto"/>
        <w:left w:val="none" w:sz="0" w:space="0" w:color="auto"/>
        <w:bottom w:val="none" w:sz="0" w:space="0" w:color="auto"/>
        <w:right w:val="none" w:sz="0" w:space="0" w:color="auto"/>
      </w:divBdr>
    </w:div>
    <w:div w:id="1696225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https://dofoodsafely.health.vic.gov.au/index.php/en/" TargetMode="External"/><Relationship Id="rId26" Type="http://schemas.openxmlformats.org/officeDocument/2006/relationships/hyperlink" Target="https://www.google.com/url?sa=t&amp;rct=j&amp;q=&amp;esrc=s&amp;source=web&amp;cd=1&amp;ved=2ahUKEwjLqKPn0K3hAhWCfH0KHSC2Ce0QFjAAegQIARAC&amp;url=https%3A%2F%2Fwww.health.gov.au%2Finternet%2Fmain%2Fpublishing.nsf%2FContent%2FE829FA59A59677C0CA257D6A007D2C97%2F%24File%2FFoodborne-Illness-Australia-circa-2010.pdf&amp;usg=AOvVaw2kmoXJDtFMQmCRLUobKVZZ" TargetMode="External"/><Relationship Id="rId39" Type="http://schemas.openxmlformats.org/officeDocument/2006/relationships/glossaryDocument" Target="glossary/document.xml"/><Relationship Id="rId21" Type="http://schemas.openxmlformats.org/officeDocument/2006/relationships/hyperlink" Target="https://foodregulation.gov.au/internet/fr/publishing.nsf/Content/publication-Food-Safety-Management-Policy-Guideline-for-the-retail-and-food-service-sectors%20accessed%20December%202019" TargetMode="External"/><Relationship Id="rId34" Type="http://schemas.openxmlformats.org/officeDocument/2006/relationships/hyperlink" Target="https://www.sciencedirect.com/science/article/pii/S0956713504001975" TargetMode="External"/><Relationship Id="rId47" Type="http://schemas.microsoft.com/office/2020/10/relationships/intelligence" Target="intelligence2.xml"/><Relationship Id="rId50"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s://imalert.com.au/v6/?sub=health-act" TargetMode="External"/><Relationship Id="rId29" Type="http://schemas.openxmlformats.org/officeDocument/2006/relationships/hyperlink" Target="http://www.health.gov.au/internet/main/publishing.nsf/Content/cda-pubs-annlrpt-ozfnetar.ht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hyperlink" Target="https://www.foodstandards.gov.au/code/proposals/Documents/CFS%20SD2_Micro%20risk%20profile.pdf" TargetMode="External"/><Relationship Id="rId32" Type="http://schemas.openxmlformats.org/officeDocument/2006/relationships/hyperlink" Target="https://foodregulation.gov.au/internet/fr/publishing.nsf/Content/37F08208FAC6F504CA2582A40027AA90/$File/FRSC-RPF-ECE.docx" TargetMode="External"/><Relationship Id="rId37" Type="http://schemas.openxmlformats.org/officeDocument/2006/relationships/hyperlink" Target="http://www.fao.org/fao-who-codexalimentarius/meetings/en/" TargetMode="Externa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foodstandards.gov.au/code/Pages/default.aspx" TargetMode="External"/><Relationship Id="rId23" Type="http://schemas.openxmlformats.org/officeDocument/2006/relationships/hyperlink" Target="http://www.foodstandards.gov.au/foodsafety/standards/Pages/Safe-Food-Australia-%E2%80%93-A-guide-to-the-Food-Safety-Standards.aspx" TargetMode="External"/><Relationship Id="rId28" Type="http://schemas.openxmlformats.org/officeDocument/2006/relationships/hyperlink" Target="http://www.health.gov.au/internet/main/publishing.nsf/Content/cda-pubs-annlrpt-ozfnetar.htm" TargetMode="External"/><Relationship Id="rId36" Type="http://schemas.openxmlformats.org/officeDocument/2006/relationships/hyperlink" Target="https://obpr.pmc.gov.au/resources/guidance-assessing-impacts/cost-benefit-analysis" TargetMode="External"/><Relationship Id="rId49" Type="http://schemas.openxmlformats.org/officeDocument/2006/relationships/customXml" Target="../customXml/item2.xml"/><Relationship Id="rId10" Type="http://schemas.openxmlformats.org/officeDocument/2006/relationships/footer" Target="footer1.xml"/><Relationship Id="rId19" Type="http://schemas.openxmlformats.org/officeDocument/2006/relationships/hyperlink" Target="http://www.health.gov.au/internet/main/publishing.nsf/Content/cda-pubs-annlrpt-ozfnetar.htm" TargetMode="External"/><Relationship Id="rId31" Type="http://schemas.openxmlformats.org/officeDocument/2006/relationships/hyperlink" Target="http://www.health.gov.au/internet/main/publishing.nsf/Content/cda-pubs-annlrpt-ozfnetar.htm" TargetMode="Externa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s://webarchive.nla.gov.au/awa/20151020103533/http:/www.health.gov.au/internet/main/publishing.nsf/Content/foodsecretariat-isc-model.htm" TargetMode="External"/><Relationship Id="rId22" Type="http://schemas.openxmlformats.org/officeDocument/2006/relationships/hyperlink" Target="https://www.foodstandards.gov.au/publications/documents/2007%20NFHS%20Interpretive%20Summary%20FINAL.pdf" TargetMode="External"/><Relationship Id="rId27" Type="http://schemas.openxmlformats.org/officeDocument/2006/relationships/hyperlink" Target="https://www.foodauthority.nsw.gov.au/media/6876%20accessed%2023/08/2019" TargetMode="External"/><Relationship Id="rId30" Type="http://schemas.openxmlformats.org/officeDocument/2006/relationships/hyperlink" Target="http://www.health.gov.au/internet/main/publishing.nsf/Content/cda-pubs-annlrpt-ozfnetar.htm" TargetMode="External"/><Relationship Id="rId35" Type="http://schemas.openxmlformats.org/officeDocument/2006/relationships/hyperlink" Target="https://doi.org/10.3201/eid2011.131315" TargetMode="External"/><Relationship Id="rId48" Type="http://schemas.openxmlformats.org/officeDocument/2006/relationships/customXml" Target="../customXml/item1.xml"/><Relationship Id="rId8" Type="http://schemas.openxmlformats.org/officeDocument/2006/relationships/header" Target="header1.xml"/><Relationship Id="rId51" Type="http://schemas.openxmlformats.org/officeDocument/2006/relationships/customXml" Target="../customXml/item4.xml"/><Relationship Id="rId3" Type="http://schemas.openxmlformats.org/officeDocument/2006/relationships/settings" Target="settings.xml"/><Relationship Id="rId12" Type="http://schemas.openxmlformats.org/officeDocument/2006/relationships/header" Target="header3.xml"/><Relationship Id="rId17" Type="http://schemas.openxmlformats.org/officeDocument/2006/relationships/hyperlink" Target="https://www.imalert.com.au/v6/?sub=nt" TargetMode="External"/><Relationship Id="rId25" Type="http://schemas.openxmlformats.org/officeDocument/2006/relationships/hyperlink" Target="http://agriculture.gov.au/abares/publications/display?url=http://143.188.17.20/anrdl/DAFFService/display.php?fid=pb_fdati9aat20180822.xml" TargetMode="External"/><Relationship Id="rId33" Type="http://schemas.openxmlformats.org/officeDocument/2006/relationships/hyperlink" Target="https://treasury.gov.au/sites/default/files/2019-03/final_report.pdf" TargetMode="External"/><Relationship Id="rId38" Type="http://schemas.openxmlformats.org/officeDocument/2006/relationships/fontTable" Target="fontTable.xml"/><Relationship Id="rId20" Type="http://schemas.openxmlformats.org/officeDocument/2006/relationships/hyperlink" Target="https://foodregulation.gov.au/internet/fr/publishing.nsf/Content/risk-profiling-framework"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file:///C:/Users/kolstl/AppData/Local/Microsoft/Windows/Forms/AllItems.aspx?RootFolder=/proposals/P1053/Shared%20Documents/Working%20folder/Discussion%20paper%20jan%202020&amp;FolderCTID=0x012000ECEBC2148C5B1547952B8AB1F5FE26FF&amp;View=%7bBAAAF22B-48E5-4468-A408-5982B0920ED4%7d" TargetMode="External"/><Relationship Id="rId13" Type="http://schemas.openxmlformats.org/officeDocument/2006/relationships/hyperlink" Target="https://www.dairysafe.vic.gov.au/licensees/dairy-regtech/foodsafetyculture" TargetMode="External"/><Relationship Id="rId3" Type="http://schemas.openxmlformats.org/officeDocument/2006/relationships/hyperlink" Target="https://www.foodstandards.gov.au/publications/documents/ANZFA_1578_Info_Paper__final.pdf" TargetMode="External"/><Relationship Id="rId7" Type="http://schemas.openxmlformats.org/officeDocument/2006/relationships/hyperlink" Target="https://foodregulation.gov.au/internet/fr/publishing.nsf/Content/aus-foodborne-illness-reduction-strategy-2018-2021-Jun-2018" TargetMode="External"/><Relationship Id="rId12" Type="http://schemas.openxmlformats.org/officeDocument/2006/relationships/hyperlink" Target="https://webarchive.nla.gov.au/awa/20151020103533/http://www.health.gov.au/internet/main/publishing.nsf/Content/foodsecretariat-isc-model.htm" TargetMode="External"/><Relationship Id="rId2" Type="http://schemas.openxmlformats.org/officeDocument/2006/relationships/hyperlink" Target="https://foodregulation.gov.au/internet/fr/publishing.nsf/Content/risk-profiling-framework" TargetMode="External"/><Relationship Id="rId1" Type="http://schemas.openxmlformats.org/officeDocument/2006/relationships/hyperlink" Target="https://obpr.pmc.gov.au/resources/guidance-impact-analysis/regulatory-impact-analysis-guide-ministers-meetings-and-national" TargetMode="External"/><Relationship Id="rId6" Type="http://schemas.openxmlformats.org/officeDocument/2006/relationships/hyperlink" Target="https://ww2.health.wa.gov.au/~/media/Files/Corporate/general%20documents/food/PDF/WA_Food_Regulation_Food_Business_Risk_Profiling.pdf" TargetMode="External"/><Relationship Id="rId11" Type="http://schemas.openxmlformats.org/officeDocument/2006/relationships/hyperlink" Target="https://www.foodstandards.gov.au/code/proposals/Documents/CFS%20SD3_draft%20implementation%20information%20for%20businesses.pdf" TargetMode="External"/><Relationship Id="rId5" Type="http://schemas.openxmlformats.org/officeDocument/2006/relationships/hyperlink" Target="https://www.health.vic.gov.au/food-safety/food-business-classification" TargetMode="External"/><Relationship Id="rId10" Type="http://schemas.openxmlformats.org/officeDocument/2006/relationships/hyperlink" Target="https://www.health.act.gov.au/businesses/food-safety-regulation/starting-food-business" TargetMode="External"/><Relationship Id="rId4" Type="http://schemas.openxmlformats.org/officeDocument/2006/relationships/hyperlink" Target="https://www.qld.gov.au/health/staying-healthy/food-pantry/starting-a-food-business/food-business-licences/do-i-need-a-food-business-licence" TargetMode="External"/><Relationship Id="rId9" Type="http://schemas.openxmlformats.org/officeDocument/2006/relationships/hyperlink" Target="https://www1.health.gov.au/internet/main/Publishing.nsf/Content/cda-surveil-nndss-nndssintro.h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58E0A4F0F7E48508E0065074B3466B1"/>
        <w:category>
          <w:name w:val="General"/>
          <w:gallery w:val="placeholder"/>
        </w:category>
        <w:types>
          <w:type w:val="bbPlcHdr"/>
        </w:types>
        <w:behaviors>
          <w:behavior w:val="content"/>
        </w:behaviors>
        <w:guid w:val="{86358DD0-28FF-44E4-9E45-5A66AD183ED6}"/>
      </w:docPartPr>
      <w:docPartBody>
        <w:p w:rsidR="008E61D8" w:rsidRDefault="008E61D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Bold">
    <w:altName w:val="Arial"/>
    <w:panose1 w:val="020B0704020202020204"/>
    <w:charset w:val="59"/>
    <w:family w:val="auto"/>
    <w:pitch w:val="variable"/>
    <w:sig w:usb0="00000000" w:usb1="C0007843"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Helvetica 65 Medium">
    <w:charset w:val="00"/>
    <w:family w:val="auto"/>
    <w:pitch w:val="variable"/>
    <w:sig w:usb0="E00002FF" w:usb1="5000785B" w:usb2="00000000" w:usb3="00000000" w:csb0="0000019F" w:csb1="00000000"/>
  </w:font>
  <w:font w:name="Wingdings 2">
    <w:panose1 w:val="05020102010507070707"/>
    <w:charset w:val="02"/>
    <w:family w:val="roman"/>
    <w:pitch w:val="variable"/>
    <w:sig w:usb0="00000000" w:usb1="10000000" w:usb2="00000000" w:usb3="00000000" w:csb0="80000000" w:csb1="00000000"/>
  </w:font>
  <w:font w:name="Yu Mincho">
    <w:altName w:val="Yu Gothic"/>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61D8"/>
    <w:rsid w:val="00153F0F"/>
    <w:rsid w:val="00174C96"/>
    <w:rsid w:val="001D43D6"/>
    <w:rsid w:val="001F264F"/>
    <w:rsid w:val="00244B6A"/>
    <w:rsid w:val="0030230C"/>
    <w:rsid w:val="00387B80"/>
    <w:rsid w:val="003D29EB"/>
    <w:rsid w:val="00420717"/>
    <w:rsid w:val="004338FD"/>
    <w:rsid w:val="00491B04"/>
    <w:rsid w:val="004B6C0B"/>
    <w:rsid w:val="00562A70"/>
    <w:rsid w:val="005D3852"/>
    <w:rsid w:val="00614273"/>
    <w:rsid w:val="007641FC"/>
    <w:rsid w:val="00883908"/>
    <w:rsid w:val="008E18DD"/>
    <w:rsid w:val="008E61D8"/>
    <w:rsid w:val="00A75C39"/>
    <w:rsid w:val="00B316FC"/>
    <w:rsid w:val="00D2660F"/>
    <w:rsid w:val="00E37D1F"/>
    <w:rsid w:val="00FD36B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CA239676470E04B809DDC4E24CF2322" ma:contentTypeVersion="14" ma:contentTypeDescription="Create a new document." ma:contentTypeScope="" ma:versionID="bc8c1ae6f50bee9cb95bd38a46bdc62f">
  <xsd:schema xmlns:xsd="http://www.w3.org/2001/XMLSchema" xmlns:xs="http://www.w3.org/2001/XMLSchema" xmlns:p="http://schemas.microsoft.com/office/2006/metadata/properties" xmlns:ns2="4195ad5f-cdf2-4c4a-8d9b-b7944a108e98" xmlns:ns3="26285671-540d-468b-b7a1-f3e0438dd51a" targetNamespace="http://schemas.microsoft.com/office/2006/metadata/properties" ma:root="true" ma:fieldsID="883a595fd6cebbbc5e1a059e2314ef55" ns2:_="" ns3:_="">
    <xsd:import namespace="4195ad5f-cdf2-4c4a-8d9b-b7944a108e98"/>
    <xsd:import namespace="26285671-540d-468b-b7a1-f3e0438dd51a"/>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2:SharedWithUsers" minOccurs="0"/>
                <xsd:element ref="ns2:SharedWithDetail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95ad5f-cdf2-4c4a-8d9b-b7944a108e9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6cfc965e-522b-48e0-94e0-2258889ba25b}" ma:internalName="TaxCatchAll" ma:showField="CatchAllData" ma:web="4195ad5f-cdf2-4c4a-8d9b-b7944a108e9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6285671-540d-468b-b7a1-f3e0438dd51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704aed0-9400-4f73-8896-887924b24b89"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4195ad5f-cdf2-4c4a-8d9b-b7944a108e98" xsi:nil="true"/>
    <lcf76f155ced4ddcb4097134ff3c332f xmlns="26285671-540d-468b-b7a1-f3e0438dd51a">
      <Terms xmlns="http://schemas.microsoft.com/office/infopath/2007/PartnerControls"/>
    </lcf76f155ced4ddcb4097134ff3c332f>
    <_dlc_DocId xmlns="4195ad5f-cdf2-4c4a-8d9b-b7944a108e98">DOCID-322795542-25161</_dlc_DocId>
    <_dlc_DocIdUrl xmlns="4195ad5f-cdf2-4c4a-8d9b-b7944a108e98">
      <Url>https://pmc01.sharepoint.com/sites/CRMOBPR/_layouts/15/DocIdRedir.aspx?ID=DOCID-322795542-25161</Url>
      <Description>DOCID-322795542-25161</Description>
    </_dlc_DocIdUrl>
  </documentManagement>
</p:properties>
</file>

<file path=customXml/itemProps1.xml><?xml version="1.0" encoding="utf-8"?>
<ds:datastoreItem xmlns:ds="http://schemas.openxmlformats.org/officeDocument/2006/customXml" ds:itemID="{950180A0-F9FC-436E-83EC-9E7C023B0AEE}"/>
</file>

<file path=customXml/itemProps2.xml><?xml version="1.0" encoding="utf-8"?>
<ds:datastoreItem xmlns:ds="http://schemas.openxmlformats.org/officeDocument/2006/customXml" ds:itemID="{ADC1FC13-264D-4F1F-A5B8-381103FC0EA0}"/>
</file>

<file path=customXml/itemProps3.xml><?xml version="1.0" encoding="utf-8"?>
<ds:datastoreItem xmlns:ds="http://schemas.openxmlformats.org/officeDocument/2006/customXml" ds:itemID="{FDD714FA-5076-479A-80D7-5AB18F29FA78}"/>
</file>

<file path=customXml/itemProps4.xml><?xml version="1.0" encoding="utf-8"?>
<ds:datastoreItem xmlns:ds="http://schemas.openxmlformats.org/officeDocument/2006/customXml" ds:itemID="{EDAEA6C7-DDCE-4E8B-A28B-5A5B5AF29063}"/>
</file>

<file path=docProps/app.xml><?xml version="1.0" encoding="utf-8"?>
<Properties xmlns="http://schemas.openxmlformats.org/officeDocument/2006/extended-properties" xmlns:vt="http://schemas.openxmlformats.org/officeDocument/2006/docPropsVTypes">
  <Template>Normal</Template>
  <TotalTime>0</TotalTime>
  <Pages>50</Pages>
  <Words>20679</Words>
  <Characters>141154</Characters>
  <Application>Microsoft Office Word</Application>
  <DocSecurity>0</DocSecurity>
  <Lines>1176</Lines>
  <Paragraphs>323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161510</CharactersWithSpaces>
  <SharedDoc>false</SharedDoc>
  <HLinks>
    <vt:vector size="936" baseType="variant">
      <vt:variant>
        <vt:i4>3735645</vt:i4>
      </vt:variant>
      <vt:variant>
        <vt:i4>696</vt:i4>
      </vt:variant>
      <vt:variant>
        <vt:i4>0</vt:i4>
      </vt:variant>
      <vt:variant>
        <vt:i4>5</vt:i4>
      </vt:variant>
      <vt:variant>
        <vt:lpwstr>https://www.foodstandards.gov.au/code/proposals/Documents/CFS SD2_Micro risk profile.pdf</vt:lpwstr>
      </vt:variant>
      <vt:variant>
        <vt:lpwstr/>
      </vt:variant>
      <vt:variant>
        <vt:i4>7340149</vt:i4>
      </vt:variant>
      <vt:variant>
        <vt:i4>693</vt:i4>
      </vt:variant>
      <vt:variant>
        <vt:i4>0</vt:i4>
      </vt:variant>
      <vt:variant>
        <vt:i4>5</vt:i4>
      </vt:variant>
      <vt:variant>
        <vt:lpwstr>https://www.foodauthority.nsw.gov.au/sites/default/files/_Documents/fss/fss_evaluation.pdf</vt:lpwstr>
      </vt:variant>
      <vt:variant>
        <vt:lpwstr/>
      </vt:variant>
      <vt:variant>
        <vt:i4>3342434</vt:i4>
      </vt:variant>
      <vt:variant>
        <vt:i4>690</vt:i4>
      </vt:variant>
      <vt:variant>
        <vt:i4>0</vt:i4>
      </vt:variant>
      <vt:variant>
        <vt:i4>5</vt:i4>
      </vt:variant>
      <vt:variant>
        <vt:lpwstr>https://www1.health.gov.au/internet/fr/publishing.nsf/Content/3139DD4B7DF3E23ACA25822F0004BFDD/$File/AusFIRS18-22CD.pdf</vt:lpwstr>
      </vt:variant>
      <vt:variant>
        <vt:lpwstr>:~:text=The%20aim%20of%20Australia%E2%80%99s%20Foodborne%20Illness%20Reduction%20Strategy,ways%20e.g.%20qualitative%2C%20quantitative%20or%20reduction%20in%20outbreaks.</vt:lpwstr>
      </vt:variant>
      <vt:variant>
        <vt:i4>1507353</vt:i4>
      </vt:variant>
      <vt:variant>
        <vt:i4>687</vt:i4>
      </vt:variant>
      <vt:variant>
        <vt:i4>0</vt:i4>
      </vt:variant>
      <vt:variant>
        <vt:i4>5</vt:i4>
      </vt:variant>
      <vt:variant>
        <vt:lpwstr>http://www.fao.org/fao-who-codexalimentarius/meetings/en/</vt:lpwstr>
      </vt:variant>
      <vt:variant>
        <vt:lpwstr/>
      </vt:variant>
      <vt:variant>
        <vt:i4>7864359</vt:i4>
      </vt:variant>
      <vt:variant>
        <vt:i4>684</vt:i4>
      </vt:variant>
      <vt:variant>
        <vt:i4>0</vt:i4>
      </vt:variant>
      <vt:variant>
        <vt:i4>5</vt:i4>
      </vt:variant>
      <vt:variant>
        <vt:lpwstr>https://obpr.pmc.gov.au/resources/guidance-assessing-impacts/cost-benefit-analysis</vt:lpwstr>
      </vt:variant>
      <vt:variant>
        <vt:lpwstr/>
      </vt:variant>
      <vt:variant>
        <vt:i4>6291560</vt:i4>
      </vt:variant>
      <vt:variant>
        <vt:i4>681</vt:i4>
      </vt:variant>
      <vt:variant>
        <vt:i4>0</vt:i4>
      </vt:variant>
      <vt:variant>
        <vt:i4>5</vt:i4>
      </vt:variant>
      <vt:variant>
        <vt:lpwstr>https://doi.org/10.3201/eid2011.131315</vt:lpwstr>
      </vt:variant>
      <vt:variant>
        <vt:lpwstr/>
      </vt:variant>
      <vt:variant>
        <vt:i4>6619257</vt:i4>
      </vt:variant>
      <vt:variant>
        <vt:i4>666</vt:i4>
      </vt:variant>
      <vt:variant>
        <vt:i4>0</vt:i4>
      </vt:variant>
      <vt:variant>
        <vt:i4>5</vt:i4>
      </vt:variant>
      <vt:variant>
        <vt:lpwstr>https://www.sciencedirect.com/science/article/pii/S0956713504001975</vt:lpwstr>
      </vt:variant>
      <vt:variant>
        <vt:lpwstr/>
      </vt:variant>
      <vt:variant>
        <vt:i4>4128775</vt:i4>
      </vt:variant>
      <vt:variant>
        <vt:i4>663</vt:i4>
      </vt:variant>
      <vt:variant>
        <vt:i4>0</vt:i4>
      </vt:variant>
      <vt:variant>
        <vt:i4>5</vt:i4>
      </vt:variant>
      <vt:variant>
        <vt:lpwstr>https://treasury.gov.au/sites/default/files/2019-03/final_report.pdf</vt:lpwstr>
      </vt:variant>
      <vt:variant>
        <vt:lpwstr/>
      </vt:variant>
      <vt:variant>
        <vt:i4>5177347</vt:i4>
      </vt:variant>
      <vt:variant>
        <vt:i4>660</vt:i4>
      </vt:variant>
      <vt:variant>
        <vt:i4>0</vt:i4>
      </vt:variant>
      <vt:variant>
        <vt:i4>5</vt:i4>
      </vt:variant>
      <vt:variant>
        <vt:lpwstr>https://foodregulation.gov.au/internet/fr/publishing.nsf/Content/37F08208FAC6F504CA2582A40027AA90/$File/FRSC-RPF-ECE.docx</vt:lpwstr>
      </vt:variant>
      <vt:variant>
        <vt:lpwstr/>
      </vt:variant>
      <vt:variant>
        <vt:i4>2228284</vt:i4>
      </vt:variant>
      <vt:variant>
        <vt:i4>657</vt:i4>
      </vt:variant>
      <vt:variant>
        <vt:i4>0</vt:i4>
      </vt:variant>
      <vt:variant>
        <vt:i4>5</vt:i4>
      </vt:variant>
      <vt:variant>
        <vt:lpwstr>http://www.health.gov.au/internet/main/publishing.nsf/Content/cda-pubs-annlrpt-ozfnetar.htm</vt:lpwstr>
      </vt:variant>
      <vt:variant>
        <vt:lpwstr/>
      </vt:variant>
      <vt:variant>
        <vt:i4>2228284</vt:i4>
      </vt:variant>
      <vt:variant>
        <vt:i4>654</vt:i4>
      </vt:variant>
      <vt:variant>
        <vt:i4>0</vt:i4>
      </vt:variant>
      <vt:variant>
        <vt:i4>5</vt:i4>
      </vt:variant>
      <vt:variant>
        <vt:lpwstr>http://www.health.gov.au/internet/main/publishing.nsf/Content/cda-pubs-annlrpt-ozfnetar.htm</vt:lpwstr>
      </vt:variant>
      <vt:variant>
        <vt:lpwstr/>
      </vt:variant>
      <vt:variant>
        <vt:i4>2228284</vt:i4>
      </vt:variant>
      <vt:variant>
        <vt:i4>651</vt:i4>
      </vt:variant>
      <vt:variant>
        <vt:i4>0</vt:i4>
      </vt:variant>
      <vt:variant>
        <vt:i4>5</vt:i4>
      </vt:variant>
      <vt:variant>
        <vt:lpwstr>http://www.health.gov.au/internet/main/publishing.nsf/Content/cda-pubs-annlrpt-ozfnetar.htm</vt:lpwstr>
      </vt:variant>
      <vt:variant>
        <vt:lpwstr/>
      </vt:variant>
      <vt:variant>
        <vt:i4>2228284</vt:i4>
      </vt:variant>
      <vt:variant>
        <vt:i4>648</vt:i4>
      </vt:variant>
      <vt:variant>
        <vt:i4>0</vt:i4>
      </vt:variant>
      <vt:variant>
        <vt:i4>5</vt:i4>
      </vt:variant>
      <vt:variant>
        <vt:lpwstr>http://www.health.gov.au/internet/main/publishing.nsf/Content/cda-pubs-annlrpt-ozfnetar.htm</vt:lpwstr>
      </vt:variant>
      <vt:variant>
        <vt:lpwstr/>
      </vt:variant>
      <vt:variant>
        <vt:i4>6357088</vt:i4>
      </vt:variant>
      <vt:variant>
        <vt:i4>645</vt:i4>
      </vt:variant>
      <vt:variant>
        <vt:i4>0</vt:i4>
      </vt:variant>
      <vt:variant>
        <vt:i4>5</vt:i4>
      </vt:variant>
      <vt:variant>
        <vt:lpwstr>https://www.foodauthority.nsw.gov.au/media/6876 accessed 23/08/2019</vt:lpwstr>
      </vt:variant>
      <vt:variant>
        <vt:lpwstr/>
      </vt:variant>
      <vt:variant>
        <vt:i4>2883639</vt:i4>
      </vt:variant>
      <vt:variant>
        <vt:i4>642</vt:i4>
      </vt:variant>
      <vt:variant>
        <vt:i4>0</vt:i4>
      </vt:variant>
      <vt:variant>
        <vt:i4>5</vt:i4>
      </vt:variant>
      <vt:variant>
        <vt:lpwstr>https://www.google.com/url?sa=t&amp;rct=j&amp;q=&amp;esrc=s&amp;source=web&amp;cd=1&amp;ved=2ahUKEwjLqKPn0K3hAhWCfH0KHSC2Ce0QFjAAegQIARAC&amp;url=https%3A%2F%2Fwww.health.gov.au%2Finternet%2Fmain%2Fpublishing.nsf%2FContent%2FE829FA59A59677C0CA257D6A007D2C97%2F%24File%2FFoodborne-Illness-Australia-circa-2010.pdf&amp;usg=AOvVaw2kmoXJDtFMQmCRLUobKVZZ</vt:lpwstr>
      </vt:variant>
      <vt:variant>
        <vt:lpwstr/>
      </vt:variant>
      <vt:variant>
        <vt:i4>8061001</vt:i4>
      </vt:variant>
      <vt:variant>
        <vt:i4>639</vt:i4>
      </vt:variant>
      <vt:variant>
        <vt:i4>0</vt:i4>
      </vt:variant>
      <vt:variant>
        <vt:i4>5</vt:i4>
      </vt:variant>
      <vt:variant>
        <vt:lpwstr>http://agriculture.gov.au/abares/publications/display?url=http://143.188.17.20/anrdl/DAFFService/display.php?fid=pb_fdati9aat20180822.xml</vt:lpwstr>
      </vt:variant>
      <vt:variant>
        <vt:lpwstr/>
      </vt:variant>
      <vt:variant>
        <vt:i4>3735645</vt:i4>
      </vt:variant>
      <vt:variant>
        <vt:i4>636</vt:i4>
      </vt:variant>
      <vt:variant>
        <vt:i4>0</vt:i4>
      </vt:variant>
      <vt:variant>
        <vt:i4>5</vt:i4>
      </vt:variant>
      <vt:variant>
        <vt:lpwstr>https://www.foodstandards.gov.au/code/proposals/Documents/CFS SD2_Micro risk profile.pdf</vt:lpwstr>
      </vt:variant>
      <vt:variant>
        <vt:lpwstr/>
      </vt:variant>
      <vt:variant>
        <vt:i4>6488114</vt:i4>
      </vt:variant>
      <vt:variant>
        <vt:i4>633</vt:i4>
      </vt:variant>
      <vt:variant>
        <vt:i4>0</vt:i4>
      </vt:variant>
      <vt:variant>
        <vt:i4>5</vt:i4>
      </vt:variant>
      <vt:variant>
        <vt:lpwstr>http://www.foodstandards.gov.au/foodsafety/standards/Pages/Safe-Food-Australia-%E2%80%93-A-guide-to-the-Food-Safety-Standards.aspx</vt:lpwstr>
      </vt:variant>
      <vt:variant>
        <vt:lpwstr/>
      </vt:variant>
      <vt:variant>
        <vt:i4>1507332</vt:i4>
      </vt:variant>
      <vt:variant>
        <vt:i4>630</vt:i4>
      </vt:variant>
      <vt:variant>
        <vt:i4>0</vt:i4>
      </vt:variant>
      <vt:variant>
        <vt:i4>5</vt:i4>
      </vt:variant>
      <vt:variant>
        <vt:lpwstr>https://www.foodstandards.gov.au/publications/documents/2007 NFHS Interpretive Summary FINAL.pdf</vt:lpwstr>
      </vt:variant>
      <vt:variant>
        <vt:lpwstr/>
      </vt:variant>
      <vt:variant>
        <vt:i4>2359422</vt:i4>
      </vt:variant>
      <vt:variant>
        <vt:i4>627</vt:i4>
      </vt:variant>
      <vt:variant>
        <vt:i4>0</vt:i4>
      </vt:variant>
      <vt:variant>
        <vt:i4>5</vt:i4>
      </vt:variant>
      <vt:variant>
        <vt:lpwstr>https://foodregulation.gov.au/internet/fr/publishing.nsf/Content/publication-Food-Safety-Management-Policy-Guideline-for-the-retail-and-food-service-sectors accessed December 2019</vt:lpwstr>
      </vt:variant>
      <vt:variant>
        <vt:lpwstr/>
      </vt:variant>
      <vt:variant>
        <vt:i4>1441860</vt:i4>
      </vt:variant>
      <vt:variant>
        <vt:i4>624</vt:i4>
      </vt:variant>
      <vt:variant>
        <vt:i4>0</vt:i4>
      </vt:variant>
      <vt:variant>
        <vt:i4>5</vt:i4>
      </vt:variant>
      <vt:variant>
        <vt:lpwstr>https://foodregulation.gov.au/internet/fr/publishing.nsf/Content/risk-profiling-framework</vt:lpwstr>
      </vt:variant>
      <vt:variant>
        <vt:lpwstr/>
      </vt:variant>
      <vt:variant>
        <vt:i4>2228284</vt:i4>
      </vt:variant>
      <vt:variant>
        <vt:i4>621</vt:i4>
      </vt:variant>
      <vt:variant>
        <vt:i4>0</vt:i4>
      </vt:variant>
      <vt:variant>
        <vt:i4>5</vt:i4>
      </vt:variant>
      <vt:variant>
        <vt:lpwstr>http://www.health.gov.au/internet/main/publishing.nsf/Content/cda-pubs-annlrpt-ozfnetar.htm</vt:lpwstr>
      </vt:variant>
      <vt:variant>
        <vt:lpwstr/>
      </vt:variant>
      <vt:variant>
        <vt:i4>1507421</vt:i4>
      </vt:variant>
      <vt:variant>
        <vt:i4>618</vt:i4>
      </vt:variant>
      <vt:variant>
        <vt:i4>0</vt:i4>
      </vt:variant>
      <vt:variant>
        <vt:i4>5</vt:i4>
      </vt:variant>
      <vt:variant>
        <vt:lpwstr>https://dofoodsafely.health.vic.gov.au/index.php/en/</vt:lpwstr>
      </vt:variant>
      <vt:variant>
        <vt:lpwstr/>
      </vt:variant>
      <vt:variant>
        <vt:i4>458840</vt:i4>
      </vt:variant>
      <vt:variant>
        <vt:i4>615</vt:i4>
      </vt:variant>
      <vt:variant>
        <vt:i4>0</vt:i4>
      </vt:variant>
      <vt:variant>
        <vt:i4>5</vt:i4>
      </vt:variant>
      <vt:variant>
        <vt:lpwstr>https://www.imalert.com.au/v6/?sub=nt</vt:lpwstr>
      </vt:variant>
      <vt:variant>
        <vt:lpwstr/>
      </vt:variant>
      <vt:variant>
        <vt:i4>196696</vt:i4>
      </vt:variant>
      <vt:variant>
        <vt:i4>612</vt:i4>
      </vt:variant>
      <vt:variant>
        <vt:i4>0</vt:i4>
      </vt:variant>
      <vt:variant>
        <vt:i4>5</vt:i4>
      </vt:variant>
      <vt:variant>
        <vt:lpwstr>https://imalert.com.au/v6/?sub=health-act</vt:lpwstr>
      </vt:variant>
      <vt:variant>
        <vt:lpwstr/>
      </vt:variant>
      <vt:variant>
        <vt:i4>7733352</vt:i4>
      </vt:variant>
      <vt:variant>
        <vt:i4>600</vt:i4>
      </vt:variant>
      <vt:variant>
        <vt:i4>0</vt:i4>
      </vt:variant>
      <vt:variant>
        <vt:i4>5</vt:i4>
      </vt:variant>
      <vt:variant>
        <vt:lpwstr>http://www.foodstandards.gov.au/code/Pages/default.aspx</vt:lpwstr>
      </vt:variant>
      <vt:variant>
        <vt:lpwstr/>
      </vt:variant>
      <vt:variant>
        <vt:i4>2556030</vt:i4>
      </vt:variant>
      <vt:variant>
        <vt:i4>597</vt:i4>
      </vt:variant>
      <vt:variant>
        <vt:i4>0</vt:i4>
      </vt:variant>
      <vt:variant>
        <vt:i4>5</vt:i4>
      </vt:variant>
      <vt:variant>
        <vt:lpwstr>https://webarchive.nla.gov.au/awa/20151020103533/http:/www.health.gov.au/internet/main/publishing.nsf/Content/foodsecretariat-isc-model.htm</vt:lpwstr>
      </vt:variant>
      <vt:variant>
        <vt:lpwstr/>
      </vt:variant>
      <vt:variant>
        <vt:i4>1310771</vt:i4>
      </vt:variant>
      <vt:variant>
        <vt:i4>590</vt:i4>
      </vt:variant>
      <vt:variant>
        <vt:i4>0</vt:i4>
      </vt:variant>
      <vt:variant>
        <vt:i4>5</vt:i4>
      </vt:variant>
      <vt:variant>
        <vt:lpwstr/>
      </vt:variant>
      <vt:variant>
        <vt:lpwstr>_Toc104808633</vt:lpwstr>
      </vt:variant>
      <vt:variant>
        <vt:i4>1310771</vt:i4>
      </vt:variant>
      <vt:variant>
        <vt:i4>584</vt:i4>
      </vt:variant>
      <vt:variant>
        <vt:i4>0</vt:i4>
      </vt:variant>
      <vt:variant>
        <vt:i4>5</vt:i4>
      </vt:variant>
      <vt:variant>
        <vt:lpwstr/>
      </vt:variant>
      <vt:variant>
        <vt:lpwstr>_Toc104808632</vt:lpwstr>
      </vt:variant>
      <vt:variant>
        <vt:i4>1310771</vt:i4>
      </vt:variant>
      <vt:variant>
        <vt:i4>578</vt:i4>
      </vt:variant>
      <vt:variant>
        <vt:i4>0</vt:i4>
      </vt:variant>
      <vt:variant>
        <vt:i4>5</vt:i4>
      </vt:variant>
      <vt:variant>
        <vt:lpwstr/>
      </vt:variant>
      <vt:variant>
        <vt:lpwstr>_Toc104808631</vt:lpwstr>
      </vt:variant>
      <vt:variant>
        <vt:i4>1310771</vt:i4>
      </vt:variant>
      <vt:variant>
        <vt:i4>572</vt:i4>
      </vt:variant>
      <vt:variant>
        <vt:i4>0</vt:i4>
      </vt:variant>
      <vt:variant>
        <vt:i4>5</vt:i4>
      </vt:variant>
      <vt:variant>
        <vt:lpwstr/>
      </vt:variant>
      <vt:variant>
        <vt:lpwstr>_Toc104808630</vt:lpwstr>
      </vt:variant>
      <vt:variant>
        <vt:i4>1376307</vt:i4>
      </vt:variant>
      <vt:variant>
        <vt:i4>566</vt:i4>
      </vt:variant>
      <vt:variant>
        <vt:i4>0</vt:i4>
      </vt:variant>
      <vt:variant>
        <vt:i4>5</vt:i4>
      </vt:variant>
      <vt:variant>
        <vt:lpwstr/>
      </vt:variant>
      <vt:variant>
        <vt:lpwstr>_Toc104808629</vt:lpwstr>
      </vt:variant>
      <vt:variant>
        <vt:i4>1376307</vt:i4>
      </vt:variant>
      <vt:variant>
        <vt:i4>560</vt:i4>
      </vt:variant>
      <vt:variant>
        <vt:i4>0</vt:i4>
      </vt:variant>
      <vt:variant>
        <vt:i4>5</vt:i4>
      </vt:variant>
      <vt:variant>
        <vt:lpwstr/>
      </vt:variant>
      <vt:variant>
        <vt:lpwstr>_Toc104808628</vt:lpwstr>
      </vt:variant>
      <vt:variant>
        <vt:i4>1376307</vt:i4>
      </vt:variant>
      <vt:variant>
        <vt:i4>554</vt:i4>
      </vt:variant>
      <vt:variant>
        <vt:i4>0</vt:i4>
      </vt:variant>
      <vt:variant>
        <vt:i4>5</vt:i4>
      </vt:variant>
      <vt:variant>
        <vt:lpwstr/>
      </vt:variant>
      <vt:variant>
        <vt:lpwstr>_Toc104808627</vt:lpwstr>
      </vt:variant>
      <vt:variant>
        <vt:i4>1376307</vt:i4>
      </vt:variant>
      <vt:variant>
        <vt:i4>548</vt:i4>
      </vt:variant>
      <vt:variant>
        <vt:i4>0</vt:i4>
      </vt:variant>
      <vt:variant>
        <vt:i4>5</vt:i4>
      </vt:variant>
      <vt:variant>
        <vt:lpwstr/>
      </vt:variant>
      <vt:variant>
        <vt:lpwstr>_Toc104808626</vt:lpwstr>
      </vt:variant>
      <vt:variant>
        <vt:i4>1376307</vt:i4>
      </vt:variant>
      <vt:variant>
        <vt:i4>542</vt:i4>
      </vt:variant>
      <vt:variant>
        <vt:i4>0</vt:i4>
      </vt:variant>
      <vt:variant>
        <vt:i4>5</vt:i4>
      </vt:variant>
      <vt:variant>
        <vt:lpwstr/>
      </vt:variant>
      <vt:variant>
        <vt:lpwstr>_Toc104808625</vt:lpwstr>
      </vt:variant>
      <vt:variant>
        <vt:i4>1376307</vt:i4>
      </vt:variant>
      <vt:variant>
        <vt:i4>536</vt:i4>
      </vt:variant>
      <vt:variant>
        <vt:i4>0</vt:i4>
      </vt:variant>
      <vt:variant>
        <vt:i4>5</vt:i4>
      </vt:variant>
      <vt:variant>
        <vt:lpwstr/>
      </vt:variant>
      <vt:variant>
        <vt:lpwstr>_Toc104808624</vt:lpwstr>
      </vt:variant>
      <vt:variant>
        <vt:i4>1376307</vt:i4>
      </vt:variant>
      <vt:variant>
        <vt:i4>530</vt:i4>
      </vt:variant>
      <vt:variant>
        <vt:i4>0</vt:i4>
      </vt:variant>
      <vt:variant>
        <vt:i4>5</vt:i4>
      </vt:variant>
      <vt:variant>
        <vt:lpwstr/>
      </vt:variant>
      <vt:variant>
        <vt:lpwstr>_Toc104808623</vt:lpwstr>
      </vt:variant>
      <vt:variant>
        <vt:i4>1376307</vt:i4>
      </vt:variant>
      <vt:variant>
        <vt:i4>524</vt:i4>
      </vt:variant>
      <vt:variant>
        <vt:i4>0</vt:i4>
      </vt:variant>
      <vt:variant>
        <vt:i4>5</vt:i4>
      </vt:variant>
      <vt:variant>
        <vt:lpwstr/>
      </vt:variant>
      <vt:variant>
        <vt:lpwstr>_Toc104808622</vt:lpwstr>
      </vt:variant>
      <vt:variant>
        <vt:i4>1376307</vt:i4>
      </vt:variant>
      <vt:variant>
        <vt:i4>518</vt:i4>
      </vt:variant>
      <vt:variant>
        <vt:i4>0</vt:i4>
      </vt:variant>
      <vt:variant>
        <vt:i4>5</vt:i4>
      </vt:variant>
      <vt:variant>
        <vt:lpwstr/>
      </vt:variant>
      <vt:variant>
        <vt:lpwstr>_Toc104808621</vt:lpwstr>
      </vt:variant>
      <vt:variant>
        <vt:i4>1376307</vt:i4>
      </vt:variant>
      <vt:variant>
        <vt:i4>512</vt:i4>
      </vt:variant>
      <vt:variant>
        <vt:i4>0</vt:i4>
      </vt:variant>
      <vt:variant>
        <vt:i4>5</vt:i4>
      </vt:variant>
      <vt:variant>
        <vt:lpwstr/>
      </vt:variant>
      <vt:variant>
        <vt:lpwstr>_Toc104808620</vt:lpwstr>
      </vt:variant>
      <vt:variant>
        <vt:i4>1441843</vt:i4>
      </vt:variant>
      <vt:variant>
        <vt:i4>506</vt:i4>
      </vt:variant>
      <vt:variant>
        <vt:i4>0</vt:i4>
      </vt:variant>
      <vt:variant>
        <vt:i4>5</vt:i4>
      </vt:variant>
      <vt:variant>
        <vt:lpwstr/>
      </vt:variant>
      <vt:variant>
        <vt:lpwstr>_Toc104808619</vt:lpwstr>
      </vt:variant>
      <vt:variant>
        <vt:i4>1441843</vt:i4>
      </vt:variant>
      <vt:variant>
        <vt:i4>500</vt:i4>
      </vt:variant>
      <vt:variant>
        <vt:i4>0</vt:i4>
      </vt:variant>
      <vt:variant>
        <vt:i4>5</vt:i4>
      </vt:variant>
      <vt:variant>
        <vt:lpwstr/>
      </vt:variant>
      <vt:variant>
        <vt:lpwstr>_Toc104808618</vt:lpwstr>
      </vt:variant>
      <vt:variant>
        <vt:i4>1441843</vt:i4>
      </vt:variant>
      <vt:variant>
        <vt:i4>494</vt:i4>
      </vt:variant>
      <vt:variant>
        <vt:i4>0</vt:i4>
      </vt:variant>
      <vt:variant>
        <vt:i4>5</vt:i4>
      </vt:variant>
      <vt:variant>
        <vt:lpwstr/>
      </vt:variant>
      <vt:variant>
        <vt:lpwstr>_Toc104808617</vt:lpwstr>
      </vt:variant>
      <vt:variant>
        <vt:i4>1441843</vt:i4>
      </vt:variant>
      <vt:variant>
        <vt:i4>488</vt:i4>
      </vt:variant>
      <vt:variant>
        <vt:i4>0</vt:i4>
      </vt:variant>
      <vt:variant>
        <vt:i4>5</vt:i4>
      </vt:variant>
      <vt:variant>
        <vt:lpwstr/>
      </vt:variant>
      <vt:variant>
        <vt:lpwstr>_Toc104808616</vt:lpwstr>
      </vt:variant>
      <vt:variant>
        <vt:i4>1441843</vt:i4>
      </vt:variant>
      <vt:variant>
        <vt:i4>482</vt:i4>
      </vt:variant>
      <vt:variant>
        <vt:i4>0</vt:i4>
      </vt:variant>
      <vt:variant>
        <vt:i4>5</vt:i4>
      </vt:variant>
      <vt:variant>
        <vt:lpwstr/>
      </vt:variant>
      <vt:variant>
        <vt:lpwstr>_Toc104808615</vt:lpwstr>
      </vt:variant>
      <vt:variant>
        <vt:i4>1441843</vt:i4>
      </vt:variant>
      <vt:variant>
        <vt:i4>476</vt:i4>
      </vt:variant>
      <vt:variant>
        <vt:i4>0</vt:i4>
      </vt:variant>
      <vt:variant>
        <vt:i4>5</vt:i4>
      </vt:variant>
      <vt:variant>
        <vt:lpwstr/>
      </vt:variant>
      <vt:variant>
        <vt:lpwstr>_Toc104808614</vt:lpwstr>
      </vt:variant>
      <vt:variant>
        <vt:i4>1441843</vt:i4>
      </vt:variant>
      <vt:variant>
        <vt:i4>470</vt:i4>
      </vt:variant>
      <vt:variant>
        <vt:i4>0</vt:i4>
      </vt:variant>
      <vt:variant>
        <vt:i4>5</vt:i4>
      </vt:variant>
      <vt:variant>
        <vt:lpwstr/>
      </vt:variant>
      <vt:variant>
        <vt:lpwstr>_Toc104808613</vt:lpwstr>
      </vt:variant>
      <vt:variant>
        <vt:i4>1441843</vt:i4>
      </vt:variant>
      <vt:variant>
        <vt:i4>464</vt:i4>
      </vt:variant>
      <vt:variant>
        <vt:i4>0</vt:i4>
      </vt:variant>
      <vt:variant>
        <vt:i4>5</vt:i4>
      </vt:variant>
      <vt:variant>
        <vt:lpwstr/>
      </vt:variant>
      <vt:variant>
        <vt:lpwstr>_Toc104808612</vt:lpwstr>
      </vt:variant>
      <vt:variant>
        <vt:i4>1441843</vt:i4>
      </vt:variant>
      <vt:variant>
        <vt:i4>458</vt:i4>
      </vt:variant>
      <vt:variant>
        <vt:i4>0</vt:i4>
      </vt:variant>
      <vt:variant>
        <vt:i4>5</vt:i4>
      </vt:variant>
      <vt:variant>
        <vt:lpwstr/>
      </vt:variant>
      <vt:variant>
        <vt:lpwstr>_Toc104808611</vt:lpwstr>
      </vt:variant>
      <vt:variant>
        <vt:i4>1441843</vt:i4>
      </vt:variant>
      <vt:variant>
        <vt:i4>452</vt:i4>
      </vt:variant>
      <vt:variant>
        <vt:i4>0</vt:i4>
      </vt:variant>
      <vt:variant>
        <vt:i4>5</vt:i4>
      </vt:variant>
      <vt:variant>
        <vt:lpwstr/>
      </vt:variant>
      <vt:variant>
        <vt:lpwstr>_Toc104808610</vt:lpwstr>
      </vt:variant>
      <vt:variant>
        <vt:i4>1507379</vt:i4>
      </vt:variant>
      <vt:variant>
        <vt:i4>446</vt:i4>
      </vt:variant>
      <vt:variant>
        <vt:i4>0</vt:i4>
      </vt:variant>
      <vt:variant>
        <vt:i4>5</vt:i4>
      </vt:variant>
      <vt:variant>
        <vt:lpwstr/>
      </vt:variant>
      <vt:variant>
        <vt:lpwstr>_Toc104808609</vt:lpwstr>
      </vt:variant>
      <vt:variant>
        <vt:i4>1507379</vt:i4>
      </vt:variant>
      <vt:variant>
        <vt:i4>440</vt:i4>
      </vt:variant>
      <vt:variant>
        <vt:i4>0</vt:i4>
      </vt:variant>
      <vt:variant>
        <vt:i4>5</vt:i4>
      </vt:variant>
      <vt:variant>
        <vt:lpwstr/>
      </vt:variant>
      <vt:variant>
        <vt:lpwstr>_Toc104808608</vt:lpwstr>
      </vt:variant>
      <vt:variant>
        <vt:i4>1507379</vt:i4>
      </vt:variant>
      <vt:variant>
        <vt:i4>434</vt:i4>
      </vt:variant>
      <vt:variant>
        <vt:i4>0</vt:i4>
      </vt:variant>
      <vt:variant>
        <vt:i4>5</vt:i4>
      </vt:variant>
      <vt:variant>
        <vt:lpwstr/>
      </vt:variant>
      <vt:variant>
        <vt:lpwstr>_Toc104808607</vt:lpwstr>
      </vt:variant>
      <vt:variant>
        <vt:i4>1507379</vt:i4>
      </vt:variant>
      <vt:variant>
        <vt:i4>428</vt:i4>
      </vt:variant>
      <vt:variant>
        <vt:i4>0</vt:i4>
      </vt:variant>
      <vt:variant>
        <vt:i4>5</vt:i4>
      </vt:variant>
      <vt:variant>
        <vt:lpwstr/>
      </vt:variant>
      <vt:variant>
        <vt:lpwstr>_Toc104808606</vt:lpwstr>
      </vt:variant>
      <vt:variant>
        <vt:i4>1507379</vt:i4>
      </vt:variant>
      <vt:variant>
        <vt:i4>422</vt:i4>
      </vt:variant>
      <vt:variant>
        <vt:i4>0</vt:i4>
      </vt:variant>
      <vt:variant>
        <vt:i4>5</vt:i4>
      </vt:variant>
      <vt:variant>
        <vt:lpwstr/>
      </vt:variant>
      <vt:variant>
        <vt:lpwstr>_Toc104808605</vt:lpwstr>
      </vt:variant>
      <vt:variant>
        <vt:i4>1507379</vt:i4>
      </vt:variant>
      <vt:variant>
        <vt:i4>416</vt:i4>
      </vt:variant>
      <vt:variant>
        <vt:i4>0</vt:i4>
      </vt:variant>
      <vt:variant>
        <vt:i4>5</vt:i4>
      </vt:variant>
      <vt:variant>
        <vt:lpwstr/>
      </vt:variant>
      <vt:variant>
        <vt:lpwstr>_Toc104808604</vt:lpwstr>
      </vt:variant>
      <vt:variant>
        <vt:i4>1507379</vt:i4>
      </vt:variant>
      <vt:variant>
        <vt:i4>410</vt:i4>
      </vt:variant>
      <vt:variant>
        <vt:i4>0</vt:i4>
      </vt:variant>
      <vt:variant>
        <vt:i4>5</vt:i4>
      </vt:variant>
      <vt:variant>
        <vt:lpwstr/>
      </vt:variant>
      <vt:variant>
        <vt:lpwstr>_Toc104808603</vt:lpwstr>
      </vt:variant>
      <vt:variant>
        <vt:i4>1507379</vt:i4>
      </vt:variant>
      <vt:variant>
        <vt:i4>404</vt:i4>
      </vt:variant>
      <vt:variant>
        <vt:i4>0</vt:i4>
      </vt:variant>
      <vt:variant>
        <vt:i4>5</vt:i4>
      </vt:variant>
      <vt:variant>
        <vt:lpwstr/>
      </vt:variant>
      <vt:variant>
        <vt:lpwstr>_Toc104808602</vt:lpwstr>
      </vt:variant>
      <vt:variant>
        <vt:i4>1507379</vt:i4>
      </vt:variant>
      <vt:variant>
        <vt:i4>398</vt:i4>
      </vt:variant>
      <vt:variant>
        <vt:i4>0</vt:i4>
      </vt:variant>
      <vt:variant>
        <vt:i4>5</vt:i4>
      </vt:variant>
      <vt:variant>
        <vt:lpwstr/>
      </vt:variant>
      <vt:variant>
        <vt:lpwstr>_Toc104808601</vt:lpwstr>
      </vt:variant>
      <vt:variant>
        <vt:i4>1507379</vt:i4>
      </vt:variant>
      <vt:variant>
        <vt:i4>392</vt:i4>
      </vt:variant>
      <vt:variant>
        <vt:i4>0</vt:i4>
      </vt:variant>
      <vt:variant>
        <vt:i4>5</vt:i4>
      </vt:variant>
      <vt:variant>
        <vt:lpwstr/>
      </vt:variant>
      <vt:variant>
        <vt:lpwstr>_Toc104808600</vt:lpwstr>
      </vt:variant>
      <vt:variant>
        <vt:i4>1966128</vt:i4>
      </vt:variant>
      <vt:variant>
        <vt:i4>386</vt:i4>
      </vt:variant>
      <vt:variant>
        <vt:i4>0</vt:i4>
      </vt:variant>
      <vt:variant>
        <vt:i4>5</vt:i4>
      </vt:variant>
      <vt:variant>
        <vt:lpwstr/>
      </vt:variant>
      <vt:variant>
        <vt:lpwstr>_Toc104808599</vt:lpwstr>
      </vt:variant>
      <vt:variant>
        <vt:i4>1966128</vt:i4>
      </vt:variant>
      <vt:variant>
        <vt:i4>380</vt:i4>
      </vt:variant>
      <vt:variant>
        <vt:i4>0</vt:i4>
      </vt:variant>
      <vt:variant>
        <vt:i4>5</vt:i4>
      </vt:variant>
      <vt:variant>
        <vt:lpwstr/>
      </vt:variant>
      <vt:variant>
        <vt:lpwstr>_Toc104808598</vt:lpwstr>
      </vt:variant>
      <vt:variant>
        <vt:i4>1966128</vt:i4>
      </vt:variant>
      <vt:variant>
        <vt:i4>374</vt:i4>
      </vt:variant>
      <vt:variant>
        <vt:i4>0</vt:i4>
      </vt:variant>
      <vt:variant>
        <vt:i4>5</vt:i4>
      </vt:variant>
      <vt:variant>
        <vt:lpwstr/>
      </vt:variant>
      <vt:variant>
        <vt:lpwstr>_Toc104808597</vt:lpwstr>
      </vt:variant>
      <vt:variant>
        <vt:i4>1966128</vt:i4>
      </vt:variant>
      <vt:variant>
        <vt:i4>368</vt:i4>
      </vt:variant>
      <vt:variant>
        <vt:i4>0</vt:i4>
      </vt:variant>
      <vt:variant>
        <vt:i4>5</vt:i4>
      </vt:variant>
      <vt:variant>
        <vt:lpwstr/>
      </vt:variant>
      <vt:variant>
        <vt:lpwstr>_Toc104808596</vt:lpwstr>
      </vt:variant>
      <vt:variant>
        <vt:i4>1966128</vt:i4>
      </vt:variant>
      <vt:variant>
        <vt:i4>362</vt:i4>
      </vt:variant>
      <vt:variant>
        <vt:i4>0</vt:i4>
      </vt:variant>
      <vt:variant>
        <vt:i4>5</vt:i4>
      </vt:variant>
      <vt:variant>
        <vt:lpwstr/>
      </vt:variant>
      <vt:variant>
        <vt:lpwstr>_Toc104808595</vt:lpwstr>
      </vt:variant>
      <vt:variant>
        <vt:i4>1966128</vt:i4>
      </vt:variant>
      <vt:variant>
        <vt:i4>356</vt:i4>
      </vt:variant>
      <vt:variant>
        <vt:i4>0</vt:i4>
      </vt:variant>
      <vt:variant>
        <vt:i4>5</vt:i4>
      </vt:variant>
      <vt:variant>
        <vt:lpwstr/>
      </vt:variant>
      <vt:variant>
        <vt:lpwstr>_Toc104808594</vt:lpwstr>
      </vt:variant>
      <vt:variant>
        <vt:i4>1966128</vt:i4>
      </vt:variant>
      <vt:variant>
        <vt:i4>350</vt:i4>
      </vt:variant>
      <vt:variant>
        <vt:i4>0</vt:i4>
      </vt:variant>
      <vt:variant>
        <vt:i4>5</vt:i4>
      </vt:variant>
      <vt:variant>
        <vt:lpwstr/>
      </vt:variant>
      <vt:variant>
        <vt:lpwstr>_Toc104808593</vt:lpwstr>
      </vt:variant>
      <vt:variant>
        <vt:i4>1966128</vt:i4>
      </vt:variant>
      <vt:variant>
        <vt:i4>344</vt:i4>
      </vt:variant>
      <vt:variant>
        <vt:i4>0</vt:i4>
      </vt:variant>
      <vt:variant>
        <vt:i4>5</vt:i4>
      </vt:variant>
      <vt:variant>
        <vt:lpwstr/>
      </vt:variant>
      <vt:variant>
        <vt:lpwstr>_Toc104808592</vt:lpwstr>
      </vt:variant>
      <vt:variant>
        <vt:i4>6946865</vt:i4>
      </vt:variant>
      <vt:variant>
        <vt:i4>339</vt:i4>
      </vt:variant>
      <vt:variant>
        <vt:i4>0</vt:i4>
      </vt:variant>
      <vt:variant>
        <vt:i4>5</vt:i4>
      </vt:variant>
      <vt:variant>
        <vt:lpwstr>http://www.legislation.gov.au/</vt:lpwstr>
      </vt:variant>
      <vt:variant>
        <vt:lpwstr/>
      </vt:variant>
      <vt:variant>
        <vt:i4>6946865</vt:i4>
      </vt:variant>
      <vt:variant>
        <vt:i4>336</vt:i4>
      </vt:variant>
      <vt:variant>
        <vt:i4>0</vt:i4>
      </vt:variant>
      <vt:variant>
        <vt:i4>5</vt:i4>
      </vt:variant>
      <vt:variant>
        <vt:lpwstr>http://www.legislation.gov.au/</vt:lpwstr>
      </vt:variant>
      <vt:variant>
        <vt:lpwstr/>
      </vt:variant>
      <vt:variant>
        <vt:i4>589915</vt:i4>
      </vt:variant>
      <vt:variant>
        <vt:i4>330</vt:i4>
      </vt:variant>
      <vt:variant>
        <vt:i4>0</vt:i4>
      </vt:variant>
      <vt:variant>
        <vt:i4>5</vt:i4>
      </vt:variant>
      <vt:variant>
        <vt:lpwstr>https://www1.health.gov.au/internet/fr/publishing.nsf/Content/37F08208FAC6F504CA2582A40027AA90/$File/FRSC-RPF-ECE.pdf</vt:lpwstr>
      </vt:variant>
      <vt:variant>
        <vt:lpwstr/>
      </vt:variant>
      <vt:variant>
        <vt:i4>2556030</vt:i4>
      </vt:variant>
      <vt:variant>
        <vt:i4>327</vt:i4>
      </vt:variant>
      <vt:variant>
        <vt:i4>0</vt:i4>
      </vt:variant>
      <vt:variant>
        <vt:i4>5</vt:i4>
      </vt:variant>
      <vt:variant>
        <vt:lpwstr>https://webarchive.nla.gov.au/awa/20151020103533/http:/www.health.gov.au/internet/main/publishing.nsf/Content/foodsecretariat-isc-model.htm</vt:lpwstr>
      </vt:variant>
      <vt:variant>
        <vt:lpwstr/>
      </vt:variant>
      <vt:variant>
        <vt:i4>1310784</vt:i4>
      </vt:variant>
      <vt:variant>
        <vt:i4>324</vt:i4>
      </vt:variant>
      <vt:variant>
        <vt:i4>0</vt:i4>
      </vt:variant>
      <vt:variant>
        <vt:i4>5</vt:i4>
      </vt:variant>
      <vt:variant>
        <vt:lpwstr>https://foodregulation.gov.au/internet/fr/publishing.nsf/Content/ISFR</vt:lpwstr>
      </vt:variant>
      <vt:variant>
        <vt:lpwstr/>
      </vt:variant>
      <vt:variant>
        <vt:i4>1441895</vt:i4>
      </vt:variant>
      <vt:variant>
        <vt:i4>321</vt:i4>
      </vt:variant>
      <vt:variant>
        <vt:i4>0</vt:i4>
      </vt:variant>
      <vt:variant>
        <vt:i4>5</vt:i4>
      </vt:variant>
      <vt:variant>
        <vt:lpwstr/>
      </vt:variant>
      <vt:variant>
        <vt:lpwstr>_Appendix_1_–</vt:lpwstr>
      </vt:variant>
      <vt:variant>
        <vt:i4>3735645</vt:i4>
      </vt:variant>
      <vt:variant>
        <vt:i4>318</vt:i4>
      </vt:variant>
      <vt:variant>
        <vt:i4>0</vt:i4>
      </vt:variant>
      <vt:variant>
        <vt:i4>5</vt:i4>
      </vt:variant>
      <vt:variant>
        <vt:lpwstr>https://www.foodstandards.gov.au/code/proposals/Documents/CFS SD2_Micro risk profile.pdf</vt:lpwstr>
      </vt:variant>
      <vt:variant>
        <vt:lpwstr/>
      </vt:variant>
      <vt:variant>
        <vt:i4>3735645</vt:i4>
      </vt:variant>
      <vt:variant>
        <vt:i4>315</vt:i4>
      </vt:variant>
      <vt:variant>
        <vt:i4>0</vt:i4>
      </vt:variant>
      <vt:variant>
        <vt:i4>5</vt:i4>
      </vt:variant>
      <vt:variant>
        <vt:lpwstr>https://www.foodstandards.gov.au/code/proposals/Documents/CFS SD2_Micro risk profile.pdf</vt:lpwstr>
      </vt:variant>
      <vt:variant>
        <vt:lpwstr/>
      </vt:variant>
      <vt:variant>
        <vt:i4>7667792</vt:i4>
      </vt:variant>
      <vt:variant>
        <vt:i4>312</vt:i4>
      </vt:variant>
      <vt:variant>
        <vt:i4>0</vt:i4>
      </vt:variant>
      <vt:variant>
        <vt:i4>5</vt:i4>
      </vt:variant>
      <vt:variant>
        <vt:lpwstr/>
      </vt:variant>
      <vt:variant>
        <vt:lpwstr>_Attachment_C_–</vt:lpwstr>
      </vt:variant>
      <vt:variant>
        <vt:i4>7667792</vt:i4>
      </vt:variant>
      <vt:variant>
        <vt:i4>306</vt:i4>
      </vt:variant>
      <vt:variant>
        <vt:i4>0</vt:i4>
      </vt:variant>
      <vt:variant>
        <vt:i4>5</vt:i4>
      </vt:variant>
      <vt:variant>
        <vt:lpwstr/>
      </vt:variant>
      <vt:variant>
        <vt:lpwstr>_Attachment_C_–</vt:lpwstr>
      </vt:variant>
      <vt:variant>
        <vt:i4>2621526</vt:i4>
      </vt:variant>
      <vt:variant>
        <vt:i4>303</vt:i4>
      </vt:variant>
      <vt:variant>
        <vt:i4>0</vt:i4>
      </vt:variant>
      <vt:variant>
        <vt:i4>5</vt:i4>
      </vt:variant>
      <vt:variant>
        <vt:lpwstr>https://www.foodstandards.gov.au/code/proposals/Documents/CFS SD2_Micro risk profile.docx</vt:lpwstr>
      </vt:variant>
      <vt:variant>
        <vt:lpwstr/>
      </vt:variant>
      <vt:variant>
        <vt:i4>2621526</vt:i4>
      </vt:variant>
      <vt:variant>
        <vt:i4>300</vt:i4>
      </vt:variant>
      <vt:variant>
        <vt:i4>0</vt:i4>
      </vt:variant>
      <vt:variant>
        <vt:i4>5</vt:i4>
      </vt:variant>
      <vt:variant>
        <vt:lpwstr>https://www.foodstandards.gov.au/code/proposals/Documents/CFS SD2_Micro risk profile.docx</vt:lpwstr>
      </vt:variant>
      <vt:variant>
        <vt:lpwstr/>
      </vt:variant>
      <vt:variant>
        <vt:i4>2621526</vt:i4>
      </vt:variant>
      <vt:variant>
        <vt:i4>297</vt:i4>
      </vt:variant>
      <vt:variant>
        <vt:i4>0</vt:i4>
      </vt:variant>
      <vt:variant>
        <vt:i4>5</vt:i4>
      </vt:variant>
      <vt:variant>
        <vt:lpwstr>https://www.foodstandards.gov.au/code/proposals/Documents/CFS SD2_Micro risk profile.docx</vt:lpwstr>
      </vt:variant>
      <vt:variant>
        <vt:lpwstr/>
      </vt:variant>
      <vt:variant>
        <vt:i4>7667792</vt:i4>
      </vt:variant>
      <vt:variant>
        <vt:i4>294</vt:i4>
      </vt:variant>
      <vt:variant>
        <vt:i4>0</vt:i4>
      </vt:variant>
      <vt:variant>
        <vt:i4>5</vt:i4>
      </vt:variant>
      <vt:variant>
        <vt:lpwstr/>
      </vt:variant>
      <vt:variant>
        <vt:lpwstr>_Attachment_C_–</vt:lpwstr>
      </vt:variant>
      <vt:variant>
        <vt:i4>7667792</vt:i4>
      </vt:variant>
      <vt:variant>
        <vt:i4>291</vt:i4>
      </vt:variant>
      <vt:variant>
        <vt:i4>0</vt:i4>
      </vt:variant>
      <vt:variant>
        <vt:i4>5</vt:i4>
      </vt:variant>
      <vt:variant>
        <vt:lpwstr/>
      </vt:variant>
      <vt:variant>
        <vt:lpwstr>_Attachment_C_–</vt:lpwstr>
      </vt:variant>
      <vt:variant>
        <vt:i4>7667792</vt:i4>
      </vt:variant>
      <vt:variant>
        <vt:i4>288</vt:i4>
      </vt:variant>
      <vt:variant>
        <vt:i4>0</vt:i4>
      </vt:variant>
      <vt:variant>
        <vt:i4>5</vt:i4>
      </vt:variant>
      <vt:variant>
        <vt:lpwstr/>
      </vt:variant>
      <vt:variant>
        <vt:lpwstr>_Attachment_C_–</vt:lpwstr>
      </vt:variant>
      <vt:variant>
        <vt:i4>6619160</vt:i4>
      </vt:variant>
      <vt:variant>
        <vt:i4>285</vt:i4>
      </vt:variant>
      <vt:variant>
        <vt:i4>0</vt:i4>
      </vt:variant>
      <vt:variant>
        <vt:i4>5</vt:i4>
      </vt:variant>
      <vt:variant>
        <vt:lpwstr/>
      </vt:variant>
      <vt:variant>
        <vt:lpwstr>_1.3_Current_status</vt:lpwstr>
      </vt:variant>
      <vt:variant>
        <vt:i4>3735645</vt:i4>
      </vt:variant>
      <vt:variant>
        <vt:i4>282</vt:i4>
      </vt:variant>
      <vt:variant>
        <vt:i4>0</vt:i4>
      </vt:variant>
      <vt:variant>
        <vt:i4>5</vt:i4>
      </vt:variant>
      <vt:variant>
        <vt:lpwstr>https://www.foodstandards.gov.au/code/proposals/Documents/CFS SD2_Micro risk profile.pdf</vt:lpwstr>
      </vt:variant>
      <vt:variant>
        <vt:lpwstr/>
      </vt:variant>
      <vt:variant>
        <vt:i4>4522076</vt:i4>
      </vt:variant>
      <vt:variant>
        <vt:i4>279</vt:i4>
      </vt:variant>
      <vt:variant>
        <vt:i4>0</vt:i4>
      </vt:variant>
      <vt:variant>
        <vt:i4>5</vt:i4>
      </vt:variant>
      <vt:variant>
        <vt:lpwstr>https://www1.health.gov.au/internet/fr/publishing.nsf/Content/37F08208FAC6F504CA2582A40027AA90/$File/FRSC-RPF2007.pdf</vt:lpwstr>
      </vt:variant>
      <vt:variant>
        <vt:lpwstr/>
      </vt:variant>
      <vt:variant>
        <vt:i4>3342452</vt:i4>
      </vt:variant>
      <vt:variant>
        <vt:i4>276</vt:i4>
      </vt:variant>
      <vt:variant>
        <vt:i4>0</vt:i4>
      </vt:variant>
      <vt:variant>
        <vt:i4>5</vt:i4>
      </vt:variant>
      <vt:variant>
        <vt:lpwstr>https://www1.health.gov.au/internet/main/publishing.nsf/Content/cdna-ozfoodnet.htm</vt:lpwstr>
      </vt:variant>
      <vt:variant>
        <vt:lpwstr/>
      </vt:variant>
      <vt:variant>
        <vt:i4>3735645</vt:i4>
      </vt:variant>
      <vt:variant>
        <vt:i4>273</vt:i4>
      </vt:variant>
      <vt:variant>
        <vt:i4>0</vt:i4>
      </vt:variant>
      <vt:variant>
        <vt:i4>5</vt:i4>
      </vt:variant>
      <vt:variant>
        <vt:lpwstr>https://www.foodstandards.gov.au/code/proposals/Documents/CFS SD2_Micro risk profile.pdf</vt:lpwstr>
      </vt:variant>
      <vt:variant>
        <vt:lpwstr/>
      </vt:variant>
      <vt:variant>
        <vt:i4>3932190</vt:i4>
      </vt:variant>
      <vt:variant>
        <vt:i4>270</vt:i4>
      </vt:variant>
      <vt:variant>
        <vt:i4>0</vt:i4>
      </vt:variant>
      <vt:variant>
        <vt:i4>5</vt:i4>
      </vt:variant>
      <vt:variant>
        <vt:lpwstr/>
      </vt:variant>
      <vt:variant>
        <vt:lpwstr>_5._Who_was</vt:lpwstr>
      </vt:variant>
      <vt:variant>
        <vt:i4>4063329</vt:i4>
      </vt:variant>
      <vt:variant>
        <vt:i4>267</vt:i4>
      </vt:variant>
      <vt:variant>
        <vt:i4>0</vt:i4>
      </vt:variant>
      <vt:variant>
        <vt:i4>5</vt:i4>
      </vt:variant>
      <vt:variant>
        <vt:lpwstr>https://www.bing.com/ck/a?!&amp;&amp;p=a125e583c2fec48200031e4e8edd86ac34fea95fdc49a902ced0bdfb01454fcbJmltdHM9MTY1Mjc2NTk4NyZpZ3VpZD03NzZlNThhZi0xZjA2LTRhNjQtYTM0My03NzBhMGE3MDQ0MGImaW5zaWQ9NTE5NA&amp;ptn=3&amp;fclid=c310bcba-d5a3-11ec-974e-c80037d8d8ca&amp;u=a1aHR0cHM6Ly93d3cubGVnaXNsYXRpb24uZ292LmF1L0RldGFpbHMvQzIwMTZDMDAxNDc&amp;ntb=1</vt:lpwstr>
      </vt:variant>
      <vt:variant>
        <vt:lpwstr/>
      </vt:variant>
      <vt:variant>
        <vt:i4>3735645</vt:i4>
      </vt:variant>
      <vt:variant>
        <vt:i4>264</vt:i4>
      </vt:variant>
      <vt:variant>
        <vt:i4>0</vt:i4>
      </vt:variant>
      <vt:variant>
        <vt:i4>5</vt:i4>
      </vt:variant>
      <vt:variant>
        <vt:lpwstr>https://www.foodstandards.gov.au/code/proposals/Documents/CFS SD2_Micro risk profile.pdf</vt:lpwstr>
      </vt:variant>
      <vt:variant>
        <vt:lpwstr/>
      </vt:variant>
      <vt:variant>
        <vt:i4>6160407</vt:i4>
      </vt:variant>
      <vt:variant>
        <vt:i4>261</vt:i4>
      </vt:variant>
      <vt:variant>
        <vt:i4>0</vt:i4>
      </vt:variant>
      <vt:variant>
        <vt:i4>5</vt:i4>
      </vt:variant>
      <vt:variant>
        <vt:lpwstr>https://foodregulation.gov.au/internet/fr/publishing.nsf/Content/aus-foodborne-illness-reduction-strategy-2018-2021-Jun-2018</vt:lpwstr>
      </vt:variant>
      <vt:variant>
        <vt:lpwstr/>
      </vt:variant>
      <vt:variant>
        <vt:i4>7667792</vt:i4>
      </vt:variant>
      <vt:variant>
        <vt:i4>258</vt:i4>
      </vt:variant>
      <vt:variant>
        <vt:i4>0</vt:i4>
      </vt:variant>
      <vt:variant>
        <vt:i4>5</vt:i4>
      </vt:variant>
      <vt:variant>
        <vt:lpwstr/>
      </vt:variant>
      <vt:variant>
        <vt:lpwstr>_Attachment_C_–</vt:lpwstr>
      </vt:variant>
      <vt:variant>
        <vt:i4>7471143</vt:i4>
      </vt:variant>
      <vt:variant>
        <vt:i4>255</vt:i4>
      </vt:variant>
      <vt:variant>
        <vt:i4>0</vt:i4>
      </vt:variant>
      <vt:variant>
        <vt:i4>5</vt:i4>
      </vt:variant>
      <vt:variant>
        <vt:lpwstr>https://www.foodstandards.gov.au/code/proposals/Documents/P1053 CFS report.pdf</vt:lpwstr>
      </vt:variant>
      <vt:variant>
        <vt:lpwstr/>
      </vt:variant>
      <vt:variant>
        <vt:i4>3735645</vt:i4>
      </vt:variant>
      <vt:variant>
        <vt:i4>252</vt:i4>
      </vt:variant>
      <vt:variant>
        <vt:i4>0</vt:i4>
      </vt:variant>
      <vt:variant>
        <vt:i4>5</vt:i4>
      </vt:variant>
      <vt:variant>
        <vt:lpwstr>https://www.foodstandards.gov.au/code/proposals/Documents/CFS SD2_Micro risk profile.pdf</vt:lpwstr>
      </vt:variant>
      <vt:variant>
        <vt:lpwstr/>
      </vt:variant>
      <vt:variant>
        <vt:i4>3538975</vt:i4>
      </vt:variant>
      <vt:variant>
        <vt:i4>249</vt:i4>
      </vt:variant>
      <vt:variant>
        <vt:i4>0</vt:i4>
      </vt:variant>
      <vt:variant>
        <vt:i4>5</vt:i4>
      </vt:variant>
      <vt:variant>
        <vt:lpwstr>https://www.foodstandards.gov.au/code/proposals/Documents/P1053 CFS SD1_CRIS.pdf</vt:lpwstr>
      </vt:variant>
      <vt:variant>
        <vt:lpwstr/>
      </vt:variant>
      <vt:variant>
        <vt:i4>5636111</vt:i4>
      </vt:variant>
      <vt:variant>
        <vt:i4>246</vt:i4>
      </vt:variant>
      <vt:variant>
        <vt:i4>0</vt:i4>
      </vt:variant>
      <vt:variant>
        <vt:i4>5</vt:i4>
      </vt:variant>
      <vt:variant>
        <vt:lpwstr>https://www.foodstandards.gov.au/code/proposals/Pages/P1053.aspx</vt:lpwstr>
      </vt:variant>
      <vt:variant>
        <vt:lpwstr/>
      </vt:variant>
      <vt:variant>
        <vt:i4>1245244</vt:i4>
      </vt:variant>
      <vt:variant>
        <vt:i4>239</vt:i4>
      </vt:variant>
      <vt:variant>
        <vt:i4>0</vt:i4>
      </vt:variant>
      <vt:variant>
        <vt:i4>5</vt:i4>
      </vt:variant>
      <vt:variant>
        <vt:lpwstr/>
      </vt:variant>
      <vt:variant>
        <vt:lpwstr>_Toc109300475</vt:lpwstr>
      </vt:variant>
      <vt:variant>
        <vt:i4>1245244</vt:i4>
      </vt:variant>
      <vt:variant>
        <vt:i4>233</vt:i4>
      </vt:variant>
      <vt:variant>
        <vt:i4>0</vt:i4>
      </vt:variant>
      <vt:variant>
        <vt:i4>5</vt:i4>
      </vt:variant>
      <vt:variant>
        <vt:lpwstr/>
      </vt:variant>
      <vt:variant>
        <vt:lpwstr>_Toc109300474</vt:lpwstr>
      </vt:variant>
      <vt:variant>
        <vt:i4>1245244</vt:i4>
      </vt:variant>
      <vt:variant>
        <vt:i4>227</vt:i4>
      </vt:variant>
      <vt:variant>
        <vt:i4>0</vt:i4>
      </vt:variant>
      <vt:variant>
        <vt:i4>5</vt:i4>
      </vt:variant>
      <vt:variant>
        <vt:lpwstr/>
      </vt:variant>
      <vt:variant>
        <vt:lpwstr>_Toc109300473</vt:lpwstr>
      </vt:variant>
      <vt:variant>
        <vt:i4>1179708</vt:i4>
      </vt:variant>
      <vt:variant>
        <vt:i4>221</vt:i4>
      </vt:variant>
      <vt:variant>
        <vt:i4>0</vt:i4>
      </vt:variant>
      <vt:variant>
        <vt:i4>5</vt:i4>
      </vt:variant>
      <vt:variant>
        <vt:lpwstr/>
      </vt:variant>
      <vt:variant>
        <vt:lpwstr>_Toc109300465</vt:lpwstr>
      </vt:variant>
      <vt:variant>
        <vt:i4>1507388</vt:i4>
      </vt:variant>
      <vt:variant>
        <vt:i4>215</vt:i4>
      </vt:variant>
      <vt:variant>
        <vt:i4>0</vt:i4>
      </vt:variant>
      <vt:variant>
        <vt:i4>5</vt:i4>
      </vt:variant>
      <vt:variant>
        <vt:lpwstr/>
      </vt:variant>
      <vt:variant>
        <vt:lpwstr>_Toc109300436</vt:lpwstr>
      </vt:variant>
      <vt:variant>
        <vt:i4>1507388</vt:i4>
      </vt:variant>
      <vt:variant>
        <vt:i4>209</vt:i4>
      </vt:variant>
      <vt:variant>
        <vt:i4>0</vt:i4>
      </vt:variant>
      <vt:variant>
        <vt:i4>5</vt:i4>
      </vt:variant>
      <vt:variant>
        <vt:lpwstr/>
      </vt:variant>
      <vt:variant>
        <vt:lpwstr>_Toc109300435</vt:lpwstr>
      </vt:variant>
      <vt:variant>
        <vt:i4>1507388</vt:i4>
      </vt:variant>
      <vt:variant>
        <vt:i4>203</vt:i4>
      </vt:variant>
      <vt:variant>
        <vt:i4>0</vt:i4>
      </vt:variant>
      <vt:variant>
        <vt:i4>5</vt:i4>
      </vt:variant>
      <vt:variant>
        <vt:lpwstr/>
      </vt:variant>
      <vt:variant>
        <vt:lpwstr>_Toc109300434</vt:lpwstr>
      </vt:variant>
      <vt:variant>
        <vt:i4>1507388</vt:i4>
      </vt:variant>
      <vt:variant>
        <vt:i4>197</vt:i4>
      </vt:variant>
      <vt:variant>
        <vt:i4>0</vt:i4>
      </vt:variant>
      <vt:variant>
        <vt:i4>5</vt:i4>
      </vt:variant>
      <vt:variant>
        <vt:lpwstr/>
      </vt:variant>
      <vt:variant>
        <vt:lpwstr>_Toc109300432</vt:lpwstr>
      </vt:variant>
      <vt:variant>
        <vt:i4>1507388</vt:i4>
      </vt:variant>
      <vt:variant>
        <vt:i4>191</vt:i4>
      </vt:variant>
      <vt:variant>
        <vt:i4>0</vt:i4>
      </vt:variant>
      <vt:variant>
        <vt:i4>5</vt:i4>
      </vt:variant>
      <vt:variant>
        <vt:lpwstr/>
      </vt:variant>
      <vt:variant>
        <vt:lpwstr>_Toc109300431</vt:lpwstr>
      </vt:variant>
      <vt:variant>
        <vt:i4>1507388</vt:i4>
      </vt:variant>
      <vt:variant>
        <vt:i4>185</vt:i4>
      </vt:variant>
      <vt:variant>
        <vt:i4>0</vt:i4>
      </vt:variant>
      <vt:variant>
        <vt:i4>5</vt:i4>
      </vt:variant>
      <vt:variant>
        <vt:lpwstr/>
      </vt:variant>
      <vt:variant>
        <vt:lpwstr>_Toc109300430</vt:lpwstr>
      </vt:variant>
      <vt:variant>
        <vt:i4>1441852</vt:i4>
      </vt:variant>
      <vt:variant>
        <vt:i4>179</vt:i4>
      </vt:variant>
      <vt:variant>
        <vt:i4>0</vt:i4>
      </vt:variant>
      <vt:variant>
        <vt:i4>5</vt:i4>
      </vt:variant>
      <vt:variant>
        <vt:lpwstr/>
      </vt:variant>
      <vt:variant>
        <vt:lpwstr>_Toc109300429</vt:lpwstr>
      </vt:variant>
      <vt:variant>
        <vt:i4>1441852</vt:i4>
      </vt:variant>
      <vt:variant>
        <vt:i4>173</vt:i4>
      </vt:variant>
      <vt:variant>
        <vt:i4>0</vt:i4>
      </vt:variant>
      <vt:variant>
        <vt:i4>5</vt:i4>
      </vt:variant>
      <vt:variant>
        <vt:lpwstr/>
      </vt:variant>
      <vt:variant>
        <vt:lpwstr>_Toc109300428</vt:lpwstr>
      </vt:variant>
      <vt:variant>
        <vt:i4>1441852</vt:i4>
      </vt:variant>
      <vt:variant>
        <vt:i4>167</vt:i4>
      </vt:variant>
      <vt:variant>
        <vt:i4>0</vt:i4>
      </vt:variant>
      <vt:variant>
        <vt:i4>5</vt:i4>
      </vt:variant>
      <vt:variant>
        <vt:lpwstr/>
      </vt:variant>
      <vt:variant>
        <vt:lpwstr>_Toc109300427</vt:lpwstr>
      </vt:variant>
      <vt:variant>
        <vt:i4>1441852</vt:i4>
      </vt:variant>
      <vt:variant>
        <vt:i4>161</vt:i4>
      </vt:variant>
      <vt:variant>
        <vt:i4>0</vt:i4>
      </vt:variant>
      <vt:variant>
        <vt:i4>5</vt:i4>
      </vt:variant>
      <vt:variant>
        <vt:lpwstr/>
      </vt:variant>
      <vt:variant>
        <vt:lpwstr>_Toc109300426</vt:lpwstr>
      </vt:variant>
      <vt:variant>
        <vt:i4>1441852</vt:i4>
      </vt:variant>
      <vt:variant>
        <vt:i4>155</vt:i4>
      </vt:variant>
      <vt:variant>
        <vt:i4>0</vt:i4>
      </vt:variant>
      <vt:variant>
        <vt:i4>5</vt:i4>
      </vt:variant>
      <vt:variant>
        <vt:lpwstr/>
      </vt:variant>
      <vt:variant>
        <vt:lpwstr>_Toc109300425</vt:lpwstr>
      </vt:variant>
      <vt:variant>
        <vt:i4>1441852</vt:i4>
      </vt:variant>
      <vt:variant>
        <vt:i4>149</vt:i4>
      </vt:variant>
      <vt:variant>
        <vt:i4>0</vt:i4>
      </vt:variant>
      <vt:variant>
        <vt:i4>5</vt:i4>
      </vt:variant>
      <vt:variant>
        <vt:lpwstr/>
      </vt:variant>
      <vt:variant>
        <vt:lpwstr>_Toc109300424</vt:lpwstr>
      </vt:variant>
      <vt:variant>
        <vt:i4>1441852</vt:i4>
      </vt:variant>
      <vt:variant>
        <vt:i4>143</vt:i4>
      </vt:variant>
      <vt:variant>
        <vt:i4>0</vt:i4>
      </vt:variant>
      <vt:variant>
        <vt:i4>5</vt:i4>
      </vt:variant>
      <vt:variant>
        <vt:lpwstr/>
      </vt:variant>
      <vt:variant>
        <vt:lpwstr>_Toc109300423</vt:lpwstr>
      </vt:variant>
      <vt:variant>
        <vt:i4>1441852</vt:i4>
      </vt:variant>
      <vt:variant>
        <vt:i4>137</vt:i4>
      </vt:variant>
      <vt:variant>
        <vt:i4>0</vt:i4>
      </vt:variant>
      <vt:variant>
        <vt:i4>5</vt:i4>
      </vt:variant>
      <vt:variant>
        <vt:lpwstr/>
      </vt:variant>
      <vt:variant>
        <vt:lpwstr>_Toc109300422</vt:lpwstr>
      </vt:variant>
      <vt:variant>
        <vt:i4>1441852</vt:i4>
      </vt:variant>
      <vt:variant>
        <vt:i4>131</vt:i4>
      </vt:variant>
      <vt:variant>
        <vt:i4>0</vt:i4>
      </vt:variant>
      <vt:variant>
        <vt:i4>5</vt:i4>
      </vt:variant>
      <vt:variant>
        <vt:lpwstr/>
      </vt:variant>
      <vt:variant>
        <vt:lpwstr>_Toc109300421</vt:lpwstr>
      </vt:variant>
      <vt:variant>
        <vt:i4>1441852</vt:i4>
      </vt:variant>
      <vt:variant>
        <vt:i4>125</vt:i4>
      </vt:variant>
      <vt:variant>
        <vt:i4>0</vt:i4>
      </vt:variant>
      <vt:variant>
        <vt:i4>5</vt:i4>
      </vt:variant>
      <vt:variant>
        <vt:lpwstr/>
      </vt:variant>
      <vt:variant>
        <vt:lpwstr>_Toc109300420</vt:lpwstr>
      </vt:variant>
      <vt:variant>
        <vt:i4>1376316</vt:i4>
      </vt:variant>
      <vt:variant>
        <vt:i4>119</vt:i4>
      </vt:variant>
      <vt:variant>
        <vt:i4>0</vt:i4>
      </vt:variant>
      <vt:variant>
        <vt:i4>5</vt:i4>
      </vt:variant>
      <vt:variant>
        <vt:lpwstr/>
      </vt:variant>
      <vt:variant>
        <vt:lpwstr>_Toc109300419</vt:lpwstr>
      </vt:variant>
      <vt:variant>
        <vt:i4>1376316</vt:i4>
      </vt:variant>
      <vt:variant>
        <vt:i4>113</vt:i4>
      </vt:variant>
      <vt:variant>
        <vt:i4>0</vt:i4>
      </vt:variant>
      <vt:variant>
        <vt:i4>5</vt:i4>
      </vt:variant>
      <vt:variant>
        <vt:lpwstr/>
      </vt:variant>
      <vt:variant>
        <vt:lpwstr>_Toc109300418</vt:lpwstr>
      </vt:variant>
      <vt:variant>
        <vt:i4>1376316</vt:i4>
      </vt:variant>
      <vt:variant>
        <vt:i4>107</vt:i4>
      </vt:variant>
      <vt:variant>
        <vt:i4>0</vt:i4>
      </vt:variant>
      <vt:variant>
        <vt:i4>5</vt:i4>
      </vt:variant>
      <vt:variant>
        <vt:lpwstr/>
      </vt:variant>
      <vt:variant>
        <vt:lpwstr>_Toc109300417</vt:lpwstr>
      </vt:variant>
      <vt:variant>
        <vt:i4>1376316</vt:i4>
      </vt:variant>
      <vt:variant>
        <vt:i4>101</vt:i4>
      </vt:variant>
      <vt:variant>
        <vt:i4>0</vt:i4>
      </vt:variant>
      <vt:variant>
        <vt:i4>5</vt:i4>
      </vt:variant>
      <vt:variant>
        <vt:lpwstr/>
      </vt:variant>
      <vt:variant>
        <vt:lpwstr>_Toc109300416</vt:lpwstr>
      </vt:variant>
      <vt:variant>
        <vt:i4>1376316</vt:i4>
      </vt:variant>
      <vt:variant>
        <vt:i4>95</vt:i4>
      </vt:variant>
      <vt:variant>
        <vt:i4>0</vt:i4>
      </vt:variant>
      <vt:variant>
        <vt:i4>5</vt:i4>
      </vt:variant>
      <vt:variant>
        <vt:lpwstr/>
      </vt:variant>
      <vt:variant>
        <vt:lpwstr>_Toc109300415</vt:lpwstr>
      </vt:variant>
      <vt:variant>
        <vt:i4>1376316</vt:i4>
      </vt:variant>
      <vt:variant>
        <vt:i4>89</vt:i4>
      </vt:variant>
      <vt:variant>
        <vt:i4>0</vt:i4>
      </vt:variant>
      <vt:variant>
        <vt:i4>5</vt:i4>
      </vt:variant>
      <vt:variant>
        <vt:lpwstr/>
      </vt:variant>
      <vt:variant>
        <vt:lpwstr>_Toc109300414</vt:lpwstr>
      </vt:variant>
      <vt:variant>
        <vt:i4>1376316</vt:i4>
      </vt:variant>
      <vt:variant>
        <vt:i4>83</vt:i4>
      </vt:variant>
      <vt:variant>
        <vt:i4>0</vt:i4>
      </vt:variant>
      <vt:variant>
        <vt:i4>5</vt:i4>
      </vt:variant>
      <vt:variant>
        <vt:lpwstr/>
      </vt:variant>
      <vt:variant>
        <vt:lpwstr>_Toc109300413</vt:lpwstr>
      </vt:variant>
      <vt:variant>
        <vt:i4>1376316</vt:i4>
      </vt:variant>
      <vt:variant>
        <vt:i4>77</vt:i4>
      </vt:variant>
      <vt:variant>
        <vt:i4>0</vt:i4>
      </vt:variant>
      <vt:variant>
        <vt:i4>5</vt:i4>
      </vt:variant>
      <vt:variant>
        <vt:lpwstr/>
      </vt:variant>
      <vt:variant>
        <vt:lpwstr>_Toc109300412</vt:lpwstr>
      </vt:variant>
      <vt:variant>
        <vt:i4>1376316</vt:i4>
      </vt:variant>
      <vt:variant>
        <vt:i4>71</vt:i4>
      </vt:variant>
      <vt:variant>
        <vt:i4>0</vt:i4>
      </vt:variant>
      <vt:variant>
        <vt:i4>5</vt:i4>
      </vt:variant>
      <vt:variant>
        <vt:lpwstr/>
      </vt:variant>
      <vt:variant>
        <vt:lpwstr>_Toc109300411</vt:lpwstr>
      </vt:variant>
      <vt:variant>
        <vt:i4>1376316</vt:i4>
      </vt:variant>
      <vt:variant>
        <vt:i4>65</vt:i4>
      </vt:variant>
      <vt:variant>
        <vt:i4>0</vt:i4>
      </vt:variant>
      <vt:variant>
        <vt:i4>5</vt:i4>
      </vt:variant>
      <vt:variant>
        <vt:lpwstr/>
      </vt:variant>
      <vt:variant>
        <vt:lpwstr>_Toc109300410</vt:lpwstr>
      </vt:variant>
      <vt:variant>
        <vt:i4>1310780</vt:i4>
      </vt:variant>
      <vt:variant>
        <vt:i4>59</vt:i4>
      </vt:variant>
      <vt:variant>
        <vt:i4>0</vt:i4>
      </vt:variant>
      <vt:variant>
        <vt:i4>5</vt:i4>
      </vt:variant>
      <vt:variant>
        <vt:lpwstr/>
      </vt:variant>
      <vt:variant>
        <vt:lpwstr>_Toc109300409</vt:lpwstr>
      </vt:variant>
      <vt:variant>
        <vt:i4>1310780</vt:i4>
      </vt:variant>
      <vt:variant>
        <vt:i4>53</vt:i4>
      </vt:variant>
      <vt:variant>
        <vt:i4>0</vt:i4>
      </vt:variant>
      <vt:variant>
        <vt:i4>5</vt:i4>
      </vt:variant>
      <vt:variant>
        <vt:lpwstr/>
      </vt:variant>
      <vt:variant>
        <vt:lpwstr>_Toc109300408</vt:lpwstr>
      </vt:variant>
      <vt:variant>
        <vt:i4>1310780</vt:i4>
      </vt:variant>
      <vt:variant>
        <vt:i4>47</vt:i4>
      </vt:variant>
      <vt:variant>
        <vt:i4>0</vt:i4>
      </vt:variant>
      <vt:variant>
        <vt:i4>5</vt:i4>
      </vt:variant>
      <vt:variant>
        <vt:lpwstr/>
      </vt:variant>
      <vt:variant>
        <vt:lpwstr>_Toc109300407</vt:lpwstr>
      </vt:variant>
      <vt:variant>
        <vt:i4>1310780</vt:i4>
      </vt:variant>
      <vt:variant>
        <vt:i4>41</vt:i4>
      </vt:variant>
      <vt:variant>
        <vt:i4>0</vt:i4>
      </vt:variant>
      <vt:variant>
        <vt:i4>5</vt:i4>
      </vt:variant>
      <vt:variant>
        <vt:lpwstr/>
      </vt:variant>
      <vt:variant>
        <vt:lpwstr>_Toc109300406</vt:lpwstr>
      </vt:variant>
      <vt:variant>
        <vt:i4>1310780</vt:i4>
      </vt:variant>
      <vt:variant>
        <vt:i4>35</vt:i4>
      </vt:variant>
      <vt:variant>
        <vt:i4>0</vt:i4>
      </vt:variant>
      <vt:variant>
        <vt:i4>5</vt:i4>
      </vt:variant>
      <vt:variant>
        <vt:lpwstr/>
      </vt:variant>
      <vt:variant>
        <vt:lpwstr>_Toc109300405</vt:lpwstr>
      </vt:variant>
      <vt:variant>
        <vt:i4>1310780</vt:i4>
      </vt:variant>
      <vt:variant>
        <vt:i4>29</vt:i4>
      </vt:variant>
      <vt:variant>
        <vt:i4>0</vt:i4>
      </vt:variant>
      <vt:variant>
        <vt:i4>5</vt:i4>
      </vt:variant>
      <vt:variant>
        <vt:lpwstr/>
      </vt:variant>
      <vt:variant>
        <vt:lpwstr>_Toc109300404</vt:lpwstr>
      </vt:variant>
      <vt:variant>
        <vt:i4>1310780</vt:i4>
      </vt:variant>
      <vt:variant>
        <vt:i4>23</vt:i4>
      </vt:variant>
      <vt:variant>
        <vt:i4>0</vt:i4>
      </vt:variant>
      <vt:variant>
        <vt:i4>5</vt:i4>
      </vt:variant>
      <vt:variant>
        <vt:lpwstr/>
      </vt:variant>
      <vt:variant>
        <vt:lpwstr>_Toc109300403</vt:lpwstr>
      </vt:variant>
      <vt:variant>
        <vt:i4>1310780</vt:i4>
      </vt:variant>
      <vt:variant>
        <vt:i4>17</vt:i4>
      </vt:variant>
      <vt:variant>
        <vt:i4>0</vt:i4>
      </vt:variant>
      <vt:variant>
        <vt:i4>5</vt:i4>
      </vt:variant>
      <vt:variant>
        <vt:lpwstr/>
      </vt:variant>
      <vt:variant>
        <vt:lpwstr>_Toc109300402</vt:lpwstr>
      </vt:variant>
      <vt:variant>
        <vt:i4>1310780</vt:i4>
      </vt:variant>
      <vt:variant>
        <vt:i4>11</vt:i4>
      </vt:variant>
      <vt:variant>
        <vt:i4>0</vt:i4>
      </vt:variant>
      <vt:variant>
        <vt:i4>5</vt:i4>
      </vt:variant>
      <vt:variant>
        <vt:lpwstr/>
      </vt:variant>
      <vt:variant>
        <vt:lpwstr>_Toc109300401</vt:lpwstr>
      </vt:variant>
      <vt:variant>
        <vt:i4>1310780</vt:i4>
      </vt:variant>
      <vt:variant>
        <vt:i4>5</vt:i4>
      </vt:variant>
      <vt:variant>
        <vt:i4>0</vt:i4>
      </vt:variant>
      <vt:variant>
        <vt:i4>5</vt:i4>
      </vt:variant>
      <vt:variant>
        <vt:lpwstr/>
      </vt:variant>
      <vt:variant>
        <vt:lpwstr>_Toc109300400</vt:lpwstr>
      </vt:variant>
      <vt:variant>
        <vt:i4>5636111</vt:i4>
      </vt:variant>
      <vt:variant>
        <vt:i4>0</vt:i4>
      </vt:variant>
      <vt:variant>
        <vt:i4>0</vt:i4>
      </vt:variant>
      <vt:variant>
        <vt:i4>5</vt:i4>
      </vt:variant>
      <vt:variant>
        <vt:lpwstr>https://www.foodstandards.gov.au/code/proposals/Pages/P1053.aspx</vt:lpwstr>
      </vt:variant>
      <vt:variant>
        <vt:lpwstr/>
      </vt:variant>
      <vt:variant>
        <vt:i4>8323113</vt:i4>
      </vt:variant>
      <vt:variant>
        <vt:i4>45</vt:i4>
      </vt:variant>
      <vt:variant>
        <vt:i4>0</vt:i4>
      </vt:variant>
      <vt:variant>
        <vt:i4>5</vt:i4>
      </vt:variant>
      <vt:variant>
        <vt:lpwstr>https://www.dairysafe.vic.gov.au/licensees/dairy-regtech/foodsafetyculture</vt:lpwstr>
      </vt:variant>
      <vt:variant>
        <vt:lpwstr/>
      </vt:variant>
      <vt:variant>
        <vt:i4>983060</vt:i4>
      </vt:variant>
      <vt:variant>
        <vt:i4>42</vt:i4>
      </vt:variant>
      <vt:variant>
        <vt:i4>0</vt:i4>
      </vt:variant>
      <vt:variant>
        <vt:i4>5</vt:i4>
      </vt:variant>
      <vt:variant>
        <vt:lpwstr>https://webarchive.nla.gov.au/awa/20151020103533/http://www.health.gov.au/internet/main/publishing.nsf/Content/foodsecretariat-isc-model.htm</vt:lpwstr>
      </vt:variant>
      <vt:variant>
        <vt:lpwstr/>
      </vt:variant>
      <vt:variant>
        <vt:i4>7929880</vt:i4>
      </vt:variant>
      <vt:variant>
        <vt:i4>39</vt:i4>
      </vt:variant>
      <vt:variant>
        <vt:i4>0</vt:i4>
      </vt:variant>
      <vt:variant>
        <vt:i4>5</vt:i4>
      </vt:variant>
      <vt:variant>
        <vt:lpwstr>https://www.foodstandards.gov.au/code/proposals/Documents/CFS SD3_draft implementation information for businesses.pdf</vt:lpwstr>
      </vt:variant>
      <vt:variant>
        <vt:lpwstr/>
      </vt:variant>
      <vt:variant>
        <vt:i4>2621503</vt:i4>
      </vt:variant>
      <vt:variant>
        <vt:i4>36</vt:i4>
      </vt:variant>
      <vt:variant>
        <vt:i4>0</vt:i4>
      </vt:variant>
      <vt:variant>
        <vt:i4>5</vt:i4>
      </vt:variant>
      <vt:variant>
        <vt:lpwstr>https://www.health.act.gov.au/businesses/food-safety-regulation/starting-food-business</vt:lpwstr>
      </vt:variant>
      <vt:variant>
        <vt:lpwstr/>
      </vt:variant>
      <vt:variant>
        <vt:i4>1769558</vt:i4>
      </vt:variant>
      <vt:variant>
        <vt:i4>33</vt:i4>
      </vt:variant>
      <vt:variant>
        <vt:i4>0</vt:i4>
      </vt:variant>
      <vt:variant>
        <vt:i4>5</vt:i4>
      </vt:variant>
      <vt:variant>
        <vt:lpwstr>https://www1.health.gov.au/internet/main/Publishing.nsf/Content/cda-surveil-nndss-nndssintro.htm</vt:lpwstr>
      </vt:variant>
      <vt:variant>
        <vt:lpwstr/>
      </vt:variant>
      <vt:variant>
        <vt:i4>3145777</vt:i4>
      </vt:variant>
      <vt:variant>
        <vt:i4>30</vt:i4>
      </vt:variant>
      <vt:variant>
        <vt:i4>0</vt:i4>
      </vt:variant>
      <vt:variant>
        <vt:i4>5</vt:i4>
      </vt:variant>
      <vt:variant>
        <vt:lpwstr>C:\Users\kolstl\AppData\Local\Microsoft\Windows\Forms\AllItems.aspx</vt:lpwstr>
      </vt:variant>
      <vt:variant>
        <vt:lpwstr/>
      </vt:variant>
      <vt:variant>
        <vt:i4>6160407</vt:i4>
      </vt:variant>
      <vt:variant>
        <vt:i4>27</vt:i4>
      </vt:variant>
      <vt:variant>
        <vt:i4>0</vt:i4>
      </vt:variant>
      <vt:variant>
        <vt:i4>5</vt:i4>
      </vt:variant>
      <vt:variant>
        <vt:lpwstr>https://foodregulation.gov.au/internet/fr/publishing.nsf/Content/aus-foodborne-illness-reduction-strategy-2018-2021-Jun-2018</vt:lpwstr>
      </vt:variant>
      <vt:variant>
        <vt:lpwstr/>
      </vt:variant>
      <vt:variant>
        <vt:i4>4390981</vt:i4>
      </vt:variant>
      <vt:variant>
        <vt:i4>24</vt:i4>
      </vt:variant>
      <vt:variant>
        <vt:i4>0</vt:i4>
      </vt:variant>
      <vt:variant>
        <vt:i4>5</vt:i4>
      </vt:variant>
      <vt:variant>
        <vt:lpwstr>https://ww2.health.wa.gov.au/~/media/Files/Corporate/general documents/food/PDF/WA_Food_Regulation_Food_Business_Risk_Profiling.pdf</vt:lpwstr>
      </vt:variant>
      <vt:variant>
        <vt:lpwstr/>
      </vt:variant>
      <vt:variant>
        <vt:i4>7667832</vt:i4>
      </vt:variant>
      <vt:variant>
        <vt:i4>21</vt:i4>
      </vt:variant>
      <vt:variant>
        <vt:i4>0</vt:i4>
      </vt:variant>
      <vt:variant>
        <vt:i4>5</vt:i4>
      </vt:variant>
      <vt:variant>
        <vt:lpwstr>https://www.health.vic.gov.au/food-safety/food-business-classification</vt:lpwstr>
      </vt:variant>
      <vt:variant>
        <vt:lpwstr/>
      </vt:variant>
      <vt:variant>
        <vt:i4>3014758</vt:i4>
      </vt:variant>
      <vt:variant>
        <vt:i4>18</vt:i4>
      </vt:variant>
      <vt:variant>
        <vt:i4>0</vt:i4>
      </vt:variant>
      <vt:variant>
        <vt:i4>5</vt:i4>
      </vt:variant>
      <vt:variant>
        <vt:lpwstr>https://www.qld.gov.au/health/staying-healthy/food-pantry/starting-a-food-business/food-business-licences/do-i-need-a-food-business-licence</vt:lpwstr>
      </vt:variant>
      <vt:variant>
        <vt:lpwstr/>
      </vt:variant>
      <vt:variant>
        <vt:i4>1245288</vt:i4>
      </vt:variant>
      <vt:variant>
        <vt:i4>15</vt:i4>
      </vt:variant>
      <vt:variant>
        <vt:i4>0</vt:i4>
      </vt:variant>
      <vt:variant>
        <vt:i4>5</vt:i4>
      </vt:variant>
      <vt:variant>
        <vt:lpwstr>https://www.foodstandards.gov.au/publications/documents/ANZFA_1578_Info_Paper__final.pdf</vt:lpwstr>
      </vt:variant>
      <vt:variant>
        <vt:lpwstr>:~:text=number%20of%20infrastructure%20initiatives%20intended%20to%20guide%20the,the%20food%20safety%20risks%20associated%20with%20the%20business.</vt:lpwstr>
      </vt:variant>
      <vt:variant>
        <vt:i4>1441860</vt:i4>
      </vt:variant>
      <vt:variant>
        <vt:i4>12</vt:i4>
      </vt:variant>
      <vt:variant>
        <vt:i4>0</vt:i4>
      </vt:variant>
      <vt:variant>
        <vt:i4>5</vt:i4>
      </vt:variant>
      <vt:variant>
        <vt:lpwstr>https://foodregulation.gov.au/internet/fr/publishing.nsf/Content/risk-profiling-framework</vt:lpwstr>
      </vt:variant>
      <vt:variant>
        <vt:lpwstr/>
      </vt:variant>
      <vt:variant>
        <vt:i4>2949173</vt:i4>
      </vt:variant>
      <vt:variant>
        <vt:i4>9</vt:i4>
      </vt:variant>
      <vt:variant>
        <vt:i4>0</vt:i4>
      </vt:variant>
      <vt:variant>
        <vt:i4>5</vt:i4>
      </vt:variant>
      <vt:variant>
        <vt:lpwstr>https://obpr.pmc.gov.au/resources/guidance-impact-analysis/regulatory-impact-analysis-guide-ministers-meetings-and-national</vt:lpwstr>
      </vt:variant>
      <vt:variant>
        <vt:lpwstr/>
      </vt:variant>
      <vt:variant>
        <vt:i4>3539049</vt:i4>
      </vt:variant>
      <vt:variant>
        <vt:i4>6</vt:i4>
      </vt:variant>
      <vt:variant>
        <vt:i4>0</vt:i4>
      </vt:variant>
      <vt:variant>
        <vt:i4>5</vt:i4>
      </vt:variant>
      <vt:variant>
        <vt:lpwstr>https://foodregulation.gov.au/internet/fr/publishing.nsf/Content/publication-stategic-statement</vt:lpwstr>
      </vt:variant>
      <vt:variant>
        <vt:lpwstr/>
      </vt:variant>
      <vt:variant>
        <vt:i4>458761</vt:i4>
      </vt:variant>
      <vt:variant>
        <vt:i4>3</vt:i4>
      </vt:variant>
      <vt:variant>
        <vt:i4>0</vt:i4>
      </vt:variant>
      <vt:variant>
        <vt:i4>5</vt:i4>
      </vt:variant>
      <vt:variant>
        <vt:lpwstr>https://www.foodstandards.gov.au/foodsafety/standards/Pages/Review-of-Standard-4.2.5-%E2%80%93-Primary-production-and-processing-standard-for-eggs-and-egg-products.aspx</vt:lpwstr>
      </vt:variant>
      <vt:variant>
        <vt:lpwstr/>
      </vt:variant>
      <vt:variant>
        <vt:i4>3932208</vt:i4>
      </vt:variant>
      <vt:variant>
        <vt:i4>0</vt:i4>
      </vt:variant>
      <vt:variant>
        <vt:i4>0</vt:i4>
      </vt:variant>
      <vt:variant>
        <vt:i4>5</vt:i4>
      </vt:variant>
      <vt:variant>
        <vt:lpwstr>https://www.foodstandards.gov.au/foodsafety/standards/review/Pages/default.aspx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2022-12-12T23:24:00Z</dcterms:created>
  <dcterms:modified xsi:type="dcterms:W3CDTF">2022-12-14T22:22:00Z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0x0101009CA239676470E04B809DDC4E24CF2322</vt:lpwstr>
  </property>
  <property fmtid="{D5CDD505-2E9C-101B-9397-08002B2CF9AE}" pid="3" name="_dlc_DocIdItemGuid">
    <vt:lpwstr>a7420ede-ce7e-4362-b286-60b22af6babc</vt:lpwstr>
  </property>
</Properties>
</file>