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F02" w:rsidRDefault="00EF7D5D">
      <w:pPr>
        <w:pStyle w:val="SinglePara"/>
        <w:jc w:val="right"/>
      </w:pPr>
      <w:r>
        <w:t>11 October 2022</w:t>
      </w:r>
    </w:p>
    <w:p w:rsidR="005F6F02" w:rsidRDefault="00EF7D5D">
      <w:pPr>
        <w:spacing w:after="0"/>
        <w:jc w:val="right"/>
      </w:pPr>
      <w:r>
        <w:rPr>
          <w:b/>
        </w:rPr>
        <w:t>OBPR Ref ID:</w:t>
      </w:r>
      <w:r>
        <w:t xml:space="preserve"> OBPR22-02438 </w:t>
      </w:r>
    </w:p>
    <w:p w:rsidR="00056D6A" w:rsidRDefault="00EF7D5D" w:rsidP="00056D6A">
      <w:pPr>
        <w:spacing w:after="0"/>
      </w:pPr>
      <w:r>
        <w:t>Mr Jason Lange</w:t>
      </w:r>
    </w:p>
    <w:p w:rsidR="00056D6A" w:rsidRDefault="00EF7D5D" w:rsidP="00056D6A">
      <w:pPr>
        <w:spacing w:after="0"/>
      </w:pPr>
      <w:r>
        <w:t xml:space="preserve">Executive Director </w:t>
      </w:r>
    </w:p>
    <w:p w:rsidR="00056D6A" w:rsidRDefault="00EF7D5D" w:rsidP="00056D6A">
      <w:pPr>
        <w:spacing w:after="0"/>
      </w:pPr>
      <w:r>
        <w:t>Office of Best Practice Regulation</w:t>
      </w:r>
    </w:p>
    <w:p w:rsidR="00056D6A" w:rsidRDefault="00EF7D5D" w:rsidP="00056D6A">
      <w:pPr>
        <w:spacing w:after="0"/>
      </w:pPr>
      <w:r>
        <w:t xml:space="preserve">Department of the Prime Minister and Cabinet </w:t>
      </w:r>
    </w:p>
    <w:p w:rsidR="00056D6A" w:rsidRDefault="00EF7D5D" w:rsidP="00056D6A">
      <w:pPr>
        <w:spacing w:after="0"/>
      </w:pPr>
      <w:r>
        <w:t>1 National Circuit</w:t>
      </w:r>
    </w:p>
    <w:p w:rsidR="00056D6A" w:rsidRDefault="00EF7D5D" w:rsidP="00056D6A">
      <w:pPr>
        <w:spacing w:after="0"/>
      </w:pPr>
      <w:r>
        <w:t>BARTON ACT 2600</w:t>
      </w:r>
    </w:p>
    <w:p w:rsidR="00056D6A" w:rsidRDefault="00056D6A" w:rsidP="00056D6A">
      <w:pPr>
        <w:spacing w:after="0"/>
      </w:pPr>
    </w:p>
    <w:p w:rsidR="00826B07" w:rsidRPr="00056D6A" w:rsidRDefault="00EF7D5D" w:rsidP="00056D6A">
      <w:pPr>
        <w:rPr>
          <w:rStyle w:val="Style2"/>
          <w:rFonts w:ascii="Calibri" w:hAnsi="Calibri"/>
        </w:rPr>
      </w:pPr>
      <w:r w:rsidRPr="003C4ECE">
        <w:t xml:space="preserve">Email: </w:t>
      </w:r>
      <w:hyperlink r:id="rId11" w:history="1">
        <w:r w:rsidRPr="00832FE7">
          <w:rPr>
            <w:rStyle w:val="Hyperlink"/>
          </w:rPr>
          <w:t>helpdesk-OBPR@pmc.gov.au</w:t>
        </w:r>
      </w:hyperlink>
      <w:r>
        <w:t xml:space="preserve"> </w:t>
      </w:r>
    </w:p>
    <w:p w:rsidR="005F6F02" w:rsidRDefault="005F6F02"/>
    <w:p w:rsidR="00056D6A" w:rsidRDefault="00EF7D5D" w:rsidP="00056D6A">
      <w:r>
        <w:t>Dear Mr Lange</w:t>
      </w:r>
    </w:p>
    <w:p w:rsidR="00056D6A" w:rsidRDefault="00EF7D5D" w:rsidP="00056D6A">
      <w:pPr>
        <w:rPr>
          <w:b/>
        </w:rPr>
      </w:pPr>
      <w:bookmarkStart w:id="0" w:name="Content"/>
      <w:bookmarkEnd w:id="0"/>
      <w:r>
        <w:rPr>
          <w:b/>
        </w:rPr>
        <w:t>CERTIFICATION OF INDEPENDENT REVIEW: CONSUMER DATA RIGHT</w:t>
      </w:r>
      <w:r w:rsidRPr="006F0092">
        <w:rPr>
          <w:b/>
        </w:rPr>
        <w:t xml:space="preserve">: </w:t>
      </w:r>
      <w:r>
        <w:rPr>
          <w:b/>
        </w:rPr>
        <w:t>NON-BANK LENDING SECTORAL ASSESSMENT</w:t>
      </w:r>
      <w:r w:rsidRPr="00927A00">
        <w:rPr>
          <w:b/>
        </w:rPr>
        <w:t xml:space="preserve"> </w:t>
      </w:r>
    </w:p>
    <w:p w:rsidR="00056D6A" w:rsidRDefault="00EF7D5D" w:rsidP="00056D6A">
      <w:r w:rsidRPr="005A4CFA">
        <w:t xml:space="preserve">I am writing to certify that </w:t>
      </w:r>
      <w:r>
        <w:t>Treasury</w:t>
      </w:r>
      <w:r w:rsidR="002C7986">
        <w:t xml:space="preserve"> </w:t>
      </w:r>
      <w:r>
        <w:t xml:space="preserve">has </w:t>
      </w:r>
      <w:r w:rsidRPr="005A4CFA">
        <w:t xml:space="preserve">undertaken a process and analysis equivalent to a Regulation Impact Statement (RIS) </w:t>
      </w:r>
      <w:r>
        <w:t>that</w:t>
      </w:r>
      <w:r w:rsidRPr="005A4CFA">
        <w:t xml:space="preserve"> meet</w:t>
      </w:r>
      <w:r>
        <w:t>s</w:t>
      </w:r>
      <w:r w:rsidRPr="005A4CFA">
        <w:t xml:space="preserve"> best practice consistent with the </w:t>
      </w:r>
      <w:r w:rsidRPr="005A4CFA">
        <w:rPr>
          <w:i/>
          <w:iCs/>
        </w:rPr>
        <w:t>Australian Government Guide to Regulation</w:t>
      </w:r>
      <w:r w:rsidR="002C7986" w:rsidRPr="002C7986">
        <w:t xml:space="preserve"> </w:t>
      </w:r>
      <w:r w:rsidR="002C7986">
        <w:t>in developing the following</w:t>
      </w:r>
      <w:r w:rsidRPr="005A4CFA">
        <w:t>:</w:t>
      </w:r>
    </w:p>
    <w:p w:rsidR="00056D6A" w:rsidRPr="005A4CFA" w:rsidRDefault="00EF7D5D" w:rsidP="00056D6A">
      <w:pPr>
        <w:pStyle w:val="Bullet"/>
      </w:pPr>
      <w:r w:rsidRPr="005A4CFA">
        <w:t xml:space="preserve">Consumer Data Right </w:t>
      </w:r>
      <w:r>
        <w:t>Non-Bank Lending</w:t>
      </w:r>
      <w:r w:rsidRPr="005A4CFA">
        <w:t xml:space="preserve"> Sectoral Assessment: Consultation Paper</w:t>
      </w:r>
    </w:p>
    <w:p w:rsidR="00056D6A" w:rsidRPr="005A4CFA" w:rsidRDefault="00EF7D5D" w:rsidP="00056D6A">
      <w:pPr>
        <w:pStyle w:val="Bullet"/>
      </w:pPr>
      <w:r w:rsidRPr="005A4CFA">
        <w:t xml:space="preserve">Consumer Data Right </w:t>
      </w:r>
      <w:r>
        <w:t>Non-Bank Lending</w:t>
      </w:r>
      <w:r w:rsidRPr="005A4CFA">
        <w:t xml:space="preserve"> Sectoral Assessment: Final Report</w:t>
      </w:r>
      <w:r w:rsidR="002C7986">
        <w:t>.</w:t>
      </w:r>
    </w:p>
    <w:p w:rsidR="00056D6A" w:rsidRDefault="00EF7D5D" w:rsidP="00056D6A">
      <w:r w:rsidRPr="005A4CFA">
        <w:t xml:space="preserve">I certify that these documents adequately address all seven RIS questions outlined in the </w:t>
      </w:r>
      <w:r w:rsidRPr="005A4CFA">
        <w:rPr>
          <w:i/>
          <w:iCs/>
        </w:rPr>
        <w:t>Guide to Regulatory Impact Analysis</w:t>
      </w:r>
      <w:r w:rsidRPr="005A4CFA">
        <w:t xml:space="preserve"> and are submitted to the Office of Best Practice Regulation for the purposes of a final policy decision.</w:t>
      </w:r>
    </w:p>
    <w:p w:rsidR="00056D6A" w:rsidRDefault="00EF7D5D" w:rsidP="00056D6A">
      <w:pPr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Treasury conducted the sectoral assessment of the non-bank lending sector in accordance with section s56AE of the </w:t>
      </w:r>
      <w:r>
        <w:rPr>
          <w:rFonts w:asciiTheme="minorHAnsi" w:hAnsiTheme="minorHAnsi" w:cstheme="minorHAnsi"/>
          <w:i/>
          <w:iCs/>
          <w:color w:val="000000" w:themeColor="text1"/>
          <w:szCs w:val="22"/>
        </w:rPr>
        <w:t>Competition and Consumer Act 2010,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 which requires the Secretary to the Treasury to arrange for analysis, consultation and a report on the appropriateness of designating a sector to the Consumer Data Right (CDR). This report informs the Minister’s decision to designate a sector and must consider a range of statutory factors, similar to those required by a RIS. It contains a detailed examination of the various benefits involved in designating the non-bank lending sector, including benefits to consumers, competition and innovation. It also contains a substantial regulatory impact analysis containing qualitative and quantitative assessments of regulatory impacts. </w:t>
      </w:r>
    </w:p>
    <w:p w:rsidR="00056D6A" w:rsidRDefault="00EF7D5D" w:rsidP="00056D6A">
      <w:pPr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Treasury’s sectoral assessment considered the </w:t>
      </w:r>
      <w:r w:rsidRPr="006F0092">
        <w:rPr>
          <w:rFonts w:asciiTheme="minorHAnsi" w:hAnsiTheme="minorHAnsi" w:cstheme="minorHAnsi"/>
          <w:color w:val="000000" w:themeColor="text1"/>
          <w:szCs w:val="22"/>
        </w:rPr>
        <w:t xml:space="preserve">views of affected stakeholder groups. </w:t>
      </w:r>
      <w:r>
        <w:rPr>
          <w:rFonts w:asciiTheme="minorHAnsi" w:hAnsiTheme="minorHAnsi" w:cstheme="minorHAnsi"/>
          <w:color w:val="000000" w:themeColor="text1"/>
          <w:szCs w:val="22"/>
        </w:rPr>
        <w:t>We received 29 submissions on the Consultation Paper and held bilateral meetings with a range of potential data holders, data recipients, consumer advocates, and regulators</w:t>
      </w:r>
      <w:r w:rsidRPr="006F0092">
        <w:rPr>
          <w:rFonts w:asciiTheme="minorHAnsi" w:hAnsiTheme="minorHAnsi" w:cstheme="minorHAnsi"/>
          <w:color w:val="000000" w:themeColor="text1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 We also held dedicated regulatory impact meetings with key stakeholders to determine the expected regulatory impacts of a designation on the sector.</w:t>
      </w:r>
      <w:r w:rsidRPr="006F00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:rsidR="00056D6A" w:rsidRDefault="00EF7D5D" w:rsidP="00056D6A">
      <w:pPr>
        <w:rPr>
          <w:rFonts w:asciiTheme="minorHAnsi" w:hAnsiTheme="minorHAnsi" w:cstheme="minorHAnsi"/>
          <w:szCs w:val="22"/>
        </w:rPr>
      </w:pPr>
      <w:r w:rsidRPr="006F0092">
        <w:rPr>
          <w:rFonts w:asciiTheme="minorHAnsi" w:hAnsiTheme="minorHAnsi" w:cstheme="minorHAnsi"/>
          <w:szCs w:val="22"/>
        </w:rPr>
        <w:t>I am satisfied that the scope of the problem and the recommendations identified in the certified review are substantially the same as the identified problem and recommendations in the policy proposal.</w:t>
      </w:r>
    </w:p>
    <w:p w:rsidR="00056D6A" w:rsidRDefault="00EF7D5D" w:rsidP="00056D6A">
      <w:pPr>
        <w:rPr>
          <w:rFonts w:asciiTheme="minorHAnsi" w:hAnsiTheme="minorHAnsi" w:cstheme="minorHAnsi"/>
          <w:szCs w:val="22"/>
        </w:rPr>
      </w:pPr>
      <w:r w:rsidRPr="006F0092">
        <w:rPr>
          <w:rFonts w:asciiTheme="minorHAnsi" w:hAnsiTheme="minorHAnsi" w:cstheme="minorHAnsi"/>
          <w:szCs w:val="22"/>
        </w:rPr>
        <w:lastRenderedPageBreak/>
        <w:t xml:space="preserve">The regulatory burden to business, community organisations or individuals is quantified using the Australian Government’s </w:t>
      </w:r>
      <w:r w:rsidRPr="006F0092">
        <w:rPr>
          <w:rFonts w:asciiTheme="minorHAnsi" w:hAnsiTheme="minorHAnsi" w:cstheme="minorHAnsi"/>
          <w:i/>
          <w:szCs w:val="22"/>
        </w:rPr>
        <w:t xml:space="preserve">Regulatory Burden Measurement </w:t>
      </w:r>
      <w:r w:rsidRPr="006F0092">
        <w:rPr>
          <w:rFonts w:asciiTheme="minorHAnsi" w:hAnsiTheme="minorHAnsi" w:cstheme="minorHAnsi"/>
          <w:szCs w:val="22"/>
        </w:rPr>
        <w:t xml:space="preserve">framework and is provided below. </w:t>
      </w:r>
    </w:p>
    <w:p w:rsidR="00056D6A" w:rsidRDefault="00EF7D5D" w:rsidP="00056D6A">
      <w:pPr>
        <w:pStyle w:val="BodyText"/>
        <w:spacing w:before="0" w:line="24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0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note that the implementation of this proposal will increase regulatory burden. No offset measure has been identified, but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Treasury </w:t>
      </w:r>
      <w:r w:rsidRPr="006F0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did engage with industry participants to find ways to reduce the regulatory burden. </w:t>
      </w:r>
      <w:r w:rsidRPr="00D24FDB">
        <w:rPr>
          <w:rFonts w:asciiTheme="minorHAnsi" w:hAnsiTheme="minorHAnsi" w:cstheme="minorHAnsi"/>
          <w:color w:val="000000" w:themeColor="text1"/>
          <w:sz w:val="22"/>
          <w:szCs w:val="22"/>
        </w:rPr>
        <w:t>For example</w:t>
      </w:r>
      <w:r w:rsidRPr="00D24FDB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Pr="00D24FDB">
        <w:rPr>
          <w:rFonts w:asciiTheme="minorHAnsi" w:hAnsiTheme="minorHAnsi" w:cstheme="minorHAnsi"/>
          <w:color w:val="000000" w:themeColor="text1"/>
          <w:sz w:val="22"/>
        </w:rPr>
        <w:t xml:space="preserve">information received during consultation informed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our </w:t>
      </w:r>
      <w:r w:rsidRPr="00D24FDB">
        <w:rPr>
          <w:rFonts w:asciiTheme="minorHAnsi" w:hAnsiTheme="minorHAnsi" w:cstheme="minorHAnsi"/>
          <w:color w:val="000000" w:themeColor="text1"/>
          <w:sz w:val="22"/>
        </w:rPr>
        <w:t xml:space="preserve">recommendations to carve-out small lenders (a </w:t>
      </w:r>
      <w:r w:rsidRPr="00D24FDB">
        <w:rPr>
          <w:rFonts w:asciiTheme="minorHAnsi" w:hAnsiTheme="minorHAnsi" w:cstheme="minorHAnsi"/>
          <w:i/>
          <w:iCs/>
          <w:color w:val="000000" w:themeColor="text1"/>
          <w:sz w:val="22"/>
        </w:rPr>
        <w:t>de minimis</w:t>
      </w:r>
      <w:r w:rsidRPr="00D24FDB">
        <w:rPr>
          <w:rFonts w:asciiTheme="minorHAnsi" w:hAnsiTheme="minorHAnsi" w:cstheme="minorHAnsi"/>
          <w:color w:val="000000" w:themeColor="text1"/>
          <w:sz w:val="22"/>
        </w:rPr>
        <w:t xml:space="preserve"> threshold) and provide lenders with a trial period on new products to reduce regulatory burden.</w:t>
      </w:r>
    </w:p>
    <w:p w:rsidR="00056D6A" w:rsidRPr="00F57F62" w:rsidRDefault="00056D6A" w:rsidP="00056D6A">
      <w:pPr>
        <w:pStyle w:val="BodyText"/>
        <w:spacing w:before="0" w:line="24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56D6A" w:rsidRDefault="00EF7D5D" w:rsidP="00056D6A">
      <w:pPr>
        <w:pStyle w:val="BodyText"/>
        <w:spacing w:before="0" w:line="24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Designation captures classes of data holders and information. The rule-making stage specifies the scope of data holders with mandatory obligations and the datasets required to be shared. The regulatory burden estimate recognises that decisions made at the rule-making stage will impact the cost for industry of implementing the proposal. </w:t>
      </w:r>
      <w:r w:rsidRPr="006F0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Treasury will continue to work closely with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industry</w:t>
      </w:r>
      <w:r w:rsidRPr="006F0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through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out</w:t>
      </w:r>
      <w:r w:rsidRPr="006F0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implementation to minimise regulatory burden where possible. </w:t>
      </w:r>
    </w:p>
    <w:p w:rsidR="00056D6A" w:rsidRPr="005A4CFA" w:rsidRDefault="00056D6A" w:rsidP="00056D6A">
      <w:pPr>
        <w:pStyle w:val="BodyText"/>
        <w:spacing w:before="0" w:line="24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LightGrid-Accent2"/>
        <w:tblW w:w="9356" w:type="dxa"/>
        <w:tblInd w:w="108" w:type="dxa"/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107A5E" w:rsidTr="00107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noWrap/>
          </w:tcPr>
          <w:p w:rsidR="00056D6A" w:rsidRPr="0041390D" w:rsidRDefault="00EF7D5D" w:rsidP="00A214EF">
            <w:pPr>
              <w:spacing w:before="120" w:after="120"/>
              <w:rPr>
                <w:rFonts w:ascii="Arial" w:hAnsi="Arial" w:cs="Arial"/>
                <w:sz w:val="20"/>
                <w:u w:val="single"/>
              </w:rPr>
            </w:pPr>
            <w:r w:rsidRPr="0041390D">
              <w:rPr>
                <w:rFonts w:ascii="Arial" w:hAnsi="Arial" w:cs="Arial"/>
                <w:u w:val="single"/>
              </w:rPr>
              <w:t>Regulatory burden estimate table</w:t>
            </w:r>
          </w:p>
          <w:p w:rsidR="00056D6A" w:rsidRPr="003435C6" w:rsidRDefault="00EF7D5D" w:rsidP="00A214E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Average annual regulatory costs (from business as usual)</w:t>
            </w:r>
          </w:p>
        </w:tc>
      </w:tr>
      <w:tr w:rsidR="00107A5E" w:rsidTr="00107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:rsidR="00056D6A" w:rsidRPr="003435C6" w:rsidRDefault="00EF7D5D" w:rsidP="00A214EF">
            <w:pPr>
              <w:pStyle w:val="TableText"/>
            </w:pPr>
            <w:r w:rsidRPr="003435C6">
              <w:rPr>
                <w:b w:val="0"/>
              </w:rPr>
              <w:t>Change in costs ($</w:t>
            </w:r>
            <w:r>
              <w:rPr>
                <w:b w:val="0"/>
              </w:rPr>
              <w:t> </w:t>
            </w:r>
            <w:r w:rsidRPr="003435C6">
              <w:rPr>
                <w:b w:val="0"/>
              </w:rPr>
              <w:t>million)</w:t>
            </w:r>
          </w:p>
        </w:tc>
        <w:tc>
          <w:tcPr>
            <w:tcW w:w="1871" w:type="dxa"/>
            <w:noWrap/>
          </w:tcPr>
          <w:p w:rsidR="00056D6A" w:rsidRPr="003435C6" w:rsidRDefault="00EF7D5D" w:rsidP="00A214E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5C6">
              <w:t>Business</w:t>
            </w:r>
          </w:p>
        </w:tc>
        <w:tc>
          <w:tcPr>
            <w:tcW w:w="1871" w:type="dxa"/>
            <w:noWrap/>
          </w:tcPr>
          <w:p w:rsidR="00056D6A" w:rsidRPr="003435C6" w:rsidRDefault="00EF7D5D" w:rsidP="00A214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o</w:t>
            </w:r>
            <w:r w:rsidRPr="003435C6">
              <w:rPr>
                <w:rFonts w:ascii="Arial" w:hAnsi="Arial" w:cs="Arial"/>
                <w:sz w:val="20"/>
              </w:rPr>
              <w:t>rganisations</w:t>
            </w:r>
          </w:p>
        </w:tc>
        <w:tc>
          <w:tcPr>
            <w:tcW w:w="1871" w:type="dxa"/>
            <w:noWrap/>
          </w:tcPr>
          <w:p w:rsidR="00056D6A" w:rsidRPr="003435C6" w:rsidRDefault="00EF7D5D" w:rsidP="00A214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:rsidR="00056D6A" w:rsidRPr="003435C6" w:rsidRDefault="00EF7D5D" w:rsidP="00A214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Total change in cost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</w:tr>
      <w:tr w:rsidR="00107A5E" w:rsidTr="00107A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:rsidR="00056D6A" w:rsidRPr="003435C6" w:rsidRDefault="00EF7D5D" w:rsidP="00A214E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Total, by s</w:t>
            </w:r>
            <w:r w:rsidRPr="003435C6">
              <w:rPr>
                <w:rFonts w:ascii="Arial" w:hAnsi="Arial" w:cs="Arial"/>
                <w:b w:val="0"/>
                <w:sz w:val="20"/>
              </w:rPr>
              <w:t>ector</w:t>
            </w:r>
          </w:p>
        </w:tc>
        <w:tc>
          <w:tcPr>
            <w:tcW w:w="1871" w:type="dxa"/>
            <w:noWrap/>
          </w:tcPr>
          <w:p w:rsidR="00056D6A" w:rsidRPr="003435C6" w:rsidRDefault="00EF7D5D" w:rsidP="00A214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>15.7m-18.6m</w:t>
            </w:r>
          </w:p>
        </w:tc>
        <w:tc>
          <w:tcPr>
            <w:tcW w:w="1871" w:type="dxa"/>
            <w:noWrap/>
          </w:tcPr>
          <w:p w:rsidR="00056D6A" w:rsidRPr="003435C6" w:rsidRDefault="00EF7D5D" w:rsidP="00A214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>0.0m</w:t>
            </w:r>
          </w:p>
        </w:tc>
        <w:tc>
          <w:tcPr>
            <w:tcW w:w="1871" w:type="dxa"/>
            <w:noWrap/>
          </w:tcPr>
          <w:p w:rsidR="00056D6A" w:rsidRPr="003435C6" w:rsidRDefault="00EF7D5D" w:rsidP="00A214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>0.0m</w:t>
            </w:r>
          </w:p>
        </w:tc>
        <w:tc>
          <w:tcPr>
            <w:tcW w:w="1872" w:type="dxa"/>
            <w:noWrap/>
          </w:tcPr>
          <w:p w:rsidR="00056D6A" w:rsidRPr="003435C6" w:rsidRDefault="00EF7D5D" w:rsidP="00A214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>15.7m-18.6m</w:t>
            </w:r>
          </w:p>
        </w:tc>
      </w:tr>
    </w:tbl>
    <w:p w:rsidR="00056D6A" w:rsidRDefault="00056D6A" w:rsidP="00056D6A">
      <w:pPr>
        <w:spacing w:after="120"/>
      </w:pPr>
    </w:p>
    <w:p w:rsidR="00056D6A" w:rsidRDefault="00EF7D5D" w:rsidP="00056D6A">
      <w:pPr>
        <w:spacing w:after="120"/>
      </w:pPr>
      <w:r w:rsidRPr="005A4CFA">
        <w:t xml:space="preserve">Accordingly, I am satisfied that the attached </w:t>
      </w:r>
      <w:r>
        <w:t>documents</w:t>
      </w:r>
      <w:r w:rsidRPr="005A4CFA">
        <w:t xml:space="preserve"> </w:t>
      </w:r>
      <w:r>
        <w:t>are</w:t>
      </w:r>
      <w:r w:rsidRPr="005A4CFA">
        <w:t xml:space="preserve"> consistent with the Australian Government Guide to Regulatory Impact Analysis.</w:t>
      </w:r>
      <w:r w:rsidR="00AC44B7">
        <w:br/>
      </w:r>
    </w:p>
    <w:p w:rsidR="00056D6A" w:rsidRDefault="00EF7D5D" w:rsidP="00A83051">
      <w:pPr>
        <w:spacing w:after="0"/>
      </w:pPr>
      <w:r>
        <w:t>Yours sincerely,</w:t>
      </w:r>
      <w:r w:rsidR="00F71DE6">
        <w:br/>
      </w:r>
    </w:p>
    <w:p w:rsidR="002A76D1" w:rsidRDefault="00F71DE6" w:rsidP="00056D6A">
      <w:pPr>
        <w:spacing w:after="0"/>
      </w:pPr>
      <w: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5pt;height:36pt" o:ole="">
            <v:imagedata r:id="rId12" o:title=""/>
          </v:shape>
          <o:OLEObject Type="Embed" ProgID="Paint.Picture.1" ShapeID="_x0000_i1027" DrawAspect="Content" ObjectID="_1731336265" r:id="rId13"/>
        </w:object>
      </w:r>
      <w:r>
        <w:br/>
      </w:r>
    </w:p>
    <w:p w:rsidR="00056D6A" w:rsidRDefault="00EF7D5D" w:rsidP="00056D6A">
      <w:pPr>
        <w:spacing w:after="0"/>
      </w:pPr>
      <w:r>
        <w:t>Robert Jeremenko</w:t>
      </w:r>
    </w:p>
    <w:p w:rsidR="00056D6A" w:rsidRDefault="00EF7D5D" w:rsidP="00056D6A">
      <w:pPr>
        <w:spacing w:after="0"/>
      </w:pPr>
      <w:r>
        <w:t xml:space="preserve">Acting Deputy Secretary </w:t>
      </w:r>
    </w:p>
    <w:p w:rsidR="00056D6A" w:rsidRDefault="00EF7D5D" w:rsidP="00056D6A">
      <w:pPr>
        <w:spacing w:after="0"/>
      </w:pPr>
      <w:r>
        <w:t>Markets Group, Treasury</w:t>
      </w:r>
    </w:p>
    <w:p w:rsidR="000C1CFB" w:rsidRPr="000C1CFB" w:rsidRDefault="000C1CFB" w:rsidP="000C1CFB"/>
    <w:p w:rsidR="000C1CFB" w:rsidRPr="000C1CFB" w:rsidRDefault="000C1CFB" w:rsidP="000C1CFB"/>
    <w:p w:rsidR="000C1CFB" w:rsidRPr="000C1CFB" w:rsidRDefault="000C1CFB" w:rsidP="000C1CFB"/>
    <w:p w:rsidR="000C1CFB" w:rsidRPr="000C1CFB" w:rsidRDefault="000C1CFB" w:rsidP="000C1CFB"/>
    <w:p w:rsidR="000C1CFB" w:rsidRPr="000C1CFB" w:rsidRDefault="000C1CFB" w:rsidP="000C1CFB"/>
    <w:p w:rsidR="000C1CFB" w:rsidRPr="000C1CFB" w:rsidRDefault="000C1CFB" w:rsidP="000C1CFB"/>
    <w:p w:rsidR="000C1CFB" w:rsidRPr="000C1CFB" w:rsidRDefault="000C1CFB" w:rsidP="000C1CFB"/>
    <w:p w:rsidR="000C1CFB" w:rsidRPr="000C1CFB" w:rsidRDefault="000C1CFB" w:rsidP="000C1CFB"/>
    <w:p w:rsidR="000C1CFB" w:rsidRPr="000C1CFB" w:rsidRDefault="000C1CFB" w:rsidP="000C1CFB">
      <w:pPr>
        <w:tabs>
          <w:tab w:val="left" w:pos="6910"/>
        </w:tabs>
      </w:pPr>
    </w:p>
    <w:sectPr w:rsidR="000C1CFB" w:rsidRPr="000C1CFB" w:rsidSect="007A75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75" w:right="1134" w:bottom="1560" w:left="1134" w:header="425" w:footer="2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1B2" w:rsidRDefault="008D71B2">
      <w:pPr>
        <w:spacing w:after="0"/>
      </w:pPr>
      <w:r>
        <w:separator/>
      </w:r>
    </w:p>
  </w:endnote>
  <w:endnote w:type="continuationSeparator" w:id="0">
    <w:p w:rsidR="008D71B2" w:rsidRDefault="008D7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92A" w:rsidRDefault="002B692A" w:rsidP="002B692A">
    <w:pPr>
      <w:pStyle w:val="SecurityClassificationFooter"/>
    </w:pPr>
  </w:p>
  <w:p w:rsidR="002B692A" w:rsidRDefault="00EF7D5D" w:rsidP="002B692A">
    <w:pPr>
      <w:pStyle w:val="SecurityClassificationFooter"/>
    </w:pPr>
    <w:fldSimple w:instr=" DOCPROPERTY WorkingDocStatus \* MERGEFORMAT 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D77" w:rsidRDefault="00EF7D5D">
    <w:pPr>
      <w:tabs>
        <w:tab w:val="center" w:pos="4820"/>
      </w:tabs>
      <w:spacing w:before="120" w:after="0"/>
    </w:pPr>
    <w:r>
      <w:rPr>
        <w:vanish/>
      </w:rPr>
      <w:fldChar w:fldCharType="begin"/>
    </w:r>
    <w:r>
      <w:rPr>
        <w:vanish/>
      </w:rPr>
      <w:instrText xml:space="preserve"> FILENAME \p \* MERGEFORMAT </w:instrText>
    </w:r>
    <w:r w:rsidR="008D71B2">
      <w:rPr>
        <w:vanish/>
      </w:rPr>
      <w:fldChar w:fldCharType="separate"/>
    </w:r>
    <w:r>
      <w:rPr>
        <w:noProof/>
        <w:vanish/>
        <w:sz w:val="12"/>
      </w:rPr>
      <w:fldChar w:fldCharType="end"/>
    </w:r>
    <w:r w:rsidR="005F6F02">
      <w:tab/>
    </w:r>
  </w:p>
  <w:p w:rsidR="002B692A" w:rsidRDefault="002B692A" w:rsidP="002B692A">
    <w:pPr>
      <w:pStyle w:val="SecurityClassificationFooter"/>
    </w:pPr>
  </w:p>
  <w:p w:rsidR="002B692A" w:rsidRDefault="00EF7D5D" w:rsidP="002B692A">
    <w:pPr>
      <w:pStyle w:val="SecurityClassificationFooter"/>
    </w:pPr>
    <w:fldSimple w:instr=" DOCPROPERTY WorkingDocStatus \* MERGEFORMAT 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F02" w:rsidRPr="00A23E22" w:rsidRDefault="00EF7D5D" w:rsidP="00A23E22">
    <w:pPr>
      <w:pStyle w:val="FooterAddress"/>
      <w:rPr>
        <w:sz w:val="2"/>
      </w:rPr>
    </w:pPr>
    <w:r w:rsidRPr="007A7502">
      <w:rPr>
        <w:rFonts w:ascii="Calibri" w:hAnsi="Calibri"/>
        <w:noProof/>
        <w:color w:val="auto"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-38100</wp:posOffset>
          </wp:positionH>
          <wp:positionV relativeFrom="page">
            <wp:posOffset>9771380</wp:posOffset>
          </wp:positionV>
          <wp:extent cx="1548000" cy="810000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CFB" w:rsidRPr="000C1CFB" w:rsidRDefault="00EF7D5D" w:rsidP="000C1CFB">
    <w:pPr>
      <w:pStyle w:val="FooterAddress"/>
      <w:spacing w:before="60" w:after="120"/>
      <w:jc w:val="right"/>
      <w:rPr>
        <w:color w:val="2C384A"/>
      </w:rPr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 w:rsidR="00A567A8">
      <w:t>1800 020 008</w:t>
    </w:r>
    <w:r w:rsidRPr="000C1CFB">
      <w:t xml:space="preserve"> </w:t>
    </w:r>
    <w:r>
      <w:t>Langton Crescent</w:t>
    </w:r>
    <w:r w:rsidRPr="000C1CFB">
      <w:rPr>
        <w:b/>
        <w:caps/>
        <w:color w:val="2C384A"/>
      </w:rPr>
      <w:t xml:space="preserve"> </w:t>
    </w:r>
    <w:r w:rsidRPr="000C1CFB">
      <w:rPr>
        <w:color w:val="2C384A"/>
      </w:rPr>
      <w:t>Langton Crescent</w:t>
    </w:r>
    <w:r w:rsidRPr="000C1CFB">
      <w:rPr>
        <w:color w:val="2C384A"/>
      </w:rPr>
      <w:br/>
      <w:t>Parkes ACT 2600</w:t>
    </w:r>
    <w:r w:rsidRPr="000C1CFB">
      <w:rPr>
        <w:color w:val="2C384A"/>
      </w:rPr>
      <w:br/>
      <w:t>Australia</w:t>
    </w:r>
  </w:p>
  <w:p w:rsidR="005F6F02" w:rsidRDefault="00EF7D5D" w:rsidP="007A7502">
    <w:pPr>
      <w:tabs>
        <w:tab w:val="center" w:pos="9639"/>
      </w:tabs>
      <w:spacing w:after="0"/>
      <w:jc w:val="right"/>
    </w:pPr>
    <w:r w:rsidRPr="000C1CFB">
      <w:rPr>
        <w:color w:val="2C384A"/>
        <w:sz w:val="16"/>
      </w:rPr>
      <w:t>P:  +61 2 62</w:t>
    </w:r>
    <w:r w:rsidR="007A7502">
      <w:rPr>
        <w:color w:val="2C384A"/>
        <w:sz w:val="16"/>
      </w:rPr>
      <w:t>63 2111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1B2" w:rsidRDefault="008D71B2">
      <w:pPr>
        <w:spacing w:after="0"/>
      </w:pPr>
      <w:r>
        <w:separator/>
      </w:r>
    </w:p>
  </w:footnote>
  <w:footnote w:type="continuationSeparator" w:id="0">
    <w:p w:rsidR="008D71B2" w:rsidRDefault="008D7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502" w:rsidRDefault="007A7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F02" w:rsidRDefault="00EF7D5D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F02" w:rsidRPr="006A320D" w:rsidRDefault="00EF7D5D" w:rsidP="00021A7F">
    <w:pPr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-67310</wp:posOffset>
          </wp:positionH>
          <wp:positionV relativeFrom="page">
            <wp:posOffset>-92710</wp:posOffset>
          </wp:positionV>
          <wp:extent cx="7560000" cy="1512000"/>
          <wp:effectExtent l="0" t="0" r="3175" b="0"/>
          <wp:wrapTopAndBottom/>
          <wp:docPr id="56" name="Picture 5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C0F"/>
    <w:multiLevelType w:val="multilevel"/>
    <w:tmpl w:val="EA6CB0C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136149"/>
    <w:rsid w:val="00010558"/>
    <w:rsid w:val="00013C16"/>
    <w:rsid w:val="00021A7F"/>
    <w:rsid w:val="00041147"/>
    <w:rsid w:val="00056D6A"/>
    <w:rsid w:val="00070A45"/>
    <w:rsid w:val="000C1CFB"/>
    <w:rsid w:val="000C3D77"/>
    <w:rsid w:val="000D2875"/>
    <w:rsid w:val="000E70A5"/>
    <w:rsid w:val="00107A5E"/>
    <w:rsid w:val="00136149"/>
    <w:rsid w:val="00187181"/>
    <w:rsid w:val="001F39C3"/>
    <w:rsid w:val="001F4A93"/>
    <w:rsid w:val="001F5439"/>
    <w:rsid w:val="002554F2"/>
    <w:rsid w:val="002A76D1"/>
    <w:rsid w:val="002B4ACE"/>
    <w:rsid w:val="002B692A"/>
    <w:rsid w:val="002C7986"/>
    <w:rsid w:val="002F767C"/>
    <w:rsid w:val="00317D75"/>
    <w:rsid w:val="00337317"/>
    <w:rsid w:val="003435C6"/>
    <w:rsid w:val="00375CB3"/>
    <w:rsid w:val="003C4ECE"/>
    <w:rsid w:val="003F05B3"/>
    <w:rsid w:val="0041390D"/>
    <w:rsid w:val="00436CCC"/>
    <w:rsid w:val="00437881"/>
    <w:rsid w:val="00444ADC"/>
    <w:rsid w:val="00485E79"/>
    <w:rsid w:val="004D59F6"/>
    <w:rsid w:val="00521D21"/>
    <w:rsid w:val="005234E0"/>
    <w:rsid w:val="005452D4"/>
    <w:rsid w:val="0058454C"/>
    <w:rsid w:val="00585D8B"/>
    <w:rsid w:val="005A4CFA"/>
    <w:rsid w:val="005F01D5"/>
    <w:rsid w:val="005F6F02"/>
    <w:rsid w:val="0066121B"/>
    <w:rsid w:val="006A1A29"/>
    <w:rsid w:val="006A320D"/>
    <w:rsid w:val="006A446E"/>
    <w:rsid w:val="006F0092"/>
    <w:rsid w:val="006F2190"/>
    <w:rsid w:val="007232C5"/>
    <w:rsid w:val="007901EB"/>
    <w:rsid w:val="007A7502"/>
    <w:rsid w:val="00826B07"/>
    <w:rsid w:val="00832FE7"/>
    <w:rsid w:val="00857F46"/>
    <w:rsid w:val="00887044"/>
    <w:rsid w:val="008C14D2"/>
    <w:rsid w:val="008D71B2"/>
    <w:rsid w:val="0091767D"/>
    <w:rsid w:val="00917DE9"/>
    <w:rsid w:val="0092186E"/>
    <w:rsid w:val="00927A00"/>
    <w:rsid w:val="0098490B"/>
    <w:rsid w:val="00A138CA"/>
    <w:rsid w:val="00A214EF"/>
    <w:rsid w:val="00A23E22"/>
    <w:rsid w:val="00A24156"/>
    <w:rsid w:val="00A567A8"/>
    <w:rsid w:val="00A83051"/>
    <w:rsid w:val="00AA5826"/>
    <w:rsid w:val="00AC44B7"/>
    <w:rsid w:val="00AD44A4"/>
    <w:rsid w:val="00B112A0"/>
    <w:rsid w:val="00B8256A"/>
    <w:rsid w:val="00C8731A"/>
    <w:rsid w:val="00CA030C"/>
    <w:rsid w:val="00D24FDB"/>
    <w:rsid w:val="00D26980"/>
    <w:rsid w:val="00D848F0"/>
    <w:rsid w:val="00DA54C5"/>
    <w:rsid w:val="00DC76B2"/>
    <w:rsid w:val="00E04515"/>
    <w:rsid w:val="00E217CF"/>
    <w:rsid w:val="00E36021"/>
    <w:rsid w:val="00E51C9D"/>
    <w:rsid w:val="00E90177"/>
    <w:rsid w:val="00EC5544"/>
    <w:rsid w:val="00EC663A"/>
    <w:rsid w:val="00EF7D5D"/>
    <w:rsid w:val="00F36FE7"/>
    <w:rsid w:val="00F5164B"/>
    <w:rsid w:val="00F57F62"/>
    <w:rsid w:val="00F71DE6"/>
    <w:rsid w:val="00FC7C39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6E837"/>
  <w15:docId w15:val="{CFF390C7-C200-4D1B-9A3C-428605BA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FD6823"/>
    <w:rPr>
      <w:color w:val="808080"/>
    </w:rPr>
  </w:style>
  <w:style w:type="paragraph" w:customStyle="1" w:styleId="Addressee">
    <w:name w:val="Addressee"/>
    <w:basedOn w:val="Normal"/>
    <w:rsid w:val="00826B07"/>
    <w:pPr>
      <w:spacing w:after="0"/>
    </w:pPr>
    <w:rPr>
      <w:rFonts w:ascii="Garamond" w:hAnsi="Garamond"/>
      <w:sz w:val="24"/>
      <w:szCs w:val="24"/>
    </w:rPr>
  </w:style>
  <w:style w:type="character" w:customStyle="1" w:styleId="Style2">
    <w:name w:val="Style2"/>
    <w:basedOn w:val="DefaultParagraphFont"/>
    <w:uiPriority w:val="1"/>
    <w:rsid w:val="00826B07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qFormat/>
    <w:rsid w:val="00826B07"/>
    <w:rPr>
      <w:rFonts w:asciiTheme="minorHAnsi" w:hAnsiTheme="minorHAnsi"/>
      <w:caps/>
      <w:smallCaps w:val="0"/>
      <w:sz w:val="22"/>
    </w:rPr>
  </w:style>
  <w:style w:type="paragraph" w:customStyle="1" w:styleId="cell">
    <w:name w:val="cell"/>
    <w:basedOn w:val="Normal"/>
    <w:rsid w:val="00A138CA"/>
    <w:pPr>
      <w:spacing w:after="0"/>
    </w:pPr>
    <w:rPr>
      <w:rFonts w:ascii="Arial" w:hAnsi="Arial" w:cs="Arial"/>
      <w:sz w:val="20"/>
    </w:rPr>
  </w:style>
  <w:style w:type="paragraph" w:customStyle="1" w:styleId="Bullet">
    <w:name w:val="Bullet"/>
    <w:basedOn w:val="Normal"/>
    <w:link w:val="BulletChar"/>
    <w:rsid w:val="00056D6A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056D6A"/>
    <w:rPr>
      <w:rFonts w:ascii="Calibri" w:hAnsi="Calibri"/>
      <w:sz w:val="22"/>
    </w:rPr>
  </w:style>
  <w:style w:type="paragraph" w:customStyle="1" w:styleId="Dash">
    <w:name w:val="Dash"/>
    <w:basedOn w:val="Normal"/>
    <w:rsid w:val="00056D6A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056D6A"/>
    <w:pPr>
      <w:numPr>
        <w:ilvl w:val="2"/>
        <w:numId w:val="1"/>
      </w:numPr>
    </w:pPr>
  </w:style>
  <w:style w:type="paragraph" w:customStyle="1" w:styleId="TableText">
    <w:name w:val="TableText"/>
    <w:basedOn w:val="Normal"/>
    <w:qFormat/>
    <w:rsid w:val="00056D6A"/>
    <w:pPr>
      <w:spacing w:before="120" w:after="120"/>
    </w:pPr>
    <w:rPr>
      <w:rFonts w:ascii="Arial" w:eastAsiaTheme="majorEastAsia" w:hAnsi="Arial" w:cs="Arial"/>
      <w:bCs/>
      <w:sz w:val="20"/>
      <w:lang w:eastAsia="en-US"/>
    </w:rPr>
  </w:style>
  <w:style w:type="table" w:styleId="LightGrid-Accent2">
    <w:name w:val="Light Grid Accent 2"/>
    <w:basedOn w:val="TableNormal"/>
    <w:uiPriority w:val="62"/>
    <w:unhideWhenUsed/>
    <w:rsid w:val="00056D6A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shd w:val="clear" w:color="auto" w:fill="CD092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odyText">
    <w:name w:val="Body Text"/>
    <w:basedOn w:val="Normal"/>
    <w:link w:val="BodyTextChar"/>
    <w:uiPriority w:val="99"/>
    <w:rsid w:val="00056D6A"/>
    <w:pPr>
      <w:spacing w:before="240" w:after="0" w:line="300" w:lineRule="exact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56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-OBPR@pm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Correspondence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DOCID-322795542-25205</_dlc_DocId>
    <_dlc_DocIdUrl xmlns="4195ad5f-cdf2-4c4a-8d9b-b7944a108e98">
      <Url>https://pmc01.sharepoint.com/sites/CRMOBPR/_layouts/15/DocIdRedir.aspx?ID=DOCID-322795542-25205</Url>
      <Description>DOCID-322795542-25205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B617F6-516E-43BF-8643-A18BCB8BBF15}"/>
</file>

<file path=customXml/itemProps2.xml><?xml version="1.0" encoding="utf-8"?>
<ds:datastoreItem xmlns:ds="http://schemas.openxmlformats.org/officeDocument/2006/customXml" ds:itemID="{9185DC4F-4A67-43D0-905C-3531AD983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80E15-E5E4-44EC-B6D4-8D8AFBA04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6F8BB-E024-4C57-A028-703D0CF10624}">
  <ds:schemaRefs>
    <ds:schemaRef ds:uri="http://schemas.microsoft.com/office/2006/metadata/properties"/>
    <ds:schemaRef ds:uri="http://schemas.microsoft.com/office/infopath/2007/PartnerControls"/>
    <ds:schemaRef ds:uri="32F6C863-C89E-4406-851D-83FEB0BE9B5D"/>
  </ds:schemaRefs>
</ds:datastoreItem>
</file>

<file path=customXml/itemProps5.xml><?xml version="1.0" encoding="utf-8"?>
<ds:datastoreItem xmlns:ds="http://schemas.openxmlformats.org/officeDocument/2006/customXml" ds:itemID="{B3BFF935-2257-4E9E-814A-801DE30E49C4}"/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5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Treasury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CDR non-bank lending sectoral assessment - RIS certification letter to OBPR</dc:subject>
  <dc:creator>Cook, Karen</dc:creator>
  <cp:lastModifiedBy>Unicomb, Matt</cp:lastModifiedBy>
  <cp:revision>4</cp:revision>
  <cp:lastPrinted>2022-10-11T06:07:00Z</cp:lastPrinted>
  <dcterms:created xsi:type="dcterms:W3CDTF">2022-11-28T04:27:00Z</dcterms:created>
  <dcterms:modified xsi:type="dcterms:W3CDTF">2022-11-30T06:58:00Z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Information">
    <vt:lpwstr/>
  </property>
  <property fmtid="{D5CDD505-2E9C-101B-9397-08002B2CF9AE}" pid="3" name="AdditionalSecurityInformation">
    <vt:lpwstr/>
  </property>
  <property fmtid="{D5CDD505-2E9C-101B-9397-08002B2CF9AE}" pid="4" name="ClearanceActualDate">
    <vt:lpwstr>11 October 2022</vt:lpwstr>
  </property>
  <property fmtid="{D5CDD505-2E9C-101B-9397-08002B2CF9AE}" pid="5" name="ClearanceDueDate">
    <vt:lpwstr/>
  </property>
  <property fmtid="{D5CDD505-2E9C-101B-9397-08002B2CF9AE}" pid="6" name="ContactOfficer">
    <vt:lpwstr/>
  </property>
  <property fmtid="{D5CDD505-2E9C-101B-9397-08002B2CF9AE}" pid="7" name="ContactOfficerPhone">
    <vt:lpwstr/>
  </property>
  <property fmtid="{D5CDD505-2E9C-101B-9397-08002B2CF9AE}" pid="8" name="ContentTypeId">
    <vt:lpwstr>0x0101009CA239676470E04B809DDC4E24CF2322</vt:lpwstr>
  </property>
  <property fmtid="{D5CDD505-2E9C-101B-9397-08002B2CF9AE}" pid="9" name="CriticalDate">
    <vt:lpwstr/>
  </property>
  <property fmtid="{D5CDD505-2E9C-101B-9397-08002B2CF9AE}" pid="10" name="CriticalDateReason">
    <vt:lpwstr/>
  </property>
  <property fmtid="{D5CDD505-2E9C-101B-9397-08002B2CF9AE}" pid="11" name="CustomDate">
    <vt:lpwstr/>
  </property>
  <property fmtid="{D5CDD505-2E9C-101B-9397-08002B2CF9AE}" pid="12" name="CustomDateName">
    <vt:lpwstr/>
  </property>
  <property fmtid="{D5CDD505-2E9C-101B-9397-08002B2CF9AE}" pid="13" name="DLMSecurityClassification">
    <vt:lpwstr/>
  </property>
  <property fmtid="{D5CDD505-2E9C-101B-9397-08002B2CF9AE}" pid="14" name="ECDate">
    <vt:lpwstr/>
  </property>
  <property fmtid="{D5CDD505-2E9C-101B-9397-08002B2CF9AE}" pid="15" name="ECDateType">
    <vt:lpwstr/>
  </property>
  <property fmtid="{D5CDD505-2E9C-101B-9397-08002B2CF9AE}" pid="16" name="EventDate">
    <vt:lpwstr/>
  </property>
  <property fmtid="{D5CDD505-2E9C-101B-9397-08002B2CF9AE}" pid="17" name="EventState">
    <vt:lpwstr/>
  </property>
  <property fmtid="{D5CDD505-2E9C-101B-9397-08002B2CF9AE}" pid="18" name="EventVenue">
    <vt:lpwstr/>
  </property>
  <property fmtid="{D5CDD505-2E9C-101B-9397-08002B2CF9AE}" pid="19" name="Executives">
    <vt:lpwstr>Robert Jeremenko</vt:lpwstr>
  </property>
  <property fmtid="{D5CDD505-2E9C-101B-9397-08002B2CF9AE}" pid="20" name="GroupResponsible">
    <vt:lpwstr>Consumer Data and Digital Division</vt:lpwstr>
  </property>
  <property fmtid="{D5CDD505-2E9C-101B-9397-08002B2CF9AE}" pid="21" name="HandlingProtocol">
    <vt:lpwstr>Standard</vt:lpwstr>
  </property>
  <property fmtid="{D5CDD505-2E9C-101B-9397-08002B2CF9AE}" pid="22" name="InformationExecutive">
    <vt:lpwstr> </vt:lpwstr>
  </property>
  <property fmtid="{D5CDD505-2E9C-101B-9397-08002B2CF9AE}" pid="23" name="InformationMinister">
    <vt:lpwstr> </vt:lpwstr>
  </property>
  <property fmtid="{D5CDD505-2E9C-101B-9397-08002B2CF9AE}" pid="24" name="InitiatorAddressBlock">
    <vt:lpwstr/>
  </property>
  <property fmtid="{D5CDD505-2E9C-101B-9397-08002B2CF9AE}" pid="25" name="InitiatorAddressLine1">
    <vt:lpwstr/>
  </property>
  <property fmtid="{D5CDD505-2E9C-101B-9397-08002B2CF9AE}" pid="26" name="InitiatorAddressLine1And2">
    <vt:lpwstr/>
  </property>
  <property fmtid="{D5CDD505-2E9C-101B-9397-08002B2CF9AE}" pid="27" name="InitiatorAddressLine2">
    <vt:lpwstr/>
  </property>
  <property fmtid="{D5CDD505-2E9C-101B-9397-08002B2CF9AE}" pid="28" name="InitiatorContactDate">
    <vt:lpwstr/>
  </property>
  <property fmtid="{D5CDD505-2E9C-101B-9397-08002B2CF9AE}" pid="29" name="InitiatorContactName">
    <vt:lpwstr/>
  </property>
  <property fmtid="{D5CDD505-2E9C-101B-9397-08002B2CF9AE}" pid="30" name="InitiatorContactPosition">
    <vt:lpwstr/>
  </property>
  <property fmtid="{D5CDD505-2E9C-101B-9397-08002B2CF9AE}" pid="31" name="InitiatorCountry">
    <vt:lpwstr/>
  </property>
  <property fmtid="{D5CDD505-2E9C-101B-9397-08002B2CF9AE}" pid="32" name="InitiatorEmail">
    <vt:lpwstr/>
  </property>
  <property fmtid="{D5CDD505-2E9C-101B-9397-08002B2CF9AE}" pid="33" name="InitiatorFax">
    <vt:lpwstr/>
  </property>
  <property fmtid="{D5CDD505-2E9C-101B-9397-08002B2CF9AE}" pid="34" name="InitiatorFirstName">
    <vt:lpwstr/>
  </property>
  <property fmtid="{D5CDD505-2E9C-101B-9397-08002B2CF9AE}" pid="35" name="InitiatorFormalTitle">
    <vt:lpwstr/>
  </property>
  <property fmtid="{D5CDD505-2E9C-101B-9397-08002B2CF9AE}" pid="36" name="InitiatorFullName">
    <vt:lpwstr/>
  </property>
  <property fmtid="{D5CDD505-2E9C-101B-9397-08002B2CF9AE}" pid="37" name="InitiatorLastName">
    <vt:lpwstr/>
  </property>
  <property fmtid="{D5CDD505-2E9C-101B-9397-08002B2CF9AE}" pid="38" name="InitiatorMobile">
    <vt:lpwstr/>
  </property>
  <property fmtid="{D5CDD505-2E9C-101B-9397-08002B2CF9AE}" pid="39" name="InitiatorMPElectorate">
    <vt:lpwstr/>
  </property>
  <property fmtid="{D5CDD505-2E9C-101B-9397-08002B2CF9AE}" pid="40" name="InitiatorMPState">
    <vt:lpwstr/>
  </property>
  <property fmtid="{D5CDD505-2E9C-101B-9397-08002B2CF9AE}" pid="41" name="InitiatorName">
    <vt:lpwstr/>
  </property>
  <property fmtid="{D5CDD505-2E9C-101B-9397-08002B2CF9AE}" pid="42" name="InitiatorOnBehalfVia">
    <vt:lpwstr/>
  </property>
  <property fmtid="{D5CDD505-2E9C-101B-9397-08002B2CF9AE}" pid="43" name="InitiatorOrganisation">
    <vt:lpwstr/>
  </property>
  <property fmtid="{D5CDD505-2E9C-101B-9397-08002B2CF9AE}" pid="44" name="InitiatorOrganisationContactInformation">
    <vt:lpwstr/>
  </property>
  <property fmtid="{D5CDD505-2E9C-101B-9397-08002B2CF9AE}" pid="45" name="InitiatorOrganisationType">
    <vt:lpwstr/>
  </property>
  <property fmtid="{D5CDD505-2E9C-101B-9397-08002B2CF9AE}" pid="46" name="InitiatorOrganisationWebsite">
    <vt:lpwstr/>
  </property>
  <property fmtid="{D5CDD505-2E9C-101B-9397-08002B2CF9AE}" pid="47" name="InitiatorParliamentaryTitle">
    <vt:lpwstr/>
  </property>
  <property fmtid="{D5CDD505-2E9C-101B-9397-08002B2CF9AE}" pid="48" name="InitiatorPhone">
    <vt:lpwstr/>
  </property>
  <property fmtid="{D5CDD505-2E9C-101B-9397-08002B2CF9AE}" pid="49" name="InitiatorPostCode">
    <vt:lpwstr/>
  </property>
  <property fmtid="{D5CDD505-2E9C-101B-9397-08002B2CF9AE}" pid="50" name="InitiatorPostNominal">
    <vt:lpwstr/>
  </property>
  <property fmtid="{D5CDD505-2E9C-101B-9397-08002B2CF9AE}" pid="51" name="InitiatorState">
    <vt:lpwstr/>
  </property>
  <property fmtid="{D5CDD505-2E9C-101B-9397-08002B2CF9AE}" pid="52" name="InitiatorSuburbOrCity">
    <vt:lpwstr/>
  </property>
  <property fmtid="{D5CDD505-2E9C-101B-9397-08002B2CF9AE}" pid="53" name="InitiatorSuburbStatePostcode">
    <vt:lpwstr/>
  </property>
  <property fmtid="{D5CDD505-2E9C-101B-9397-08002B2CF9AE}" pid="54" name="InitiatorTitle">
    <vt:lpwstr/>
  </property>
  <property fmtid="{D5CDD505-2E9C-101B-9397-08002B2CF9AE}" pid="55" name="InitiatorTitledFullName">
    <vt:lpwstr/>
  </property>
  <property fmtid="{D5CDD505-2E9C-101B-9397-08002B2CF9AE}" pid="56" name="Language">
    <vt:lpwstr>English</vt:lpwstr>
  </property>
  <property fmtid="{D5CDD505-2E9C-101B-9397-08002B2CF9AE}" pid="57" name="LastClearingOfficer">
    <vt:lpwstr>Robert Jeremenko</vt:lpwstr>
  </property>
  <property fmtid="{D5CDD505-2E9C-101B-9397-08002B2CF9AE}" pid="58" name="MeetingDate">
    <vt:lpwstr/>
  </property>
  <property fmtid="{D5CDD505-2E9C-101B-9397-08002B2CF9AE}" pid="59" name="MeetingState">
    <vt:lpwstr/>
  </property>
  <property fmtid="{D5CDD505-2E9C-101B-9397-08002B2CF9AE}" pid="60" name="MeetingVenue">
    <vt:lpwstr/>
  </property>
  <property fmtid="{D5CDD505-2E9C-101B-9397-08002B2CF9AE}" pid="61" name="Ministers">
    <vt:lpwstr/>
  </property>
  <property fmtid="{D5CDD505-2E9C-101B-9397-08002B2CF9AE}" pid="62" name="MOActionActualDate">
    <vt:lpwstr/>
  </property>
  <property fmtid="{D5CDD505-2E9C-101B-9397-08002B2CF9AE}" pid="63" name="MOActionDueDate">
    <vt:lpwstr/>
  </property>
  <property fmtid="{D5CDD505-2E9C-101B-9397-08002B2CF9AE}" pid="64" name="PdrId">
    <vt:lpwstr>EC22-002745</vt:lpwstr>
  </property>
  <property fmtid="{D5CDD505-2E9C-101B-9397-08002B2CF9AE}" pid="65" name="Principal">
    <vt:lpwstr>Dep Sec Markets</vt:lpwstr>
  </property>
  <property fmtid="{D5CDD505-2E9C-101B-9397-08002B2CF9AE}" pid="66" name="QualityCheckActualDate">
    <vt:lpwstr/>
  </property>
  <property fmtid="{D5CDD505-2E9C-101B-9397-08002B2CF9AE}" pid="67" name="QualityCheckDueDate">
    <vt:lpwstr/>
  </property>
  <property fmtid="{D5CDD505-2E9C-101B-9397-08002B2CF9AE}" pid="68" name="ReasonForCreation">
    <vt:lpwstr>Initiated by Division</vt:lpwstr>
  </property>
  <property fmtid="{D5CDD505-2E9C-101B-9397-08002B2CF9AE}" pid="69" name="ReasonForSensitivity">
    <vt:lpwstr/>
  </property>
  <property fmtid="{D5CDD505-2E9C-101B-9397-08002B2CF9AE}" pid="70" name="RegisteredDate">
    <vt:lpwstr>10 October 2022</vt:lpwstr>
  </property>
  <property fmtid="{D5CDD505-2E9C-101B-9397-08002B2CF9AE}" pid="71" name="RequestedExecutiveAction">
    <vt:lpwstr>Signature</vt:lpwstr>
  </property>
  <property fmtid="{D5CDD505-2E9C-101B-9397-08002B2CF9AE}" pid="72" name="RequestedSubmittedBy">
    <vt:lpwstr>Matt Unicomb</vt:lpwstr>
  </property>
  <property fmtid="{D5CDD505-2E9C-101B-9397-08002B2CF9AE}" pid="73" name="ResponsibleExecutive">
    <vt:lpwstr>Robert Jeremenko</vt:lpwstr>
  </property>
  <property fmtid="{D5CDD505-2E9C-101B-9397-08002B2CF9AE}" pid="74" name="ResponsibleMinister">
    <vt:lpwstr> </vt:lpwstr>
  </property>
  <property fmtid="{D5CDD505-2E9C-101B-9397-08002B2CF9AE}" pid="75" name="SecurityClassification">
    <vt:lpwstr>OFFICIAL  </vt:lpwstr>
  </property>
  <property fmtid="{D5CDD505-2E9C-101B-9397-08002B2CF9AE}" pid="76" name="SignedDate">
    <vt:lpwstr/>
  </property>
  <property fmtid="{D5CDD505-2E9C-101B-9397-08002B2CF9AE}" pid="77" name="Subject">
    <vt:lpwstr>CDR non-bank lending sectoral assessment - RIS certification letter to OBPR</vt:lpwstr>
  </property>
  <property fmtid="{D5CDD505-2E9C-101B-9397-08002B2CF9AE}" pid="78" name="Superseded">
    <vt:lpwstr>True</vt:lpwstr>
  </property>
  <property fmtid="{D5CDD505-2E9C-101B-9397-08002B2CF9AE}" pid="79" name="TaskSeqNo">
    <vt:lpwstr>0</vt:lpwstr>
  </property>
  <property fmtid="{D5CDD505-2E9C-101B-9397-08002B2CF9AE}" pid="80" name="TemplateSubType">
    <vt:lpwstr>Standard</vt:lpwstr>
  </property>
  <property fmtid="{D5CDD505-2E9C-101B-9397-08002B2CF9AE}" pid="81" name="TemplateType">
    <vt:lpwstr>Letter</vt:lpwstr>
  </property>
  <property fmtid="{D5CDD505-2E9C-101B-9397-08002B2CF9AE}" pid="82" name="TrustedGroups">
    <vt:lpwstr>Business Administrator, Executive Communications, Limited Distribution EC</vt:lpwstr>
  </property>
  <property fmtid="{D5CDD505-2E9C-101B-9397-08002B2CF9AE}" pid="83" name="WorkingDocStatus">
    <vt:lpwstr/>
  </property>
  <property fmtid="{D5CDD505-2E9C-101B-9397-08002B2CF9AE}" pid="84" name="_dlc_DocIdItemGuid">
    <vt:lpwstr>d1170042-a893-460f-af79-92f09bbd57b4</vt:lpwstr>
  </property>
  <property fmtid="{D5CDD505-2E9C-101B-9397-08002B2CF9AE}" pid="85" name="MediaServiceImageTags">
    <vt:lpwstr/>
  </property>
</Properties>
</file>