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ED633" w14:textId="77777777" w:rsidR="009A18F3" w:rsidRDefault="009A18F3"/>
    <w:p w14:paraId="0CEC2F1C" w14:textId="77777777" w:rsidR="00EC4331" w:rsidRDefault="00DE2AB1" w:rsidP="00EC4331">
      <w:r>
        <w:t>Mr Jason</w:t>
      </w:r>
      <w:r w:rsidR="00EC4331">
        <w:t xml:space="preserve"> </w:t>
      </w:r>
      <w:r w:rsidRPr="00DE2AB1">
        <w:t>Lange</w:t>
      </w:r>
    </w:p>
    <w:p w14:paraId="5BD7EAB6" w14:textId="77777777" w:rsidR="00EC4331" w:rsidRDefault="00EC4331" w:rsidP="00EC4331">
      <w:r>
        <w:t>Executive Director</w:t>
      </w:r>
    </w:p>
    <w:p w14:paraId="05542209" w14:textId="0C39BB09" w:rsidR="00EC4331" w:rsidRDefault="00EC4331" w:rsidP="00EC4331">
      <w:r>
        <w:t xml:space="preserve">Office of </w:t>
      </w:r>
      <w:r w:rsidR="009E4202">
        <w:t>Impact Analysis</w:t>
      </w:r>
    </w:p>
    <w:p w14:paraId="07AA658D" w14:textId="77777777" w:rsidR="00EC4331" w:rsidRDefault="00EC4331" w:rsidP="00EC4331">
      <w:r>
        <w:t>Department of the Prime Minister and Cabinet</w:t>
      </w:r>
    </w:p>
    <w:p w14:paraId="2F068121" w14:textId="77777777" w:rsidR="00EC4331" w:rsidRDefault="00EC4331" w:rsidP="00EC4331">
      <w:r>
        <w:t>1 National Circuit</w:t>
      </w:r>
    </w:p>
    <w:p w14:paraId="27949D97" w14:textId="55463321" w:rsidR="00EC4331" w:rsidRDefault="00EC4331" w:rsidP="00EC4331">
      <w:r>
        <w:t>BARTON ACT</w:t>
      </w:r>
      <w:r w:rsidR="009E4202">
        <w:t xml:space="preserve"> </w:t>
      </w:r>
      <w:r>
        <w:t>2600</w:t>
      </w:r>
      <w:r>
        <w:br/>
      </w:r>
    </w:p>
    <w:p w14:paraId="271B93BB" w14:textId="017D17F3" w:rsidR="00EC4331" w:rsidRDefault="00EC4331" w:rsidP="00EC4331">
      <w:r>
        <w:t xml:space="preserve">Email: </w:t>
      </w:r>
      <w:hyperlink r:id="rId9" w:history="1">
        <w:r w:rsidR="00ED2A3E" w:rsidRPr="001A5B03">
          <w:rPr>
            <w:rStyle w:val="Hyperlink"/>
          </w:rPr>
          <w:t>helpdesk-OIA@pmc.gov.au</w:t>
        </w:r>
      </w:hyperlink>
    </w:p>
    <w:p w14:paraId="18AC0469" w14:textId="77777777" w:rsidR="00ED2A3E" w:rsidRDefault="00ED2A3E" w:rsidP="00EC4331"/>
    <w:p w14:paraId="67FF2953" w14:textId="77777777" w:rsidR="00EC4331" w:rsidRDefault="00EC4331" w:rsidP="00EC4331"/>
    <w:p w14:paraId="42E13E6D" w14:textId="70D15BA6" w:rsidR="00EC4331" w:rsidRDefault="00EC4331" w:rsidP="00EC4331">
      <w:r>
        <w:t xml:space="preserve">Dear Mr </w:t>
      </w:r>
      <w:r w:rsidR="00DE2AB1" w:rsidRPr="00DE2AB1">
        <w:t>Lange</w:t>
      </w:r>
    </w:p>
    <w:p w14:paraId="2AB5F3B4" w14:textId="77777777" w:rsidR="00D6337A" w:rsidRDefault="00D6337A" w:rsidP="00EC4331"/>
    <w:p w14:paraId="5624BD4E" w14:textId="349850D9" w:rsidR="008C4768" w:rsidRPr="004D6A26" w:rsidRDefault="00A403CA" w:rsidP="002C15F0">
      <w:pPr>
        <w:pStyle w:val="Heading1"/>
        <w:spacing w:before="0" w:after="0" w:line="300" w:lineRule="exact"/>
        <w:rPr>
          <w:sz w:val="24"/>
          <w:szCs w:val="24"/>
        </w:rPr>
      </w:pPr>
      <w:r>
        <w:rPr>
          <w:sz w:val="24"/>
          <w:szCs w:val="24"/>
        </w:rPr>
        <w:t>Impact Analysis</w:t>
      </w:r>
      <w:r w:rsidR="008C4768">
        <w:rPr>
          <w:sz w:val="24"/>
          <w:szCs w:val="24"/>
        </w:rPr>
        <w:t xml:space="preserve"> –</w:t>
      </w:r>
      <w:r w:rsidR="00212DB4">
        <w:rPr>
          <w:sz w:val="24"/>
          <w:szCs w:val="24"/>
        </w:rPr>
        <w:t xml:space="preserve"> </w:t>
      </w:r>
      <w:r w:rsidR="002C15F0" w:rsidRPr="002C15F0">
        <w:rPr>
          <w:sz w:val="24"/>
          <w:szCs w:val="24"/>
        </w:rPr>
        <w:t>Options to Provide Energy Price Relief</w:t>
      </w:r>
      <w:r w:rsidR="00212DB4">
        <w:rPr>
          <w:sz w:val="24"/>
          <w:szCs w:val="24"/>
        </w:rPr>
        <w:t xml:space="preserve"> – S</w:t>
      </w:r>
      <w:r w:rsidR="00E2259E">
        <w:rPr>
          <w:sz w:val="24"/>
          <w:szCs w:val="24"/>
        </w:rPr>
        <w:t xml:space="preserve">econd </w:t>
      </w:r>
      <w:r w:rsidR="00212DB4">
        <w:rPr>
          <w:sz w:val="24"/>
          <w:szCs w:val="24"/>
        </w:rPr>
        <w:t>P</w:t>
      </w:r>
      <w:r w:rsidR="00E2259E">
        <w:rPr>
          <w:sz w:val="24"/>
          <w:szCs w:val="24"/>
        </w:rPr>
        <w:t>ass</w:t>
      </w:r>
      <w:r w:rsidR="00212DB4">
        <w:rPr>
          <w:sz w:val="24"/>
          <w:szCs w:val="24"/>
        </w:rPr>
        <w:t xml:space="preserve"> Final Assessment</w:t>
      </w:r>
    </w:p>
    <w:p w14:paraId="5A7F2DC7" w14:textId="5225642E" w:rsidR="000A7ABA" w:rsidRDefault="009E4202" w:rsidP="000A7ABA">
      <w:pPr>
        <w:pStyle w:val="BodyText"/>
        <w:jc w:val="left"/>
        <w:rPr>
          <w:szCs w:val="24"/>
        </w:rPr>
      </w:pPr>
      <w:r>
        <w:t>We write</w:t>
      </w:r>
      <w:r w:rsidR="00284E41">
        <w:t xml:space="preserve"> in relation to the attached </w:t>
      </w:r>
      <w:r w:rsidR="00A403CA">
        <w:t>Impact Analysis (IA)</w:t>
      </w:r>
      <w:r w:rsidR="005B6B55">
        <w:t xml:space="preserve"> prepared </w:t>
      </w:r>
      <w:r w:rsidR="00284E41">
        <w:t xml:space="preserve">for </w:t>
      </w:r>
      <w:r w:rsidR="00D6337A">
        <w:t xml:space="preserve">the Options to </w:t>
      </w:r>
      <w:r w:rsidR="00A403CA">
        <w:t>p</w:t>
      </w:r>
      <w:r w:rsidR="00D6337A">
        <w:t xml:space="preserve">rovide </w:t>
      </w:r>
      <w:r w:rsidR="00A403CA">
        <w:t>e</w:t>
      </w:r>
      <w:r w:rsidR="00D6337A">
        <w:t xml:space="preserve">nergy </w:t>
      </w:r>
      <w:r w:rsidR="00A403CA">
        <w:t>p</w:t>
      </w:r>
      <w:r w:rsidR="00D6337A">
        <w:t xml:space="preserve">rice </w:t>
      </w:r>
      <w:r w:rsidR="00A403CA">
        <w:t>r</w:t>
      </w:r>
      <w:r w:rsidR="00D6337A">
        <w:t>elief proposal</w:t>
      </w:r>
      <w:r w:rsidR="00284E41">
        <w:t>.</w:t>
      </w:r>
      <w:r w:rsidR="000A7ABA">
        <w:t xml:space="preserve"> </w:t>
      </w:r>
    </w:p>
    <w:p w14:paraId="69D8AEE8" w14:textId="04CDBC3A" w:rsidR="008C7477" w:rsidRDefault="009E4202" w:rsidP="00B90998">
      <w:pPr>
        <w:pStyle w:val="BodyText"/>
        <w:jc w:val="left"/>
      </w:pPr>
      <w:r>
        <w:rPr>
          <w:szCs w:val="24"/>
        </w:rPr>
        <w:t>We are</w:t>
      </w:r>
      <w:r w:rsidR="00284E41">
        <w:rPr>
          <w:szCs w:val="24"/>
        </w:rPr>
        <w:t xml:space="preserve"> satisfied that the </w:t>
      </w:r>
      <w:r w:rsidR="00A403CA">
        <w:rPr>
          <w:szCs w:val="24"/>
        </w:rPr>
        <w:t>IA</w:t>
      </w:r>
      <w:r w:rsidR="00284E41">
        <w:rPr>
          <w:szCs w:val="24"/>
        </w:rPr>
        <w:t xml:space="preserve"> </w:t>
      </w:r>
      <w:r w:rsidR="00B5658B">
        <w:rPr>
          <w:szCs w:val="24"/>
        </w:rPr>
        <w:t xml:space="preserve">addresses the concerns raised in your letter of </w:t>
      </w:r>
      <w:r w:rsidR="001E7C73" w:rsidRPr="001E7C73">
        <w:rPr>
          <w:szCs w:val="24"/>
        </w:rPr>
        <w:t>25 November 2022</w:t>
      </w:r>
      <w:r w:rsidR="00B5658B">
        <w:rPr>
          <w:szCs w:val="24"/>
        </w:rPr>
        <w:t xml:space="preserve">. Specifically, </w:t>
      </w:r>
      <w:r w:rsidR="00C1434B">
        <w:rPr>
          <w:szCs w:val="24"/>
        </w:rPr>
        <w:t>the following changes have been made in response to your comments:</w:t>
      </w:r>
    </w:p>
    <w:p w14:paraId="39192D95" w14:textId="4A5FE757" w:rsidR="003E297E" w:rsidRPr="00B90998" w:rsidRDefault="00FB6EC4" w:rsidP="00B90998">
      <w:pPr>
        <w:pStyle w:val="BodyText"/>
        <w:jc w:val="left"/>
        <w:rPr>
          <w:i/>
        </w:rPr>
      </w:pPr>
      <w:r w:rsidRPr="00B90998">
        <w:rPr>
          <w:i/>
          <w:iCs/>
          <w:szCs w:val="24"/>
        </w:rPr>
        <w:t xml:space="preserve">1. What is the policy problem you are trying to </w:t>
      </w:r>
      <w:proofErr w:type="gramStart"/>
      <w:r w:rsidRPr="00B90998">
        <w:rPr>
          <w:i/>
          <w:iCs/>
          <w:szCs w:val="24"/>
        </w:rPr>
        <w:t>solve</w:t>
      </w:r>
      <w:proofErr w:type="gramEnd"/>
    </w:p>
    <w:p w14:paraId="593F43DE" w14:textId="530DDC19" w:rsidR="00FB6EC4" w:rsidRDefault="00FB6EC4" w:rsidP="00FB6EC4">
      <w:pPr>
        <w:pStyle w:val="Bullet"/>
      </w:pPr>
      <w:r>
        <w:t xml:space="preserve">Further detail of </w:t>
      </w:r>
      <w:r w:rsidR="00DA4076">
        <w:t xml:space="preserve">relevant </w:t>
      </w:r>
      <w:r>
        <w:t>stakeholders has been included,</w:t>
      </w:r>
      <w:r w:rsidR="00DA4076">
        <w:t xml:space="preserve"> as well as how they are affected</w:t>
      </w:r>
      <w:r>
        <w:t xml:space="preserve"> </w:t>
      </w:r>
      <w:r w:rsidR="00DA4076">
        <w:t>by the policy problem.</w:t>
      </w:r>
    </w:p>
    <w:p w14:paraId="55C17E07" w14:textId="2E587368" w:rsidR="00DA4076" w:rsidRDefault="00DA4076" w:rsidP="00FB6EC4">
      <w:pPr>
        <w:pStyle w:val="Bullet"/>
      </w:pPr>
      <w:r>
        <w:t>Expand</w:t>
      </w:r>
      <w:r w:rsidR="00E53794">
        <w:t>ed</w:t>
      </w:r>
      <w:r>
        <w:t xml:space="preserve"> the modelling of impacted households</w:t>
      </w:r>
      <w:r w:rsidR="00E53794">
        <w:t xml:space="preserve"> and effect of </w:t>
      </w:r>
      <w:r w:rsidR="008E270D">
        <w:t>energy</w:t>
      </w:r>
      <w:r w:rsidR="00E53794">
        <w:t xml:space="preserve"> price increases across the economy</w:t>
      </w:r>
      <w:r w:rsidR="00A01F76">
        <w:t>.</w:t>
      </w:r>
    </w:p>
    <w:p w14:paraId="4B630555" w14:textId="2FE1E7BF" w:rsidR="002D0052" w:rsidRPr="00B90998" w:rsidRDefault="00E53794" w:rsidP="00B90998">
      <w:pPr>
        <w:pStyle w:val="Bullet"/>
      </w:pPr>
      <w:r>
        <w:t xml:space="preserve">Included existing </w:t>
      </w:r>
      <w:r w:rsidR="00B51D0D">
        <w:t xml:space="preserve">non-regulatory </w:t>
      </w:r>
      <w:r>
        <w:t xml:space="preserve">Government measures to provide context </w:t>
      </w:r>
      <w:r w:rsidR="00B51D0D">
        <w:t>around exist policy and the role of the proposed measu</w:t>
      </w:r>
      <w:r w:rsidR="0067147E">
        <w:t>r</w:t>
      </w:r>
      <w:r w:rsidR="00B51D0D">
        <w:t>es.</w:t>
      </w:r>
    </w:p>
    <w:p w14:paraId="74E501A5" w14:textId="150DBEF2" w:rsidR="00B51D0D" w:rsidRPr="00B90998" w:rsidRDefault="009410CB" w:rsidP="008E270D">
      <w:pPr>
        <w:pStyle w:val="BodyText"/>
        <w:jc w:val="left"/>
        <w:rPr>
          <w:i/>
          <w:iCs/>
          <w:szCs w:val="24"/>
        </w:rPr>
      </w:pPr>
      <w:r w:rsidRPr="008E270D">
        <w:rPr>
          <w:i/>
          <w:iCs/>
          <w:szCs w:val="24"/>
        </w:rPr>
        <w:t>2. Why is governme</w:t>
      </w:r>
      <w:r w:rsidRPr="006F6AB2">
        <w:rPr>
          <w:i/>
          <w:szCs w:val="24"/>
        </w:rPr>
        <w:t>nt action needed?</w:t>
      </w:r>
    </w:p>
    <w:p w14:paraId="699A0FB6" w14:textId="7ECE3C24" w:rsidR="0067147E" w:rsidRDefault="00A2599A" w:rsidP="002D7476">
      <w:pPr>
        <w:pStyle w:val="Bullet"/>
      </w:pPr>
      <w:r>
        <w:t xml:space="preserve">Expanded detail </w:t>
      </w:r>
      <w:r w:rsidR="00427A41">
        <w:t xml:space="preserve">on </w:t>
      </w:r>
      <w:r w:rsidR="00735DCA">
        <w:t>the analytical frameworks and criteria used to assess proposals, and their performance against stated Government objectives</w:t>
      </w:r>
      <w:r w:rsidR="00A01F76">
        <w:t>.</w:t>
      </w:r>
    </w:p>
    <w:p w14:paraId="46642CCD" w14:textId="1828CB9A" w:rsidR="002D0052" w:rsidRPr="008E270D" w:rsidRDefault="00735DCA" w:rsidP="00B90998">
      <w:pPr>
        <w:pStyle w:val="Bullet"/>
        <w:rPr>
          <w:i/>
        </w:rPr>
      </w:pPr>
      <w:r>
        <w:rPr>
          <w:iCs/>
        </w:rPr>
        <w:t xml:space="preserve">Further examination of potential </w:t>
      </w:r>
      <w:r w:rsidR="00CA5658">
        <w:rPr>
          <w:iCs/>
        </w:rPr>
        <w:t>risks</w:t>
      </w:r>
      <w:r>
        <w:rPr>
          <w:iCs/>
        </w:rPr>
        <w:t xml:space="preserve"> of government action</w:t>
      </w:r>
      <w:r w:rsidR="00A01F76">
        <w:rPr>
          <w:iCs/>
        </w:rPr>
        <w:t>.</w:t>
      </w:r>
    </w:p>
    <w:p w14:paraId="5CDEB254" w14:textId="30D0694B" w:rsidR="00A2599A" w:rsidRPr="00606C3E" w:rsidRDefault="00060FD6" w:rsidP="00B90998">
      <w:pPr>
        <w:pStyle w:val="BodyText"/>
        <w:jc w:val="left"/>
        <w:rPr>
          <w:i/>
        </w:rPr>
      </w:pPr>
      <w:r>
        <w:rPr>
          <w:i/>
          <w:iCs/>
          <w:szCs w:val="24"/>
        </w:rPr>
        <w:t>3. Options</w:t>
      </w:r>
    </w:p>
    <w:p w14:paraId="2D45DA11" w14:textId="1517E749" w:rsidR="00A15DCE" w:rsidRDefault="002D0052">
      <w:pPr>
        <w:pStyle w:val="Bullet"/>
      </w:pPr>
      <w:r>
        <w:t xml:space="preserve">Clarified </w:t>
      </w:r>
      <w:r w:rsidR="00F257ED">
        <w:t>additional genuine</w:t>
      </w:r>
      <w:r w:rsidR="00A94807">
        <w:t xml:space="preserve"> alternative</w:t>
      </w:r>
      <w:r>
        <w:t xml:space="preserve"> options under consideration and </w:t>
      </w:r>
      <w:r w:rsidR="00A15DCE">
        <w:t xml:space="preserve">how design details would address the </w:t>
      </w:r>
      <w:r w:rsidR="00A94807">
        <w:t>p</w:t>
      </w:r>
      <w:r w:rsidR="00A15DCE" w:rsidRPr="00637777">
        <w:t>roblem</w:t>
      </w:r>
      <w:r w:rsidR="00F83EA9">
        <w:rPr>
          <w:i/>
          <w:iCs/>
        </w:rPr>
        <w:t xml:space="preserve"> </w:t>
      </w:r>
      <w:r w:rsidR="00F83EA9">
        <w:t>beyond what was examined in the first pass IA.</w:t>
      </w:r>
    </w:p>
    <w:p w14:paraId="37453F9D" w14:textId="72ACD218" w:rsidR="00A15DCE" w:rsidRDefault="00F257ED" w:rsidP="00A15DCE">
      <w:pPr>
        <w:pStyle w:val="Bullet"/>
      </w:pPr>
      <w:r>
        <w:t>Specified</w:t>
      </w:r>
      <w:r w:rsidR="002D0052">
        <w:t xml:space="preserve"> </w:t>
      </w:r>
      <w:r>
        <w:t xml:space="preserve">non-regulatory </w:t>
      </w:r>
      <w:r w:rsidR="00A15DCE">
        <w:t>actions available to Government</w:t>
      </w:r>
      <w:r w:rsidR="00F83EA9">
        <w:t>.</w:t>
      </w:r>
    </w:p>
    <w:p w14:paraId="6B04C4F3" w14:textId="1E91A924" w:rsidR="00F83EA9" w:rsidRPr="00B90998" w:rsidRDefault="00F83EA9" w:rsidP="00B90998">
      <w:pPr>
        <w:pStyle w:val="Bullet"/>
      </w:pPr>
      <w:r>
        <w:t>Expanded analysis of the Status Quo option</w:t>
      </w:r>
      <w:r w:rsidR="00A01F76">
        <w:t>.</w:t>
      </w:r>
    </w:p>
    <w:p w14:paraId="53ABE124" w14:textId="7AD174C2" w:rsidR="00060FD6" w:rsidRDefault="00060FD6" w:rsidP="00692B2A">
      <w:pPr>
        <w:pStyle w:val="BodyText"/>
        <w:jc w:val="left"/>
        <w:rPr>
          <w:i/>
          <w:iCs/>
          <w:szCs w:val="24"/>
        </w:rPr>
      </w:pPr>
      <w:r>
        <w:rPr>
          <w:i/>
          <w:iCs/>
          <w:szCs w:val="24"/>
        </w:rPr>
        <w:t>4. Impacts</w:t>
      </w:r>
    </w:p>
    <w:p w14:paraId="7C30B7A0" w14:textId="34A070C3" w:rsidR="006F7C33" w:rsidRDefault="001B6DEF" w:rsidP="006F7C33">
      <w:pPr>
        <w:pStyle w:val="Bullet"/>
      </w:pPr>
      <w:r>
        <w:t>Further consideration of additional, feasible policy options</w:t>
      </w:r>
      <w:r w:rsidR="006F7C33">
        <w:t xml:space="preserve"> and how the expanded analytical frameworks </w:t>
      </w:r>
      <w:r w:rsidR="00A94807">
        <w:t xml:space="preserve">was </w:t>
      </w:r>
      <w:r w:rsidR="006F7C33">
        <w:t xml:space="preserve">used to assess </w:t>
      </w:r>
      <w:r w:rsidR="00A94807">
        <w:t xml:space="preserve">options </w:t>
      </w:r>
      <w:r w:rsidR="006F7C33">
        <w:t xml:space="preserve">and their </w:t>
      </w:r>
      <w:r w:rsidR="00A94807">
        <w:t>impacts</w:t>
      </w:r>
      <w:r w:rsidR="006F7C33">
        <w:t>.</w:t>
      </w:r>
    </w:p>
    <w:p w14:paraId="5CD323FD" w14:textId="55B8744A" w:rsidR="008D6389" w:rsidRDefault="008D6389" w:rsidP="008E270D">
      <w:pPr>
        <w:pStyle w:val="Bullet"/>
      </w:pPr>
      <w:r>
        <w:t>Additional expansion of each option</w:t>
      </w:r>
      <w:r w:rsidR="00427A41">
        <w:t>’</w:t>
      </w:r>
      <w:r>
        <w:t>s risk analysis to include stakeholder impacts and short-term modelling, and addition of mitigation strategies for each substantial risk.</w:t>
      </w:r>
    </w:p>
    <w:p w14:paraId="08D04AC3" w14:textId="42B2B4E9" w:rsidR="00B30A44" w:rsidRDefault="00995D1E" w:rsidP="001B6DEF">
      <w:pPr>
        <w:pStyle w:val="Bullet"/>
      </w:pPr>
      <w:r>
        <w:t xml:space="preserve">Impacts of </w:t>
      </w:r>
      <w:r w:rsidR="00D90A98">
        <w:t>each</w:t>
      </w:r>
      <w:r>
        <w:t xml:space="preserve"> policy option on stakeholder</w:t>
      </w:r>
      <w:r w:rsidR="00D90A98">
        <w:t xml:space="preserve">s </w:t>
      </w:r>
      <w:r>
        <w:t>has been</w:t>
      </w:r>
      <w:r w:rsidR="00D90A98">
        <w:t xml:space="preserve"> discussed and</w:t>
      </w:r>
      <w:r>
        <w:t xml:space="preserve"> summarised into tables.</w:t>
      </w:r>
    </w:p>
    <w:p w14:paraId="507921B3" w14:textId="32F37FD9" w:rsidR="001B6DEF" w:rsidRPr="00B90998" w:rsidRDefault="00D90A98" w:rsidP="00B90998">
      <w:pPr>
        <w:pStyle w:val="Bullet"/>
      </w:pPr>
      <w:r>
        <w:t xml:space="preserve">A summary of all options </w:t>
      </w:r>
      <w:r w:rsidR="00076A51">
        <w:t xml:space="preserve">assessed </w:t>
      </w:r>
      <w:r>
        <w:t xml:space="preserve">against policy objectives has been included into a table featuring a traffic-light system to easily assess their effectiveness. </w:t>
      </w:r>
    </w:p>
    <w:p w14:paraId="0D749AFB" w14:textId="447EC888" w:rsidR="00060FD6" w:rsidRDefault="00060FD6" w:rsidP="00692B2A">
      <w:pPr>
        <w:pStyle w:val="BodyText"/>
        <w:jc w:val="left"/>
        <w:rPr>
          <w:i/>
          <w:iCs/>
          <w:szCs w:val="24"/>
        </w:rPr>
      </w:pPr>
      <w:r>
        <w:rPr>
          <w:i/>
          <w:iCs/>
          <w:szCs w:val="24"/>
        </w:rPr>
        <w:lastRenderedPageBreak/>
        <w:t>5. Consultation</w:t>
      </w:r>
    </w:p>
    <w:p w14:paraId="27F8A403" w14:textId="4ED30AA7" w:rsidR="00F83EA9" w:rsidRPr="00B90998" w:rsidRDefault="00F83EA9" w:rsidP="00B90998">
      <w:pPr>
        <w:pStyle w:val="Bullet"/>
      </w:pPr>
      <w:r>
        <w:t>Further clarification of the consultation process, and how the results of stakeholder feedback were used throughout the policy design and implementation process.</w:t>
      </w:r>
    </w:p>
    <w:p w14:paraId="4EDFF441" w14:textId="1929544A" w:rsidR="00060FD6" w:rsidRDefault="00060FD6" w:rsidP="00692B2A">
      <w:pPr>
        <w:pStyle w:val="BodyText"/>
        <w:jc w:val="left"/>
        <w:rPr>
          <w:i/>
          <w:iCs/>
          <w:szCs w:val="24"/>
        </w:rPr>
      </w:pPr>
      <w:r>
        <w:rPr>
          <w:i/>
          <w:iCs/>
          <w:szCs w:val="24"/>
        </w:rPr>
        <w:t>6. Conclusion/Best Option</w:t>
      </w:r>
    </w:p>
    <w:p w14:paraId="2515BDED" w14:textId="63AD5CED" w:rsidR="00B30A44" w:rsidRDefault="003507EE" w:rsidP="00F25EBD">
      <w:pPr>
        <w:pStyle w:val="Bullet"/>
      </w:pPr>
      <w:r>
        <w:t>S</w:t>
      </w:r>
      <w:r w:rsidR="00F25EBD">
        <w:t xml:space="preserve">ection has been expanded substantially from </w:t>
      </w:r>
      <w:r w:rsidR="00110EA1">
        <w:t>the first pass IA.</w:t>
      </w:r>
    </w:p>
    <w:p w14:paraId="6BE9E764" w14:textId="13025DAD" w:rsidR="00110EA1" w:rsidRDefault="003507EE" w:rsidP="00F25EBD">
      <w:pPr>
        <w:pStyle w:val="Bullet"/>
      </w:pPr>
      <w:r>
        <w:t>Clarified the r</w:t>
      </w:r>
      <w:r w:rsidR="00110EA1">
        <w:t xml:space="preserve">ationale for each recommended policy and </w:t>
      </w:r>
      <w:r w:rsidR="00B50605">
        <w:t xml:space="preserve">how </w:t>
      </w:r>
      <w:r w:rsidR="00110EA1">
        <w:t>th</w:t>
      </w:r>
      <w:r w:rsidR="00894D72">
        <w:t>ey work in combination to mitigate the problem.</w:t>
      </w:r>
    </w:p>
    <w:p w14:paraId="7DD52F51" w14:textId="231E3FCB" w:rsidR="00F25EBD" w:rsidRPr="00B90998" w:rsidRDefault="008D6389" w:rsidP="00B90998">
      <w:pPr>
        <w:pStyle w:val="Bullet"/>
      </w:pPr>
      <w:r>
        <w:t>Detailed how stakeholder feedback was incorporated into the decision</w:t>
      </w:r>
      <w:r w:rsidR="00074874">
        <w:t>-</w:t>
      </w:r>
      <w:r>
        <w:t>making process and will influence future consultations</w:t>
      </w:r>
      <w:r w:rsidR="00A01F76">
        <w:t>.</w:t>
      </w:r>
    </w:p>
    <w:p w14:paraId="1CA52AA0" w14:textId="6C23663A" w:rsidR="00060FD6" w:rsidRPr="00B90998" w:rsidRDefault="00060FD6" w:rsidP="00692B2A">
      <w:pPr>
        <w:pStyle w:val="BodyText"/>
        <w:jc w:val="left"/>
        <w:rPr>
          <w:i/>
          <w:iCs/>
          <w:szCs w:val="24"/>
        </w:rPr>
      </w:pPr>
      <w:r>
        <w:rPr>
          <w:i/>
          <w:iCs/>
          <w:szCs w:val="24"/>
        </w:rPr>
        <w:t>7. Implementation and Evaluation</w:t>
      </w:r>
    </w:p>
    <w:p w14:paraId="2B811056" w14:textId="4C3FA694" w:rsidR="005C68A9" w:rsidRDefault="005C68A9" w:rsidP="005C68A9">
      <w:pPr>
        <w:pStyle w:val="Bullet"/>
      </w:pPr>
      <w:r>
        <w:t>Clarified how performance will be measured against the analytical framework of Government objectives.</w:t>
      </w:r>
    </w:p>
    <w:p w14:paraId="52A77140" w14:textId="77777777" w:rsidR="00B30A44" w:rsidRDefault="00707491" w:rsidP="00707491">
      <w:pPr>
        <w:pStyle w:val="Bullet"/>
      </w:pPr>
      <w:r>
        <w:t>A mechanism to evaluate each option has been specified, including regular reviews.</w:t>
      </w:r>
    </w:p>
    <w:p w14:paraId="261EE582" w14:textId="26ADF25F" w:rsidR="0073068A" w:rsidRDefault="0073068A" w:rsidP="00B90998">
      <w:pPr>
        <w:pStyle w:val="Bullet"/>
      </w:pPr>
      <w:r>
        <w:t>Risks associated with the preferred options and mitigating steps have been summarised in tables under each measure.</w:t>
      </w:r>
    </w:p>
    <w:p w14:paraId="2C76059B" w14:textId="4847C7F7" w:rsidR="004D41CC" w:rsidRDefault="004D41CC" w:rsidP="00692B2A">
      <w:pPr>
        <w:pStyle w:val="BodyText"/>
        <w:jc w:val="left"/>
        <w:rPr>
          <w:szCs w:val="24"/>
        </w:rPr>
      </w:pPr>
      <w:r>
        <w:rPr>
          <w:szCs w:val="24"/>
        </w:rPr>
        <w:t>The regulatory burden of the proposed measure is</w:t>
      </w:r>
      <w:r w:rsidR="00FF6738">
        <w:rPr>
          <w:szCs w:val="24"/>
        </w:rPr>
        <w:t xml:space="preserve"> estimated to be</w:t>
      </w:r>
      <w:r>
        <w:rPr>
          <w:szCs w:val="24"/>
        </w:rPr>
        <w:t xml:space="preserve"> $962,348 per year compared to the status quo.</w:t>
      </w:r>
      <w:r w:rsidR="00A04879">
        <w:rPr>
          <w:szCs w:val="24"/>
        </w:rPr>
        <w:t xml:space="preserve"> The preferred mandatory code </w:t>
      </w:r>
      <w:r w:rsidR="00A91270">
        <w:rPr>
          <w:szCs w:val="24"/>
        </w:rPr>
        <w:t xml:space="preserve">enabled by </w:t>
      </w:r>
      <w:r w:rsidR="00A04879">
        <w:rPr>
          <w:szCs w:val="24"/>
        </w:rPr>
        <w:t>amended legislation has a</w:t>
      </w:r>
      <w:r w:rsidR="00FF6738">
        <w:rPr>
          <w:szCs w:val="24"/>
        </w:rPr>
        <w:t>n estimated</w:t>
      </w:r>
      <w:r w:rsidR="00A04879">
        <w:rPr>
          <w:szCs w:val="24"/>
        </w:rPr>
        <w:t xml:space="preserve"> regulatory burden of $803,459, and </w:t>
      </w:r>
      <w:r w:rsidR="00A94807">
        <w:rPr>
          <w:szCs w:val="24"/>
        </w:rPr>
        <w:t xml:space="preserve">a 12-month </w:t>
      </w:r>
      <w:r w:rsidR="00AE5E0E">
        <w:rPr>
          <w:szCs w:val="24"/>
        </w:rPr>
        <w:t>temporary price cap</w:t>
      </w:r>
      <w:r w:rsidR="00A94807">
        <w:rPr>
          <w:szCs w:val="24"/>
        </w:rPr>
        <w:t xml:space="preserve"> commencing in early 2023,</w:t>
      </w:r>
      <w:r w:rsidR="00AE5E0E">
        <w:rPr>
          <w:szCs w:val="24"/>
        </w:rPr>
        <w:t xml:space="preserve"> has a</w:t>
      </w:r>
      <w:r w:rsidR="00FF6738">
        <w:rPr>
          <w:szCs w:val="24"/>
        </w:rPr>
        <w:t>n estimated</w:t>
      </w:r>
      <w:r w:rsidR="00AE5E0E">
        <w:rPr>
          <w:szCs w:val="24"/>
        </w:rPr>
        <w:t xml:space="preserve"> burden of </w:t>
      </w:r>
      <w:r w:rsidR="00A04879" w:rsidRPr="00A04879">
        <w:rPr>
          <w:szCs w:val="24"/>
        </w:rPr>
        <w:t>$158,889</w:t>
      </w:r>
      <w:r w:rsidR="00AE5E0E">
        <w:rPr>
          <w:szCs w:val="24"/>
        </w:rPr>
        <w:t>.</w:t>
      </w:r>
      <w:r w:rsidR="00A04879" w:rsidRPr="00A04879">
        <w:rPr>
          <w:szCs w:val="24"/>
        </w:rPr>
        <w:t xml:space="preserve"> </w:t>
      </w:r>
      <w:r w:rsidR="001F5565">
        <w:rPr>
          <w:szCs w:val="24"/>
        </w:rPr>
        <w:t>Most of this burden will only be realised if the mandatory code is legislated, with arbitration and enforcement powers.</w:t>
      </w:r>
    </w:p>
    <w:p w14:paraId="06A79EDF" w14:textId="4C4FCCF1" w:rsidR="00535899" w:rsidRDefault="00B5658B" w:rsidP="00692B2A">
      <w:pPr>
        <w:pStyle w:val="BodyText"/>
        <w:jc w:val="left"/>
        <w:rPr>
          <w:szCs w:val="24"/>
        </w:rPr>
      </w:pPr>
      <w:r>
        <w:rPr>
          <w:szCs w:val="24"/>
        </w:rPr>
        <w:t xml:space="preserve">Accordingly, </w:t>
      </w:r>
      <w:r w:rsidR="00A403CA">
        <w:rPr>
          <w:szCs w:val="24"/>
        </w:rPr>
        <w:t>we are</w:t>
      </w:r>
      <w:r>
        <w:rPr>
          <w:szCs w:val="24"/>
        </w:rPr>
        <w:t xml:space="preserve"> satisfied that the </w:t>
      </w:r>
      <w:r w:rsidR="009E4202">
        <w:rPr>
          <w:szCs w:val="24"/>
        </w:rPr>
        <w:t>IA</w:t>
      </w:r>
      <w:r>
        <w:rPr>
          <w:szCs w:val="24"/>
        </w:rPr>
        <w:t xml:space="preserve"> </w:t>
      </w:r>
      <w:r w:rsidR="00212DB4">
        <w:rPr>
          <w:szCs w:val="24"/>
        </w:rPr>
        <w:t xml:space="preserve">is now </w:t>
      </w:r>
      <w:r w:rsidR="00E2259E">
        <w:rPr>
          <w:szCs w:val="24"/>
        </w:rPr>
        <w:t>consistent with</w:t>
      </w:r>
      <w:r w:rsidR="006C1716">
        <w:rPr>
          <w:szCs w:val="24"/>
        </w:rPr>
        <w:t xml:space="preserve"> the </w:t>
      </w:r>
      <w:r w:rsidR="00212DB4">
        <w:rPr>
          <w:szCs w:val="24"/>
        </w:rPr>
        <w:t xml:space="preserve">six principles for Australian Government policy makers as specified in the </w:t>
      </w:r>
      <w:r w:rsidR="006C1716">
        <w:rPr>
          <w:i/>
          <w:szCs w:val="24"/>
        </w:rPr>
        <w:t>Australian Government Guide to Regulat</w:t>
      </w:r>
      <w:r w:rsidR="00212DB4">
        <w:rPr>
          <w:i/>
          <w:szCs w:val="24"/>
        </w:rPr>
        <w:t>ory Impact Analysis</w:t>
      </w:r>
      <w:r w:rsidR="00692B2A">
        <w:rPr>
          <w:szCs w:val="24"/>
        </w:rPr>
        <w:t>.</w:t>
      </w:r>
    </w:p>
    <w:p w14:paraId="67869066" w14:textId="255938A6" w:rsidR="008C4768" w:rsidRPr="006E1B31" w:rsidRDefault="00A403CA" w:rsidP="008C4768">
      <w:pPr>
        <w:pStyle w:val="BodyText"/>
        <w:jc w:val="left"/>
        <w:rPr>
          <w:szCs w:val="24"/>
        </w:rPr>
      </w:pPr>
      <w:r>
        <w:rPr>
          <w:szCs w:val="24"/>
        </w:rPr>
        <w:t>We</w:t>
      </w:r>
      <w:r w:rsidR="00284E41">
        <w:rPr>
          <w:szCs w:val="24"/>
        </w:rPr>
        <w:t xml:space="preserve"> submit </w:t>
      </w:r>
      <w:r w:rsidR="00535899">
        <w:rPr>
          <w:szCs w:val="24"/>
        </w:rPr>
        <w:t xml:space="preserve">the </w:t>
      </w:r>
      <w:r>
        <w:rPr>
          <w:szCs w:val="24"/>
        </w:rPr>
        <w:t>IA</w:t>
      </w:r>
      <w:r w:rsidR="00284E41">
        <w:rPr>
          <w:szCs w:val="24"/>
        </w:rPr>
        <w:t xml:space="preserve"> to the Office </w:t>
      </w:r>
      <w:r>
        <w:rPr>
          <w:szCs w:val="24"/>
        </w:rPr>
        <w:t>of Impact Analysis</w:t>
      </w:r>
      <w:r w:rsidR="00284E41">
        <w:rPr>
          <w:szCs w:val="24"/>
        </w:rPr>
        <w:t xml:space="preserve"> for formal </w:t>
      </w:r>
      <w:r w:rsidR="006C1716">
        <w:rPr>
          <w:szCs w:val="24"/>
        </w:rPr>
        <w:t xml:space="preserve">final </w:t>
      </w:r>
      <w:r w:rsidR="00B5658B">
        <w:rPr>
          <w:szCs w:val="24"/>
        </w:rPr>
        <w:t>assessment</w:t>
      </w:r>
      <w:r w:rsidR="00284E41">
        <w:rPr>
          <w:szCs w:val="24"/>
        </w:rPr>
        <w:t>.</w:t>
      </w:r>
    </w:p>
    <w:p w14:paraId="305E8C85" w14:textId="240D0ACB" w:rsidR="008C4768" w:rsidRDefault="009E4202" w:rsidP="008C4768">
      <w:pPr>
        <w:spacing w:before="240" w:line="300" w:lineRule="exact"/>
      </w:pPr>
      <w:r>
        <w:t>If you have any further queries, please do not hesitate to contact us</w:t>
      </w:r>
      <w:r w:rsidR="005A2357">
        <w:t>.</w:t>
      </w:r>
    </w:p>
    <w:p w14:paraId="481D2779" w14:textId="77777777" w:rsidR="009E4202" w:rsidRPr="006E1B31" w:rsidRDefault="009E4202" w:rsidP="008C4768">
      <w:pPr>
        <w:spacing w:before="240" w:line="300" w:lineRule="exact"/>
      </w:pPr>
    </w:p>
    <w:p w14:paraId="3641A0A2" w14:textId="30E8E54C" w:rsidR="008C4768" w:rsidRDefault="008C4768" w:rsidP="008C4768">
      <w:pPr>
        <w:pStyle w:val="Header"/>
      </w:pPr>
      <w:r>
        <w:t>Yours sincerely</w:t>
      </w:r>
      <w:r w:rsidR="007C7B87">
        <w:t>,</w:t>
      </w:r>
    </w:p>
    <w:p w14:paraId="04CD7F53" w14:textId="58E68206" w:rsidR="009E4202" w:rsidRDefault="009E4202" w:rsidP="008C4768">
      <w:pPr>
        <w:pStyle w:val="Header"/>
      </w:pPr>
      <w:bookmarkStart w:id="0" w:name="_GoBack"/>
      <w:bookmarkEnd w:id="0"/>
    </w:p>
    <w:p w14:paraId="0EBC4A49" w14:textId="77777777" w:rsidR="008C4768" w:rsidRDefault="008C4768" w:rsidP="008C4768">
      <w:pPr>
        <w:pStyle w:val="Head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E4202" w14:paraId="2A2DAD0E" w14:textId="77777777" w:rsidTr="00F61829">
        <w:trPr>
          <w:trHeight w:val="1138"/>
        </w:trPr>
        <w:tc>
          <w:tcPr>
            <w:tcW w:w="4508" w:type="dxa"/>
          </w:tcPr>
          <w:p w14:paraId="6D7F6BE4" w14:textId="77777777" w:rsidR="009E4202" w:rsidRDefault="009E4202" w:rsidP="00F61829">
            <w:pPr>
              <w:spacing w:line="300" w:lineRule="exact"/>
              <w:contextualSpacing/>
            </w:pPr>
            <w:r>
              <w:t>Sam Reinhardt</w:t>
            </w:r>
          </w:p>
          <w:p w14:paraId="4C5AF054" w14:textId="77777777" w:rsidR="009E4202" w:rsidRDefault="009E4202" w:rsidP="00F61829">
            <w:pPr>
              <w:spacing w:line="300" w:lineRule="exact"/>
              <w:contextualSpacing/>
            </w:pPr>
            <w:r>
              <w:t>Deputy Secretary, Fiscal Group</w:t>
            </w:r>
          </w:p>
          <w:p w14:paraId="57C2B2F0" w14:textId="77777777" w:rsidR="009E4202" w:rsidRDefault="009E4202" w:rsidP="00F61829">
            <w:pPr>
              <w:spacing w:line="300" w:lineRule="exact"/>
              <w:contextualSpacing/>
            </w:pPr>
            <w:r>
              <w:t>The Treasury</w:t>
            </w:r>
          </w:p>
          <w:p w14:paraId="635774A8" w14:textId="77777777" w:rsidR="009E4202" w:rsidRDefault="009E4202" w:rsidP="00F61829">
            <w:pPr>
              <w:spacing w:line="300" w:lineRule="exact"/>
              <w:contextualSpacing/>
            </w:pPr>
            <w:r>
              <w:t>Langton Crescent</w:t>
            </w:r>
          </w:p>
          <w:p w14:paraId="2D233835" w14:textId="77777777" w:rsidR="009E4202" w:rsidRDefault="009E4202" w:rsidP="00F61829">
            <w:pPr>
              <w:spacing w:line="300" w:lineRule="exact"/>
              <w:contextualSpacing/>
            </w:pPr>
            <w:r>
              <w:t>Parkes</w:t>
            </w:r>
            <w:r w:rsidRPr="00C62FBC">
              <w:t>, ACT, 260</w:t>
            </w:r>
            <w:r>
              <w:t>0</w:t>
            </w:r>
          </w:p>
          <w:p w14:paraId="3B3027AA" w14:textId="77777777" w:rsidR="009E4202" w:rsidRDefault="009E4202" w:rsidP="00F61829">
            <w:pPr>
              <w:spacing w:line="300" w:lineRule="exact"/>
              <w:contextualSpacing/>
            </w:pPr>
            <w:r w:rsidRPr="00C62FBC">
              <w:t>Australia</w:t>
            </w:r>
          </w:p>
          <w:p w14:paraId="416E7980" w14:textId="77777777" w:rsidR="009E4202" w:rsidRDefault="009E4202" w:rsidP="00F61829">
            <w:pPr>
              <w:spacing w:line="300" w:lineRule="exact"/>
              <w:contextualSpacing/>
            </w:pPr>
          </w:p>
          <w:p w14:paraId="46380E0C" w14:textId="023F84CF" w:rsidR="009E4202" w:rsidRDefault="0042101F" w:rsidP="00F61829">
            <w:pPr>
              <w:spacing w:line="300" w:lineRule="exact"/>
              <w:contextualSpacing/>
            </w:pPr>
            <w:r>
              <w:t>8 December 2022</w:t>
            </w:r>
          </w:p>
        </w:tc>
        <w:tc>
          <w:tcPr>
            <w:tcW w:w="4508" w:type="dxa"/>
          </w:tcPr>
          <w:p w14:paraId="6F7FC76F" w14:textId="77777777" w:rsidR="009E4202" w:rsidRDefault="009E4202" w:rsidP="00F61829">
            <w:pPr>
              <w:spacing w:line="300" w:lineRule="exact"/>
              <w:contextualSpacing/>
            </w:pPr>
            <w:r>
              <w:t>Simon Duggan</w:t>
            </w:r>
          </w:p>
          <w:p w14:paraId="1412EECE" w14:textId="77777777" w:rsidR="009E4202" w:rsidRDefault="009E4202" w:rsidP="00F61829">
            <w:pPr>
              <w:spacing w:line="300" w:lineRule="exact"/>
              <w:contextualSpacing/>
            </w:pPr>
            <w:r>
              <w:t>Deputy Secretary, Energy</w:t>
            </w:r>
          </w:p>
          <w:p w14:paraId="35600384" w14:textId="77777777" w:rsidR="009E4202" w:rsidRDefault="009E4202" w:rsidP="00F61829">
            <w:pPr>
              <w:spacing w:line="300" w:lineRule="exact"/>
              <w:contextualSpacing/>
            </w:pPr>
            <w:r w:rsidRPr="00A02B3A">
              <w:t>Department of Climate Change, Energy, the Environment and Water</w:t>
            </w:r>
          </w:p>
          <w:p w14:paraId="3F73BF03" w14:textId="77777777" w:rsidR="009E4202" w:rsidRDefault="009E4202" w:rsidP="00F61829">
            <w:pPr>
              <w:spacing w:line="300" w:lineRule="exact"/>
              <w:contextualSpacing/>
            </w:pPr>
            <w:r w:rsidRPr="00C62FBC">
              <w:t xml:space="preserve">51 </w:t>
            </w:r>
            <w:proofErr w:type="spellStart"/>
            <w:r w:rsidRPr="00C62FBC">
              <w:t>Allara</w:t>
            </w:r>
            <w:proofErr w:type="spellEnd"/>
            <w:r w:rsidRPr="00C62FBC">
              <w:t xml:space="preserve"> Street, </w:t>
            </w:r>
          </w:p>
          <w:p w14:paraId="5673AAAF" w14:textId="77777777" w:rsidR="009E4202" w:rsidRDefault="009E4202" w:rsidP="00F61829">
            <w:pPr>
              <w:spacing w:line="300" w:lineRule="exact"/>
              <w:contextualSpacing/>
            </w:pPr>
            <w:r w:rsidRPr="00C62FBC">
              <w:t>Canberra, ACT, 2601</w:t>
            </w:r>
          </w:p>
          <w:p w14:paraId="2E67D830" w14:textId="77777777" w:rsidR="009E4202" w:rsidRDefault="009E4202" w:rsidP="00F61829">
            <w:pPr>
              <w:spacing w:line="300" w:lineRule="exact"/>
              <w:contextualSpacing/>
            </w:pPr>
            <w:r w:rsidRPr="00C62FBC">
              <w:t>Australia</w:t>
            </w:r>
          </w:p>
          <w:p w14:paraId="60DD7065" w14:textId="28141B84" w:rsidR="009E4202" w:rsidRDefault="0042101F" w:rsidP="00F61829">
            <w:pPr>
              <w:spacing w:line="300" w:lineRule="exact"/>
              <w:contextualSpacing/>
            </w:pPr>
            <w:r>
              <w:t>8 December 2022</w:t>
            </w:r>
          </w:p>
        </w:tc>
      </w:tr>
    </w:tbl>
    <w:p w14:paraId="3FA9F6DA" w14:textId="13B3A2F6" w:rsidR="008C4768" w:rsidRDefault="008C4768" w:rsidP="009E4202"/>
    <w:sectPr w:rsidR="008C4768" w:rsidSect="009A1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1C8"/>
    <w:multiLevelType w:val="multilevel"/>
    <w:tmpl w:val="DACC6C7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CB"/>
    <w:rsid w:val="00013A5E"/>
    <w:rsid w:val="00033CE5"/>
    <w:rsid w:val="00060FD6"/>
    <w:rsid w:val="00074874"/>
    <w:rsid w:val="00076A51"/>
    <w:rsid w:val="00086AD7"/>
    <w:rsid w:val="000954BF"/>
    <w:rsid w:val="000A7ABA"/>
    <w:rsid w:val="000B5184"/>
    <w:rsid w:val="000B6851"/>
    <w:rsid w:val="000E63AC"/>
    <w:rsid w:val="00107494"/>
    <w:rsid w:val="00110EA1"/>
    <w:rsid w:val="00124998"/>
    <w:rsid w:val="001329DB"/>
    <w:rsid w:val="00152452"/>
    <w:rsid w:val="0015323A"/>
    <w:rsid w:val="0018518A"/>
    <w:rsid w:val="00185512"/>
    <w:rsid w:val="00185F6F"/>
    <w:rsid w:val="001B6DEF"/>
    <w:rsid w:val="001C2E28"/>
    <w:rsid w:val="001C427B"/>
    <w:rsid w:val="001E7C73"/>
    <w:rsid w:val="001F5565"/>
    <w:rsid w:val="00212DB4"/>
    <w:rsid w:val="00243D5F"/>
    <w:rsid w:val="00267E33"/>
    <w:rsid w:val="00284E41"/>
    <w:rsid w:val="00293CA4"/>
    <w:rsid w:val="002A02FE"/>
    <w:rsid w:val="002B1A2E"/>
    <w:rsid w:val="002C15F0"/>
    <w:rsid w:val="002D0052"/>
    <w:rsid w:val="002D7476"/>
    <w:rsid w:val="00320736"/>
    <w:rsid w:val="00344821"/>
    <w:rsid w:val="003507EE"/>
    <w:rsid w:val="003D511E"/>
    <w:rsid w:val="003D5500"/>
    <w:rsid w:val="003E297E"/>
    <w:rsid w:val="003F6E0B"/>
    <w:rsid w:val="00415C02"/>
    <w:rsid w:val="0042101F"/>
    <w:rsid w:val="004217E2"/>
    <w:rsid w:val="00427A41"/>
    <w:rsid w:val="004434C2"/>
    <w:rsid w:val="004532BA"/>
    <w:rsid w:val="0047563D"/>
    <w:rsid w:val="00481154"/>
    <w:rsid w:val="004D41CC"/>
    <w:rsid w:val="004D6A26"/>
    <w:rsid w:val="0051152F"/>
    <w:rsid w:val="00535899"/>
    <w:rsid w:val="00547F2C"/>
    <w:rsid w:val="00552EEB"/>
    <w:rsid w:val="0056747F"/>
    <w:rsid w:val="0057302D"/>
    <w:rsid w:val="00586363"/>
    <w:rsid w:val="005921A1"/>
    <w:rsid w:val="005A2357"/>
    <w:rsid w:val="005B6B55"/>
    <w:rsid w:val="005C68A9"/>
    <w:rsid w:val="005E1D62"/>
    <w:rsid w:val="005E621B"/>
    <w:rsid w:val="00606C3E"/>
    <w:rsid w:val="00623159"/>
    <w:rsid w:val="0062682C"/>
    <w:rsid w:val="006369A1"/>
    <w:rsid w:val="00637777"/>
    <w:rsid w:val="00637FA8"/>
    <w:rsid w:val="0067147E"/>
    <w:rsid w:val="00671DCB"/>
    <w:rsid w:val="00692B2A"/>
    <w:rsid w:val="006C1716"/>
    <w:rsid w:val="006D6141"/>
    <w:rsid w:val="006E1B31"/>
    <w:rsid w:val="006E362C"/>
    <w:rsid w:val="006F6AB2"/>
    <w:rsid w:val="006F7C33"/>
    <w:rsid w:val="00707491"/>
    <w:rsid w:val="00707DD8"/>
    <w:rsid w:val="007105C0"/>
    <w:rsid w:val="00724D68"/>
    <w:rsid w:val="0073068A"/>
    <w:rsid w:val="00732DF9"/>
    <w:rsid w:val="00735DCA"/>
    <w:rsid w:val="00736DA3"/>
    <w:rsid w:val="00737BD2"/>
    <w:rsid w:val="007403FF"/>
    <w:rsid w:val="007503D3"/>
    <w:rsid w:val="007637B2"/>
    <w:rsid w:val="0076750A"/>
    <w:rsid w:val="00770E95"/>
    <w:rsid w:val="007C26EF"/>
    <w:rsid w:val="007C7B87"/>
    <w:rsid w:val="00830E27"/>
    <w:rsid w:val="00836343"/>
    <w:rsid w:val="0084719A"/>
    <w:rsid w:val="008608E7"/>
    <w:rsid w:val="00873BFD"/>
    <w:rsid w:val="00887D9C"/>
    <w:rsid w:val="00894D72"/>
    <w:rsid w:val="00897003"/>
    <w:rsid w:val="008B3BBD"/>
    <w:rsid w:val="008C4768"/>
    <w:rsid w:val="008C7477"/>
    <w:rsid w:val="008D0BE4"/>
    <w:rsid w:val="008D4630"/>
    <w:rsid w:val="008D6389"/>
    <w:rsid w:val="008E270D"/>
    <w:rsid w:val="008E6A0C"/>
    <w:rsid w:val="008F1BC6"/>
    <w:rsid w:val="008F1C23"/>
    <w:rsid w:val="008F5534"/>
    <w:rsid w:val="009176D1"/>
    <w:rsid w:val="009410CB"/>
    <w:rsid w:val="00995D1E"/>
    <w:rsid w:val="009A18F3"/>
    <w:rsid w:val="009D0CF5"/>
    <w:rsid w:val="009D47EF"/>
    <w:rsid w:val="009E4202"/>
    <w:rsid w:val="00A01F76"/>
    <w:rsid w:val="00A04879"/>
    <w:rsid w:val="00A15DCE"/>
    <w:rsid w:val="00A2599A"/>
    <w:rsid w:val="00A32F9F"/>
    <w:rsid w:val="00A403CA"/>
    <w:rsid w:val="00A8121F"/>
    <w:rsid w:val="00A91270"/>
    <w:rsid w:val="00A94807"/>
    <w:rsid w:val="00AA2F0C"/>
    <w:rsid w:val="00AA5A84"/>
    <w:rsid w:val="00AB13DF"/>
    <w:rsid w:val="00AE5E0E"/>
    <w:rsid w:val="00B00A5B"/>
    <w:rsid w:val="00B244B5"/>
    <w:rsid w:val="00B30A44"/>
    <w:rsid w:val="00B50605"/>
    <w:rsid w:val="00B51C4A"/>
    <w:rsid w:val="00B51D0D"/>
    <w:rsid w:val="00B54EFF"/>
    <w:rsid w:val="00B5658B"/>
    <w:rsid w:val="00B710A2"/>
    <w:rsid w:val="00B8224F"/>
    <w:rsid w:val="00B83CDB"/>
    <w:rsid w:val="00B858F9"/>
    <w:rsid w:val="00B90998"/>
    <w:rsid w:val="00C1434B"/>
    <w:rsid w:val="00C361CC"/>
    <w:rsid w:val="00C724B4"/>
    <w:rsid w:val="00C74BEC"/>
    <w:rsid w:val="00CA5658"/>
    <w:rsid w:val="00CC1E38"/>
    <w:rsid w:val="00CE0FAA"/>
    <w:rsid w:val="00CF11DF"/>
    <w:rsid w:val="00D6337A"/>
    <w:rsid w:val="00D825A5"/>
    <w:rsid w:val="00D90A98"/>
    <w:rsid w:val="00D9441A"/>
    <w:rsid w:val="00DA4076"/>
    <w:rsid w:val="00DE2AB1"/>
    <w:rsid w:val="00E07522"/>
    <w:rsid w:val="00E2259E"/>
    <w:rsid w:val="00E53794"/>
    <w:rsid w:val="00E5554F"/>
    <w:rsid w:val="00E7312C"/>
    <w:rsid w:val="00E92D62"/>
    <w:rsid w:val="00EA4572"/>
    <w:rsid w:val="00EB119D"/>
    <w:rsid w:val="00EC4331"/>
    <w:rsid w:val="00ED2A3E"/>
    <w:rsid w:val="00ED7854"/>
    <w:rsid w:val="00EE6DD3"/>
    <w:rsid w:val="00EF6DB7"/>
    <w:rsid w:val="00F0092A"/>
    <w:rsid w:val="00F01098"/>
    <w:rsid w:val="00F21256"/>
    <w:rsid w:val="00F25413"/>
    <w:rsid w:val="00F257ED"/>
    <w:rsid w:val="00F25EBD"/>
    <w:rsid w:val="00F67352"/>
    <w:rsid w:val="00F80033"/>
    <w:rsid w:val="00F83EA9"/>
    <w:rsid w:val="00FB6EC4"/>
    <w:rsid w:val="00FD1DFF"/>
    <w:rsid w:val="00FE2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18056F"/>
  <w15:docId w15:val="{01F921B2-5E73-4908-97E6-D2AB739B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8"/>
    <w:pPr>
      <w:spacing w:after="0" w:line="240" w:lineRule="atLeast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768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4768"/>
    <w:rPr>
      <w:rFonts w:ascii="Arial" w:hAnsi="Arial" w:cs="Times New Roman"/>
      <w:b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4768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476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C4768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4768"/>
    <w:rPr>
      <w:rFonts w:ascii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B4"/>
    <w:rPr>
      <w:rFonts w:ascii="Segoe UI" w:hAnsi="Segoe UI" w:cs="Segoe UI"/>
      <w:sz w:val="18"/>
      <w:szCs w:val="18"/>
    </w:rPr>
  </w:style>
  <w:style w:type="paragraph" w:customStyle="1" w:styleId="Bullet">
    <w:name w:val="Bullet"/>
    <w:basedOn w:val="Normal"/>
    <w:link w:val="BulletChar"/>
    <w:rsid w:val="00C1434B"/>
    <w:pPr>
      <w:numPr>
        <w:numId w:val="2"/>
      </w:numPr>
    </w:pPr>
    <w:rPr>
      <w:szCs w:val="24"/>
      <w:lang w:eastAsia="en-AU"/>
    </w:rPr>
  </w:style>
  <w:style w:type="character" w:customStyle="1" w:styleId="BulletChar">
    <w:name w:val="Bullet Char"/>
    <w:basedOn w:val="BodyTextChar"/>
    <w:link w:val="Bullet"/>
    <w:rsid w:val="00C1434B"/>
    <w:rPr>
      <w:rFonts w:ascii="Times New Roman" w:hAnsi="Times New Roman" w:cs="Times New Roman"/>
      <w:sz w:val="24"/>
      <w:szCs w:val="24"/>
      <w:lang w:eastAsia="en-AU"/>
    </w:rPr>
  </w:style>
  <w:style w:type="paragraph" w:customStyle="1" w:styleId="Dash">
    <w:name w:val="Dash"/>
    <w:basedOn w:val="Normal"/>
    <w:link w:val="DashChar"/>
    <w:rsid w:val="00C1434B"/>
    <w:pPr>
      <w:numPr>
        <w:ilvl w:val="1"/>
        <w:numId w:val="2"/>
      </w:numPr>
    </w:pPr>
    <w:rPr>
      <w:color w:val="FF0000"/>
      <w:szCs w:val="24"/>
      <w:lang w:eastAsia="en-AU"/>
    </w:rPr>
  </w:style>
  <w:style w:type="character" w:customStyle="1" w:styleId="DashChar">
    <w:name w:val="Dash Char"/>
    <w:basedOn w:val="BodyTextChar"/>
    <w:link w:val="Dash"/>
    <w:rsid w:val="00C1434B"/>
    <w:rPr>
      <w:rFonts w:ascii="Times New Roman" w:hAnsi="Times New Roman" w:cs="Times New Roman"/>
      <w:color w:val="FF0000"/>
      <w:sz w:val="24"/>
      <w:szCs w:val="24"/>
      <w:lang w:eastAsia="en-AU"/>
    </w:rPr>
  </w:style>
  <w:style w:type="paragraph" w:customStyle="1" w:styleId="DoubleDot">
    <w:name w:val="Double Dot"/>
    <w:basedOn w:val="Normal"/>
    <w:link w:val="DoubleDotChar"/>
    <w:rsid w:val="00C1434B"/>
    <w:pPr>
      <w:numPr>
        <w:ilvl w:val="2"/>
        <w:numId w:val="2"/>
      </w:numPr>
    </w:pPr>
    <w:rPr>
      <w:color w:val="FF0000"/>
      <w:szCs w:val="24"/>
      <w:lang w:eastAsia="en-AU"/>
    </w:rPr>
  </w:style>
  <w:style w:type="character" w:customStyle="1" w:styleId="DoubleDotChar">
    <w:name w:val="Double Dot Char"/>
    <w:basedOn w:val="BodyTextChar"/>
    <w:link w:val="DoubleDot"/>
    <w:rsid w:val="00C1434B"/>
    <w:rPr>
      <w:rFonts w:ascii="Times New Roman" w:hAnsi="Times New Roman" w:cs="Times New Roman"/>
      <w:color w:val="FF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85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18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18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18A"/>
    <w:rPr>
      <w:rFonts w:ascii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44821"/>
    <w:rPr>
      <w:color w:val="808080"/>
    </w:rPr>
  </w:style>
  <w:style w:type="table" w:styleId="TableGrid">
    <w:name w:val="Table Grid"/>
    <w:basedOn w:val="TableNormal"/>
    <w:uiPriority w:val="39"/>
    <w:rsid w:val="009E4202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2A3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2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helpdesk-OIA@pmc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3672\Desktop\new%20folder\agency-certification-letter-second-pass-final-assess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5DBAB31749B4A8FFD21F8EB3DAD1F" ma:contentTypeVersion="51871" ma:contentTypeDescription="Create a new document." ma:contentTypeScope="" ma:versionID="d0a07efe10e52dd22a73bde857aa74bd">
  <xsd:schema xmlns:xsd="http://www.w3.org/2001/XMLSchema" xmlns:xs="http://www.w3.org/2001/XMLSchema" xmlns:p="http://schemas.microsoft.com/office/2006/metadata/properties" xmlns:ns2="0f563589-9cf9-4143-b1eb-fb0534803d38" targetNamespace="http://schemas.microsoft.com/office/2006/metadata/properties" ma:root="true" ma:fieldsID="30c3a3f029140e2abdf3e1fffe34564f" ns2:_="">
    <xsd:import namespace="0f563589-9cf9-4143-b1eb-fb0534803d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563589-9cf9-4143-b1eb-fb0534803d38">2022FG-1574483728-194</_dlc_DocId>
    <_dlc_DocIdUrl xmlns="0f563589-9cf9-4143-b1eb-fb0534803d38">
      <Url>http://tweb/sites/fg/_layouts/15/DocIdRedir.aspx?ID=2022FG-1574483728-194</Url>
      <Description>2022FG-1574483728-194</Description>
    </_dlc_DocIdUrl>
  </documentManagement>
</p:properties>
</file>

<file path=customXml/itemProps1.xml><?xml version="1.0" encoding="utf-8"?>
<ds:datastoreItem xmlns:ds="http://schemas.openxmlformats.org/officeDocument/2006/customXml" ds:itemID="{A08995C5-2B05-4116-BCC0-84641BC84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63589-9cf9-4143-b1eb-fb0534803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BF720-0C4E-4D8A-915D-9C724FABE6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A2126-F43D-4958-851D-481E9DCB28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63ABB7-2BA5-4304-AE38-0F09D06A8BBC}">
  <ds:schemaRefs>
    <ds:schemaRef ds:uri="http://schemas.microsoft.com/office/2006/metadata/properties"/>
    <ds:schemaRef ds:uri="http://schemas.microsoft.com/office/infopath/2007/PartnerControls"/>
    <ds:schemaRef ds:uri="0f563589-9cf9-4143-b1eb-fb0534803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agency-certification-letter-second-pass-final-assessment</Template>
  <TotalTime>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 Certification Letter</vt:lpstr>
    </vt:vector>
  </TitlesOfParts>
  <Company>FINANCE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 Certification Letter</dc:title>
  <dc:creator>Cameron, Suzana</dc:creator>
  <cp:lastModifiedBy>Hills, Terry</cp:lastModifiedBy>
  <cp:revision>5</cp:revision>
  <cp:lastPrinted>2020-07-16T06:36:00Z</cp:lastPrinted>
  <dcterms:created xsi:type="dcterms:W3CDTF">2022-12-08T00:10:00Z</dcterms:created>
  <dcterms:modified xsi:type="dcterms:W3CDTF">2022-12-15T22:26:00Z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0x010100F6C5DBAB31749B4A8FFD21F8EB3DAD1F</vt:lpwstr>
  </property>
  <property fmtid="{D5CDD505-2E9C-101B-9397-08002B2CF9AE}" pid="3" name="_dlc_DocIdItemGuid">
    <vt:lpwstr>72d49573-5ec9-4a9f-a756-0288c9b628f9</vt:lpwstr>
  </property>
</Properties>
</file>