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C2" w:rsidRPr="004B5784" w:rsidRDefault="00664AC2" w:rsidP="00664AC2">
      <w:pPr>
        <w:jc w:val="right"/>
      </w:pPr>
      <w:r>
        <w:t>PDR</w:t>
      </w:r>
      <w:r w:rsidRPr="003554B8">
        <w:t xml:space="preserve">: </w:t>
      </w:r>
      <w:bookmarkStart w:id="0" w:name="Ref"/>
      <w:r>
        <w:t>EC22-9000</w:t>
      </w:r>
      <w:bookmarkEnd w:id="0"/>
      <w:r>
        <w:t>27</w:t>
      </w:r>
    </w:p>
    <w:p w:rsidR="0093705A" w:rsidRDefault="0093705A" w:rsidP="0093705A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1C3833">
        <w:rPr>
          <w:rFonts w:cs="Arial"/>
          <w:sz w:val="24"/>
          <w:szCs w:val="24"/>
        </w:rPr>
        <w:t>Mr</w:t>
      </w:r>
      <w:r w:rsidRPr="001C3833">
        <w:rPr>
          <w:rFonts w:eastAsia="Times New Roman" w:cs="Arial"/>
          <w:sz w:val="24"/>
          <w:szCs w:val="24"/>
        </w:rPr>
        <w:t xml:space="preserve"> Jason Lange</w:t>
      </w: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Executive Director</w:t>
      </w: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Office of Best Practice Regulation</w:t>
      </w: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Department of the Prime Minister and Cabinet</w:t>
      </w: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1 National Circuit</w:t>
      </w:r>
    </w:p>
    <w:p w:rsidR="003D7EFE" w:rsidRPr="00610DBE" w:rsidRDefault="003D7EFE" w:rsidP="003D7EFE">
      <w:pPr>
        <w:spacing w:after="0" w:line="240" w:lineRule="atLeast"/>
        <w:rPr>
          <w:rFonts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BARTON   ACT   2600</w:t>
      </w:r>
      <w:r w:rsidRPr="00610DBE">
        <w:rPr>
          <w:rFonts w:cs="Arial"/>
          <w:sz w:val="24"/>
          <w:szCs w:val="24"/>
        </w:rPr>
        <w:br/>
      </w:r>
    </w:p>
    <w:p w:rsidR="003D7EFE" w:rsidRDefault="003D7EFE" w:rsidP="003D7EFE">
      <w:pPr>
        <w:rPr>
          <w:rFonts w:cs="Arial"/>
          <w:sz w:val="24"/>
          <w:szCs w:val="24"/>
        </w:rPr>
      </w:pPr>
      <w:r w:rsidRPr="00610DBE">
        <w:rPr>
          <w:rFonts w:cs="Arial"/>
          <w:sz w:val="24"/>
          <w:szCs w:val="24"/>
        </w:rPr>
        <w:t xml:space="preserve">Email: </w:t>
      </w:r>
      <w:hyperlink r:id="rId7" w:history="1">
        <w:r w:rsidR="00AD1B98" w:rsidRPr="00276B2F">
          <w:rPr>
            <w:rStyle w:val="Hyperlink"/>
            <w:rFonts w:cs="Arial"/>
            <w:sz w:val="24"/>
            <w:szCs w:val="24"/>
          </w:rPr>
          <w:t>helpdesk-OBPR@pmc.gov.au</w:t>
        </w:r>
      </w:hyperlink>
    </w:p>
    <w:p w:rsidR="00AD1B98" w:rsidRPr="00610DBE" w:rsidRDefault="00AD1B98" w:rsidP="003D7EFE">
      <w:pPr>
        <w:rPr>
          <w:rFonts w:cs="Arial"/>
          <w:sz w:val="24"/>
          <w:szCs w:val="24"/>
        </w:rPr>
      </w:pPr>
    </w:p>
    <w:p w:rsidR="003D7EFE" w:rsidRPr="00610DBE" w:rsidRDefault="003D7EFE" w:rsidP="003D7EFE">
      <w:pPr>
        <w:rPr>
          <w:rFonts w:cs="Arial"/>
          <w:sz w:val="24"/>
          <w:szCs w:val="24"/>
        </w:rPr>
      </w:pPr>
      <w:r w:rsidRPr="000D1AA0">
        <w:rPr>
          <w:rFonts w:cs="Arial"/>
          <w:sz w:val="24"/>
          <w:szCs w:val="24"/>
        </w:rPr>
        <w:t>Dear Mr Lange</w:t>
      </w:r>
    </w:p>
    <w:p w:rsidR="003D7EFE" w:rsidRPr="0093705A" w:rsidRDefault="003D7EFE" w:rsidP="003D7EFE">
      <w:pPr>
        <w:pStyle w:val="Heading1"/>
        <w:spacing w:before="240" w:after="0" w:line="300" w:lineRule="exact"/>
        <w:rPr>
          <w:i/>
          <w:caps w:val="0"/>
          <w:sz w:val="24"/>
          <w:szCs w:val="24"/>
        </w:rPr>
      </w:pPr>
      <w:r w:rsidRPr="0093705A">
        <w:rPr>
          <w:caps w:val="0"/>
          <w:sz w:val="24"/>
          <w:szCs w:val="24"/>
        </w:rPr>
        <w:t xml:space="preserve">Certification of independent review: </w:t>
      </w:r>
      <w:r w:rsidR="0093705A">
        <w:rPr>
          <w:caps w:val="0"/>
          <w:sz w:val="24"/>
          <w:szCs w:val="24"/>
        </w:rPr>
        <w:t>Final</w:t>
      </w:r>
      <w:r w:rsidR="001F19CD" w:rsidRPr="0093705A">
        <w:rPr>
          <w:caps w:val="0"/>
          <w:sz w:val="24"/>
          <w:szCs w:val="24"/>
        </w:rPr>
        <w:t xml:space="preserve"> </w:t>
      </w:r>
      <w:r w:rsidRPr="0093705A">
        <w:rPr>
          <w:caps w:val="0"/>
          <w:sz w:val="24"/>
          <w:szCs w:val="24"/>
        </w:rPr>
        <w:t xml:space="preserve">Report of the Independent Review of the </w:t>
      </w:r>
      <w:r w:rsidRPr="0093705A">
        <w:rPr>
          <w:i/>
          <w:caps w:val="0"/>
          <w:sz w:val="24"/>
          <w:szCs w:val="24"/>
        </w:rPr>
        <w:t>Environment Protection and Biodiversity Conservation Act 1999</w:t>
      </w:r>
      <w:r w:rsidR="00F819BE" w:rsidRPr="0093705A">
        <w:rPr>
          <w:i/>
          <w:caps w:val="0"/>
          <w:sz w:val="24"/>
          <w:szCs w:val="24"/>
        </w:rPr>
        <w:t xml:space="preserve"> </w:t>
      </w:r>
      <w:r w:rsidR="00F819BE" w:rsidRPr="0093705A">
        <w:rPr>
          <w:caps w:val="0"/>
          <w:sz w:val="24"/>
          <w:szCs w:val="24"/>
        </w:rPr>
        <w:t>(EPBC Act)</w:t>
      </w:r>
      <w:r w:rsidR="0093705A" w:rsidRPr="0093705A">
        <w:rPr>
          <w:i/>
          <w:caps w:val="0"/>
          <w:sz w:val="24"/>
          <w:szCs w:val="24"/>
        </w:rPr>
        <w:t xml:space="preserve"> </w:t>
      </w:r>
      <w:r w:rsidR="0093705A">
        <w:rPr>
          <w:caps w:val="0"/>
          <w:sz w:val="24"/>
          <w:szCs w:val="24"/>
        </w:rPr>
        <w:t xml:space="preserve">- </w:t>
      </w:r>
      <w:r w:rsidR="0093705A" w:rsidRPr="0093705A">
        <w:rPr>
          <w:caps w:val="0"/>
          <w:sz w:val="24"/>
          <w:szCs w:val="24"/>
        </w:rPr>
        <w:t>OBPR22-03675</w:t>
      </w:r>
    </w:p>
    <w:p w:rsidR="003D7EFE" w:rsidRPr="00610DBE" w:rsidRDefault="003D7EFE" w:rsidP="003D7EFE">
      <w:pPr>
        <w:pStyle w:val="BodyText"/>
        <w:jc w:val="left"/>
        <w:rPr>
          <w:rFonts w:ascii="Arial" w:hAnsi="Arial" w:cs="Arial"/>
        </w:rPr>
      </w:pPr>
      <w:r w:rsidRPr="00610DBE">
        <w:rPr>
          <w:rFonts w:ascii="Arial" w:hAnsi="Arial" w:cs="Arial"/>
        </w:rPr>
        <w:t xml:space="preserve">I am writing to certify that the </w:t>
      </w:r>
      <w:r w:rsidR="00AA684A">
        <w:rPr>
          <w:rFonts w:ascii="Arial" w:hAnsi="Arial" w:cs="Arial"/>
        </w:rPr>
        <w:t xml:space="preserve">attached </w:t>
      </w:r>
      <w:r w:rsidRPr="00610DBE">
        <w:rPr>
          <w:rFonts w:ascii="Arial" w:hAnsi="Arial" w:cs="Arial"/>
        </w:rPr>
        <w:t xml:space="preserve">Independent Review of the </w:t>
      </w:r>
      <w:r w:rsidRPr="00610DBE">
        <w:rPr>
          <w:rFonts w:ascii="Arial" w:hAnsi="Arial" w:cs="Arial"/>
          <w:i/>
          <w:iCs/>
        </w:rPr>
        <w:t>Environment Protection and Biodiversity Conservation Act 1999</w:t>
      </w:r>
      <w:r w:rsidR="00AA684A">
        <w:rPr>
          <w:rFonts w:ascii="Arial" w:hAnsi="Arial" w:cs="Arial"/>
        </w:rPr>
        <w:t xml:space="preserve">, which was delivered by Professor Graeme Samuel AC </w:t>
      </w:r>
      <w:r w:rsidRPr="00610DBE">
        <w:rPr>
          <w:rFonts w:ascii="Arial" w:hAnsi="Arial" w:cs="Arial"/>
        </w:rPr>
        <w:t>(</w:t>
      </w:r>
      <w:r w:rsidR="00A321CA">
        <w:rPr>
          <w:rFonts w:ascii="Arial" w:hAnsi="Arial" w:cs="Arial"/>
        </w:rPr>
        <w:t xml:space="preserve">the </w:t>
      </w:r>
      <w:r w:rsidR="00AA684A">
        <w:rPr>
          <w:rFonts w:ascii="Arial" w:hAnsi="Arial" w:cs="Arial"/>
        </w:rPr>
        <w:t>Samuel Review</w:t>
      </w:r>
      <w:r w:rsidRPr="00610DBE">
        <w:rPr>
          <w:rFonts w:ascii="Arial" w:hAnsi="Arial" w:cs="Arial"/>
        </w:rPr>
        <w:t>) has undertaken a process and analysis equivalent to a Regulation Impact Statement (RIS).</w:t>
      </w:r>
    </w:p>
    <w:p w:rsidR="00AA684A" w:rsidRDefault="003D7EFE" w:rsidP="00BD1EB2">
      <w:pPr>
        <w:pStyle w:val="BodyText"/>
        <w:spacing w:after="240"/>
        <w:jc w:val="left"/>
        <w:rPr>
          <w:rFonts w:ascii="Arial" w:hAnsi="Arial" w:cs="Arial"/>
        </w:rPr>
      </w:pPr>
      <w:r w:rsidRPr="00610DBE">
        <w:rPr>
          <w:rFonts w:ascii="Arial" w:hAnsi="Arial" w:cs="Arial"/>
        </w:rPr>
        <w:t xml:space="preserve">I certify that this document adequately addresses </w:t>
      </w:r>
      <w:r w:rsidR="008E0BF9" w:rsidRPr="0068216D">
        <w:rPr>
          <w:rFonts w:ascii="Arial" w:hAnsi="Arial" w:cs="Arial"/>
        </w:rPr>
        <w:t>all</w:t>
      </w:r>
      <w:r w:rsidRPr="0068216D">
        <w:rPr>
          <w:rFonts w:ascii="Arial" w:hAnsi="Arial" w:cs="Arial"/>
        </w:rPr>
        <w:t xml:space="preserve"> seven RIS questions</w:t>
      </w:r>
      <w:r w:rsidRPr="00610DBE">
        <w:rPr>
          <w:rFonts w:ascii="Arial" w:hAnsi="Arial" w:cs="Arial"/>
        </w:rPr>
        <w:t xml:space="preserve">, and is submitted to the Office of Best Practice Regulation </w:t>
      </w:r>
      <w:r w:rsidR="00841036">
        <w:rPr>
          <w:rFonts w:ascii="Arial" w:hAnsi="Arial" w:cs="Arial"/>
        </w:rPr>
        <w:t xml:space="preserve">to support the </w:t>
      </w:r>
      <w:proofErr w:type="gramStart"/>
      <w:r w:rsidR="00AA684A">
        <w:rPr>
          <w:rFonts w:ascii="Arial" w:hAnsi="Arial" w:cs="Arial"/>
        </w:rPr>
        <w:t>governments</w:t>
      </w:r>
      <w:proofErr w:type="gramEnd"/>
      <w:r w:rsidR="00AA684A">
        <w:rPr>
          <w:rFonts w:ascii="Arial" w:hAnsi="Arial" w:cs="Arial"/>
        </w:rPr>
        <w:t xml:space="preserve"> full response to the Samuel Review </w:t>
      </w:r>
      <w:r w:rsidR="00214D4A">
        <w:rPr>
          <w:rFonts w:ascii="Arial" w:hAnsi="Arial" w:cs="Arial"/>
        </w:rPr>
        <w:t>(the Response).</w:t>
      </w:r>
      <w:r w:rsidR="00BD1EB2">
        <w:rPr>
          <w:rFonts w:ascii="Arial" w:hAnsi="Arial" w:cs="Arial"/>
        </w:rPr>
        <w:t xml:space="preserve"> </w:t>
      </w:r>
    </w:p>
    <w:p w:rsidR="00C73352" w:rsidRPr="00C73352" w:rsidRDefault="00C73352" w:rsidP="00BD1EB2">
      <w:pPr>
        <w:pStyle w:val="BodyText"/>
        <w:spacing w:after="240"/>
        <w:jc w:val="left"/>
        <w:rPr>
          <w:rFonts w:ascii="Arial" w:hAnsi="Arial" w:cs="Arial"/>
          <w:color w:val="000000" w:themeColor="text1"/>
        </w:rPr>
      </w:pPr>
      <w:r w:rsidRPr="00610DBE">
        <w:rPr>
          <w:rFonts w:ascii="Arial" w:hAnsi="Arial" w:cs="Arial"/>
        </w:rPr>
        <w:t xml:space="preserve">I am satisfied that the scope of the problem and the recommendations identified in the </w:t>
      </w:r>
      <w:r>
        <w:rPr>
          <w:rFonts w:ascii="Arial" w:hAnsi="Arial" w:cs="Arial"/>
        </w:rPr>
        <w:t>Samuel Review</w:t>
      </w:r>
      <w:r w:rsidRPr="00610DBE">
        <w:rPr>
          <w:rFonts w:ascii="Arial" w:hAnsi="Arial" w:cs="Arial"/>
        </w:rPr>
        <w:t xml:space="preserve"> are substantially the same as </w:t>
      </w:r>
      <w:r>
        <w:rPr>
          <w:rFonts w:ascii="Arial" w:hAnsi="Arial" w:cs="Arial"/>
        </w:rPr>
        <w:t xml:space="preserve">the reforms outlined in the Response. While </w:t>
      </w:r>
      <w:r w:rsidR="00F819BE" w:rsidRPr="000B21D3">
        <w:rPr>
          <w:rFonts w:ascii="Arial" w:hAnsi="Arial" w:cs="Arial"/>
        </w:rPr>
        <w:t xml:space="preserve">the government’s election commitment </w:t>
      </w:r>
      <w:r w:rsidR="00F819BE">
        <w:rPr>
          <w:rFonts w:ascii="Arial" w:hAnsi="Arial" w:cs="Arial"/>
        </w:rPr>
        <w:t xml:space="preserve">to establish a national </w:t>
      </w:r>
      <w:proofErr w:type="spellStart"/>
      <w:r w:rsidR="00F819BE">
        <w:rPr>
          <w:rFonts w:ascii="Arial" w:hAnsi="Arial" w:cs="Arial"/>
        </w:rPr>
        <w:t>Enviornment</w:t>
      </w:r>
      <w:proofErr w:type="spellEnd"/>
      <w:r w:rsidR="00F819BE">
        <w:rPr>
          <w:rFonts w:ascii="Arial" w:hAnsi="Arial" w:cs="Arial"/>
        </w:rPr>
        <w:t xml:space="preserve"> Protection Agency (EPA) </w:t>
      </w:r>
      <w:r>
        <w:rPr>
          <w:rFonts w:ascii="Arial" w:hAnsi="Arial" w:cs="Arial"/>
        </w:rPr>
        <w:t xml:space="preserve">was not specifically recommended by the Samuel Review, </w:t>
      </w:r>
      <w:r w:rsidR="00F819BE">
        <w:rPr>
          <w:rFonts w:ascii="Arial" w:hAnsi="Arial" w:cs="Arial"/>
        </w:rPr>
        <w:t>it will deliver</w:t>
      </w:r>
      <w:r>
        <w:rPr>
          <w:rFonts w:ascii="Arial" w:hAnsi="Arial" w:cs="Arial"/>
        </w:rPr>
        <w:t xml:space="preserve"> on central recommendations of </w:t>
      </w:r>
      <w:r w:rsidR="00A321CA">
        <w:rPr>
          <w:rFonts w:ascii="Arial" w:hAnsi="Arial" w:cs="Arial"/>
        </w:rPr>
        <w:t xml:space="preserve">this review </w:t>
      </w:r>
      <w:r>
        <w:rPr>
          <w:rFonts w:ascii="Arial" w:hAnsi="Arial" w:cs="Arial"/>
        </w:rPr>
        <w:t>including independent decision-making, strong assurance and strengthened compliance.</w:t>
      </w:r>
    </w:p>
    <w:p w:rsidR="00AA684A" w:rsidRDefault="003D7EFE" w:rsidP="00C536FD">
      <w:pPr>
        <w:pStyle w:val="BodyText"/>
        <w:spacing w:before="0"/>
        <w:jc w:val="left"/>
        <w:rPr>
          <w:rFonts w:ascii="Arial" w:hAnsi="Arial" w:cs="Arial"/>
          <w:color w:val="000000" w:themeColor="text1"/>
        </w:rPr>
      </w:pPr>
      <w:r w:rsidRPr="00610DBE">
        <w:rPr>
          <w:rFonts w:ascii="Arial" w:hAnsi="Arial" w:cs="Arial"/>
          <w:color w:val="000000" w:themeColor="text1"/>
        </w:rPr>
        <w:t xml:space="preserve">I further certify that policy options examined in the </w:t>
      </w:r>
      <w:r w:rsidR="0069675B">
        <w:rPr>
          <w:rFonts w:ascii="Arial" w:hAnsi="Arial" w:cs="Arial"/>
          <w:color w:val="000000" w:themeColor="text1"/>
        </w:rPr>
        <w:t>Final</w:t>
      </w:r>
      <w:r w:rsidR="0069675B" w:rsidRPr="00610DBE">
        <w:rPr>
          <w:rFonts w:ascii="Arial" w:hAnsi="Arial" w:cs="Arial"/>
          <w:color w:val="000000" w:themeColor="text1"/>
        </w:rPr>
        <w:t xml:space="preserve"> </w:t>
      </w:r>
      <w:r w:rsidRPr="00610DBE">
        <w:rPr>
          <w:rFonts w:ascii="Arial" w:hAnsi="Arial" w:cs="Arial"/>
          <w:color w:val="000000" w:themeColor="text1"/>
        </w:rPr>
        <w:t>Report are adequate based on the extensive consultation undertaken by the Independent Reviewer</w:t>
      </w:r>
      <w:r w:rsidR="00AA684A">
        <w:rPr>
          <w:rFonts w:ascii="Arial" w:hAnsi="Arial" w:cs="Arial"/>
          <w:color w:val="000000" w:themeColor="text1"/>
        </w:rPr>
        <w:t>. This consultation included</w:t>
      </w:r>
      <w:r w:rsidRPr="00610DBE">
        <w:rPr>
          <w:rFonts w:ascii="Arial" w:hAnsi="Arial" w:cs="Arial"/>
          <w:color w:val="000000" w:themeColor="text1"/>
        </w:rPr>
        <w:t xml:space="preserve"> nearly 100 meetings with key stakeholders, and consideration of almost 30,000 written submissions. A broad range of options were considered, analysed</w:t>
      </w:r>
      <w:r w:rsidR="00FB48E7">
        <w:rPr>
          <w:rFonts w:ascii="Arial" w:hAnsi="Arial" w:cs="Arial"/>
          <w:color w:val="000000" w:themeColor="text1"/>
        </w:rPr>
        <w:t>,</w:t>
      </w:r>
      <w:r w:rsidR="00AA684A">
        <w:rPr>
          <w:rFonts w:ascii="Arial" w:hAnsi="Arial" w:cs="Arial"/>
          <w:color w:val="000000" w:themeColor="text1"/>
        </w:rPr>
        <w:t xml:space="preserve"> discussed, </w:t>
      </w:r>
      <w:r w:rsidR="00A321CA">
        <w:rPr>
          <w:rFonts w:ascii="Arial" w:hAnsi="Arial" w:cs="Arial"/>
          <w:color w:val="000000" w:themeColor="text1"/>
        </w:rPr>
        <w:t xml:space="preserve">refined, including </w:t>
      </w:r>
      <w:r w:rsidR="00AA684A">
        <w:rPr>
          <w:rFonts w:ascii="Arial" w:hAnsi="Arial" w:cs="Arial"/>
          <w:color w:val="000000" w:themeColor="text1"/>
        </w:rPr>
        <w:t>through consultation on an Interim Report</w:t>
      </w:r>
      <w:r w:rsidR="00A321CA">
        <w:rPr>
          <w:rFonts w:ascii="Arial" w:hAnsi="Arial" w:cs="Arial"/>
          <w:color w:val="000000" w:themeColor="text1"/>
        </w:rPr>
        <w:t>,</w:t>
      </w:r>
      <w:r w:rsidR="00AA684A">
        <w:rPr>
          <w:rFonts w:ascii="Arial" w:hAnsi="Arial" w:cs="Arial"/>
          <w:color w:val="000000" w:themeColor="text1"/>
        </w:rPr>
        <w:t xml:space="preserve"> before the Final Report was settled.</w:t>
      </w:r>
    </w:p>
    <w:p w:rsidR="00960C4E" w:rsidRDefault="00960C4E" w:rsidP="00960C4E">
      <w:pPr>
        <w:pStyle w:val="BodyText"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As agreed with OBPR, and in accordan</w:t>
      </w:r>
      <w:bookmarkStart w:id="1" w:name="_GoBack"/>
      <w:bookmarkEnd w:id="1"/>
      <w:r>
        <w:rPr>
          <w:rFonts w:ascii="Arial" w:hAnsi="Arial" w:cs="Arial"/>
        </w:rPr>
        <w:t xml:space="preserve">ce with the </w:t>
      </w:r>
      <w:r w:rsidRPr="00A321CA">
        <w:rPr>
          <w:rFonts w:ascii="Arial" w:hAnsi="Arial" w:cs="Arial"/>
          <w:szCs w:val="24"/>
        </w:rPr>
        <w:t xml:space="preserve">Australian Government’s </w:t>
      </w:r>
      <w:r w:rsidRPr="00A321CA">
        <w:rPr>
          <w:rFonts w:ascii="Arial" w:hAnsi="Arial" w:cs="Arial"/>
          <w:i/>
          <w:szCs w:val="24"/>
        </w:rPr>
        <w:t xml:space="preserve">Regulatory Burden Measurement </w:t>
      </w:r>
      <w:r w:rsidR="002861A2">
        <w:rPr>
          <w:rFonts w:ascii="Arial" w:hAnsi="Arial" w:cs="Arial"/>
          <w:i/>
          <w:szCs w:val="24"/>
        </w:rPr>
        <w:t>F</w:t>
      </w:r>
      <w:r w:rsidRPr="002861A2">
        <w:rPr>
          <w:rFonts w:ascii="Arial" w:hAnsi="Arial" w:cs="Arial"/>
          <w:i/>
          <w:szCs w:val="24"/>
        </w:rPr>
        <w:t>ramework</w:t>
      </w:r>
      <w:r w:rsidR="00F819BE">
        <w:rPr>
          <w:rFonts w:ascii="Arial" w:hAnsi="Arial" w:cs="Arial"/>
          <w:szCs w:val="24"/>
        </w:rPr>
        <w:t>,</w:t>
      </w:r>
      <w:r w:rsidRPr="00A321CA">
        <w:rPr>
          <w:rFonts w:ascii="Arial" w:hAnsi="Arial" w:cs="Arial"/>
        </w:rPr>
        <w:t xml:space="preserve"> ther</w:t>
      </w:r>
      <w:r>
        <w:rPr>
          <w:rFonts w:ascii="Arial" w:hAnsi="Arial" w:cs="Arial"/>
        </w:rPr>
        <w:t>e is no change to the regulatory burden associated with the government’s agreement to the Response. This is confirmed in the table below.</w:t>
      </w:r>
    </w:p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960C4E" w:rsidRPr="003B6867" w:rsidTr="00735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:rsidR="00960C4E" w:rsidRPr="00960C4E" w:rsidRDefault="00960C4E" w:rsidP="007354A3">
            <w:pPr>
              <w:spacing w:before="120" w:after="120"/>
              <w:rPr>
                <w:rFonts w:ascii="Arial" w:hAnsi="Arial" w:cs="Arial"/>
                <w:sz w:val="20"/>
                <w:u w:val="single"/>
              </w:rPr>
            </w:pPr>
            <w:r w:rsidRPr="00960C4E">
              <w:rPr>
                <w:rFonts w:ascii="Arial" w:hAnsi="Arial" w:cs="Arial"/>
                <w:sz w:val="22"/>
                <w:u w:val="single"/>
              </w:rPr>
              <w:lastRenderedPageBreak/>
              <w:t>Regulatory burden estimate table</w:t>
            </w:r>
          </w:p>
          <w:p w:rsidR="00960C4E" w:rsidRPr="00960C4E" w:rsidRDefault="00960C4E" w:rsidP="007354A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Average annual regulatory cost savings (from business as usual)</w:t>
            </w:r>
          </w:p>
        </w:tc>
      </w:tr>
      <w:tr w:rsidR="00960C4E" w:rsidRPr="003B6867" w:rsidTr="007354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960C4E" w:rsidRPr="00960C4E" w:rsidRDefault="00960C4E" w:rsidP="007354A3">
            <w:pPr>
              <w:pStyle w:val="TableText0"/>
              <w:rPr>
                <w:rFonts w:ascii="Arial" w:hAnsi="Arial"/>
                <w:b w:val="0"/>
              </w:rPr>
            </w:pPr>
            <w:r w:rsidRPr="00960C4E">
              <w:rPr>
                <w:rFonts w:ascii="Arial" w:hAnsi="Arial"/>
                <w:b w:val="0"/>
              </w:rPr>
              <w:t>Change in costs ($ million)</w:t>
            </w:r>
          </w:p>
        </w:tc>
        <w:tc>
          <w:tcPr>
            <w:tcW w:w="1871" w:type="dxa"/>
            <w:noWrap/>
          </w:tcPr>
          <w:p w:rsidR="00960C4E" w:rsidRPr="00960C4E" w:rsidRDefault="00960C4E" w:rsidP="007354A3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0C4E">
              <w:rPr>
                <w:rFonts w:ascii="Arial" w:hAnsi="Arial"/>
              </w:rPr>
              <w:t>Business</w:t>
            </w:r>
          </w:p>
        </w:tc>
        <w:tc>
          <w:tcPr>
            <w:tcW w:w="1871" w:type="dxa"/>
            <w:noWrap/>
          </w:tcPr>
          <w:p w:rsidR="00960C4E" w:rsidRPr="00960C4E" w:rsidRDefault="00960C4E" w:rsidP="007354A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:rsidR="00960C4E" w:rsidRPr="00960C4E" w:rsidRDefault="00960C4E" w:rsidP="007354A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:rsidR="00960C4E" w:rsidRPr="00960C4E" w:rsidRDefault="00960C4E" w:rsidP="007354A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960C4E" w:rsidRPr="00610DBE" w:rsidTr="00735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960C4E" w:rsidRPr="00960C4E" w:rsidRDefault="00960C4E" w:rsidP="007354A3">
            <w:pPr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 w:rsidRPr="00960C4E">
              <w:rPr>
                <w:rFonts w:ascii="Arial" w:hAnsi="Arial" w:cs="Arial"/>
                <w:b w:val="0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:rsidR="00960C4E" w:rsidRPr="00960C4E" w:rsidRDefault="00960C4E" w:rsidP="007354A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$ 0</w:t>
            </w:r>
          </w:p>
        </w:tc>
        <w:tc>
          <w:tcPr>
            <w:tcW w:w="1871" w:type="dxa"/>
            <w:noWrap/>
          </w:tcPr>
          <w:p w:rsidR="00960C4E" w:rsidRPr="00960C4E" w:rsidRDefault="00960C4E" w:rsidP="007354A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$ 0</w:t>
            </w:r>
          </w:p>
        </w:tc>
        <w:tc>
          <w:tcPr>
            <w:tcW w:w="1871" w:type="dxa"/>
            <w:noWrap/>
          </w:tcPr>
          <w:p w:rsidR="00960C4E" w:rsidRPr="00960C4E" w:rsidRDefault="00960C4E" w:rsidP="007354A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$ 0</w:t>
            </w:r>
          </w:p>
        </w:tc>
        <w:tc>
          <w:tcPr>
            <w:tcW w:w="1872" w:type="dxa"/>
            <w:noWrap/>
          </w:tcPr>
          <w:p w:rsidR="00960C4E" w:rsidRPr="00960C4E" w:rsidRDefault="00960C4E" w:rsidP="007354A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60C4E">
              <w:rPr>
                <w:rFonts w:ascii="Arial" w:hAnsi="Arial" w:cs="Arial"/>
                <w:sz w:val="20"/>
              </w:rPr>
              <w:t>$ 0</w:t>
            </w:r>
          </w:p>
        </w:tc>
      </w:tr>
    </w:tbl>
    <w:p w:rsidR="0068216D" w:rsidRDefault="0068216D" w:rsidP="0068216D">
      <w:pPr>
        <w:pStyle w:val="BodyText"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Regulatory </w:t>
      </w:r>
      <w:r w:rsidR="00EC5E5B">
        <w:rPr>
          <w:rFonts w:ascii="Arial" w:hAnsi="Arial" w:cs="Arial"/>
        </w:rPr>
        <w:t>impacts are</w:t>
      </w:r>
      <w:r>
        <w:rPr>
          <w:rFonts w:ascii="Arial" w:hAnsi="Arial" w:cs="Arial"/>
        </w:rPr>
        <w:t xml:space="preserve"> expected when the reforms set out in the Response are implemented. Further detailed design is required before regulatory changes can be measured and the full range of impacts is understood.</w:t>
      </w:r>
      <w:r w:rsidRPr="00A321CA">
        <w:rPr>
          <w:rFonts w:ascii="Arial" w:hAnsi="Arial" w:cs="Arial"/>
        </w:rPr>
        <w:t xml:space="preserve"> </w:t>
      </w:r>
      <w:r w:rsidR="00602447">
        <w:rPr>
          <w:rFonts w:ascii="Arial" w:hAnsi="Arial" w:cs="Arial"/>
        </w:rPr>
        <w:t>This includes</w:t>
      </w:r>
      <w:r>
        <w:rPr>
          <w:rFonts w:ascii="Arial" w:hAnsi="Arial" w:cs="Arial"/>
        </w:rPr>
        <w:t xml:space="preserve"> design of </w:t>
      </w:r>
      <w:r w:rsidRPr="000B21D3">
        <w:rPr>
          <w:rFonts w:ascii="Arial" w:hAnsi="Arial" w:cs="Arial"/>
        </w:rPr>
        <w:t>national environmental standards</w:t>
      </w:r>
      <w:r>
        <w:rPr>
          <w:rFonts w:ascii="Arial" w:hAnsi="Arial" w:cs="Arial"/>
        </w:rPr>
        <w:t>, the final scope and design of the EPA, and settling arrangements to deliver improved environmental data and information.</w:t>
      </w:r>
    </w:p>
    <w:p w:rsidR="00960C4E" w:rsidRDefault="00A321CA" w:rsidP="00960C4E">
      <w:pPr>
        <w:pStyle w:val="BodyText"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The Department will provide further analysis</w:t>
      </w:r>
      <w:r w:rsidR="0093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OBPR </w:t>
      </w:r>
      <w:r w:rsidR="0093705A">
        <w:rPr>
          <w:rFonts w:ascii="Arial" w:hAnsi="Arial" w:cs="Arial"/>
        </w:rPr>
        <w:t xml:space="preserve">regarding these changes </w:t>
      </w:r>
      <w:r>
        <w:rPr>
          <w:rFonts w:ascii="Arial" w:hAnsi="Arial" w:cs="Arial"/>
        </w:rPr>
        <w:t>prior to the introduction of the legislation that will give effec</w:t>
      </w:r>
      <w:r w:rsidR="00F37853">
        <w:rPr>
          <w:rFonts w:ascii="Arial" w:hAnsi="Arial" w:cs="Arial"/>
        </w:rPr>
        <w:t>t to the reform package</w:t>
      </w:r>
      <w:r>
        <w:rPr>
          <w:rFonts w:ascii="Arial" w:hAnsi="Arial" w:cs="Arial"/>
        </w:rPr>
        <w:t>.</w:t>
      </w:r>
      <w:r w:rsidR="00EC5E5B">
        <w:rPr>
          <w:rFonts w:ascii="Arial" w:hAnsi="Arial" w:cs="Arial"/>
        </w:rPr>
        <w:t xml:space="preserve"> I understand that this additional analysis will be published by OBPR.</w:t>
      </w:r>
    </w:p>
    <w:p w:rsidR="003D7EFE" w:rsidRPr="00610DBE" w:rsidRDefault="00602447" w:rsidP="00A321CA">
      <w:pPr>
        <w:pStyle w:val="BodyText"/>
        <w:spacing w:before="1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summary, </w:t>
      </w:r>
      <w:r w:rsidR="003D7EFE" w:rsidRPr="00610DBE">
        <w:rPr>
          <w:rFonts w:ascii="Arial" w:hAnsi="Arial" w:cs="Arial"/>
          <w:szCs w:val="24"/>
        </w:rPr>
        <w:t xml:space="preserve">I am satisfied that </w:t>
      </w:r>
      <w:r w:rsidR="0093705A">
        <w:rPr>
          <w:rFonts w:ascii="Arial" w:hAnsi="Arial" w:cs="Arial"/>
          <w:szCs w:val="24"/>
        </w:rPr>
        <w:t xml:space="preserve">attached report </w:t>
      </w:r>
      <w:r w:rsidR="003D7EFE" w:rsidRPr="00610DBE">
        <w:rPr>
          <w:rFonts w:ascii="Arial" w:hAnsi="Arial" w:cs="Arial"/>
          <w:szCs w:val="24"/>
        </w:rPr>
        <w:t xml:space="preserve">is consistent with the </w:t>
      </w:r>
      <w:r w:rsidR="003D7EFE" w:rsidRPr="00610DBE">
        <w:rPr>
          <w:rFonts w:ascii="Arial" w:hAnsi="Arial" w:cs="Arial"/>
          <w:i/>
          <w:szCs w:val="24"/>
        </w:rPr>
        <w:t>Australian Government Guide to Regulatory Impact Analysis</w:t>
      </w:r>
      <w:r>
        <w:rPr>
          <w:rFonts w:ascii="Arial" w:hAnsi="Arial" w:cs="Arial"/>
          <w:szCs w:val="24"/>
        </w:rPr>
        <w:t xml:space="preserve"> to support the Response</w:t>
      </w:r>
      <w:r w:rsidR="0093705A">
        <w:rPr>
          <w:rFonts w:ascii="Arial" w:hAnsi="Arial" w:cs="Arial"/>
          <w:szCs w:val="24"/>
        </w:rPr>
        <w:t>.</w:t>
      </w:r>
      <w:r w:rsidR="00A321CA">
        <w:rPr>
          <w:rFonts w:ascii="Arial" w:hAnsi="Arial" w:cs="Arial"/>
          <w:szCs w:val="24"/>
        </w:rPr>
        <w:br/>
      </w:r>
    </w:p>
    <w:p w:rsidR="003D7EFE" w:rsidRPr="00610DBE" w:rsidRDefault="00AE6605" w:rsidP="003D7EF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after="240" w:line="240" w:lineRule="atLeast"/>
        <w:jc w:val="left"/>
        <w:rPr>
          <w:rFonts w:eastAsia="Times New Roman" w:cs="Arial"/>
          <w:b w:val="0"/>
          <w:sz w:val="24"/>
          <w:szCs w:val="24"/>
        </w:rPr>
      </w:pPr>
      <w:r>
        <w:rPr>
          <w:rFonts w:eastAsia="Times New Roman" w:cs="Arial"/>
          <w:b w:val="0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E91BAE1" wp14:editId="0A648B23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1220004" cy="6412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an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35" b="100000" l="0" r="89767">
                                  <a14:foregroundMark x1="33488" y1="56637" x2="29302" y2="63717"/>
                                  <a14:backgroundMark x1="54884" y1="35398" x2="57674" y2="35398"/>
                                  <a14:backgroundMark x1="66977" y1="30973" x2="66977" y2="30973"/>
                                  <a14:backgroundMark x1="66977" y1="32743" x2="49302" y2="56637"/>
                                  <a14:backgroundMark x1="57674" y1="56637" x2="65581" y2="28319"/>
                                  <a14:backgroundMark x1="25581" y1="60177" x2="30698" y2="32743"/>
                                  <a14:backgroundMark x1="14884" y1="52212" x2="17209" y2="628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04" cy="641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EFE" w:rsidRPr="00610DBE">
        <w:rPr>
          <w:rFonts w:eastAsia="Times New Roman" w:cs="Arial"/>
          <w:b w:val="0"/>
          <w:sz w:val="24"/>
          <w:szCs w:val="24"/>
        </w:rPr>
        <w:t>Yours sincerely</w:t>
      </w:r>
    </w:p>
    <w:p w:rsidR="00E317C7" w:rsidRDefault="00E317C7" w:rsidP="003D7EF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after="240" w:line="240" w:lineRule="atLeast"/>
        <w:jc w:val="left"/>
        <w:rPr>
          <w:rFonts w:eastAsia="Times New Roman" w:cs="Arial"/>
          <w:b w:val="0"/>
          <w:sz w:val="24"/>
          <w:szCs w:val="24"/>
        </w:rPr>
      </w:pPr>
    </w:p>
    <w:p w:rsidR="00610DBE" w:rsidRPr="00610DBE" w:rsidRDefault="00610DBE" w:rsidP="003D7EF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after="240" w:line="240" w:lineRule="atLeast"/>
        <w:jc w:val="left"/>
        <w:rPr>
          <w:rFonts w:eastAsia="Times New Roman" w:cs="Arial"/>
          <w:b w:val="0"/>
          <w:sz w:val="24"/>
          <w:szCs w:val="24"/>
        </w:rPr>
      </w:pP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Dean Knudson</w:t>
      </w:r>
    </w:p>
    <w:p w:rsidR="003D7EFE" w:rsidRPr="00610DBE" w:rsidRDefault="003D7EFE" w:rsidP="003D7EFE">
      <w:pPr>
        <w:spacing w:after="0" w:line="240" w:lineRule="atLeast"/>
        <w:rPr>
          <w:rFonts w:eastAsia="Times New Roman" w:cs="Arial"/>
          <w:sz w:val="24"/>
          <w:szCs w:val="24"/>
        </w:rPr>
      </w:pPr>
      <w:r w:rsidRPr="00610DBE">
        <w:rPr>
          <w:rFonts w:eastAsia="Times New Roman" w:cs="Arial"/>
          <w:sz w:val="24"/>
          <w:szCs w:val="24"/>
        </w:rPr>
        <w:t>Deputy Secretary</w:t>
      </w:r>
    </w:p>
    <w:p w:rsidR="003D7EFE" w:rsidRPr="00610DBE" w:rsidRDefault="001939BE" w:rsidP="003D7E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4D47CC">
        <w:rPr>
          <w:rFonts w:cs="Arial"/>
          <w:sz w:val="24"/>
          <w:szCs w:val="24"/>
        </w:rPr>
        <w:t xml:space="preserve"> </w:t>
      </w:r>
      <w:r w:rsidR="00E76FD8">
        <w:rPr>
          <w:rFonts w:cs="Arial"/>
          <w:sz w:val="24"/>
          <w:szCs w:val="24"/>
        </w:rPr>
        <w:t>November 2022</w:t>
      </w:r>
    </w:p>
    <w:p w:rsidR="009C333F" w:rsidRPr="00610DBE" w:rsidRDefault="009841A0" w:rsidP="0075413B">
      <w:pPr>
        <w:rPr>
          <w:rFonts w:cs="Arial"/>
        </w:rPr>
      </w:pPr>
      <w:r>
        <w:rPr>
          <w:rFonts w:cs="Arial"/>
        </w:rPr>
        <w:br/>
      </w:r>
      <w:r w:rsidR="0075413B" w:rsidRPr="00610DBE">
        <w:rPr>
          <w:rFonts w:cs="Arial"/>
        </w:rPr>
        <w:t>Attached</w:t>
      </w:r>
      <w:r w:rsidR="003D7EFE" w:rsidRPr="00610DBE">
        <w:rPr>
          <w:rFonts w:cs="Arial"/>
          <w:i/>
        </w:rPr>
        <w:t xml:space="preserve">: </w:t>
      </w:r>
      <w:r w:rsidR="001944D5">
        <w:rPr>
          <w:rFonts w:cs="Arial"/>
        </w:rPr>
        <w:t>Final</w:t>
      </w:r>
      <w:r w:rsidR="001944D5" w:rsidRPr="00610DBE">
        <w:rPr>
          <w:rFonts w:cs="Arial"/>
        </w:rPr>
        <w:t xml:space="preserve"> </w:t>
      </w:r>
      <w:r w:rsidR="003D7EFE" w:rsidRPr="00610DBE">
        <w:rPr>
          <w:rFonts w:cs="Arial"/>
        </w:rPr>
        <w:t xml:space="preserve">Report of the Independent Review of the </w:t>
      </w:r>
      <w:r w:rsidR="003D7EFE" w:rsidRPr="00610DBE">
        <w:rPr>
          <w:rFonts w:cs="Arial"/>
          <w:i/>
        </w:rPr>
        <w:t>Environment Protection and Biodiversity Conservation Act 1999</w:t>
      </w:r>
    </w:p>
    <w:sectPr w:rsidR="009C333F" w:rsidRPr="00610DBE" w:rsidSect="004B1E81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0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AE" w:rsidRDefault="000F47AE" w:rsidP="00A60185">
      <w:pPr>
        <w:spacing w:after="0" w:line="240" w:lineRule="auto"/>
      </w:pPr>
      <w:r>
        <w:separator/>
      </w:r>
    </w:p>
  </w:endnote>
  <w:endnote w:type="continuationSeparator" w:id="0">
    <w:p w:rsidR="000F47AE" w:rsidRDefault="000F47AE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30"/>
      <w:docPartObj>
        <w:docPartGallery w:val="Page Numbers (Bottom of Page)"/>
        <w:docPartUnique/>
      </w:docPartObj>
    </w:sdtPr>
    <w:sdtEndPr/>
    <w:sdtContent>
      <w:p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33" w:rsidRPr="001C3833" w:rsidRDefault="001C3833" w:rsidP="001C3833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asciiTheme="minorHAnsi" w:eastAsia="Times New Roman" w:hAnsiTheme="minorHAnsi"/>
        <w:sz w:val="20"/>
        <w:szCs w:val="20"/>
      </w:rPr>
    </w:pPr>
    <w:r w:rsidRPr="001C3833">
      <w:rPr>
        <w:rFonts w:asciiTheme="minorHAnsi" w:eastAsia="Times New Roman" w:hAnsiTheme="minorHAnsi"/>
        <w:b/>
        <w:sz w:val="20"/>
        <w:szCs w:val="20"/>
      </w:rPr>
      <w:t>DCCEEW.gov.au</w:t>
    </w:r>
  </w:p>
  <w:p w:rsidR="001C3833" w:rsidRPr="001C3833" w:rsidRDefault="001C3833" w:rsidP="001C3833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asciiTheme="minorHAnsi" w:eastAsia="Times New Roman" w:hAnsiTheme="minorHAnsi"/>
        <w:sz w:val="20"/>
        <w:szCs w:val="20"/>
      </w:rPr>
    </w:pPr>
    <w:r w:rsidRPr="001C3833">
      <w:rPr>
        <w:rFonts w:asciiTheme="minorHAnsi" w:eastAsia="Times New Roman" w:hAnsiTheme="minorHAnsi"/>
        <w:sz w:val="20"/>
        <w:szCs w:val="20"/>
      </w:rPr>
      <w:t>John Gorton Building - King Edward Terrace, Parkes ACT 2600 Australia</w:t>
    </w:r>
  </w:p>
  <w:p w:rsidR="001C3833" w:rsidRPr="001C3833" w:rsidRDefault="001C3833" w:rsidP="001C3833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asciiTheme="minorHAnsi" w:eastAsia="Times New Roman" w:hAnsiTheme="minorHAnsi"/>
        <w:sz w:val="20"/>
        <w:szCs w:val="20"/>
      </w:rPr>
    </w:pPr>
    <w:r w:rsidRPr="001C3833">
      <w:rPr>
        <w:rFonts w:asciiTheme="minorHAnsi" w:eastAsia="Times New Roman" w:hAnsiTheme="minorHAnsi"/>
        <w:sz w:val="20"/>
        <w:szCs w:val="20"/>
      </w:rPr>
      <w:t xml:space="preserve">GPO Box 858 Canberra ACT 2601 ABN: </w:t>
    </w:r>
    <w:r w:rsidRPr="001C3833">
      <w:rPr>
        <w:rFonts w:asciiTheme="minorHAnsi" w:eastAsia="Times New Roman" w:hAnsiTheme="minorHAnsi"/>
        <w:bCs/>
        <w:sz w:val="20"/>
        <w:szCs w:val="20"/>
      </w:rPr>
      <w:t>63 573 932 849</w:t>
    </w:r>
  </w:p>
  <w:p w:rsidR="00DF029E" w:rsidRPr="001C3833" w:rsidRDefault="00DF029E" w:rsidP="001C3833">
    <w:pPr>
      <w:tabs>
        <w:tab w:val="center" w:pos="4513"/>
        <w:tab w:val="right" w:pos="9026"/>
      </w:tabs>
      <w:spacing w:after="0" w:line="240" w:lineRule="auto"/>
      <w:jc w:val="center"/>
      <w:rPr>
        <w:rFonts w:asciiTheme="minorHAnsi" w:eastAsia="Times New Roman" w:hAnsiTheme="minorHAnsi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AE" w:rsidRDefault="000F47AE" w:rsidP="00A60185">
      <w:pPr>
        <w:spacing w:after="0" w:line="240" w:lineRule="auto"/>
      </w:pPr>
      <w:r>
        <w:separator/>
      </w:r>
    </w:p>
  </w:footnote>
  <w:footnote w:type="continuationSeparator" w:id="0">
    <w:p w:rsidR="000F47AE" w:rsidRDefault="000F47AE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AD1B98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E" w:rsidRPr="001C3833" w:rsidRDefault="001C3833" w:rsidP="001C3833">
    <w:pPr>
      <w:pStyle w:val="Header"/>
      <w:jc w:val="left"/>
    </w:pPr>
    <w:r w:rsidRPr="001C3833">
      <w:rPr>
        <w:noProof/>
        <w:lang w:eastAsia="en-AU"/>
      </w:rPr>
      <w:drawing>
        <wp:inline distT="0" distB="0" distL="0" distR="0" wp14:anchorId="69D7A860" wp14:editId="69077F40">
          <wp:extent cx="26670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3D7EFE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66FAB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B21D3"/>
    <w:rsid w:val="000B27DB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1AA0"/>
    <w:rsid w:val="000D2887"/>
    <w:rsid w:val="000D61D0"/>
    <w:rsid w:val="000D6D63"/>
    <w:rsid w:val="000E0081"/>
    <w:rsid w:val="000E07CF"/>
    <w:rsid w:val="000E0B31"/>
    <w:rsid w:val="000F47AE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A9F"/>
    <w:rsid w:val="00160262"/>
    <w:rsid w:val="0016085C"/>
    <w:rsid w:val="0016616A"/>
    <w:rsid w:val="0016780A"/>
    <w:rsid w:val="00173EBF"/>
    <w:rsid w:val="0018112F"/>
    <w:rsid w:val="0018325B"/>
    <w:rsid w:val="001842A2"/>
    <w:rsid w:val="00187FA8"/>
    <w:rsid w:val="00191C5D"/>
    <w:rsid w:val="00192F5E"/>
    <w:rsid w:val="001939BE"/>
    <w:rsid w:val="001944D5"/>
    <w:rsid w:val="00197772"/>
    <w:rsid w:val="001A51C8"/>
    <w:rsid w:val="001A6852"/>
    <w:rsid w:val="001A76BB"/>
    <w:rsid w:val="001B4CA8"/>
    <w:rsid w:val="001C1D95"/>
    <w:rsid w:val="001C3833"/>
    <w:rsid w:val="001C4F3D"/>
    <w:rsid w:val="001D0CDC"/>
    <w:rsid w:val="001D1B03"/>
    <w:rsid w:val="001D1D82"/>
    <w:rsid w:val="001E0274"/>
    <w:rsid w:val="001E1182"/>
    <w:rsid w:val="001E1CE4"/>
    <w:rsid w:val="001E25B3"/>
    <w:rsid w:val="001F19CD"/>
    <w:rsid w:val="001F4075"/>
    <w:rsid w:val="00202C90"/>
    <w:rsid w:val="002121BC"/>
    <w:rsid w:val="00212E75"/>
    <w:rsid w:val="00213DE8"/>
    <w:rsid w:val="00214B4E"/>
    <w:rsid w:val="00214D4A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66AFF"/>
    <w:rsid w:val="00285F1B"/>
    <w:rsid w:val="002861A2"/>
    <w:rsid w:val="00292B81"/>
    <w:rsid w:val="002A11A4"/>
    <w:rsid w:val="002B18AE"/>
    <w:rsid w:val="002B3674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2EAA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867"/>
    <w:rsid w:val="003B6EE4"/>
    <w:rsid w:val="003C09B7"/>
    <w:rsid w:val="003C2443"/>
    <w:rsid w:val="003C5DA3"/>
    <w:rsid w:val="003D4BCD"/>
    <w:rsid w:val="003D5140"/>
    <w:rsid w:val="003D7EFE"/>
    <w:rsid w:val="003E2100"/>
    <w:rsid w:val="003F6395"/>
    <w:rsid w:val="003F6F5B"/>
    <w:rsid w:val="0040342D"/>
    <w:rsid w:val="00410B7C"/>
    <w:rsid w:val="0041192D"/>
    <w:rsid w:val="00413D8E"/>
    <w:rsid w:val="00413EE1"/>
    <w:rsid w:val="0042128E"/>
    <w:rsid w:val="00421FEC"/>
    <w:rsid w:val="00430252"/>
    <w:rsid w:val="00432B60"/>
    <w:rsid w:val="00434A49"/>
    <w:rsid w:val="00435292"/>
    <w:rsid w:val="00440698"/>
    <w:rsid w:val="004540E2"/>
    <w:rsid w:val="00455A78"/>
    <w:rsid w:val="00456F7C"/>
    <w:rsid w:val="0046116B"/>
    <w:rsid w:val="0046173C"/>
    <w:rsid w:val="00464930"/>
    <w:rsid w:val="00466355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1E81"/>
    <w:rsid w:val="004B342C"/>
    <w:rsid w:val="004B4500"/>
    <w:rsid w:val="004B66F1"/>
    <w:rsid w:val="004C2320"/>
    <w:rsid w:val="004C3EA0"/>
    <w:rsid w:val="004D2555"/>
    <w:rsid w:val="004D42A8"/>
    <w:rsid w:val="004D47CC"/>
    <w:rsid w:val="004F60AC"/>
    <w:rsid w:val="004F7169"/>
    <w:rsid w:val="00500D66"/>
    <w:rsid w:val="00514C8E"/>
    <w:rsid w:val="00525EF4"/>
    <w:rsid w:val="0052681E"/>
    <w:rsid w:val="00527851"/>
    <w:rsid w:val="00531DBF"/>
    <w:rsid w:val="005445F1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D616F"/>
    <w:rsid w:val="005E35DC"/>
    <w:rsid w:val="005E3DFC"/>
    <w:rsid w:val="005E5D52"/>
    <w:rsid w:val="005E60AF"/>
    <w:rsid w:val="005F1DEA"/>
    <w:rsid w:val="005F380A"/>
    <w:rsid w:val="00602447"/>
    <w:rsid w:val="0060462F"/>
    <w:rsid w:val="0060602D"/>
    <w:rsid w:val="00607FC9"/>
    <w:rsid w:val="0061002D"/>
    <w:rsid w:val="00610DBE"/>
    <w:rsid w:val="00622FE1"/>
    <w:rsid w:val="0062521C"/>
    <w:rsid w:val="00630A2B"/>
    <w:rsid w:val="00630FF6"/>
    <w:rsid w:val="00632DC7"/>
    <w:rsid w:val="006357FB"/>
    <w:rsid w:val="00635C5E"/>
    <w:rsid w:val="006406FC"/>
    <w:rsid w:val="00643B47"/>
    <w:rsid w:val="006459D1"/>
    <w:rsid w:val="00645CB8"/>
    <w:rsid w:val="00653E16"/>
    <w:rsid w:val="00653F7B"/>
    <w:rsid w:val="00657220"/>
    <w:rsid w:val="0066104B"/>
    <w:rsid w:val="00664AC2"/>
    <w:rsid w:val="006655EE"/>
    <w:rsid w:val="00667C10"/>
    <w:rsid w:val="00667EF4"/>
    <w:rsid w:val="00674AAE"/>
    <w:rsid w:val="00676FCA"/>
    <w:rsid w:val="00677177"/>
    <w:rsid w:val="0068216D"/>
    <w:rsid w:val="0068612E"/>
    <w:rsid w:val="00687C92"/>
    <w:rsid w:val="0069534E"/>
    <w:rsid w:val="0069669C"/>
    <w:rsid w:val="0069675B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39DC"/>
    <w:rsid w:val="006C4A1A"/>
    <w:rsid w:val="006D0393"/>
    <w:rsid w:val="006D1A83"/>
    <w:rsid w:val="006E1CFE"/>
    <w:rsid w:val="006E3EB2"/>
    <w:rsid w:val="006E6B38"/>
    <w:rsid w:val="006F10C4"/>
    <w:rsid w:val="006F5051"/>
    <w:rsid w:val="006F5603"/>
    <w:rsid w:val="00701400"/>
    <w:rsid w:val="007037CF"/>
    <w:rsid w:val="00713FA2"/>
    <w:rsid w:val="007160E9"/>
    <w:rsid w:val="007160EE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413B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3D6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C4A0D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5703"/>
    <w:rsid w:val="00837D61"/>
    <w:rsid w:val="00841036"/>
    <w:rsid w:val="00843089"/>
    <w:rsid w:val="00845601"/>
    <w:rsid w:val="00853978"/>
    <w:rsid w:val="00855C5C"/>
    <w:rsid w:val="0086185F"/>
    <w:rsid w:val="00864AA3"/>
    <w:rsid w:val="00882459"/>
    <w:rsid w:val="0089105C"/>
    <w:rsid w:val="008A2B4A"/>
    <w:rsid w:val="008A3C96"/>
    <w:rsid w:val="008B4019"/>
    <w:rsid w:val="008B65C9"/>
    <w:rsid w:val="008C29D2"/>
    <w:rsid w:val="008C2D4A"/>
    <w:rsid w:val="008C49DA"/>
    <w:rsid w:val="008D3900"/>
    <w:rsid w:val="008D6E1D"/>
    <w:rsid w:val="008E0BF9"/>
    <w:rsid w:val="008E611A"/>
    <w:rsid w:val="008F2A29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3705A"/>
    <w:rsid w:val="00947CBC"/>
    <w:rsid w:val="00952DDF"/>
    <w:rsid w:val="00960C4E"/>
    <w:rsid w:val="0096170E"/>
    <w:rsid w:val="009700F2"/>
    <w:rsid w:val="00976E4A"/>
    <w:rsid w:val="009841A0"/>
    <w:rsid w:val="00992454"/>
    <w:rsid w:val="009B38BE"/>
    <w:rsid w:val="009B7683"/>
    <w:rsid w:val="009C333F"/>
    <w:rsid w:val="009C3D0F"/>
    <w:rsid w:val="009D2FDC"/>
    <w:rsid w:val="009E1F58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21CA"/>
    <w:rsid w:val="00A338E7"/>
    <w:rsid w:val="00A343B2"/>
    <w:rsid w:val="00A35CAA"/>
    <w:rsid w:val="00A36E7F"/>
    <w:rsid w:val="00A37E9D"/>
    <w:rsid w:val="00A4016E"/>
    <w:rsid w:val="00A41E65"/>
    <w:rsid w:val="00A4283A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553"/>
    <w:rsid w:val="00A919A4"/>
    <w:rsid w:val="00A93280"/>
    <w:rsid w:val="00AA2548"/>
    <w:rsid w:val="00AA58C4"/>
    <w:rsid w:val="00AA684A"/>
    <w:rsid w:val="00AB11C8"/>
    <w:rsid w:val="00AB60CF"/>
    <w:rsid w:val="00AC08A8"/>
    <w:rsid w:val="00AC73E5"/>
    <w:rsid w:val="00AD1B98"/>
    <w:rsid w:val="00AD56C8"/>
    <w:rsid w:val="00AD58F2"/>
    <w:rsid w:val="00AD5BA0"/>
    <w:rsid w:val="00AE02CA"/>
    <w:rsid w:val="00AE0845"/>
    <w:rsid w:val="00AE6605"/>
    <w:rsid w:val="00AF3EC2"/>
    <w:rsid w:val="00B00313"/>
    <w:rsid w:val="00B01599"/>
    <w:rsid w:val="00B0197B"/>
    <w:rsid w:val="00B01FD6"/>
    <w:rsid w:val="00B03A27"/>
    <w:rsid w:val="00B0529F"/>
    <w:rsid w:val="00B12E44"/>
    <w:rsid w:val="00B1418B"/>
    <w:rsid w:val="00B14B15"/>
    <w:rsid w:val="00B21195"/>
    <w:rsid w:val="00B24B22"/>
    <w:rsid w:val="00B25310"/>
    <w:rsid w:val="00B32F8F"/>
    <w:rsid w:val="00B404DC"/>
    <w:rsid w:val="00B41A8E"/>
    <w:rsid w:val="00B51C0D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1EB2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36FD"/>
    <w:rsid w:val="00C5504F"/>
    <w:rsid w:val="00C63376"/>
    <w:rsid w:val="00C634DE"/>
    <w:rsid w:val="00C72DEE"/>
    <w:rsid w:val="00C73352"/>
    <w:rsid w:val="00C74F97"/>
    <w:rsid w:val="00C8134F"/>
    <w:rsid w:val="00C8276E"/>
    <w:rsid w:val="00C83DEB"/>
    <w:rsid w:val="00C842AC"/>
    <w:rsid w:val="00C85444"/>
    <w:rsid w:val="00C86DC8"/>
    <w:rsid w:val="00C90E71"/>
    <w:rsid w:val="00C91088"/>
    <w:rsid w:val="00C91E5A"/>
    <w:rsid w:val="00C92D73"/>
    <w:rsid w:val="00CA0723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06682"/>
    <w:rsid w:val="00D10ACD"/>
    <w:rsid w:val="00D10F1A"/>
    <w:rsid w:val="00D116F8"/>
    <w:rsid w:val="00D14BE2"/>
    <w:rsid w:val="00D1559E"/>
    <w:rsid w:val="00D17596"/>
    <w:rsid w:val="00D2323D"/>
    <w:rsid w:val="00D26D3A"/>
    <w:rsid w:val="00D31545"/>
    <w:rsid w:val="00D3177C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97EDC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029E"/>
    <w:rsid w:val="00DF1E5B"/>
    <w:rsid w:val="00DF2275"/>
    <w:rsid w:val="00DF3F5E"/>
    <w:rsid w:val="00DF7BCD"/>
    <w:rsid w:val="00E0596E"/>
    <w:rsid w:val="00E06F66"/>
    <w:rsid w:val="00E136BA"/>
    <w:rsid w:val="00E138B9"/>
    <w:rsid w:val="00E22AD5"/>
    <w:rsid w:val="00E317C7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76FD8"/>
    <w:rsid w:val="00E83C74"/>
    <w:rsid w:val="00E83CEE"/>
    <w:rsid w:val="00E86DB3"/>
    <w:rsid w:val="00E8776C"/>
    <w:rsid w:val="00E87964"/>
    <w:rsid w:val="00E9226D"/>
    <w:rsid w:val="00E923D6"/>
    <w:rsid w:val="00EA337A"/>
    <w:rsid w:val="00EA5941"/>
    <w:rsid w:val="00EB02BE"/>
    <w:rsid w:val="00EB42E4"/>
    <w:rsid w:val="00EB4974"/>
    <w:rsid w:val="00EB4DFB"/>
    <w:rsid w:val="00EB60CE"/>
    <w:rsid w:val="00EB7D53"/>
    <w:rsid w:val="00EC24FD"/>
    <w:rsid w:val="00EC5E5B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12F2"/>
    <w:rsid w:val="00F23756"/>
    <w:rsid w:val="00F2523A"/>
    <w:rsid w:val="00F25FFA"/>
    <w:rsid w:val="00F310D2"/>
    <w:rsid w:val="00F35B89"/>
    <w:rsid w:val="00F35F6C"/>
    <w:rsid w:val="00F36F3D"/>
    <w:rsid w:val="00F37853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5D1D"/>
    <w:rsid w:val="00F66F50"/>
    <w:rsid w:val="00F819BE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48E7"/>
    <w:rsid w:val="00FB6171"/>
    <w:rsid w:val="00FC4F89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203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B41A8E"/>
    <w:rPr>
      <w:color w:val="808080"/>
    </w:rPr>
  </w:style>
  <w:style w:type="paragraph" w:styleId="BodyText">
    <w:name w:val="Body Text"/>
    <w:basedOn w:val="Normal"/>
    <w:link w:val="BodyTextChar"/>
    <w:uiPriority w:val="99"/>
    <w:rsid w:val="003D7EFE"/>
    <w:pPr>
      <w:spacing w:before="240" w:after="0" w:line="300" w:lineRule="exact"/>
      <w:jc w:val="both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3D7EFE"/>
    <w:rPr>
      <w:rFonts w:ascii="Times New Roman" w:eastAsia="Times New Roman" w:hAnsi="Times New Roman"/>
      <w:sz w:val="24"/>
      <w:szCs w:val="20"/>
    </w:rPr>
  </w:style>
  <w:style w:type="table" w:styleId="LightGrid-Accent2">
    <w:name w:val="Light Grid Accent 2"/>
    <w:basedOn w:val="TableNormal"/>
    <w:uiPriority w:val="62"/>
    <w:rsid w:val="003D7EFE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0">
    <w:name w:val="TableText"/>
    <w:basedOn w:val="Normal"/>
    <w:qFormat/>
    <w:rsid w:val="003D7EFE"/>
    <w:pPr>
      <w:spacing w:before="120" w:after="120" w:line="240" w:lineRule="auto"/>
    </w:pPr>
    <w:rPr>
      <w:rFonts w:eastAsiaTheme="majorEastAsia" w:cs="Arial"/>
      <w:bCs/>
      <w:sz w:val="20"/>
      <w:szCs w:val="20"/>
    </w:rPr>
  </w:style>
  <w:style w:type="paragraph" w:customStyle="1" w:styleId="TableName">
    <w:name w:val="TableName"/>
    <w:basedOn w:val="Normal"/>
    <w:qFormat/>
    <w:rsid w:val="003D7EFE"/>
    <w:pPr>
      <w:keepNext/>
      <w:spacing w:after="120" w:line="240" w:lineRule="auto"/>
    </w:pPr>
    <w:rPr>
      <w:rFonts w:eastAsiaTheme="minorEastAsia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D7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E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EFE"/>
    <w:rPr>
      <w:rFonts w:ascii="Times New Roman" w:eastAsia="Times New Roman" w:hAnsi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D7E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0E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E7"/>
    <w:pPr>
      <w:spacing w:after="200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E7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elpdesk-OBPR@pmc.gov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2022-12-09T02:45:00Z</dcterms:created>
  <dcterms:modified xsi:type="dcterms:W3CDTF">2022-12-14T22:31:00Z</dcterms:modified>
</cp:coreProperties>
</file>