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87" w:rsidRDefault="004E0487">
      <w:pPr>
        <w:pStyle w:val="BodyText"/>
        <w:spacing w:before="5"/>
        <w:rPr>
          <w:sz w:val="11"/>
        </w:rPr>
      </w:pPr>
      <w:bookmarkStart w:id="0" w:name="_GoBack"/>
      <w:bookmarkEnd w:id="0"/>
    </w:p>
    <w:p w:rsidR="004E0487" w:rsidRDefault="007F25B5">
      <w:pPr>
        <w:pStyle w:val="BodyText"/>
        <w:spacing w:before="90" w:line="249" w:lineRule="auto"/>
        <w:ind w:left="142" w:right="6623" w:firstLine="1"/>
      </w:pPr>
      <w:r>
        <w:rPr>
          <w:color w:val="212121"/>
          <w:w w:val="105"/>
        </w:rPr>
        <w:t xml:space="preserve">Mr Jason Lange </w:t>
      </w:r>
      <w:r>
        <w:rPr>
          <w:color w:val="212121"/>
          <w:spacing w:val="-2"/>
          <w:w w:val="105"/>
        </w:rPr>
        <w:t>Executive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spacing w:val="-2"/>
          <w:w w:val="105"/>
        </w:rPr>
        <w:t>Director</w:t>
      </w:r>
    </w:p>
    <w:p w:rsidR="004E0487" w:rsidRDefault="007F25B5">
      <w:pPr>
        <w:pStyle w:val="BodyText"/>
        <w:spacing w:before="3"/>
        <w:ind w:left="143"/>
      </w:pPr>
      <w:r>
        <w:rPr>
          <w:color w:val="212121"/>
          <w:w w:val="105"/>
        </w:rPr>
        <w:t>Office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Best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Practice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spacing w:val="-2"/>
          <w:w w:val="105"/>
        </w:rPr>
        <w:t>Regulation</w:t>
      </w:r>
    </w:p>
    <w:p w:rsidR="004E0487" w:rsidRDefault="00A51405">
      <w:pPr>
        <w:pStyle w:val="BodyText"/>
        <w:spacing w:before="10" w:line="244" w:lineRule="auto"/>
        <w:ind w:left="173" w:right="4602" w:hanging="21"/>
      </w:pPr>
      <w:r>
        <w:rPr>
          <w:color w:val="212121"/>
          <w:w w:val="105"/>
        </w:rPr>
        <w:t>Department</w:t>
      </w:r>
      <w:r w:rsidR="007F25B5">
        <w:rPr>
          <w:color w:val="212121"/>
          <w:w w:val="105"/>
        </w:rPr>
        <w:t xml:space="preserve"> of</w:t>
      </w:r>
      <w:r w:rsidR="007F25B5">
        <w:rPr>
          <w:color w:val="212121"/>
          <w:spacing w:val="-8"/>
          <w:w w:val="105"/>
        </w:rPr>
        <w:t xml:space="preserve"> </w:t>
      </w:r>
      <w:r w:rsidR="007F25B5">
        <w:rPr>
          <w:color w:val="212121"/>
          <w:w w:val="105"/>
        </w:rPr>
        <w:t>the</w:t>
      </w:r>
      <w:r w:rsidR="007F25B5">
        <w:rPr>
          <w:color w:val="212121"/>
          <w:spacing w:val="-10"/>
          <w:w w:val="105"/>
        </w:rPr>
        <w:t xml:space="preserve"> </w:t>
      </w:r>
      <w:r w:rsidR="007F25B5">
        <w:rPr>
          <w:color w:val="212121"/>
          <w:w w:val="105"/>
        </w:rPr>
        <w:t>Prime</w:t>
      </w:r>
      <w:r w:rsidR="007F25B5">
        <w:rPr>
          <w:color w:val="212121"/>
          <w:spacing w:val="-5"/>
          <w:w w:val="105"/>
        </w:rPr>
        <w:t xml:space="preserve"> </w:t>
      </w:r>
      <w:r w:rsidR="007F25B5">
        <w:rPr>
          <w:color w:val="212121"/>
          <w:w w:val="105"/>
        </w:rPr>
        <w:t>Minister</w:t>
      </w:r>
      <w:r w:rsidR="007F25B5">
        <w:rPr>
          <w:color w:val="212121"/>
          <w:spacing w:val="-3"/>
          <w:w w:val="105"/>
        </w:rPr>
        <w:t xml:space="preserve"> </w:t>
      </w:r>
      <w:r w:rsidR="007F25B5">
        <w:rPr>
          <w:color w:val="212121"/>
          <w:w w:val="105"/>
        </w:rPr>
        <w:t>and</w:t>
      </w:r>
      <w:r w:rsidR="007F25B5">
        <w:rPr>
          <w:color w:val="212121"/>
          <w:spacing w:val="-6"/>
          <w:w w:val="105"/>
        </w:rPr>
        <w:t xml:space="preserve"> </w:t>
      </w:r>
      <w:r w:rsidR="007F25B5">
        <w:rPr>
          <w:color w:val="212121"/>
          <w:w w:val="105"/>
        </w:rPr>
        <w:t>Cabinet l</w:t>
      </w:r>
      <w:r w:rsidR="007F25B5">
        <w:rPr>
          <w:color w:val="212121"/>
          <w:spacing w:val="40"/>
          <w:w w:val="105"/>
        </w:rPr>
        <w:t xml:space="preserve"> </w:t>
      </w:r>
      <w:r w:rsidR="007F25B5">
        <w:rPr>
          <w:color w:val="212121"/>
          <w:w w:val="105"/>
        </w:rPr>
        <w:t>National Circuit</w:t>
      </w:r>
    </w:p>
    <w:p w:rsidR="004E0487" w:rsidRDefault="007F25B5">
      <w:pPr>
        <w:pStyle w:val="BodyText"/>
        <w:tabs>
          <w:tab w:val="left" w:pos="1322"/>
        </w:tabs>
        <w:spacing w:line="259" w:lineRule="exact"/>
        <w:ind w:left="142"/>
      </w:pPr>
      <w:r>
        <w:rPr>
          <w:color w:val="212121"/>
          <w:spacing w:val="-2"/>
          <w:w w:val="105"/>
        </w:rPr>
        <w:t>BARTON</w:t>
      </w:r>
      <w:r>
        <w:rPr>
          <w:color w:val="212121"/>
        </w:rPr>
        <w:tab/>
      </w:r>
      <w:r>
        <w:rPr>
          <w:color w:val="212121"/>
          <w:w w:val="105"/>
        </w:rPr>
        <w:t>ACT</w:t>
      </w:r>
      <w:r>
        <w:rPr>
          <w:color w:val="212121"/>
          <w:spacing w:val="50"/>
          <w:w w:val="105"/>
        </w:rPr>
        <w:t xml:space="preserve"> </w:t>
      </w:r>
      <w:r>
        <w:rPr>
          <w:color w:val="212121"/>
          <w:spacing w:val="-4"/>
          <w:w w:val="105"/>
        </w:rPr>
        <w:t>2600</w:t>
      </w:r>
    </w:p>
    <w:p w:rsidR="004E0487" w:rsidRDefault="004E0487">
      <w:pPr>
        <w:pStyle w:val="BodyText"/>
        <w:spacing w:before="11"/>
        <w:rPr>
          <w:sz w:val="22"/>
        </w:rPr>
      </w:pPr>
    </w:p>
    <w:p w:rsidR="004E0487" w:rsidRDefault="007F25B5">
      <w:pPr>
        <w:pStyle w:val="BodyText"/>
        <w:ind w:left="142"/>
      </w:pPr>
      <w:r>
        <w:rPr>
          <w:color w:val="212121"/>
          <w:w w:val="105"/>
        </w:rPr>
        <w:t>Email:</w:t>
      </w:r>
      <w:r>
        <w:rPr>
          <w:color w:val="212121"/>
          <w:spacing w:val="-6"/>
          <w:w w:val="105"/>
        </w:rPr>
        <w:t xml:space="preserve"> </w:t>
      </w:r>
      <w:hyperlink r:id="rId6">
        <w:r>
          <w:rPr>
            <w:color w:val="212121"/>
            <w:w w:val="105"/>
          </w:rPr>
          <w:t>helpdesk-</w:t>
        </w:r>
        <w:r>
          <w:rPr>
            <w:color w:val="212121"/>
            <w:spacing w:val="-2"/>
            <w:w w:val="105"/>
          </w:rPr>
          <w:t>OBPR@pmc.gov.au</w:t>
        </w:r>
      </w:hyperlink>
      <w:r>
        <w:rPr>
          <w:color w:val="999999"/>
          <w:spacing w:val="-2"/>
          <w:w w:val="105"/>
        </w:rPr>
        <w:t>·</w:t>
      </w:r>
    </w:p>
    <w:p w:rsidR="004E0487" w:rsidRDefault="004E0487">
      <w:pPr>
        <w:pStyle w:val="BodyText"/>
        <w:rPr>
          <w:sz w:val="26"/>
        </w:rPr>
      </w:pPr>
    </w:p>
    <w:p w:rsidR="004E0487" w:rsidRDefault="004E0487">
      <w:pPr>
        <w:pStyle w:val="BodyText"/>
        <w:spacing w:before="3"/>
        <w:rPr>
          <w:sz w:val="21"/>
        </w:rPr>
      </w:pPr>
    </w:p>
    <w:p w:rsidR="004E0487" w:rsidRDefault="007F25B5">
      <w:pPr>
        <w:pStyle w:val="BodyText"/>
        <w:ind w:left="142"/>
      </w:pPr>
      <w:r>
        <w:rPr>
          <w:color w:val="212121"/>
          <w:w w:val="105"/>
        </w:rPr>
        <w:t>Dear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Mr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Lange</w:t>
      </w:r>
    </w:p>
    <w:p w:rsidR="004E0487" w:rsidRDefault="004E0487">
      <w:pPr>
        <w:pStyle w:val="BodyText"/>
        <w:spacing w:before="4"/>
      </w:pPr>
    </w:p>
    <w:p w:rsidR="004E0487" w:rsidRDefault="007F25B5">
      <w:pPr>
        <w:spacing w:before="1" w:line="278" w:lineRule="auto"/>
        <w:ind w:left="142" w:right="1067" w:hanging="5"/>
        <w:rPr>
          <w:b/>
          <w:i/>
          <w:sz w:val="23"/>
        </w:rPr>
      </w:pPr>
      <w:r>
        <w:rPr>
          <w:b/>
          <w:color w:val="212121"/>
          <w:w w:val="105"/>
        </w:rPr>
        <w:t xml:space="preserve">Certification of independent review: </w:t>
      </w:r>
      <w:r>
        <w:rPr>
          <w:b/>
          <w:i/>
          <w:color w:val="212121"/>
          <w:w w:val="105"/>
          <w:sz w:val="23"/>
        </w:rPr>
        <w:t>Respect@Work: National Inqu</w:t>
      </w:r>
      <w:r w:rsidR="00A51405">
        <w:rPr>
          <w:b/>
          <w:i/>
          <w:color w:val="212121"/>
          <w:w w:val="105"/>
          <w:sz w:val="23"/>
        </w:rPr>
        <w:t>ir</w:t>
      </w:r>
      <w:r>
        <w:rPr>
          <w:b/>
          <w:i/>
          <w:color w:val="212121"/>
          <w:w w:val="105"/>
          <w:sz w:val="23"/>
        </w:rPr>
        <w:t>y into Sexual Harassment in</w:t>
      </w:r>
      <w:r>
        <w:rPr>
          <w:b/>
          <w:i/>
          <w:color w:val="212121"/>
          <w:spacing w:val="-3"/>
          <w:w w:val="105"/>
          <w:sz w:val="23"/>
        </w:rPr>
        <w:t xml:space="preserve"> </w:t>
      </w:r>
      <w:r>
        <w:rPr>
          <w:b/>
          <w:i/>
          <w:color w:val="212121"/>
          <w:w w:val="105"/>
          <w:sz w:val="23"/>
        </w:rPr>
        <w:t>Australian Workplaces Report 2020</w:t>
      </w:r>
    </w:p>
    <w:p w:rsidR="004E0487" w:rsidRDefault="004E0487">
      <w:pPr>
        <w:pStyle w:val="BodyText"/>
        <w:spacing w:before="8"/>
        <w:rPr>
          <w:b/>
          <w:i/>
          <w:sz w:val="22"/>
        </w:rPr>
      </w:pPr>
    </w:p>
    <w:p w:rsidR="004E0487" w:rsidRDefault="007F25B5">
      <w:pPr>
        <w:pStyle w:val="BodyText"/>
        <w:spacing w:line="271" w:lineRule="auto"/>
        <w:ind w:left="142" w:right="692" w:hanging="2"/>
      </w:pPr>
      <w:r>
        <w:rPr>
          <w:color w:val="212121"/>
          <w:w w:val="105"/>
        </w:rPr>
        <w:t>I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am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writing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certify that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attached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Respect@Work: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National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Inqui</w:t>
      </w:r>
      <w:r w:rsidR="00A51405">
        <w:rPr>
          <w:color w:val="212121"/>
          <w:w w:val="105"/>
        </w:rPr>
        <w:t>r</w:t>
      </w:r>
      <w:r>
        <w:rPr>
          <w:color w:val="212121"/>
          <w:w w:val="105"/>
        </w:rPr>
        <w:t>y into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Sexual Harassment in Australian Workplaces (the Report) has undertaken a process and analysis equivalent to a Regulation Impact Statement (RIS).</w:t>
      </w:r>
    </w:p>
    <w:p w:rsidR="004E0487" w:rsidRDefault="004E0487">
      <w:pPr>
        <w:pStyle w:val="BodyText"/>
        <w:spacing w:before="8"/>
        <w:rPr>
          <w:sz w:val="25"/>
        </w:rPr>
      </w:pPr>
    </w:p>
    <w:p w:rsidR="004E0487" w:rsidRDefault="007F25B5">
      <w:pPr>
        <w:pStyle w:val="BodyText"/>
        <w:spacing w:line="273" w:lineRule="auto"/>
        <w:ind w:left="140" w:right="692"/>
      </w:pPr>
      <w:r>
        <w:rPr>
          <w:color w:val="212121"/>
          <w:w w:val="105"/>
        </w:rPr>
        <w:t>I certify that this document adequately addresses all seven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RIS questions, and is submitted to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Office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Best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Practice Regulation for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purposes of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final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 xml:space="preserve">policy </w:t>
      </w:r>
      <w:r>
        <w:rPr>
          <w:color w:val="212121"/>
          <w:spacing w:val="-2"/>
          <w:w w:val="105"/>
        </w:rPr>
        <w:t>decision.</w:t>
      </w:r>
    </w:p>
    <w:p w:rsidR="004E0487" w:rsidRDefault="004E0487">
      <w:pPr>
        <w:pStyle w:val="BodyText"/>
        <w:spacing w:before="10"/>
        <w:rPr>
          <w:sz w:val="25"/>
        </w:rPr>
      </w:pPr>
    </w:p>
    <w:p w:rsidR="004E0487" w:rsidRDefault="007F25B5">
      <w:pPr>
        <w:pStyle w:val="BodyText"/>
        <w:spacing w:line="273" w:lineRule="auto"/>
        <w:ind w:left="138" w:right="680" w:firstLine="2"/>
      </w:pPr>
      <w:r>
        <w:rPr>
          <w:color w:val="212121"/>
          <w:w w:val="105"/>
        </w:rPr>
        <w:t>I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am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satisfied that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scope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problem and the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recommendations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identified</w:t>
      </w:r>
      <w:r>
        <w:rPr>
          <w:color w:val="212121"/>
          <w:spacing w:val="18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the ce</w:t>
      </w:r>
      <w:r w:rsidR="00A51405">
        <w:rPr>
          <w:color w:val="212121"/>
          <w:w w:val="105"/>
        </w:rPr>
        <w:t>r</w:t>
      </w:r>
      <w:r>
        <w:rPr>
          <w:color w:val="212121"/>
          <w:w w:val="105"/>
        </w:rPr>
        <w:t>tified review are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substantially the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same as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the identified problem and recommendations in the policy proposal.</w:t>
      </w:r>
    </w:p>
    <w:p w:rsidR="004E0487" w:rsidRDefault="004E0487">
      <w:pPr>
        <w:pStyle w:val="BodyText"/>
        <w:spacing w:before="3"/>
        <w:rPr>
          <w:sz w:val="26"/>
        </w:rPr>
      </w:pPr>
    </w:p>
    <w:p w:rsidR="004E0487" w:rsidRDefault="007F25B5">
      <w:pPr>
        <w:ind w:left="142"/>
        <w:rPr>
          <w:b/>
        </w:rPr>
      </w:pPr>
      <w:r>
        <w:rPr>
          <w:b/>
          <w:color w:val="212121"/>
          <w:w w:val="110"/>
        </w:rPr>
        <w:t>Respect@Work</w:t>
      </w:r>
      <w:r>
        <w:rPr>
          <w:b/>
          <w:color w:val="212121"/>
          <w:spacing w:val="-4"/>
          <w:w w:val="110"/>
        </w:rPr>
        <w:t xml:space="preserve"> </w:t>
      </w:r>
      <w:r>
        <w:rPr>
          <w:b/>
          <w:color w:val="212121"/>
          <w:w w:val="110"/>
        </w:rPr>
        <w:t>Report</w:t>
      </w:r>
      <w:r>
        <w:rPr>
          <w:b/>
          <w:color w:val="212121"/>
          <w:spacing w:val="-11"/>
          <w:w w:val="110"/>
        </w:rPr>
        <w:t xml:space="preserve"> </w:t>
      </w:r>
      <w:r>
        <w:rPr>
          <w:b/>
          <w:color w:val="212121"/>
          <w:w w:val="110"/>
        </w:rPr>
        <w:t>and</w:t>
      </w:r>
      <w:r>
        <w:rPr>
          <w:b/>
          <w:color w:val="212121"/>
          <w:spacing w:val="-11"/>
          <w:w w:val="110"/>
        </w:rPr>
        <w:t xml:space="preserve"> </w:t>
      </w:r>
      <w:r>
        <w:rPr>
          <w:b/>
          <w:color w:val="212121"/>
          <w:spacing w:val="-2"/>
          <w:w w:val="110"/>
        </w:rPr>
        <w:t>recommendations</w:t>
      </w:r>
    </w:p>
    <w:p w:rsidR="004E0487" w:rsidRDefault="004E0487">
      <w:pPr>
        <w:pStyle w:val="BodyText"/>
        <w:spacing w:before="5"/>
        <w:rPr>
          <w:b/>
          <w:sz w:val="29"/>
        </w:rPr>
      </w:pPr>
    </w:p>
    <w:p w:rsidR="004E0487" w:rsidRDefault="007F25B5">
      <w:pPr>
        <w:pStyle w:val="BodyText"/>
        <w:ind w:left="140"/>
      </w:pPr>
      <w:r>
        <w:rPr>
          <w:color w:val="212121"/>
          <w:w w:val="105"/>
        </w:rPr>
        <w:t>In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June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2018,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then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Minister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Women,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Hon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Kelly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O'Dwyer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MP,</w:t>
      </w:r>
      <w:r>
        <w:rPr>
          <w:color w:val="212121"/>
          <w:spacing w:val="-8"/>
          <w:w w:val="105"/>
        </w:rPr>
        <w:t xml:space="preserve"> </w:t>
      </w:r>
      <w:r>
        <w:rPr>
          <w:color w:val="363638"/>
          <w:w w:val="105"/>
        </w:rPr>
        <w:t>and</w:t>
      </w:r>
      <w:r>
        <w:rPr>
          <w:color w:val="363638"/>
          <w:spacing w:val="-1"/>
          <w:w w:val="105"/>
        </w:rPr>
        <w:t xml:space="preserve"> </w:t>
      </w:r>
      <w:r>
        <w:rPr>
          <w:color w:val="212121"/>
          <w:spacing w:val="-5"/>
          <w:w w:val="105"/>
        </w:rPr>
        <w:t>the</w:t>
      </w:r>
    </w:p>
    <w:p w:rsidR="004E0487" w:rsidRDefault="007F25B5">
      <w:pPr>
        <w:pStyle w:val="BodyText"/>
        <w:spacing w:before="34" w:line="271" w:lineRule="auto"/>
        <w:ind w:left="142" w:right="692"/>
      </w:pPr>
      <w:r>
        <w:rPr>
          <w:color w:val="212121"/>
          <w:w w:val="105"/>
        </w:rPr>
        <w:t>Sex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Discrimination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Commissioner, Kate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Jenkins, announced</w:t>
      </w:r>
      <w:r>
        <w:rPr>
          <w:color w:val="212121"/>
          <w:spacing w:val="2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National Inquiry into Sexual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Harassment in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Australian Workplaces. The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National Inquiry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was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informed by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 National Survey of more than 10,000 people conducted</w:t>
      </w:r>
      <w:r>
        <w:rPr>
          <w:color w:val="212121"/>
          <w:spacing w:val="31"/>
          <w:w w:val="105"/>
        </w:rPr>
        <w:t xml:space="preserve"> </w:t>
      </w:r>
      <w:r>
        <w:rPr>
          <w:color w:val="212121"/>
          <w:w w:val="105"/>
        </w:rPr>
        <w:t>in 2018, as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well as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extensive public submissions, and group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and individual consultations conducted by the Australian Human Rights Commission (AHRC). The National Inquiry was also supported by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economic analysis unde</w:t>
      </w:r>
      <w:r w:rsidR="00A51405">
        <w:rPr>
          <w:color w:val="212121"/>
          <w:w w:val="105"/>
        </w:rPr>
        <w:t>r</w:t>
      </w:r>
      <w:r>
        <w:rPr>
          <w:color w:val="212121"/>
          <w:w w:val="105"/>
        </w:rPr>
        <w:t>taken by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Deloitte Access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Economics (Deloitte).</w:t>
      </w:r>
    </w:p>
    <w:p w:rsidR="004E0487" w:rsidRDefault="004E0487">
      <w:pPr>
        <w:pStyle w:val="BodyText"/>
        <w:spacing w:before="4"/>
        <w:rPr>
          <w:sz w:val="26"/>
        </w:rPr>
      </w:pPr>
    </w:p>
    <w:p w:rsidR="004E0487" w:rsidRDefault="007F25B5">
      <w:pPr>
        <w:pStyle w:val="BodyText"/>
        <w:spacing w:line="271" w:lineRule="auto"/>
        <w:ind w:left="146" w:right="289" w:hanging="2"/>
      </w:pPr>
      <w:r>
        <w:rPr>
          <w:color w:val="212121"/>
          <w:w w:val="105"/>
        </w:rPr>
        <w:t>In March 2020, the AHRC released the Repo</w:t>
      </w:r>
      <w:r w:rsidR="00A51405">
        <w:rPr>
          <w:color w:val="212121"/>
          <w:w w:val="105"/>
        </w:rPr>
        <w:t>r</w:t>
      </w:r>
      <w:r>
        <w:rPr>
          <w:color w:val="212121"/>
          <w:w w:val="105"/>
        </w:rPr>
        <w:t>t which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found that 33%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of Australian employees have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experienced sexual harassment in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the workplace in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the past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five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years (39%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women and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26%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of men). While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employees in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some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types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workplaces were more likely to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experience</w:t>
      </w:r>
      <w:r>
        <w:rPr>
          <w:color w:val="212121"/>
          <w:spacing w:val="25"/>
          <w:w w:val="105"/>
        </w:rPr>
        <w:t xml:space="preserve"> </w:t>
      </w:r>
      <w:r>
        <w:rPr>
          <w:color w:val="212121"/>
          <w:w w:val="105"/>
        </w:rPr>
        <w:t>harassment than others, the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Rep</w:t>
      </w:r>
      <w:r w:rsidR="003E6A73">
        <w:rPr>
          <w:color w:val="212121"/>
          <w:w w:val="105"/>
        </w:rPr>
        <w:t>or</w:t>
      </w:r>
      <w:r>
        <w:rPr>
          <w:color w:val="212121"/>
          <w:w w:val="105"/>
        </w:rPr>
        <w:t>t concluded that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sexual harassment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'occurs in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every industry, in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every location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eve</w:t>
      </w:r>
      <w:r w:rsidR="00A51405">
        <w:rPr>
          <w:color w:val="212121"/>
          <w:w w:val="105"/>
        </w:rPr>
        <w:t>r</w:t>
      </w:r>
      <w:r>
        <w:rPr>
          <w:color w:val="212121"/>
          <w:w w:val="105"/>
        </w:rPr>
        <w:t>y level, in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 xml:space="preserve">Australian </w:t>
      </w:r>
      <w:r>
        <w:rPr>
          <w:color w:val="212121"/>
          <w:spacing w:val="-2"/>
          <w:w w:val="105"/>
        </w:rPr>
        <w:t>workplaces.'</w:t>
      </w:r>
    </w:p>
    <w:p w:rsidR="004E0487" w:rsidRDefault="004E0487">
      <w:pPr>
        <w:spacing w:line="271" w:lineRule="auto"/>
        <w:sectPr w:rsidR="004E04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120" w:bottom="280" w:left="1540" w:header="720" w:footer="720" w:gutter="0"/>
          <w:cols w:space="720"/>
        </w:sectPr>
      </w:pPr>
    </w:p>
    <w:p w:rsidR="004E0487" w:rsidRDefault="004E0487">
      <w:pPr>
        <w:pStyle w:val="BodyText"/>
        <w:rPr>
          <w:sz w:val="20"/>
        </w:rPr>
      </w:pPr>
    </w:p>
    <w:p w:rsidR="004E0487" w:rsidRDefault="004E0487">
      <w:pPr>
        <w:pStyle w:val="BodyText"/>
        <w:spacing w:before="6"/>
        <w:rPr>
          <w:sz w:val="21"/>
        </w:rPr>
      </w:pPr>
    </w:p>
    <w:p w:rsidR="004E0487" w:rsidRDefault="007F25B5">
      <w:pPr>
        <w:pStyle w:val="BodyText"/>
        <w:spacing w:before="91" w:line="271" w:lineRule="auto"/>
        <w:ind w:left="153" w:right="680" w:firstLine="1"/>
      </w:pPr>
      <w:r>
        <w:rPr>
          <w:color w:val="212123"/>
          <w:w w:val="105"/>
        </w:rPr>
        <w:t>The Report made 55 recommendations</w:t>
      </w:r>
      <w:r>
        <w:rPr>
          <w:color w:val="212123"/>
          <w:spacing w:val="-9"/>
          <w:w w:val="105"/>
        </w:rPr>
        <w:t xml:space="preserve"> </w:t>
      </w:r>
      <w:r>
        <w:rPr>
          <w:color w:val="212123"/>
          <w:w w:val="105"/>
        </w:rPr>
        <w:t>addressed to all levels of government</w:t>
      </w:r>
      <w:r>
        <w:rPr>
          <w:color w:val="3B3A3B"/>
          <w:w w:val="105"/>
        </w:rPr>
        <w:t>,</w:t>
      </w:r>
      <w:r>
        <w:rPr>
          <w:color w:val="3B3A3B"/>
          <w:spacing w:val="-5"/>
          <w:w w:val="105"/>
        </w:rPr>
        <w:t xml:space="preserve"> </w:t>
      </w:r>
      <w:r>
        <w:rPr>
          <w:color w:val="212123"/>
          <w:w w:val="105"/>
        </w:rPr>
        <w:t>the private</w:t>
      </w:r>
      <w:r>
        <w:rPr>
          <w:color w:val="212123"/>
          <w:spacing w:val="-10"/>
          <w:w w:val="105"/>
        </w:rPr>
        <w:t xml:space="preserve"> </w:t>
      </w:r>
      <w:r>
        <w:rPr>
          <w:color w:val="212123"/>
          <w:w w:val="105"/>
        </w:rPr>
        <w:t>sector</w:t>
      </w:r>
      <w:r>
        <w:rPr>
          <w:color w:val="212123"/>
          <w:spacing w:val="-8"/>
          <w:w w:val="105"/>
        </w:rPr>
        <w:t xml:space="preserve"> </w:t>
      </w:r>
      <w:r>
        <w:rPr>
          <w:color w:val="212123"/>
          <w:w w:val="105"/>
        </w:rPr>
        <w:t>and the</w:t>
      </w:r>
      <w:r>
        <w:rPr>
          <w:color w:val="212123"/>
          <w:spacing w:val="-14"/>
          <w:w w:val="105"/>
        </w:rPr>
        <w:t xml:space="preserve"> </w:t>
      </w:r>
      <w:r>
        <w:rPr>
          <w:color w:val="212123"/>
          <w:w w:val="105"/>
        </w:rPr>
        <w:t>community with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respect</w:t>
      </w:r>
      <w:r>
        <w:rPr>
          <w:color w:val="212123"/>
          <w:spacing w:val="-8"/>
          <w:w w:val="105"/>
        </w:rPr>
        <w:t xml:space="preserve"> </w:t>
      </w:r>
      <w:r>
        <w:rPr>
          <w:color w:val="212123"/>
          <w:w w:val="105"/>
        </w:rPr>
        <w:t>to</w:t>
      </w:r>
      <w:r>
        <w:rPr>
          <w:color w:val="212123"/>
          <w:spacing w:val="-10"/>
          <w:w w:val="105"/>
        </w:rPr>
        <w:t xml:space="preserve"> </w:t>
      </w:r>
      <w:r>
        <w:rPr>
          <w:color w:val="212123"/>
          <w:w w:val="105"/>
        </w:rPr>
        <w:t>preventing and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addressing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sexual harassment in Australian workplaces</w:t>
      </w:r>
      <w:r>
        <w:rPr>
          <w:color w:val="3B3A3B"/>
          <w:w w:val="105"/>
        </w:rPr>
        <w:t>,</w:t>
      </w:r>
      <w:r>
        <w:rPr>
          <w:color w:val="3B3A3B"/>
          <w:spacing w:val="-11"/>
          <w:w w:val="105"/>
        </w:rPr>
        <w:t xml:space="preserve"> </w:t>
      </w:r>
      <w:r>
        <w:rPr>
          <w:color w:val="212123"/>
          <w:w w:val="105"/>
        </w:rPr>
        <w:t>and providing greater supp</w:t>
      </w:r>
      <w:r w:rsidR="003E6A73">
        <w:rPr>
          <w:color w:val="212123"/>
          <w:w w:val="105"/>
        </w:rPr>
        <w:t>or</w:t>
      </w:r>
      <w:r>
        <w:rPr>
          <w:color w:val="212123"/>
          <w:w w:val="105"/>
        </w:rPr>
        <w:t>t when it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 xml:space="preserve">does </w:t>
      </w:r>
      <w:r>
        <w:rPr>
          <w:color w:val="212123"/>
          <w:spacing w:val="-2"/>
          <w:w w:val="105"/>
        </w:rPr>
        <w:t>occur.</w:t>
      </w:r>
    </w:p>
    <w:p w:rsidR="004E0487" w:rsidRDefault="004E0487">
      <w:pPr>
        <w:pStyle w:val="BodyText"/>
        <w:spacing w:before="3"/>
        <w:rPr>
          <w:sz w:val="27"/>
        </w:rPr>
      </w:pPr>
    </w:p>
    <w:p w:rsidR="004E0487" w:rsidRDefault="007F25B5">
      <w:pPr>
        <w:ind w:left="151"/>
        <w:rPr>
          <w:b/>
        </w:rPr>
      </w:pPr>
      <w:r>
        <w:rPr>
          <w:b/>
          <w:color w:val="212123"/>
          <w:w w:val="110"/>
        </w:rPr>
        <w:t>Implementation</w:t>
      </w:r>
      <w:r>
        <w:rPr>
          <w:b/>
          <w:color w:val="212123"/>
          <w:spacing w:val="-8"/>
          <w:w w:val="110"/>
        </w:rPr>
        <w:t xml:space="preserve"> </w:t>
      </w:r>
      <w:r>
        <w:rPr>
          <w:b/>
          <w:color w:val="212123"/>
          <w:w w:val="110"/>
        </w:rPr>
        <w:t>of</w:t>
      </w:r>
      <w:r>
        <w:rPr>
          <w:b/>
          <w:color w:val="212123"/>
          <w:spacing w:val="-3"/>
          <w:w w:val="110"/>
        </w:rPr>
        <w:t xml:space="preserve"> </w:t>
      </w:r>
      <w:r>
        <w:rPr>
          <w:b/>
          <w:color w:val="212123"/>
          <w:w w:val="110"/>
        </w:rPr>
        <w:t>the</w:t>
      </w:r>
      <w:r>
        <w:rPr>
          <w:b/>
          <w:color w:val="212123"/>
          <w:spacing w:val="-11"/>
          <w:w w:val="110"/>
        </w:rPr>
        <w:t xml:space="preserve"> </w:t>
      </w:r>
      <w:r>
        <w:rPr>
          <w:b/>
          <w:color w:val="212123"/>
          <w:spacing w:val="-2"/>
          <w:w w:val="110"/>
        </w:rPr>
        <w:t>Report</w:t>
      </w:r>
    </w:p>
    <w:p w:rsidR="004E0487" w:rsidRDefault="004E0487">
      <w:pPr>
        <w:pStyle w:val="BodyText"/>
        <w:rPr>
          <w:b/>
          <w:sz w:val="29"/>
        </w:rPr>
      </w:pPr>
    </w:p>
    <w:p w:rsidR="004E0487" w:rsidRDefault="007F25B5">
      <w:pPr>
        <w:pStyle w:val="BodyText"/>
        <w:spacing w:line="273" w:lineRule="auto"/>
        <w:ind w:left="152" w:right="1067" w:firstLine="1"/>
      </w:pPr>
      <w:r>
        <w:rPr>
          <w:color w:val="212123"/>
          <w:w w:val="105"/>
        </w:rPr>
        <w:t>The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regulatory burden</w:t>
      </w:r>
      <w:r>
        <w:rPr>
          <w:color w:val="212123"/>
          <w:spacing w:val="-8"/>
          <w:w w:val="105"/>
        </w:rPr>
        <w:t xml:space="preserve"> </w:t>
      </w:r>
      <w:r>
        <w:rPr>
          <w:color w:val="212123"/>
          <w:w w:val="105"/>
        </w:rPr>
        <w:t>to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business,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community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organisations or</w:t>
      </w:r>
      <w:r>
        <w:rPr>
          <w:color w:val="212123"/>
          <w:spacing w:val="-11"/>
          <w:w w:val="105"/>
        </w:rPr>
        <w:t xml:space="preserve"> </w:t>
      </w:r>
      <w:r>
        <w:rPr>
          <w:color w:val="212123"/>
          <w:w w:val="105"/>
        </w:rPr>
        <w:t>individuals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of</w:t>
      </w:r>
      <w:r>
        <w:rPr>
          <w:color w:val="212123"/>
          <w:spacing w:val="-12"/>
          <w:w w:val="105"/>
        </w:rPr>
        <w:t xml:space="preserve"> </w:t>
      </w:r>
      <w:r>
        <w:rPr>
          <w:color w:val="212123"/>
          <w:w w:val="105"/>
        </w:rPr>
        <w:t>the Rep</w:t>
      </w:r>
      <w:r w:rsidR="003E6A73">
        <w:rPr>
          <w:color w:val="212123"/>
          <w:w w:val="105"/>
        </w:rPr>
        <w:t>or</w:t>
      </w:r>
      <w:r>
        <w:rPr>
          <w:color w:val="212123"/>
          <w:w w:val="105"/>
        </w:rPr>
        <w:t>t is quantified</w:t>
      </w:r>
      <w:r>
        <w:rPr>
          <w:color w:val="212123"/>
          <w:spacing w:val="31"/>
          <w:w w:val="105"/>
        </w:rPr>
        <w:t xml:space="preserve"> </w:t>
      </w:r>
      <w:r>
        <w:rPr>
          <w:color w:val="212123"/>
          <w:w w:val="105"/>
        </w:rPr>
        <w:t>using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the Australian Government'</w:t>
      </w:r>
      <w:r>
        <w:rPr>
          <w:color w:val="3B3A3B"/>
          <w:w w:val="105"/>
        </w:rPr>
        <w:t>s</w:t>
      </w:r>
      <w:r>
        <w:rPr>
          <w:color w:val="3B3A3B"/>
          <w:spacing w:val="-4"/>
          <w:w w:val="105"/>
        </w:rPr>
        <w:t xml:space="preserve"> </w:t>
      </w:r>
      <w:r>
        <w:rPr>
          <w:color w:val="212123"/>
          <w:w w:val="105"/>
        </w:rPr>
        <w:t>Regulatory Burden Measurement framework and is provided below</w:t>
      </w:r>
      <w:r>
        <w:rPr>
          <w:color w:val="3B3A3B"/>
          <w:w w:val="105"/>
        </w:rPr>
        <w:t>.</w:t>
      </w:r>
    </w:p>
    <w:p w:rsidR="004E0487" w:rsidRDefault="004E0487">
      <w:pPr>
        <w:pStyle w:val="BodyText"/>
        <w:spacing w:before="10"/>
        <w:rPr>
          <w:sz w:val="25"/>
        </w:rPr>
      </w:pPr>
    </w:p>
    <w:p w:rsidR="004E0487" w:rsidRDefault="007F25B5">
      <w:pPr>
        <w:pStyle w:val="BodyText"/>
        <w:spacing w:line="271" w:lineRule="auto"/>
        <w:ind w:left="147" w:right="692" w:firstLine="1"/>
      </w:pPr>
      <w:r>
        <w:rPr>
          <w:color w:val="212123"/>
          <w:w w:val="105"/>
        </w:rPr>
        <w:t>The Government has committed to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fully implementing all recommendations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of the Report. This includes introducing a positive duty on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employers to prevent sex discrimination</w:t>
      </w:r>
      <w:r>
        <w:rPr>
          <w:color w:val="3B3A3B"/>
          <w:w w:val="105"/>
        </w:rPr>
        <w:t>,</w:t>
      </w:r>
      <w:r>
        <w:rPr>
          <w:color w:val="3B3A3B"/>
          <w:spacing w:val="-8"/>
          <w:w w:val="105"/>
        </w:rPr>
        <w:t xml:space="preserve"> </w:t>
      </w:r>
      <w:r>
        <w:rPr>
          <w:color w:val="212123"/>
          <w:w w:val="105"/>
        </w:rPr>
        <w:t>sexual harassment, harassment on the ground of sex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 xml:space="preserve">and victimisation in the Sex Discrimination Act 1984 (Sex Discrimination Act) with </w:t>
      </w:r>
      <w:r>
        <w:rPr>
          <w:color w:val="3B3A3B"/>
          <w:w w:val="105"/>
        </w:rPr>
        <w:t>a</w:t>
      </w:r>
      <w:r>
        <w:rPr>
          <w:color w:val="212123"/>
          <w:w w:val="105"/>
        </w:rPr>
        <w:t>ssociated enforcement powers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for</w:t>
      </w:r>
      <w:r>
        <w:rPr>
          <w:color w:val="212123"/>
          <w:spacing w:val="-9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AHRC.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A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compliance cost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has been identified as</w:t>
      </w:r>
      <w:r>
        <w:rPr>
          <w:color w:val="212123"/>
          <w:spacing w:val="-13"/>
          <w:w w:val="105"/>
        </w:rPr>
        <w:t xml:space="preserve"> </w:t>
      </w:r>
      <w:r>
        <w:rPr>
          <w:color w:val="212123"/>
          <w:w w:val="105"/>
        </w:rPr>
        <w:t>attaching to the positive duty.</w:t>
      </w:r>
    </w:p>
    <w:p w:rsidR="004E0487" w:rsidRDefault="004E0487">
      <w:pPr>
        <w:pStyle w:val="BodyText"/>
        <w:spacing w:before="9"/>
        <w:rPr>
          <w:sz w:val="26"/>
        </w:rPr>
      </w:pPr>
    </w:p>
    <w:p w:rsidR="004E0487" w:rsidRDefault="007F25B5">
      <w:pPr>
        <w:pStyle w:val="BodyText"/>
        <w:spacing w:line="271" w:lineRule="auto"/>
        <w:ind w:left="147" w:right="692" w:firstLine="1"/>
      </w:pPr>
      <w:r>
        <w:rPr>
          <w:color w:val="212123"/>
          <w:w w:val="105"/>
        </w:rPr>
        <w:t>The positive duty will apply to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all employers given the broad application of the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>Sex Discrimination</w:t>
      </w:r>
      <w:r>
        <w:rPr>
          <w:color w:val="212123"/>
          <w:spacing w:val="-16"/>
          <w:w w:val="105"/>
        </w:rPr>
        <w:t xml:space="preserve"> </w:t>
      </w:r>
      <w:r>
        <w:rPr>
          <w:color w:val="212123"/>
          <w:w w:val="105"/>
        </w:rPr>
        <w:t>Act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across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economy, and the pervasive nature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of</w:t>
      </w:r>
      <w:r>
        <w:rPr>
          <w:color w:val="212123"/>
          <w:spacing w:val="-9"/>
          <w:w w:val="105"/>
        </w:rPr>
        <w:t xml:space="preserve"> </w:t>
      </w:r>
      <w:r>
        <w:rPr>
          <w:color w:val="212123"/>
          <w:w w:val="105"/>
        </w:rPr>
        <w:t>sexual harassment in all Australian workplaces</w:t>
      </w:r>
      <w:r>
        <w:rPr>
          <w:color w:val="3B3A3B"/>
          <w:w w:val="105"/>
        </w:rPr>
        <w:t>.</w:t>
      </w:r>
      <w:r>
        <w:rPr>
          <w:color w:val="3B3A3B"/>
          <w:spacing w:val="-9"/>
          <w:w w:val="105"/>
        </w:rPr>
        <w:t xml:space="preserve"> </w:t>
      </w:r>
      <w:r>
        <w:rPr>
          <w:color w:val="212123"/>
          <w:w w:val="105"/>
        </w:rPr>
        <w:t>Australian employers already have responsibilities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to prevent sexual harassment under existing laws: both to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ensure they are not held vicariously</w:t>
      </w:r>
      <w:r>
        <w:rPr>
          <w:color w:val="212123"/>
          <w:spacing w:val="33"/>
          <w:w w:val="105"/>
        </w:rPr>
        <w:t xml:space="preserve"> </w:t>
      </w:r>
      <w:r>
        <w:rPr>
          <w:color w:val="212123"/>
          <w:w w:val="105"/>
        </w:rPr>
        <w:t>liable for sexual harassment</w:t>
      </w:r>
      <w:r>
        <w:rPr>
          <w:color w:val="212123"/>
          <w:spacing w:val="31"/>
          <w:w w:val="105"/>
        </w:rPr>
        <w:t xml:space="preserve"> </w:t>
      </w:r>
      <w:r>
        <w:rPr>
          <w:color w:val="212123"/>
          <w:w w:val="105"/>
        </w:rPr>
        <w:t>under the Sex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Discrimination</w:t>
      </w:r>
      <w:r>
        <w:rPr>
          <w:color w:val="212123"/>
          <w:spacing w:val="-9"/>
          <w:w w:val="105"/>
        </w:rPr>
        <w:t xml:space="preserve"> </w:t>
      </w:r>
      <w:r>
        <w:rPr>
          <w:color w:val="212123"/>
          <w:w w:val="105"/>
        </w:rPr>
        <w:t>Act and to ensure the health and safety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of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their workers pursuant to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the positive duty under Work Health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and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Safety laws.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Consequently, the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positive duty in</w:t>
      </w:r>
      <w:r>
        <w:rPr>
          <w:color w:val="212123"/>
          <w:spacing w:val="-10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8"/>
          <w:w w:val="105"/>
        </w:rPr>
        <w:t xml:space="preserve"> </w:t>
      </w:r>
      <w:r>
        <w:rPr>
          <w:color w:val="212123"/>
          <w:w w:val="105"/>
        </w:rPr>
        <w:t>Sex</w:t>
      </w:r>
      <w:r>
        <w:rPr>
          <w:color w:val="212123"/>
          <w:spacing w:val="-10"/>
          <w:w w:val="105"/>
        </w:rPr>
        <w:t xml:space="preserve"> </w:t>
      </w:r>
      <w:r>
        <w:rPr>
          <w:color w:val="212123"/>
          <w:w w:val="105"/>
        </w:rPr>
        <w:t>Discrimination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Act will not impose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a substantially</w:t>
      </w:r>
      <w:r>
        <w:rPr>
          <w:color w:val="212123"/>
          <w:spacing w:val="34"/>
          <w:w w:val="105"/>
        </w:rPr>
        <w:t xml:space="preserve"> </w:t>
      </w:r>
      <w:r>
        <w:rPr>
          <w:color w:val="212123"/>
          <w:w w:val="105"/>
        </w:rPr>
        <w:t>new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or increased regulatory burden on</w:t>
      </w:r>
      <w:r>
        <w:rPr>
          <w:color w:val="212123"/>
          <w:spacing w:val="-9"/>
          <w:w w:val="105"/>
        </w:rPr>
        <w:t xml:space="preserve"> </w:t>
      </w:r>
      <w:r>
        <w:rPr>
          <w:color w:val="212123"/>
          <w:w w:val="105"/>
        </w:rPr>
        <w:t>employers</w:t>
      </w:r>
      <w:r>
        <w:rPr>
          <w:color w:val="3B3A3B"/>
          <w:w w:val="105"/>
        </w:rPr>
        <w:t>.</w:t>
      </w:r>
      <w:r>
        <w:rPr>
          <w:color w:val="3B3A3B"/>
          <w:spacing w:val="-15"/>
          <w:w w:val="105"/>
        </w:rPr>
        <w:t xml:space="preserve"> </w:t>
      </w:r>
      <w:r>
        <w:rPr>
          <w:color w:val="212123"/>
          <w:w w:val="105"/>
        </w:rPr>
        <w:t>It is proposed that</w:t>
      </w:r>
      <w:r>
        <w:rPr>
          <w:color w:val="212123"/>
          <w:spacing w:val="-11"/>
          <w:w w:val="105"/>
        </w:rPr>
        <w:t xml:space="preserve"> </w:t>
      </w:r>
      <w:r>
        <w:rPr>
          <w:color w:val="212123"/>
          <w:w w:val="105"/>
        </w:rPr>
        <w:t>enforcement of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positive duty obligation will be</w:t>
      </w:r>
      <w:r>
        <w:rPr>
          <w:color w:val="212123"/>
          <w:spacing w:val="-9"/>
          <w:w w:val="105"/>
        </w:rPr>
        <w:t xml:space="preserve"> </w:t>
      </w:r>
      <w:r>
        <w:rPr>
          <w:color w:val="212123"/>
          <w:w w:val="105"/>
        </w:rPr>
        <w:t>scaled base</w:t>
      </w:r>
      <w:r w:rsidR="003E6A73">
        <w:rPr>
          <w:color w:val="212123"/>
          <w:w w:val="105"/>
        </w:rPr>
        <w:t xml:space="preserve">d </w:t>
      </w:r>
      <w:r>
        <w:rPr>
          <w:color w:val="212123"/>
          <w:w w:val="105"/>
        </w:rPr>
        <w:t>on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>the size and circumstances of the business</w:t>
      </w:r>
      <w:r>
        <w:rPr>
          <w:color w:val="3B3A3B"/>
          <w:w w:val="105"/>
        </w:rPr>
        <w:t>,</w:t>
      </w:r>
      <w:r>
        <w:rPr>
          <w:color w:val="3B3A3B"/>
          <w:spacing w:val="-8"/>
          <w:w w:val="105"/>
        </w:rPr>
        <w:t xml:space="preserve"> </w:t>
      </w:r>
      <w:r>
        <w:rPr>
          <w:color w:val="212123"/>
          <w:w w:val="105"/>
        </w:rPr>
        <w:t>as is currently the case with existing like obligations under the Sex Discrimination Act.</w:t>
      </w:r>
    </w:p>
    <w:p w:rsidR="004E0487" w:rsidRDefault="004E0487">
      <w:pPr>
        <w:pStyle w:val="BodyText"/>
        <w:spacing w:before="5"/>
        <w:rPr>
          <w:sz w:val="26"/>
        </w:rPr>
      </w:pPr>
    </w:p>
    <w:p w:rsidR="004E0487" w:rsidRDefault="007F25B5">
      <w:pPr>
        <w:pStyle w:val="BodyText"/>
        <w:spacing w:line="271" w:lineRule="auto"/>
        <w:ind w:left="153" w:right="692" w:hanging="4"/>
      </w:pPr>
      <w:r>
        <w:rPr>
          <w:color w:val="212123"/>
          <w:w w:val="105"/>
        </w:rPr>
        <w:t>Nonetheless, in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short-term, small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>and medium businesses will incur minor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start-up costs</w:t>
      </w:r>
      <w:r>
        <w:rPr>
          <w:color w:val="212123"/>
          <w:spacing w:val="-8"/>
          <w:w w:val="105"/>
        </w:rPr>
        <w:t xml:space="preserve"> </w:t>
      </w:r>
      <w:r>
        <w:rPr>
          <w:color w:val="212123"/>
          <w:w w:val="105"/>
        </w:rPr>
        <w:t>associated with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>understanding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legislative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changes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and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updating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their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policies, which are unlikely to be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>formal or detailed. For larger businesses</w:t>
      </w:r>
      <w:r>
        <w:rPr>
          <w:color w:val="3B3A3B"/>
          <w:w w:val="105"/>
        </w:rPr>
        <w:t>,</w:t>
      </w:r>
      <w:r>
        <w:rPr>
          <w:color w:val="3B3A3B"/>
          <w:spacing w:val="-4"/>
          <w:w w:val="105"/>
        </w:rPr>
        <w:t xml:space="preserve"> </w:t>
      </w:r>
      <w:r>
        <w:rPr>
          <w:color w:val="212123"/>
          <w:w w:val="105"/>
        </w:rPr>
        <w:t>costs will involve legal or human resources staff time to update existing internal policies and training materials to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reflect legislative changes. These updates should be minimal given the existing responsibilities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of Australian employers outlined above. For small and medium businesses, understanding the legislative changes will likely be based on information provided by third parties</w:t>
      </w:r>
      <w:r>
        <w:rPr>
          <w:color w:val="3B3A3B"/>
          <w:w w:val="105"/>
        </w:rPr>
        <w:t>,</w:t>
      </w:r>
      <w:r>
        <w:rPr>
          <w:color w:val="3B3A3B"/>
          <w:spacing w:val="-8"/>
          <w:w w:val="105"/>
        </w:rPr>
        <w:t xml:space="preserve"> </w:t>
      </w:r>
      <w:r>
        <w:rPr>
          <w:color w:val="212123"/>
          <w:w w:val="105"/>
        </w:rPr>
        <w:t>such as industry and representative bodies. The AHRC will also make education and guidance materials available for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>all employers, tailored to small, medium and large businesses.</w:t>
      </w:r>
    </w:p>
    <w:p w:rsidR="004E0487" w:rsidRDefault="004E0487">
      <w:pPr>
        <w:pStyle w:val="BodyText"/>
        <w:spacing w:before="6"/>
        <w:rPr>
          <w:sz w:val="26"/>
        </w:rPr>
      </w:pPr>
    </w:p>
    <w:p w:rsidR="004E0487" w:rsidRDefault="007F25B5">
      <w:pPr>
        <w:pStyle w:val="BodyText"/>
        <w:spacing w:line="266" w:lineRule="auto"/>
        <w:ind w:left="171" w:hanging="8"/>
      </w:pPr>
      <w:r>
        <w:rPr>
          <w:color w:val="212123"/>
          <w:w w:val="105"/>
        </w:rPr>
        <w:t>These initial costs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will be</w:t>
      </w:r>
      <w:r>
        <w:rPr>
          <w:color w:val="212123"/>
          <w:spacing w:val="-10"/>
          <w:w w:val="105"/>
        </w:rPr>
        <w:t xml:space="preserve"> </w:t>
      </w:r>
      <w:r>
        <w:rPr>
          <w:color w:val="212123"/>
          <w:w w:val="105"/>
        </w:rPr>
        <w:t>offset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in</w:t>
      </w:r>
      <w:r>
        <w:rPr>
          <w:color w:val="212123"/>
          <w:spacing w:val="-13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longer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term by</w:t>
      </w:r>
      <w:r>
        <w:rPr>
          <w:color w:val="212123"/>
          <w:spacing w:val="-8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13"/>
          <w:w w:val="105"/>
        </w:rPr>
        <w:t xml:space="preserve"> </w:t>
      </w:r>
      <w:r>
        <w:rPr>
          <w:color w:val="212123"/>
          <w:w w:val="105"/>
        </w:rPr>
        <w:t>financial</w:t>
      </w:r>
      <w:r>
        <w:rPr>
          <w:color w:val="212123"/>
          <w:spacing w:val="13"/>
          <w:w w:val="105"/>
        </w:rPr>
        <w:t xml:space="preserve"> </w:t>
      </w:r>
      <w:r>
        <w:rPr>
          <w:color w:val="212123"/>
          <w:w w:val="105"/>
        </w:rPr>
        <w:t>benefits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accruing</w:t>
      </w:r>
      <w:r>
        <w:rPr>
          <w:color w:val="212123"/>
          <w:spacing w:val="-8"/>
          <w:w w:val="105"/>
        </w:rPr>
        <w:t xml:space="preserve"> </w:t>
      </w:r>
      <w:r>
        <w:rPr>
          <w:color w:val="212123"/>
          <w:w w:val="105"/>
        </w:rPr>
        <w:t>to business associated with the prevention of sexual harassment. Deloitte estimated that</w:t>
      </w:r>
    </w:p>
    <w:p w:rsidR="004E0487" w:rsidRDefault="004E0487">
      <w:pPr>
        <w:spacing w:line="266" w:lineRule="auto"/>
        <w:sectPr w:rsidR="004E0487">
          <w:footerReference w:type="default" r:id="rId13"/>
          <w:pgSz w:w="11910" w:h="16840"/>
          <w:pgMar w:top="1580" w:right="1120" w:bottom="1160" w:left="1540" w:header="0" w:footer="962" w:gutter="0"/>
          <w:pgNumType w:start="2"/>
          <w:cols w:space="720"/>
        </w:sectPr>
      </w:pPr>
    </w:p>
    <w:p w:rsidR="004E0487" w:rsidRDefault="004E0487">
      <w:pPr>
        <w:pStyle w:val="BodyText"/>
        <w:spacing w:before="2"/>
        <w:rPr>
          <w:sz w:val="15"/>
        </w:rPr>
      </w:pPr>
    </w:p>
    <w:p w:rsidR="004E0487" w:rsidRDefault="007F25B5">
      <w:pPr>
        <w:pStyle w:val="BodyText"/>
        <w:spacing w:before="91" w:line="271" w:lineRule="auto"/>
        <w:ind w:left="129" w:right="692" w:firstLine="1"/>
      </w:pPr>
      <w:r>
        <w:rPr>
          <w:color w:val="212123"/>
          <w:w w:val="105"/>
        </w:rPr>
        <w:t>sexual harassment costs the Australian economy approximately $3.8 billion in 2018, predominately through lost productivity in the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private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sector.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Consequently</w:t>
      </w:r>
      <w:r>
        <w:rPr>
          <w:color w:val="3D3D3D"/>
          <w:w w:val="105"/>
        </w:rPr>
        <w:t>,</w:t>
      </w:r>
      <w:r>
        <w:rPr>
          <w:color w:val="3D3D3D"/>
          <w:spacing w:val="-1"/>
          <w:w w:val="105"/>
        </w:rPr>
        <w:t xml:space="preserve"> </w:t>
      </w:r>
      <w:r>
        <w:rPr>
          <w:color w:val="212123"/>
          <w:w w:val="105"/>
        </w:rPr>
        <w:t>reducing the</w:t>
      </w:r>
      <w:r>
        <w:rPr>
          <w:color w:val="212123"/>
          <w:spacing w:val="-10"/>
          <w:w w:val="105"/>
        </w:rPr>
        <w:t xml:space="preserve"> </w:t>
      </w:r>
      <w:r>
        <w:rPr>
          <w:color w:val="212123"/>
          <w:w w:val="105"/>
        </w:rPr>
        <w:t>prevalence of</w:t>
      </w:r>
      <w:r>
        <w:rPr>
          <w:color w:val="212123"/>
          <w:spacing w:val="-14"/>
          <w:w w:val="105"/>
        </w:rPr>
        <w:t xml:space="preserve"> </w:t>
      </w:r>
      <w:r>
        <w:rPr>
          <w:color w:val="212123"/>
          <w:w w:val="105"/>
        </w:rPr>
        <w:t>sexual harassment in</w:t>
      </w:r>
      <w:r>
        <w:rPr>
          <w:color w:val="212123"/>
          <w:spacing w:val="-12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12"/>
          <w:w w:val="105"/>
        </w:rPr>
        <w:t xml:space="preserve"> </w:t>
      </w:r>
      <w:r>
        <w:rPr>
          <w:color w:val="212123"/>
          <w:w w:val="105"/>
        </w:rPr>
        <w:t>workplace will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drive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increased productivity through improving employee job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satisfaction and wellbeing, and decreasing staff absenteeism and turnover. It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will also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>decrease costs associated with responding to sexual harassment complaints.</w:t>
      </w:r>
    </w:p>
    <w:p w:rsidR="004E0487" w:rsidRDefault="004E0487">
      <w:pPr>
        <w:pStyle w:val="BodyText"/>
        <w:spacing w:before="4"/>
        <w:rPr>
          <w:sz w:val="26"/>
        </w:rPr>
      </w:pPr>
    </w:p>
    <w:p w:rsidR="004E0487" w:rsidRDefault="007F25B5">
      <w:pPr>
        <w:pStyle w:val="BodyText"/>
        <w:spacing w:line="271" w:lineRule="auto"/>
        <w:ind w:left="128" w:right="724" w:firstLine="6"/>
      </w:pPr>
      <w:r>
        <w:rPr>
          <w:color w:val="212123"/>
          <w:w w:val="105"/>
        </w:rPr>
        <w:t>The primary purpose of introducing the positive duty into the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Sex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>Discrimination Act is to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shift the burden of addressing sexual harassment away from individuals making complaints, onto employers to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take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the preventative action already required under</w:t>
      </w:r>
      <w:r>
        <w:rPr>
          <w:color w:val="212123"/>
          <w:spacing w:val="40"/>
          <w:w w:val="105"/>
        </w:rPr>
        <w:t xml:space="preserve"> </w:t>
      </w:r>
      <w:r>
        <w:rPr>
          <w:color w:val="212123"/>
          <w:w w:val="105"/>
        </w:rPr>
        <w:t>other legislative frameworks.</w:t>
      </w:r>
      <w:r>
        <w:rPr>
          <w:color w:val="212123"/>
          <w:spacing w:val="40"/>
          <w:w w:val="105"/>
        </w:rPr>
        <w:t xml:space="preserve"> </w:t>
      </w:r>
      <w:r>
        <w:rPr>
          <w:color w:val="212123"/>
          <w:w w:val="105"/>
        </w:rPr>
        <w:t>Alleviating this burden will deliver compliance savings for individuals due to the shifting the responsibility for enforcing the law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from individuals to businesses. The community will also benefit through safer and more productive workplaces</w:t>
      </w:r>
      <w:r>
        <w:rPr>
          <w:color w:val="3D3D3D"/>
          <w:w w:val="105"/>
        </w:rPr>
        <w:t>,</w:t>
      </w:r>
      <w:r>
        <w:rPr>
          <w:color w:val="3D3D3D"/>
          <w:spacing w:val="-16"/>
          <w:w w:val="105"/>
        </w:rPr>
        <w:t xml:space="preserve"> </w:t>
      </w:r>
      <w:r>
        <w:rPr>
          <w:color w:val="212123"/>
          <w:w w:val="105"/>
        </w:rPr>
        <w:t>a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reduction</w:t>
      </w:r>
      <w:r>
        <w:rPr>
          <w:color w:val="212123"/>
          <w:spacing w:val="15"/>
          <w:w w:val="105"/>
        </w:rPr>
        <w:t xml:space="preserve"> </w:t>
      </w:r>
      <w:r>
        <w:rPr>
          <w:color w:val="212123"/>
          <w:w w:val="105"/>
        </w:rPr>
        <w:t>in</w:t>
      </w:r>
      <w:r>
        <w:rPr>
          <w:color w:val="212123"/>
          <w:spacing w:val="-12"/>
          <w:w w:val="105"/>
        </w:rPr>
        <w:t xml:space="preserve"> </w:t>
      </w:r>
      <w:r>
        <w:rPr>
          <w:color w:val="212123"/>
          <w:w w:val="105"/>
        </w:rPr>
        <w:t>complaints</w:t>
      </w:r>
      <w:r>
        <w:rPr>
          <w:color w:val="212123"/>
          <w:spacing w:val="14"/>
          <w:w w:val="105"/>
        </w:rPr>
        <w:t xml:space="preserve"> </w:t>
      </w:r>
      <w:r>
        <w:rPr>
          <w:color w:val="212123"/>
          <w:w w:val="105"/>
        </w:rPr>
        <w:t>lodged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with</w:t>
      </w:r>
      <w:r>
        <w:rPr>
          <w:color w:val="212123"/>
          <w:spacing w:val="-10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AHRC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over</w:t>
      </w:r>
      <w:r>
        <w:rPr>
          <w:color w:val="212123"/>
          <w:spacing w:val="-8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5"/>
          <w:w w:val="105"/>
        </w:rPr>
        <w:t xml:space="preserve"> </w:t>
      </w:r>
      <w:r>
        <w:rPr>
          <w:color w:val="212123"/>
          <w:w w:val="105"/>
        </w:rPr>
        <w:t>long term, and reduced pressure on legal</w:t>
      </w:r>
      <w:r>
        <w:rPr>
          <w:color w:val="3D3D3D"/>
          <w:w w:val="105"/>
        </w:rPr>
        <w:t>,</w:t>
      </w:r>
      <w:r>
        <w:rPr>
          <w:color w:val="3D3D3D"/>
          <w:spacing w:val="-3"/>
          <w:w w:val="105"/>
        </w:rPr>
        <w:t xml:space="preserve"> </w:t>
      </w:r>
      <w:r>
        <w:rPr>
          <w:color w:val="212123"/>
          <w:w w:val="105"/>
        </w:rPr>
        <w:t>advocacy and suppo</w:t>
      </w:r>
      <w:r w:rsidR="003E6A73">
        <w:rPr>
          <w:color w:val="212123"/>
          <w:w w:val="105"/>
        </w:rPr>
        <w:t>rt</w:t>
      </w:r>
      <w:r>
        <w:rPr>
          <w:color w:val="212123"/>
          <w:w w:val="105"/>
        </w:rPr>
        <w:t xml:space="preserve"> services</w:t>
      </w:r>
      <w:r>
        <w:rPr>
          <w:color w:val="3D3D3D"/>
          <w:w w:val="105"/>
        </w:rPr>
        <w:t>.</w:t>
      </w:r>
    </w:p>
    <w:p w:rsidR="004E0487" w:rsidRDefault="004E0487">
      <w:pPr>
        <w:pStyle w:val="BodyText"/>
        <w:rPr>
          <w:sz w:val="20"/>
        </w:rPr>
      </w:pPr>
    </w:p>
    <w:p w:rsidR="003E6A73" w:rsidRDefault="003E6A73">
      <w:pPr>
        <w:pStyle w:val="BodyText"/>
        <w:rPr>
          <w:sz w:val="20"/>
        </w:rPr>
      </w:pPr>
      <w:r>
        <w:rPr>
          <w:noProof/>
          <w:lang w:val="en-AU" w:eastAsia="en-AU"/>
        </w:rPr>
        <w:drawing>
          <wp:inline distT="0" distB="0" distL="0" distR="0" wp14:anchorId="4C05CAF4" wp14:editId="2AE24A01">
            <wp:extent cx="5873750" cy="22815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73" w:rsidRDefault="003E6A73">
      <w:pPr>
        <w:pStyle w:val="BodyText"/>
        <w:rPr>
          <w:sz w:val="20"/>
        </w:rPr>
      </w:pPr>
    </w:p>
    <w:p w:rsidR="004E0487" w:rsidRDefault="007F25B5">
      <w:pPr>
        <w:pStyle w:val="BodyText"/>
        <w:spacing w:line="271" w:lineRule="auto"/>
        <w:ind w:left="133" w:firstLine="1"/>
      </w:pPr>
      <w:r>
        <w:rPr>
          <w:color w:val="212123"/>
          <w:w w:val="105"/>
        </w:rPr>
        <w:t>Accordingly</w:t>
      </w:r>
      <w:r>
        <w:rPr>
          <w:color w:val="3D3D3D"/>
          <w:w w:val="105"/>
        </w:rPr>
        <w:t>,</w:t>
      </w:r>
      <w:r>
        <w:rPr>
          <w:color w:val="3D3D3D"/>
          <w:spacing w:val="-16"/>
          <w:w w:val="105"/>
        </w:rPr>
        <w:t xml:space="preserve"> </w:t>
      </w:r>
      <w:r>
        <w:rPr>
          <w:color w:val="212123"/>
          <w:w w:val="105"/>
        </w:rPr>
        <w:t>I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am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satisfied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that</w:t>
      </w:r>
      <w:r>
        <w:rPr>
          <w:color w:val="212123"/>
          <w:spacing w:val="-11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9"/>
          <w:w w:val="105"/>
        </w:rPr>
        <w:t xml:space="preserve"> </w:t>
      </w:r>
      <w:r>
        <w:rPr>
          <w:color w:val="212123"/>
          <w:w w:val="105"/>
        </w:rPr>
        <w:t xml:space="preserve">attached </w:t>
      </w:r>
      <w:r w:rsidR="003E6A73">
        <w:rPr>
          <w:color w:val="212123"/>
          <w:w w:val="105"/>
        </w:rPr>
        <w:t>report</w:t>
      </w:r>
      <w:r>
        <w:rPr>
          <w:color w:val="212123"/>
          <w:w w:val="105"/>
        </w:rPr>
        <w:t xml:space="preserve"> is</w:t>
      </w:r>
      <w:r>
        <w:rPr>
          <w:color w:val="212123"/>
          <w:spacing w:val="-16"/>
          <w:w w:val="105"/>
        </w:rPr>
        <w:t xml:space="preserve"> </w:t>
      </w:r>
      <w:r>
        <w:rPr>
          <w:color w:val="212123"/>
          <w:w w:val="105"/>
        </w:rPr>
        <w:t>consistent with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11"/>
          <w:w w:val="105"/>
        </w:rPr>
        <w:t xml:space="preserve"> </w:t>
      </w:r>
      <w:r>
        <w:rPr>
          <w:color w:val="212123"/>
          <w:w w:val="105"/>
        </w:rPr>
        <w:t>Australian Government Guide to Regulatory Impact Analysis.</w:t>
      </w:r>
    </w:p>
    <w:p w:rsidR="004E0487" w:rsidRDefault="004E0487">
      <w:pPr>
        <w:pStyle w:val="BodyText"/>
        <w:spacing w:before="4"/>
        <w:rPr>
          <w:sz w:val="18"/>
        </w:rPr>
      </w:pPr>
    </w:p>
    <w:p w:rsidR="004E0487" w:rsidRDefault="007F25B5">
      <w:pPr>
        <w:pStyle w:val="BodyText"/>
        <w:spacing w:before="91"/>
        <w:ind w:left="144"/>
      </w:pPr>
      <w:r>
        <w:rPr>
          <w:color w:val="212123"/>
        </w:rPr>
        <w:t>Yours</w:t>
      </w:r>
      <w:r>
        <w:rPr>
          <w:color w:val="212123"/>
          <w:spacing w:val="20"/>
        </w:rPr>
        <w:t xml:space="preserve"> </w:t>
      </w:r>
      <w:r>
        <w:rPr>
          <w:color w:val="212123"/>
          <w:spacing w:val="-2"/>
        </w:rPr>
        <w:t>sincerely</w:t>
      </w:r>
    </w:p>
    <w:p w:rsidR="004E0487" w:rsidRDefault="004E0487">
      <w:pPr>
        <w:pStyle w:val="BodyText"/>
        <w:rPr>
          <w:sz w:val="20"/>
        </w:rPr>
      </w:pPr>
    </w:p>
    <w:p w:rsidR="003E6A73" w:rsidRDefault="003E6A73">
      <w:pPr>
        <w:pStyle w:val="BodyText"/>
        <w:rPr>
          <w:sz w:val="20"/>
        </w:rPr>
      </w:pPr>
      <w:r>
        <w:rPr>
          <w:noProof/>
          <w:lang w:val="en-AU" w:eastAsia="en-AU"/>
        </w:rPr>
        <w:drawing>
          <wp:inline distT="0" distB="0" distL="0" distR="0" wp14:anchorId="482B05CF" wp14:editId="50D4D1BF">
            <wp:extent cx="3609975" cy="820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6352"/>
                    <a:stretch/>
                  </pic:blipFill>
                  <pic:spPr bwMode="auto">
                    <a:xfrm>
                      <a:off x="0" y="0"/>
                      <a:ext cx="3609975" cy="82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487" w:rsidRDefault="007F25B5">
      <w:pPr>
        <w:pStyle w:val="BodyText"/>
        <w:spacing w:before="225"/>
        <w:ind w:left="137"/>
      </w:pPr>
      <w:r>
        <w:rPr>
          <w:color w:val="212123"/>
          <w:w w:val="105"/>
        </w:rPr>
        <w:t>Simon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spacing w:val="-2"/>
          <w:w w:val="105"/>
        </w:rPr>
        <w:t>Newnham</w:t>
      </w:r>
    </w:p>
    <w:p w:rsidR="004E0487" w:rsidRDefault="007F25B5">
      <w:pPr>
        <w:pStyle w:val="BodyText"/>
        <w:spacing w:before="34"/>
        <w:ind w:left="140"/>
      </w:pPr>
      <w:r>
        <w:rPr>
          <w:color w:val="212123"/>
          <w:w w:val="105"/>
        </w:rPr>
        <w:t>A/g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Deputy</w:t>
      </w:r>
      <w:r>
        <w:rPr>
          <w:color w:val="212123"/>
          <w:spacing w:val="6"/>
          <w:w w:val="105"/>
        </w:rPr>
        <w:t xml:space="preserve"> </w:t>
      </w:r>
      <w:r>
        <w:rPr>
          <w:color w:val="212123"/>
          <w:spacing w:val="-2"/>
          <w:w w:val="105"/>
        </w:rPr>
        <w:t>Secretary</w:t>
      </w:r>
    </w:p>
    <w:p w:rsidR="004E0487" w:rsidRDefault="007F25B5">
      <w:pPr>
        <w:pStyle w:val="BodyText"/>
        <w:spacing w:before="33" w:line="276" w:lineRule="auto"/>
        <w:ind w:left="142" w:right="5840" w:hanging="7"/>
      </w:pPr>
      <w:r>
        <w:rPr>
          <w:color w:val="212123"/>
          <w:w w:val="105"/>
        </w:rPr>
        <w:t>Integrity</w:t>
      </w:r>
      <w:r>
        <w:rPr>
          <w:color w:val="212123"/>
          <w:spacing w:val="-12"/>
          <w:w w:val="105"/>
        </w:rPr>
        <w:t xml:space="preserve"> </w:t>
      </w:r>
      <w:r>
        <w:rPr>
          <w:color w:val="212123"/>
          <w:w w:val="105"/>
        </w:rPr>
        <w:t>and</w:t>
      </w:r>
      <w:r>
        <w:rPr>
          <w:color w:val="212123"/>
          <w:spacing w:val="-14"/>
          <w:w w:val="105"/>
        </w:rPr>
        <w:t xml:space="preserve"> </w:t>
      </w:r>
      <w:r>
        <w:rPr>
          <w:color w:val="212123"/>
          <w:w w:val="105"/>
        </w:rPr>
        <w:t>International</w:t>
      </w:r>
      <w:r>
        <w:rPr>
          <w:color w:val="212123"/>
          <w:spacing w:val="-12"/>
          <w:w w:val="105"/>
        </w:rPr>
        <w:t xml:space="preserve"> </w:t>
      </w:r>
      <w:r>
        <w:rPr>
          <w:color w:val="212123"/>
          <w:w w:val="105"/>
        </w:rPr>
        <w:t>Group 9 August 2022</w:t>
      </w:r>
    </w:p>
    <w:sectPr w:rsidR="004E0487">
      <w:pgSz w:w="11910" w:h="16840"/>
      <w:pgMar w:top="1580" w:right="1120" w:bottom="1160" w:left="154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C5" w:rsidRDefault="00332AC5">
      <w:r>
        <w:separator/>
      </w:r>
    </w:p>
  </w:endnote>
  <w:endnote w:type="continuationSeparator" w:id="0">
    <w:p w:rsidR="00332AC5" w:rsidRDefault="0033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91" w:rsidRDefault="00D35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91" w:rsidRDefault="00D35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91" w:rsidRDefault="00D35B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87" w:rsidRDefault="00D35B9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6360160</wp:posOffset>
              </wp:positionH>
              <wp:positionV relativeFrom="page">
                <wp:posOffset>9941560</wp:posOffset>
              </wp:positionV>
              <wp:extent cx="166370" cy="1676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487" w:rsidRDefault="007F25B5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12123"/>
                              <w:w w:val="10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12123"/>
                              <w:w w:val="10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12123"/>
                              <w:w w:val="109"/>
                              <w:sz w:val="20"/>
                            </w:rPr>
                            <w:fldChar w:fldCharType="separate"/>
                          </w:r>
                          <w:r w:rsidR="00D35B91">
                            <w:rPr>
                              <w:rFonts w:ascii="Arial"/>
                              <w:noProof/>
                              <w:color w:val="212123"/>
                              <w:w w:val="10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212123"/>
                              <w:w w:val="10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0.8pt;margin-top:782.8pt;width:13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" filled="f" stroked="f">
              <v:textbox inset="0,0,0,0">
                <w:txbxContent>
                  <w:p w:rsidR="004E0487" w:rsidRDefault="007F25B5">
                    <w:pPr>
                      <w:spacing w:before="13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12123"/>
                        <w:w w:val="109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12123"/>
                        <w:w w:val="10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12123"/>
                        <w:w w:val="109"/>
                        <w:sz w:val="20"/>
                      </w:rPr>
                      <w:fldChar w:fldCharType="separate"/>
                    </w:r>
                    <w:r w:rsidR="00D35B91">
                      <w:rPr>
                        <w:rFonts w:ascii="Arial"/>
                        <w:noProof/>
                        <w:color w:val="212123"/>
                        <w:w w:val="109"/>
                        <w:sz w:val="20"/>
                      </w:rPr>
                      <w:t>3</w:t>
                    </w:r>
                    <w:r>
                      <w:rPr>
                        <w:rFonts w:ascii="Arial"/>
                        <w:color w:val="212123"/>
                        <w:w w:val="10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C5" w:rsidRDefault="00332AC5">
      <w:r>
        <w:separator/>
      </w:r>
    </w:p>
  </w:footnote>
  <w:footnote w:type="continuationSeparator" w:id="0">
    <w:p w:rsidR="00332AC5" w:rsidRDefault="0033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91" w:rsidRDefault="00D35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91" w:rsidRDefault="00D35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91" w:rsidRDefault="00D35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87"/>
    <w:rsid w:val="00332AC5"/>
    <w:rsid w:val="003E6A73"/>
    <w:rsid w:val="004E0487"/>
    <w:rsid w:val="007F25B5"/>
    <w:rsid w:val="00A51405"/>
    <w:rsid w:val="00D35B91"/>
    <w:rsid w:val="00D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5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B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5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B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elpdesk-OBPR@pmc.gov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2022-11-01T03:33:00Z</dcterms:created>
  <dcterms:modified xsi:type="dcterms:W3CDTF">2022-11-01T03:33:00Z</dcterms:modified>
</cp:coreProperties>
</file>