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imes New Roman" w:hAnsiTheme="minorHAnsi" w:cs="Times New Roman"/>
          <w:b w:val="0"/>
          <w:color w:val="262626" w:themeColor="text1" w:themeTint="D9"/>
          <w:sz w:val="20"/>
          <w:szCs w:val="20"/>
          <w:lang w:eastAsia="en-AU"/>
        </w:rPr>
        <w:id w:val="-145591017"/>
        <w:docPartObj>
          <w:docPartGallery w:val="Cover Pages"/>
          <w:docPartUnique/>
        </w:docPartObj>
      </w:sdtPr>
      <w:sdtEndPr>
        <w:rPr>
          <w:rFonts w:ascii="Calibri" w:hAnsi="Calibri"/>
          <w:noProof/>
          <w:color w:val="auto"/>
          <w:szCs w:val="24"/>
        </w:rPr>
      </w:sdtEndPr>
      <w:sdtContent>
        <w:p w14:paraId="2251132C" w14:textId="77777777" w:rsidR="00A72414" w:rsidRDefault="0023294E" w:rsidP="00A72414">
          <w:pPr>
            <w:pStyle w:val="CoverTitle"/>
            <w:rPr>
              <w:noProof/>
            </w:rPr>
          </w:pPr>
          <w:r w:rsidRPr="00657D2D">
            <w:rPr>
              <w:noProof/>
            </w:rPr>
            <w:t xml:space="preserve"> </w:t>
          </w:r>
        </w:p>
        <w:p w14:paraId="1B5945B8" w14:textId="77777777" w:rsidR="00A72414" w:rsidRDefault="00691643" w:rsidP="00A72414">
          <w:pPr>
            <w:pStyle w:val="CoverTitle"/>
            <w:rPr>
              <w:noProof/>
            </w:rPr>
          </w:pPr>
          <w:r>
            <w:rPr>
              <w:noProof/>
              <w:lang w:eastAsia="en-AU"/>
            </w:rPr>
            <w:drawing>
              <wp:inline distT="0" distB="0" distL="0" distR="0" wp14:anchorId="59728F48" wp14:editId="1AEFA143">
                <wp:extent cx="3235960" cy="93599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5960" cy="935990"/>
                        </a:xfrm>
                        <a:prstGeom prst="rect">
                          <a:avLst/>
                        </a:prstGeom>
                      </pic:spPr>
                    </pic:pic>
                  </a:graphicData>
                </a:graphic>
              </wp:inline>
            </w:drawing>
          </w:r>
        </w:p>
        <w:p w14:paraId="4AD4694D" w14:textId="77777777" w:rsidR="00A72414" w:rsidRDefault="00A72414" w:rsidP="00A72414">
          <w:pPr>
            <w:pStyle w:val="CoverTitle"/>
            <w:rPr>
              <w:noProof/>
            </w:rPr>
          </w:pPr>
        </w:p>
        <w:p w14:paraId="51D8976C" w14:textId="77777777" w:rsidR="00A72414" w:rsidRPr="00423E92" w:rsidRDefault="00A72414" w:rsidP="00A72414">
          <w:pPr>
            <w:pStyle w:val="CoverTitle"/>
          </w:pPr>
          <w:r w:rsidRPr="00CA7AD8">
            <w:rPr>
              <w:color w:val="auto"/>
            </w:rPr>
            <w:t xml:space="preserve">Reforming the Cashless Debit Card and Income Management </w:t>
          </w:r>
        </w:p>
        <w:p w14:paraId="7D35EC03" w14:textId="77777777" w:rsidR="0023294E" w:rsidRPr="004616FF" w:rsidRDefault="00BF33E7" w:rsidP="007C0149">
          <w:pPr>
            <w:pStyle w:val="NormalWeb"/>
            <w:sectPr w:rsidR="0023294E" w:rsidRPr="004616FF" w:rsidSect="00AF49E5">
              <w:headerReference w:type="even" r:id="rId8"/>
              <w:headerReference w:type="default" r:id="rId9"/>
              <w:footerReference w:type="even" r:id="rId10"/>
              <w:footerReference w:type="default" r:id="rId11"/>
              <w:headerReference w:type="first" r:id="rId12"/>
              <w:footerReference w:type="first" r:id="rId13"/>
              <w:pgSz w:w="11906" w:h="16838"/>
              <w:pgMar w:top="426" w:right="851" w:bottom="1135" w:left="851" w:header="567" w:footer="57" w:gutter="0"/>
              <w:pgNumType w:start="0"/>
              <w:cols w:space="708"/>
              <w:titlePg/>
              <w:docGrid w:linePitch="360"/>
            </w:sectPr>
          </w:pPr>
        </w:p>
      </w:sdtContent>
    </w:sdt>
    <w:p w14:paraId="18AC30DE" w14:textId="77777777" w:rsidR="00DB43DD" w:rsidRPr="00717729" w:rsidRDefault="00DB43DD" w:rsidP="00DB43DD">
      <w:pPr>
        <w:spacing w:before="600" w:after="0"/>
        <w:jc w:val="both"/>
        <w:rPr>
          <w:rFonts w:cs="Arial"/>
          <w:b/>
        </w:rPr>
      </w:pPr>
      <w:r>
        <w:rPr>
          <w:rFonts w:cs="Arial"/>
          <w:b/>
        </w:rPr>
        <w:lastRenderedPageBreak/>
        <w:t>Copyright n</w:t>
      </w:r>
      <w:r w:rsidRPr="00717729">
        <w:rPr>
          <w:rFonts w:cs="Arial"/>
          <w:b/>
        </w:rPr>
        <w:t>otice</w:t>
      </w:r>
    </w:p>
    <w:p w14:paraId="20DB7F34" w14:textId="77777777" w:rsidR="00DB43DD" w:rsidRDefault="00DB43DD" w:rsidP="00DB43DD">
      <w:pPr>
        <w:pStyle w:val="NormalWeb"/>
        <w:rPr>
          <w:rFonts w:ascii="Arial" w:hAnsi="Arial" w:cs="Arial"/>
        </w:rPr>
      </w:pPr>
      <w:r>
        <w:rPr>
          <w:rFonts w:ascii="Arial" w:hAnsi="Arial" w:cs="Arial"/>
          <w:noProof/>
        </w:rPr>
        <w:drawing>
          <wp:inline distT="0" distB="0" distL="0" distR="0" wp14:anchorId="760A5497" wp14:editId="055C091D">
            <wp:extent cx="1227411" cy="429442"/>
            <wp:effectExtent l="0" t="0" r="0" b="8890"/>
            <wp:docPr id="1" name="Picture 1"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FABBD77" w14:textId="77777777" w:rsidR="00DB43DD" w:rsidRPr="0050273B" w:rsidRDefault="00DB43DD" w:rsidP="00DB43DD">
      <w:pPr>
        <w:rPr>
          <w:rStyle w:val="Hyperlink"/>
          <w:rFonts w:eastAsiaTheme="majorEastAsia" w:cs="Arial"/>
        </w:rPr>
      </w:pPr>
      <w:r>
        <w:t>This document</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14:paraId="1A905453" w14:textId="77777777" w:rsidR="00DB43DD" w:rsidRPr="00717729" w:rsidRDefault="00DB43DD" w:rsidP="00DB43DD">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14:paraId="2DFFC2AE" w14:textId="5E96FEDE" w:rsidR="00DB43DD" w:rsidRPr="00717729" w:rsidRDefault="00DB43DD" w:rsidP="00DB43DD">
      <w:r w:rsidRPr="00717729">
        <w:fldChar w:fldCharType="end"/>
      </w:r>
      <w:r w:rsidRPr="00717729">
        <w:t>Please attribut</w:t>
      </w:r>
      <w:r>
        <w:t>e:</w:t>
      </w:r>
      <w:r w:rsidRPr="00717729">
        <w:t xml:space="preserve"> © Commonwealth of Australia (</w:t>
      </w:r>
      <w:hyperlink r:id="rId15" w:history="1">
        <w:r>
          <w:rPr>
            <w:rStyle w:val="Hyperlink"/>
            <w:rFonts w:eastAsiaTheme="majorEastAsia" w:cs="Arial"/>
          </w:rPr>
          <w:t>Department of Social Services</w:t>
        </w:r>
      </w:hyperlink>
      <w:r w:rsidR="00012762">
        <w:t>) 2022</w:t>
      </w:r>
    </w:p>
    <w:p w14:paraId="47DC4E79" w14:textId="77777777" w:rsidR="00DB43DD" w:rsidRPr="00955600" w:rsidRDefault="00DB43DD" w:rsidP="00DB43DD">
      <w:pPr>
        <w:rPr>
          <w:rFonts w:cstheme="minorHAnsi"/>
          <w:b/>
        </w:rPr>
      </w:pPr>
      <w:r w:rsidRPr="00955600">
        <w:rPr>
          <w:rFonts w:cstheme="minorHAnsi"/>
          <w:b/>
        </w:rPr>
        <w:t xml:space="preserve">Notice: </w:t>
      </w:r>
    </w:p>
    <w:p w14:paraId="69BB59D0" w14:textId="77777777" w:rsidR="00DB43DD" w:rsidRPr="00955600" w:rsidRDefault="00DB43DD" w:rsidP="005836AC">
      <w:pPr>
        <w:pStyle w:val="ListBullet"/>
        <w:numPr>
          <w:ilvl w:val="0"/>
          <w:numId w:val="8"/>
        </w:numPr>
        <w:rPr>
          <w:rFonts w:asciiTheme="minorHAnsi" w:hAnsiTheme="minorHAnsi" w:cstheme="minorHAnsi"/>
          <w:sz w:val="20"/>
          <w:szCs w:val="20"/>
        </w:rPr>
      </w:pPr>
      <w:r w:rsidRPr="00955600">
        <w:rPr>
          <w:rFonts w:asciiTheme="minorHAnsi" w:hAnsiTheme="minorHAnsi" w:cstheme="minorHAnsi"/>
          <w:sz w:val="20"/>
          <w:szCs w:val="20"/>
        </w:rPr>
        <w:t>If you create a derivative of this document, the Department of Social Services requests the following notice be placed on your derivative: Based on Commonwealth of Australia (Department of Social Services) data.</w:t>
      </w:r>
    </w:p>
    <w:p w14:paraId="537162F1" w14:textId="62C6DDC5" w:rsidR="00DB43DD" w:rsidRPr="00955600" w:rsidRDefault="00DB43DD" w:rsidP="005836AC">
      <w:pPr>
        <w:pStyle w:val="ListBullet"/>
        <w:numPr>
          <w:ilvl w:val="0"/>
          <w:numId w:val="8"/>
        </w:numPr>
        <w:rPr>
          <w:rFonts w:asciiTheme="minorHAnsi" w:hAnsiTheme="minorHAnsi" w:cstheme="minorHAnsi"/>
          <w:sz w:val="20"/>
          <w:szCs w:val="20"/>
        </w:rPr>
      </w:pPr>
      <w:r w:rsidRPr="00955600">
        <w:rPr>
          <w:rFonts w:asciiTheme="minorHAnsi" w:hAnsiTheme="minorHAnsi" w:cstheme="minorHAnsi"/>
          <w:sz w:val="20"/>
          <w:szCs w:val="20"/>
        </w:rPr>
        <w:t xml:space="preserve">Inquiries regarding this licence or any other use of this document are welcome. Please contact: Branch Manager, Communication and Media Branch, Department of Social Services. Phone: 1300 653 227. Email: </w:t>
      </w:r>
      <w:hyperlink r:id="rId16" w:history="1">
        <w:r w:rsidR="00955600" w:rsidRPr="00955600">
          <w:rPr>
            <w:rStyle w:val="Hyperlink"/>
            <w:rFonts w:asciiTheme="minorHAnsi" w:eastAsiaTheme="majorEastAsia" w:hAnsiTheme="minorHAnsi" w:cstheme="minorHAnsi"/>
            <w:sz w:val="20"/>
            <w:szCs w:val="20"/>
          </w:rPr>
          <w:t>communication@dss.gov.au</w:t>
        </w:r>
      </w:hyperlink>
    </w:p>
    <w:p w14:paraId="3FEDA459" w14:textId="77777777" w:rsidR="00DB43DD" w:rsidRPr="00955600" w:rsidRDefault="00DB43DD" w:rsidP="00DB43DD">
      <w:pPr>
        <w:rPr>
          <w:rFonts w:cstheme="minorHAnsi"/>
          <w:b/>
        </w:rPr>
      </w:pPr>
      <w:r w:rsidRPr="00955600">
        <w:rPr>
          <w:rFonts w:cstheme="minorHAnsi"/>
          <w:b/>
        </w:rPr>
        <w:t>Notice identifying other material or rights in this publication:</w:t>
      </w:r>
    </w:p>
    <w:p w14:paraId="1AC6BA48" w14:textId="77777777" w:rsidR="00DB43DD" w:rsidRPr="00955600" w:rsidRDefault="00DB43DD" w:rsidP="005836AC">
      <w:pPr>
        <w:pStyle w:val="ListBullet"/>
        <w:numPr>
          <w:ilvl w:val="0"/>
          <w:numId w:val="9"/>
        </w:numPr>
        <w:rPr>
          <w:rFonts w:asciiTheme="minorHAnsi" w:hAnsiTheme="minorHAnsi" w:cstheme="minorHAnsi"/>
          <w:sz w:val="20"/>
          <w:szCs w:val="20"/>
        </w:rPr>
      </w:pPr>
      <w:r w:rsidRPr="00955600">
        <w:rPr>
          <w:rFonts w:asciiTheme="minorHAnsi" w:hAnsiTheme="minorHAnsi" w:cstheme="minorHAnsi"/>
          <w:sz w:val="20"/>
          <w:szCs w:val="20"/>
        </w:rPr>
        <w:t xml:space="preserve">Australian Commonwealth Coat of Arms — not Licensed under Creative Commons, see </w:t>
      </w:r>
      <w:hyperlink r:id="rId17" w:history="1">
        <w:r w:rsidRPr="00955600">
          <w:rPr>
            <w:rStyle w:val="Hyperlink"/>
            <w:rFonts w:asciiTheme="minorHAnsi" w:eastAsiaTheme="majorEastAsia" w:hAnsiTheme="minorHAnsi" w:cstheme="minorHAnsi"/>
            <w:sz w:val="20"/>
            <w:szCs w:val="20"/>
          </w:rPr>
          <w:t>https://www.itsanhonour.gov.au/coat-arms/index.cfm</w:t>
        </w:r>
      </w:hyperlink>
    </w:p>
    <w:p w14:paraId="54E52EBA" w14:textId="77777777" w:rsidR="00DB43DD" w:rsidRPr="00955600" w:rsidRDefault="00DB43DD" w:rsidP="005836AC">
      <w:pPr>
        <w:pStyle w:val="ListBullet"/>
        <w:numPr>
          <w:ilvl w:val="0"/>
          <w:numId w:val="9"/>
        </w:numPr>
        <w:rPr>
          <w:rFonts w:asciiTheme="minorHAnsi" w:hAnsiTheme="minorHAnsi" w:cstheme="minorHAnsi"/>
          <w:sz w:val="20"/>
          <w:szCs w:val="20"/>
        </w:rPr>
      </w:pPr>
      <w:r w:rsidRPr="00955600">
        <w:rPr>
          <w:rFonts w:asciiTheme="minorHAnsi" w:hAnsiTheme="minorHAnsi" w:cstheme="minorHAnsi"/>
          <w:sz w:val="20"/>
          <w:szCs w:val="20"/>
        </w:rPr>
        <w:t>Certain images and photographs (as marked) — not licensed under Creative Commons</w:t>
      </w:r>
    </w:p>
    <w:p w14:paraId="773E75DA" w14:textId="77777777" w:rsidR="0011200A" w:rsidRPr="007C0149" w:rsidRDefault="0011200A" w:rsidP="007C0149">
      <w:pPr>
        <w:pStyle w:val="NormalWeb"/>
      </w:pPr>
      <w:r w:rsidRPr="007C0149">
        <w:br w:type="page"/>
      </w:r>
    </w:p>
    <w:sdt>
      <w:sdtPr>
        <w:rPr>
          <w:rFonts w:asciiTheme="minorHAnsi" w:eastAsiaTheme="minorHAnsi" w:hAnsiTheme="minorHAnsi" w:cstheme="minorBidi"/>
          <w:color w:val="262626" w:themeColor="text1" w:themeTint="D9"/>
          <w:sz w:val="20"/>
          <w:szCs w:val="20"/>
          <w:lang w:val="en-AU"/>
        </w:rPr>
        <w:id w:val="693971722"/>
        <w:docPartObj>
          <w:docPartGallery w:val="Table of Contents"/>
          <w:docPartUnique/>
        </w:docPartObj>
      </w:sdtPr>
      <w:sdtEndPr>
        <w:rPr>
          <w:b/>
          <w:bCs/>
          <w:noProof/>
        </w:rPr>
      </w:sdtEndPr>
      <w:sdtContent>
        <w:p w14:paraId="323C15B2" w14:textId="77777777" w:rsidR="004E29B0" w:rsidRDefault="004E29B0">
          <w:pPr>
            <w:pStyle w:val="TOCHeading"/>
          </w:pPr>
          <w:r>
            <w:t>Contents</w:t>
          </w:r>
        </w:p>
        <w:p w14:paraId="456BBBB3" w14:textId="05E0CDFB" w:rsidR="007557FB" w:rsidRDefault="004E29B0">
          <w:pPr>
            <w:pStyle w:val="TOC1"/>
            <w:rPr>
              <w:rFonts w:eastAsiaTheme="minorEastAsia"/>
              <w:noProof/>
              <w:color w:val="auto"/>
              <w:sz w:val="22"/>
              <w:szCs w:val="22"/>
              <w:lang w:eastAsia="en-AU"/>
            </w:rPr>
          </w:pPr>
          <w:r>
            <w:fldChar w:fldCharType="begin"/>
          </w:r>
          <w:r>
            <w:instrText xml:space="preserve"> TOC \o "1-3" \h \z \u </w:instrText>
          </w:r>
          <w:r>
            <w:fldChar w:fldCharType="separate"/>
          </w:r>
          <w:hyperlink w:anchor="_Toc118103729" w:history="1">
            <w:r w:rsidR="007557FB" w:rsidRPr="00846912">
              <w:rPr>
                <w:rStyle w:val="Hyperlink"/>
                <w:noProof/>
              </w:rPr>
              <w:t>Introduction</w:t>
            </w:r>
            <w:r w:rsidR="007557FB">
              <w:rPr>
                <w:noProof/>
                <w:webHidden/>
              </w:rPr>
              <w:tab/>
            </w:r>
            <w:r w:rsidR="007557FB">
              <w:rPr>
                <w:noProof/>
                <w:webHidden/>
              </w:rPr>
              <w:fldChar w:fldCharType="begin"/>
            </w:r>
            <w:r w:rsidR="007557FB">
              <w:rPr>
                <w:noProof/>
                <w:webHidden/>
              </w:rPr>
              <w:instrText xml:space="preserve"> PAGEREF _Toc118103729 \h </w:instrText>
            </w:r>
            <w:r w:rsidR="007557FB">
              <w:rPr>
                <w:noProof/>
                <w:webHidden/>
              </w:rPr>
            </w:r>
            <w:r w:rsidR="007557FB">
              <w:rPr>
                <w:noProof/>
                <w:webHidden/>
              </w:rPr>
              <w:fldChar w:fldCharType="separate"/>
            </w:r>
            <w:r w:rsidR="007557FB">
              <w:rPr>
                <w:noProof/>
                <w:webHidden/>
              </w:rPr>
              <w:t>5</w:t>
            </w:r>
            <w:r w:rsidR="007557FB">
              <w:rPr>
                <w:noProof/>
                <w:webHidden/>
              </w:rPr>
              <w:fldChar w:fldCharType="end"/>
            </w:r>
          </w:hyperlink>
        </w:p>
        <w:p w14:paraId="510C8F0E" w14:textId="7AA42611" w:rsidR="007557FB" w:rsidRDefault="00BF33E7">
          <w:pPr>
            <w:pStyle w:val="TOC1"/>
            <w:rPr>
              <w:rFonts w:eastAsiaTheme="minorEastAsia"/>
              <w:noProof/>
              <w:color w:val="auto"/>
              <w:sz w:val="22"/>
              <w:szCs w:val="22"/>
              <w:lang w:eastAsia="en-AU"/>
            </w:rPr>
          </w:pPr>
          <w:hyperlink w:anchor="_Toc118103730" w:history="1">
            <w:r w:rsidR="007557FB" w:rsidRPr="00846912">
              <w:rPr>
                <w:rStyle w:val="Hyperlink"/>
                <w:noProof/>
              </w:rPr>
              <w:t>Purpose</w:t>
            </w:r>
            <w:r w:rsidR="007557FB">
              <w:rPr>
                <w:noProof/>
                <w:webHidden/>
              </w:rPr>
              <w:tab/>
            </w:r>
            <w:r w:rsidR="007557FB">
              <w:rPr>
                <w:noProof/>
                <w:webHidden/>
              </w:rPr>
              <w:fldChar w:fldCharType="begin"/>
            </w:r>
            <w:r w:rsidR="007557FB">
              <w:rPr>
                <w:noProof/>
                <w:webHidden/>
              </w:rPr>
              <w:instrText xml:space="preserve"> PAGEREF _Toc118103730 \h </w:instrText>
            </w:r>
            <w:r w:rsidR="007557FB">
              <w:rPr>
                <w:noProof/>
                <w:webHidden/>
              </w:rPr>
            </w:r>
            <w:r w:rsidR="007557FB">
              <w:rPr>
                <w:noProof/>
                <w:webHidden/>
              </w:rPr>
              <w:fldChar w:fldCharType="separate"/>
            </w:r>
            <w:r w:rsidR="007557FB">
              <w:rPr>
                <w:noProof/>
                <w:webHidden/>
              </w:rPr>
              <w:t>5</w:t>
            </w:r>
            <w:r w:rsidR="007557FB">
              <w:rPr>
                <w:noProof/>
                <w:webHidden/>
              </w:rPr>
              <w:fldChar w:fldCharType="end"/>
            </w:r>
          </w:hyperlink>
        </w:p>
        <w:p w14:paraId="69D8DB6F" w14:textId="547D6A70" w:rsidR="007557FB" w:rsidRDefault="00BF33E7">
          <w:pPr>
            <w:pStyle w:val="TOC2"/>
            <w:tabs>
              <w:tab w:val="right" w:leader="dot" w:pos="10194"/>
            </w:tabs>
            <w:rPr>
              <w:rFonts w:eastAsiaTheme="minorEastAsia"/>
              <w:noProof/>
              <w:color w:val="auto"/>
              <w:sz w:val="22"/>
              <w:szCs w:val="22"/>
              <w:lang w:eastAsia="en-AU"/>
            </w:rPr>
          </w:pPr>
          <w:hyperlink w:anchor="_Toc118103731" w:history="1">
            <w:r w:rsidR="007557FB" w:rsidRPr="00846912">
              <w:rPr>
                <w:rStyle w:val="Hyperlink"/>
                <w:noProof/>
              </w:rPr>
              <w:t>Executive Summary</w:t>
            </w:r>
            <w:r w:rsidR="007557FB">
              <w:rPr>
                <w:noProof/>
                <w:webHidden/>
              </w:rPr>
              <w:tab/>
            </w:r>
            <w:r w:rsidR="007557FB">
              <w:rPr>
                <w:noProof/>
                <w:webHidden/>
              </w:rPr>
              <w:fldChar w:fldCharType="begin"/>
            </w:r>
            <w:r w:rsidR="007557FB">
              <w:rPr>
                <w:noProof/>
                <w:webHidden/>
              </w:rPr>
              <w:instrText xml:space="preserve"> PAGEREF _Toc118103731 \h </w:instrText>
            </w:r>
            <w:r w:rsidR="007557FB">
              <w:rPr>
                <w:noProof/>
                <w:webHidden/>
              </w:rPr>
            </w:r>
            <w:r w:rsidR="007557FB">
              <w:rPr>
                <w:noProof/>
                <w:webHidden/>
              </w:rPr>
              <w:fldChar w:fldCharType="separate"/>
            </w:r>
            <w:r w:rsidR="007557FB">
              <w:rPr>
                <w:noProof/>
                <w:webHidden/>
              </w:rPr>
              <w:t>5</w:t>
            </w:r>
            <w:r w:rsidR="007557FB">
              <w:rPr>
                <w:noProof/>
                <w:webHidden/>
              </w:rPr>
              <w:fldChar w:fldCharType="end"/>
            </w:r>
          </w:hyperlink>
        </w:p>
        <w:p w14:paraId="3F6718E0" w14:textId="4ECE454B" w:rsidR="007557FB" w:rsidRDefault="00BF33E7">
          <w:pPr>
            <w:pStyle w:val="TOC2"/>
            <w:tabs>
              <w:tab w:val="right" w:leader="dot" w:pos="10194"/>
            </w:tabs>
            <w:rPr>
              <w:rFonts w:eastAsiaTheme="minorEastAsia"/>
              <w:noProof/>
              <w:color w:val="auto"/>
              <w:sz w:val="22"/>
              <w:szCs w:val="22"/>
              <w:lang w:eastAsia="en-AU"/>
            </w:rPr>
          </w:pPr>
          <w:hyperlink w:anchor="_Toc118103732" w:history="1">
            <w:r w:rsidR="007557FB" w:rsidRPr="00846912">
              <w:rPr>
                <w:rStyle w:val="Hyperlink"/>
                <w:noProof/>
              </w:rPr>
              <w:t>Background</w:t>
            </w:r>
            <w:r w:rsidR="007557FB">
              <w:rPr>
                <w:noProof/>
                <w:webHidden/>
              </w:rPr>
              <w:tab/>
            </w:r>
            <w:r w:rsidR="007557FB">
              <w:rPr>
                <w:noProof/>
                <w:webHidden/>
              </w:rPr>
              <w:fldChar w:fldCharType="begin"/>
            </w:r>
            <w:r w:rsidR="007557FB">
              <w:rPr>
                <w:noProof/>
                <w:webHidden/>
              </w:rPr>
              <w:instrText xml:space="preserve"> PAGEREF _Toc118103732 \h </w:instrText>
            </w:r>
            <w:r w:rsidR="007557FB">
              <w:rPr>
                <w:noProof/>
                <w:webHidden/>
              </w:rPr>
            </w:r>
            <w:r w:rsidR="007557FB">
              <w:rPr>
                <w:noProof/>
                <w:webHidden/>
              </w:rPr>
              <w:fldChar w:fldCharType="separate"/>
            </w:r>
            <w:r w:rsidR="007557FB">
              <w:rPr>
                <w:noProof/>
                <w:webHidden/>
              </w:rPr>
              <w:t>7</w:t>
            </w:r>
            <w:r w:rsidR="007557FB">
              <w:rPr>
                <w:noProof/>
                <w:webHidden/>
              </w:rPr>
              <w:fldChar w:fldCharType="end"/>
            </w:r>
          </w:hyperlink>
        </w:p>
        <w:p w14:paraId="71322443" w14:textId="645E4C1A" w:rsidR="007557FB" w:rsidRDefault="00BF33E7">
          <w:pPr>
            <w:pStyle w:val="TOC3"/>
            <w:tabs>
              <w:tab w:val="right" w:leader="dot" w:pos="10194"/>
            </w:tabs>
            <w:rPr>
              <w:rFonts w:eastAsiaTheme="minorEastAsia"/>
              <w:noProof/>
              <w:color w:val="auto"/>
              <w:sz w:val="22"/>
              <w:szCs w:val="22"/>
              <w:lang w:eastAsia="en-AU"/>
            </w:rPr>
          </w:pPr>
          <w:hyperlink w:anchor="_Toc118103733" w:history="1">
            <w:r w:rsidR="007557FB" w:rsidRPr="00846912">
              <w:rPr>
                <w:rStyle w:val="Hyperlink"/>
                <w:noProof/>
              </w:rPr>
              <w:t>Income Management</w:t>
            </w:r>
            <w:r w:rsidR="007557FB">
              <w:rPr>
                <w:noProof/>
                <w:webHidden/>
              </w:rPr>
              <w:tab/>
            </w:r>
            <w:r w:rsidR="007557FB">
              <w:rPr>
                <w:noProof/>
                <w:webHidden/>
              </w:rPr>
              <w:fldChar w:fldCharType="begin"/>
            </w:r>
            <w:r w:rsidR="007557FB">
              <w:rPr>
                <w:noProof/>
                <w:webHidden/>
              </w:rPr>
              <w:instrText xml:space="preserve"> PAGEREF _Toc118103733 \h </w:instrText>
            </w:r>
            <w:r w:rsidR="007557FB">
              <w:rPr>
                <w:noProof/>
                <w:webHidden/>
              </w:rPr>
            </w:r>
            <w:r w:rsidR="007557FB">
              <w:rPr>
                <w:noProof/>
                <w:webHidden/>
              </w:rPr>
              <w:fldChar w:fldCharType="separate"/>
            </w:r>
            <w:r w:rsidR="007557FB">
              <w:rPr>
                <w:noProof/>
                <w:webHidden/>
              </w:rPr>
              <w:t>7</w:t>
            </w:r>
            <w:r w:rsidR="007557FB">
              <w:rPr>
                <w:noProof/>
                <w:webHidden/>
              </w:rPr>
              <w:fldChar w:fldCharType="end"/>
            </w:r>
          </w:hyperlink>
        </w:p>
        <w:p w14:paraId="2BA604D8" w14:textId="14A0A239" w:rsidR="007557FB" w:rsidRDefault="00BF33E7">
          <w:pPr>
            <w:pStyle w:val="TOC3"/>
            <w:tabs>
              <w:tab w:val="right" w:leader="dot" w:pos="10194"/>
            </w:tabs>
            <w:rPr>
              <w:rFonts w:eastAsiaTheme="minorEastAsia"/>
              <w:noProof/>
              <w:color w:val="auto"/>
              <w:sz w:val="22"/>
              <w:szCs w:val="22"/>
              <w:lang w:eastAsia="en-AU"/>
            </w:rPr>
          </w:pPr>
          <w:hyperlink w:anchor="_Toc118103734" w:history="1">
            <w:r w:rsidR="007557FB" w:rsidRPr="00846912">
              <w:rPr>
                <w:rStyle w:val="Hyperlink"/>
                <w:noProof/>
              </w:rPr>
              <w:t>Cashless Debit Card</w:t>
            </w:r>
            <w:r w:rsidR="007557FB">
              <w:rPr>
                <w:noProof/>
                <w:webHidden/>
              </w:rPr>
              <w:tab/>
            </w:r>
            <w:r w:rsidR="007557FB">
              <w:rPr>
                <w:noProof/>
                <w:webHidden/>
              </w:rPr>
              <w:fldChar w:fldCharType="begin"/>
            </w:r>
            <w:r w:rsidR="007557FB">
              <w:rPr>
                <w:noProof/>
                <w:webHidden/>
              </w:rPr>
              <w:instrText xml:space="preserve"> PAGEREF _Toc118103734 \h </w:instrText>
            </w:r>
            <w:r w:rsidR="007557FB">
              <w:rPr>
                <w:noProof/>
                <w:webHidden/>
              </w:rPr>
            </w:r>
            <w:r w:rsidR="007557FB">
              <w:rPr>
                <w:noProof/>
                <w:webHidden/>
              </w:rPr>
              <w:fldChar w:fldCharType="separate"/>
            </w:r>
            <w:r w:rsidR="007557FB">
              <w:rPr>
                <w:noProof/>
                <w:webHidden/>
              </w:rPr>
              <w:t>9</w:t>
            </w:r>
            <w:r w:rsidR="007557FB">
              <w:rPr>
                <w:noProof/>
                <w:webHidden/>
              </w:rPr>
              <w:fldChar w:fldCharType="end"/>
            </w:r>
          </w:hyperlink>
        </w:p>
        <w:p w14:paraId="1B149887" w14:textId="1236CAE3" w:rsidR="007557FB" w:rsidRDefault="00BF33E7">
          <w:pPr>
            <w:pStyle w:val="TOC3"/>
            <w:tabs>
              <w:tab w:val="right" w:leader="dot" w:pos="10194"/>
            </w:tabs>
            <w:rPr>
              <w:rFonts w:eastAsiaTheme="minorEastAsia"/>
              <w:noProof/>
              <w:color w:val="auto"/>
              <w:sz w:val="22"/>
              <w:szCs w:val="22"/>
              <w:lang w:eastAsia="en-AU"/>
            </w:rPr>
          </w:pPr>
          <w:hyperlink w:anchor="_Toc118103735" w:history="1">
            <w:r w:rsidR="007557FB" w:rsidRPr="00846912">
              <w:rPr>
                <w:rStyle w:val="Hyperlink"/>
                <w:noProof/>
              </w:rPr>
              <w:t>The difference between Income Management and Cashless Debit Card</w:t>
            </w:r>
            <w:r w:rsidR="007557FB">
              <w:rPr>
                <w:noProof/>
                <w:webHidden/>
              </w:rPr>
              <w:tab/>
            </w:r>
            <w:r w:rsidR="007557FB">
              <w:rPr>
                <w:noProof/>
                <w:webHidden/>
              </w:rPr>
              <w:fldChar w:fldCharType="begin"/>
            </w:r>
            <w:r w:rsidR="007557FB">
              <w:rPr>
                <w:noProof/>
                <w:webHidden/>
              </w:rPr>
              <w:instrText xml:space="preserve"> PAGEREF _Toc118103735 \h </w:instrText>
            </w:r>
            <w:r w:rsidR="007557FB">
              <w:rPr>
                <w:noProof/>
                <w:webHidden/>
              </w:rPr>
            </w:r>
            <w:r w:rsidR="007557FB">
              <w:rPr>
                <w:noProof/>
                <w:webHidden/>
              </w:rPr>
              <w:fldChar w:fldCharType="separate"/>
            </w:r>
            <w:r w:rsidR="007557FB">
              <w:rPr>
                <w:noProof/>
                <w:webHidden/>
              </w:rPr>
              <w:t>11</w:t>
            </w:r>
            <w:r w:rsidR="007557FB">
              <w:rPr>
                <w:noProof/>
                <w:webHidden/>
              </w:rPr>
              <w:fldChar w:fldCharType="end"/>
            </w:r>
          </w:hyperlink>
        </w:p>
        <w:p w14:paraId="002C4684" w14:textId="3B714F0F" w:rsidR="007557FB" w:rsidRDefault="00BF33E7">
          <w:pPr>
            <w:pStyle w:val="TOC1"/>
            <w:rPr>
              <w:rFonts w:eastAsiaTheme="minorEastAsia"/>
              <w:noProof/>
              <w:color w:val="auto"/>
              <w:sz w:val="22"/>
              <w:szCs w:val="22"/>
              <w:lang w:eastAsia="en-AU"/>
            </w:rPr>
          </w:pPr>
          <w:hyperlink w:anchor="_Toc118103736" w:history="1">
            <w:r w:rsidR="007557FB" w:rsidRPr="00846912">
              <w:rPr>
                <w:rStyle w:val="Hyperlink"/>
                <w:noProof/>
              </w:rPr>
              <w:t>1. Problem Statement:</w:t>
            </w:r>
            <w:r w:rsidR="007557FB">
              <w:rPr>
                <w:noProof/>
                <w:webHidden/>
              </w:rPr>
              <w:tab/>
            </w:r>
            <w:r w:rsidR="007557FB">
              <w:rPr>
                <w:noProof/>
                <w:webHidden/>
              </w:rPr>
              <w:fldChar w:fldCharType="begin"/>
            </w:r>
            <w:r w:rsidR="007557FB">
              <w:rPr>
                <w:noProof/>
                <w:webHidden/>
              </w:rPr>
              <w:instrText xml:space="preserve"> PAGEREF _Toc118103736 \h </w:instrText>
            </w:r>
            <w:r w:rsidR="007557FB">
              <w:rPr>
                <w:noProof/>
                <w:webHidden/>
              </w:rPr>
            </w:r>
            <w:r w:rsidR="007557FB">
              <w:rPr>
                <w:noProof/>
                <w:webHidden/>
              </w:rPr>
              <w:fldChar w:fldCharType="separate"/>
            </w:r>
            <w:r w:rsidR="007557FB">
              <w:rPr>
                <w:noProof/>
                <w:webHidden/>
              </w:rPr>
              <w:t>13</w:t>
            </w:r>
            <w:r w:rsidR="007557FB">
              <w:rPr>
                <w:noProof/>
                <w:webHidden/>
              </w:rPr>
              <w:fldChar w:fldCharType="end"/>
            </w:r>
          </w:hyperlink>
        </w:p>
        <w:p w14:paraId="3D99F6C4" w14:textId="6E1CE89D" w:rsidR="007557FB" w:rsidRDefault="00BF33E7">
          <w:pPr>
            <w:pStyle w:val="TOC1"/>
            <w:rPr>
              <w:rFonts w:eastAsiaTheme="minorEastAsia"/>
              <w:noProof/>
              <w:color w:val="auto"/>
              <w:sz w:val="22"/>
              <w:szCs w:val="22"/>
              <w:lang w:eastAsia="en-AU"/>
            </w:rPr>
          </w:pPr>
          <w:hyperlink w:anchor="_Toc118103737" w:history="1">
            <w:r w:rsidR="007557FB" w:rsidRPr="00846912">
              <w:rPr>
                <w:rStyle w:val="Hyperlink"/>
                <w:noProof/>
              </w:rPr>
              <w:t>The current Cashless Debit Card and Income Management programs are no longer required</w:t>
            </w:r>
            <w:r w:rsidR="007557FB">
              <w:rPr>
                <w:noProof/>
                <w:webHidden/>
              </w:rPr>
              <w:tab/>
            </w:r>
            <w:r w:rsidR="007557FB">
              <w:rPr>
                <w:noProof/>
                <w:webHidden/>
              </w:rPr>
              <w:fldChar w:fldCharType="begin"/>
            </w:r>
            <w:r w:rsidR="007557FB">
              <w:rPr>
                <w:noProof/>
                <w:webHidden/>
              </w:rPr>
              <w:instrText xml:space="preserve"> PAGEREF _Toc118103737 \h </w:instrText>
            </w:r>
            <w:r w:rsidR="007557FB">
              <w:rPr>
                <w:noProof/>
                <w:webHidden/>
              </w:rPr>
            </w:r>
            <w:r w:rsidR="007557FB">
              <w:rPr>
                <w:noProof/>
                <w:webHidden/>
              </w:rPr>
              <w:fldChar w:fldCharType="separate"/>
            </w:r>
            <w:r w:rsidR="007557FB">
              <w:rPr>
                <w:noProof/>
                <w:webHidden/>
              </w:rPr>
              <w:t>13</w:t>
            </w:r>
            <w:r w:rsidR="007557FB">
              <w:rPr>
                <w:noProof/>
                <w:webHidden/>
              </w:rPr>
              <w:fldChar w:fldCharType="end"/>
            </w:r>
          </w:hyperlink>
        </w:p>
        <w:p w14:paraId="569C9B9D" w14:textId="1F7DD3EE" w:rsidR="007557FB" w:rsidRDefault="00BF33E7">
          <w:pPr>
            <w:pStyle w:val="TOC2"/>
            <w:tabs>
              <w:tab w:val="right" w:leader="dot" w:pos="10194"/>
            </w:tabs>
            <w:rPr>
              <w:rFonts w:eastAsiaTheme="minorEastAsia"/>
              <w:noProof/>
              <w:color w:val="auto"/>
              <w:sz w:val="22"/>
              <w:szCs w:val="22"/>
              <w:lang w:eastAsia="en-AU"/>
            </w:rPr>
          </w:pPr>
          <w:hyperlink w:anchor="_Toc118103738" w:history="1">
            <w:r w:rsidR="007557FB" w:rsidRPr="00846912">
              <w:rPr>
                <w:rStyle w:val="Hyperlink"/>
                <w:noProof/>
              </w:rPr>
              <w:t>1.1 Cashless Debit Card and Income Management programs do not target those who need support the most</w:t>
            </w:r>
            <w:r w:rsidR="007557FB">
              <w:rPr>
                <w:noProof/>
                <w:webHidden/>
              </w:rPr>
              <w:tab/>
            </w:r>
            <w:r w:rsidR="007557FB">
              <w:rPr>
                <w:noProof/>
                <w:webHidden/>
              </w:rPr>
              <w:fldChar w:fldCharType="begin"/>
            </w:r>
            <w:r w:rsidR="007557FB">
              <w:rPr>
                <w:noProof/>
                <w:webHidden/>
              </w:rPr>
              <w:instrText xml:space="preserve"> PAGEREF _Toc118103738 \h </w:instrText>
            </w:r>
            <w:r w:rsidR="007557FB">
              <w:rPr>
                <w:noProof/>
                <w:webHidden/>
              </w:rPr>
            </w:r>
            <w:r w:rsidR="007557FB">
              <w:rPr>
                <w:noProof/>
                <w:webHidden/>
              </w:rPr>
              <w:fldChar w:fldCharType="separate"/>
            </w:r>
            <w:r w:rsidR="007557FB">
              <w:rPr>
                <w:noProof/>
                <w:webHidden/>
              </w:rPr>
              <w:t>13</w:t>
            </w:r>
            <w:r w:rsidR="007557FB">
              <w:rPr>
                <w:noProof/>
                <w:webHidden/>
              </w:rPr>
              <w:fldChar w:fldCharType="end"/>
            </w:r>
          </w:hyperlink>
        </w:p>
        <w:p w14:paraId="510AB92A" w14:textId="479C8AE3" w:rsidR="007557FB" w:rsidRDefault="00BF33E7">
          <w:pPr>
            <w:pStyle w:val="TOC2"/>
            <w:tabs>
              <w:tab w:val="right" w:leader="dot" w:pos="10194"/>
            </w:tabs>
            <w:rPr>
              <w:rFonts w:eastAsiaTheme="minorEastAsia"/>
              <w:noProof/>
              <w:color w:val="auto"/>
              <w:sz w:val="22"/>
              <w:szCs w:val="22"/>
              <w:lang w:eastAsia="en-AU"/>
            </w:rPr>
          </w:pPr>
          <w:hyperlink w:anchor="_Toc118103739" w:history="1">
            <w:r w:rsidR="007557FB" w:rsidRPr="00846912">
              <w:rPr>
                <w:rStyle w:val="Hyperlink"/>
                <w:noProof/>
              </w:rPr>
              <w:t>1.2 The changed policy landscape has reduced the need for Cashless Debit Card and Income Management programs</w:t>
            </w:r>
            <w:r w:rsidR="007557FB">
              <w:rPr>
                <w:noProof/>
                <w:webHidden/>
              </w:rPr>
              <w:tab/>
            </w:r>
            <w:r w:rsidR="007557FB">
              <w:rPr>
                <w:noProof/>
                <w:webHidden/>
              </w:rPr>
              <w:fldChar w:fldCharType="begin"/>
            </w:r>
            <w:r w:rsidR="007557FB">
              <w:rPr>
                <w:noProof/>
                <w:webHidden/>
              </w:rPr>
              <w:instrText xml:space="preserve"> PAGEREF _Toc118103739 \h </w:instrText>
            </w:r>
            <w:r w:rsidR="007557FB">
              <w:rPr>
                <w:noProof/>
                <w:webHidden/>
              </w:rPr>
            </w:r>
            <w:r w:rsidR="007557FB">
              <w:rPr>
                <w:noProof/>
                <w:webHidden/>
              </w:rPr>
              <w:fldChar w:fldCharType="separate"/>
            </w:r>
            <w:r w:rsidR="007557FB">
              <w:rPr>
                <w:noProof/>
                <w:webHidden/>
              </w:rPr>
              <w:t>14</w:t>
            </w:r>
            <w:r w:rsidR="007557FB">
              <w:rPr>
                <w:noProof/>
                <w:webHidden/>
              </w:rPr>
              <w:fldChar w:fldCharType="end"/>
            </w:r>
          </w:hyperlink>
        </w:p>
        <w:p w14:paraId="236E6603" w14:textId="71EB499D" w:rsidR="007557FB" w:rsidRDefault="00BF33E7">
          <w:pPr>
            <w:pStyle w:val="TOC3"/>
            <w:tabs>
              <w:tab w:val="right" w:leader="dot" w:pos="10194"/>
            </w:tabs>
            <w:rPr>
              <w:rFonts w:eastAsiaTheme="minorEastAsia"/>
              <w:noProof/>
              <w:color w:val="auto"/>
              <w:sz w:val="22"/>
              <w:szCs w:val="22"/>
              <w:lang w:eastAsia="en-AU"/>
            </w:rPr>
          </w:pPr>
          <w:hyperlink w:anchor="_Toc118103740" w:history="1">
            <w:r w:rsidR="007557FB" w:rsidRPr="00846912">
              <w:rPr>
                <w:rStyle w:val="Hyperlink"/>
                <w:noProof/>
              </w:rPr>
              <w:t>1.2.1 Both Programs have similar objectives and functions operating concurrently</w:t>
            </w:r>
            <w:r w:rsidR="007557FB">
              <w:rPr>
                <w:noProof/>
                <w:webHidden/>
              </w:rPr>
              <w:tab/>
            </w:r>
            <w:r w:rsidR="007557FB">
              <w:rPr>
                <w:noProof/>
                <w:webHidden/>
              </w:rPr>
              <w:fldChar w:fldCharType="begin"/>
            </w:r>
            <w:r w:rsidR="007557FB">
              <w:rPr>
                <w:noProof/>
                <w:webHidden/>
              </w:rPr>
              <w:instrText xml:space="preserve"> PAGEREF _Toc118103740 \h </w:instrText>
            </w:r>
            <w:r w:rsidR="007557FB">
              <w:rPr>
                <w:noProof/>
                <w:webHidden/>
              </w:rPr>
            </w:r>
            <w:r w:rsidR="007557FB">
              <w:rPr>
                <w:noProof/>
                <w:webHidden/>
              </w:rPr>
              <w:fldChar w:fldCharType="separate"/>
            </w:r>
            <w:r w:rsidR="007557FB">
              <w:rPr>
                <w:noProof/>
                <w:webHidden/>
              </w:rPr>
              <w:t>17</w:t>
            </w:r>
            <w:r w:rsidR="007557FB">
              <w:rPr>
                <w:noProof/>
                <w:webHidden/>
              </w:rPr>
              <w:fldChar w:fldCharType="end"/>
            </w:r>
          </w:hyperlink>
        </w:p>
        <w:p w14:paraId="5D4C4E31" w14:textId="404C8F27" w:rsidR="007557FB" w:rsidRDefault="00BF33E7">
          <w:pPr>
            <w:pStyle w:val="TOC2"/>
            <w:tabs>
              <w:tab w:val="right" w:leader="dot" w:pos="10194"/>
            </w:tabs>
            <w:rPr>
              <w:rFonts w:eastAsiaTheme="minorEastAsia"/>
              <w:noProof/>
              <w:color w:val="auto"/>
              <w:sz w:val="22"/>
              <w:szCs w:val="22"/>
              <w:lang w:eastAsia="en-AU"/>
            </w:rPr>
          </w:pPr>
          <w:hyperlink w:anchor="_Toc118103741" w:history="1">
            <w:r w:rsidR="007557FB" w:rsidRPr="00846912">
              <w:rPr>
                <w:rStyle w:val="Hyperlink"/>
                <w:noProof/>
              </w:rPr>
              <w:t>1.3 Evidence for the success of the programs is unclear</w:t>
            </w:r>
            <w:r w:rsidR="007557FB">
              <w:rPr>
                <w:noProof/>
                <w:webHidden/>
              </w:rPr>
              <w:tab/>
            </w:r>
            <w:r w:rsidR="007557FB">
              <w:rPr>
                <w:noProof/>
                <w:webHidden/>
              </w:rPr>
              <w:fldChar w:fldCharType="begin"/>
            </w:r>
            <w:r w:rsidR="007557FB">
              <w:rPr>
                <w:noProof/>
                <w:webHidden/>
              </w:rPr>
              <w:instrText xml:space="preserve"> PAGEREF _Toc118103741 \h </w:instrText>
            </w:r>
            <w:r w:rsidR="007557FB">
              <w:rPr>
                <w:noProof/>
                <w:webHidden/>
              </w:rPr>
            </w:r>
            <w:r w:rsidR="007557FB">
              <w:rPr>
                <w:noProof/>
                <w:webHidden/>
              </w:rPr>
              <w:fldChar w:fldCharType="separate"/>
            </w:r>
            <w:r w:rsidR="007557FB">
              <w:rPr>
                <w:noProof/>
                <w:webHidden/>
              </w:rPr>
              <w:t>17</w:t>
            </w:r>
            <w:r w:rsidR="007557FB">
              <w:rPr>
                <w:noProof/>
                <w:webHidden/>
              </w:rPr>
              <w:fldChar w:fldCharType="end"/>
            </w:r>
          </w:hyperlink>
        </w:p>
        <w:p w14:paraId="5360841E" w14:textId="2FDEE049" w:rsidR="007557FB" w:rsidRDefault="00BF33E7">
          <w:pPr>
            <w:pStyle w:val="TOC2"/>
            <w:tabs>
              <w:tab w:val="right" w:leader="dot" w:pos="10194"/>
            </w:tabs>
            <w:rPr>
              <w:rFonts w:eastAsiaTheme="minorEastAsia"/>
              <w:noProof/>
              <w:color w:val="auto"/>
              <w:sz w:val="22"/>
              <w:szCs w:val="22"/>
              <w:lang w:eastAsia="en-AU"/>
            </w:rPr>
          </w:pPr>
          <w:hyperlink w:anchor="_Toc118103742" w:history="1">
            <w:r w:rsidR="007557FB" w:rsidRPr="00846912">
              <w:rPr>
                <w:rStyle w:val="Hyperlink"/>
                <w:noProof/>
              </w:rPr>
              <w:t>1.4 The compulsory nature of the program restricts freedom of choice and carries a stigma</w:t>
            </w:r>
            <w:r w:rsidR="007557FB">
              <w:rPr>
                <w:noProof/>
                <w:webHidden/>
              </w:rPr>
              <w:tab/>
            </w:r>
            <w:r w:rsidR="007557FB">
              <w:rPr>
                <w:noProof/>
                <w:webHidden/>
              </w:rPr>
              <w:fldChar w:fldCharType="begin"/>
            </w:r>
            <w:r w:rsidR="007557FB">
              <w:rPr>
                <w:noProof/>
                <w:webHidden/>
              </w:rPr>
              <w:instrText xml:space="preserve"> PAGEREF _Toc118103742 \h </w:instrText>
            </w:r>
            <w:r w:rsidR="007557FB">
              <w:rPr>
                <w:noProof/>
                <w:webHidden/>
              </w:rPr>
            </w:r>
            <w:r w:rsidR="007557FB">
              <w:rPr>
                <w:noProof/>
                <w:webHidden/>
              </w:rPr>
              <w:fldChar w:fldCharType="separate"/>
            </w:r>
            <w:r w:rsidR="007557FB">
              <w:rPr>
                <w:noProof/>
                <w:webHidden/>
              </w:rPr>
              <w:t>19</w:t>
            </w:r>
            <w:r w:rsidR="007557FB">
              <w:rPr>
                <w:noProof/>
                <w:webHidden/>
              </w:rPr>
              <w:fldChar w:fldCharType="end"/>
            </w:r>
          </w:hyperlink>
        </w:p>
        <w:p w14:paraId="38B95654" w14:textId="6A588618" w:rsidR="007557FB" w:rsidRDefault="00BF33E7">
          <w:pPr>
            <w:pStyle w:val="TOC2"/>
            <w:tabs>
              <w:tab w:val="right" w:leader="dot" w:pos="10194"/>
            </w:tabs>
            <w:rPr>
              <w:rFonts w:eastAsiaTheme="minorEastAsia"/>
              <w:noProof/>
              <w:color w:val="auto"/>
              <w:sz w:val="22"/>
              <w:szCs w:val="22"/>
              <w:lang w:eastAsia="en-AU"/>
            </w:rPr>
          </w:pPr>
          <w:hyperlink w:anchor="_Toc118103743" w:history="1">
            <w:r w:rsidR="007557FB" w:rsidRPr="00846912">
              <w:rPr>
                <w:rStyle w:val="Hyperlink"/>
                <w:noProof/>
              </w:rPr>
              <w:t>1.5 Current BasicsCard technology restricts participant choice</w:t>
            </w:r>
            <w:r w:rsidR="007557FB">
              <w:rPr>
                <w:noProof/>
                <w:webHidden/>
              </w:rPr>
              <w:tab/>
            </w:r>
            <w:r w:rsidR="007557FB">
              <w:rPr>
                <w:noProof/>
                <w:webHidden/>
              </w:rPr>
              <w:fldChar w:fldCharType="begin"/>
            </w:r>
            <w:r w:rsidR="007557FB">
              <w:rPr>
                <w:noProof/>
                <w:webHidden/>
              </w:rPr>
              <w:instrText xml:space="preserve"> PAGEREF _Toc118103743 \h </w:instrText>
            </w:r>
            <w:r w:rsidR="007557FB">
              <w:rPr>
                <w:noProof/>
                <w:webHidden/>
              </w:rPr>
            </w:r>
            <w:r w:rsidR="007557FB">
              <w:rPr>
                <w:noProof/>
                <w:webHidden/>
              </w:rPr>
              <w:fldChar w:fldCharType="separate"/>
            </w:r>
            <w:r w:rsidR="007557FB">
              <w:rPr>
                <w:noProof/>
                <w:webHidden/>
              </w:rPr>
              <w:t>19</w:t>
            </w:r>
            <w:r w:rsidR="007557FB">
              <w:rPr>
                <w:noProof/>
                <w:webHidden/>
              </w:rPr>
              <w:fldChar w:fldCharType="end"/>
            </w:r>
          </w:hyperlink>
        </w:p>
        <w:p w14:paraId="3931AFC7" w14:textId="73AA4CC6" w:rsidR="007557FB" w:rsidRDefault="00BF33E7">
          <w:pPr>
            <w:pStyle w:val="TOC2"/>
            <w:tabs>
              <w:tab w:val="right" w:leader="dot" w:pos="10194"/>
            </w:tabs>
            <w:rPr>
              <w:rFonts w:eastAsiaTheme="minorEastAsia"/>
              <w:noProof/>
              <w:color w:val="auto"/>
              <w:sz w:val="22"/>
              <w:szCs w:val="22"/>
              <w:lang w:eastAsia="en-AU"/>
            </w:rPr>
          </w:pPr>
          <w:hyperlink w:anchor="_Toc118103744" w:history="1">
            <w:r w:rsidR="007557FB" w:rsidRPr="00846912">
              <w:rPr>
                <w:rStyle w:val="Hyperlink"/>
                <w:noProof/>
              </w:rPr>
              <w:t>1.6 Voluntary Income Management carries less stigma and can be more effective</w:t>
            </w:r>
            <w:r w:rsidR="007557FB">
              <w:rPr>
                <w:noProof/>
                <w:webHidden/>
              </w:rPr>
              <w:tab/>
            </w:r>
            <w:r w:rsidR="007557FB">
              <w:rPr>
                <w:noProof/>
                <w:webHidden/>
              </w:rPr>
              <w:fldChar w:fldCharType="begin"/>
            </w:r>
            <w:r w:rsidR="007557FB">
              <w:rPr>
                <w:noProof/>
                <w:webHidden/>
              </w:rPr>
              <w:instrText xml:space="preserve"> PAGEREF _Toc118103744 \h </w:instrText>
            </w:r>
            <w:r w:rsidR="007557FB">
              <w:rPr>
                <w:noProof/>
                <w:webHidden/>
              </w:rPr>
            </w:r>
            <w:r w:rsidR="007557FB">
              <w:rPr>
                <w:noProof/>
                <w:webHidden/>
              </w:rPr>
              <w:fldChar w:fldCharType="separate"/>
            </w:r>
            <w:r w:rsidR="007557FB">
              <w:rPr>
                <w:noProof/>
                <w:webHidden/>
              </w:rPr>
              <w:t>20</w:t>
            </w:r>
            <w:r w:rsidR="007557FB">
              <w:rPr>
                <w:noProof/>
                <w:webHidden/>
              </w:rPr>
              <w:fldChar w:fldCharType="end"/>
            </w:r>
          </w:hyperlink>
        </w:p>
        <w:p w14:paraId="42314846" w14:textId="2DF62CEB" w:rsidR="007557FB" w:rsidRDefault="00BF33E7">
          <w:pPr>
            <w:pStyle w:val="TOC2"/>
            <w:tabs>
              <w:tab w:val="right" w:leader="dot" w:pos="10194"/>
            </w:tabs>
            <w:rPr>
              <w:rFonts w:eastAsiaTheme="minorEastAsia"/>
              <w:noProof/>
              <w:color w:val="auto"/>
              <w:sz w:val="22"/>
              <w:szCs w:val="22"/>
              <w:lang w:eastAsia="en-AU"/>
            </w:rPr>
          </w:pPr>
          <w:hyperlink w:anchor="_Toc118103745" w:history="1">
            <w:r w:rsidR="007557FB" w:rsidRPr="00846912">
              <w:rPr>
                <w:rStyle w:val="Hyperlink"/>
                <w:noProof/>
              </w:rPr>
              <w:t>1.7 There is a higher opportunity cost to continue Cashless Debit Card and Income Management</w:t>
            </w:r>
            <w:r w:rsidR="007557FB">
              <w:rPr>
                <w:noProof/>
                <w:webHidden/>
              </w:rPr>
              <w:tab/>
            </w:r>
            <w:r w:rsidR="007557FB">
              <w:rPr>
                <w:noProof/>
                <w:webHidden/>
              </w:rPr>
              <w:fldChar w:fldCharType="begin"/>
            </w:r>
            <w:r w:rsidR="007557FB">
              <w:rPr>
                <w:noProof/>
                <w:webHidden/>
              </w:rPr>
              <w:instrText xml:space="preserve"> PAGEREF _Toc118103745 \h </w:instrText>
            </w:r>
            <w:r w:rsidR="007557FB">
              <w:rPr>
                <w:noProof/>
                <w:webHidden/>
              </w:rPr>
            </w:r>
            <w:r w:rsidR="007557FB">
              <w:rPr>
                <w:noProof/>
                <w:webHidden/>
              </w:rPr>
              <w:fldChar w:fldCharType="separate"/>
            </w:r>
            <w:r w:rsidR="007557FB">
              <w:rPr>
                <w:noProof/>
                <w:webHidden/>
              </w:rPr>
              <w:t>21</w:t>
            </w:r>
            <w:r w:rsidR="007557FB">
              <w:rPr>
                <w:noProof/>
                <w:webHidden/>
              </w:rPr>
              <w:fldChar w:fldCharType="end"/>
            </w:r>
          </w:hyperlink>
        </w:p>
        <w:p w14:paraId="77AE7D3E" w14:textId="24E02210" w:rsidR="007557FB" w:rsidRDefault="00BF33E7">
          <w:pPr>
            <w:pStyle w:val="TOC2"/>
            <w:tabs>
              <w:tab w:val="right" w:leader="dot" w:pos="10194"/>
            </w:tabs>
            <w:rPr>
              <w:rFonts w:eastAsiaTheme="minorEastAsia"/>
              <w:noProof/>
              <w:color w:val="auto"/>
              <w:sz w:val="22"/>
              <w:szCs w:val="22"/>
              <w:lang w:eastAsia="en-AU"/>
            </w:rPr>
          </w:pPr>
          <w:hyperlink w:anchor="_Toc118103746" w:history="1">
            <w:r w:rsidR="007557FB" w:rsidRPr="00846912">
              <w:rPr>
                <w:rStyle w:val="Hyperlink"/>
                <w:noProof/>
              </w:rPr>
              <w:t>1.8 Summary of stakeholder impacts</w:t>
            </w:r>
            <w:r w:rsidR="007557FB">
              <w:rPr>
                <w:noProof/>
                <w:webHidden/>
              </w:rPr>
              <w:tab/>
            </w:r>
            <w:r w:rsidR="007557FB">
              <w:rPr>
                <w:noProof/>
                <w:webHidden/>
              </w:rPr>
              <w:fldChar w:fldCharType="begin"/>
            </w:r>
            <w:r w:rsidR="007557FB">
              <w:rPr>
                <w:noProof/>
                <w:webHidden/>
              </w:rPr>
              <w:instrText xml:space="preserve"> PAGEREF _Toc118103746 \h </w:instrText>
            </w:r>
            <w:r w:rsidR="007557FB">
              <w:rPr>
                <w:noProof/>
                <w:webHidden/>
              </w:rPr>
            </w:r>
            <w:r w:rsidR="007557FB">
              <w:rPr>
                <w:noProof/>
                <w:webHidden/>
              </w:rPr>
              <w:fldChar w:fldCharType="separate"/>
            </w:r>
            <w:r w:rsidR="007557FB">
              <w:rPr>
                <w:noProof/>
                <w:webHidden/>
              </w:rPr>
              <w:t>21</w:t>
            </w:r>
            <w:r w:rsidR="007557FB">
              <w:rPr>
                <w:noProof/>
                <w:webHidden/>
              </w:rPr>
              <w:fldChar w:fldCharType="end"/>
            </w:r>
          </w:hyperlink>
        </w:p>
        <w:p w14:paraId="7C07AF3A" w14:textId="42EBAE87" w:rsidR="007557FB" w:rsidRDefault="00BF33E7">
          <w:pPr>
            <w:pStyle w:val="TOC1"/>
            <w:rPr>
              <w:rFonts w:eastAsiaTheme="minorEastAsia"/>
              <w:noProof/>
              <w:color w:val="auto"/>
              <w:sz w:val="22"/>
              <w:szCs w:val="22"/>
              <w:lang w:eastAsia="en-AU"/>
            </w:rPr>
          </w:pPr>
          <w:hyperlink w:anchor="_Toc118103747" w:history="1">
            <w:r w:rsidR="007557FB" w:rsidRPr="00846912">
              <w:rPr>
                <w:rStyle w:val="Hyperlink"/>
                <w:noProof/>
              </w:rPr>
              <w:t>2. Why is Government action needed?</w:t>
            </w:r>
            <w:r w:rsidR="007557FB">
              <w:rPr>
                <w:noProof/>
                <w:webHidden/>
              </w:rPr>
              <w:tab/>
            </w:r>
            <w:r w:rsidR="007557FB">
              <w:rPr>
                <w:noProof/>
                <w:webHidden/>
              </w:rPr>
              <w:fldChar w:fldCharType="begin"/>
            </w:r>
            <w:r w:rsidR="007557FB">
              <w:rPr>
                <w:noProof/>
                <w:webHidden/>
              </w:rPr>
              <w:instrText xml:space="preserve"> PAGEREF _Toc118103747 \h </w:instrText>
            </w:r>
            <w:r w:rsidR="007557FB">
              <w:rPr>
                <w:noProof/>
                <w:webHidden/>
              </w:rPr>
            </w:r>
            <w:r w:rsidR="007557FB">
              <w:rPr>
                <w:noProof/>
                <w:webHidden/>
              </w:rPr>
              <w:fldChar w:fldCharType="separate"/>
            </w:r>
            <w:r w:rsidR="007557FB">
              <w:rPr>
                <w:noProof/>
                <w:webHidden/>
              </w:rPr>
              <w:t>22</w:t>
            </w:r>
            <w:r w:rsidR="007557FB">
              <w:rPr>
                <w:noProof/>
                <w:webHidden/>
              </w:rPr>
              <w:fldChar w:fldCharType="end"/>
            </w:r>
          </w:hyperlink>
        </w:p>
        <w:p w14:paraId="4DDA4013" w14:textId="3EEB26DE" w:rsidR="007557FB" w:rsidRDefault="00BF33E7">
          <w:pPr>
            <w:pStyle w:val="TOC2"/>
            <w:tabs>
              <w:tab w:val="right" w:leader="dot" w:pos="10194"/>
            </w:tabs>
            <w:rPr>
              <w:rFonts w:eastAsiaTheme="minorEastAsia"/>
              <w:noProof/>
              <w:color w:val="auto"/>
              <w:sz w:val="22"/>
              <w:szCs w:val="22"/>
              <w:lang w:eastAsia="en-AU"/>
            </w:rPr>
          </w:pPr>
          <w:hyperlink w:anchor="_Toc118103748" w:history="1">
            <w:r w:rsidR="007557FB" w:rsidRPr="00846912">
              <w:rPr>
                <w:rStyle w:val="Hyperlink"/>
                <w:noProof/>
              </w:rPr>
              <w:t>2.1 Why the government should reform the programs</w:t>
            </w:r>
            <w:r w:rsidR="007557FB">
              <w:rPr>
                <w:noProof/>
                <w:webHidden/>
              </w:rPr>
              <w:tab/>
            </w:r>
            <w:r w:rsidR="007557FB">
              <w:rPr>
                <w:noProof/>
                <w:webHidden/>
              </w:rPr>
              <w:fldChar w:fldCharType="begin"/>
            </w:r>
            <w:r w:rsidR="007557FB">
              <w:rPr>
                <w:noProof/>
                <w:webHidden/>
              </w:rPr>
              <w:instrText xml:space="preserve"> PAGEREF _Toc118103748 \h </w:instrText>
            </w:r>
            <w:r w:rsidR="007557FB">
              <w:rPr>
                <w:noProof/>
                <w:webHidden/>
              </w:rPr>
            </w:r>
            <w:r w:rsidR="007557FB">
              <w:rPr>
                <w:noProof/>
                <w:webHidden/>
              </w:rPr>
              <w:fldChar w:fldCharType="separate"/>
            </w:r>
            <w:r w:rsidR="007557FB">
              <w:rPr>
                <w:noProof/>
                <w:webHidden/>
              </w:rPr>
              <w:t>22</w:t>
            </w:r>
            <w:r w:rsidR="007557FB">
              <w:rPr>
                <w:noProof/>
                <w:webHidden/>
              </w:rPr>
              <w:fldChar w:fldCharType="end"/>
            </w:r>
          </w:hyperlink>
        </w:p>
        <w:p w14:paraId="48D90A6B" w14:textId="07E9E797" w:rsidR="007557FB" w:rsidRDefault="00BF33E7">
          <w:pPr>
            <w:pStyle w:val="TOC2"/>
            <w:tabs>
              <w:tab w:val="right" w:leader="dot" w:pos="10194"/>
            </w:tabs>
            <w:rPr>
              <w:rFonts w:eastAsiaTheme="minorEastAsia"/>
              <w:noProof/>
              <w:color w:val="auto"/>
              <w:sz w:val="22"/>
              <w:szCs w:val="22"/>
              <w:lang w:eastAsia="en-AU"/>
            </w:rPr>
          </w:pPr>
          <w:hyperlink w:anchor="_Toc118103749" w:history="1">
            <w:r w:rsidR="007557FB" w:rsidRPr="00846912">
              <w:rPr>
                <w:rStyle w:val="Hyperlink"/>
                <w:noProof/>
              </w:rPr>
              <w:t>2.2 Alternatives to Commonwealth Government action</w:t>
            </w:r>
            <w:r w:rsidR="007557FB">
              <w:rPr>
                <w:noProof/>
                <w:webHidden/>
              </w:rPr>
              <w:tab/>
            </w:r>
            <w:r w:rsidR="007557FB">
              <w:rPr>
                <w:noProof/>
                <w:webHidden/>
              </w:rPr>
              <w:fldChar w:fldCharType="begin"/>
            </w:r>
            <w:r w:rsidR="007557FB">
              <w:rPr>
                <w:noProof/>
                <w:webHidden/>
              </w:rPr>
              <w:instrText xml:space="preserve"> PAGEREF _Toc118103749 \h </w:instrText>
            </w:r>
            <w:r w:rsidR="007557FB">
              <w:rPr>
                <w:noProof/>
                <w:webHidden/>
              </w:rPr>
            </w:r>
            <w:r w:rsidR="007557FB">
              <w:rPr>
                <w:noProof/>
                <w:webHidden/>
              </w:rPr>
              <w:fldChar w:fldCharType="separate"/>
            </w:r>
            <w:r w:rsidR="007557FB">
              <w:rPr>
                <w:noProof/>
                <w:webHidden/>
              </w:rPr>
              <w:t>22</w:t>
            </w:r>
            <w:r w:rsidR="007557FB">
              <w:rPr>
                <w:noProof/>
                <w:webHidden/>
              </w:rPr>
              <w:fldChar w:fldCharType="end"/>
            </w:r>
          </w:hyperlink>
        </w:p>
        <w:p w14:paraId="49718BD4" w14:textId="0CF2F0D5" w:rsidR="007557FB" w:rsidRDefault="00BF33E7">
          <w:pPr>
            <w:pStyle w:val="TOC2"/>
            <w:tabs>
              <w:tab w:val="right" w:leader="dot" w:pos="10194"/>
            </w:tabs>
            <w:rPr>
              <w:rFonts w:eastAsiaTheme="minorEastAsia"/>
              <w:noProof/>
              <w:color w:val="auto"/>
              <w:sz w:val="22"/>
              <w:szCs w:val="22"/>
              <w:lang w:eastAsia="en-AU"/>
            </w:rPr>
          </w:pPr>
          <w:hyperlink w:anchor="_Toc118103750" w:history="1">
            <w:r w:rsidR="007557FB" w:rsidRPr="00846912">
              <w:rPr>
                <w:rStyle w:val="Hyperlink"/>
                <w:noProof/>
              </w:rPr>
              <w:t>2.3 Objectives of the policy change</w:t>
            </w:r>
            <w:r w:rsidR="007557FB">
              <w:rPr>
                <w:noProof/>
                <w:webHidden/>
              </w:rPr>
              <w:tab/>
            </w:r>
            <w:r w:rsidR="007557FB">
              <w:rPr>
                <w:noProof/>
                <w:webHidden/>
              </w:rPr>
              <w:fldChar w:fldCharType="begin"/>
            </w:r>
            <w:r w:rsidR="007557FB">
              <w:rPr>
                <w:noProof/>
                <w:webHidden/>
              </w:rPr>
              <w:instrText xml:space="preserve"> PAGEREF _Toc118103750 \h </w:instrText>
            </w:r>
            <w:r w:rsidR="007557FB">
              <w:rPr>
                <w:noProof/>
                <w:webHidden/>
              </w:rPr>
            </w:r>
            <w:r w:rsidR="007557FB">
              <w:rPr>
                <w:noProof/>
                <w:webHidden/>
              </w:rPr>
              <w:fldChar w:fldCharType="separate"/>
            </w:r>
            <w:r w:rsidR="007557FB">
              <w:rPr>
                <w:noProof/>
                <w:webHidden/>
              </w:rPr>
              <w:t>22</w:t>
            </w:r>
            <w:r w:rsidR="007557FB">
              <w:rPr>
                <w:noProof/>
                <w:webHidden/>
              </w:rPr>
              <w:fldChar w:fldCharType="end"/>
            </w:r>
          </w:hyperlink>
        </w:p>
        <w:p w14:paraId="240E1F81" w14:textId="717E74DF" w:rsidR="007557FB" w:rsidRDefault="00BF33E7">
          <w:pPr>
            <w:pStyle w:val="TOC2"/>
            <w:tabs>
              <w:tab w:val="right" w:leader="dot" w:pos="10194"/>
            </w:tabs>
            <w:rPr>
              <w:rFonts w:eastAsiaTheme="minorEastAsia"/>
              <w:noProof/>
              <w:color w:val="auto"/>
              <w:sz w:val="22"/>
              <w:szCs w:val="22"/>
              <w:lang w:eastAsia="en-AU"/>
            </w:rPr>
          </w:pPr>
          <w:hyperlink w:anchor="_Toc118103751" w:history="1">
            <w:r w:rsidR="007557FB" w:rsidRPr="00846912">
              <w:rPr>
                <w:rStyle w:val="Hyperlink"/>
                <w:noProof/>
              </w:rPr>
              <w:t>2.4 Constraints or barriers to achieving these objectives</w:t>
            </w:r>
            <w:r w:rsidR="007557FB">
              <w:rPr>
                <w:noProof/>
                <w:webHidden/>
              </w:rPr>
              <w:tab/>
            </w:r>
            <w:r w:rsidR="007557FB">
              <w:rPr>
                <w:noProof/>
                <w:webHidden/>
              </w:rPr>
              <w:fldChar w:fldCharType="begin"/>
            </w:r>
            <w:r w:rsidR="007557FB">
              <w:rPr>
                <w:noProof/>
                <w:webHidden/>
              </w:rPr>
              <w:instrText xml:space="preserve"> PAGEREF _Toc118103751 \h </w:instrText>
            </w:r>
            <w:r w:rsidR="007557FB">
              <w:rPr>
                <w:noProof/>
                <w:webHidden/>
              </w:rPr>
            </w:r>
            <w:r w:rsidR="007557FB">
              <w:rPr>
                <w:noProof/>
                <w:webHidden/>
              </w:rPr>
              <w:fldChar w:fldCharType="separate"/>
            </w:r>
            <w:r w:rsidR="007557FB">
              <w:rPr>
                <w:noProof/>
                <w:webHidden/>
              </w:rPr>
              <w:t>22</w:t>
            </w:r>
            <w:r w:rsidR="007557FB">
              <w:rPr>
                <w:noProof/>
                <w:webHidden/>
              </w:rPr>
              <w:fldChar w:fldCharType="end"/>
            </w:r>
          </w:hyperlink>
        </w:p>
        <w:p w14:paraId="4CDB6963" w14:textId="24FCDF97" w:rsidR="007557FB" w:rsidRDefault="00BF33E7">
          <w:pPr>
            <w:pStyle w:val="TOC2"/>
            <w:tabs>
              <w:tab w:val="right" w:leader="dot" w:pos="10194"/>
            </w:tabs>
            <w:rPr>
              <w:rFonts w:eastAsiaTheme="minorEastAsia"/>
              <w:noProof/>
              <w:color w:val="auto"/>
              <w:sz w:val="22"/>
              <w:szCs w:val="22"/>
              <w:lang w:eastAsia="en-AU"/>
            </w:rPr>
          </w:pPr>
          <w:hyperlink w:anchor="_Toc118103752" w:history="1">
            <w:r w:rsidR="007557FB" w:rsidRPr="00846912">
              <w:rPr>
                <w:rStyle w:val="Hyperlink"/>
                <w:noProof/>
              </w:rPr>
              <w:t>2.5 The Governments capacity to reform the programs successfully and overcome these barriers</w:t>
            </w:r>
            <w:r w:rsidR="007557FB">
              <w:rPr>
                <w:noProof/>
                <w:webHidden/>
              </w:rPr>
              <w:tab/>
            </w:r>
            <w:r w:rsidR="007557FB">
              <w:rPr>
                <w:noProof/>
                <w:webHidden/>
              </w:rPr>
              <w:fldChar w:fldCharType="begin"/>
            </w:r>
            <w:r w:rsidR="007557FB">
              <w:rPr>
                <w:noProof/>
                <w:webHidden/>
              </w:rPr>
              <w:instrText xml:space="preserve"> PAGEREF _Toc118103752 \h </w:instrText>
            </w:r>
            <w:r w:rsidR="007557FB">
              <w:rPr>
                <w:noProof/>
                <w:webHidden/>
              </w:rPr>
            </w:r>
            <w:r w:rsidR="007557FB">
              <w:rPr>
                <w:noProof/>
                <w:webHidden/>
              </w:rPr>
              <w:fldChar w:fldCharType="separate"/>
            </w:r>
            <w:r w:rsidR="007557FB">
              <w:rPr>
                <w:noProof/>
                <w:webHidden/>
              </w:rPr>
              <w:t>23</w:t>
            </w:r>
            <w:r w:rsidR="007557FB">
              <w:rPr>
                <w:noProof/>
                <w:webHidden/>
              </w:rPr>
              <w:fldChar w:fldCharType="end"/>
            </w:r>
          </w:hyperlink>
        </w:p>
        <w:p w14:paraId="1866C66C" w14:textId="67C44D74" w:rsidR="007557FB" w:rsidRDefault="00BF33E7">
          <w:pPr>
            <w:pStyle w:val="TOC1"/>
            <w:rPr>
              <w:rFonts w:eastAsiaTheme="minorEastAsia"/>
              <w:noProof/>
              <w:color w:val="auto"/>
              <w:sz w:val="22"/>
              <w:szCs w:val="22"/>
              <w:lang w:eastAsia="en-AU"/>
            </w:rPr>
          </w:pPr>
          <w:hyperlink w:anchor="_Toc118103753" w:history="1">
            <w:r w:rsidR="007557FB" w:rsidRPr="00846912">
              <w:rPr>
                <w:rStyle w:val="Hyperlink"/>
                <w:noProof/>
              </w:rPr>
              <w:t>3. What policy options are you considering?</w:t>
            </w:r>
            <w:r w:rsidR="007557FB">
              <w:rPr>
                <w:noProof/>
                <w:webHidden/>
              </w:rPr>
              <w:tab/>
            </w:r>
            <w:r w:rsidR="007557FB">
              <w:rPr>
                <w:noProof/>
                <w:webHidden/>
              </w:rPr>
              <w:fldChar w:fldCharType="begin"/>
            </w:r>
            <w:r w:rsidR="007557FB">
              <w:rPr>
                <w:noProof/>
                <w:webHidden/>
              </w:rPr>
              <w:instrText xml:space="preserve"> PAGEREF _Toc118103753 \h </w:instrText>
            </w:r>
            <w:r w:rsidR="007557FB">
              <w:rPr>
                <w:noProof/>
                <w:webHidden/>
              </w:rPr>
            </w:r>
            <w:r w:rsidR="007557FB">
              <w:rPr>
                <w:noProof/>
                <w:webHidden/>
              </w:rPr>
              <w:fldChar w:fldCharType="separate"/>
            </w:r>
            <w:r w:rsidR="007557FB">
              <w:rPr>
                <w:noProof/>
                <w:webHidden/>
              </w:rPr>
              <w:t>23</w:t>
            </w:r>
            <w:r w:rsidR="007557FB">
              <w:rPr>
                <w:noProof/>
                <w:webHidden/>
              </w:rPr>
              <w:fldChar w:fldCharType="end"/>
            </w:r>
          </w:hyperlink>
        </w:p>
        <w:p w14:paraId="39D6CD57" w14:textId="1C2B3452" w:rsidR="007557FB" w:rsidRDefault="00BF33E7">
          <w:pPr>
            <w:pStyle w:val="TOC2"/>
            <w:tabs>
              <w:tab w:val="right" w:leader="dot" w:pos="10194"/>
            </w:tabs>
            <w:rPr>
              <w:rFonts w:eastAsiaTheme="minorEastAsia"/>
              <w:noProof/>
              <w:color w:val="auto"/>
              <w:sz w:val="22"/>
              <w:szCs w:val="22"/>
              <w:lang w:eastAsia="en-AU"/>
            </w:rPr>
          </w:pPr>
          <w:hyperlink w:anchor="_Toc118103754" w:history="1">
            <w:r w:rsidR="007557FB" w:rsidRPr="00846912">
              <w:rPr>
                <w:rStyle w:val="Hyperlink"/>
                <w:noProof/>
              </w:rPr>
              <w:t>3.1 Option 1 – Maintain the status quo</w:t>
            </w:r>
            <w:r w:rsidR="007557FB">
              <w:rPr>
                <w:noProof/>
                <w:webHidden/>
              </w:rPr>
              <w:tab/>
            </w:r>
            <w:r w:rsidR="007557FB">
              <w:rPr>
                <w:noProof/>
                <w:webHidden/>
              </w:rPr>
              <w:fldChar w:fldCharType="begin"/>
            </w:r>
            <w:r w:rsidR="007557FB">
              <w:rPr>
                <w:noProof/>
                <w:webHidden/>
              </w:rPr>
              <w:instrText xml:space="preserve"> PAGEREF _Toc118103754 \h </w:instrText>
            </w:r>
            <w:r w:rsidR="007557FB">
              <w:rPr>
                <w:noProof/>
                <w:webHidden/>
              </w:rPr>
            </w:r>
            <w:r w:rsidR="007557FB">
              <w:rPr>
                <w:noProof/>
                <w:webHidden/>
              </w:rPr>
              <w:fldChar w:fldCharType="separate"/>
            </w:r>
            <w:r w:rsidR="007557FB">
              <w:rPr>
                <w:noProof/>
                <w:webHidden/>
              </w:rPr>
              <w:t>23</w:t>
            </w:r>
            <w:r w:rsidR="007557FB">
              <w:rPr>
                <w:noProof/>
                <w:webHidden/>
              </w:rPr>
              <w:fldChar w:fldCharType="end"/>
            </w:r>
          </w:hyperlink>
        </w:p>
        <w:p w14:paraId="00904D9D" w14:textId="6739D445" w:rsidR="007557FB" w:rsidRDefault="00BF33E7">
          <w:pPr>
            <w:pStyle w:val="TOC3"/>
            <w:tabs>
              <w:tab w:val="right" w:leader="dot" w:pos="10194"/>
            </w:tabs>
            <w:rPr>
              <w:rFonts w:eastAsiaTheme="minorEastAsia"/>
              <w:noProof/>
              <w:color w:val="auto"/>
              <w:sz w:val="22"/>
              <w:szCs w:val="22"/>
              <w:lang w:eastAsia="en-AU"/>
            </w:rPr>
          </w:pPr>
          <w:hyperlink w:anchor="_Toc118103755" w:history="1">
            <w:r w:rsidR="007557FB" w:rsidRPr="00846912">
              <w:rPr>
                <w:rStyle w:val="Hyperlink"/>
                <w:noProof/>
              </w:rPr>
              <w:t>3.1.1 The ability of the ‘status quo’ option to address the problem</w:t>
            </w:r>
            <w:r w:rsidR="007557FB">
              <w:rPr>
                <w:noProof/>
                <w:webHidden/>
              </w:rPr>
              <w:tab/>
            </w:r>
            <w:r w:rsidR="007557FB">
              <w:rPr>
                <w:noProof/>
                <w:webHidden/>
              </w:rPr>
              <w:fldChar w:fldCharType="begin"/>
            </w:r>
            <w:r w:rsidR="007557FB">
              <w:rPr>
                <w:noProof/>
                <w:webHidden/>
              </w:rPr>
              <w:instrText xml:space="preserve"> PAGEREF _Toc118103755 \h </w:instrText>
            </w:r>
            <w:r w:rsidR="007557FB">
              <w:rPr>
                <w:noProof/>
                <w:webHidden/>
              </w:rPr>
            </w:r>
            <w:r w:rsidR="007557FB">
              <w:rPr>
                <w:noProof/>
                <w:webHidden/>
              </w:rPr>
              <w:fldChar w:fldCharType="separate"/>
            </w:r>
            <w:r w:rsidR="007557FB">
              <w:rPr>
                <w:noProof/>
                <w:webHidden/>
              </w:rPr>
              <w:t>25</w:t>
            </w:r>
            <w:r w:rsidR="007557FB">
              <w:rPr>
                <w:noProof/>
                <w:webHidden/>
              </w:rPr>
              <w:fldChar w:fldCharType="end"/>
            </w:r>
          </w:hyperlink>
        </w:p>
        <w:p w14:paraId="3AFE2CB1" w14:textId="33247C1C" w:rsidR="007557FB" w:rsidRDefault="00BF33E7">
          <w:pPr>
            <w:pStyle w:val="TOC2"/>
            <w:tabs>
              <w:tab w:val="right" w:leader="dot" w:pos="10194"/>
            </w:tabs>
            <w:rPr>
              <w:rFonts w:eastAsiaTheme="minorEastAsia"/>
              <w:noProof/>
              <w:color w:val="auto"/>
              <w:sz w:val="22"/>
              <w:szCs w:val="22"/>
              <w:lang w:eastAsia="en-AU"/>
            </w:rPr>
          </w:pPr>
          <w:hyperlink w:anchor="_Toc118103756" w:history="1">
            <w:r w:rsidR="007557FB" w:rsidRPr="00846912">
              <w:rPr>
                <w:rStyle w:val="Hyperlink"/>
                <w:noProof/>
              </w:rPr>
              <w:t>3.2 Option 2 – Reform the Cashless Debit Card and Income Management programs</w:t>
            </w:r>
            <w:r w:rsidR="007557FB">
              <w:rPr>
                <w:noProof/>
                <w:webHidden/>
              </w:rPr>
              <w:tab/>
            </w:r>
            <w:r w:rsidR="007557FB">
              <w:rPr>
                <w:noProof/>
                <w:webHidden/>
              </w:rPr>
              <w:fldChar w:fldCharType="begin"/>
            </w:r>
            <w:r w:rsidR="007557FB">
              <w:rPr>
                <w:noProof/>
                <w:webHidden/>
              </w:rPr>
              <w:instrText xml:space="preserve"> PAGEREF _Toc118103756 \h </w:instrText>
            </w:r>
            <w:r w:rsidR="007557FB">
              <w:rPr>
                <w:noProof/>
                <w:webHidden/>
              </w:rPr>
            </w:r>
            <w:r w:rsidR="007557FB">
              <w:rPr>
                <w:noProof/>
                <w:webHidden/>
              </w:rPr>
              <w:fldChar w:fldCharType="separate"/>
            </w:r>
            <w:r w:rsidR="007557FB">
              <w:rPr>
                <w:noProof/>
                <w:webHidden/>
              </w:rPr>
              <w:t>26</w:t>
            </w:r>
            <w:r w:rsidR="007557FB">
              <w:rPr>
                <w:noProof/>
                <w:webHidden/>
              </w:rPr>
              <w:fldChar w:fldCharType="end"/>
            </w:r>
          </w:hyperlink>
        </w:p>
        <w:p w14:paraId="44056608" w14:textId="1B83A3C3" w:rsidR="007557FB" w:rsidRDefault="00BF33E7">
          <w:pPr>
            <w:pStyle w:val="TOC3"/>
            <w:tabs>
              <w:tab w:val="right" w:leader="dot" w:pos="10194"/>
            </w:tabs>
            <w:rPr>
              <w:rFonts w:eastAsiaTheme="minorEastAsia"/>
              <w:noProof/>
              <w:color w:val="auto"/>
              <w:sz w:val="22"/>
              <w:szCs w:val="22"/>
              <w:lang w:eastAsia="en-AU"/>
            </w:rPr>
          </w:pPr>
          <w:hyperlink w:anchor="_Toc118103757" w:history="1">
            <w:r w:rsidR="007557FB" w:rsidRPr="00846912">
              <w:rPr>
                <w:rStyle w:val="Hyperlink"/>
                <w:noProof/>
              </w:rPr>
              <w:t>3.2.1 Key elements</w:t>
            </w:r>
            <w:r w:rsidR="007557FB">
              <w:rPr>
                <w:noProof/>
                <w:webHidden/>
              </w:rPr>
              <w:tab/>
            </w:r>
            <w:r w:rsidR="007557FB">
              <w:rPr>
                <w:noProof/>
                <w:webHidden/>
              </w:rPr>
              <w:fldChar w:fldCharType="begin"/>
            </w:r>
            <w:r w:rsidR="007557FB">
              <w:rPr>
                <w:noProof/>
                <w:webHidden/>
              </w:rPr>
              <w:instrText xml:space="preserve"> PAGEREF _Toc118103757 \h </w:instrText>
            </w:r>
            <w:r w:rsidR="007557FB">
              <w:rPr>
                <w:noProof/>
                <w:webHidden/>
              </w:rPr>
            </w:r>
            <w:r w:rsidR="007557FB">
              <w:rPr>
                <w:noProof/>
                <w:webHidden/>
              </w:rPr>
              <w:fldChar w:fldCharType="separate"/>
            </w:r>
            <w:r w:rsidR="007557FB">
              <w:rPr>
                <w:noProof/>
                <w:webHidden/>
              </w:rPr>
              <w:t>26</w:t>
            </w:r>
            <w:r w:rsidR="007557FB">
              <w:rPr>
                <w:noProof/>
                <w:webHidden/>
              </w:rPr>
              <w:fldChar w:fldCharType="end"/>
            </w:r>
          </w:hyperlink>
        </w:p>
        <w:p w14:paraId="1E281D25" w14:textId="370397AB" w:rsidR="007557FB" w:rsidRDefault="00BF33E7">
          <w:pPr>
            <w:pStyle w:val="TOC3"/>
            <w:tabs>
              <w:tab w:val="right" w:leader="dot" w:pos="10194"/>
            </w:tabs>
            <w:rPr>
              <w:rFonts w:eastAsiaTheme="minorEastAsia"/>
              <w:noProof/>
              <w:color w:val="auto"/>
              <w:sz w:val="22"/>
              <w:szCs w:val="22"/>
              <w:lang w:eastAsia="en-AU"/>
            </w:rPr>
          </w:pPr>
          <w:hyperlink w:anchor="_Toc118103758" w:history="1">
            <w:r w:rsidR="007557FB" w:rsidRPr="00846912">
              <w:rPr>
                <w:rStyle w:val="Hyperlink"/>
                <w:noProof/>
              </w:rPr>
              <w:t>3.2.2 Abolish the Cashless Debit Card</w:t>
            </w:r>
            <w:r w:rsidR="007557FB">
              <w:rPr>
                <w:noProof/>
                <w:webHidden/>
              </w:rPr>
              <w:tab/>
            </w:r>
            <w:r w:rsidR="007557FB">
              <w:rPr>
                <w:noProof/>
                <w:webHidden/>
              </w:rPr>
              <w:fldChar w:fldCharType="begin"/>
            </w:r>
            <w:r w:rsidR="007557FB">
              <w:rPr>
                <w:noProof/>
                <w:webHidden/>
              </w:rPr>
              <w:instrText xml:space="preserve"> PAGEREF _Toc118103758 \h </w:instrText>
            </w:r>
            <w:r w:rsidR="007557FB">
              <w:rPr>
                <w:noProof/>
                <w:webHidden/>
              </w:rPr>
            </w:r>
            <w:r w:rsidR="007557FB">
              <w:rPr>
                <w:noProof/>
                <w:webHidden/>
              </w:rPr>
              <w:fldChar w:fldCharType="separate"/>
            </w:r>
            <w:r w:rsidR="007557FB">
              <w:rPr>
                <w:noProof/>
                <w:webHidden/>
              </w:rPr>
              <w:t>27</w:t>
            </w:r>
            <w:r w:rsidR="007557FB">
              <w:rPr>
                <w:noProof/>
                <w:webHidden/>
              </w:rPr>
              <w:fldChar w:fldCharType="end"/>
            </w:r>
          </w:hyperlink>
        </w:p>
        <w:p w14:paraId="03F2DEED" w14:textId="34F03660" w:rsidR="007557FB" w:rsidRDefault="00BF33E7">
          <w:pPr>
            <w:pStyle w:val="TOC3"/>
            <w:tabs>
              <w:tab w:val="right" w:leader="dot" w:pos="10194"/>
            </w:tabs>
            <w:rPr>
              <w:rFonts w:eastAsiaTheme="minorEastAsia"/>
              <w:noProof/>
              <w:color w:val="auto"/>
              <w:sz w:val="22"/>
              <w:szCs w:val="22"/>
              <w:lang w:eastAsia="en-AU"/>
            </w:rPr>
          </w:pPr>
          <w:hyperlink w:anchor="_Toc118103759" w:history="1">
            <w:r w:rsidR="007557FB" w:rsidRPr="00846912">
              <w:rPr>
                <w:rStyle w:val="Hyperlink"/>
                <w:noProof/>
              </w:rPr>
              <w:t>3.2.3 Card technology for voluntary IM participants</w:t>
            </w:r>
            <w:r w:rsidR="007557FB">
              <w:rPr>
                <w:noProof/>
                <w:webHidden/>
              </w:rPr>
              <w:tab/>
            </w:r>
            <w:r w:rsidR="007557FB">
              <w:rPr>
                <w:noProof/>
                <w:webHidden/>
              </w:rPr>
              <w:fldChar w:fldCharType="begin"/>
            </w:r>
            <w:r w:rsidR="007557FB">
              <w:rPr>
                <w:noProof/>
                <w:webHidden/>
              </w:rPr>
              <w:instrText xml:space="preserve"> PAGEREF _Toc118103759 \h </w:instrText>
            </w:r>
            <w:r w:rsidR="007557FB">
              <w:rPr>
                <w:noProof/>
                <w:webHidden/>
              </w:rPr>
            </w:r>
            <w:r w:rsidR="007557FB">
              <w:rPr>
                <w:noProof/>
                <w:webHidden/>
              </w:rPr>
              <w:fldChar w:fldCharType="separate"/>
            </w:r>
            <w:r w:rsidR="007557FB">
              <w:rPr>
                <w:noProof/>
                <w:webHidden/>
              </w:rPr>
              <w:t>27</w:t>
            </w:r>
            <w:r w:rsidR="007557FB">
              <w:rPr>
                <w:noProof/>
                <w:webHidden/>
              </w:rPr>
              <w:fldChar w:fldCharType="end"/>
            </w:r>
          </w:hyperlink>
        </w:p>
        <w:p w14:paraId="175ECC58" w14:textId="1F2EA7E3" w:rsidR="007557FB" w:rsidRDefault="00BF33E7">
          <w:pPr>
            <w:pStyle w:val="TOC3"/>
            <w:tabs>
              <w:tab w:val="right" w:leader="dot" w:pos="10194"/>
            </w:tabs>
            <w:rPr>
              <w:rFonts w:eastAsiaTheme="minorEastAsia"/>
              <w:noProof/>
              <w:color w:val="auto"/>
              <w:sz w:val="22"/>
              <w:szCs w:val="22"/>
              <w:lang w:eastAsia="en-AU"/>
            </w:rPr>
          </w:pPr>
          <w:hyperlink w:anchor="_Toc118103760" w:history="1">
            <w:r w:rsidR="007557FB" w:rsidRPr="00846912">
              <w:rPr>
                <w:rStyle w:val="Hyperlink"/>
                <w:noProof/>
              </w:rPr>
              <w:t>3.2.4 Supporting participants exiting the Cashless Debit Card programs through transitional arrangements</w:t>
            </w:r>
            <w:r w:rsidR="007557FB">
              <w:rPr>
                <w:noProof/>
                <w:webHidden/>
              </w:rPr>
              <w:tab/>
            </w:r>
            <w:r w:rsidR="007557FB">
              <w:rPr>
                <w:noProof/>
                <w:webHidden/>
              </w:rPr>
              <w:fldChar w:fldCharType="begin"/>
            </w:r>
            <w:r w:rsidR="007557FB">
              <w:rPr>
                <w:noProof/>
                <w:webHidden/>
              </w:rPr>
              <w:instrText xml:space="preserve"> PAGEREF _Toc118103760 \h </w:instrText>
            </w:r>
            <w:r w:rsidR="007557FB">
              <w:rPr>
                <w:noProof/>
                <w:webHidden/>
              </w:rPr>
            </w:r>
            <w:r w:rsidR="007557FB">
              <w:rPr>
                <w:noProof/>
                <w:webHidden/>
              </w:rPr>
              <w:fldChar w:fldCharType="separate"/>
            </w:r>
            <w:r w:rsidR="007557FB">
              <w:rPr>
                <w:noProof/>
                <w:webHidden/>
              </w:rPr>
              <w:t>28</w:t>
            </w:r>
            <w:r w:rsidR="007557FB">
              <w:rPr>
                <w:noProof/>
                <w:webHidden/>
              </w:rPr>
              <w:fldChar w:fldCharType="end"/>
            </w:r>
          </w:hyperlink>
        </w:p>
        <w:p w14:paraId="2AD1FFD2" w14:textId="1662C9B0" w:rsidR="007557FB" w:rsidRDefault="00BF33E7">
          <w:pPr>
            <w:pStyle w:val="TOC3"/>
            <w:tabs>
              <w:tab w:val="right" w:leader="dot" w:pos="10194"/>
            </w:tabs>
            <w:rPr>
              <w:rFonts w:eastAsiaTheme="minorEastAsia"/>
              <w:noProof/>
              <w:color w:val="auto"/>
              <w:sz w:val="22"/>
              <w:szCs w:val="22"/>
              <w:lang w:eastAsia="en-AU"/>
            </w:rPr>
          </w:pPr>
          <w:hyperlink w:anchor="_Toc118103761" w:history="1">
            <w:r w:rsidR="007557FB" w:rsidRPr="00846912">
              <w:rPr>
                <w:rStyle w:val="Hyperlink"/>
                <w:noProof/>
              </w:rPr>
              <w:t>3.2.5 Transition from mandatory to voluntary IM</w:t>
            </w:r>
            <w:r w:rsidR="007557FB">
              <w:rPr>
                <w:noProof/>
                <w:webHidden/>
              </w:rPr>
              <w:tab/>
            </w:r>
            <w:r w:rsidR="007557FB">
              <w:rPr>
                <w:noProof/>
                <w:webHidden/>
              </w:rPr>
              <w:fldChar w:fldCharType="begin"/>
            </w:r>
            <w:r w:rsidR="007557FB">
              <w:rPr>
                <w:noProof/>
                <w:webHidden/>
              </w:rPr>
              <w:instrText xml:space="preserve"> PAGEREF _Toc118103761 \h </w:instrText>
            </w:r>
            <w:r w:rsidR="007557FB">
              <w:rPr>
                <w:noProof/>
                <w:webHidden/>
              </w:rPr>
            </w:r>
            <w:r w:rsidR="007557FB">
              <w:rPr>
                <w:noProof/>
                <w:webHidden/>
              </w:rPr>
              <w:fldChar w:fldCharType="separate"/>
            </w:r>
            <w:r w:rsidR="007557FB">
              <w:rPr>
                <w:noProof/>
                <w:webHidden/>
              </w:rPr>
              <w:t>30</w:t>
            </w:r>
            <w:r w:rsidR="007557FB">
              <w:rPr>
                <w:noProof/>
                <w:webHidden/>
              </w:rPr>
              <w:fldChar w:fldCharType="end"/>
            </w:r>
          </w:hyperlink>
        </w:p>
        <w:p w14:paraId="554FE970" w14:textId="102F0424" w:rsidR="007557FB" w:rsidRDefault="00BF33E7">
          <w:pPr>
            <w:pStyle w:val="TOC3"/>
            <w:tabs>
              <w:tab w:val="right" w:leader="dot" w:pos="10194"/>
            </w:tabs>
            <w:rPr>
              <w:rFonts w:eastAsiaTheme="minorEastAsia"/>
              <w:noProof/>
              <w:color w:val="auto"/>
              <w:sz w:val="22"/>
              <w:szCs w:val="22"/>
              <w:lang w:eastAsia="en-AU"/>
            </w:rPr>
          </w:pPr>
          <w:hyperlink w:anchor="_Toc118103762" w:history="1">
            <w:r w:rsidR="007557FB" w:rsidRPr="00846912">
              <w:rPr>
                <w:rStyle w:val="Hyperlink"/>
                <w:noProof/>
              </w:rPr>
              <w:t>3.2.6 Opt-in referral based IM arrangements</w:t>
            </w:r>
            <w:r w:rsidR="007557FB">
              <w:rPr>
                <w:noProof/>
                <w:webHidden/>
              </w:rPr>
              <w:tab/>
            </w:r>
            <w:r w:rsidR="007557FB">
              <w:rPr>
                <w:noProof/>
                <w:webHidden/>
              </w:rPr>
              <w:fldChar w:fldCharType="begin"/>
            </w:r>
            <w:r w:rsidR="007557FB">
              <w:rPr>
                <w:noProof/>
                <w:webHidden/>
              </w:rPr>
              <w:instrText xml:space="preserve"> PAGEREF _Toc118103762 \h </w:instrText>
            </w:r>
            <w:r w:rsidR="007557FB">
              <w:rPr>
                <w:noProof/>
                <w:webHidden/>
              </w:rPr>
            </w:r>
            <w:r w:rsidR="007557FB">
              <w:rPr>
                <w:noProof/>
                <w:webHidden/>
              </w:rPr>
              <w:fldChar w:fldCharType="separate"/>
            </w:r>
            <w:r w:rsidR="007557FB">
              <w:rPr>
                <w:noProof/>
                <w:webHidden/>
              </w:rPr>
              <w:t>31</w:t>
            </w:r>
            <w:r w:rsidR="007557FB">
              <w:rPr>
                <w:noProof/>
                <w:webHidden/>
              </w:rPr>
              <w:fldChar w:fldCharType="end"/>
            </w:r>
          </w:hyperlink>
        </w:p>
        <w:p w14:paraId="75BB58D5" w14:textId="5E3979DD" w:rsidR="007557FB" w:rsidRDefault="00BF33E7">
          <w:pPr>
            <w:pStyle w:val="TOC3"/>
            <w:tabs>
              <w:tab w:val="right" w:leader="dot" w:pos="10194"/>
            </w:tabs>
            <w:rPr>
              <w:rFonts w:eastAsiaTheme="minorEastAsia"/>
              <w:noProof/>
              <w:color w:val="auto"/>
              <w:sz w:val="22"/>
              <w:szCs w:val="22"/>
              <w:lang w:eastAsia="en-AU"/>
            </w:rPr>
          </w:pPr>
          <w:hyperlink w:anchor="_Toc118103763" w:history="1">
            <w:r w:rsidR="007557FB" w:rsidRPr="00846912">
              <w:rPr>
                <w:rStyle w:val="Hyperlink"/>
                <w:noProof/>
              </w:rPr>
              <w:t>3.2.7 The Transition Communications Strategy</w:t>
            </w:r>
            <w:r w:rsidR="007557FB">
              <w:rPr>
                <w:noProof/>
                <w:webHidden/>
              </w:rPr>
              <w:tab/>
            </w:r>
            <w:r w:rsidR="007557FB">
              <w:rPr>
                <w:noProof/>
                <w:webHidden/>
              </w:rPr>
              <w:fldChar w:fldCharType="begin"/>
            </w:r>
            <w:r w:rsidR="007557FB">
              <w:rPr>
                <w:noProof/>
                <w:webHidden/>
              </w:rPr>
              <w:instrText xml:space="preserve"> PAGEREF _Toc118103763 \h </w:instrText>
            </w:r>
            <w:r w:rsidR="007557FB">
              <w:rPr>
                <w:noProof/>
                <w:webHidden/>
              </w:rPr>
            </w:r>
            <w:r w:rsidR="007557FB">
              <w:rPr>
                <w:noProof/>
                <w:webHidden/>
              </w:rPr>
              <w:fldChar w:fldCharType="separate"/>
            </w:r>
            <w:r w:rsidR="007557FB">
              <w:rPr>
                <w:noProof/>
                <w:webHidden/>
              </w:rPr>
              <w:t>31</w:t>
            </w:r>
            <w:r w:rsidR="007557FB">
              <w:rPr>
                <w:noProof/>
                <w:webHidden/>
              </w:rPr>
              <w:fldChar w:fldCharType="end"/>
            </w:r>
          </w:hyperlink>
        </w:p>
        <w:p w14:paraId="2F4BD9D8" w14:textId="7B8270CE" w:rsidR="007557FB" w:rsidRDefault="00BF33E7">
          <w:pPr>
            <w:pStyle w:val="TOC3"/>
            <w:tabs>
              <w:tab w:val="right" w:leader="dot" w:pos="10194"/>
            </w:tabs>
            <w:rPr>
              <w:rFonts w:eastAsiaTheme="minorEastAsia"/>
              <w:noProof/>
              <w:color w:val="auto"/>
              <w:sz w:val="22"/>
              <w:szCs w:val="22"/>
              <w:lang w:eastAsia="en-AU"/>
            </w:rPr>
          </w:pPr>
          <w:hyperlink w:anchor="_Toc118103764" w:history="1">
            <w:r w:rsidR="007557FB" w:rsidRPr="00846912">
              <w:rPr>
                <w:rStyle w:val="Hyperlink"/>
                <w:noProof/>
              </w:rPr>
              <w:t>3.2.8 Expanded support services for affected communities</w:t>
            </w:r>
            <w:r w:rsidR="007557FB">
              <w:rPr>
                <w:noProof/>
                <w:webHidden/>
              </w:rPr>
              <w:tab/>
            </w:r>
            <w:r w:rsidR="007557FB">
              <w:rPr>
                <w:noProof/>
                <w:webHidden/>
              </w:rPr>
              <w:fldChar w:fldCharType="begin"/>
            </w:r>
            <w:r w:rsidR="007557FB">
              <w:rPr>
                <w:noProof/>
                <w:webHidden/>
              </w:rPr>
              <w:instrText xml:space="preserve"> PAGEREF _Toc118103764 \h </w:instrText>
            </w:r>
            <w:r w:rsidR="007557FB">
              <w:rPr>
                <w:noProof/>
                <w:webHidden/>
              </w:rPr>
            </w:r>
            <w:r w:rsidR="007557FB">
              <w:rPr>
                <w:noProof/>
                <w:webHidden/>
              </w:rPr>
              <w:fldChar w:fldCharType="separate"/>
            </w:r>
            <w:r w:rsidR="007557FB">
              <w:rPr>
                <w:noProof/>
                <w:webHidden/>
              </w:rPr>
              <w:t>31</w:t>
            </w:r>
            <w:r w:rsidR="007557FB">
              <w:rPr>
                <w:noProof/>
                <w:webHidden/>
              </w:rPr>
              <w:fldChar w:fldCharType="end"/>
            </w:r>
          </w:hyperlink>
        </w:p>
        <w:p w14:paraId="0BF0EDB1" w14:textId="5DA5FD53" w:rsidR="007557FB" w:rsidRDefault="00BF33E7">
          <w:pPr>
            <w:pStyle w:val="TOC3"/>
            <w:tabs>
              <w:tab w:val="right" w:leader="dot" w:pos="10194"/>
            </w:tabs>
            <w:rPr>
              <w:rFonts w:eastAsiaTheme="minorEastAsia"/>
              <w:noProof/>
              <w:color w:val="auto"/>
              <w:sz w:val="22"/>
              <w:szCs w:val="22"/>
              <w:lang w:eastAsia="en-AU"/>
            </w:rPr>
          </w:pPr>
          <w:hyperlink w:anchor="_Toc118103765" w:history="1">
            <w:r w:rsidR="007557FB" w:rsidRPr="00846912">
              <w:rPr>
                <w:rStyle w:val="Hyperlink"/>
                <w:noProof/>
              </w:rPr>
              <w:t>3.2.9 Options for later transition</w:t>
            </w:r>
            <w:r w:rsidR="007557FB">
              <w:rPr>
                <w:noProof/>
                <w:webHidden/>
              </w:rPr>
              <w:tab/>
            </w:r>
            <w:r w:rsidR="007557FB">
              <w:rPr>
                <w:noProof/>
                <w:webHidden/>
              </w:rPr>
              <w:fldChar w:fldCharType="begin"/>
            </w:r>
            <w:r w:rsidR="007557FB">
              <w:rPr>
                <w:noProof/>
                <w:webHidden/>
              </w:rPr>
              <w:instrText xml:space="preserve"> PAGEREF _Toc118103765 \h </w:instrText>
            </w:r>
            <w:r w:rsidR="007557FB">
              <w:rPr>
                <w:noProof/>
                <w:webHidden/>
              </w:rPr>
            </w:r>
            <w:r w:rsidR="007557FB">
              <w:rPr>
                <w:noProof/>
                <w:webHidden/>
              </w:rPr>
              <w:fldChar w:fldCharType="separate"/>
            </w:r>
            <w:r w:rsidR="007557FB">
              <w:rPr>
                <w:noProof/>
                <w:webHidden/>
              </w:rPr>
              <w:t>33</w:t>
            </w:r>
            <w:r w:rsidR="007557FB">
              <w:rPr>
                <w:noProof/>
                <w:webHidden/>
              </w:rPr>
              <w:fldChar w:fldCharType="end"/>
            </w:r>
          </w:hyperlink>
        </w:p>
        <w:p w14:paraId="34DB57F3" w14:textId="49E1B162" w:rsidR="007557FB" w:rsidRDefault="00BF33E7">
          <w:pPr>
            <w:pStyle w:val="TOC3"/>
            <w:tabs>
              <w:tab w:val="right" w:leader="dot" w:pos="10194"/>
            </w:tabs>
            <w:rPr>
              <w:rFonts w:eastAsiaTheme="minorEastAsia"/>
              <w:noProof/>
              <w:color w:val="auto"/>
              <w:sz w:val="22"/>
              <w:szCs w:val="22"/>
              <w:lang w:eastAsia="en-AU"/>
            </w:rPr>
          </w:pPr>
          <w:hyperlink w:anchor="_Toc118103766" w:history="1">
            <w:r w:rsidR="007557FB" w:rsidRPr="00846912">
              <w:rPr>
                <w:rStyle w:val="Hyperlink"/>
                <w:noProof/>
              </w:rPr>
              <w:t>3.2.10 Required Legislative changes to the programs</w:t>
            </w:r>
            <w:r w:rsidR="007557FB">
              <w:rPr>
                <w:noProof/>
                <w:webHidden/>
              </w:rPr>
              <w:tab/>
            </w:r>
            <w:r w:rsidR="007557FB">
              <w:rPr>
                <w:noProof/>
                <w:webHidden/>
              </w:rPr>
              <w:fldChar w:fldCharType="begin"/>
            </w:r>
            <w:r w:rsidR="007557FB">
              <w:rPr>
                <w:noProof/>
                <w:webHidden/>
              </w:rPr>
              <w:instrText xml:space="preserve"> PAGEREF _Toc118103766 \h </w:instrText>
            </w:r>
            <w:r w:rsidR="007557FB">
              <w:rPr>
                <w:noProof/>
                <w:webHidden/>
              </w:rPr>
            </w:r>
            <w:r w:rsidR="007557FB">
              <w:rPr>
                <w:noProof/>
                <w:webHidden/>
              </w:rPr>
              <w:fldChar w:fldCharType="separate"/>
            </w:r>
            <w:r w:rsidR="007557FB">
              <w:rPr>
                <w:noProof/>
                <w:webHidden/>
              </w:rPr>
              <w:t>33</w:t>
            </w:r>
            <w:r w:rsidR="007557FB">
              <w:rPr>
                <w:noProof/>
                <w:webHidden/>
              </w:rPr>
              <w:fldChar w:fldCharType="end"/>
            </w:r>
          </w:hyperlink>
        </w:p>
        <w:p w14:paraId="5DC9C50A" w14:textId="73A15B1D" w:rsidR="007557FB" w:rsidRDefault="00BF33E7">
          <w:pPr>
            <w:pStyle w:val="TOC3"/>
            <w:tabs>
              <w:tab w:val="right" w:leader="dot" w:pos="10194"/>
            </w:tabs>
            <w:rPr>
              <w:rFonts w:eastAsiaTheme="minorEastAsia"/>
              <w:noProof/>
              <w:color w:val="auto"/>
              <w:sz w:val="22"/>
              <w:szCs w:val="22"/>
              <w:lang w:eastAsia="en-AU"/>
            </w:rPr>
          </w:pPr>
          <w:hyperlink w:anchor="_Toc118103767" w:history="1">
            <w:r w:rsidR="007557FB" w:rsidRPr="00846912">
              <w:rPr>
                <w:rStyle w:val="Hyperlink"/>
                <w:noProof/>
              </w:rPr>
              <w:t>3.2.11 The ability to reform the Cashless Debit Card and Income Management programs option to address the problem</w:t>
            </w:r>
            <w:r w:rsidR="007557FB">
              <w:rPr>
                <w:noProof/>
                <w:webHidden/>
              </w:rPr>
              <w:tab/>
            </w:r>
            <w:r w:rsidR="007557FB">
              <w:rPr>
                <w:noProof/>
                <w:webHidden/>
              </w:rPr>
              <w:fldChar w:fldCharType="begin"/>
            </w:r>
            <w:r w:rsidR="007557FB">
              <w:rPr>
                <w:noProof/>
                <w:webHidden/>
              </w:rPr>
              <w:instrText xml:space="preserve"> PAGEREF _Toc118103767 \h </w:instrText>
            </w:r>
            <w:r w:rsidR="007557FB">
              <w:rPr>
                <w:noProof/>
                <w:webHidden/>
              </w:rPr>
            </w:r>
            <w:r w:rsidR="007557FB">
              <w:rPr>
                <w:noProof/>
                <w:webHidden/>
              </w:rPr>
              <w:fldChar w:fldCharType="separate"/>
            </w:r>
            <w:r w:rsidR="007557FB">
              <w:rPr>
                <w:noProof/>
                <w:webHidden/>
              </w:rPr>
              <w:t>33</w:t>
            </w:r>
            <w:r w:rsidR="007557FB">
              <w:rPr>
                <w:noProof/>
                <w:webHidden/>
              </w:rPr>
              <w:fldChar w:fldCharType="end"/>
            </w:r>
          </w:hyperlink>
        </w:p>
        <w:p w14:paraId="20990094" w14:textId="25C5DED8" w:rsidR="007557FB" w:rsidRDefault="00BF33E7">
          <w:pPr>
            <w:pStyle w:val="TOC2"/>
            <w:tabs>
              <w:tab w:val="right" w:leader="dot" w:pos="10194"/>
            </w:tabs>
            <w:rPr>
              <w:rFonts w:eastAsiaTheme="minorEastAsia"/>
              <w:noProof/>
              <w:color w:val="auto"/>
              <w:sz w:val="22"/>
              <w:szCs w:val="22"/>
              <w:lang w:eastAsia="en-AU"/>
            </w:rPr>
          </w:pPr>
          <w:hyperlink w:anchor="_Toc118103768" w:history="1">
            <w:r w:rsidR="007557FB" w:rsidRPr="00846912">
              <w:rPr>
                <w:rStyle w:val="Hyperlink"/>
                <w:noProof/>
              </w:rPr>
              <w:t>3.3 Comparison of the two options</w:t>
            </w:r>
            <w:r w:rsidR="007557FB">
              <w:rPr>
                <w:noProof/>
                <w:webHidden/>
              </w:rPr>
              <w:tab/>
            </w:r>
            <w:r w:rsidR="007557FB">
              <w:rPr>
                <w:noProof/>
                <w:webHidden/>
              </w:rPr>
              <w:fldChar w:fldCharType="begin"/>
            </w:r>
            <w:r w:rsidR="007557FB">
              <w:rPr>
                <w:noProof/>
                <w:webHidden/>
              </w:rPr>
              <w:instrText xml:space="preserve"> PAGEREF _Toc118103768 \h </w:instrText>
            </w:r>
            <w:r w:rsidR="007557FB">
              <w:rPr>
                <w:noProof/>
                <w:webHidden/>
              </w:rPr>
            </w:r>
            <w:r w:rsidR="007557FB">
              <w:rPr>
                <w:noProof/>
                <w:webHidden/>
              </w:rPr>
              <w:fldChar w:fldCharType="separate"/>
            </w:r>
            <w:r w:rsidR="007557FB">
              <w:rPr>
                <w:noProof/>
                <w:webHidden/>
              </w:rPr>
              <w:t>34</w:t>
            </w:r>
            <w:r w:rsidR="007557FB">
              <w:rPr>
                <w:noProof/>
                <w:webHidden/>
              </w:rPr>
              <w:fldChar w:fldCharType="end"/>
            </w:r>
          </w:hyperlink>
        </w:p>
        <w:p w14:paraId="28B7EF7B" w14:textId="7D945522" w:rsidR="007557FB" w:rsidRDefault="00BF33E7">
          <w:pPr>
            <w:pStyle w:val="TOC1"/>
            <w:rPr>
              <w:rFonts w:eastAsiaTheme="minorEastAsia"/>
              <w:noProof/>
              <w:color w:val="auto"/>
              <w:sz w:val="22"/>
              <w:szCs w:val="22"/>
              <w:lang w:eastAsia="en-AU"/>
            </w:rPr>
          </w:pPr>
          <w:hyperlink w:anchor="_Toc118103769" w:history="1">
            <w:r w:rsidR="007557FB" w:rsidRPr="00846912">
              <w:rPr>
                <w:rStyle w:val="Hyperlink"/>
                <w:noProof/>
              </w:rPr>
              <w:t>4. What is the likely net benefit of each option?</w:t>
            </w:r>
            <w:r w:rsidR="007557FB">
              <w:rPr>
                <w:noProof/>
                <w:webHidden/>
              </w:rPr>
              <w:tab/>
            </w:r>
            <w:r w:rsidR="007557FB">
              <w:rPr>
                <w:noProof/>
                <w:webHidden/>
              </w:rPr>
              <w:fldChar w:fldCharType="begin"/>
            </w:r>
            <w:r w:rsidR="007557FB">
              <w:rPr>
                <w:noProof/>
                <w:webHidden/>
              </w:rPr>
              <w:instrText xml:space="preserve"> PAGEREF _Toc118103769 \h </w:instrText>
            </w:r>
            <w:r w:rsidR="007557FB">
              <w:rPr>
                <w:noProof/>
                <w:webHidden/>
              </w:rPr>
            </w:r>
            <w:r w:rsidR="007557FB">
              <w:rPr>
                <w:noProof/>
                <w:webHidden/>
              </w:rPr>
              <w:fldChar w:fldCharType="separate"/>
            </w:r>
            <w:r w:rsidR="007557FB">
              <w:rPr>
                <w:noProof/>
                <w:webHidden/>
              </w:rPr>
              <w:t>36</w:t>
            </w:r>
            <w:r w:rsidR="007557FB">
              <w:rPr>
                <w:noProof/>
                <w:webHidden/>
              </w:rPr>
              <w:fldChar w:fldCharType="end"/>
            </w:r>
          </w:hyperlink>
        </w:p>
        <w:p w14:paraId="336B00A0" w14:textId="2303503A" w:rsidR="007557FB" w:rsidRDefault="00BF33E7">
          <w:pPr>
            <w:pStyle w:val="TOC2"/>
            <w:tabs>
              <w:tab w:val="right" w:leader="dot" w:pos="10194"/>
            </w:tabs>
            <w:rPr>
              <w:rFonts w:eastAsiaTheme="minorEastAsia"/>
              <w:noProof/>
              <w:color w:val="auto"/>
              <w:sz w:val="22"/>
              <w:szCs w:val="22"/>
              <w:lang w:eastAsia="en-AU"/>
            </w:rPr>
          </w:pPr>
          <w:hyperlink w:anchor="_Toc118103770" w:history="1">
            <w:r w:rsidR="007557FB" w:rsidRPr="00846912">
              <w:rPr>
                <w:rStyle w:val="Hyperlink"/>
                <w:noProof/>
              </w:rPr>
              <w:t>4.1 Option 1 – (Status quo) Maintain both programs</w:t>
            </w:r>
            <w:r w:rsidR="007557FB">
              <w:rPr>
                <w:noProof/>
                <w:webHidden/>
              </w:rPr>
              <w:tab/>
            </w:r>
            <w:r w:rsidR="007557FB">
              <w:rPr>
                <w:noProof/>
                <w:webHidden/>
              </w:rPr>
              <w:fldChar w:fldCharType="begin"/>
            </w:r>
            <w:r w:rsidR="007557FB">
              <w:rPr>
                <w:noProof/>
                <w:webHidden/>
              </w:rPr>
              <w:instrText xml:space="preserve"> PAGEREF _Toc118103770 \h </w:instrText>
            </w:r>
            <w:r w:rsidR="007557FB">
              <w:rPr>
                <w:noProof/>
                <w:webHidden/>
              </w:rPr>
            </w:r>
            <w:r w:rsidR="007557FB">
              <w:rPr>
                <w:noProof/>
                <w:webHidden/>
              </w:rPr>
              <w:fldChar w:fldCharType="separate"/>
            </w:r>
            <w:r w:rsidR="007557FB">
              <w:rPr>
                <w:noProof/>
                <w:webHidden/>
              </w:rPr>
              <w:t>36</w:t>
            </w:r>
            <w:r w:rsidR="007557FB">
              <w:rPr>
                <w:noProof/>
                <w:webHidden/>
              </w:rPr>
              <w:fldChar w:fldCharType="end"/>
            </w:r>
          </w:hyperlink>
        </w:p>
        <w:p w14:paraId="2B03C3C8" w14:textId="5D2204C9" w:rsidR="007557FB" w:rsidRDefault="00BF33E7">
          <w:pPr>
            <w:pStyle w:val="TOC3"/>
            <w:tabs>
              <w:tab w:val="right" w:leader="dot" w:pos="10194"/>
            </w:tabs>
            <w:rPr>
              <w:rFonts w:eastAsiaTheme="minorEastAsia"/>
              <w:noProof/>
              <w:color w:val="auto"/>
              <w:sz w:val="22"/>
              <w:szCs w:val="22"/>
              <w:lang w:eastAsia="en-AU"/>
            </w:rPr>
          </w:pPr>
          <w:hyperlink w:anchor="_Toc118103771" w:history="1">
            <w:r w:rsidR="007557FB" w:rsidRPr="00846912">
              <w:rPr>
                <w:rStyle w:val="Hyperlink"/>
                <w:noProof/>
              </w:rPr>
              <w:t>4.1.1 Overall impacts</w:t>
            </w:r>
            <w:r w:rsidR="007557FB">
              <w:rPr>
                <w:noProof/>
                <w:webHidden/>
              </w:rPr>
              <w:tab/>
            </w:r>
            <w:r w:rsidR="007557FB">
              <w:rPr>
                <w:noProof/>
                <w:webHidden/>
              </w:rPr>
              <w:fldChar w:fldCharType="begin"/>
            </w:r>
            <w:r w:rsidR="007557FB">
              <w:rPr>
                <w:noProof/>
                <w:webHidden/>
              </w:rPr>
              <w:instrText xml:space="preserve"> PAGEREF _Toc118103771 \h </w:instrText>
            </w:r>
            <w:r w:rsidR="007557FB">
              <w:rPr>
                <w:noProof/>
                <w:webHidden/>
              </w:rPr>
            </w:r>
            <w:r w:rsidR="007557FB">
              <w:rPr>
                <w:noProof/>
                <w:webHidden/>
              </w:rPr>
              <w:fldChar w:fldCharType="separate"/>
            </w:r>
            <w:r w:rsidR="007557FB">
              <w:rPr>
                <w:noProof/>
                <w:webHidden/>
              </w:rPr>
              <w:t>36</w:t>
            </w:r>
            <w:r w:rsidR="007557FB">
              <w:rPr>
                <w:noProof/>
                <w:webHidden/>
              </w:rPr>
              <w:fldChar w:fldCharType="end"/>
            </w:r>
          </w:hyperlink>
        </w:p>
        <w:p w14:paraId="4A7A9856" w14:textId="49B33461" w:rsidR="007557FB" w:rsidRDefault="00BF33E7">
          <w:pPr>
            <w:pStyle w:val="TOC3"/>
            <w:tabs>
              <w:tab w:val="right" w:leader="dot" w:pos="10194"/>
            </w:tabs>
            <w:rPr>
              <w:rFonts w:eastAsiaTheme="minorEastAsia"/>
              <w:noProof/>
              <w:color w:val="auto"/>
              <w:sz w:val="22"/>
              <w:szCs w:val="22"/>
              <w:lang w:eastAsia="en-AU"/>
            </w:rPr>
          </w:pPr>
          <w:hyperlink w:anchor="_Toc118103772" w:history="1">
            <w:r w:rsidR="007557FB" w:rsidRPr="00846912">
              <w:rPr>
                <w:rStyle w:val="Hyperlink"/>
                <w:noProof/>
              </w:rPr>
              <w:t>4.1.2 Regulatory impacts – benchmark</w:t>
            </w:r>
            <w:r w:rsidR="007557FB">
              <w:rPr>
                <w:noProof/>
                <w:webHidden/>
              </w:rPr>
              <w:tab/>
            </w:r>
            <w:r w:rsidR="007557FB">
              <w:rPr>
                <w:noProof/>
                <w:webHidden/>
              </w:rPr>
              <w:fldChar w:fldCharType="begin"/>
            </w:r>
            <w:r w:rsidR="007557FB">
              <w:rPr>
                <w:noProof/>
                <w:webHidden/>
              </w:rPr>
              <w:instrText xml:space="preserve"> PAGEREF _Toc118103772 \h </w:instrText>
            </w:r>
            <w:r w:rsidR="007557FB">
              <w:rPr>
                <w:noProof/>
                <w:webHidden/>
              </w:rPr>
            </w:r>
            <w:r w:rsidR="007557FB">
              <w:rPr>
                <w:noProof/>
                <w:webHidden/>
              </w:rPr>
              <w:fldChar w:fldCharType="separate"/>
            </w:r>
            <w:r w:rsidR="007557FB">
              <w:rPr>
                <w:noProof/>
                <w:webHidden/>
              </w:rPr>
              <w:t>45</w:t>
            </w:r>
            <w:r w:rsidR="007557FB">
              <w:rPr>
                <w:noProof/>
                <w:webHidden/>
              </w:rPr>
              <w:fldChar w:fldCharType="end"/>
            </w:r>
          </w:hyperlink>
        </w:p>
        <w:p w14:paraId="5C32FC6C" w14:textId="51F9C417" w:rsidR="007557FB" w:rsidRDefault="00BF33E7">
          <w:pPr>
            <w:pStyle w:val="TOC2"/>
            <w:tabs>
              <w:tab w:val="right" w:leader="dot" w:pos="10194"/>
            </w:tabs>
            <w:rPr>
              <w:rFonts w:eastAsiaTheme="minorEastAsia"/>
              <w:noProof/>
              <w:color w:val="auto"/>
              <w:sz w:val="22"/>
              <w:szCs w:val="22"/>
              <w:lang w:eastAsia="en-AU"/>
            </w:rPr>
          </w:pPr>
          <w:hyperlink w:anchor="_Toc118103773" w:history="1">
            <w:r w:rsidR="007557FB" w:rsidRPr="00846912">
              <w:rPr>
                <w:rStyle w:val="Hyperlink"/>
                <w:noProof/>
              </w:rPr>
              <w:t>4.2 Option 2 – Reform of the CDC and IM programs</w:t>
            </w:r>
            <w:r w:rsidR="007557FB">
              <w:rPr>
                <w:noProof/>
                <w:webHidden/>
              </w:rPr>
              <w:tab/>
            </w:r>
            <w:r w:rsidR="007557FB">
              <w:rPr>
                <w:noProof/>
                <w:webHidden/>
              </w:rPr>
              <w:fldChar w:fldCharType="begin"/>
            </w:r>
            <w:r w:rsidR="007557FB">
              <w:rPr>
                <w:noProof/>
                <w:webHidden/>
              </w:rPr>
              <w:instrText xml:space="preserve"> PAGEREF _Toc118103773 \h </w:instrText>
            </w:r>
            <w:r w:rsidR="007557FB">
              <w:rPr>
                <w:noProof/>
                <w:webHidden/>
              </w:rPr>
            </w:r>
            <w:r w:rsidR="007557FB">
              <w:rPr>
                <w:noProof/>
                <w:webHidden/>
              </w:rPr>
              <w:fldChar w:fldCharType="separate"/>
            </w:r>
            <w:r w:rsidR="007557FB">
              <w:rPr>
                <w:noProof/>
                <w:webHidden/>
              </w:rPr>
              <w:t>46</w:t>
            </w:r>
            <w:r w:rsidR="007557FB">
              <w:rPr>
                <w:noProof/>
                <w:webHidden/>
              </w:rPr>
              <w:fldChar w:fldCharType="end"/>
            </w:r>
          </w:hyperlink>
        </w:p>
        <w:p w14:paraId="2B0AABA1" w14:textId="2DAEE8DA" w:rsidR="007557FB" w:rsidRDefault="00BF33E7">
          <w:pPr>
            <w:pStyle w:val="TOC3"/>
            <w:tabs>
              <w:tab w:val="right" w:leader="dot" w:pos="10194"/>
            </w:tabs>
            <w:rPr>
              <w:rFonts w:eastAsiaTheme="minorEastAsia"/>
              <w:noProof/>
              <w:color w:val="auto"/>
              <w:sz w:val="22"/>
              <w:szCs w:val="22"/>
              <w:lang w:eastAsia="en-AU"/>
            </w:rPr>
          </w:pPr>
          <w:hyperlink w:anchor="_Toc118103774" w:history="1">
            <w:r w:rsidR="007557FB" w:rsidRPr="00846912">
              <w:rPr>
                <w:rStyle w:val="Hyperlink"/>
                <w:noProof/>
              </w:rPr>
              <w:t>4.2.1 Overall impacts</w:t>
            </w:r>
            <w:r w:rsidR="007557FB">
              <w:rPr>
                <w:noProof/>
                <w:webHidden/>
              </w:rPr>
              <w:tab/>
            </w:r>
            <w:r w:rsidR="007557FB">
              <w:rPr>
                <w:noProof/>
                <w:webHidden/>
              </w:rPr>
              <w:fldChar w:fldCharType="begin"/>
            </w:r>
            <w:r w:rsidR="007557FB">
              <w:rPr>
                <w:noProof/>
                <w:webHidden/>
              </w:rPr>
              <w:instrText xml:space="preserve"> PAGEREF _Toc118103774 \h </w:instrText>
            </w:r>
            <w:r w:rsidR="007557FB">
              <w:rPr>
                <w:noProof/>
                <w:webHidden/>
              </w:rPr>
            </w:r>
            <w:r w:rsidR="007557FB">
              <w:rPr>
                <w:noProof/>
                <w:webHidden/>
              </w:rPr>
              <w:fldChar w:fldCharType="separate"/>
            </w:r>
            <w:r w:rsidR="007557FB">
              <w:rPr>
                <w:noProof/>
                <w:webHidden/>
              </w:rPr>
              <w:t>46</w:t>
            </w:r>
            <w:r w:rsidR="007557FB">
              <w:rPr>
                <w:noProof/>
                <w:webHidden/>
              </w:rPr>
              <w:fldChar w:fldCharType="end"/>
            </w:r>
          </w:hyperlink>
        </w:p>
        <w:p w14:paraId="536704A5" w14:textId="19A3CC30" w:rsidR="007557FB" w:rsidRDefault="00BF33E7">
          <w:pPr>
            <w:pStyle w:val="TOC3"/>
            <w:tabs>
              <w:tab w:val="right" w:leader="dot" w:pos="10194"/>
            </w:tabs>
            <w:rPr>
              <w:rFonts w:eastAsiaTheme="minorEastAsia"/>
              <w:noProof/>
              <w:color w:val="auto"/>
              <w:sz w:val="22"/>
              <w:szCs w:val="22"/>
              <w:lang w:eastAsia="en-AU"/>
            </w:rPr>
          </w:pPr>
          <w:hyperlink w:anchor="_Toc118103775" w:history="1">
            <w:r w:rsidR="007557FB" w:rsidRPr="00846912">
              <w:rPr>
                <w:rStyle w:val="Hyperlink"/>
                <w:rFonts w:eastAsia="Calibri"/>
                <w:noProof/>
              </w:rPr>
              <w:t>4.2.2 Reforming CDC and IM programs including technology enhancements</w:t>
            </w:r>
            <w:r w:rsidR="007557FB">
              <w:rPr>
                <w:noProof/>
                <w:webHidden/>
              </w:rPr>
              <w:tab/>
            </w:r>
            <w:r w:rsidR="007557FB">
              <w:rPr>
                <w:noProof/>
                <w:webHidden/>
              </w:rPr>
              <w:fldChar w:fldCharType="begin"/>
            </w:r>
            <w:r w:rsidR="007557FB">
              <w:rPr>
                <w:noProof/>
                <w:webHidden/>
              </w:rPr>
              <w:instrText xml:space="preserve"> PAGEREF _Toc118103775 \h </w:instrText>
            </w:r>
            <w:r w:rsidR="007557FB">
              <w:rPr>
                <w:noProof/>
                <w:webHidden/>
              </w:rPr>
            </w:r>
            <w:r w:rsidR="007557FB">
              <w:rPr>
                <w:noProof/>
                <w:webHidden/>
              </w:rPr>
              <w:fldChar w:fldCharType="separate"/>
            </w:r>
            <w:r w:rsidR="007557FB">
              <w:rPr>
                <w:noProof/>
                <w:webHidden/>
              </w:rPr>
              <w:t>46</w:t>
            </w:r>
            <w:r w:rsidR="007557FB">
              <w:rPr>
                <w:noProof/>
                <w:webHidden/>
              </w:rPr>
              <w:fldChar w:fldCharType="end"/>
            </w:r>
          </w:hyperlink>
        </w:p>
        <w:p w14:paraId="322A20E2" w14:textId="6A928DF6" w:rsidR="007557FB" w:rsidRDefault="00BF33E7">
          <w:pPr>
            <w:pStyle w:val="TOC3"/>
            <w:tabs>
              <w:tab w:val="right" w:leader="dot" w:pos="10194"/>
            </w:tabs>
            <w:rPr>
              <w:rFonts w:eastAsiaTheme="minorEastAsia"/>
              <w:noProof/>
              <w:color w:val="auto"/>
              <w:sz w:val="22"/>
              <w:szCs w:val="22"/>
              <w:lang w:eastAsia="en-AU"/>
            </w:rPr>
          </w:pPr>
          <w:hyperlink w:anchor="_Toc118103776" w:history="1">
            <w:r w:rsidR="007557FB" w:rsidRPr="00846912">
              <w:rPr>
                <w:rStyle w:val="Hyperlink"/>
                <w:noProof/>
              </w:rPr>
              <w:t>4.2.3 Accessing Support Services</w:t>
            </w:r>
            <w:r w:rsidR="007557FB">
              <w:rPr>
                <w:noProof/>
                <w:webHidden/>
              </w:rPr>
              <w:tab/>
            </w:r>
            <w:r w:rsidR="007557FB">
              <w:rPr>
                <w:noProof/>
                <w:webHidden/>
              </w:rPr>
              <w:fldChar w:fldCharType="begin"/>
            </w:r>
            <w:r w:rsidR="007557FB">
              <w:rPr>
                <w:noProof/>
                <w:webHidden/>
              </w:rPr>
              <w:instrText xml:space="preserve"> PAGEREF _Toc118103776 \h </w:instrText>
            </w:r>
            <w:r w:rsidR="007557FB">
              <w:rPr>
                <w:noProof/>
                <w:webHidden/>
              </w:rPr>
            </w:r>
            <w:r w:rsidR="007557FB">
              <w:rPr>
                <w:noProof/>
                <w:webHidden/>
              </w:rPr>
              <w:fldChar w:fldCharType="separate"/>
            </w:r>
            <w:r w:rsidR="007557FB">
              <w:rPr>
                <w:noProof/>
                <w:webHidden/>
              </w:rPr>
              <w:t>65</w:t>
            </w:r>
            <w:r w:rsidR="007557FB">
              <w:rPr>
                <w:noProof/>
                <w:webHidden/>
              </w:rPr>
              <w:fldChar w:fldCharType="end"/>
            </w:r>
          </w:hyperlink>
        </w:p>
        <w:p w14:paraId="153C4A02" w14:textId="27260BB9" w:rsidR="007557FB" w:rsidRDefault="00BF33E7">
          <w:pPr>
            <w:pStyle w:val="TOC3"/>
            <w:tabs>
              <w:tab w:val="right" w:leader="dot" w:pos="10194"/>
            </w:tabs>
            <w:rPr>
              <w:rFonts w:eastAsiaTheme="minorEastAsia"/>
              <w:noProof/>
              <w:color w:val="auto"/>
              <w:sz w:val="22"/>
              <w:szCs w:val="22"/>
              <w:lang w:eastAsia="en-AU"/>
            </w:rPr>
          </w:pPr>
          <w:hyperlink w:anchor="_Toc118103777" w:history="1">
            <w:r w:rsidR="007557FB" w:rsidRPr="00846912">
              <w:rPr>
                <w:rStyle w:val="Hyperlink"/>
                <w:noProof/>
              </w:rPr>
              <w:t>4.2.4 Regulatory impacts – benchmark</w:t>
            </w:r>
            <w:r w:rsidR="007557FB">
              <w:rPr>
                <w:noProof/>
                <w:webHidden/>
              </w:rPr>
              <w:tab/>
            </w:r>
            <w:r w:rsidR="007557FB">
              <w:rPr>
                <w:noProof/>
                <w:webHidden/>
              </w:rPr>
              <w:fldChar w:fldCharType="begin"/>
            </w:r>
            <w:r w:rsidR="007557FB">
              <w:rPr>
                <w:noProof/>
                <w:webHidden/>
              </w:rPr>
              <w:instrText xml:space="preserve"> PAGEREF _Toc118103777 \h </w:instrText>
            </w:r>
            <w:r w:rsidR="007557FB">
              <w:rPr>
                <w:noProof/>
                <w:webHidden/>
              </w:rPr>
            </w:r>
            <w:r w:rsidR="007557FB">
              <w:rPr>
                <w:noProof/>
                <w:webHidden/>
              </w:rPr>
              <w:fldChar w:fldCharType="separate"/>
            </w:r>
            <w:r w:rsidR="007557FB">
              <w:rPr>
                <w:noProof/>
                <w:webHidden/>
              </w:rPr>
              <w:t>71</w:t>
            </w:r>
            <w:r w:rsidR="007557FB">
              <w:rPr>
                <w:noProof/>
                <w:webHidden/>
              </w:rPr>
              <w:fldChar w:fldCharType="end"/>
            </w:r>
          </w:hyperlink>
        </w:p>
        <w:p w14:paraId="44EFE247" w14:textId="6C4A9657" w:rsidR="007557FB" w:rsidRDefault="00BF33E7">
          <w:pPr>
            <w:pStyle w:val="TOC1"/>
            <w:rPr>
              <w:rFonts w:eastAsiaTheme="minorEastAsia"/>
              <w:noProof/>
              <w:color w:val="auto"/>
              <w:sz w:val="22"/>
              <w:szCs w:val="22"/>
              <w:lang w:eastAsia="en-AU"/>
            </w:rPr>
          </w:pPr>
          <w:hyperlink w:anchor="_Toc118103778" w:history="1">
            <w:r w:rsidR="007557FB" w:rsidRPr="00846912">
              <w:rPr>
                <w:rStyle w:val="Hyperlink"/>
                <w:noProof/>
              </w:rPr>
              <w:t>5.  Who did you consult and how did you incorporate their feedback?</w:t>
            </w:r>
            <w:r w:rsidR="007557FB">
              <w:rPr>
                <w:noProof/>
                <w:webHidden/>
              </w:rPr>
              <w:tab/>
            </w:r>
            <w:r w:rsidR="007557FB">
              <w:rPr>
                <w:noProof/>
                <w:webHidden/>
              </w:rPr>
              <w:fldChar w:fldCharType="begin"/>
            </w:r>
            <w:r w:rsidR="007557FB">
              <w:rPr>
                <w:noProof/>
                <w:webHidden/>
              </w:rPr>
              <w:instrText xml:space="preserve"> PAGEREF _Toc118103778 \h </w:instrText>
            </w:r>
            <w:r w:rsidR="007557FB">
              <w:rPr>
                <w:noProof/>
                <w:webHidden/>
              </w:rPr>
            </w:r>
            <w:r w:rsidR="007557FB">
              <w:rPr>
                <w:noProof/>
                <w:webHidden/>
              </w:rPr>
              <w:fldChar w:fldCharType="separate"/>
            </w:r>
            <w:r w:rsidR="007557FB">
              <w:rPr>
                <w:noProof/>
                <w:webHidden/>
              </w:rPr>
              <w:t>72</w:t>
            </w:r>
            <w:r w:rsidR="007557FB">
              <w:rPr>
                <w:noProof/>
                <w:webHidden/>
              </w:rPr>
              <w:fldChar w:fldCharType="end"/>
            </w:r>
          </w:hyperlink>
        </w:p>
        <w:p w14:paraId="41C8966F" w14:textId="3F6A4E14" w:rsidR="007557FB" w:rsidRDefault="00BF33E7">
          <w:pPr>
            <w:pStyle w:val="TOC2"/>
            <w:tabs>
              <w:tab w:val="right" w:leader="dot" w:pos="10194"/>
            </w:tabs>
            <w:rPr>
              <w:rFonts w:eastAsiaTheme="minorEastAsia"/>
              <w:noProof/>
              <w:color w:val="auto"/>
              <w:sz w:val="22"/>
              <w:szCs w:val="22"/>
              <w:lang w:eastAsia="en-AU"/>
            </w:rPr>
          </w:pPr>
          <w:hyperlink w:anchor="_Toc118103779" w:history="1">
            <w:r w:rsidR="007557FB" w:rsidRPr="00846912">
              <w:rPr>
                <w:rStyle w:val="Hyperlink"/>
                <w:noProof/>
              </w:rPr>
              <w:t>5.1 Feedback from the Senate hearing to repeal the cashless debit card and other measures</w:t>
            </w:r>
            <w:r w:rsidR="007557FB">
              <w:rPr>
                <w:noProof/>
                <w:webHidden/>
              </w:rPr>
              <w:tab/>
            </w:r>
            <w:r w:rsidR="007557FB">
              <w:rPr>
                <w:noProof/>
                <w:webHidden/>
              </w:rPr>
              <w:fldChar w:fldCharType="begin"/>
            </w:r>
            <w:r w:rsidR="007557FB">
              <w:rPr>
                <w:noProof/>
                <w:webHidden/>
              </w:rPr>
              <w:instrText xml:space="preserve"> PAGEREF _Toc118103779 \h </w:instrText>
            </w:r>
            <w:r w:rsidR="007557FB">
              <w:rPr>
                <w:noProof/>
                <w:webHidden/>
              </w:rPr>
            </w:r>
            <w:r w:rsidR="007557FB">
              <w:rPr>
                <w:noProof/>
                <w:webHidden/>
              </w:rPr>
              <w:fldChar w:fldCharType="separate"/>
            </w:r>
            <w:r w:rsidR="007557FB">
              <w:rPr>
                <w:noProof/>
                <w:webHidden/>
              </w:rPr>
              <w:t>72</w:t>
            </w:r>
            <w:r w:rsidR="007557FB">
              <w:rPr>
                <w:noProof/>
                <w:webHidden/>
              </w:rPr>
              <w:fldChar w:fldCharType="end"/>
            </w:r>
          </w:hyperlink>
        </w:p>
        <w:p w14:paraId="473FF598" w14:textId="38D1E534" w:rsidR="007557FB" w:rsidRDefault="00BF33E7">
          <w:pPr>
            <w:pStyle w:val="TOC2"/>
            <w:tabs>
              <w:tab w:val="right" w:leader="dot" w:pos="10194"/>
            </w:tabs>
            <w:rPr>
              <w:rFonts w:eastAsiaTheme="minorEastAsia"/>
              <w:noProof/>
              <w:color w:val="auto"/>
              <w:sz w:val="22"/>
              <w:szCs w:val="22"/>
              <w:lang w:eastAsia="en-AU"/>
            </w:rPr>
          </w:pPr>
          <w:hyperlink w:anchor="_Toc118103780" w:history="1">
            <w:r w:rsidR="007557FB" w:rsidRPr="00846912">
              <w:rPr>
                <w:rStyle w:val="Hyperlink"/>
                <w:noProof/>
              </w:rPr>
              <w:t>5.2 Current Ministerial engagement with affected communities</w:t>
            </w:r>
            <w:r w:rsidR="007557FB">
              <w:rPr>
                <w:noProof/>
                <w:webHidden/>
              </w:rPr>
              <w:tab/>
            </w:r>
            <w:r w:rsidR="007557FB">
              <w:rPr>
                <w:noProof/>
                <w:webHidden/>
              </w:rPr>
              <w:fldChar w:fldCharType="begin"/>
            </w:r>
            <w:r w:rsidR="007557FB">
              <w:rPr>
                <w:noProof/>
                <w:webHidden/>
              </w:rPr>
              <w:instrText xml:space="preserve"> PAGEREF _Toc118103780 \h </w:instrText>
            </w:r>
            <w:r w:rsidR="007557FB">
              <w:rPr>
                <w:noProof/>
                <w:webHidden/>
              </w:rPr>
            </w:r>
            <w:r w:rsidR="007557FB">
              <w:rPr>
                <w:noProof/>
                <w:webHidden/>
              </w:rPr>
              <w:fldChar w:fldCharType="separate"/>
            </w:r>
            <w:r w:rsidR="007557FB">
              <w:rPr>
                <w:noProof/>
                <w:webHidden/>
              </w:rPr>
              <w:t>72</w:t>
            </w:r>
            <w:r w:rsidR="007557FB">
              <w:rPr>
                <w:noProof/>
                <w:webHidden/>
              </w:rPr>
              <w:fldChar w:fldCharType="end"/>
            </w:r>
          </w:hyperlink>
        </w:p>
        <w:p w14:paraId="7BBD96D1" w14:textId="118DD156" w:rsidR="007557FB" w:rsidRDefault="00BF33E7">
          <w:pPr>
            <w:pStyle w:val="TOC2"/>
            <w:tabs>
              <w:tab w:val="right" w:leader="dot" w:pos="10194"/>
            </w:tabs>
            <w:rPr>
              <w:rFonts w:eastAsiaTheme="minorEastAsia"/>
              <w:noProof/>
              <w:color w:val="auto"/>
              <w:sz w:val="22"/>
              <w:szCs w:val="22"/>
              <w:lang w:eastAsia="en-AU"/>
            </w:rPr>
          </w:pPr>
          <w:hyperlink w:anchor="_Toc118103781" w:history="1">
            <w:r w:rsidR="007557FB" w:rsidRPr="00846912">
              <w:rPr>
                <w:rStyle w:val="Hyperlink"/>
                <w:noProof/>
              </w:rPr>
              <w:t>5.3 Engagement with Merchants</w:t>
            </w:r>
            <w:r w:rsidR="007557FB">
              <w:rPr>
                <w:noProof/>
                <w:webHidden/>
              </w:rPr>
              <w:tab/>
            </w:r>
            <w:r w:rsidR="007557FB">
              <w:rPr>
                <w:noProof/>
                <w:webHidden/>
              </w:rPr>
              <w:fldChar w:fldCharType="begin"/>
            </w:r>
            <w:r w:rsidR="007557FB">
              <w:rPr>
                <w:noProof/>
                <w:webHidden/>
              </w:rPr>
              <w:instrText xml:space="preserve"> PAGEREF _Toc118103781 \h </w:instrText>
            </w:r>
            <w:r w:rsidR="007557FB">
              <w:rPr>
                <w:noProof/>
                <w:webHidden/>
              </w:rPr>
            </w:r>
            <w:r w:rsidR="007557FB">
              <w:rPr>
                <w:noProof/>
                <w:webHidden/>
              </w:rPr>
              <w:fldChar w:fldCharType="separate"/>
            </w:r>
            <w:r w:rsidR="007557FB">
              <w:rPr>
                <w:noProof/>
                <w:webHidden/>
              </w:rPr>
              <w:t>74</w:t>
            </w:r>
            <w:r w:rsidR="007557FB">
              <w:rPr>
                <w:noProof/>
                <w:webHidden/>
              </w:rPr>
              <w:fldChar w:fldCharType="end"/>
            </w:r>
          </w:hyperlink>
        </w:p>
        <w:p w14:paraId="334FBE85" w14:textId="1BBA4E57" w:rsidR="007557FB" w:rsidRDefault="00BF33E7">
          <w:pPr>
            <w:pStyle w:val="TOC1"/>
            <w:rPr>
              <w:rFonts w:eastAsiaTheme="minorEastAsia"/>
              <w:noProof/>
              <w:color w:val="auto"/>
              <w:sz w:val="22"/>
              <w:szCs w:val="22"/>
              <w:lang w:eastAsia="en-AU"/>
            </w:rPr>
          </w:pPr>
          <w:hyperlink w:anchor="_Toc118103782" w:history="1">
            <w:r w:rsidR="007557FB" w:rsidRPr="00846912">
              <w:rPr>
                <w:rStyle w:val="Hyperlink"/>
                <w:noProof/>
              </w:rPr>
              <w:t>6. What is the best option from those you have considered?</w:t>
            </w:r>
            <w:r w:rsidR="007557FB">
              <w:rPr>
                <w:noProof/>
                <w:webHidden/>
              </w:rPr>
              <w:tab/>
            </w:r>
            <w:r w:rsidR="007557FB">
              <w:rPr>
                <w:noProof/>
                <w:webHidden/>
              </w:rPr>
              <w:fldChar w:fldCharType="begin"/>
            </w:r>
            <w:r w:rsidR="007557FB">
              <w:rPr>
                <w:noProof/>
                <w:webHidden/>
              </w:rPr>
              <w:instrText xml:space="preserve"> PAGEREF _Toc118103782 \h </w:instrText>
            </w:r>
            <w:r w:rsidR="007557FB">
              <w:rPr>
                <w:noProof/>
                <w:webHidden/>
              </w:rPr>
            </w:r>
            <w:r w:rsidR="007557FB">
              <w:rPr>
                <w:noProof/>
                <w:webHidden/>
              </w:rPr>
              <w:fldChar w:fldCharType="separate"/>
            </w:r>
            <w:r w:rsidR="007557FB">
              <w:rPr>
                <w:noProof/>
                <w:webHidden/>
              </w:rPr>
              <w:t>76</w:t>
            </w:r>
            <w:r w:rsidR="007557FB">
              <w:rPr>
                <w:noProof/>
                <w:webHidden/>
              </w:rPr>
              <w:fldChar w:fldCharType="end"/>
            </w:r>
          </w:hyperlink>
        </w:p>
        <w:p w14:paraId="154CD20E" w14:textId="361BAB2B" w:rsidR="007557FB" w:rsidRDefault="00BF33E7">
          <w:pPr>
            <w:pStyle w:val="TOC2"/>
            <w:tabs>
              <w:tab w:val="right" w:leader="dot" w:pos="10194"/>
            </w:tabs>
            <w:rPr>
              <w:rFonts w:eastAsiaTheme="minorEastAsia"/>
              <w:noProof/>
              <w:color w:val="auto"/>
              <w:sz w:val="22"/>
              <w:szCs w:val="22"/>
              <w:lang w:eastAsia="en-AU"/>
            </w:rPr>
          </w:pPr>
          <w:hyperlink w:anchor="_Toc118103783" w:history="1">
            <w:r w:rsidR="007557FB" w:rsidRPr="00846912">
              <w:rPr>
                <w:rStyle w:val="Hyperlink"/>
                <w:noProof/>
              </w:rPr>
              <w:t>6.1 Option 2</w:t>
            </w:r>
            <w:r w:rsidR="007557FB">
              <w:rPr>
                <w:noProof/>
                <w:webHidden/>
              </w:rPr>
              <w:tab/>
            </w:r>
            <w:r w:rsidR="007557FB">
              <w:rPr>
                <w:noProof/>
                <w:webHidden/>
              </w:rPr>
              <w:fldChar w:fldCharType="begin"/>
            </w:r>
            <w:r w:rsidR="007557FB">
              <w:rPr>
                <w:noProof/>
                <w:webHidden/>
              </w:rPr>
              <w:instrText xml:space="preserve"> PAGEREF _Toc118103783 \h </w:instrText>
            </w:r>
            <w:r w:rsidR="007557FB">
              <w:rPr>
                <w:noProof/>
                <w:webHidden/>
              </w:rPr>
            </w:r>
            <w:r w:rsidR="007557FB">
              <w:rPr>
                <w:noProof/>
                <w:webHidden/>
              </w:rPr>
              <w:fldChar w:fldCharType="separate"/>
            </w:r>
            <w:r w:rsidR="007557FB">
              <w:rPr>
                <w:noProof/>
                <w:webHidden/>
              </w:rPr>
              <w:t>77</w:t>
            </w:r>
            <w:r w:rsidR="007557FB">
              <w:rPr>
                <w:noProof/>
                <w:webHidden/>
              </w:rPr>
              <w:fldChar w:fldCharType="end"/>
            </w:r>
          </w:hyperlink>
        </w:p>
        <w:p w14:paraId="3F231F7B" w14:textId="2D6D9ADB" w:rsidR="007557FB" w:rsidRDefault="00BF33E7">
          <w:pPr>
            <w:pStyle w:val="TOC1"/>
            <w:rPr>
              <w:rFonts w:eastAsiaTheme="minorEastAsia"/>
              <w:noProof/>
              <w:color w:val="auto"/>
              <w:sz w:val="22"/>
              <w:szCs w:val="22"/>
              <w:lang w:eastAsia="en-AU"/>
            </w:rPr>
          </w:pPr>
          <w:hyperlink w:anchor="_Toc118103784" w:history="1">
            <w:r w:rsidR="007557FB" w:rsidRPr="00846912">
              <w:rPr>
                <w:rStyle w:val="Hyperlink"/>
                <w:noProof/>
              </w:rPr>
              <w:t>7. How will you implement and evaluate your chosen option?</w:t>
            </w:r>
            <w:r w:rsidR="007557FB">
              <w:rPr>
                <w:noProof/>
                <w:webHidden/>
              </w:rPr>
              <w:tab/>
            </w:r>
            <w:r w:rsidR="007557FB">
              <w:rPr>
                <w:noProof/>
                <w:webHidden/>
              </w:rPr>
              <w:fldChar w:fldCharType="begin"/>
            </w:r>
            <w:r w:rsidR="007557FB">
              <w:rPr>
                <w:noProof/>
                <w:webHidden/>
              </w:rPr>
              <w:instrText xml:space="preserve"> PAGEREF _Toc118103784 \h </w:instrText>
            </w:r>
            <w:r w:rsidR="007557FB">
              <w:rPr>
                <w:noProof/>
                <w:webHidden/>
              </w:rPr>
            </w:r>
            <w:r w:rsidR="007557FB">
              <w:rPr>
                <w:noProof/>
                <w:webHidden/>
              </w:rPr>
              <w:fldChar w:fldCharType="separate"/>
            </w:r>
            <w:r w:rsidR="007557FB">
              <w:rPr>
                <w:noProof/>
                <w:webHidden/>
              </w:rPr>
              <w:t>77</w:t>
            </w:r>
            <w:r w:rsidR="007557FB">
              <w:rPr>
                <w:noProof/>
                <w:webHidden/>
              </w:rPr>
              <w:fldChar w:fldCharType="end"/>
            </w:r>
          </w:hyperlink>
        </w:p>
        <w:p w14:paraId="417B7498" w14:textId="1C7CFECC" w:rsidR="007557FB" w:rsidRDefault="00BF33E7">
          <w:pPr>
            <w:pStyle w:val="TOC2"/>
            <w:tabs>
              <w:tab w:val="right" w:leader="dot" w:pos="10194"/>
            </w:tabs>
            <w:rPr>
              <w:rFonts w:eastAsiaTheme="minorEastAsia"/>
              <w:noProof/>
              <w:color w:val="auto"/>
              <w:sz w:val="22"/>
              <w:szCs w:val="22"/>
              <w:lang w:eastAsia="en-AU"/>
            </w:rPr>
          </w:pPr>
          <w:hyperlink w:anchor="_Toc118103785" w:history="1">
            <w:r w:rsidR="007557FB" w:rsidRPr="00846912">
              <w:rPr>
                <w:rStyle w:val="Hyperlink"/>
                <w:noProof/>
              </w:rPr>
              <w:t>7.1 Implementation of Option 2 (preferred option)</w:t>
            </w:r>
            <w:r w:rsidR="007557FB">
              <w:rPr>
                <w:noProof/>
                <w:webHidden/>
              </w:rPr>
              <w:tab/>
            </w:r>
            <w:r w:rsidR="007557FB">
              <w:rPr>
                <w:noProof/>
                <w:webHidden/>
              </w:rPr>
              <w:fldChar w:fldCharType="begin"/>
            </w:r>
            <w:r w:rsidR="007557FB">
              <w:rPr>
                <w:noProof/>
                <w:webHidden/>
              </w:rPr>
              <w:instrText xml:space="preserve"> PAGEREF _Toc118103785 \h </w:instrText>
            </w:r>
            <w:r w:rsidR="007557FB">
              <w:rPr>
                <w:noProof/>
                <w:webHidden/>
              </w:rPr>
            </w:r>
            <w:r w:rsidR="007557FB">
              <w:rPr>
                <w:noProof/>
                <w:webHidden/>
              </w:rPr>
              <w:fldChar w:fldCharType="separate"/>
            </w:r>
            <w:r w:rsidR="007557FB">
              <w:rPr>
                <w:noProof/>
                <w:webHidden/>
              </w:rPr>
              <w:t>77</w:t>
            </w:r>
            <w:r w:rsidR="007557FB">
              <w:rPr>
                <w:noProof/>
                <w:webHidden/>
              </w:rPr>
              <w:fldChar w:fldCharType="end"/>
            </w:r>
          </w:hyperlink>
        </w:p>
        <w:p w14:paraId="3834CCED" w14:textId="3CCE1EAE" w:rsidR="007557FB" w:rsidRDefault="00BF33E7">
          <w:pPr>
            <w:pStyle w:val="TOC3"/>
            <w:tabs>
              <w:tab w:val="right" w:leader="dot" w:pos="10194"/>
            </w:tabs>
            <w:rPr>
              <w:rFonts w:eastAsiaTheme="minorEastAsia"/>
              <w:noProof/>
              <w:color w:val="auto"/>
              <w:sz w:val="22"/>
              <w:szCs w:val="22"/>
              <w:lang w:eastAsia="en-AU"/>
            </w:rPr>
          </w:pPr>
          <w:hyperlink w:anchor="_Toc118103786" w:history="1">
            <w:r w:rsidR="007557FB" w:rsidRPr="00846912">
              <w:rPr>
                <w:rStyle w:val="Hyperlink"/>
                <w:rFonts w:eastAsia="Calibri"/>
                <w:noProof/>
              </w:rPr>
              <w:t>7.1.1 Implementation plan</w:t>
            </w:r>
            <w:r w:rsidR="007557FB">
              <w:rPr>
                <w:noProof/>
                <w:webHidden/>
              </w:rPr>
              <w:tab/>
            </w:r>
            <w:r w:rsidR="007557FB">
              <w:rPr>
                <w:noProof/>
                <w:webHidden/>
              </w:rPr>
              <w:fldChar w:fldCharType="begin"/>
            </w:r>
            <w:r w:rsidR="007557FB">
              <w:rPr>
                <w:noProof/>
                <w:webHidden/>
              </w:rPr>
              <w:instrText xml:space="preserve"> PAGEREF _Toc118103786 \h </w:instrText>
            </w:r>
            <w:r w:rsidR="007557FB">
              <w:rPr>
                <w:noProof/>
                <w:webHidden/>
              </w:rPr>
            </w:r>
            <w:r w:rsidR="007557FB">
              <w:rPr>
                <w:noProof/>
                <w:webHidden/>
              </w:rPr>
              <w:fldChar w:fldCharType="separate"/>
            </w:r>
            <w:r w:rsidR="007557FB">
              <w:rPr>
                <w:noProof/>
                <w:webHidden/>
              </w:rPr>
              <w:t>77</w:t>
            </w:r>
            <w:r w:rsidR="007557FB">
              <w:rPr>
                <w:noProof/>
                <w:webHidden/>
              </w:rPr>
              <w:fldChar w:fldCharType="end"/>
            </w:r>
          </w:hyperlink>
        </w:p>
        <w:p w14:paraId="5CA6748A" w14:textId="7639F438" w:rsidR="007557FB" w:rsidRDefault="00BF33E7">
          <w:pPr>
            <w:pStyle w:val="TOC2"/>
            <w:tabs>
              <w:tab w:val="right" w:leader="dot" w:pos="10194"/>
            </w:tabs>
            <w:rPr>
              <w:rFonts w:eastAsiaTheme="minorEastAsia"/>
              <w:noProof/>
              <w:color w:val="auto"/>
              <w:sz w:val="22"/>
              <w:szCs w:val="22"/>
              <w:lang w:eastAsia="en-AU"/>
            </w:rPr>
          </w:pPr>
          <w:hyperlink w:anchor="_Toc118103787" w:history="1">
            <w:r w:rsidR="007557FB" w:rsidRPr="00846912">
              <w:rPr>
                <w:rStyle w:val="Hyperlink"/>
                <w:rFonts w:eastAsia="Calibri"/>
                <w:noProof/>
              </w:rPr>
              <w:t>7.1.2 Monitoring and evaluation</w:t>
            </w:r>
            <w:r w:rsidR="007557FB">
              <w:rPr>
                <w:noProof/>
                <w:webHidden/>
              </w:rPr>
              <w:tab/>
            </w:r>
            <w:r w:rsidR="007557FB">
              <w:rPr>
                <w:noProof/>
                <w:webHidden/>
              </w:rPr>
              <w:fldChar w:fldCharType="begin"/>
            </w:r>
            <w:r w:rsidR="007557FB">
              <w:rPr>
                <w:noProof/>
                <w:webHidden/>
              </w:rPr>
              <w:instrText xml:space="preserve"> PAGEREF _Toc118103787 \h </w:instrText>
            </w:r>
            <w:r w:rsidR="007557FB">
              <w:rPr>
                <w:noProof/>
                <w:webHidden/>
              </w:rPr>
            </w:r>
            <w:r w:rsidR="007557FB">
              <w:rPr>
                <w:noProof/>
                <w:webHidden/>
              </w:rPr>
              <w:fldChar w:fldCharType="separate"/>
            </w:r>
            <w:r w:rsidR="007557FB">
              <w:rPr>
                <w:noProof/>
                <w:webHidden/>
              </w:rPr>
              <w:t>79</w:t>
            </w:r>
            <w:r w:rsidR="007557FB">
              <w:rPr>
                <w:noProof/>
                <w:webHidden/>
              </w:rPr>
              <w:fldChar w:fldCharType="end"/>
            </w:r>
          </w:hyperlink>
        </w:p>
        <w:p w14:paraId="78D1C72B" w14:textId="00AB76CE" w:rsidR="007557FB" w:rsidRDefault="00BF33E7">
          <w:pPr>
            <w:pStyle w:val="TOC1"/>
            <w:rPr>
              <w:rFonts w:eastAsiaTheme="minorEastAsia"/>
              <w:noProof/>
              <w:color w:val="auto"/>
              <w:sz w:val="22"/>
              <w:szCs w:val="22"/>
              <w:lang w:eastAsia="en-AU"/>
            </w:rPr>
          </w:pPr>
          <w:hyperlink w:anchor="_Toc118103788" w:history="1">
            <w:r w:rsidR="007557FB" w:rsidRPr="00846912">
              <w:rPr>
                <w:rStyle w:val="Hyperlink"/>
                <w:noProof/>
              </w:rPr>
              <w:t>Attachment A</w:t>
            </w:r>
            <w:r w:rsidR="007557FB">
              <w:rPr>
                <w:noProof/>
                <w:webHidden/>
              </w:rPr>
              <w:tab/>
            </w:r>
            <w:r w:rsidR="007557FB">
              <w:rPr>
                <w:noProof/>
                <w:webHidden/>
              </w:rPr>
              <w:fldChar w:fldCharType="begin"/>
            </w:r>
            <w:r w:rsidR="007557FB">
              <w:rPr>
                <w:noProof/>
                <w:webHidden/>
              </w:rPr>
              <w:instrText xml:space="preserve"> PAGEREF _Toc118103788 \h </w:instrText>
            </w:r>
            <w:r w:rsidR="007557FB">
              <w:rPr>
                <w:noProof/>
                <w:webHidden/>
              </w:rPr>
            </w:r>
            <w:r w:rsidR="007557FB">
              <w:rPr>
                <w:noProof/>
                <w:webHidden/>
              </w:rPr>
              <w:fldChar w:fldCharType="separate"/>
            </w:r>
            <w:r w:rsidR="007557FB">
              <w:rPr>
                <w:noProof/>
                <w:webHidden/>
              </w:rPr>
              <w:t>81</w:t>
            </w:r>
            <w:r w:rsidR="007557FB">
              <w:rPr>
                <w:noProof/>
                <w:webHidden/>
              </w:rPr>
              <w:fldChar w:fldCharType="end"/>
            </w:r>
          </w:hyperlink>
        </w:p>
        <w:p w14:paraId="22D2B230" w14:textId="0C711356" w:rsidR="007557FB" w:rsidRDefault="00BF33E7">
          <w:pPr>
            <w:pStyle w:val="TOC2"/>
            <w:tabs>
              <w:tab w:val="right" w:leader="dot" w:pos="10194"/>
            </w:tabs>
            <w:rPr>
              <w:rFonts w:eastAsiaTheme="minorEastAsia"/>
              <w:noProof/>
              <w:color w:val="auto"/>
              <w:sz w:val="22"/>
              <w:szCs w:val="22"/>
              <w:lang w:eastAsia="en-AU"/>
            </w:rPr>
          </w:pPr>
          <w:hyperlink w:anchor="_Toc118103789" w:history="1">
            <w:r w:rsidR="007557FB" w:rsidRPr="00846912">
              <w:rPr>
                <w:rStyle w:val="Hyperlink"/>
                <w:noProof/>
              </w:rPr>
              <w:t>Income Management</w:t>
            </w:r>
            <w:r w:rsidR="007557FB">
              <w:rPr>
                <w:noProof/>
                <w:webHidden/>
              </w:rPr>
              <w:tab/>
            </w:r>
            <w:r w:rsidR="007557FB">
              <w:rPr>
                <w:noProof/>
                <w:webHidden/>
              </w:rPr>
              <w:fldChar w:fldCharType="begin"/>
            </w:r>
            <w:r w:rsidR="007557FB">
              <w:rPr>
                <w:noProof/>
                <w:webHidden/>
              </w:rPr>
              <w:instrText xml:space="preserve"> PAGEREF _Toc118103789 \h </w:instrText>
            </w:r>
            <w:r w:rsidR="007557FB">
              <w:rPr>
                <w:noProof/>
                <w:webHidden/>
              </w:rPr>
            </w:r>
            <w:r w:rsidR="007557FB">
              <w:rPr>
                <w:noProof/>
                <w:webHidden/>
              </w:rPr>
              <w:fldChar w:fldCharType="separate"/>
            </w:r>
            <w:r w:rsidR="007557FB">
              <w:rPr>
                <w:noProof/>
                <w:webHidden/>
              </w:rPr>
              <w:t>81</w:t>
            </w:r>
            <w:r w:rsidR="007557FB">
              <w:rPr>
                <w:noProof/>
                <w:webHidden/>
              </w:rPr>
              <w:fldChar w:fldCharType="end"/>
            </w:r>
          </w:hyperlink>
        </w:p>
        <w:p w14:paraId="080A8EC4" w14:textId="376A893C" w:rsidR="007557FB" w:rsidRDefault="00BF33E7">
          <w:pPr>
            <w:pStyle w:val="TOC1"/>
            <w:rPr>
              <w:rFonts w:eastAsiaTheme="minorEastAsia"/>
              <w:noProof/>
              <w:color w:val="auto"/>
              <w:sz w:val="22"/>
              <w:szCs w:val="22"/>
              <w:lang w:eastAsia="en-AU"/>
            </w:rPr>
          </w:pPr>
          <w:hyperlink w:anchor="_Toc118103790" w:history="1">
            <w:r w:rsidR="007557FB" w:rsidRPr="00846912">
              <w:rPr>
                <w:rStyle w:val="Hyperlink"/>
                <w:noProof/>
              </w:rPr>
              <w:t>Attachment B</w:t>
            </w:r>
            <w:r w:rsidR="007557FB">
              <w:rPr>
                <w:noProof/>
                <w:webHidden/>
              </w:rPr>
              <w:tab/>
            </w:r>
            <w:r w:rsidR="007557FB">
              <w:rPr>
                <w:noProof/>
                <w:webHidden/>
              </w:rPr>
              <w:fldChar w:fldCharType="begin"/>
            </w:r>
            <w:r w:rsidR="007557FB">
              <w:rPr>
                <w:noProof/>
                <w:webHidden/>
              </w:rPr>
              <w:instrText xml:space="preserve"> PAGEREF _Toc118103790 \h </w:instrText>
            </w:r>
            <w:r w:rsidR="007557FB">
              <w:rPr>
                <w:noProof/>
                <w:webHidden/>
              </w:rPr>
            </w:r>
            <w:r w:rsidR="007557FB">
              <w:rPr>
                <w:noProof/>
                <w:webHidden/>
              </w:rPr>
              <w:fldChar w:fldCharType="separate"/>
            </w:r>
            <w:r w:rsidR="007557FB">
              <w:rPr>
                <w:noProof/>
                <w:webHidden/>
              </w:rPr>
              <w:t>84</w:t>
            </w:r>
            <w:r w:rsidR="007557FB">
              <w:rPr>
                <w:noProof/>
                <w:webHidden/>
              </w:rPr>
              <w:fldChar w:fldCharType="end"/>
            </w:r>
          </w:hyperlink>
        </w:p>
        <w:p w14:paraId="1813B8F1" w14:textId="06D39CA3" w:rsidR="007557FB" w:rsidRDefault="00BF33E7">
          <w:pPr>
            <w:pStyle w:val="TOC2"/>
            <w:tabs>
              <w:tab w:val="right" w:leader="dot" w:pos="10194"/>
            </w:tabs>
            <w:rPr>
              <w:rFonts w:eastAsiaTheme="minorEastAsia"/>
              <w:noProof/>
              <w:color w:val="auto"/>
              <w:sz w:val="22"/>
              <w:szCs w:val="22"/>
              <w:lang w:eastAsia="en-AU"/>
            </w:rPr>
          </w:pPr>
          <w:hyperlink w:anchor="_Toc118103791" w:history="1">
            <w:r w:rsidR="007557FB" w:rsidRPr="00846912">
              <w:rPr>
                <w:rStyle w:val="Hyperlink"/>
                <w:noProof/>
              </w:rPr>
              <w:t>Cashless Debit Card (CDC)</w:t>
            </w:r>
            <w:r w:rsidR="007557FB">
              <w:rPr>
                <w:noProof/>
                <w:webHidden/>
              </w:rPr>
              <w:tab/>
            </w:r>
            <w:r w:rsidR="007557FB">
              <w:rPr>
                <w:noProof/>
                <w:webHidden/>
              </w:rPr>
              <w:fldChar w:fldCharType="begin"/>
            </w:r>
            <w:r w:rsidR="007557FB">
              <w:rPr>
                <w:noProof/>
                <w:webHidden/>
              </w:rPr>
              <w:instrText xml:space="preserve"> PAGEREF _Toc118103791 \h </w:instrText>
            </w:r>
            <w:r w:rsidR="007557FB">
              <w:rPr>
                <w:noProof/>
                <w:webHidden/>
              </w:rPr>
            </w:r>
            <w:r w:rsidR="007557FB">
              <w:rPr>
                <w:noProof/>
                <w:webHidden/>
              </w:rPr>
              <w:fldChar w:fldCharType="separate"/>
            </w:r>
            <w:r w:rsidR="007557FB">
              <w:rPr>
                <w:noProof/>
                <w:webHidden/>
              </w:rPr>
              <w:t>84</w:t>
            </w:r>
            <w:r w:rsidR="007557FB">
              <w:rPr>
                <w:noProof/>
                <w:webHidden/>
              </w:rPr>
              <w:fldChar w:fldCharType="end"/>
            </w:r>
          </w:hyperlink>
        </w:p>
        <w:p w14:paraId="47AAB0D2" w14:textId="25DCE884" w:rsidR="007557FB" w:rsidRDefault="00BF33E7">
          <w:pPr>
            <w:pStyle w:val="TOC3"/>
            <w:tabs>
              <w:tab w:val="right" w:leader="dot" w:pos="10194"/>
            </w:tabs>
            <w:rPr>
              <w:rFonts w:eastAsiaTheme="minorEastAsia"/>
              <w:noProof/>
              <w:color w:val="auto"/>
              <w:sz w:val="22"/>
              <w:szCs w:val="22"/>
              <w:lang w:eastAsia="en-AU"/>
            </w:rPr>
          </w:pPr>
          <w:hyperlink w:anchor="_Toc118103792" w:history="1">
            <w:r w:rsidR="007557FB" w:rsidRPr="00846912">
              <w:rPr>
                <w:rStyle w:val="Hyperlink"/>
                <w:noProof/>
              </w:rPr>
              <w:t>History of CDC</w:t>
            </w:r>
            <w:r w:rsidR="007557FB">
              <w:rPr>
                <w:noProof/>
                <w:webHidden/>
              </w:rPr>
              <w:tab/>
            </w:r>
            <w:r w:rsidR="007557FB">
              <w:rPr>
                <w:noProof/>
                <w:webHidden/>
              </w:rPr>
              <w:fldChar w:fldCharType="begin"/>
            </w:r>
            <w:r w:rsidR="007557FB">
              <w:rPr>
                <w:noProof/>
                <w:webHidden/>
              </w:rPr>
              <w:instrText xml:space="preserve"> PAGEREF _Toc118103792 \h </w:instrText>
            </w:r>
            <w:r w:rsidR="007557FB">
              <w:rPr>
                <w:noProof/>
                <w:webHidden/>
              </w:rPr>
            </w:r>
            <w:r w:rsidR="007557FB">
              <w:rPr>
                <w:noProof/>
                <w:webHidden/>
              </w:rPr>
              <w:fldChar w:fldCharType="separate"/>
            </w:r>
            <w:r w:rsidR="007557FB">
              <w:rPr>
                <w:noProof/>
                <w:webHidden/>
              </w:rPr>
              <w:t>84</w:t>
            </w:r>
            <w:r w:rsidR="007557FB">
              <w:rPr>
                <w:noProof/>
                <w:webHidden/>
              </w:rPr>
              <w:fldChar w:fldCharType="end"/>
            </w:r>
          </w:hyperlink>
        </w:p>
        <w:p w14:paraId="7A4E35C3" w14:textId="1E233EE6" w:rsidR="007557FB" w:rsidRDefault="00BF33E7">
          <w:pPr>
            <w:pStyle w:val="TOC3"/>
            <w:tabs>
              <w:tab w:val="right" w:leader="dot" w:pos="10194"/>
            </w:tabs>
            <w:rPr>
              <w:rFonts w:eastAsiaTheme="minorEastAsia"/>
              <w:noProof/>
              <w:color w:val="auto"/>
              <w:sz w:val="22"/>
              <w:szCs w:val="22"/>
              <w:lang w:eastAsia="en-AU"/>
            </w:rPr>
          </w:pPr>
          <w:hyperlink w:anchor="_Toc118103793" w:history="1">
            <w:r w:rsidR="007557FB" w:rsidRPr="00846912">
              <w:rPr>
                <w:rStyle w:val="Hyperlink"/>
                <w:noProof/>
              </w:rPr>
              <w:t>Ongoing consultation on the CDC</w:t>
            </w:r>
            <w:r w:rsidR="007557FB">
              <w:rPr>
                <w:noProof/>
                <w:webHidden/>
              </w:rPr>
              <w:tab/>
            </w:r>
            <w:r w:rsidR="007557FB">
              <w:rPr>
                <w:noProof/>
                <w:webHidden/>
              </w:rPr>
              <w:fldChar w:fldCharType="begin"/>
            </w:r>
            <w:r w:rsidR="007557FB">
              <w:rPr>
                <w:noProof/>
                <w:webHidden/>
              </w:rPr>
              <w:instrText xml:space="preserve"> PAGEREF _Toc118103793 \h </w:instrText>
            </w:r>
            <w:r w:rsidR="007557FB">
              <w:rPr>
                <w:noProof/>
                <w:webHidden/>
              </w:rPr>
            </w:r>
            <w:r w:rsidR="007557FB">
              <w:rPr>
                <w:noProof/>
                <w:webHidden/>
              </w:rPr>
              <w:fldChar w:fldCharType="separate"/>
            </w:r>
            <w:r w:rsidR="007557FB">
              <w:rPr>
                <w:noProof/>
                <w:webHidden/>
              </w:rPr>
              <w:t>85</w:t>
            </w:r>
            <w:r w:rsidR="007557FB">
              <w:rPr>
                <w:noProof/>
                <w:webHidden/>
              </w:rPr>
              <w:fldChar w:fldCharType="end"/>
            </w:r>
          </w:hyperlink>
        </w:p>
        <w:p w14:paraId="25717300" w14:textId="34615492" w:rsidR="007557FB" w:rsidRDefault="00BF33E7">
          <w:pPr>
            <w:pStyle w:val="TOC3"/>
            <w:tabs>
              <w:tab w:val="right" w:leader="dot" w:pos="10194"/>
            </w:tabs>
            <w:rPr>
              <w:rFonts w:eastAsiaTheme="minorEastAsia"/>
              <w:noProof/>
              <w:color w:val="auto"/>
              <w:sz w:val="22"/>
              <w:szCs w:val="22"/>
              <w:lang w:eastAsia="en-AU"/>
            </w:rPr>
          </w:pPr>
          <w:hyperlink w:anchor="_Toc118103794" w:history="1">
            <w:r w:rsidR="007557FB" w:rsidRPr="00846912">
              <w:rPr>
                <w:rStyle w:val="Hyperlink"/>
                <w:noProof/>
              </w:rPr>
              <w:t>Stakeholders</w:t>
            </w:r>
            <w:r w:rsidR="007557FB">
              <w:rPr>
                <w:noProof/>
                <w:webHidden/>
              </w:rPr>
              <w:tab/>
            </w:r>
            <w:r w:rsidR="007557FB">
              <w:rPr>
                <w:noProof/>
                <w:webHidden/>
              </w:rPr>
              <w:fldChar w:fldCharType="begin"/>
            </w:r>
            <w:r w:rsidR="007557FB">
              <w:rPr>
                <w:noProof/>
                <w:webHidden/>
              </w:rPr>
              <w:instrText xml:space="preserve"> PAGEREF _Toc118103794 \h </w:instrText>
            </w:r>
            <w:r w:rsidR="007557FB">
              <w:rPr>
                <w:noProof/>
                <w:webHidden/>
              </w:rPr>
            </w:r>
            <w:r w:rsidR="007557FB">
              <w:rPr>
                <w:noProof/>
                <w:webHidden/>
              </w:rPr>
              <w:fldChar w:fldCharType="separate"/>
            </w:r>
            <w:r w:rsidR="007557FB">
              <w:rPr>
                <w:noProof/>
                <w:webHidden/>
              </w:rPr>
              <w:t>85</w:t>
            </w:r>
            <w:r w:rsidR="007557FB">
              <w:rPr>
                <w:noProof/>
                <w:webHidden/>
              </w:rPr>
              <w:fldChar w:fldCharType="end"/>
            </w:r>
          </w:hyperlink>
        </w:p>
        <w:p w14:paraId="0C5595E7" w14:textId="05450F39" w:rsidR="007557FB" w:rsidRDefault="00BF33E7">
          <w:pPr>
            <w:pStyle w:val="TOC1"/>
            <w:rPr>
              <w:rFonts w:eastAsiaTheme="minorEastAsia"/>
              <w:noProof/>
              <w:color w:val="auto"/>
              <w:sz w:val="22"/>
              <w:szCs w:val="22"/>
              <w:lang w:eastAsia="en-AU"/>
            </w:rPr>
          </w:pPr>
          <w:hyperlink w:anchor="_Toc118103795" w:history="1">
            <w:r w:rsidR="007557FB" w:rsidRPr="00846912">
              <w:rPr>
                <w:rStyle w:val="Hyperlink"/>
                <w:noProof/>
              </w:rPr>
              <w:t>Attachment C</w:t>
            </w:r>
            <w:r w:rsidR="007557FB">
              <w:rPr>
                <w:noProof/>
                <w:webHidden/>
              </w:rPr>
              <w:tab/>
            </w:r>
            <w:r w:rsidR="007557FB">
              <w:rPr>
                <w:noProof/>
                <w:webHidden/>
              </w:rPr>
              <w:fldChar w:fldCharType="begin"/>
            </w:r>
            <w:r w:rsidR="007557FB">
              <w:rPr>
                <w:noProof/>
                <w:webHidden/>
              </w:rPr>
              <w:instrText xml:space="preserve"> PAGEREF _Toc118103795 \h </w:instrText>
            </w:r>
            <w:r w:rsidR="007557FB">
              <w:rPr>
                <w:noProof/>
                <w:webHidden/>
              </w:rPr>
            </w:r>
            <w:r w:rsidR="007557FB">
              <w:rPr>
                <w:noProof/>
                <w:webHidden/>
              </w:rPr>
              <w:fldChar w:fldCharType="separate"/>
            </w:r>
            <w:r w:rsidR="007557FB">
              <w:rPr>
                <w:noProof/>
                <w:webHidden/>
              </w:rPr>
              <w:t>86</w:t>
            </w:r>
            <w:r w:rsidR="007557FB">
              <w:rPr>
                <w:noProof/>
                <w:webHidden/>
              </w:rPr>
              <w:fldChar w:fldCharType="end"/>
            </w:r>
          </w:hyperlink>
        </w:p>
        <w:p w14:paraId="4A647CA9" w14:textId="633589D1" w:rsidR="007557FB" w:rsidRDefault="00BF33E7">
          <w:pPr>
            <w:pStyle w:val="TOC2"/>
            <w:tabs>
              <w:tab w:val="right" w:leader="dot" w:pos="10194"/>
            </w:tabs>
            <w:rPr>
              <w:rFonts w:eastAsiaTheme="minorEastAsia"/>
              <w:noProof/>
              <w:color w:val="auto"/>
              <w:sz w:val="22"/>
              <w:szCs w:val="22"/>
              <w:lang w:eastAsia="en-AU"/>
            </w:rPr>
          </w:pPr>
          <w:hyperlink w:anchor="_Toc118103796" w:history="1">
            <w:r w:rsidR="007557FB" w:rsidRPr="00846912">
              <w:rPr>
                <w:rStyle w:val="Hyperlink"/>
                <w:noProof/>
              </w:rPr>
              <w:t>Summary of legislation related to the CDC and IM</w:t>
            </w:r>
            <w:r w:rsidR="007557FB">
              <w:rPr>
                <w:noProof/>
                <w:webHidden/>
              </w:rPr>
              <w:tab/>
            </w:r>
            <w:r w:rsidR="007557FB">
              <w:rPr>
                <w:noProof/>
                <w:webHidden/>
              </w:rPr>
              <w:fldChar w:fldCharType="begin"/>
            </w:r>
            <w:r w:rsidR="007557FB">
              <w:rPr>
                <w:noProof/>
                <w:webHidden/>
              </w:rPr>
              <w:instrText xml:space="preserve"> PAGEREF _Toc118103796 \h </w:instrText>
            </w:r>
            <w:r w:rsidR="007557FB">
              <w:rPr>
                <w:noProof/>
                <w:webHidden/>
              </w:rPr>
            </w:r>
            <w:r w:rsidR="007557FB">
              <w:rPr>
                <w:noProof/>
                <w:webHidden/>
              </w:rPr>
              <w:fldChar w:fldCharType="separate"/>
            </w:r>
            <w:r w:rsidR="007557FB">
              <w:rPr>
                <w:noProof/>
                <w:webHidden/>
              </w:rPr>
              <w:t>86</w:t>
            </w:r>
            <w:r w:rsidR="007557FB">
              <w:rPr>
                <w:noProof/>
                <w:webHidden/>
              </w:rPr>
              <w:fldChar w:fldCharType="end"/>
            </w:r>
          </w:hyperlink>
        </w:p>
        <w:p w14:paraId="0C0F2CA6" w14:textId="5A46869B" w:rsidR="007557FB" w:rsidRDefault="00BF33E7">
          <w:pPr>
            <w:pStyle w:val="TOC3"/>
            <w:tabs>
              <w:tab w:val="right" w:leader="dot" w:pos="10194"/>
            </w:tabs>
            <w:rPr>
              <w:rFonts w:eastAsiaTheme="minorEastAsia"/>
              <w:noProof/>
              <w:color w:val="auto"/>
              <w:sz w:val="22"/>
              <w:szCs w:val="22"/>
              <w:lang w:eastAsia="en-AU"/>
            </w:rPr>
          </w:pPr>
          <w:hyperlink w:anchor="_Toc118103797" w:history="1">
            <w:r w:rsidR="007557FB" w:rsidRPr="00846912">
              <w:rPr>
                <w:rStyle w:val="Hyperlink"/>
                <w:noProof/>
              </w:rPr>
              <w:t>Six deferral instruments</w:t>
            </w:r>
            <w:r w:rsidR="007557FB">
              <w:rPr>
                <w:noProof/>
                <w:webHidden/>
              </w:rPr>
              <w:tab/>
            </w:r>
            <w:r w:rsidR="007557FB">
              <w:rPr>
                <w:noProof/>
                <w:webHidden/>
              </w:rPr>
              <w:fldChar w:fldCharType="begin"/>
            </w:r>
            <w:r w:rsidR="007557FB">
              <w:rPr>
                <w:noProof/>
                <w:webHidden/>
              </w:rPr>
              <w:instrText xml:space="preserve"> PAGEREF _Toc118103797 \h </w:instrText>
            </w:r>
            <w:r w:rsidR="007557FB">
              <w:rPr>
                <w:noProof/>
                <w:webHidden/>
              </w:rPr>
            </w:r>
            <w:r w:rsidR="007557FB">
              <w:rPr>
                <w:noProof/>
                <w:webHidden/>
              </w:rPr>
              <w:fldChar w:fldCharType="separate"/>
            </w:r>
            <w:r w:rsidR="007557FB">
              <w:rPr>
                <w:noProof/>
                <w:webHidden/>
              </w:rPr>
              <w:t>86</w:t>
            </w:r>
            <w:r w:rsidR="007557FB">
              <w:rPr>
                <w:noProof/>
                <w:webHidden/>
              </w:rPr>
              <w:fldChar w:fldCharType="end"/>
            </w:r>
          </w:hyperlink>
        </w:p>
        <w:p w14:paraId="3D309A32" w14:textId="25133BDB" w:rsidR="007557FB" w:rsidRDefault="00BF33E7">
          <w:pPr>
            <w:pStyle w:val="TOC3"/>
            <w:tabs>
              <w:tab w:val="right" w:leader="dot" w:pos="10194"/>
            </w:tabs>
            <w:rPr>
              <w:rFonts w:eastAsiaTheme="minorEastAsia"/>
              <w:noProof/>
              <w:color w:val="auto"/>
              <w:sz w:val="22"/>
              <w:szCs w:val="22"/>
              <w:lang w:eastAsia="en-AU"/>
            </w:rPr>
          </w:pPr>
          <w:hyperlink w:anchor="_Toc118103798" w:history="1">
            <w:r w:rsidR="007557FB" w:rsidRPr="00846912">
              <w:rPr>
                <w:rStyle w:val="Hyperlink"/>
                <w:noProof/>
              </w:rPr>
              <w:t>Amend 4 instruments</w:t>
            </w:r>
            <w:r w:rsidR="007557FB">
              <w:rPr>
                <w:noProof/>
                <w:webHidden/>
              </w:rPr>
              <w:tab/>
            </w:r>
            <w:r w:rsidR="007557FB">
              <w:rPr>
                <w:noProof/>
                <w:webHidden/>
              </w:rPr>
              <w:fldChar w:fldCharType="begin"/>
            </w:r>
            <w:r w:rsidR="007557FB">
              <w:rPr>
                <w:noProof/>
                <w:webHidden/>
              </w:rPr>
              <w:instrText xml:space="preserve"> PAGEREF _Toc118103798 \h </w:instrText>
            </w:r>
            <w:r w:rsidR="007557FB">
              <w:rPr>
                <w:noProof/>
                <w:webHidden/>
              </w:rPr>
            </w:r>
            <w:r w:rsidR="007557FB">
              <w:rPr>
                <w:noProof/>
                <w:webHidden/>
              </w:rPr>
              <w:fldChar w:fldCharType="separate"/>
            </w:r>
            <w:r w:rsidR="007557FB">
              <w:rPr>
                <w:noProof/>
                <w:webHidden/>
              </w:rPr>
              <w:t>87</w:t>
            </w:r>
            <w:r w:rsidR="007557FB">
              <w:rPr>
                <w:noProof/>
                <w:webHidden/>
              </w:rPr>
              <w:fldChar w:fldCharType="end"/>
            </w:r>
          </w:hyperlink>
        </w:p>
        <w:p w14:paraId="0C984B5B" w14:textId="74442AAC" w:rsidR="007557FB" w:rsidRDefault="00BF33E7">
          <w:pPr>
            <w:pStyle w:val="TOC3"/>
            <w:tabs>
              <w:tab w:val="right" w:leader="dot" w:pos="10194"/>
            </w:tabs>
            <w:rPr>
              <w:rFonts w:eastAsiaTheme="minorEastAsia"/>
              <w:noProof/>
              <w:color w:val="auto"/>
              <w:sz w:val="22"/>
              <w:szCs w:val="22"/>
              <w:lang w:eastAsia="en-AU"/>
            </w:rPr>
          </w:pPr>
          <w:hyperlink w:anchor="_Toc118103799" w:history="1">
            <w:r w:rsidR="007557FB" w:rsidRPr="00846912">
              <w:rPr>
                <w:rStyle w:val="Hyperlink"/>
                <w:noProof/>
              </w:rPr>
              <w:t>Amend two Instruments</w:t>
            </w:r>
            <w:r w:rsidR="007557FB">
              <w:rPr>
                <w:noProof/>
                <w:webHidden/>
              </w:rPr>
              <w:tab/>
            </w:r>
            <w:r w:rsidR="007557FB">
              <w:rPr>
                <w:noProof/>
                <w:webHidden/>
              </w:rPr>
              <w:fldChar w:fldCharType="begin"/>
            </w:r>
            <w:r w:rsidR="007557FB">
              <w:rPr>
                <w:noProof/>
                <w:webHidden/>
              </w:rPr>
              <w:instrText xml:space="preserve"> PAGEREF _Toc118103799 \h </w:instrText>
            </w:r>
            <w:r w:rsidR="007557FB">
              <w:rPr>
                <w:noProof/>
                <w:webHidden/>
              </w:rPr>
            </w:r>
            <w:r w:rsidR="007557FB">
              <w:rPr>
                <w:noProof/>
                <w:webHidden/>
              </w:rPr>
              <w:fldChar w:fldCharType="separate"/>
            </w:r>
            <w:r w:rsidR="007557FB">
              <w:rPr>
                <w:noProof/>
                <w:webHidden/>
              </w:rPr>
              <w:t>87</w:t>
            </w:r>
            <w:r w:rsidR="007557FB">
              <w:rPr>
                <w:noProof/>
                <w:webHidden/>
              </w:rPr>
              <w:fldChar w:fldCharType="end"/>
            </w:r>
          </w:hyperlink>
        </w:p>
        <w:p w14:paraId="498F97B5" w14:textId="6F945108" w:rsidR="007557FB" w:rsidRDefault="00BF33E7">
          <w:pPr>
            <w:pStyle w:val="TOC1"/>
            <w:rPr>
              <w:rFonts w:eastAsiaTheme="minorEastAsia"/>
              <w:noProof/>
              <w:color w:val="auto"/>
              <w:sz w:val="22"/>
              <w:szCs w:val="22"/>
              <w:lang w:eastAsia="en-AU"/>
            </w:rPr>
          </w:pPr>
          <w:hyperlink w:anchor="_Toc118103800" w:history="1">
            <w:r w:rsidR="007557FB" w:rsidRPr="00846912">
              <w:rPr>
                <w:rStyle w:val="Hyperlink"/>
                <w:noProof/>
              </w:rPr>
              <w:t>Attachment D</w:t>
            </w:r>
            <w:r w:rsidR="007557FB">
              <w:rPr>
                <w:noProof/>
                <w:webHidden/>
              </w:rPr>
              <w:tab/>
            </w:r>
            <w:r w:rsidR="007557FB">
              <w:rPr>
                <w:noProof/>
                <w:webHidden/>
              </w:rPr>
              <w:fldChar w:fldCharType="begin"/>
            </w:r>
            <w:r w:rsidR="007557FB">
              <w:rPr>
                <w:noProof/>
                <w:webHidden/>
              </w:rPr>
              <w:instrText xml:space="preserve"> PAGEREF _Toc118103800 \h </w:instrText>
            </w:r>
            <w:r w:rsidR="007557FB">
              <w:rPr>
                <w:noProof/>
                <w:webHidden/>
              </w:rPr>
            </w:r>
            <w:r w:rsidR="007557FB">
              <w:rPr>
                <w:noProof/>
                <w:webHidden/>
              </w:rPr>
              <w:fldChar w:fldCharType="separate"/>
            </w:r>
            <w:r w:rsidR="007557FB">
              <w:rPr>
                <w:noProof/>
                <w:webHidden/>
              </w:rPr>
              <w:t>88</w:t>
            </w:r>
            <w:r w:rsidR="007557FB">
              <w:rPr>
                <w:noProof/>
                <w:webHidden/>
              </w:rPr>
              <w:fldChar w:fldCharType="end"/>
            </w:r>
          </w:hyperlink>
        </w:p>
        <w:p w14:paraId="24BBD6B1" w14:textId="4BC2D656" w:rsidR="007557FB" w:rsidRDefault="00BF33E7">
          <w:pPr>
            <w:pStyle w:val="TOC2"/>
            <w:tabs>
              <w:tab w:val="right" w:leader="dot" w:pos="10194"/>
            </w:tabs>
            <w:rPr>
              <w:rFonts w:eastAsiaTheme="minorEastAsia"/>
              <w:noProof/>
              <w:color w:val="auto"/>
              <w:sz w:val="22"/>
              <w:szCs w:val="22"/>
              <w:lang w:eastAsia="en-AU"/>
            </w:rPr>
          </w:pPr>
          <w:hyperlink w:anchor="_Toc118103801" w:history="1">
            <w:r w:rsidR="007557FB" w:rsidRPr="00846912">
              <w:rPr>
                <w:rStyle w:val="Hyperlink"/>
                <w:noProof/>
              </w:rPr>
              <w:t>Support services summary managed by the CDC area of the Department</w:t>
            </w:r>
            <w:r w:rsidR="007557FB">
              <w:rPr>
                <w:noProof/>
                <w:webHidden/>
              </w:rPr>
              <w:tab/>
            </w:r>
            <w:r w:rsidR="007557FB">
              <w:rPr>
                <w:noProof/>
                <w:webHidden/>
              </w:rPr>
              <w:fldChar w:fldCharType="begin"/>
            </w:r>
            <w:r w:rsidR="007557FB">
              <w:rPr>
                <w:noProof/>
                <w:webHidden/>
              </w:rPr>
              <w:instrText xml:space="preserve"> PAGEREF _Toc118103801 \h </w:instrText>
            </w:r>
            <w:r w:rsidR="007557FB">
              <w:rPr>
                <w:noProof/>
                <w:webHidden/>
              </w:rPr>
            </w:r>
            <w:r w:rsidR="007557FB">
              <w:rPr>
                <w:noProof/>
                <w:webHidden/>
              </w:rPr>
              <w:fldChar w:fldCharType="separate"/>
            </w:r>
            <w:r w:rsidR="007557FB">
              <w:rPr>
                <w:noProof/>
                <w:webHidden/>
              </w:rPr>
              <w:t>88</w:t>
            </w:r>
            <w:r w:rsidR="007557FB">
              <w:rPr>
                <w:noProof/>
                <w:webHidden/>
              </w:rPr>
              <w:fldChar w:fldCharType="end"/>
            </w:r>
          </w:hyperlink>
        </w:p>
        <w:p w14:paraId="55281945" w14:textId="60425A81" w:rsidR="007557FB" w:rsidRDefault="00BF33E7">
          <w:pPr>
            <w:pStyle w:val="TOC1"/>
            <w:rPr>
              <w:rFonts w:eastAsiaTheme="minorEastAsia"/>
              <w:noProof/>
              <w:color w:val="auto"/>
              <w:sz w:val="22"/>
              <w:szCs w:val="22"/>
              <w:lang w:eastAsia="en-AU"/>
            </w:rPr>
          </w:pPr>
          <w:hyperlink w:anchor="_Toc118103802" w:history="1">
            <w:r w:rsidR="007557FB" w:rsidRPr="00846912">
              <w:rPr>
                <w:rStyle w:val="Hyperlink"/>
                <w:noProof/>
              </w:rPr>
              <w:t>Attachment E</w:t>
            </w:r>
            <w:r w:rsidR="007557FB">
              <w:rPr>
                <w:noProof/>
                <w:webHidden/>
              </w:rPr>
              <w:tab/>
            </w:r>
            <w:r w:rsidR="007557FB">
              <w:rPr>
                <w:noProof/>
                <w:webHidden/>
              </w:rPr>
              <w:fldChar w:fldCharType="begin"/>
            </w:r>
            <w:r w:rsidR="007557FB">
              <w:rPr>
                <w:noProof/>
                <w:webHidden/>
              </w:rPr>
              <w:instrText xml:space="preserve"> PAGEREF _Toc118103802 \h </w:instrText>
            </w:r>
            <w:r w:rsidR="007557FB">
              <w:rPr>
                <w:noProof/>
                <w:webHidden/>
              </w:rPr>
            </w:r>
            <w:r w:rsidR="007557FB">
              <w:rPr>
                <w:noProof/>
                <w:webHidden/>
              </w:rPr>
              <w:fldChar w:fldCharType="separate"/>
            </w:r>
            <w:r w:rsidR="007557FB">
              <w:rPr>
                <w:noProof/>
                <w:webHidden/>
              </w:rPr>
              <w:t>90</w:t>
            </w:r>
            <w:r w:rsidR="007557FB">
              <w:rPr>
                <w:noProof/>
                <w:webHidden/>
              </w:rPr>
              <w:fldChar w:fldCharType="end"/>
            </w:r>
          </w:hyperlink>
        </w:p>
        <w:p w14:paraId="7E5E4527" w14:textId="2904EA51" w:rsidR="007557FB" w:rsidRDefault="00BF33E7">
          <w:pPr>
            <w:pStyle w:val="TOC2"/>
            <w:tabs>
              <w:tab w:val="right" w:leader="dot" w:pos="10194"/>
            </w:tabs>
            <w:rPr>
              <w:rFonts w:eastAsiaTheme="minorEastAsia"/>
              <w:noProof/>
              <w:color w:val="auto"/>
              <w:sz w:val="22"/>
              <w:szCs w:val="22"/>
              <w:lang w:eastAsia="en-AU"/>
            </w:rPr>
          </w:pPr>
          <w:hyperlink w:anchor="_Toc118103803" w:history="1">
            <w:r w:rsidR="007557FB" w:rsidRPr="00846912">
              <w:rPr>
                <w:rStyle w:val="Hyperlink"/>
                <w:noProof/>
              </w:rPr>
              <w:t>Outline of Merchants</w:t>
            </w:r>
            <w:r w:rsidR="007557FB">
              <w:rPr>
                <w:noProof/>
                <w:webHidden/>
              </w:rPr>
              <w:tab/>
            </w:r>
            <w:r w:rsidR="007557FB">
              <w:rPr>
                <w:noProof/>
                <w:webHidden/>
              </w:rPr>
              <w:fldChar w:fldCharType="begin"/>
            </w:r>
            <w:r w:rsidR="007557FB">
              <w:rPr>
                <w:noProof/>
                <w:webHidden/>
              </w:rPr>
              <w:instrText xml:space="preserve"> PAGEREF _Toc118103803 \h </w:instrText>
            </w:r>
            <w:r w:rsidR="007557FB">
              <w:rPr>
                <w:noProof/>
                <w:webHidden/>
              </w:rPr>
            </w:r>
            <w:r w:rsidR="007557FB">
              <w:rPr>
                <w:noProof/>
                <w:webHidden/>
              </w:rPr>
              <w:fldChar w:fldCharType="separate"/>
            </w:r>
            <w:r w:rsidR="007557FB">
              <w:rPr>
                <w:noProof/>
                <w:webHidden/>
              </w:rPr>
              <w:t>90</w:t>
            </w:r>
            <w:r w:rsidR="007557FB">
              <w:rPr>
                <w:noProof/>
                <w:webHidden/>
              </w:rPr>
              <w:fldChar w:fldCharType="end"/>
            </w:r>
          </w:hyperlink>
        </w:p>
        <w:p w14:paraId="018FE840" w14:textId="057F9617" w:rsidR="007557FB" w:rsidRDefault="00BF33E7">
          <w:pPr>
            <w:pStyle w:val="TOC1"/>
            <w:rPr>
              <w:rFonts w:eastAsiaTheme="minorEastAsia"/>
              <w:noProof/>
              <w:color w:val="auto"/>
              <w:sz w:val="22"/>
              <w:szCs w:val="22"/>
              <w:lang w:eastAsia="en-AU"/>
            </w:rPr>
          </w:pPr>
          <w:hyperlink w:anchor="_Toc118103804" w:history="1">
            <w:r w:rsidR="007557FB" w:rsidRPr="00846912">
              <w:rPr>
                <w:rStyle w:val="Hyperlink"/>
                <w:noProof/>
                <w:lang w:eastAsia="en-AU"/>
              </w:rPr>
              <w:t>Attachment F:</w:t>
            </w:r>
            <w:r w:rsidR="007557FB">
              <w:rPr>
                <w:noProof/>
                <w:webHidden/>
              </w:rPr>
              <w:tab/>
            </w:r>
            <w:r w:rsidR="007557FB">
              <w:rPr>
                <w:noProof/>
                <w:webHidden/>
              </w:rPr>
              <w:fldChar w:fldCharType="begin"/>
            </w:r>
            <w:r w:rsidR="007557FB">
              <w:rPr>
                <w:noProof/>
                <w:webHidden/>
              </w:rPr>
              <w:instrText xml:space="preserve"> PAGEREF _Toc118103804 \h </w:instrText>
            </w:r>
            <w:r w:rsidR="007557FB">
              <w:rPr>
                <w:noProof/>
                <w:webHidden/>
              </w:rPr>
            </w:r>
            <w:r w:rsidR="007557FB">
              <w:rPr>
                <w:noProof/>
                <w:webHidden/>
              </w:rPr>
              <w:fldChar w:fldCharType="separate"/>
            </w:r>
            <w:r w:rsidR="007557FB">
              <w:rPr>
                <w:noProof/>
                <w:webHidden/>
              </w:rPr>
              <w:t>91</w:t>
            </w:r>
            <w:r w:rsidR="007557FB">
              <w:rPr>
                <w:noProof/>
                <w:webHidden/>
              </w:rPr>
              <w:fldChar w:fldCharType="end"/>
            </w:r>
          </w:hyperlink>
        </w:p>
        <w:p w14:paraId="08CD9521" w14:textId="71DF248C" w:rsidR="007557FB" w:rsidRDefault="00BF33E7">
          <w:pPr>
            <w:pStyle w:val="TOC2"/>
            <w:tabs>
              <w:tab w:val="right" w:leader="dot" w:pos="10194"/>
            </w:tabs>
            <w:rPr>
              <w:rFonts w:eastAsiaTheme="minorEastAsia"/>
              <w:noProof/>
              <w:color w:val="auto"/>
              <w:sz w:val="22"/>
              <w:szCs w:val="22"/>
              <w:lang w:eastAsia="en-AU"/>
            </w:rPr>
          </w:pPr>
          <w:hyperlink w:anchor="_Toc118103805" w:history="1">
            <w:r w:rsidR="007557FB" w:rsidRPr="00846912">
              <w:rPr>
                <w:rStyle w:val="Hyperlink"/>
                <w:noProof/>
              </w:rPr>
              <w:t>CDC and IM participant numbers justification and assumptions</w:t>
            </w:r>
            <w:r w:rsidR="007557FB">
              <w:rPr>
                <w:noProof/>
                <w:webHidden/>
              </w:rPr>
              <w:tab/>
            </w:r>
            <w:r w:rsidR="007557FB">
              <w:rPr>
                <w:noProof/>
                <w:webHidden/>
              </w:rPr>
              <w:fldChar w:fldCharType="begin"/>
            </w:r>
            <w:r w:rsidR="007557FB">
              <w:rPr>
                <w:noProof/>
                <w:webHidden/>
              </w:rPr>
              <w:instrText xml:space="preserve"> PAGEREF _Toc118103805 \h </w:instrText>
            </w:r>
            <w:r w:rsidR="007557FB">
              <w:rPr>
                <w:noProof/>
                <w:webHidden/>
              </w:rPr>
            </w:r>
            <w:r w:rsidR="007557FB">
              <w:rPr>
                <w:noProof/>
                <w:webHidden/>
              </w:rPr>
              <w:fldChar w:fldCharType="separate"/>
            </w:r>
            <w:r w:rsidR="007557FB">
              <w:rPr>
                <w:noProof/>
                <w:webHidden/>
              </w:rPr>
              <w:t>91</w:t>
            </w:r>
            <w:r w:rsidR="007557FB">
              <w:rPr>
                <w:noProof/>
                <w:webHidden/>
              </w:rPr>
              <w:fldChar w:fldCharType="end"/>
            </w:r>
          </w:hyperlink>
        </w:p>
        <w:p w14:paraId="6CD4F334" w14:textId="47FCB9AB" w:rsidR="004E29B0" w:rsidRDefault="004E29B0">
          <w:r>
            <w:rPr>
              <w:b/>
              <w:bCs/>
              <w:noProof/>
            </w:rPr>
            <w:fldChar w:fldCharType="end"/>
          </w:r>
        </w:p>
      </w:sdtContent>
    </w:sdt>
    <w:p w14:paraId="1907A9B0" w14:textId="50590BA3" w:rsidR="007557FB" w:rsidRDefault="000A7637">
      <w:pPr>
        <w:pStyle w:val="TableofFigures"/>
        <w:tabs>
          <w:tab w:val="right" w:leader="dot" w:pos="10194"/>
        </w:tabs>
        <w:rPr>
          <w:rFonts w:eastAsiaTheme="minorEastAsia"/>
          <w:noProof/>
          <w:color w:val="auto"/>
          <w:sz w:val="22"/>
          <w:szCs w:val="22"/>
          <w:lang w:eastAsia="en-AU"/>
        </w:rPr>
      </w:pPr>
      <w:r>
        <w:fldChar w:fldCharType="begin"/>
      </w:r>
      <w:r>
        <w:instrText xml:space="preserve"> TOC \h \z \c "Table" </w:instrText>
      </w:r>
      <w:r>
        <w:fldChar w:fldCharType="separate"/>
      </w:r>
      <w:hyperlink w:anchor="_Toc118103806" w:history="1">
        <w:r w:rsidR="007557FB" w:rsidRPr="00631D02">
          <w:rPr>
            <w:rStyle w:val="Hyperlink"/>
            <w:noProof/>
          </w:rPr>
          <w:t>Table 1: Existing Income Management sites and applicable measures</w:t>
        </w:r>
        <w:r w:rsidR="007557FB">
          <w:rPr>
            <w:noProof/>
            <w:webHidden/>
          </w:rPr>
          <w:tab/>
        </w:r>
        <w:r w:rsidR="007557FB">
          <w:rPr>
            <w:noProof/>
            <w:webHidden/>
          </w:rPr>
          <w:fldChar w:fldCharType="begin"/>
        </w:r>
        <w:r w:rsidR="007557FB">
          <w:rPr>
            <w:noProof/>
            <w:webHidden/>
          </w:rPr>
          <w:instrText xml:space="preserve"> PAGEREF _Toc118103806 \h </w:instrText>
        </w:r>
        <w:r w:rsidR="007557FB">
          <w:rPr>
            <w:noProof/>
            <w:webHidden/>
          </w:rPr>
        </w:r>
        <w:r w:rsidR="007557FB">
          <w:rPr>
            <w:noProof/>
            <w:webHidden/>
          </w:rPr>
          <w:fldChar w:fldCharType="separate"/>
        </w:r>
        <w:r w:rsidR="007557FB">
          <w:rPr>
            <w:noProof/>
            <w:webHidden/>
          </w:rPr>
          <w:t>8</w:t>
        </w:r>
        <w:r w:rsidR="007557FB">
          <w:rPr>
            <w:noProof/>
            <w:webHidden/>
          </w:rPr>
          <w:fldChar w:fldCharType="end"/>
        </w:r>
      </w:hyperlink>
    </w:p>
    <w:p w14:paraId="56058F7D" w14:textId="4FA1B093" w:rsidR="007557FB" w:rsidRDefault="00BF33E7">
      <w:pPr>
        <w:pStyle w:val="TableofFigures"/>
        <w:tabs>
          <w:tab w:val="right" w:leader="dot" w:pos="10194"/>
        </w:tabs>
        <w:rPr>
          <w:rFonts w:eastAsiaTheme="minorEastAsia"/>
          <w:noProof/>
          <w:color w:val="auto"/>
          <w:sz w:val="22"/>
          <w:szCs w:val="22"/>
          <w:lang w:eastAsia="en-AU"/>
        </w:rPr>
      </w:pPr>
      <w:hyperlink w:anchor="_Toc118103807" w:history="1">
        <w:r w:rsidR="007557FB" w:rsidRPr="00631D02">
          <w:rPr>
            <w:rStyle w:val="Hyperlink"/>
            <w:noProof/>
          </w:rPr>
          <w:t>Table 2: Cashless Debit Card sites</w:t>
        </w:r>
        <w:r w:rsidR="007557FB">
          <w:rPr>
            <w:noProof/>
            <w:webHidden/>
          </w:rPr>
          <w:tab/>
        </w:r>
        <w:r w:rsidR="007557FB">
          <w:rPr>
            <w:noProof/>
            <w:webHidden/>
          </w:rPr>
          <w:fldChar w:fldCharType="begin"/>
        </w:r>
        <w:r w:rsidR="007557FB">
          <w:rPr>
            <w:noProof/>
            <w:webHidden/>
          </w:rPr>
          <w:instrText xml:space="preserve"> PAGEREF _Toc118103807 \h </w:instrText>
        </w:r>
        <w:r w:rsidR="007557FB">
          <w:rPr>
            <w:noProof/>
            <w:webHidden/>
          </w:rPr>
        </w:r>
        <w:r w:rsidR="007557FB">
          <w:rPr>
            <w:noProof/>
            <w:webHidden/>
          </w:rPr>
          <w:fldChar w:fldCharType="separate"/>
        </w:r>
        <w:r w:rsidR="007557FB">
          <w:rPr>
            <w:noProof/>
            <w:webHidden/>
          </w:rPr>
          <w:t>9</w:t>
        </w:r>
        <w:r w:rsidR="007557FB">
          <w:rPr>
            <w:noProof/>
            <w:webHidden/>
          </w:rPr>
          <w:fldChar w:fldCharType="end"/>
        </w:r>
      </w:hyperlink>
    </w:p>
    <w:p w14:paraId="2E5EA459" w14:textId="13109E6A" w:rsidR="007557FB" w:rsidRDefault="00BF33E7">
      <w:pPr>
        <w:pStyle w:val="TableofFigures"/>
        <w:tabs>
          <w:tab w:val="right" w:leader="dot" w:pos="10194"/>
        </w:tabs>
        <w:rPr>
          <w:rFonts w:eastAsiaTheme="minorEastAsia"/>
          <w:noProof/>
          <w:color w:val="auto"/>
          <w:sz w:val="22"/>
          <w:szCs w:val="22"/>
          <w:lang w:eastAsia="en-AU"/>
        </w:rPr>
      </w:pPr>
      <w:hyperlink w:anchor="_Toc118103808" w:history="1">
        <w:r w:rsidR="007557FB" w:rsidRPr="00631D02">
          <w:rPr>
            <w:rStyle w:val="Hyperlink"/>
            <w:noProof/>
          </w:rPr>
          <w:t>Table 3: Policy and operational differences between Income Management and the Cashless Debit Card</w:t>
        </w:r>
        <w:r w:rsidR="007557FB">
          <w:rPr>
            <w:noProof/>
            <w:webHidden/>
          </w:rPr>
          <w:tab/>
        </w:r>
        <w:r w:rsidR="007557FB">
          <w:rPr>
            <w:noProof/>
            <w:webHidden/>
          </w:rPr>
          <w:fldChar w:fldCharType="begin"/>
        </w:r>
        <w:r w:rsidR="007557FB">
          <w:rPr>
            <w:noProof/>
            <w:webHidden/>
          </w:rPr>
          <w:instrText xml:space="preserve"> PAGEREF _Toc118103808 \h </w:instrText>
        </w:r>
        <w:r w:rsidR="007557FB">
          <w:rPr>
            <w:noProof/>
            <w:webHidden/>
          </w:rPr>
        </w:r>
        <w:r w:rsidR="007557FB">
          <w:rPr>
            <w:noProof/>
            <w:webHidden/>
          </w:rPr>
          <w:fldChar w:fldCharType="separate"/>
        </w:r>
        <w:r w:rsidR="007557FB">
          <w:rPr>
            <w:noProof/>
            <w:webHidden/>
          </w:rPr>
          <w:t>12</w:t>
        </w:r>
        <w:r w:rsidR="007557FB">
          <w:rPr>
            <w:noProof/>
            <w:webHidden/>
          </w:rPr>
          <w:fldChar w:fldCharType="end"/>
        </w:r>
      </w:hyperlink>
    </w:p>
    <w:p w14:paraId="7FD3C06C" w14:textId="61F7F23B" w:rsidR="007557FB" w:rsidRDefault="00BF33E7">
      <w:pPr>
        <w:pStyle w:val="TableofFigures"/>
        <w:tabs>
          <w:tab w:val="right" w:leader="dot" w:pos="10194"/>
        </w:tabs>
        <w:rPr>
          <w:rFonts w:eastAsiaTheme="minorEastAsia"/>
          <w:noProof/>
          <w:color w:val="auto"/>
          <w:sz w:val="22"/>
          <w:szCs w:val="22"/>
          <w:lang w:eastAsia="en-AU"/>
        </w:rPr>
      </w:pPr>
      <w:hyperlink w:anchor="_Toc118103809" w:history="1">
        <w:r w:rsidR="007557FB" w:rsidRPr="00631D02">
          <w:rPr>
            <w:rStyle w:val="Hyperlink"/>
            <w:noProof/>
          </w:rPr>
          <w:t>Table 4: Examples of community programs that are achieving Cashless Debit Card and Income Management objectives (this list is not comprehensive)</w:t>
        </w:r>
        <w:r w:rsidR="007557FB">
          <w:rPr>
            <w:noProof/>
            <w:webHidden/>
          </w:rPr>
          <w:tab/>
        </w:r>
        <w:r w:rsidR="007557FB">
          <w:rPr>
            <w:noProof/>
            <w:webHidden/>
          </w:rPr>
          <w:fldChar w:fldCharType="begin"/>
        </w:r>
        <w:r w:rsidR="007557FB">
          <w:rPr>
            <w:noProof/>
            <w:webHidden/>
          </w:rPr>
          <w:instrText xml:space="preserve"> PAGEREF _Toc118103809 \h </w:instrText>
        </w:r>
        <w:r w:rsidR="007557FB">
          <w:rPr>
            <w:noProof/>
            <w:webHidden/>
          </w:rPr>
        </w:r>
        <w:r w:rsidR="007557FB">
          <w:rPr>
            <w:noProof/>
            <w:webHidden/>
          </w:rPr>
          <w:fldChar w:fldCharType="separate"/>
        </w:r>
        <w:r w:rsidR="007557FB">
          <w:rPr>
            <w:noProof/>
            <w:webHidden/>
          </w:rPr>
          <w:t>15</w:t>
        </w:r>
        <w:r w:rsidR="007557FB">
          <w:rPr>
            <w:noProof/>
            <w:webHidden/>
          </w:rPr>
          <w:fldChar w:fldCharType="end"/>
        </w:r>
      </w:hyperlink>
    </w:p>
    <w:p w14:paraId="7989E41F" w14:textId="4F06E0AF" w:rsidR="007557FB" w:rsidRDefault="00BF33E7">
      <w:pPr>
        <w:pStyle w:val="TableofFigures"/>
        <w:tabs>
          <w:tab w:val="right" w:leader="dot" w:pos="10194"/>
        </w:tabs>
        <w:rPr>
          <w:rFonts w:eastAsiaTheme="minorEastAsia"/>
          <w:noProof/>
          <w:color w:val="auto"/>
          <w:sz w:val="22"/>
          <w:szCs w:val="22"/>
          <w:lang w:eastAsia="en-AU"/>
        </w:rPr>
      </w:pPr>
      <w:hyperlink w:anchor="_Toc118103810" w:history="1">
        <w:r w:rsidR="007557FB" w:rsidRPr="00631D02">
          <w:rPr>
            <w:rStyle w:val="Hyperlink"/>
            <w:noProof/>
          </w:rPr>
          <w:t>Table 5: Income Management evaluations commissioned by the Department</w:t>
        </w:r>
        <w:r w:rsidR="007557FB">
          <w:rPr>
            <w:noProof/>
            <w:webHidden/>
          </w:rPr>
          <w:tab/>
        </w:r>
        <w:r w:rsidR="007557FB">
          <w:rPr>
            <w:noProof/>
            <w:webHidden/>
          </w:rPr>
          <w:fldChar w:fldCharType="begin"/>
        </w:r>
        <w:r w:rsidR="007557FB">
          <w:rPr>
            <w:noProof/>
            <w:webHidden/>
          </w:rPr>
          <w:instrText xml:space="preserve"> PAGEREF _Toc118103810 \h </w:instrText>
        </w:r>
        <w:r w:rsidR="007557FB">
          <w:rPr>
            <w:noProof/>
            <w:webHidden/>
          </w:rPr>
        </w:r>
        <w:r w:rsidR="007557FB">
          <w:rPr>
            <w:noProof/>
            <w:webHidden/>
          </w:rPr>
          <w:fldChar w:fldCharType="separate"/>
        </w:r>
        <w:r w:rsidR="007557FB">
          <w:rPr>
            <w:noProof/>
            <w:webHidden/>
          </w:rPr>
          <w:t>18</w:t>
        </w:r>
        <w:r w:rsidR="007557FB">
          <w:rPr>
            <w:noProof/>
            <w:webHidden/>
          </w:rPr>
          <w:fldChar w:fldCharType="end"/>
        </w:r>
      </w:hyperlink>
    </w:p>
    <w:p w14:paraId="3A0160E3" w14:textId="329AEF40" w:rsidR="007557FB" w:rsidRDefault="00BF33E7">
      <w:pPr>
        <w:pStyle w:val="TableofFigures"/>
        <w:tabs>
          <w:tab w:val="right" w:leader="dot" w:pos="10194"/>
        </w:tabs>
        <w:rPr>
          <w:rFonts w:eastAsiaTheme="minorEastAsia"/>
          <w:noProof/>
          <w:color w:val="auto"/>
          <w:sz w:val="22"/>
          <w:szCs w:val="22"/>
          <w:lang w:eastAsia="en-AU"/>
        </w:rPr>
      </w:pPr>
      <w:hyperlink w:anchor="_Toc118103811" w:history="1">
        <w:r w:rsidR="007557FB" w:rsidRPr="00631D02">
          <w:rPr>
            <w:rStyle w:val="Hyperlink"/>
            <w:noProof/>
          </w:rPr>
          <w:t>Table 6: Key differences between the two options</w:t>
        </w:r>
        <w:r w:rsidR="007557FB">
          <w:rPr>
            <w:noProof/>
            <w:webHidden/>
          </w:rPr>
          <w:tab/>
        </w:r>
        <w:r w:rsidR="007557FB">
          <w:rPr>
            <w:noProof/>
            <w:webHidden/>
          </w:rPr>
          <w:fldChar w:fldCharType="begin"/>
        </w:r>
        <w:r w:rsidR="007557FB">
          <w:rPr>
            <w:noProof/>
            <w:webHidden/>
          </w:rPr>
          <w:instrText xml:space="preserve"> PAGEREF _Toc118103811 \h </w:instrText>
        </w:r>
        <w:r w:rsidR="007557FB">
          <w:rPr>
            <w:noProof/>
            <w:webHidden/>
          </w:rPr>
        </w:r>
        <w:r w:rsidR="007557FB">
          <w:rPr>
            <w:noProof/>
            <w:webHidden/>
          </w:rPr>
          <w:fldChar w:fldCharType="separate"/>
        </w:r>
        <w:r w:rsidR="007557FB">
          <w:rPr>
            <w:noProof/>
            <w:webHidden/>
          </w:rPr>
          <w:t>34</w:t>
        </w:r>
        <w:r w:rsidR="007557FB">
          <w:rPr>
            <w:noProof/>
            <w:webHidden/>
          </w:rPr>
          <w:fldChar w:fldCharType="end"/>
        </w:r>
      </w:hyperlink>
    </w:p>
    <w:p w14:paraId="61EEC665" w14:textId="476C2E5C" w:rsidR="007557FB" w:rsidRDefault="00BF33E7">
      <w:pPr>
        <w:pStyle w:val="TableofFigures"/>
        <w:tabs>
          <w:tab w:val="right" w:leader="dot" w:pos="10194"/>
        </w:tabs>
        <w:rPr>
          <w:rFonts w:eastAsiaTheme="minorEastAsia"/>
          <w:noProof/>
          <w:color w:val="auto"/>
          <w:sz w:val="22"/>
          <w:szCs w:val="22"/>
          <w:lang w:eastAsia="en-AU"/>
        </w:rPr>
      </w:pPr>
      <w:hyperlink w:anchor="_Toc118103812" w:history="1">
        <w:r w:rsidR="007557FB" w:rsidRPr="00631D02">
          <w:rPr>
            <w:rStyle w:val="Hyperlink"/>
            <w:noProof/>
          </w:rPr>
          <w:t>Table 7: Annual cost to state and territory-run authorities to refer individuals to CDC and IM</w:t>
        </w:r>
        <w:r w:rsidR="007557FB">
          <w:rPr>
            <w:noProof/>
            <w:webHidden/>
          </w:rPr>
          <w:tab/>
        </w:r>
        <w:r w:rsidR="007557FB">
          <w:rPr>
            <w:noProof/>
            <w:webHidden/>
          </w:rPr>
          <w:fldChar w:fldCharType="begin"/>
        </w:r>
        <w:r w:rsidR="007557FB">
          <w:rPr>
            <w:noProof/>
            <w:webHidden/>
          </w:rPr>
          <w:instrText xml:space="preserve"> PAGEREF _Toc118103812 \h </w:instrText>
        </w:r>
        <w:r w:rsidR="007557FB">
          <w:rPr>
            <w:noProof/>
            <w:webHidden/>
          </w:rPr>
        </w:r>
        <w:r w:rsidR="007557FB">
          <w:rPr>
            <w:noProof/>
            <w:webHidden/>
          </w:rPr>
          <w:fldChar w:fldCharType="separate"/>
        </w:r>
        <w:r w:rsidR="007557FB">
          <w:rPr>
            <w:noProof/>
            <w:webHidden/>
          </w:rPr>
          <w:t>44</w:t>
        </w:r>
        <w:r w:rsidR="007557FB">
          <w:rPr>
            <w:noProof/>
            <w:webHidden/>
          </w:rPr>
          <w:fldChar w:fldCharType="end"/>
        </w:r>
      </w:hyperlink>
    </w:p>
    <w:p w14:paraId="203DFA0B" w14:textId="12039E5B" w:rsidR="007557FB" w:rsidRDefault="00BF33E7">
      <w:pPr>
        <w:pStyle w:val="TableofFigures"/>
        <w:tabs>
          <w:tab w:val="right" w:leader="dot" w:pos="10194"/>
        </w:tabs>
        <w:rPr>
          <w:rFonts w:eastAsiaTheme="minorEastAsia"/>
          <w:noProof/>
          <w:color w:val="auto"/>
          <w:sz w:val="22"/>
          <w:szCs w:val="22"/>
          <w:lang w:eastAsia="en-AU"/>
        </w:rPr>
      </w:pPr>
      <w:hyperlink w:anchor="_Toc118103813" w:history="1">
        <w:r w:rsidR="007557FB" w:rsidRPr="00631D02">
          <w:rPr>
            <w:rStyle w:val="Hyperlink"/>
            <w:noProof/>
          </w:rPr>
          <w:t>Table 8: Active CDC participants – current location (as at 27 May 2022)</w:t>
        </w:r>
        <w:r w:rsidR="007557FB">
          <w:rPr>
            <w:noProof/>
            <w:webHidden/>
          </w:rPr>
          <w:tab/>
        </w:r>
        <w:r w:rsidR="007557FB">
          <w:rPr>
            <w:noProof/>
            <w:webHidden/>
          </w:rPr>
          <w:fldChar w:fldCharType="begin"/>
        </w:r>
        <w:r w:rsidR="007557FB">
          <w:rPr>
            <w:noProof/>
            <w:webHidden/>
          </w:rPr>
          <w:instrText xml:space="preserve"> PAGEREF _Toc118103813 \h </w:instrText>
        </w:r>
        <w:r w:rsidR="007557FB">
          <w:rPr>
            <w:noProof/>
            <w:webHidden/>
          </w:rPr>
        </w:r>
        <w:r w:rsidR="007557FB">
          <w:rPr>
            <w:noProof/>
            <w:webHidden/>
          </w:rPr>
          <w:fldChar w:fldCharType="separate"/>
        </w:r>
        <w:r w:rsidR="007557FB">
          <w:rPr>
            <w:noProof/>
            <w:webHidden/>
          </w:rPr>
          <w:t>56</w:t>
        </w:r>
        <w:r w:rsidR="007557FB">
          <w:rPr>
            <w:noProof/>
            <w:webHidden/>
          </w:rPr>
          <w:fldChar w:fldCharType="end"/>
        </w:r>
      </w:hyperlink>
    </w:p>
    <w:p w14:paraId="04AE3A50" w14:textId="1069D7AD" w:rsidR="007557FB" w:rsidRDefault="00BF33E7">
      <w:pPr>
        <w:pStyle w:val="TableofFigures"/>
        <w:tabs>
          <w:tab w:val="right" w:leader="dot" w:pos="10194"/>
        </w:tabs>
        <w:rPr>
          <w:rFonts w:eastAsiaTheme="minorEastAsia"/>
          <w:noProof/>
          <w:color w:val="auto"/>
          <w:sz w:val="22"/>
          <w:szCs w:val="22"/>
          <w:lang w:eastAsia="en-AU"/>
        </w:rPr>
      </w:pPr>
      <w:hyperlink w:anchor="_Toc118103814" w:history="1">
        <w:r w:rsidR="007557FB" w:rsidRPr="00631D02">
          <w:rPr>
            <w:rStyle w:val="Hyperlink"/>
            <w:noProof/>
          </w:rPr>
          <w:t>Table 10: Summary of key themes from the Minister’s consultation</w:t>
        </w:r>
        <w:r w:rsidR="007557FB">
          <w:rPr>
            <w:noProof/>
            <w:webHidden/>
          </w:rPr>
          <w:tab/>
        </w:r>
        <w:r w:rsidR="007557FB">
          <w:rPr>
            <w:noProof/>
            <w:webHidden/>
          </w:rPr>
          <w:fldChar w:fldCharType="begin"/>
        </w:r>
        <w:r w:rsidR="007557FB">
          <w:rPr>
            <w:noProof/>
            <w:webHidden/>
          </w:rPr>
          <w:instrText xml:space="preserve"> PAGEREF _Toc118103814 \h </w:instrText>
        </w:r>
        <w:r w:rsidR="007557FB">
          <w:rPr>
            <w:noProof/>
            <w:webHidden/>
          </w:rPr>
        </w:r>
        <w:r w:rsidR="007557FB">
          <w:rPr>
            <w:noProof/>
            <w:webHidden/>
          </w:rPr>
          <w:fldChar w:fldCharType="separate"/>
        </w:r>
        <w:r w:rsidR="007557FB">
          <w:rPr>
            <w:noProof/>
            <w:webHidden/>
          </w:rPr>
          <w:t>73</w:t>
        </w:r>
        <w:r w:rsidR="007557FB">
          <w:rPr>
            <w:noProof/>
            <w:webHidden/>
          </w:rPr>
          <w:fldChar w:fldCharType="end"/>
        </w:r>
      </w:hyperlink>
    </w:p>
    <w:p w14:paraId="2AFFB906" w14:textId="0DA87B11" w:rsidR="007557FB" w:rsidRDefault="00BF33E7">
      <w:pPr>
        <w:pStyle w:val="TableofFigures"/>
        <w:tabs>
          <w:tab w:val="right" w:leader="dot" w:pos="10194"/>
        </w:tabs>
        <w:rPr>
          <w:rFonts w:eastAsiaTheme="minorEastAsia"/>
          <w:noProof/>
          <w:color w:val="auto"/>
          <w:sz w:val="22"/>
          <w:szCs w:val="22"/>
          <w:lang w:eastAsia="en-AU"/>
        </w:rPr>
      </w:pPr>
      <w:hyperlink w:anchor="_Toc118103815" w:history="1">
        <w:r w:rsidR="007557FB" w:rsidRPr="00631D02">
          <w:rPr>
            <w:rStyle w:val="Hyperlink"/>
            <w:noProof/>
          </w:rPr>
          <w:t>Table 11: Risk Table</w:t>
        </w:r>
        <w:r w:rsidR="007557FB">
          <w:rPr>
            <w:noProof/>
            <w:webHidden/>
          </w:rPr>
          <w:tab/>
        </w:r>
        <w:r w:rsidR="007557FB">
          <w:rPr>
            <w:noProof/>
            <w:webHidden/>
          </w:rPr>
          <w:fldChar w:fldCharType="begin"/>
        </w:r>
        <w:r w:rsidR="007557FB">
          <w:rPr>
            <w:noProof/>
            <w:webHidden/>
          </w:rPr>
          <w:instrText xml:space="preserve"> PAGEREF _Toc118103815 \h </w:instrText>
        </w:r>
        <w:r w:rsidR="007557FB">
          <w:rPr>
            <w:noProof/>
            <w:webHidden/>
          </w:rPr>
        </w:r>
        <w:r w:rsidR="007557FB">
          <w:rPr>
            <w:noProof/>
            <w:webHidden/>
          </w:rPr>
          <w:fldChar w:fldCharType="separate"/>
        </w:r>
        <w:r w:rsidR="007557FB">
          <w:rPr>
            <w:noProof/>
            <w:webHidden/>
          </w:rPr>
          <w:t>79</w:t>
        </w:r>
        <w:r w:rsidR="007557FB">
          <w:rPr>
            <w:noProof/>
            <w:webHidden/>
          </w:rPr>
          <w:fldChar w:fldCharType="end"/>
        </w:r>
      </w:hyperlink>
    </w:p>
    <w:p w14:paraId="3B340971" w14:textId="6F75E60E" w:rsidR="00C96D48" w:rsidRDefault="000A7637">
      <w:r>
        <w:fldChar w:fldCharType="end"/>
      </w:r>
    </w:p>
    <w:p w14:paraId="2F95E6F7" w14:textId="79BB772F" w:rsidR="007557FB" w:rsidRDefault="009775DA">
      <w:pPr>
        <w:pStyle w:val="TableofFigures"/>
        <w:tabs>
          <w:tab w:val="right" w:leader="dot" w:pos="10194"/>
        </w:tabs>
        <w:rPr>
          <w:rFonts w:eastAsiaTheme="minorEastAsia"/>
          <w:noProof/>
          <w:color w:val="auto"/>
          <w:sz w:val="22"/>
          <w:szCs w:val="22"/>
          <w:lang w:eastAsia="en-AU"/>
        </w:rPr>
      </w:pPr>
      <w:r>
        <w:fldChar w:fldCharType="begin"/>
      </w:r>
      <w:r>
        <w:instrText xml:space="preserve"> TOC \h \z \c "Figure" </w:instrText>
      </w:r>
      <w:r>
        <w:fldChar w:fldCharType="separate"/>
      </w:r>
      <w:hyperlink w:anchor="_Toc118103816" w:history="1">
        <w:r w:rsidR="007557FB" w:rsidRPr="004F210C">
          <w:rPr>
            <w:rStyle w:val="Hyperlink"/>
            <w:noProof/>
          </w:rPr>
          <w:t>Figure 1: Income Management</w:t>
        </w:r>
        <w:r w:rsidR="007557FB">
          <w:rPr>
            <w:noProof/>
            <w:webHidden/>
          </w:rPr>
          <w:tab/>
        </w:r>
        <w:r w:rsidR="007557FB">
          <w:rPr>
            <w:noProof/>
            <w:webHidden/>
          </w:rPr>
          <w:fldChar w:fldCharType="begin"/>
        </w:r>
        <w:r w:rsidR="007557FB">
          <w:rPr>
            <w:noProof/>
            <w:webHidden/>
          </w:rPr>
          <w:instrText xml:space="preserve"> PAGEREF _Toc118103816 \h </w:instrText>
        </w:r>
        <w:r w:rsidR="007557FB">
          <w:rPr>
            <w:noProof/>
            <w:webHidden/>
          </w:rPr>
        </w:r>
        <w:r w:rsidR="007557FB">
          <w:rPr>
            <w:noProof/>
            <w:webHidden/>
          </w:rPr>
          <w:fldChar w:fldCharType="separate"/>
        </w:r>
        <w:r w:rsidR="007557FB">
          <w:rPr>
            <w:noProof/>
            <w:webHidden/>
          </w:rPr>
          <w:t>8</w:t>
        </w:r>
        <w:r w:rsidR="007557FB">
          <w:rPr>
            <w:noProof/>
            <w:webHidden/>
          </w:rPr>
          <w:fldChar w:fldCharType="end"/>
        </w:r>
      </w:hyperlink>
    </w:p>
    <w:p w14:paraId="24CA6AF9" w14:textId="208E410B" w:rsidR="007557FB" w:rsidRDefault="00BF33E7">
      <w:pPr>
        <w:pStyle w:val="TableofFigures"/>
        <w:tabs>
          <w:tab w:val="right" w:leader="dot" w:pos="10194"/>
        </w:tabs>
        <w:rPr>
          <w:rFonts w:eastAsiaTheme="minorEastAsia"/>
          <w:noProof/>
          <w:color w:val="auto"/>
          <w:sz w:val="22"/>
          <w:szCs w:val="22"/>
          <w:lang w:eastAsia="en-AU"/>
        </w:rPr>
      </w:pPr>
      <w:hyperlink w:anchor="_Toc118103817" w:history="1">
        <w:r w:rsidR="007557FB" w:rsidRPr="004F210C">
          <w:rPr>
            <w:rStyle w:val="Hyperlink"/>
            <w:noProof/>
          </w:rPr>
          <w:t>Figure 2: Cashless Debit Card</w:t>
        </w:r>
        <w:r w:rsidR="007557FB">
          <w:rPr>
            <w:noProof/>
            <w:webHidden/>
          </w:rPr>
          <w:tab/>
        </w:r>
        <w:r w:rsidR="007557FB">
          <w:rPr>
            <w:noProof/>
            <w:webHidden/>
          </w:rPr>
          <w:fldChar w:fldCharType="begin"/>
        </w:r>
        <w:r w:rsidR="007557FB">
          <w:rPr>
            <w:noProof/>
            <w:webHidden/>
          </w:rPr>
          <w:instrText xml:space="preserve"> PAGEREF _Toc118103817 \h </w:instrText>
        </w:r>
        <w:r w:rsidR="007557FB">
          <w:rPr>
            <w:noProof/>
            <w:webHidden/>
          </w:rPr>
        </w:r>
        <w:r w:rsidR="007557FB">
          <w:rPr>
            <w:noProof/>
            <w:webHidden/>
          </w:rPr>
          <w:fldChar w:fldCharType="separate"/>
        </w:r>
        <w:r w:rsidR="007557FB">
          <w:rPr>
            <w:noProof/>
            <w:webHidden/>
          </w:rPr>
          <w:t>11</w:t>
        </w:r>
        <w:r w:rsidR="007557FB">
          <w:rPr>
            <w:noProof/>
            <w:webHidden/>
          </w:rPr>
          <w:fldChar w:fldCharType="end"/>
        </w:r>
      </w:hyperlink>
    </w:p>
    <w:p w14:paraId="047692C0" w14:textId="0669F9E9" w:rsidR="007557FB" w:rsidRDefault="00BF33E7">
      <w:pPr>
        <w:pStyle w:val="TableofFigures"/>
        <w:tabs>
          <w:tab w:val="right" w:leader="dot" w:pos="10194"/>
        </w:tabs>
        <w:rPr>
          <w:rFonts w:eastAsiaTheme="minorEastAsia"/>
          <w:noProof/>
          <w:color w:val="auto"/>
          <w:sz w:val="22"/>
          <w:szCs w:val="22"/>
          <w:lang w:eastAsia="en-AU"/>
        </w:rPr>
      </w:pPr>
      <w:hyperlink w:anchor="_Toc118103818" w:history="1">
        <w:r w:rsidR="007557FB" w:rsidRPr="004F210C">
          <w:rPr>
            <w:rStyle w:val="Hyperlink"/>
            <w:noProof/>
          </w:rPr>
          <w:t>Figure 3: Income Management how it operates in practice</w:t>
        </w:r>
        <w:r w:rsidR="007557FB">
          <w:rPr>
            <w:noProof/>
            <w:webHidden/>
          </w:rPr>
          <w:tab/>
        </w:r>
        <w:r w:rsidR="007557FB">
          <w:rPr>
            <w:noProof/>
            <w:webHidden/>
          </w:rPr>
          <w:fldChar w:fldCharType="begin"/>
        </w:r>
        <w:r w:rsidR="007557FB">
          <w:rPr>
            <w:noProof/>
            <w:webHidden/>
          </w:rPr>
          <w:instrText xml:space="preserve"> PAGEREF _Toc118103818 \h </w:instrText>
        </w:r>
        <w:r w:rsidR="007557FB">
          <w:rPr>
            <w:noProof/>
            <w:webHidden/>
          </w:rPr>
        </w:r>
        <w:r w:rsidR="007557FB">
          <w:rPr>
            <w:noProof/>
            <w:webHidden/>
          </w:rPr>
          <w:fldChar w:fldCharType="separate"/>
        </w:r>
        <w:r w:rsidR="007557FB">
          <w:rPr>
            <w:noProof/>
            <w:webHidden/>
          </w:rPr>
          <w:t>24</w:t>
        </w:r>
        <w:r w:rsidR="007557FB">
          <w:rPr>
            <w:noProof/>
            <w:webHidden/>
          </w:rPr>
          <w:fldChar w:fldCharType="end"/>
        </w:r>
      </w:hyperlink>
    </w:p>
    <w:p w14:paraId="53E87D61" w14:textId="39AB3366" w:rsidR="007557FB" w:rsidRDefault="00BF33E7">
      <w:pPr>
        <w:pStyle w:val="TableofFigures"/>
        <w:tabs>
          <w:tab w:val="right" w:leader="dot" w:pos="10194"/>
        </w:tabs>
        <w:rPr>
          <w:rFonts w:eastAsiaTheme="minorEastAsia"/>
          <w:noProof/>
          <w:color w:val="auto"/>
          <w:sz w:val="22"/>
          <w:szCs w:val="22"/>
          <w:lang w:eastAsia="en-AU"/>
        </w:rPr>
      </w:pPr>
      <w:hyperlink w:anchor="_Toc118103819" w:history="1">
        <w:r w:rsidR="007557FB" w:rsidRPr="004F210C">
          <w:rPr>
            <w:rStyle w:val="Hyperlink"/>
            <w:noProof/>
          </w:rPr>
          <w:t>Figure 4: How CDC operates in practice</w:t>
        </w:r>
        <w:r w:rsidR="007557FB">
          <w:rPr>
            <w:noProof/>
            <w:webHidden/>
          </w:rPr>
          <w:tab/>
        </w:r>
        <w:r w:rsidR="007557FB">
          <w:rPr>
            <w:noProof/>
            <w:webHidden/>
          </w:rPr>
          <w:fldChar w:fldCharType="begin"/>
        </w:r>
        <w:r w:rsidR="007557FB">
          <w:rPr>
            <w:noProof/>
            <w:webHidden/>
          </w:rPr>
          <w:instrText xml:space="preserve"> PAGEREF _Toc118103819 \h </w:instrText>
        </w:r>
        <w:r w:rsidR="007557FB">
          <w:rPr>
            <w:noProof/>
            <w:webHidden/>
          </w:rPr>
        </w:r>
        <w:r w:rsidR="007557FB">
          <w:rPr>
            <w:noProof/>
            <w:webHidden/>
          </w:rPr>
          <w:fldChar w:fldCharType="separate"/>
        </w:r>
        <w:r w:rsidR="007557FB">
          <w:rPr>
            <w:noProof/>
            <w:webHidden/>
          </w:rPr>
          <w:t>24</w:t>
        </w:r>
        <w:r w:rsidR="007557FB">
          <w:rPr>
            <w:noProof/>
            <w:webHidden/>
          </w:rPr>
          <w:fldChar w:fldCharType="end"/>
        </w:r>
      </w:hyperlink>
    </w:p>
    <w:p w14:paraId="191EE3D5" w14:textId="0B24395B" w:rsidR="007557FB" w:rsidRDefault="00BF33E7">
      <w:pPr>
        <w:pStyle w:val="TableofFigures"/>
        <w:tabs>
          <w:tab w:val="right" w:leader="dot" w:pos="10194"/>
        </w:tabs>
        <w:rPr>
          <w:rFonts w:eastAsiaTheme="minorEastAsia"/>
          <w:noProof/>
          <w:color w:val="auto"/>
          <w:sz w:val="22"/>
          <w:szCs w:val="22"/>
          <w:lang w:eastAsia="en-AU"/>
        </w:rPr>
      </w:pPr>
      <w:hyperlink w:anchor="_Toc118103820" w:history="1">
        <w:r w:rsidR="007557FB" w:rsidRPr="004F210C">
          <w:rPr>
            <w:rStyle w:val="Hyperlink"/>
            <w:noProof/>
          </w:rPr>
          <w:t>Figure 5: Contemporary card Merchant onboarding</w:t>
        </w:r>
        <w:r w:rsidR="007557FB">
          <w:rPr>
            <w:noProof/>
            <w:webHidden/>
          </w:rPr>
          <w:tab/>
        </w:r>
        <w:r w:rsidR="007557FB">
          <w:rPr>
            <w:noProof/>
            <w:webHidden/>
          </w:rPr>
          <w:fldChar w:fldCharType="begin"/>
        </w:r>
        <w:r w:rsidR="007557FB">
          <w:rPr>
            <w:noProof/>
            <w:webHidden/>
          </w:rPr>
          <w:instrText xml:space="preserve"> PAGEREF _Toc118103820 \h </w:instrText>
        </w:r>
        <w:r w:rsidR="007557FB">
          <w:rPr>
            <w:noProof/>
            <w:webHidden/>
          </w:rPr>
        </w:r>
        <w:r w:rsidR="007557FB">
          <w:rPr>
            <w:noProof/>
            <w:webHidden/>
          </w:rPr>
          <w:fldChar w:fldCharType="separate"/>
        </w:r>
        <w:r w:rsidR="007557FB">
          <w:rPr>
            <w:noProof/>
            <w:webHidden/>
          </w:rPr>
          <w:t>28</w:t>
        </w:r>
        <w:r w:rsidR="007557FB">
          <w:rPr>
            <w:noProof/>
            <w:webHidden/>
          </w:rPr>
          <w:fldChar w:fldCharType="end"/>
        </w:r>
      </w:hyperlink>
    </w:p>
    <w:p w14:paraId="511723F1" w14:textId="17230E62" w:rsidR="007557FB" w:rsidRDefault="00BF33E7">
      <w:pPr>
        <w:pStyle w:val="TableofFigures"/>
        <w:tabs>
          <w:tab w:val="right" w:leader="dot" w:pos="10194"/>
        </w:tabs>
        <w:rPr>
          <w:rFonts w:eastAsiaTheme="minorEastAsia"/>
          <w:noProof/>
          <w:color w:val="auto"/>
          <w:sz w:val="22"/>
          <w:szCs w:val="22"/>
          <w:lang w:eastAsia="en-AU"/>
        </w:rPr>
      </w:pPr>
      <w:hyperlink w:anchor="_Toc118103821" w:history="1">
        <w:r w:rsidR="007557FB" w:rsidRPr="004F210C">
          <w:rPr>
            <w:rStyle w:val="Hyperlink"/>
            <w:noProof/>
          </w:rPr>
          <w:t>Figure 6: Summary of participant transition off CDC and IM programs</w:t>
        </w:r>
        <w:r w:rsidR="007557FB">
          <w:rPr>
            <w:noProof/>
            <w:webHidden/>
          </w:rPr>
          <w:tab/>
        </w:r>
        <w:r w:rsidR="007557FB">
          <w:rPr>
            <w:noProof/>
            <w:webHidden/>
          </w:rPr>
          <w:fldChar w:fldCharType="begin"/>
        </w:r>
        <w:r w:rsidR="007557FB">
          <w:rPr>
            <w:noProof/>
            <w:webHidden/>
          </w:rPr>
          <w:instrText xml:space="preserve"> PAGEREF _Toc118103821 \h </w:instrText>
        </w:r>
        <w:r w:rsidR="007557FB">
          <w:rPr>
            <w:noProof/>
            <w:webHidden/>
          </w:rPr>
        </w:r>
        <w:r w:rsidR="007557FB">
          <w:rPr>
            <w:noProof/>
            <w:webHidden/>
          </w:rPr>
          <w:fldChar w:fldCharType="separate"/>
        </w:r>
        <w:r w:rsidR="007557FB">
          <w:rPr>
            <w:noProof/>
            <w:webHidden/>
          </w:rPr>
          <w:t>29</w:t>
        </w:r>
        <w:r w:rsidR="007557FB">
          <w:rPr>
            <w:noProof/>
            <w:webHidden/>
          </w:rPr>
          <w:fldChar w:fldCharType="end"/>
        </w:r>
      </w:hyperlink>
    </w:p>
    <w:p w14:paraId="7FCAABEA" w14:textId="6EBE6335" w:rsidR="007557FB" w:rsidRDefault="00BF33E7">
      <w:pPr>
        <w:pStyle w:val="TableofFigures"/>
        <w:tabs>
          <w:tab w:val="right" w:leader="dot" w:pos="10194"/>
        </w:tabs>
        <w:rPr>
          <w:rFonts w:eastAsiaTheme="minorEastAsia"/>
          <w:noProof/>
          <w:color w:val="auto"/>
          <w:sz w:val="22"/>
          <w:szCs w:val="22"/>
          <w:lang w:eastAsia="en-AU"/>
        </w:rPr>
      </w:pPr>
      <w:hyperlink w:anchor="_Toc118103822" w:history="1">
        <w:r w:rsidR="007557FB" w:rsidRPr="004F210C">
          <w:rPr>
            <w:rStyle w:val="Hyperlink"/>
            <w:noProof/>
          </w:rPr>
          <w:t>Figure 7: Summary of participants under Community led models</w:t>
        </w:r>
        <w:r w:rsidR="007557FB">
          <w:rPr>
            <w:noProof/>
            <w:webHidden/>
          </w:rPr>
          <w:tab/>
        </w:r>
        <w:r w:rsidR="007557FB">
          <w:rPr>
            <w:noProof/>
            <w:webHidden/>
          </w:rPr>
          <w:fldChar w:fldCharType="begin"/>
        </w:r>
        <w:r w:rsidR="007557FB">
          <w:rPr>
            <w:noProof/>
            <w:webHidden/>
          </w:rPr>
          <w:instrText xml:space="preserve"> PAGEREF _Toc118103822 \h </w:instrText>
        </w:r>
        <w:r w:rsidR="007557FB">
          <w:rPr>
            <w:noProof/>
            <w:webHidden/>
          </w:rPr>
        </w:r>
        <w:r w:rsidR="007557FB">
          <w:rPr>
            <w:noProof/>
            <w:webHidden/>
          </w:rPr>
          <w:fldChar w:fldCharType="separate"/>
        </w:r>
        <w:r w:rsidR="007557FB">
          <w:rPr>
            <w:noProof/>
            <w:webHidden/>
          </w:rPr>
          <w:t>29</w:t>
        </w:r>
        <w:r w:rsidR="007557FB">
          <w:rPr>
            <w:noProof/>
            <w:webHidden/>
          </w:rPr>
          <w:fldChar w:fldCharType="end"/>
        </w:r>
      </w:hyperlink>
    </w:p>
    <w:p w14:paraId="1D322845" w14:textId="7DA3BAC8" w:rsidR="007557FB" w:rsidRDefault="00BF33E7">
      <w:pPr>
        <w:pStyle w:val="TableofFigures"/>
        <w:tabs>
          <w:tab w:val="right" w:leader="dot" w:pos="10194"/>
        </w:tabs>
        <w:rPr>
          <w:rFonts w:eastAsiaTheme="minorEastAsia"/>
          <w:noProof/>
          <w:color w:val="auto"/>
          <w:sz w:val="22"/>
          <w:szCs w:val="22"/>
          <w:lang w:eastAsia="en-AU"/>
        </w:rPr>
      </w:pPr>
      <w:hyperlink w:anchor="_Toc118103823" w:history="1">
        <w:r w:rsidR="007557FB" w:rsidRPr="004F210C">
          <w:rPr>
            <w:rStyle w:val="Hyperlink"/>
            <w:noProof/>
          </w:rPr>
          <w:t>Figure 8: Summary of participant expected transition off CDC program NT</w:t>
        </w:r>
        <w:r w:rsidR="007557FB">
          <w:rPr>
            <w:noProof/>
            <w:webHidden/>
          </w:rPr>
          <w:tab/>
        </w:r>
        <w:r w:rsidR="007557FB">
          <w:rPr>
            <w:noProof/>
            <w:webHidden/>
          </w:rPr>
          <w:fldChar w:fldCharType="begin"/>
        </w:r>
        <w:r w:rsidR="007557FB">
          <w:rPr>
            <w:noProof/>
            <w:webHidden/>
          </w:rPr>
          <w:instrText xml:space="preserve"> PAGEREF _Toc118103823 \h </w:instrText>
        </w:r>
        <w:r w:rsidR="007557FB">
          <w:rPr>
            <w:noProof/>
            <w:webHidden/>
          </w:rPr>
        </w:r>
        <w:r w:rsidR="007557FB">
          <w:rPr>
            <w:noProof/>
            <w:webHidden/>
          </w:rPr>
          <w:fldChar w:fldCharType="separate"/>
        </w:r>
        <w:r w:rsidR="007557FB">
          <w:rPr>
            <w:noProof/>
            <w:webHidden/>
          </w:rPr>
          <w:t>30</w:t>
        </w:r>
        <w:r w:rsidR="007557FB">
          <w:rPr>
            <w:noProof/>
            <w:webHidden/>
          </w:rPr>
          <w:fldChar w:fldCharType="end"/>
        </w:r>
      </w:hyperlink>
    </w:p>
    <w:p w14:paraId="283FA713" w14:textId="4813F2AC" w:rsidR="007557FB" w:rsidRDefault="00BF33E7">
      <w:pPr>
        <w:pStyle w:val="TableofFigures"/>
        <w:tabs>
          <w:tab w:val="right" w:leader="dot" w:pos="10194"/>
        </w:tabs>
        <w:rPr>
          <w:rFonts w:eastAsiaTheme="minorEastAsia"/>
          <w:noProof/>
          <w:color w:val="auto"/>
          <w:sz w:val="22"/>
          <w:szCs w:val="22"/>
          <w:lang w:eastAsia="en-AU"/>
        </w:rPr>
      </w:pPr>
      <w:hyperlink w:anchor="_Toc118103824" w:history="1">
        <w:r w:rsidR="007557FB" w:rsidRPr="004F210C">
          <w:rPr>
            <w:rStyle w:val="Hyperlink"/>
            <w:noProof/>
          </w:rPr>
          <w:t>Figure 9: Summary of merchants requirements</w:t>
        </w:r>
        <w:r w:rsidR="007557FB">
          <w:rPr>
            <w:noProof/>
            <w:webHidden/>
          </w:rPr>
          <w:tab/>
        </w:r>
        <w:r w:rsidR="007557FB">
          <w:rPr>
            <w:noProof/>
            <w:webHidden/>
          </w:rPr>
          <w:fldChar w:fldCharType="begin"/>
        </w:r>
        <w:r w:rsidR="007557FB">
          <w:rPr>
            <w:noProof/>
            <w:webHidden/>
          </w:rPr>
          <w:instrText xml:space="preserve"> PAGEREF _Toc118103824 \h </w:instrText>
        </w:r>
        <w:r w:rsidR="007557FB">
          <w:rPr>
            <w:noProof/>
            <w:webHidden/>
          </w:rPr>
        </w:r>
        <w:r w:rsidR="007557FB">
          <w:rPr>
            <w:noProof/>
            <w:webHidden/>
          </w:rPr>
          <w:fldChar w:fldCharType="separate"/>
        </w:r>
        <w:r w:rsidR="007557FB">
          <w:rPr>
            <w:noProof/>
            <w:webHidden/>
          </w:rPr>
          <w:t>58</w:t>
        </w:r>
        <w:r w:rsidR="007557FB">
          <w:rPr>
            <w:noProof/>
            <w:webHidden/>
          </w:rPr>
          <w:fldChar w:fldCharType="end"/>
        </w:r>
      </w:hyperlink>
    </w:p>
    <w:p w14:paraId="76DE4E67" w14:textId="402A3DE9" w:rsidR="00D705DA" w:rsidRDefault="009775DA">
      <w:pPr>
        <w:rPr>
          <w:rFonts w:ascii="Times New Roman" w:eastAsia="Times New Roman" w:hAnsi="Times New Roman" w:cs="Times New Roman"/>
          <w:color w:val="auto"/>
          <w:sz w:val="24"/>
          <w:szCs w:val="24"/>
          <w:lang w:eastAsia="en-AU"/>
        </w:rPr>
      </w:pPr>
      <w:r>
        <w:fldChar w:fldCharType="end"/>
      </w:r>
      <w:r w:rsidR="00D705DA">
        <w:br w:type="page"/>
      </w:r>
    </w:p>
    <w:p w14:paraId="4972C4B9" w14:textId="77777777" w:rsidR="00EE1C7D" w:rsidRPr="00BD7A0E" w:rsidRDefault="00EE1C7D" w:rsidP="00BD7A0E">
      <w:pPr>
        <w:pStyle w:val="Title"/>
      </w:pPr>
      <w:bookmarkStart w:id="1" w:name="_Toc84009788"/>
      <w:bookmarkStart w:id="2" w:name="_Toc89955676"/>
      <w:bookmarkStart w:id="3" w:name="_Toc108008469"/>
      <w:bookmarkStart w:id="4" w:name="_Toc118103729"/>
      <w:r w:rsidRPr="00BD7A0E">
        <w:t>Introduction</w:t>
      </w:r>
      <w:bookmarkEnd w:id="1"/>
      <w:bookmarkEnd w:id="2"/>
      <w:bookmarkEnd w:id="3"/>
      <w:bookmarkEnd w:id="4"/>
    </w:p>
    <w:p w14:paraId="52F1B80F" w14:textId="77777777" w:rsidR="00716A5F" w:rsidRDefault="008F2F60" w:rsidP="00DC7947">
      <w:pPr>
        <w:pStyle w:val="Heading1"/>
      </w:pPr>
      <w:bookmarkStart w:id="5" w:name="_Toc108008470"/>
      <w:bookmarkStart w:id="6" w:name="_Toc118103730"/>
      <w:r>
        <w:t>Purpose</w:t>
      </w:r>
      <w:bookmarkEnd w:id="5"/>
      <w:bookmarkEnd w:id="6"/>
    </w:p>
    <w:p w14:paraId="1E2F02E6" w14:textId="77777777" w:rsidR="00540FDF" w:rsidRDefault="00585A4A" w:rsidP="00540FDF">
      <w:r>
        <w:t>The</w:t>
      </w:r>
      <w:r w:rsidR="00DE03BB">
        <w:t xml:space="preserve"> </w:t>
      </w:r>
      <w:r w:rsidR="009B0483">
        <w:t xml:space="preserve">Australian </w:t>
      </w:r>
      <w:r w:rsidR="00DE03BB">
        <w:t>Government</w:t>
      </w:r>
      <w:r>
        <w:t xml:space="preserve"> </w:t>
      </w:r>
      <w:r w:rsidR="009B0483">
        <w:t xml:space="preserve">(the Government) </w:t>
      </w:r>
      <w:r>
        <w:t>has</w:t>
      </w:r>
      <w:r w:rsidR="00DE03BB">
        <w:t xml:space="preserve"> committed to abolish the Cashless Debit Card (CDC) program</w:t>
      </w:r>
      <w:r w:rsidR="00302B79">
        <w:t xml:space="preserve"> and </w:t>
      </w:r>
      <w:r w:rsidR="00B948E3">
        <w:t>reform Income Management (IM)</w:t>
      </w:r>
      <w:r w:rsidR="00DB31B6">
        <w:t xml:space="preserve">. </w:t>
      </w:r>
      <w:r w:rsidR="00B948E3">
        <w:t>T</w:t>
      </w:r>
      <w:r w:rsidR="00AF6A43">
        <w:t>he G</w:t>
      </w:r>
      <w:r w:rsidR="00540FDF">
        <w:t xml:space="preserve">overnment </w:t>
      </w:r>
      <w:r w:rsidR="00B948E3">
        <w:t xml:space="preserve">will </w:t>
      </w:r>
      <w:r w:rsidR="00540FDF">
        <w:t xml:space="preserve">work with communities </w:t>
      </w:r>
      <w:r w:rsidR="00B948E3">
        <w:t>on alternatives to the</w:t>
      </w:r>
      <w:r w:rsidR="00AF6A43">
        <w:t xml:space="preserve"> CDC and IM programs (the programs) </w:t>
      </w:r>
      <w:r w:rsidR="00540FDF">
        <w:t>to address the issues in communities</w:t>
      </w:r>
      <w:r w:rsidR="00EC3842">
        <w:t xml:space="preserve"> </w:t>
      </w:r>
      <w:r w:rsidR="00DB31B6">
        <w:t>moving forward.</w:t>
      </w:r>
      <w:r w:rsidR="00EC3842">
        <w:t xml:space="preserve"> </w:t>
      </w:r>
      <w:r w:rsidR="00DB31B6">
        <w:t xml:space="preserve">Reforming the programs </w:t>
      </w:r>
      <w:r w:rsidR="00EC3842">
        <w:t>do</w:t>
      </w:r>
      <w:r w:rsidR="009D3F29">
        <w:t xml:space="preserve">es not change the </w:t>
      </w:r>
      <w:r w:rsidR="00DB31B6">
        <w:t>amount</w:t>
      </w:r>
      <w:r w:rsidR="009D3F29">
        <w:t xml:space="preserve"> of income support current participants receive rather it will</w:t>
      </w:r>
      <w:r w:rsidR="009D3F29">
        <w:rPr>
          <w:rFonts w:cstheme="minorHAnsi"/>
        </w:rPr>
        <w:t xml:space="preserve"> return the ability for people to determine how and where they spend their money.</w:t>
      </w:r>
    </w:p>
    <w:p w14:paraId="0C8EF72B" w14:textId="6EFFFE46" w:rsidR="00B948E3" w:rsidRDefault="008F2F60" w:rsidP="00DE03BB">
      <w:r>
        <w:t xml:space="preserve">The Government will deliver a </w:t>
      </w:r>
      <w:r w:rsidRPr="00A073CF">
        <w:t>staged approach</w:t>
      </w:r>
      <w:r>
        <w:t xml:space="preserve"> with the first stage being </w:t>
      </w:r>
      <w:r w:rsidR="00B948E3">
        <w:t xml:space="preserve">exiting people off the CDC </w:t>
      </w:r>
      <w:r w:rsidR="00D62DE8">
        <w:t xml:space="preserve">program </w:t>
      </w:r>
      <w:r w:rsidR="00B948E3">
        <w:t xml:space="preserve">shortly after the passage of legislation. Participants will be given an alternative to quarantine </w:t>
      </w:r>
      <w:r w:rsidR="00AF6A43">
        <w:t xml:space="preserve">their </w:t>
      </w:r>
      <w:r w:rsidR="00FD2748">
        <w:t>income support</w:t>
      </w:r>
      <w:r w:rsidR="00B948E3">
        <w:t xml:space="preserve"> </w:t>
      </w:r>
      <w:r w:rsidR="00AF6A43">
        <w:t xml:space="preserve">payments </w:t>
      </w:r>
      <w:r w:rsidR="00B948E3">
        <w:t xml:space="preserve">for essential items if that is what they want to do. Reforms </w:t>
      </w:r>
      <w:r>
        <w:t>to IM</w:t>
      </w:r>
      <w:r w:rsidR="00B948E3">
        <w:t xml:space="preserve"> </w:t>
      </w:r>
      <w:r w:rsidR="00AF6A43">
        <w:t xml:space="preserve">will follow with </w:t>
      </w:r>
      <w:r w:rsidR="00CE4BAD">
        <w:t xml:space="preserve">card </w:t>
      </w:r>
      <w:r w:rsidR="00AF6A43">
        <w:t>technology u</w:t>
      </w:r>
      <w:r w:rsidR="00B948E3">
        <w:t>p</w:t>
      </w:r>
      <w:r w:rsidR="00FD2748">
        <w:t>d</w:t>
      </w:r>
      <w:r w:rsidR="00B948E3">
        <w:t xml:space="preserve">ates to provide more functions such as tap and go and </w:t>
      </w:r>
      <w:r w:rsidR="0066120E">
        <w:t>BPAY</w:t>
      </w:r>
      <w:r w:rsidR="00B948E3">
        <w:t xml:space="preserve"> </w:t>
      </w:r>
      <w:r w:rsidR="00CE4BAD">
        <w:t xml:space="preserve">which </w:t>
      </w:r>
      <w:r w:rsidR="00B948E3">
        <w:t xml:space="preserve">will provide a better service to those who remain </w:t>
      </w:r>
      <w:r w:rsidR="00A97EFB">
        <w:t>o</w:t>
      </w:r>
      <w:r w:rsidR="00BD6304">
        <w:t>n IM</w:t>
      </w:r>
      <w:r w:rsidR="00B948E3">
        <w:t>.</w:t>
      </w:r>
    </w:p>
    <w:p w14:paraId="63ACD648" w14:textId="77777777" w:rsidR="00DE03BB" w:rsidRDefault="00F146AD" w:rsidP="00DE03BB">
      <w:r>
        <w:t>S</w:t>
      </w:r>
      <w:r w:rsidR="00B948E3">
        <w:t>upport services will assist people transitioning of</w:t>
      </w:r>
      <w:r w:rsidR="00A97EFB">
        <w:t>f</w:t>
      </w:r>
      <w:r w:rsidR="00B948E3">
        <w:t xml:space="preserve"> the programs</w:t>
      </w:r>
      <w:r w:rsidR="00F70119">
        <w:t xml:space="preserve"> and into the future</w:t>
      </w:r>
      <w:r w:rsidR="00B948E3">
        <w:t>.</w:t>
      </w:r>
    </w:p>
    <w:p w14:paraId="78A561B1" w14:textId="77777777" w:rsidR="008F2F60" w:rsidRPr="00DC7947" w:rsidRDefault="008F2F60" w:rsidP="00DC7947">
      <w:pPr>
        <w:pStyle w:val="Heading2"/>
      </w:pPr>
      <w:bookmarkStart w:id="7" w:name="_Toc108008471"/>
      <w:bookmarkStart w:id="8" w:name="_Toc118103731"/>
      <w:r w:rsidRPr="00DC7947">
        <w:t>Executive Summary</w:t>
      </w:r>
      <w:bookmarkEnd w:id="7"/>
      <w:bookmarkEnd w:id="8"/>
    </w:p>
    <w:p w14:paraId="7BA1C5D3" w14:textId="77777777" w:rsidR="00DE03BB" w:rsidRDefault="00DE03BB" w:rsidP="00DE03BB">
      <w:r>
        <w:t>Currently, there are two programs in operation</w:t>
      </w:r>
      <w:r w:rsidR="00257385">
        <w:t xml:space="preserve"> that restrict what people can purchase with </w:t>
      </w:r>
      <w:r w:rsidR="00F70119">
        <w:t xml:space="preserve">their </w:t>
      </w:r>
      <w:r w:rsidR="00257385">
        <w:t>welfare</w:t>
      </w:r>
      <w:r w:rsidR="00F70119">
        <w:t xml:space="preserve"> payments</w:t>
      </w:r>
      <w:r w:rsidR="00506C80">
        <w:t xml:space="preserve">. These programs are </w:t>
      </w:r>
      <w:r>
        <w:t xml:space="preserve">IM </w:t>
      </w:r>
      <w:r w:rsidR="00506C80">
        <w:t xml:space="preserve">which was </w:t>
      </w:r>
      <w:r>
        <w:t xml:space="preserve">established in 2007 and the CDC program </w:t>
      </w:r>
      <w:r w:rsidR="00506C80">
        <w:t xml:space="preserve">which was </w:t>
      </w:r>
      <w:r>
        <w:t>established in 2016. These programs run concurrently acr</w:t>
      </w:r>
      <w:r w:rsidR="00755E7E">
        <w:t>oss several locations</w:t>
      </w:r>
      <w:r w:rsidR="00506C80">
        <w:t xml:space="preserve"> in Australia</w:t>
      </w:r>
      <w:r>
        <w:t xml:space="preserve">. Both </w:t>
      </w:r>
      <w:r w:rsidR="00506C80">
        <w:t>CDC</w:t>
      </w:r>
      <w:r>
        <w:t xml:space="preserve"> and </w:t>
      </w:r>
      <w:r w:rsidR="00506C80">
        <w:t xml:space="preserve">IM </w:t>
      </w:r>
      <w:r>
        <w:t xml:space="preserve">have </w:t>
      </w:r>
      <w:r w:rsidR="00755E7E">
        <w:t xml:space="preserve">an </w:t>
      </w:r>
      <w:r>
        <w:t xml:space="preserve">objective to restrict the purchase of items such as alcohol and gambling products so participants </w:t>
      </w:r>
      <w:r w:rsidR="00585A4A">
        <w:t xml:space="preserve">prioritise expenditure on </w:t>
      </w:r>
      <w:r>
        <w:t>essential expenses such as rent, food and</w:t>
      </w:r>
      <w:r w:rsidR="00E47883">
        <w:t xml:space="preserve"> utilities.</w:t>
      </w:r>
    </w:p>
    <w:p w14:paraId="082F19AE" w14:textId="77777777" w:rsidR="00DE03BB" w:rsidRDefault="00DE03BB" w:rsidP="00DE03BB">
      <w:r>
        <w:t xml:space="preserve">Since the </w:t>
      </w:r>
      <w:r w:rsidR="007B4425">
        <w:t xml:space="preserve">CDC </w:t>
      </w:r>
      <w:r>
        <w:t>program inception, the policy landscape has changed considerably</w:t>
      </w:r>
      <w:r w:rsidR="00506C80">
        <w:t xml:space="preserve"> in Australia</w:t>
      </w:r>
      <w:r>
        <w:t xml:space="preserve">. Frameworks established between the Commonwealth and the States and Territory governments have seen the development of </w:t>
      </w:r>
      <w:r w:rsidR="00585A4A">
        <w:t xml:space="preserve">new national and </w:t>
      </w:r>
      <w:r>
        <w:t xml:space="preserve">community level initiatives to address the effects of drug and alcohol misuse </w:t>
      </w:r>
      <w:r w:rsidRPr="00582BBA">
        <w:t>and reduc</w:t>
      </w:r>
      <w:r>
        <w:t>e</w:t>
      </w:r>
      <w:r w:rsidRPr="00582BBA">
        <w:t xml:space="preserve"> domestic, family and sexual violence (DFSV)</w:t>
      </w:r>
      <w:r w:rsidR="00F70119">
        <w:t>.</w:t>
      </w:r>
      <w:r w:rsidRPr="00582BBA">
        <w:t xml:space="preserve"> </w:t>
      </w:r>
      <w:r w:rsidR="00506C80">
        <w:t>The Commonwealth and State governments</w:t>
      </w:r>
      <w:r w:rsidR="00203A1A">
        <w:t xml:space="preserve"> have also entered into a National Partnership agreement with the Coalition of Peaks on Closing the Gap.</w:t>
      </w:r>
    </w:p>
    <w:p w14:paraId="11F8DC97" w14:textId="77777777" w:rsidR="00DE03BB" w:rsidRDefault="00E55872" w:rsidP="00DE03BB">
      <w:r>
        <w:t>B</w:t>
      </w:r>
      <w:r w:rsidR="00DE03BB">
        <w:t>oth programs have undergone several evaluations to monitor and evaluate the programs’ successes and shortfalls. These evaluations have established that</w:t>
      </w:r>
      <w:r w:rsidR="007B4425">
        <w:t xml:space="preserve"> the CDC </w:t>
      </w:r>
      <w:r w:rsidR="00DE03BB">
        <w:t>program ha</w:t>
      </w:r>
      <w:r w:rsidR="007B4425">
        <w:t>s</w:t>
      </w:r>
      <w:r w:rsidR="00DE03BB">
        <w:t xml:space="preserve"> produced mixed results in achieving </w:t>
      </w:r>
      <w:r w:rsidR="007B4425">
        <w:t xml:space="preserve">its </w:t>
      </w:r>
      <w:r w:rsidR="00DE03BB">
        <w:t xml:space="preserve">intended objectives. The recent audit report of the </w:t>
      </w:r>
      <w:r w:rsidR="00DE03BB" w:rsidRPr="00EE1C7D">
        <w:rPr>
          <w:i/>
        </w:rPr>
        <w:t>Cashless Debit Card by the Australian National Audit Office (ANAO)</w:t>
      </w:r>
      <w:r w:rsidR="00DE03BB">
        <w:t xml:space="preserve"> (published 2022) highlights </w:t>
      </w:r>
      <w:r>
        <w:t xml:space="preserve">a </w:t>
      </w:r>
      <w:r w:rsidR="00755E7E">
        <w:t xml:space="preserve">lack of </w:t>
      </w:r>
      <w:r w:rsidR="00F70119">
        <w:t xml:space="preserve">available </w:t>
      </w:r>
      <w:r w:rsidR="00755E7E">
        <w:t xml:space="preserve">data </w:t>
      </w:r>
      <w:r>
        <w:t>to c</w:t>
      </w:r>
      <w:r w:rsidR="00755E7E">
        <w:t>onfirm</w:t>
      </w:r>
      <w:r>
        <w:t xml:space="preserve"> that </w:t>
      </w:r>
      <w:r w:rsidR="00755E7E">
        <w:t xml:space="preserve">the CDC </w:t>
      </w:r>
      <w:r w:rsidR="00DE03BB">
        <w:t xml:space="preserve">program </w:t>
      </w:r>
      <w:r>
        <w:t xml:space="preserve">is </w:t>
      </w:r>
      <w:r w:rsidR="00DE03BB">
        <w:t>achiev</w:t>
      </w:r>
      <w:r>
        <w:t>ing</w:t>
      </w:r>
      <w:r w:rsidR="00DE03BB">
        <w:t xml:space="preserve"> </w:t>
      </w:r>
      <w:r w:rsidR="00755E7E">
        <w:t xml:space="preserve">its </w:t>
      </w:r>
      <w:r w:rsidR="00DE03BB">
        <w:t>outcomes</w:t>
      </w:r>
      <w:r w:rsidR="00C91435">
        <w:t xml:space="preserve"> and little evidence to support</w:t>
      </w:r>
      <w:r w:rsidR="00CA2E17">
        <w:t xml:space="preserve"> </w:t>
      </w:r>
      <w:r w:rsidR="00BD7A0E">
        <w:t xml:space="preserve">the continuation of the </w:t>
      </w:r>
      <w:r w:rsidR="00506C80">
        <w:t>program</w:t>
      </w:r>
      <w:r w:rsidR="00BD7A0E">
        <w:t>.</w:t>
      </w:r>
    </w:p>
    <w:p w14:paraId="13333F0F" w14:textId="77777777" w:rsidR="00C91435" w:rsidRDefault="00C91435" w:rsidP="00C91435">
      <w:r>
        <w:t>The Government made a</w:t>
      </w:r>
      <w:r w:rsidR="00585A4A">
        <w:t>n election</w:t>
      </w:r>
      <w:r>
        <w:t xml:space="preserve"> commitment to abolish the </w:t>
      </w:r>
      <w:r w:rsidR="009B0483">
        <w:t xml:space="preserve">CDC program </w:t>
      </w:r>
      <w:r>
        <w:t>and consult with communities about alternative options to support individuals and communities including options fo</w:t>
      </w:r>
      <w:r w:rsidR="00E47883">
        <w:t xml:space="preserve">r voluntary </w:t>
      </w:r>
      <w:r w:rsidR="00596A07">
        <w:t>IM</w:t>
      </w:r>
      <w:r w:rsidR="00E47883">
        <w:t>.</w:t>
      </w:r>
    </w:p>
    <w:p w14:paraId="3006F0C0" w14:textId="77777777" w:rsidR="00C91435" w:rsidRDefault="00C91435" w:rsidP="00C91435">
      <w:r>
        <w:t>In supporting the Government</w:t>
      </w:r>
      <w:r w:rsidR="00203A1A">
        <w:t>’</w:t>
      </w:r>
      <w:r>
        <w:t>s impl</w:t>
      </w:r>
      <w:r w:rsidR="00336503">
        <w:t>ementation</w:t>
      </w:r>
      <w:r>
        <w:t xml:space="preserve"> of this commitment, t</w:t>
      </w:r>
      <w:r w:rsidR="00D42FC6">
        <w:t xml:space="preserve">he </w:t>
      </w:r>
      <w:r w:rsidR="007B4425">
        <w:t>D</w:t>
      </w:r>
      <w:r w:rsidR="00D42FC6">
        <w:t>epartment</w:t>
      </w:r>
      <w:r w:rsidR="007B4425">
        <w:t xml:space="preserve"> of Social Services (the Department)</w:t>
      </w:r>
      <w:r w:rsidR="00D42FC6">
        <w:t xml:space="preserve"> has</w:t>
      </w:r>
      <w:r w:rsidR="00D42FC6" w:rsidRPr="00D42FC6">
        <w:t xml:space="preserve"> </w:t>
      </w:r>
      <w:r w:rsidR="007A099E">
        <w:t>considered 2</w:t>
      </w:r>
      <w:r w:rsidR="00D42FC6">
        <w:t xml:space="preserve"> options regarding the future of welfare quarantining</w:t>
      </w:r>
      <w:r w:rsidR="008D5D6C">
        <w:t>.</w:t>
      </w:r>
    </w:p>
    <w:p w14:paraId="154EC879" w14:textId="77777777" w:rsidR="00D42FC6" w:rsidRDefault="00D42FC6" w:rsidP="00C91435">
      <w:pPr>
        <w:rPr>
          <w:rFonts w:cstheme="minorHAnsi"/>
        </w:rPr>
      </w:pPr>
      <w:r>
        <w:t>The first option</w:t>
      </w:r>
      <w:r w:rsidR="00832CCD">
        <w:t>,</w:t>
      </w:r>
      <w:r>
        <w:t xml:space="preserve"> </w:t>
      </w:r>
      <w:r w:rsidR="00C91435">
        <w:t xml:space="preserve">for purpose of comparison, </w:t>
      </w:r>
      <w:r>
        <w:t>maintain</w:t>
      </w:r>
      <w:r w:rsidR="00C91435">
        <w:t xml:space="preserve">s </w:t>
      </w:r>
      <w:r>
        <w:t xml:space="preserve">the status quo, </w:t>
      </w:r>
      <w:r w:rsidR="00C91435">
        <w:t xml:space="preserve">and continues </w:t>
      </w:r>
      <w:r w:rsidR="00832CCD">
        <w:t>a</w:t>
      </w:r>
      <w:r w:rsidR="00C91435">
        <w:t xml:space="preserve"> </w:t>
      </w:r>
      <w:r w:rsidR="009B0483">
        <w:t>CDC</w:t>
      </w:r>
      <w:r w:rsidR="00832CCD">
        <w:t xml:space="preserve"> </w:t>
      </w:r>
      <w:r w:rsidR="00C91435">
        <w:t xml:space="preserve">program that has not demonstrated an ability to achieve </w:t>
      </w:r>
      <w:r w:rsidR="00A775C1">
        <w:t>its</w:t>
      </w:r>
      <w:r w:rsidR="00C91435">
        <w:t xml:space="preserve"> policy outcomes and </w:t>
      </w:r>
      <w:r w:rsidR="00832CCD">
        <w:rPr>
          <w:rFonts w:cstheme="minorHAnsi"/>
        </w:rPr>
        <w:t>places a regulatory burden on participants, businesses and communities due to geographical location and places barriers in relation to undertaking simple financial transactions. The</w:t>
      </w:r>
      <w:r w:rsidR="00C91435">
        <w:rPr>
          <w:rFonts w:cstheme="minorHAnsi"/>
        </w:rPr>
        <w:t xml:space="preserve"> </w:t>
      </w:r>
      <w:r w:rsidR="00F034B3">
        <w:rPr>
          <w:rFonts w:cstheme="minorHAnsi"/>
        </w:rPr>
        <w:t xml:space="preserve">CDC </w:t>
      </w:r>
      <w:r w:rsidR="00C91435">
        <w:rPr>
          <w:rFonts w:cstheme="minorHAnsi"/>
        </w:rPr>
        <w:t>program assumes all peo</w:t>
      </w:r>
      <w:r w:rsidR="002D1043">
        <w:rPr>
          <w:rFonts w:cstheme="minorHAnsi"/>
        </w:rPr>
        <w:t xml:space="preserve">ple in a particular geography, in receipt of working age </w:t>
      </w:r>
      <w:r w:rsidR="00900C95">
        <w:rPr>
          <w:rFonts w:cstheme="minorHAnsi"/>
        </w:rPr>
        <w:t>income support</w:t>
      </w:r>
      <w:r w:rsidR="002D1043">
        <w:rPr>
          <w:rFonts w:cstheme="minorHAnsi"/>
        </w:rPr>
        <w:t xml:space="preserve"> payments, need restrictions on the types of goods and services that can</w:t>
      </w:r>
      <w:r w:rsidR="00E47883">
        <w:rPr>
          <w:rFonts w:cstheme="minorHAnsi"/>
        </w:rPr>
        <w:t xml:space="preserve"> be purchased with their money.</w:t>
      </w:r>
    </w:p>
    <w:p w14:paraId="0A6D91D1" w14:textId="77777777" w:rsidR="00585A4A" w:rsidRPr="00236A01" w:rsidRDefault="00585A4A" w:rsidP="00585A4A">
      <w:r>
        <w:rPr>
          <w:rFonts w:cstheme="minorHAnsi"/>
        </w:rPr>
        <w:t xml:space="preserve">The </w:t>
      </w:r>
      <w:r>
        <w:rPr>
          <w:rFonts w:cstheme="minorHAnsi"/>
          <w:b/>
        </w:rPr>
        <w:t>preferred option is O</w:t>
      </w:r>
      <w:r w:rsidRPr="00642EDA">
        <w:rPr>
          <w:rFonts w:cstheme="minorHAnsi"/>
          <w:b/>
        </w:rPr>
        <w:t xml:space="preserve">ption </w:t>
      </w:r>
      <w:r>
        <w:rPr>
          <w:rFonts w:cstheme="minorHAnsi"/>
          <w:b/>
        </w:rPr>
        <w:t>2</w:t>
      </w:r>
      <w:r>
        <w:rPr>
          <w:rFonts w:cstheme="minorHAnsi"/>
        </w:rPr>
        <w:t xml:space="preserve"> where </w:t>
      </w:r>
      <w:r w:rsidR="00F034B3">
        <w:rPr>
          <w:rFonts w:cstheme="minorHAnsi"/>
        </w:rPr>
        <w:t xml:space="preserve">the </w:t>
      </w:r>
      <w:r>
        <w:rPr>
          <w:rFonts w:ascii="Calibri" w:eastAsia="Calibri" w:hAnsi="Calibri" w:cs="Times New Roman"/>
          <w:color w:val="262626"/>
        </w:rPr>
        <w:t xml:space="preserve">CDC </w:t>
      </w:r>
      <w:r w:rsidR="009B0483">
        <w:rPr>
          <w:rFonts w:ascii="Calibri" w:eastAsia="Calibri" w:hAnsi="Calibri" w:cs="Times New Roman"/>
          <w:color w:val="262626"/>
        </w:rPr>
        <w:t xml:space="preserve">program </w:t>
      </w:r>
      <w:r w:rsidR="00F034B3">
        <w:rPr>
          <w:rFonts w:ascii="Calibri" w:eastAsia="Calibri" w:hAnsi="Calibri" w:cs="Times New Roman"/>
          <w:color w:val="262626"/>
        </w:rPr>
        <w:t>is</w:t>
      </w:r>
      <w:r>
        <w:rPr>
          <w:rFonts w:ascii="Calibri" w:eastAsia="Calibri" w:hAnsi="Calibri" w:cs="Times New Roman"/>
          <w:color w:val="262626"/>
        </w:rPr>
        <w:t xml:space="preserve"> abolished</w:t>
      </w:r>
      <w:r w:rsidR="00A775C1">
        <w:rPr>
          <w:rFonts w:ascii="Calibri" w:eastAsia="Calibri" w:hAnsi="Calibri" w:cs="Times New Roman"/>
          <w:color w:val="262626"/>
        </w:rPr>
        <w:t xml:space="preserve"> and reforms are made to IM to</w:t>
      </w:r>
      <w:r w:rsidR="00203A1A" w:rsidRPr="00203A1A">
        <w:rPr>
          <w:rFonts w:ascii="Calibri" w:eastAsia="Calibri" w:hAnsi="Calibri" w:cs="Times New Roman"/>
          <w:color w:val="262626"/>
        </w:rPr>
        <w:t xml:space="preserve"> </w:t>
      </w:r>
      <w:r w:rsidR="00203A1A">
        <w:rPr>
          <w:rFonts w:ascii="Calibri" w:eastAsia="Calibri" w:hAnsi="Calibri" w:cs="Times New Roman"/>
          <w:color w:val="262626"/>
        </w:rPr>
        <w:t>enable a greater level of community decision-making.</w:t>
      </w:r>
      <w:r>
        <w:rPr>
          <w:rFonts w:ascii="Calibri" w:eastAsia="Calibri" w:hAnsi="Calibri" w:cs="Times New Roman"/>
          <w:color w:val="262626"/>
        </w:rPr>
        <w:t xml:space="preserve"> </w:t>
      </w:r>
      <w:r w:rsidR="00537B9A">
        <w:rPr>
          <w:rFonts w:ascii="Calibri" w:eastAsia="Calibri" w:hAnsi="Calibri" w:cs="Times New Roman"/>
          <w:color w:val="262626"/>
        </w:rPr>
        <w:t>T</w:t>
      </w:r>
      <w:r>
        <w:rPr>
          <w:rFonts w:ascii="Calibri" w:eastAsia="Calibri" w:hAnsi="Calibri" w:cs="Times New Roman"/>
          <w:color w:val="262626"/>
        </w:rPr>
        <w:t>ransitio</w:t>
      </w:r>
      <w:r w:rsidR="00F034B3">
        <w:rPr>
          <w:rFonts w:ascii="Calibri" w:eastAsia="Calibri" w:hAnsi="Calibri" w:cs="Times New Roman"/>
          <w:color w:val="262626"/>
        </w:rPr>
        <w:t xml:space="preserve">nal arrangements including </w:t>
      </w:r>
      <w:r>
        <w:rPr>
          <w:rFonts w:ascii="Calibri" w:eastAsia="Calibri" w:hAnsi="Calibri" w:cs="Times New Roman"/>
          <w:color w:val="262626"/>
        </w:rPr>
        <w:t xml:space="preserve">support </w:t>
      </w:r>
      <w:r w:rsidR="00F146AD">
        <w:rPr>
          <w:rFonts w:ascii="Calibri" w:eastAsia="Calibri" w:hAnsi="Calibri" w:cs="Times New Roman"/>
          <w:color w:val="262626"/>
        </w:rPr>
        <w:t xml:space="preserve">services </w:t>
      </w:r>
      <w:r w:rsidR="00F034B3">
        <w:rPr>
          <w:rFonts w:ascii="Calibri" w:eastAsia="Calibri" w:hAnsi="Calibri" w:cs="Times New Roman"/>
          <w:color w:val="262626"/>
        </w:rPr>
        <w:t xml:space="preserve">would assist </w:t>
      </w:r>
      <w:r w:rsidR="00537B9A">
        <w:rPr>
          <w:rFonts w:ascii="Calibri" w:eastAsia="Calibri" w:hAnsi="Calibri" w:cs="Times New Roman"/>
          <w:color w:val="262626"/>
        </w:rPr>
        <w:t xml:space="preserve">those who choose to leave the programs. </w:t>
      </w:r>
      <w:r>
        <w:rPr>
          <w:rFonts w:ascii="Calibri" w:eastAsia="Calibri" w:hAnsi="Calibri" w:cs="Times New Roman"/>
          <w:color w:val="262626"/>
        </w:rPr>
        <w:t xml:space="preserve">Option 2 </w:t>
      </w:r>
      <w:r>
        <w:t>c</w:t>
      </w:r>
      <w:r w:rsidRPr="003C177D">
        <w:t>omplement</w:t>
      </w:r>
      <w:r>
        <w:t>s</w:t>
      </w:r>
      <w:r w:rsidRPr="003C177D">
        <w:t xml:space="preserve"> the Government’s strat</w:t>
      </w:r>
      <w:r>
        <w:t xml:space="preserve">egic priority to </w:t>
      </w:r>
      <w:r w:rsidR="00537B9A">
        <w:t xml:space="preserve">give people on these programs more choice on how they spend their </w:t>
      </w:r>
      <w:r w:rsidR="00900C95">
        <w:t>income support</w:t>
      </w:r>
      <w:r w:rsidR="00537B9A">
        <w:t xml:space="preserve"> payments. It will also provide greater value for money given the lack of evidence that the program</w:t>
      </w:r>
      <w:r w:rsidR="0053512C">
        <w:t>s are meeting their objectives.</w:t>
      </w:r>
    </w:p>
    <w:p w14:paraId="287FB9D2" w14:textId="77777777" w:rsidR="008624BD" w:rsidRDefault="00336503" w:rsidP="00DE03BB">
      <w:pPr>
        <w:rPr>
          <w:rFonts w:cstheme="minorHAnsi"/>
        </w:rPr>
      </w:pPr>
      <w:r>
        <w:rPr>
          <w:rFonts w:cstheme="minorHAnsi"/>
        </w:rPr>
        <w:t xml:space="preserve">Option </w:t>
      </w:r>
      <w:r w:rsidR="00F034B3">
        <w:rPr>
          <w:rFonts w:cstheme="minorHAnsi"/>
        </w:rPr>
        <w:t>2</w:t>
      </w:r>
      <w:r>
        <w:rPr>
          <w:rFonts w:cstheme="minorHAnsi"/>
        </w:rPr>
        <w:t xml:space="preserve"> </w:t>
      </w:r>
      <w:r w:rsidR="008624BD">
        <w:rPr>
          <w:rFonts w:cstheme="minorHAnsi"/>
        </w:rPr>
        <w:t>will see a reduction in the regulatory burden faced by individuals and businesses in affected locations and provid</w:t>
      </w:r>
      <w:r w:rsidR="008D5D6C">
        <w:rPr>
          <w:rFonts w:cstheme="minorHAnsi"/>
        </w:rPr>
        <w:t>e</w:t>
      </w:r>
      <w:r w:rsidR="008624BD">
        <w:rPr>
          <w:rFonts w:cstheme="minorHAnsi"/>
        </w:rPr>
        <w:t xml:space="preserve"> </w:t>
      </w:r>
      <w:r w:rsidR="00F30071">
        <w:rPr>
          <w:rFonts w:cstheme="minorHAnsi"/>
        </w:rPr>
        <w:t xml:space="preserve">participants </w:t>
      </w:r>
      <w:r w:rsidR="008624BD">
        <w:rPr>
          <w:rFonts w:cstheme="minorHAnsi"/>
        </w:rPr>
        <w:t>with greater freedom</w:t>
      </w:r>
      <w:r w:rsidR="002D1043">
        <w:rPr>
          <w:rFonts w:cstheme="minorHAnsi"/>
        </w:rPr>
        <w:t xml:space="preserve"> </w:t>
      </w:r>
      <w:r w:rsidR="008624BD">
        <w:rPr>
          <w:rFonts w:cstheme="minorHAnsi"/>
        </w:rPr>
        <w:t>to choose how and where to spend their money</w:t>
      </w:r>
      <w:r w:rsidR="008D5D6C">
        <w:rPr>
          <w:rFonts w:cstheme="minorHAnsi"/>
        </w:rPr>
        <w:t xml:space="preserve"> and </w:t>
      </w:r>
      <w:r w:rsidR="008624BD">
        <w:rPr>
          <w:rFonts w:cstheme="minorHAnsi"/>
        </w:rPr>
        <w:t>how they manage their finances including decisions</w:t>
      </w:r>
      <w:r w:rsidR="00F70119">
        <w:rPr>
          <w:rFonts w:cstheme="minorHAnsi"/>
        </w:rPr>
        <w:t xml:space="preserve"> on who they bank with</w:t>
      </w:r>
      <w:r w:rsidR="008624BD">
        <w:rPr>
          <w:rFonts w:cstheme="minorHAnsi"/>
        </w:rPr>
        <w:t xml:space="preserve">. </w:t>
      </w:r>
      <w:r w:rsidR="00F30071">
        <w:rPr>
          <w:rFonts w:cstheme="minorHAnsi"/>
        </w:rPr>
        <w:t xml:space="preserve">These are freedoms </w:t>
      </w:r>
      <w:r w:rsidR="002D1043">
        <w:rPr>
          <w:rFonts w:cstheme="minorHAnsi"/>
        </w:rPr>
        <w:t xml:space="preserve">afforded to </w:t>
      </w:r>
      <w:r w:rsidR="008624BD">
        <w:rPr>
          <w:rFonts w:cstheme="minorHAnsi"/>
        </w:rPr>
        <w:t>most Australia</w:t>
      </w:r>
      <w:r w:rsidR="007B4425">
        <w:rPr>
          <w:rFonts w:cstheme="minorHAnsi"/>
        </w:rPr>
        <w:t>n</w:t>
      </w:r>
      <w:r w:rsidR="008624BD">
        <w:rPr>
          <w:rFonts w:cstheme="minorHAnsi"/>
        </w:rPr>
        <w:t xml:space="preserve">s </w:t>
      </w:r>
      <w:r w:rsidR="00F30071">
        <w:rPr>
          <w:rFonts w:cstheme="minorHAnsi"/>
        </w:rPr>
        <w:t>and</w:t>
      </w:r>
      <w:r w:rsidR="008624BD">
        <w:rPr>
          <w:rFonts w:cstheme="minorHAnsi"/>
        </w:rPr>
        <w:t xml:space="preserve"> those </w:t>
      </w:r>
      <w:r w:rsidR="00537B9A">
        <w:rPr>
          <w:rFonts w:cstheme="minorHAnsi"/>
        </w:rPr>
        <w:t>on the program</w:t>
      </w:r>
      <w:r w:rsidR="00F70119">
        <w:rPr>
          <w:rFonts w:cstheme="minorHAnsi"/>
        </w:rPr>
        <w:t xml:space="preserve"> have limit</w:t>
      </w:r>
      <w:r w:rsidR="00AB702D">
        <w:rPr>
          <w:rFonts w:cstheme="minorHAnsi"/>
        </w:rPr>
        <w:t xml:space="preserve">s placed </w:t>
      </w:r>
      <w:r w:rsidR="00F70119">
        <w:rPr>
          <w:rFonts w:cstheme="minorHAnsi"/>
        </w:rPr>
        <w:t xml:space="preserve">on these </w:t>
      </w:r>
      <w:r w:rsidR="00F70119" w:rsidRPr="0010383A">
        <w:rPr>
          <w:rFonts w:cstheme="minorHAnsi"/>
        </w:rPr>
        <w:t>choices</w:t>
      </w:r>
      <w:r w:rsidR="00537B9A" w:rsidRPr="0010383A">
        <w:rPr>
          <w:rFonts w:cstheme="minorHAnsi"/>
        </w:rPr>
        <w:t>.</w:t>
      </w:r>
      <w:r w:rsidR="006C54F0" w:rsidRPr="0010383A">
        <w:rPr>
          <w:rFonts w:cstheme="minorHAnsi"/>
        </w:rPr>
        <w:t xml:space="preserve"> The </w:t>
      </w:r>
      <w:r w:rsidR="006C54F0" w:rsidRPr="0010383A">
        <w:rPr>
          <w:rFonts w:cstheme="minorHAnsi"/>
          <w:b/>
        </w:rPr>
        <w:t>regulatory save</w:t>
      </w:r>
      <w:r w:rsidR="006C54F0" w:rsidRPr="0010383A">
        <w:rPr>
          <w:rFonts w:cstheme="minorHAnsi"/>
        </w:rPr>
        <w:t xml:space="preserve"> has been calculated at </w:t>
      </w:r>
      <w:r w:rsidR="006C54F0" w:rsidRPr="0010383A">
        <w:rPr>
          <w:rFonts w:cstheme="minorHAnsi"/>
          <w:b/>
        </w:rPr>
        <w:t>$</w:t>
      </w:r>
      <w:r w:rsidR="0008460A">
        <w:rPr>
          <w:rFonts w:cstheme="minorHAnsi"/>
          <w:b/>
        </w:rPr>
        <w:t>21.5</w:t>
      </w:r>
      <w:r w:rsidR="006C54F0" w:rsidRPr="0010383A">
        <w:rPr>
          <w:rFonts w:cstheme="minorHAnsi"/>
          <w:b/>
        </w:rPr>
        <w:t>m over 10 years</w:t>
      </w:r>
      <w:r w:rsidR="006C54F0" w:rsidRPr="0010383A">
        <w:rPr>
          <w:rFonts w:cstheme="minorHAnsi"/>
        </w:rPr>
        <w:t>.</w:t>
      </w:r>
    </w:p>
    <w:p w14:paraId="47087E49" w14:textId="77777777" w:rsidR="00115E1F" w:rsidRPr="00115E1F" w:rsidRDefault="00826F4E" w:rsidP="00115E1F">
      <w:pPr>
        <w:rPr>
          <w:rFonts w:cstheme="minorHAnsi"/>
        </w:rPr>
      </w:pPr>
      <w:r>
        <w:rPr>
          <w:rFonts w:cstheme="minorHAnsi"/>
        </w:rPr>
        <w:t>The D</w:t>
      </w:r>
      <w:r w:rsidR="00115E1F" w:rsidRPr="00115E1F">
        <w:rPr>
          <w:rFonts w:cstheme="minorHAnsi"/>
        </w:rPr>
        <w:t xml:space="preserve">epartment </w:t>
      </w:r>
      <w:r w:rsidR="00F30071">
        <w:rPr>
          <w:rFonts w:cstheme="minorHAnsi"/>
        </w:rPr>
        <w:t xml:space="preserve">has undertaken consultation with those in </w:t>
      </w:r>
      <w:r w:rsidR="00F70119">
        <w:rPr>
          <w:rFonts w:cstheme="minorHAnsi"/>
        </w:rPr>
        <w:t>a</w:t>
      </w:r>
      <w:r w:rsidR="00F30071">
        <w:rPr>
          <w:rFonts w:cstheme="minorHAnsi"/>
        </w:rPr>
        <w:t xml:space="preserve">ffected locations including </w:t>
      </w:r>
      <w:r w:rsidR="007B4425">
        <w:rPr>
          <w:rFonts w:cstheme="minorHAnsi"/>
        </w:rPr>
        <w:t xml:space="preserve">targeted </w:t>
      </w:r>
      <w:r w:rsidR="00F30071">
        <w:rPr>
          <w:rFonts w:cstheme="minorHAnsi"/>
        </w:rPr>
        <w:t>Ministerial visits</w:t>
      </w:r>
      <w:r w:rsidR="009B0483">
        <w:rPr>
          <w:rFonts w:cstheme="minorHAnsi"/>
        </w:rPr>
        <w:t xml:space="preserve"> by the Minister for Social Services, the Hon Amanda Rishworth MP (the Minister)</w:t>
      </w:r>
      <w:r w:rsidR="00F70119">
        <w:rPr>
          <w:rFonts w:cstheme="minorHAnsi"/>
        </w:rPr>
        <w:t xml:space="preserve"> and the Assistant Minister for Social Services, the Hon Justine Elliot MP (the Assistant Minister)</w:t>
      </w:r>
      <w:r w:rsidR="00F30071">
        <w:rPr>
          <w:rFonts w:cstheme="minorHAnsi"/>
        </w:rPr>
        <w:t xml:space="preserve">. </w:t>
      </w:r>
      <w:r w:rsidR="00ED5E9C">
        <w:rPr>
          <w:rFonts w:cstheme="minorHAnsi"/>
        </w:rPr>
        <w:t xml:space="preserve">Senator the Hon Patrick Dodson, </w:t>
      </w:r>
      <w:r w:rsidR="00ED5E9C" w:rsidRPr="00ED5E9C">
        <w:rPr>
          <w:rFonts w:cstheme="minorHAnsi"/>
        </w:rPr>
        <w:t>Senator the Hon Malarndirri McCarthy</w:t>
      </w:r>
      <w:r w:rsidR="00ED5E9C">
        <w:rPr>
          <w:rFonts w:cstheme="minorHAnsi"/>
        </w:rPr>
        <w:t xml:space="preserve">, and Ms Marion Scrymgour MP have also </w:t>
      </w:r>
      <w:r w:rsidR="00FD2793">
        <w:rPr>
          <w:rFonts w:cstheme="minorHAnsi"/>
        </w:rPr>
        <w:t xml:space="preserve">participated in consultations. </w:t>
      </w:r>
      <w:r w:rsidR="00F30071">
        <w:rPr>
          <w:rFonts w:cstheme="minorHAnsi"/>
        </w:rPr>
        <w:t xml:space="preserve">This has included </w:t>
      </w:r>
      <w:r w:rsidR="00115E1F" w:rsidRPr="00115E1F">
        <w:rPr>
          <w:rFonts w:cstheme="minorHAnsi"/>
        </w:rPr>
        <w:t xml:space="preserve">consulting with CDC participants and other </w:t>
      </w:r>
      <w:r w:rsidR="00F70119">
        <w:rPr>
          <w:rFonts w:cstheme="minorHAnsi"/>
        </w:rPr>
        <w:t xml:space="preserve">local </w:t>
      </w:r>
      <w:r w:rsidR="00115E1F" w:rsidRPr="00115E1F">
        <w:rPr>
          <w:rFonts w:cstheme="minorHAnsi"/>
        </w:rPr>
        <w:t xml:space="preserve">stakeholders about the cessation of the CDC program. Consultations </w:t>
      </w:r>
      <w:r w:rsidR="007B4425">
        <w:rPr>
          <w:rFonts w:cstheme="minorHAnsi"/>
        </w:rPr>
        <w:t xml:space="preserve">captured </w:t>
      </w:r>
      <w:r w:rsidR="00115E1F" w:rsidRPr="00115E1F">
        <w:rPr>
          <w:rFonts w:cstheme="minorHAnsi"/>
        </w:rPr>
        <w:t xml:space="preserve">a wide range of stakeholders </w:t>
      </w:r>
      <w:r w:rsidR="00F30071">
        <w:rPr>
          <w:rFonts w:cstheme="minorHAnsi"/>
        </w:rPr>
        <w:t xml:space="preserve">and captured </w:t>
      </w:r>
      <w:r w:rsidR="00115E1F" w:rsidRPr="00115E1F">
        <w:rPr>
          <w:rFonts w:cstheme="minorHAnsi"/>
        </w:rPr>
        <w:t>a diversity of perspectives, including CDC participants, senior First Nations leaders, Community Reference Groups, service providers, lo</w:t>
      </w:r>
      <w:r w:rsidR="00BD7A0E">
        <w:rPr>
          <w:rFonts w:cstheme="minorHAnsi"/>
        </w:rPr>
        <w:t xml:space="preserve">cal police, </w:t>
      </w:r>
      <w:r w:rsidR="002D1043">
        <w:rPr>
          <w:rFonts w:cstheme="minorHAnsi"/>
        </w:rPr>
        <w:t xml:space="preserve">health services </w:t>
      </w:r>
      <w:r w:rsidR="00BD7A0E">
        <w:rPr>
          <w:rFonts w:cstheme="minorHAnsi"/>
        </w:rPr>
        <w:t>and local councils.</w:t>
      </w:r>
      <w:r w:rsidR="00203A1A" w:rsidRPr="00203A1A">
        <w:rPr>
          <w:rFonts w:cstheme="minorHAnsi"/>
        </w:rPr>
        <w:t xml:space="preserve"> </w:t>
      </w:r>
      <w:r w:rsidR="00F073F9">
        <w:rPr>
          <w:rFonts w:cstheme="minorHAnsi"/>
        </w:rPr>
        <w:t>Engagement with communities will continue as part of the implementation of the refo</w:t>
      </w:r>
      <w:r w:rsidR="00EB5F3C">
        <w:rPr>
          <w:rFonts w:cstheme="minorHAnsi"/>
        </w:rPr>
        <w:t>r</w:t>
      </w:r>
      <w:r w:rsidR="00F073F9">
        <w:rPr>
          <w:rFonts w:cstheme="minorHAnsi"/>
        </w:rPr>
        <w:t>ms</w:t>
      </w:r>
      <w:r w:rsidR="00203A1A">
        <w:rPr>
          <w:rFonts w:cstheme="minorHAnsi"/>
        </w:rPr>
        <w:t>.</w:t>
      </w:r>
    </w:p>
    <w:p w14:paraId="2BE19DEC" w14:textId="77777777" w:rsidR="00F30071" w:rsidRDefault="00F30071" w:rsidP="00115E1F">
      <w:r>
        <w:rPr>
          <w:rFonts w:cstheme="minorHAnsi"/>
        </w:rPr>
        <w:t xml:space="preserve">Consultations involved understanding </w:t>
      </w:r>
      <w:r w:rsidR="00826F4E">
        <w:rPr>
          <w:rFonts w:cstheme="minorHAnsi"/>
        </w:rPr>
        <w:t xml:space="preserve">what </w:t>
      </w:r>
      <w:r>
        <w:rPr>
          <w:rFonts w:cstheme="minorHAnsi"/>
        </w:rPr>
        <w:t xml:space="preserve">the impacts of the </w:t>
      </w:r>
      <w:r w:rsidR="007B4425">
        <w:rPr>
          <w:rFonts w:cstheme="minorHAnsi"/>
        </w:rPr>
        <w:t>CDC</w:t>
      </w:r>
      <w:r>
        <w:rPr>
          <w:rFonts w:cstheme="minorHAnsi"/>
        </w:rPr>
        <w:t xml:space="preserve"> program </w:t>
      </w:r>
      <w:r w:rsidR="00EA10CE">
        <w:rPr>
          <w:rFonts w:cstheme="minorHAnsi"/>
        </w:rPr>
        <w:t xml:space="preserve">are </w:t>
      </w:r>
      <w:r w:rsidR="00826F4E">
        <w:rPr>
          <w:rFonts w:cstheme="minorHAnsi"/>
        </w:rPr>
        <w:t>and how these are impacting</w:t>
      </w:r>
      <w:r>
        <w:rPr>
          <w:rFonts w:cstheme="minorHAnsi"/>
        </w:rPr>
        <w:t xml:space="preserve"> individuals and businesses in the affected </w:t>
      </w:r>
      <w:r w:rsidR="007B4425">
        <w:rPr>
          <w:rFonts w:cstheme="minorHAnsi"/>
        </w:rPr>
        <w:t>regions</w:t>
      </w:r>
      <w:r w:rsidR="00E47883">
        <w:rPr>
          <w:rFonts w:cstheme="minorHAnsi"/>
        </w:rPr>
        <w:t xml:space="preserve">. </w:t>
      </w:r>
      <w:r>
        <w:rPr>
          <w:rFonts w:cstheme="minorHAnsi"/>
        </w:rPr>
        <w:t>It also involve</w:t>
      </w:r>
      <w:r w:rsidR="00DB31B6">
        <w:rPr>
          <w:rFonts w:cstheme="minorHAnsi"/>
        </w:rPr>
        <w:t>s</w:t>
      </w:r>
      <w:r>
        <w:rPr>
          <w:rFonts w:cstheme="minorHAnsi"/>
        </w:rPr>
        <w:t xml:space="preserve"> </w:t>
      </w:r>
      <w:r w:rsidR="00F70119">
        <w:rPr>
          <w:rFonts w:cstheme="minorHAnsi"/>
        </w:rPr>
        <w:t>seeking their views on</w:t>
      </w:r>
      <w:r w:rsidR="00D94476">
        <w:rPr>
          <w:rFonts w:cstheme="minorHAnsi"/>
        </w:rPr>
        <w:t xml:space="preserve"> what a suitable process</w:t>
      </w:r>
      <w:r w:rsidR="00F70119">
        <w:rPr>
          <w:rFonts w:cstheme="minorHAnsi"/>
        </w:rPr>
        <w:t xml:space="preserve"> for people to </w:t>
      </w:r>
      <w:r w:rsidRPr="00F30071">
        <w:t xml:space="preserve">transition </w:t>
      </w:r>
      <w:r>
        <w:t xml:space="preserve">off </w:t>
      </w:r>
      <w:r w:rsidR="00F70119">
        <w:t xml:space="preserve">the </w:t>
      </w:r>
      <w:r>
        <w:t>CDC program needs to include and w</w:t>
      </w:r>
      <w:r w:rsidRPr="00F30071">
        <w:t>hat supports the communi</w:t>
      </w:r>
      <w:r>
        <w:t xml:space="preserve">ty feel </w:t>
      </w:r>
      <w:r w:rsidR="00F70119">
        <w:t>are required</w:t>
      </w:r>
      <w:r>
        <w:t xml:space="preserve">. </w:t>
      </w:r>
      <w:r w:rsidR="00DB31B6">
        <w:t>In addition</w:t>
      </w:r>
      <w:r w:rsidR="00F034B3">
        <w:t>,</w:t>
      </w:r>
      <w:r>
        <w:t xml:space="preserve"> in preparation for stage</w:t>
      </w:r>
      <w:r w:rsidR="00F034B3">
        <w:t xml:space="preserve"> 2</w:t>
      </w:r>
      <w:r w:rsidR="00596A07">
        <w:t> </w:t>
      </w:r>
      <w:r>
        <w:t xml:space="preserve">discussions were held regarding </w:t>
      </w:r>
      <w:r w:rsidRPr="00F30071">
        <w:t xml:space="preserve">what </w:t>
      </w:r>
      <w:r w:rsidR="003C3893">
        <w:t>IM</w:t>
      </w:r>
      <w:r w:rsidR="00BD7A0E">
        <w:t xml:space="preserve"> could look like.</w:t>
      </w:r>
    </w:p>
    <w:p w14:paraId="097433B0" w14:textId="77777777" w:rsidR="00697B56" w:rsidRDefault="00F30071" w:rsidP="00AF60DD">
      <w:pPr>
        <w:rPr>
          <w:rFonts w:cstheme="minorHAnsi"/>
        </w:rPr>
      </w:pPr>
      <w:r>
        <w:t>At all times</w:t>
      </w:r>
      <w:r w:rsidR="00F70119">
        <w:t>,</w:t>
      </w:r>
      <w:r>
        <w:t xml:space="preserve"> the focus of </w:t>
      </w:r>
      <w:r w:rsidR="00F70119">
        <w:t>the</w:t>
      </w:r>
      <w:r w:rsidR="00F034B3">
        <w:t>se</w:t>
      </w:r>
      <w:r w:rsidR="00F70119">
        <w:t xml:space="preserve"> </w:t>
      </w:r>
      <w:r>
        <w:t>consultation</w:t>
      </w:r>
      <w:r w:rsidR="00F70119">
        <w:t>s</w:t>
      </w:r>
      <w:r>
        <w:t xml:space="preserve"> </w:t>
      </w:r>
      <w:r w:rsidR="00F034B3">
        <w:t>is to</w:t>
      </w:r>
      <w:r>
        <w:t xml:space="preserve"> </w:t>
      </w:r>
      <w:r w:rsidR="00115E1F" w:rsidRPr="00115E1F">
        <w:rPr>
          <w:rFonts w:cstheme="minorHAnsi"/>
        </w:rPr>
        <w:t>understand</w:t>
      </w:r>
      <w:r w:rsidR="00F034B3">
        <w:rPr>
          <w:rFonts w:cstheme="minorHAnsi"/>
        </w:rPr>
        <w:t xml:space="preserve"> the</w:t>
      </w:r>
      <w:r w:rsidR="00115E1F" w:rsidRPr="00115E1F">
        <w:rPr>
          <w:rFonts w:cstheme="minorHAnsi"/>
        </w:rPr>
        <w:t xml:space="preserve"> </w:t>
      </w:r>
      <w:r w:rsidR="003C3893">
        <w:rPr>
          <w:rFonts w:cstheme="minorHAnsi"/>
        </w:rPr>
        <w:t xml:space="preserve">CDC </w:t>
      </w:r>
      <w:r w:rsidR="00115E1F" w:rsidRPr="00115E1F">
        <w:rPr>
          <w:rFonts w:cstheme="minorHAnsi"/>
        </w:rPr>
        <w:t xml:space="preserve">participants’ experiences and possible impacts on </w:t>
      </w:r>
      <w:r w:rsidR="003C3893">
        <w:rPr>
          <w:rFonts w:cstheme="minorHAnsi"/>
        </w:rPr>
        <w:t xml:space="preserve">them </w:t>
      </w:r>
      <w:r w:rsidR="00115E1F" w:rsidRPr="00115E1F">
        <w:rPr>
          <w:rFonts w:cstheme="minorHAnsi"/>
        </w:rPr>
        <w:t xml:space="preserve">and </w:t>
      </w:r>
      <w:r w:rsidR="003C3893">
        <w:rPr>
          <w:rFonts w:cstheme="minorHAnsi"/>
        </w:rPr>
        <w:t xml:space="preserve">their </w:t>
      </w:r>
      <w:r w:rsidR="00115E1F" w:rsidRPr="00115E1F">
        <w:rPr>
          <w:rFonts w:cstheme="minorHAnsi"/>
        </w:rPr>
        <w:t>communities to inform implementation arrangements and understand individual and communit</w:t>
      </w:r>
      <w:r w:rsidR="003C3893">
        <w:rPr>
          <w:rFonts w:cstheme="minorHAnsi"/>
        </w:rPr>
        <w:t>y</w:t>
      </w:r>
      <w:r w:rsidR="00BD7A0E">
        <w:rPr>
          <w:rFonts w:cstheme="minorHAnsi"/>
        </w:rPr>
        <w:t xml:space="preserve"> support needs.</w:t>
      </w:r>
    </w:p>
    <w:p w14:paraId="49EFAF51" w14:textId="77777777" w:rsidR="00540FDF" w:rsidRDefault="00540FDF" w:rsidP="00AF60DD">
      <w:pPr>
        <w:rPr>
          <w:rFonts w:cstheme="minorHAnsi"/>
        </w:rPr>
      </w:pPr>
      <w:r>
        <w:rPr>
          <w:rFonts w:cstheme="minorHAnsi"/>
        </w:rPr>
        <w:t>These early consultations have include</w:t>
      </w:r>
      <w:r w:rsidR="009D5706">
        <w:rPr>
          <w:rFonts w:cstheme="minorHAnsi"/>
        </w:rPr>
        <w:t xml:space="preserve">d key service </w:t>
      </w:r>
      <w:r>
        <w:rPr>
          <w:rFonts w:cstheme="minorHAnsi"/>
        </w:rPr>
        <w:t xml:space="preserve">agencies </w:t>
      </w:r>
      <w:r w:rsidR="00FA6275">
        <w:rPr>
          <w:rFonts w:cstheme="minorHAnsi"/>
        </w:rPr>
        <w:t>and First Nations leadership groups</w:t>
      </w:r>
      <w:r w:rsidR="00537B9A">
        <w:rPr>
          <w:rFonts w:cstheme="minorHAnsi"/>
        </w:rPr>
        <w:t xml:space="preserve">. Consistent with the CDC </w:t>
      </w:r>
      <w:r w:rsidR="009D5706">
        <w:rPr>
          <w:rFonts w:cstheme="minorHAnsi"/>
        </w:rPr>
        <w:t xml:space="preserve">program’s </w:t>
      </w:r>
      <w:r w:rsidR="00537B9A">
        <w:rPr>
          <w:rFonts w:cstheme="minorHAnsi"/>
        </w:rPr>
        <w:t xml:space="preserve">evaluations they have stated </w:t>
      </w:r>
      <w:r w:rsidR="00FA6275">
        <w:rPr>
          <w:rFonts w:cstheme="minorHAnsi"/>
        </w:rPr>
        <w:t xml:space="preserve">that the impact </w:t>
      </w:r>
      <w:r>
        <w:rPr>
          <w:rFonts w:cstheme="minorHAnsi"/>
        </w:rPr>
        <w:t xml:space="preserve">of the </w:t>
      </w:r>
      <w:r w:rsidR="009D5706">
        <w:rPr>
          <w:rFonts w:cstheme="minorHAnsi"/>
        </w:rPr>
        <w:t>program</w:t>
      </w:r>
      <w:r>
        <w:rPr>
          <w:rFonts w:cstheme="minorHAnsi"/>
        </w:rPr>
        <w:t xml:space="preserve"> </w:t>
      </w:r>
      <w:r w:rsidR="00FA6275">
        <w:rPr>
          <w:rFonts w:cstheme="minorHAnsi"/>
        </w:rPr>
        <w:t>has been variable</w:t>
      </w:r>
      <w:r w:rsidR="00537B9A">
        <w:rPr>
          <w:rFonts w:cstheme="minorHAnsi"/>
        </w:rPr>
        <w:t>.</w:t>
      </w:r>
      <w:r w:rsidR="00FA6275">
        <w:rPr>
          <w:rFonts w:cstheme="minorHAnsi"/>
        </w:rPr>
        <w:t xml:space="preserve"> </w:t>
      </w:r>
      <w:r w:rsidR="00537B9A">
        <w:rPr>
          <w:rFonts w:cstheme="minorHAnsi"/>
        </w:rPr>
        <w:t xml:space="preserve">The preference is the </w:t>
      </w:r>
      <w:r w:rsidR="00FA6275">
        <w:rPr>
          <w:rFonts w:cstheme="minorHAnsi"/>
        </w:rPr>
        <w:t>importance of support</w:t>
      </w:r>
      <w:r w:rsidR="00F146AD">
        <w:rPr>
          <w:rFonts w:cstheme="minorHAnsi"/>
        </w:rPr>
        <w:t xml:space="preserve"> services</w:t>
      </w:r>
      <w:r w:rsidR="00FA6275">
        <w:rPr>
          <w:rFonts w:cstheme="minorHAnsi"/>
        </w:rPr>
        <w:t xml:space="preserve"> to parti</w:t>
      </w:r>
      <w:r w:rsidR="00FD2793">
        <w:rPr>
          <w:rFonts w:cstheme="minorHAnsi"/>
        </w:rPr>
        <w:t xml:space="preserve">cipants and their communities. </w:t>
      </w:r>
      <w:r w:rsidR="00FA6275">
        <w:rPr>
          <w:rFonts w:cstheme="minorHAnsi"/>
        </w:rPr>
        <w:t xml:space="preserve">Further, they have been clear that if the </w:t>
      </w:r>
      <w:r w:rsidR="009D5706">
        <w:rPr>
          <w:rFonts w:cstheme="minorHAnsi"/>
        </w:rPr>
        <w:t>CDC program</w:t>
      </w:r>
      <w:r w:rsidR="00FA6275">
        <w:rPr>
          <w:rFonts w:cstheme="minorHAnsi"/>
        </w:rPr>
        <w:t xml:space="preserve"> is removed, these services must endure to support the community and they must be guided by local priorities and led by local le</w:t>
      </w:r>
      <w:r w:rsidR="0053512C">
        <w:rPr>
          <w:rFonts w:cstheme="minorHAnsi"/>
        </w:rPr>
        <w:t>adership.</w:t>
      </w:r>
    </w:p>
    <w:p w14:paraId="0B25A21A" w14:textId="77777777" w:rsidR="00AF60DD" w:rsidRPr="00F30071" w:rsidRDefault="00A93341" w:rsidP="00115E1F">
      <w:pPr>
        <w:rPr>
          <w:rFonts w:cstheme="minorHAnsi"/>
        </w:rPr>
      </w:pPr>
      <w:r>
        <w:rPr>
          <w:rFonts w:cstheme="minorHAnsi"/>
        </w:rPr>
        <w:t xml:space="preserve">Transition will be a staged approach with any future evaluation </w:t>
      </w:r>
      <w:r>
        <w:rPr>
          <w:rFonts w:ascii="Calibri" w:eastAsia="Calibri" w:hAnsi="Calibri" w:cs="Times New Roman"/>
          <w:color w:val="262626"/>
        </w:rPr>
        <w:t>focused on the experience of participants coming off</w:t>
      </w:r>
      <w:r w:rsidR="00575E75">
        <w:rPr>
          <w:rFonts w:ascii="Calibri" w:eastAsia="Calibri" w:hAnsi="Calibri" w:cs="Times New Roman"/>
          <w:color w:val="262626"/>
        </w:rPr>
        <w:t xml:space="preserve"> the</w:t>
      </w:r>
      <w:r>
        <w:rPr>
          <w:rFonts w:ascii="Calibri" w:eastAsia="Calibri" w:hAnsi="Calibri" w:cs="Times New Roman"/>
          <w:color w:val="262626"/>
        </w:rPr>
        <w:t xml:space="preserve"> program</w:t>
      </w:r>
      <w:r w:rsidR="00537B9A">
        <w:rPr>
          <w:rFonts w:ascii="Calibri" w:eastAsia="Calibri" w:hAnsi="Calibri" w:cs="Times New Roman"/>
          <w:color w:val="262626"/>
        </w:rPr>
        <w:t>s</w:t>
      </w:r>
      <w:r w:rsidR="002D1043">
        <w:rPr>
          <w:rFonts w:ascii="Calibri" w:eastAsia="Calibri" w:hAnsi="Calibri" w:cs="Times New Roman"/>
          <w:color w:val="262626"/>
        </w:rPr>
        <w:t xml:space="preserve"> and effectiveness of support services</w:t>
      </w:r>
      <w:r>
        <w:rPr>
          <w:rFonts w:ascii="Calibri" w:eastAsia="Calibri" w:hAnsi="Calibri" w:cs="Times New Roman"/>
          <w:color w:val="262626"/>
        </w:rPr>
        <w:t xml:space="preserve">. The Department will </w:t>
      </w:r>
      <w:r>
        <w:rPr>
          <w:rFonts w:cstheme="minorHAnsi"/>
        </w:rPr>
        <w:t>consult with affected communities to ensure that the evaluation methodology is fit for purpose. This may include co-designing</w:t>
      </w:r>
      <w:r w:rsidR="00942892">
        <w:rPr>
          <w:rFonts w:cstheme="minorHAnsi"/>
        </w:rPr>
        <w:t xml:space="preserve"> an evaluation methodology</w:t>
      </w:r>
      <w:r>
        <w:rPr>
          <w:rFonts w:cstheme="minorHAnsi"/>
        </w:rPr>
        <w:t xml:space="preserve"> with communities</w:t>
      </w:r>
      <w:r w:rsidR="00942892">
        <w:rPr>
          <w:rFonts w:cstheme="minorHAnsi"/>
        </w:rPr>
        <w:t>,</w:t>
      </w:r>
      <w:r>
        <w:rPr>
          <w:rFonts w:cstheme="minorHAnsi"/>
        </w:rPr>
        <w:t xml:space="preserve"> and </w:t>
      </w:r>
      <w:r w:rsidR="00942892">
        <w:rPr>
          <w:rFonts w:cstheme="minorHAnsi"/>
        </w:rPr>
        <w:t>identifying</w:t>
      </w:r>
      <w:r>
        <w:rPr>
          <w:rFonts w:cstheme="minorHAnsi"/>
        </w:rPr>
        <w:t xml:space="preserve"> measures the communities see as important. It is important to note this information along with any lessons learnt will help develop</w:t>
      </w:r>
      <w:r w:rsidR="006E5A3C">
        <w:rPr>
          <w:rFonts w:cstheme="minorHAnsi"/>
        </w:rPr>
        <w:t xml:space="preserve"> Government’s</w:t>
      </w:r>
      <w:r>
        <w:rPr>
          <w:rFonts w:cstheme="minorHAnsi"/>
        </w:rPr>
        <w:t xml:space="preserve"> future evidence based policy.</w:t>
      </w:r>
    </w:p>
    <w:p w14:paraId="3DC87399" w14:textId="77777777" w:rsidR="00C51551" w:rsidRPr="00547F32" w:rsidRDefault="00C51551" w:rsidP="00DE03BB">
      <w:r>
        <w:br w:type="page"/>
      </w:r>
    </w:p>
    <w:p w14:paraId="4E07783E" w14:textId="21B27EAB" w:rsidR="00C51551" w:rsidRPr="00BC1EFF" w:rsidRDefault="00C51551" w:rsidP="009520A9">
      <w:pPr>
        <w:pStyle w:val="Heading2"/>
      </w:pPr>
      <w:bookmarkStart w:id="9" w:name="_Toc108008472"/>
      <w:bookmarkStart w:id="10" w:name="_Toc118103732"/>
      <w:r w:rsidRPr="00BC1EFF">
        <w:t>Background</w:t>
      </w:r>
      <w:bookmarkEnd w:id="9"/>
      <w:bookmarkEnd w:id="10"/>
    </w:p>
    <w:p w14:paraId="0F9CBD31" w14:textId="77777777" w:rsidR="007A5F55" w:rsidRPr="00787AC0" w:rsidRDefault="007A5F55" w:rsidP="009520A9">
      <w:pPr>
        <w:pStyle w:val="Heading3"/>
        <w:rPr>
          <w:b/>
        </w:rPr>
      </w:pPr>
      <w:bookmarkStart w:id="11" w:name="_Toc99449466"/>
      <w:bookmarkStart w:id="12" w:name="_Toc108008473"/>
      <w:bookmarkStart w:id="13" w:name="_Toc118103733"/>
      <w:r w:rsidRPr="00787AC0">
        <w:t>Income Management</w:t>
      </w:r>
      <w:bookmarkEnd w:id="11"/>
      <w:bookmarkEnd w:id="12"/>
      <w:bookmarkEnd w:id="13"/>
    </w:p>
    <w:p w14:paraId="0B12AC0A" w14:textId="77777777" w:rsidR="001A3BDB" w:rsidRDefault="007A5F55" w:rsidP="008A4E39">
      <w:r>
        <w:t xml:space="preserve">IM was </w:t>
      </w:r>
      <w:r w:rsidR="001A3BDB">
        <w:t xml:space="preserve">introduced in the Northern Territory </w:t>
      </w:r>
      <w:r w:rsidR="001851AD">
        <w:t xml:space="preserve">(NT) </w:t>
      </w:r>
      <w:r w:rsidR="001A3BDB">
        <w:t xml:space="preserve">in 2007 as part of the Northern Territory Emergency Response (NTER) and </w:t>
      </w:r>
      <w:r w:rsidR="001A3BDB" w:rsidRPr="007A3340">
        <w:t xml:space="preserve">has been progressively implemented </w:t>
      </w:r>
      <w:r w:rsidR="001A3BDB">
        <w:t>across various</w:t>
      </w:r>
      <w:r w:rsidR="001A3BDB" w:rsidRPr="007A3340">
        <w:t xml:space="preserve"> locations </w:t>
      </w:r>
      <w:r w:rsidR="001A3BDB">
        <w:t>in</w:t>
      </w:r>
      <w:r w:rsidR="001A3BDB" w:rsidRPr="007A3340">
        <w:t xml:space="preserve"> Australia. I</w:t>
      </w:r>
      <w:r w:rsidR="003131CC">
        <w:t>M</w:t>
      </w:r>
      <w:r w:rsidR="001A3BDB" w:rsidRPr="007A3340">
        <w:t xml:space="preserve"> direct</w:t>
      </w:r>
      <w:r w:rsidR="003131CC">
        <w:t>s</w:t>
      </w:r>
      <w:r w:rsidR="001A3BDB" w:rsidRPr="007A3340">
        <w:t xml:space="preserve"> between 50 and 90 per cent of </w:t>
      </w:r>
      <w:r w:rsidR="00EB6044">
        <w:t xml:space="preserve">income support </w:t>
      </w:r>
      <w:r w:rsidR="001A3BDB" w:rsidRPr="007A3340">
        <w:t>payment</w:t>
      </w:r>
      <w:r w:rsidR="00EB6044">
        <w:t>s</w:t>
      </w:r>
      <w:r w:rsidR="001A3BDB" w:rsidRPr="007A3340">
        <w:t xml:space="preserve"> to the priority needs of </w:t>
      </w:r>
      <w:r w:rsidR="001A3BDB">
        <w:t xml:space="preserve">the </w:t>
      </w:r>
      <w:r w:rsidR="001A3BDB" w:rsidRPr="007A3340">
        <w:t>participant and their family and other dependents. I</w:t>
      </w:r>
      <w:r w:rsidR="003131CC">
        <w:t>M</w:t>
      </w:r>
      <w:r w:rsidR="001A3BDB" w:rsidRPr="007A3340">
        <w:t xml:space="preserve"> </w:t>
      </w:r>
      <w:r w:rsidR="001A3BDB">
        <w:t xml:space="preserve">provides </w:t>
      </w:r>
      <w:r w:rsidR="001A3BDB" w:rsidRPr="007A3340">
        <w:t>vulnerable</w:t>
      </w:r>
      <w:r w:rsidR="001A3BDB">
        <w:t xml:space="preserve"> participants</w:t>
      </w:r>
      <w:r w:rsidR="001A3BDB" w:rsidRPr="007A3340">
        <w:t xml:space="preserve"> </w:t>
      </w:r>
      <w:r w:rsidR="001A3BDB">
        <w:t>with</w:t>
      </w:r>
      <w:r w:rsidR="001A3BDB" w:rsidRPr="007A3340">
        <w:t xml:space="preserve"> intensive face-to-face support from Services Australia to ensure their </w:t>
      </w:r>
      <w:r w:rsidR="00EB6044">
        <w:t>income support</w:t>
      </w:r>
      <w:r w:rsidR="00EB6044" w:rsidRPr="007A3340" w:rsidDel="00EB6044">
        <w:t xml:space="preserve"> </w:t>
      </w:r>
      <w:r w:rsidR="001A3BDB" w:rsidRPr="007A3340">
        <w:t>payment is being directed to essentials, such as food, housing, electricity and education. Income managed funds are unable to be spen</w:t>
      </w:r>
      <w:r w:rsidR="00AC1264">
        <w:t xml:space="preserve">t on alcohol, gambling, tobacco, </w:t>
      </w:r>
      <w:r w:rsidR="00AC1264" w:rsidRPr="007A3340">
        <w:t xml:space="preserve">pornography </w:t>
      </w:r>
      <w:r w:rsidR="001A3BDB" w:rsidRPr="007A3340">
        <w:t xml:space="preserve">and </w:t>
      </w:r>
      <w:r w:rsidR="00AC1264">
        <w:t xml:space="preserve">other </w:t>
      </w:r>
      <w:r w:rsidR="001A3BDB" w:rsidRPr="007A3340">
        <w:t>related products</w:t>
      </w:r>
      <w:r w:rsidR="00AC1264">
        <w:t xml:space="preserve"> </w:t>
      </w:r>
      <w:r w:rsidR="001A3BDB" w:rsidRPr="007A3340">
        <w:t>and are unable to be withdrawn as cash.</w:t>
      </w:r>
    </w:p>
    <w:p w14:paraId="665EA7B0" w14:textId="77777777" w:rsidR="001A3BDB" w:rsidRDefault="001A3BDB" w:rsidP="001A3BDB">
      <w:r>
        <w:t xml:space="preserve">Under Part 3B of the </w:t>
      </w:r>
      <w:r w:rsidRPr="003443DE">
        <w:rPr>
          <w:i/>
        </w:rPr>
        <w:t>Social Security (Administration) Act 1999</w:t>
      </w:r>
      <w:r w:rsidR="003670B3">
        <w:t xml:space="preserve"> </w:t>
      </w:r>
      <w:r w:rsidR="006F5A54">
        <w:t>(the Administration Act)</w:t>
      </w:r>
      <w:r>
        <w:t>, the key objectives of I</w:t>
      </w:r>
      <w:r w:rsidR="00596A07">
        <w:t>M</w:t>
      </w:r>
      <w:r w:rsidR="00BD7A0E">
        <w:t xml:space="preserve"> are to:</w:t>
      </w:r>
    </w:p>
    <w:p w14:paraId="585403A5" w14:textId="77777777" w:rsidR="001A3BDB" w:rsidRDefault="001A3BDB" w:rsidP="00E1077A">
      <w:pPr>
        <w:pStyle w:val="ListParagraph"/>
        <w:numPr>
          <w:ilvl w:val="0"/>
          <w:numId w:val="12"/>
        </w:numPr>
      </w:pPr>
      <w:r>
        <w:t xml:space="preserve">reduce immediate hardship and deprivation by directing </w:t>
      </w:r>
      <w:r w:rsidR="00900C95">
        <w:t>income support</w:t>
      </w:r>
      <w:r>
        <w:t xml:space="preserve"> payments to the priority needs of recipients, their partner</w:t>
      </w:r>
      <w:r w:rsidR="00BD7A0E">
        <w:t>, children and other dependents</w:t>
      </w:r>
    </w:p>
    <w:p w14:paraId="2A1CC2AF" w14:textId="77777777" w:rsidR="001A3BDB" w:rsidRDefault="001A3BDB" w:rsidP="00E1077A">
      <w:pPr>
        <w:pStyle w:val="ListParagraph"/>
        <w:numPr>
          <w:ilvl w:val="0"/>
          <w:numId w:val="12"/>
        </w:numPr>
        <w:spacing w:after="200" w:line="276" w:lineRule="auto"/>
      </w:pPr>
      <w:r>
        <w:t>help participants to budget so that the</w:t>
      </w:r>
      <w:r w:rsidR="00BD7A0E">
        <w:t>y can meet their priority needs</w:t>
      </w:r>
    </w:p>
    <w:p w14:paraId="2C658313" w14:textId="77777777" w:rsidR="001A3BDB" w:rsidRDefault="001A3BDB" w:rsidP="00E1077A">
      <w:pPr>
        <w:pStyle w:val="ListParagraph"/>
        <w:numPr>
          <w:ilvl w:val="0"/>
          <w:numId w:val="12"/>
        </w:numPr>
        <w:spacing w:after="200" w:line="276" w:lineRule="auto"/>
      </w:pPr>
      <w:r>
        <w:t>reduce the amount of discretionary income available for alcohol, ga</w:t>
      </w:r>
      <w:r w:rsidR="00BD7A0E">
        <w:t>mbling, tobacco and pornography</w:t>
      </w:r>
    </w:p>
    <w:p w14:paraId="4D623F07" w14:textId="77777777" w:rsidR="001A3BDB" w:rsidRDefault="001A3BDB" w:rsidP="00E1077A">
      <w:pPr>
        <w:pStyle w:val="ListParagraph"/>
        <w:numPr>
          <w:ilvl w:val="0"/>
          <w:numId w:val="12"/>
        </w:numPr>
        <w:spacing w:after="200" w:line="276" w:lineRule="auto"/>
      </w:pPr>
      <w:r>
        <w:t xml:space="preserve">reduce the likelihood that </w:t>
      </w:r>
      <w:r w:rsidR="00EB6044">
        <w:t>income support</w:t>
      </w:r>
      <w:r w:rsidR="00EB6044" w:rsidDel="00EB6044">
        <w:t xml:space="preserve"> </w:t>
      </w:r>
      <w:r>
        <w:t>payment recipients will be subject to harassment and abuse</w:t>
      </w:r>
      <w:r w:rsidR="00BD7A0E">
        <w:t xml:space="preserve"> in relation to their payments </w:t>
      </w:r>
      <w:r>
        <w:t>and</w:t>
      </w:r>
    </w:p>
    <w:p w14:paraId="4D18C230" w14:textId="77777777" w:rsidR="001A3BDB" w:rsidRPr="007A3340" w:rsidRDefault="001A3BDB" w:rsidP="00E1077A">
      <w:pPr>
        <w:pStyle w:val="ListParagraph"/>
        <w:numPr>
          <w:ilvl w:val="0"/>
          <w:numId w:val="12"/>
        </w:numPr>
        <w:spacing w:after="200" w:line="276" w:lineRule="auto"/>
      </w:pPr>
      <w:r>
        <w:t>encourage socially responsible behaviour, particularly in the care and education of children.</w:t>
      </w:r>
    </w:p>
    <w:p w14:paraId="49DE92B0" w14:textId="77777777" w:rsidR="001A3BDB" w:rsidRPr="007A3340" w:rsidRDefault="001A3BDB" w:rsidP="001A3BDB">
      <w:r w:rsidRPr="007A3340">
        <w:t xml:space="preserve">IM participants </w:t>
      </w:r>
      <w:r>
        <w:t xml:space="preserve">are </w:t>
      </w:r>
      <w:r w:rsidRPr="007A3340">
        <w:t xml:space="preserve">provided with a BasicsCard to access their income managed funds. The BasicsCard is </w:t>
      </w:r>
      <w:r>
        <w:t xml:space="preserve">a stored value </w:t>
      </w:r>
      <w:r w:rsidRPr="007A3340">
        <w:t xml:space="preserve">PIN-protected card that operates through the existing </w:t>
      </w:r>
      <w:r>
        <w:rPr>
          <w:rFonts w:cstheme="minorHAnsi"/>
          <w:spacing w:val="4"/>
          <w:lang w:eastAsia="en-AU"/>
        </w:rPr>
        <w:t xml:space="preserve">eftpos </w:t>
      </w:r>
      <w:r w:rsidRPr="007A3340">
        <w:t xml:space="preserve">infrastructure, and can be used at approved BasicsCard merchants. It </w:t>
      </w:r>
      <w:r w:rsidR="00203A1A">
        <w:t>aims to provide</w:t>
      </w:r>
      <w:r w:rsidRPr="007A3340">
        <w:t xml:space="preserve"> a secure way for participants to spend their income managed funds while preventing participants from purchasing restricted items or withdrawing cash.</w:t>
      </w:r>
      <w:r>
        <w:t xml:space="preserve"> </w:t>
      </w:r>
      <w:r w:rsidR="00E55872">
        <w:t xml:space="preserve">Merchants must be approved to accept the BasicsCard. </w:t>
      </w:r>
      <w:r w:rsidR="006F5A54" w:rsidRPr="006F5A54">
        <w:t>There are approximately 1</w:t>
      </w:r>
      <w:r w:rsidR="009C1BA9">
        <w:t>8</w:t>
      </w:r>
      <w:r w:rsidR="006F5A54" w:rsidRPr="006F5A54">
        <w:t xml:space="preserve">,000 </w:t>
      </w:r>
      <w:r>
        <w:t>approved merchants nationally.</w:t>
      </w:r>
    </w:p>
    <w:p w14:paraId="7AAE4F50" w14:textId="77777777" w:rsidR="001A3BDB" w:rsidRDefault="001A3BDB" w:rsidP="001A3BDB">
      <w:pPr>
        <w:rPr>
          <w:b/>
        </w:rPr>
      </w:pPr>
      <w:r>
        <w:t xml:space="preserve">A </w:t>
      </w:r>
      <w:r w:rsidR="00293419">
        <w:t xml:space="preserve">participant </w:t>
      </w:r>
      <w:r>
        <w:t xml:space="preserve">can be referred onto IM through multiple measures. IM measures are targeted to specified groups of </w:t>
      </w:r>
      <w:r w:rsidR="00EB6044">
        <w:t>income support</w:t>
      </w:r>
      <w:r w:rsidR="00F2752E">
        <w:t xml:space="preserve"> </w:t>
      </w:r>
      <w:r>
        <w:t>payment recipients, based on their higher risk of social isolation and disengagement, poor financial literacy, and participation in risky behaviours. IM measures include</w:t>
      </w:r>
      <w:r w:rsidR="00596A07">
        <w:t>:</w:t>
      </w:r>
    </w:p>
    <w:p w14:paraId="0C25A70D" w14:textId="77777777" w:rsidR="001A3BDB" w:rsidRDefault="001A3BDB" w:rsidP="00E1077A">
      <w:pPr>
        <w:pStyle w:val="ListParagraph"/>
        <w:numPr>
          <w:ilvl w:val="0"/>
          <w:numId w:val="11"/>
        </w:numPr>
      </w:pPr>
      <w:r w:rsidRPr="005A2645">
        <w:rPr>
          <w:b/>
        </w:rPr>
        <w:t>Voluntary measure (VIM)</w:t>
      </w:r>
      <w:r>
        <w:t xml:space="preserve"> – People can volunteer to go onto IM and have 50 per cent of their income support payments income managed.</w:t>
      </w:r>
    </w:p>
    <w:p w14:paraId="1B866249" w14:textId="77777777" w:rsidR="001A3BDB" w:rsidRDefault="001A3BDB" w:rsidP="00E1077A">
      <w:pPr>
        <w:pStyle w:val="ListParagraph"/>
        <w:numPr>
          <w:ilvl w:val="0"/>
          <w:numId w:val="11"/>
        </w:numPr>
      </w:pPr>
      <w:r w:rsidRPr="00943BC5">
        <w:rPr>
          <w:b/>
        </w:rPr>
        <w:t>Vulnerable measure</w:t>
      </w:r>
      <w:r>
        <w:rPr>
          <w:b/>
        </w:rPr>
        <w:t xml:space="preserve"> (VWPR)</w:t>
      </w:r>
      <w:r>
        <w:t xml:space="preserve"> – This measure is aimed at helping vulnerable youth or at-risk individuals and their families to manage their income support and family assistance payments more effectively. People on the vulnerable measures have 50 per cent of their income support payments income managed.</w:t>
      </w:r>
    </w:p>
    <w:p w14:paraId="0D7545B7" w14:textId="77777777" w:rsidR="001A3BDB" w:rsidRDefault="001A3BDB" w:rsidP="00E1077A">
      <w:pPr>
        <w:pStyle w:val="ListParagraph"/>
        <w:numPr>
          <w:ilvl w:val="0"/>
          <w:numId w:val="11"/>
        </w:numPr>
      </w:pPr>
      <w:r w:rsidRPr="00943BC5">
        <w:rPr>
          <w:b/>
        </w:rPr>
        <w:t>Child Protection measure</w:t>
      </w:r>
      <w:r>
        <w:t xml:space="preserve"> – IM is an additional tool for child protection authorities to ensure income support payments are spent in the best interest of children and families. Child protection authorities can refer a person for Child Protection IM where 70 per cent of a person’s income support payments are income managed.</w:t>
      </w:r>
    </w:p>
    <w:p w14:paraId="670043FC" w14:textId="77777777" w:rsidR="001A3BDB" w:rsidRDefault="001A3BDB" w:rsidP="00E1077A">
      <w:pPr>
        <w:pStyle w:val="ListParagraph"/>
        <w:numPr>
          <w:ilvl w:val="0"/>
          <w:numId w:val="11"/>
        </w:numPr>
      </w:pPr>
      <w:r w:rsidRPr="00943BC5">
        <w:rPr>
          <w:b/>
        </w:rPr>
        <w:t>Supporting People at Risk measure</w:t>
      </w:r>
      <w:r>
        <w:rPr>
          <w:b/>
        </w:rPr>
        <w:t xml:space="preserve"> (SPaR)</w:t>
      </w:r>
      <w:r>
        <w:t xml:space="preserve"> – </w:t>
      </w:r>
      <w:r w:rsidR="006F5A54">
        <w:t>Currently the Supporting People at Risk measure is being used by the Northern Territory Registrar of the Banned Drinker Register for people needing help with alcohol abuse. People who are referred by the Registrar have 70 per cent of their income support payments income managed.</w:t>
      </w:r>
    </w:p>
    <w:p w14:paraId="103D17D5" w14:textId="77777777" w:rsidR="001A3BDB" w:rsidRDefault="001A3BDB" w:rsidP="00E1077A">
      <w:pPr>
        <w:pStyle w:val="ListParagraph"/>
        <w:numPr>
          <w:ilvl w:val="0"/>
          <w:numId w:val="11"/>
        </w:numPr>
      </w:pPr>
      <w:r w:rsidRPr="00943BC5">
        <w:rPr>
          <w:b/>
        </w:rPr>
        <w:t>Long Term Welfare Payment Recipients and Disengaged Youth measures</w:t>
      </w:r>
      <w:r>
        <w:t xml:space="preserve"> (</w:t>
      </w:r>
      <w:r w:rsidR="003B0A20">
        <w:t>NT</w:t>
      </w:r>
      <w:r>
        <w:t xml:space="preserve"> only) – People in the </w:t>
      </w:r>
      <w:r w:rsidR="001851AD">
        <w:t>NT</w:t>
      </w:r>
      <w:r>
        <w:t xml:space="preserve"> who have been out of work or study for some time, go onto these measures and have 50 per cent of their income support payments income managed.</w:t>
      </w:r>
    </w:p>
    <w:p w14:paraId="12C7EE78" w14:textId="77777777" w:rsidR="001A3BDB" w:rsidRPr="007A3340" w:rsidRDefault="001A3BDB" w:rsidP="001A3BDB">
      <w:r w:rsidRPr="007A3340">
        <w:t xml:space="preserve">IM sites </w:t>
      </w:r>
      <w:r w:rsidR="00C9205E">
        <w:t xml:space="preserve">were selected </w:t>
      </w:r>
      <w:r w:rsidRPr="007A3340">
        <w:t>based on certain criteria, including:</w:t>
      </w:r>
    </w:p>
    <w:p w14:paraId="1B142BE4" w14:textId="77777777" w:rsidR="001A3BDB" w:rsidRPr="007A3340" w:rsidRDefault="001A3BDB" w:rsidP="00E1077A">
      <w:pPr>
        <w:pStyle w:val="ListParagraph"/>
        <w:numPr>
          <w:ilvl w:val="0"/>
          <w:numId w:val="13"/>
        </w:numPr>
      </w:pPr>
      <w:r>
        <w:t>H</w:t>
      </w:r>
      <w:r w:rsidRPr="007A3340">
        <w:t>igh levels of antisocial behaviour, including vi</w:t>
      </w:r>
      <w:r w:rsidR="00BD7A0E">
        <w:t>olence and alcohol consumption;</w:t>
      </w:r>
    </w:p>
    <w:p w14:paraId="6FE48971" w14:textId="77777777" w:rsidR="001A3BDB" w:rsidRPr="007A3340" w:rsidRDefault="001A3BDB" w:rsidP="00E1077A">
      <w:pPr>
        <w:pStyle w:val="ListParagraph"/>
        <w:numPr>
          <w:ilvl w:val="0"/>
          <w:numId w:val="13"/>
        </w:numPr>
      </w:pPr>
      <w:r>
        <w:t>F</w:t>
      </w:r>
      <w:r w:rsidRPr="007A3340">
        <w:t xml:space="preserve">ollowing a consultation period at </w:t>
      </w:r>
      <w:r w:rsidR="00BD7A0E">
        <w:t>the request of a community; and</w:t>
      </w:r>
    </w:p>
    <w:p w14:paraId="2D79960F" w14:textId="77777777" w:rsidR="001A3BDB" w:rsidRDefault="001A3BDB" w:rsidP="00E1077A">
      <w:pPr>
        <w:pStyle w:val="ListParagraph"/>
        <w:numPr>
          <w:ilvl w:val="0"/>
          <w:numId w:val="13"/>
        </w:numPr>
      </w:pPr>
      <w:r>
        <w:t>I</w:t>
      </w:r>
      <w:r w:rsidRPr="007A3340">
        <w:t>n response to a recommendation of an inquiry or inquest.</w:t>
      </w:r>
    </w:p>
    <w:p w14:paraId="2C7E8768" w14:textId="77777777" w:rsidR="001A3BDB" w:rsidRDefault="001A3BDB" w:rsidP="001A3BDB">
      <w:r>
        <w:t>The existing sites and applicable measures are summarised in</w:t>
      </w:r>
      <w:r w:rsidR="005305D2">
        <w:t xml:space="preserve"> </w:t>
      </w:r>
      <w:r w:rsidR="005305D2" w:rsidRPr="001E50C0">
        <w:rPr>
          <w:b/>
        </w:rPr>
        <w:fldChar w:fldCharType="begin"/>
      </w:r>
      <w:r w:rsidR="005305D2" w:rsidRPr="001E50C0">
        <w:rPr>
          <w:b/>
        </w:rPr>
        <w:instrText xml:space="preserve"> REF _Ref107839023 \h </w:instrText>
      </w:r>
      <w:r w:rsidR="001E50C0">
        <w:rPr>
          <w:b/>
        </w:rPr>
        <w:instrText xml:space="preserve"> \* MERGEFORMAT </w:instrText>
      </w:r>
      <w:r w:rsidR="005305D2" w:rsidRPr="001E50C0">
        <w:rPr>
          <w:b/>
        </w:rPr>
      </w:r>
      <w:r w:rsidR="005305D2" w:rsidRPr="001E50C0">
        <w:rPr>
          <w:b/>
        </w:rPr>
        <w:fldChar w:fldCharType="separate"/>
      </w:r>
      <w:r w:rsidR="00240150">
        <w:t xml:space="preserve">Table </w:t>
      </w:r>
      <w:r w:rsidR="00240150">
        <w:rPr>
          <w:noProof/>
        </w:rPr>
        <w:t>1</w:t>
      </w:r>
      <w:r w:rsidR="005305D2" w:rsidRPr="001E50C0">
        <w:rPr>
          <w:b/>
        </w:rPr>
        <w:fldChar w:fldCharType="end"/>
      </w:r>
      <w:r w:rsidR="005305D2" w:rsidRPr="001E50C0">
        <w:rPr>
          <w:b/>
        </w:rPr>
        <w:t>.</w:t>
      </w:r>
    </w:p>
    <w:p w14:paraId="0D1D5EFA" w14:textId="77777777" w:rsidR="001A3BDB" w:rsidRPr="005305D2" w:rsidRDefault="005305D2" w:rsidP="005305D2">
      <w:pPr>
        <w:pStyle w:val="Caption"/>
      </w:pPr>
      <w:bookmarkStart w:id="14" w:name="_Ref107839023"/>
      <w:bookmarkStart w:id="15" w:name="_Ref107839050"/>
      <w:bookmarkStart w:id="16" w:name="_Toc108008540"/>
      <w:bookmarkStart w:id="17" w:name="_Toc118103806"/>
      <w:r>
        <w:t xml:space="preserve">Table </w:t>
      </w:r>
      <w:fldSimple w:instr=" SEQ Table \* ARABIC ">
        <w:r w:rsidR="00EA44C7">
          <w:rPr>
            <w:noProof/>
          </w:rPr>
          <w:t>1</w:t>
        </w:r>
      </w:fldSimple>
      <w:bookmarkEnd w:id="14"/>
      <w:r>
        <w:t>: Existing Income Management sites and applicable measures</w:t>
      </w:r>
      <w:bookmarkEnd w:id="15"/>
      <w:bookmarkEnd w:id="16"/>
      <w:bookmarkEnd w:id="17"/>
    </w:p>
    <w:tbl>
      <w:tblPr>
        <w:tblStyle w:val="PlainTable4"/>
        <w:tblW w:w="10065" w:type="dxa"/>
        <w:tblLook w:val="04A0" w:firstRow="1" w:lastRow="0" w:firstColumn="1" w:lastColumn="0" w:noHBand="0" w:noVBand="1"/>
        <w:tblDescription w:val="Table 1 - Exisiting Income Management sites and applicable measures"/>
      </w:tblPr>
      <w:tblGrid>
        <w:gridCol w:w="5433"/>
        <w:gridCol w:w="4632"/>
      </w:tblGrid>
      <w:tr w:rsidR="001A3BDB" w14:paraId="639A3DE2" w14:textId="77777777" w:rsidTr="000744B4">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5433" w:type="dxa"/>
          </w:tcPr>
          <w:p w14:paraId="3AD14728" w14:textId="77777777" w:rsidR="001A3BDB" w:rsidRPr="00C70ADD" w:rsidRDefault="001A3BDB" w:rsidP="00C050EB">
            <w:pPr>
              <w:jc w:val="center"/>
              <w:rPr>
                <w:sz w:val="24"/>
                <w:szCs w:val="24"/>
              </w:rPr>
            </w:pPr>
            <w:r w:rsidRPr="00C70ADD">
              <w:rPr>
                <w:sz w:val="24"/>
                <w:szCs w:val="24"/>
              </w:rPr>
              <w:t>LOCATION</w:t>
            </w:r>
          </w:p>
        </w:tc>
        <w:tc>
          <w:tcPr>
            <w:tcW w:w="4632" w:type="dxa"/>
          </w:tcPr>
          <w:p w14:paraId="09A39510" w14:textId="77777777" w:rsidR="001A3BDB" w:rsidRPr="00C70ADD" w:rsidRDefault="001A3BDB" w:rsidP="00C050EB">
            <w:pPr>
              <w:jc w:val="center"/>
              <w:cnfStyle w:val="100000000000" w:firstRow="1" w:lastRow="0" w:firstColumn="0" w:lastColumn="0" w:oddVBand="0" w:evenVBand="0" w:oddHBand="0" w:evenHBand="0" w:firstRowFirstColumn="0" w:firstRowLastColumn="0" w:lastRowFirstColumn="0" w:lastRowLastColumn="0"/>
              <w:rPr>
                <w:sz w:val="24"/>
                <w:szCs w:val="24"/>
              </w:rPr>
            </w:pPr>
            <w:r w:rsidRPr="00C70ADD">
              <w:rPr>
                <w:sz w:val="24"/>
                <w:szCs w:val="24"/>
              </w:rPr>
              <w:t>MEASURE</w:t>
            </w:r>
          </w:p>
        </w:tc>
      </w:tr>
      <w:tr w:rsidR="001A3BDB" w14:paraId="77CA21A1" w14:textId="77777777" w:rsidTr="00465551">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5433" w:type="dxa"/>
          </w:tcPr>
          <w:p w14:paraId="2F44F459" w14:textId="77777777" w:rsidR="001A3BDB" w:rsidRPr="004F4269" w:rsidRDefault="001A3BDB" w:rsidP="00C050EB">
            <w:pPr>
              <w:rPr>
                <w:b w:val="0"/>
              </w:rPr>
            </w:pPr>
            <w:r w:rsidRPr="004F4269">
              <w:rPr>
                <w:b w:val="0"/>
              </w:rPr>
              <w:t>Income Manag</w:t>
            </w:r>
            <w:r w:rsidR="00BD7A0E">
              <w:rPr>
                <w:b w:val="0"/>
              </w:rPr>
              <w:t xml:space="preserve">ement in the </w:t>
            </w:r>
            <w:r w:rsidR="001851AD">
              <w:rPr>
                <w:b w:val="0"/>
              </w:rPr>
              <w:t>NT</w:t>
            </w:r>
          </w:p>
          <w:p w14:paraId="035ECDBB" w14:textId="77777777" w:rsidR="001A3BDB" w:rsidRPr="004F4269" w:rsidRDefault="001A3BDB" w:rsidP="00C050EB">
            <w:pPr>
              <w:rPr>
                <w:b w:val="0"/>
              </w:rPr>
            </w:pPr>
          </w:p>
          <w:p w14:paraId="670738C7" w14:textId="77777777" w:rsidR="001A3BDB" w:rsidRPr="004F4269" w:rsidRDefault="001A3BDB" w:rsidP="00C050EB">
            <w:pPr>
              <w:rPr>
                <w:b w:val="0"/>
                <w:i/>
              </w:rPr>
            </w:pPr>
            <w:r w:rsidRPr="004F4269">
              <w:rPr>
                <w:b w:val="0"/>
                <w:i/>
              </w:rPr>
              <w:t>As of 17 March 2021, Northern Territory Income Management participants can opt-in to the CDC program. Participants can remain on Income Management if they choose to do so.</w:t>
            </w:r>
          </w:p>
        </w:tc>
        <w:tc>
          <w:tcPr>
            <w:tcW w:w="4632" w:type="dxa"/>
          </w:tcPr>
          <w:p w14:paraId="1B1A0CD4" w14:textId="77777777" w:rsidR="001A3BDB" w:rsidRDefault="00BD7A0E" w:rsidP="00280EA1">
            <w:pPr>
              <w:ind w:left="465" w:hanging="465"/>
              <w:cnfStyle w:val="000000100000" w:firstRow="0" w:lastRow="0" w:firstColumn="0" w:lastColumn="0" w:oddVBand="0" w:evenVBand="0" w:oddHBand="1" w:evenHBand="0" w:firstRowFirstColumn="0" w:firstRowLastColumn="0" w:lastRowFirstColumn="0" w:lastRowLastColumn="0"/>
            </w:pPr>
            <w:r>
              <w:t>Voluntary Income Management</w:t>
            </w:r>
          </w:p>
          <w:p w14:paraId="516ACF05" w14:textId="77777777" w:rsidR="001A3BDB" w:rsidRDefault="00BD7A0E" w:rsidP="00280EA1">
            <w:pPr>
              <w:spacing w:line="276" w:lineRule="auto"/>
              <w:ind w:left="465" w:hanging="465"/>
              <w:cnfStyle w:val="000000100000" w:firstRow="0" w:lastRow="0" w:firstColumn="0" w:lastColumn="0" w:oddVBand="0" w:evenVBand="0" w:oddHBand="1" w:evenHBand="0" w:firstRowFirstColumn="0" w:firstRowLastColumn="0" w:lastRowFirstColumn="0" w:lastRowLastColumn="0"/>
            </w:pPr>
            <w:r>
              <w:t>Vulnerable measure</w:t>
            </w:r>
          </w:p>
          <w:p w14:paraId="0994E0E4" w14:textId="77777777" w:rsidR="001A3BDB" w:rsidRDefault="00BD7A0E" w:rsidP="00280EA1">
            <w:pPr>
              <w:ind w:left="465" w:hanging="465"/>
              <w:cnfStyle w:val="000000100000" w:firstRow="0" w:lastRow="0" w:firstColumn="0" w:lastColumn="0" w:oddVBand="0" w:evenVBand="0" w:oddHBand="1" w:evenHBand="0" w:firstRowFirstColumn="0" w:firstRowLastColumn="0" w:lastRowFirstColumn="0" w:lastRowLastColumn="0"/>
            </w:pPr>
            <w:r>
              <w:t>Child Protection measure</w:t>
            </w:r>
          </w:p>
          <w:p w14:paraId="2F8437C9" w14:textId="77777777" w:rsidR="001A3BDB" w:rsidRDefault="00BD7A0E" w:rsidP="00280EA1">
            <w:pPr>
              <w:ind w:left="465" w:hanging="465"/>
              <w:cnfStyle w:val="000000100000" w:firstRow="0" w:lastRow="0" w:firstColumn="0" w:lastColumn="0" w:oddVBand="0" w:evenVBand="0" w:oddHBand="1" w:evenHBand="0" w:firstRowFirstColumn="0" w:firstRowLastColumn="0" w:lastRowFirstColumn="0" w:lastRowLastColumn="0"/>
            </w:pPr>
            <w:r>
              <w:t>Disengaged Youth measure</w:t>
            </w:r>
          </w:p>
          <w:p w14:paraId="7E5CF341" w14:textId="77777777" w:rsidR="001A3BDB" w:rsidRDefault="001A3BDB" w:rsidP="00280EA1">
            <w:pPr>
              <w:ind w:left="465" w:hanging="465"/>
              <w:cnfStyle w:val="000000100000" w:firstRow="0" w:lastRow="0" w:firstColumn="0" w:lastColumn="0" w:oddVBand="0" w:evenVBand="0" w:oddHBand="1" w:evenHBand="0" w:firstRowFirstColumn="0" w:firstRowLastColumn="0" w:lastRowFirstColumn="0" w:lastRowLastColumn="0"/>
            </w:pPr>
            <w:r>
              <w:t>Long Term We</w:t>
            </w:r>
            <w:r w:rsidR="00BD7A0E">
              <w:t>lfare Payment recipient measure</w:t>
            </w:r>
          </w:p>
          <w:p w14:paraId="4EED11A1" w14:textId="77777777" w:rsidR="001A3BDB" w:rsidRDefault="00BD7A0E" w:rsidP="00280EA1">
            <w:pPr>
              <w:ind w:left="465" w:hanging="465"/>
              <w:cnfStyle w:val="000000100000" w:firstRow="0" w:lastRow="0" w:firstColumn="0" w:lastColumn="0" w:oddVBand="0" w:evenVBand="0" w:oddHBand="1" w:evenHBand="0" w:firstRowFirstColumn="0" w:firstRowLastColumn="0" w:lastRowFirstColumn="0" w:lastRowLastColumn="0"/>
            </w:pPr>
            <w:r>
              <w:t>Support people at risk</w:t>
            </w:r>
          </w:p>
        </w:tc>
      </w:tr>
      <w:tr w:rsidR="001A3BDB" w14:paraId="6467FE5C" w14:textId="77777777" w:rsidTr="00465551">
        <w:trPr>
          <w:trHeight w:val="1895"/>
        </w:trPr>
        <w:tc>
          <w:tcPr>
            <w:cnfStyle w:val="001000000000" w:firstRow="0" w:lastRow="0" w:firstColumn="1" w:lastColumn="0" w:oddVBand="0" w:evenVBand="0" w:oddHBand="0" w:evenHBand="0" w:firstRowFirstColumn="0" w:firstRowLastColumn="0" w:lastRowFirstColumn="0" w:lastRowLastColumn="0"/>
            <w:tcW w:w="5433" w:type="dxa"/>
          </w:tcPr>
          <w:p w14:paraId="20791D05" w14:textId="77777777" w:rsidR="001A3BDB" w:rsidRPr="004F4269" w:rsidRDefault="001A3BDB" w:rsidP="00C050EB">
            <w:pPr>
              <w:rPr>
                <w:b w:val="0"/>
              </w:rPr>
            </w:pPr>
            <w:r w:rsidRPr="004F4269">
              <w:rPr>
                <w:b w:val="0"/>
              </w:rPr>
              <w:t>Place-based Income Manag</w:t>
            </w:r>
            <w:r w:rsidR="00BD7A0E">
              <w:rPr>
                <w:b w:val="0"/>
              </w:rPr>
              <w:t>ement sites:</w:t>
            </w:r>
          </w:p>
          <w:p w14:paraId="615B0249" w14:textId="77777777" w:rsidR="001A3BDB" w:rsidRPr="004F4269" w:rsidRDefault="001A3BDB" w:rsidP="00E1077A">
            <w:pPr>
              <w:pStyle w:val="ListParagraph"/>
              <w:numPr>
                <w:ilvl w:val="0"/>
                <w:numId w:val="10"/>
              </w:numPr>
              <w:rPr>
                <w:b w:val="0"/>
              </w:rPr>
            </w:pPr>
            <w:r w:rsidRPr="004F4269">
              <w:rPr>
                <w:b w:val="0"/>
              </w:rPr>
              <w:t>Rockhampton, Logan and Livingstone in Queensland</w:t>
            </w:r>
          </w:p>
          <w:p w14:paraId="7B739092" w14:textId="77777777" w:rsidR="001A3BDB" w:rsidRPr="004F4269" w:rsidRDefault="001A3BDB" w:rsidP="00E1077A">
            <w:pPr>
              <w:pStyle w:val="ListParagraph"/>
              <w:numPr>
                <w:ilvl w:val="0"/>
                <w:numId w:val="10"/>
              </w:numPr>
              <w:rPr>
                <w:b w:val="0"/>
              </w:rPr>
            </w:pPr>
            <w:r w:rsidRPr="004F4269">
              <w:rPr>
                <w:b w:val="0"/>
              </w:rPr>
              <w:t xml:space="preserve">Metro Perth, the Peel district, the Kimberley and Ngaanyatjarra </w:t>
            </w:r>
            <w:r>
              <w:rPr>
                <w:b w:val="0"/>
              </w:rPr>
              <w:t xml:space="preserve">(NG) </w:t>
            </w:r>
            <w:r w:rsidRPr="004F4269">
              <w:rPr>
                <w:b w:val="0"/>
              </w:rPr>
              <w:t>Lands in Western Australia</w:t>
            </w:r>
          </w:p>
          <w:p w14:paraId="1B7E1A04" w14:textId="77777777" w:rsidR="001A3BDB" w:rsidRPr="004F4269" w:rsidRDefault="001A3BDB" w:rsidP="00E1077A">
            <w:pPr>
              <w:pStyle w:val="ListParagraph"/>
              <w:numPr>
                <w:ilvl w:val="0"/>
                <w:numId w:val="10"/>
              </w:numPr>
              <w:rPr>
                <w:b w:val="0"/>
              </w:rPr>
            </w:pPr>
            <w:r w:rsidRPr="004F4269">
              <w:rPr>
                <w:b w:val="0"/>
              </w:rPr>
              <w:t>Bankstown in New South Wales</w:t>
            </w:r>
          </w:p>
          <w:p w14:paraId="4FB8D15C" w14:textId="77777777" w:rsidR="001A3BDB" w:rsidRPr="004F4269" w:rsidRDefault="001A3BDB" w:rsidP="00E1077A">
            <w:pPr>
              <w:pStyle w:val="ListParagraph"/>
              <w:numPr>
                <w:ilvl w:val="0"/>
                <w:numId w:val="10"/>
              </w:numPr>
              <w:rPr>
                <w:b w:val="0"/>
              </w:rPr>
            </w:pPr>
            <w:r w:rsidRPr="004F4269">
              <w:rPr>
                <w:b w:val="0"/>
              </w:rPr>
              <w:t>Greater Shepparton in Victoria</w:t>
            </w:r>
          </w:p>
          <w:p w14:paraId="0044A253" w14:textId="77777777" w:rsidR="001A3BDB" w:rsidRPr="004F4269" w:rsidRDefault="001A3BDB" w:rsidP="00E1077A">
            <w:pPr>
              <w:pStyle w:val="ListParagraph"/>
              <w:numPr>
                <w:ilvl w:val="0"/>
                <w:numId w:val="10"/>
              </w:numPr>
              <w:rPr>
                <w:b w:val="0"/>
              </w:rPr>
            </w:pPr>
            <w:r w:rsidRPr="004F4269">
              <w:rPr>
                <w:b w:val="0"/>
              </w:rPr>
              <w:t>Greater Adelaide, APY Lands and Playford in South Australia</w:t>
            </w:r>
          </w:p>
        </w:tc>
        <w:tc>
          <w:tcPr>
            <w:tcW w:w="4632" w:type="dxa"/>
          </w:tcPr>
          <w:p w14:paraId="6413ECD8" w14:textId="77777777" w:rsidR="001A3BDB" w:rsidRPr="00B25F92" w:rsidRDefault="001A3BDB" w:rsidP="00C050EB">
            <w:pPr>
              <w:cnfStyle w:val="000000000000" w:firstRow="0" w:lastRow="0" w:firstColumn="0" w:lastColumn="0" w:oddVBand="0" w:evenVBand="0" w:oddHBand="0" w:evenHBand="0" w:firstRowFirstColumn="0" w:firstRowLastColumn="0" w:lastRowFirstColumn="0" w:lastRowLastColumn="0"/>
            </w:pPr>
            <w:r w:rsidRPr="00B25F92">
              <w:t>Voluntary Income Management</w:t>
            </w:r>
          </w:p>
          <w:p w14:paraId="6B71F821" w14:textId="77777777" w:rsidR="001A3BDB" w:rsidRPr="00B25F92" w:rsidRDefault="00BD7A0E" w:rsidP="00C050EB">
            <w:pPr>
              <w:cnfStyle w:val="000000000000" w:firstRow="0" w:lastRow="0" w:firstColumn="0" w:lastColumn="0" w:oddVBand="0" w:evenVBand="0" w:oddHBand="0" w:evenHBand="0" w:firstRowFirstColumn="0" w:firstRowLastColumn="0" w:lastRowFirstColumn="0" w:lastRowLastColumn="0"/>
            </w:pPr>
            <w:r w:rsidRPr="00B25F92">
              <w:t>Children Protection Measure</w:t>
            </w:r>
          </w:p>
          <w:p w14:paraId="0E48F42A" w14:textId="77777777" w:rsidR="001A3BDB" w:rsidRPr="00B25F92" w:rsidRDefault="001A3BDB" w:rsidP="00C050EB">
            <w:pPr>
              <w:cnfStyle w:val="000000000000" w:firstRow="0" w:lastRow="0" w:firstColumn="0" w:lastColumn="0" w:oddVBand="0" w:evenVBand="0" w:oddHBand="0" w:evenHBand="0" w:firstRowFirstColumn="0" w:firstRowLastColumn="0" w:lastRowFirstColumn="0" w:lastRowLastColumn="0"/>
            </w:pPr>
            <w:r w:rsidRPr="00B25F92">
              <w:t>Vulnerable Measure (Social Worker Referrals)</w:t>
            </w:r>
          </w:p>
          <w:p w14:paraId="1FCBB192" w14:textId="77777777" w:rsidR="001A3BDB" w:rsidRDefault="001A3BDB" w:rsidP="00C050EB">
            <w:pPr>
              <w:cnfStyle w:val="000000000000" w:firstRow="0" w:lastRow="0" w:firstColumn="0" w:lastColumn="0" w:oddVBand="0" w:evenVBand="0" w:oddHBand="0" w:evenHBand="0" w:firstRowFirstColumn="0" w:firstRowLastColumn="0" w:lastRowFirstColumn="0" w:lastRowLastColumn="0"/>
            </w:pPr>
            <w:r w:rsidRPr="00B25F92">
              <w:t>Vul</w:t>
            </w:r>
            <w:r w:rsidR="00BD7A0E" w:rsidRPr="00B25F92">
              <w:t>nerable Measure (Youth Trigger)</w:t>
            </w:r>
          </w:p>
        </w:tc>
      </w:tr>
    </w:tbl>
    <w:p w14:paraId="049604D7" w14:textId="77777777" w:rsidR="00280EA1" w:rsidRDefault="003E286C" w:rsidP="00F363D1">
      <w:pPr>
        <w:pStyle w:val="Caption"/>
        <w:ind w:left="0" w:firstLine="0"/>
        <w:rPr>
          <w:sz w:val="16"/>
          <w:szCs w:val="16"/>
        </w:rPr>
      </w:pPr>
      <w:bookmarkStart w:id="18" w:name="_Ref111481007"/>
      <w:bookmarkStart w:id="19" w:name="_Ref112068535"/>
      <w:bookmarkStart w:id="20" w:name="_Toc118103816"/>
      <w:r>
        <w:t xml:space="preserve">Figure </w:t>
      </w:r>
      <w:fldSimple w:instr=" SEQ Figure \* ARABIC ">
        <w:r w:rsidR="001F096E">
          <w:rPr>
            <w:noProof/>
          </w:rPr>
          <w:t>1</w:t>
        </w:r>
      </w:fldSimple>
      <w:bookmarkEnd w:id="18"/>
      <w:r>
        <w:t>: Income Manag</w:t>
      </w:r>
      <w:r w:rsidR="003670B3">
        <w:t>e</w:t>
      </w:r>
      <w:r>
        <w:t>ment</w:t>
      </w:r>
      <w:bookmarkEnd w:id="19"/>
      <w:bookmarkEnd w:id="20"/>
    </w:p>
    <w:p w14:paraId="0A44516C" w14:textId="0F7F9337" w:rsidR="00E77B0D" w:rsidRDefault="00E85094" w:rsidP="00E77B0D">
      <w:r>
        <w:rPr>
          <w:noProof/>
          <w:lang w:eastAsia="en-AU"/>
        </w:rPr>
        <w:drawing>
          <wp:inline distT="0" distB="0" distL="0" distR="0" wp14:anchorId="2C3F5DED" wp14:editId="48C4C54B">
            <wp:extent cx="6479540" cy="4145915"/>
            <wp:effectExtent l="0" t="0" r="0" b="6985"/>
            <wp:docPr id="3" name="Picture 3" descr="Figure 1 - Income Management&#10;&#10;This infographic shows IM participants in their current location&#10;&#10;Active IM participation data as at 27 May 2022.&#10;&#10;Total current IM participants 24,825&#10;&#10;NG Lands&#10;&#10;Total IM participants 74 First Nations 93%&#10;&#10;Perth&#10;&#10;Total IM participants 158 First Nations 14%&#10;&#10;APY Lands&#10;&#10;Total IM participants 89 First Nations n.p*&#10;&#10;Northern Terrtiory&#10;&#10;Total IM participants 23,099 First Nations 84%&#10;&#10;Other IM locations and outside IM locations&#10;&#10;Total IM participants 1,156 First Nations 51%&#10;&#10;Greater Adelaide&#10;&#10;Total IM participants 249 First Nation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4145915"/>
                    </a:xfrm>
                    <a:prstGeom prst="rect">
                      <a:avLst/>
                    </a:prstGeom>
                  </pic:spPr>
                </pic:pic>
              </a:graphicData>
            </a:graphic>
          </wp:inline>
        </w:drawing>
      </w:r>
    </w:p>
    <w:p w14:paraId="09415824" w14:textId="77777777" w:rsidR="00B865DE" w:rsidRPr="00AB28E8" w:rsidRDefault="00B865DE" w:rsidP="00B865DE">
      <w:pPr>
        <w:ind w:left="142"/>
        <w:rPr>
          <w:rFonts w:ascii="Arial" w:hAnsi="Arial" w:cs="Arial"/>
          <w:sz w:val="14"/>
        </w:rPr>
      </w:pPr>
      <w:r w:rsidRPr="00AB28E8">
        <w:rPr>
          <w:rFonts w:ascii="Arial" w:hAnsi="Arial" w:cs="Arial"/>
          <w:sz w:val="14"/>
        </w:rPr>
        <w:t>This infographic shows IM participants by their current location. ‘Other IM locations’ are Kimberley (WA), Kiwirrkurra community (WA), Playford (SA), Greater Shepparton (VIC), Bankstown (NSW), Logan (QLD) and Rockhampton (QLD). ‘Outside IM locations’ refers to participants who have moved out of an IM location but remain on the program.</w:t>
      </w:r>
    </w:p>
    <w:p w14:paraId="4C5EAABE" w14:textId="77777777" w:rsidR="00B865DE" w:rsidRDefault="00B865DE" w:rsidP="00B865DE">
      <w:pPr>
        <w:ind w:left="142"/>
        <w:rPr>
          <w:rFonts w:ascii="Arial" w:hAnsi="Arial" w:cs="Arial"/>
          <w:sz w:val="14"/>
        </w:rPr>
      </w:pPr>
      <w:r w:rsidRPr="00AB28E8">
        <w:rPr>
          <w:rFonts w:ascii="Arial" w:hAnsi="Arial" w:cs="Arial"/>
          <w:sz w:val="14"/>
        </w:rPr>
        <w:t>Active IM participant data as at 27 May 2022. Note regional population data for the Northern Territory from the 2026 census (Australian Bureau of Statistics): total Northern Territory population 228,833 (26% First Nations)</w:t>
      </w:r>
    </w:p>
    <w:p w14:paraId="79F4613D" w14:textId="6B162A39" w:rsidR="00E77B0D" w:rsidRPr="00B865DE" w:rsidRDefault="00E77B0D" w:rsidP="00B865DE">
      <w:pPr>
        <w:ind w:left="142"/>
        <w:rPr>
          <w:rFonts w:ascii="Arial" w:hAnsi="Arial" w:cs="Arial"/>
          <w:sz w:val="14"/>
        </w:rPr>
      </w:pPr>
      <w:r w:rsidRPr="00CC563D">
        <w:rPr>
          <w:rFonts w:ascii="Bahnschrift Light SemiCondensed" w:hAnsi="Bahnschrift Light SemiCondensed" w:cs="Arial"/>
          <w:sz w:val="16"/>
          <w:szCs w:val="16"/>
        </w:rPr>
        <w:t>In line with departmental data confidentialisation requirements, data relating to small numbers of people are</w:t>
      </w:r>
      <w:r w:rsidRPr="00CC563D">
        <w:rPr>
          <w:rFonts w:ascii="Bahnschrift Light SemiCondensed" w:hAnsi="Bahnschrift Light SemiCondensed"/>
          <w:sz w:val="16"/>
          <w:szCs w:val="16"/>
        </w:rPr>
        <w:t xml:space="preserve"> not provided (n.p.).</w:t>
      </w:r>
    </w:p>
    <w:p w14:paraId="2F436C87" w14:textId="5EB75CFF" w:rsidR="004A6F5F" w:rsidRDefault="004A6F5F">
      <w:r>
        <w:br w:type="page"/>
      </w:r>
    </w:p>
    <w:p w14:paraId="54FC499A" w14:textId="150254E9" w:rsidR="001A3BDB" w:rsidRDefault="00D94476" w:rsidP="001A3BDB">
      <w:r>
        <w:rPr>
          <w:rFonts w:ascii="Calibri" w:hAnsi="Calibri" w:cs="Calibri"/>
          <w:lang w:val="en"/>
        </w:rPr>
        <w:t xml:space="preserve">On </w:t>
      </w:r>
      <w:r w:rsidR="000E3690">
        <w:rPr>
          <w:rFonts w:ascii="Calibri" w:hAnsi="Calibri" w:cs="Calibri"/>
          <w:lang w:val="en"/>
        </w:rPr>
        <w:t>26 March 2020</w:t>
      </w:r>
      <w:r>
        <w:rPr>
          <w:rFonts w:ascii="Calibri" w:hAnsi="Calibri" w:cs="Calibri"/>
          <w:lang w:val="en"/>
        </w:rPr>
        <w:t xml:space="preserve"> </w:t>
      </w:r>
      <w:r w:rsidR="001A3BDB">
        <w:rPr>
          <w:rFonts w:ascii="Calibri" w:hAnsi="Calibri" w:cs="Calibri"/>
          <w:lang w:val="en"/>
        </w:rPr>
        <w:t>t</w:t>
      </w:r>
      <w:r w:rsidR="001A3BDB" w:rsidRPr="00A428AB">
        <w:rPr>
          <w:rFonts w:ascii="Calibri" w:hAnsi="Calibri" w:cs="Calibri"/>
          <w:lang w:val="en"/>
        </w:rPr>
        <w:t xml:space="preserve">he </w:t>
      </w:r>
      <w:r w:rsidR="001A3BDB" w:rsidRPr="00A428AB">
        <w:rPr>
          <w:rFonts w:ascii="Calibri" w:hAnsi="Calibri" w:cs="Calibri"/>
          <w:i/>
          <w:iCs/>
          <w:lang w:val="en"/>
        </w:rPr>
        <w:t>Social Security (Administration) Amendment (Continuation of Cashless Welfare) Act 2020</w:t>
      </w:r>
      <w:r w:rsidR="001A3BDB" w:rsidRPr="00A428AB">
        <w:rPr>
          <w:rFonts w:ascii="Calibri" w:hAnsi="Calibri" w:cs="Calibri"/>
          <w:lang w:val="en"/>
        </w:rPr>
        <w:t xml:space="preserve"> (the Act)</w:t>
      </w:r>
      <w:r w:rsidR="001A3BDB">
        <w:rPr>
          <w:rFonts w:ascii="Calibri" w:hAnsi="Calibri" w:cs="Calibri"/>
          <w:lang w:val="en"/>
        </w:rPr>
        <w:t xml:space="preserve"> </w:t>
      </w:r>
      <w:r w:rsidR="000E3690">
        <w:rPr>
          <w:rFonts w:ascii="Calibri" w:hAnsi="Calibri" w:cs="Calibri"/>
          <w:lang w:val="en"/>
        </w:rPr>
        <w:t xml:space="preserve">was passed and allowed for the </w:t>
      </w:r>
      <w:r w:rsidR="001A3BDB" w:rsidRPr="00A428AB">
        <w:rPr>
          <w:rFonts w:ascii="Calibri" w:hAnsi="Calibri" w:cs="Calibri"/>
          <w:lang w:val="en"/>
        </w:rPr>
        <w:t xml:space="preserve">transition </w:t>
      </w:r>
      <w:r w:rsidR="00203A1A">
        <w:rPr>
          <w:rFonts w:ascii="Calibri" w:hAnsi="Calibri" w:cs="Calibri"/>
          <w:lang w:val="en"/>
        </w:rPr>
        <w:t xml:space="preserve">of </w:t>
      </w:r>
      <w:r w:rsidR="001A3BDB" w:rsidRPr="00A428AB">
        <w:rPr>
          <w:rFonts w:ascii="Calibri" w:hAnsi="Calibri" w:cs="Calibri"/>
          <w:lang w:val="en"/>
        </w:rPr>
        <w:t>IM participants in the Cape York region to the CDC and enable</w:t>
      </w:r>
      <w:r w:rsidR="001A3BDB">
        <w:rPr>
          <w:rFonts w:ascii="Calibri" w:hAnsi="Calibri" w:cs="Calibri"/>
          <w:lang w:val="en"/>
        </w:rPr>
        <w:t>d</w:t>
      </w:r>
      <w:r w:rsidR="001A3BDB" w:rsidRPr="00A428AB">
        <w:rPr>
          <w:rFonts w:ascii="Calibri" w:hAnsi="Calibri" w:cs="Calibri"/>
          <w:lang w:val="en"/>
        </w:rPr>
        <w:t xml:space="preserve"> </w:t>
      </w:r>
      <w:r w:rsidR="001851AD">
        <w:rPr>
          <w:rFonts w:ascii="Calibri" w:hAnsi="Calibri" w:cs="Calibri"/>
          <w:lang w:val="en"/>
        </w:rPr>
        <w:t>NT</w:t>
      </w:r>
      <w:r w:rsidR="001A3BDB" w:rsidRPr="00A428AB">
        <w:rPr>
          <w:rFonts w:ascii="Calibri" w:hAnsi="Calibri" w:cs="Calibri"/>
          <w:lang w:val="en"/>
        </w:rPr>
        <w:t xml:space="preserve"> IM participants to transition to the CDC</w:t>
      </w:r>
      <w:r w:rsidR="0085425F">
        <w:rPr>
          <w:rFonts w:ascii="Calibri" w:hAnsi="Calibri" w:cs="Calibri"/>
          <w:lang w:val="en"/>
        </w:rPr>
        <w:t xml:space="preserve"> program</w:t>
      </w:r>
      <w:r w:rsidR="001A3BDB" w:rsidRPr="00A428AB">
        <w:rPr>
          <w:rFonts w:ascii="Calibri" w:hAnsi="Calibri" w:cs="Calibri"/>
          <w:lang w:val="en"/>
        </w:rPr>
        <w:t>, if they choose to do so</w:t>
      </w:r>
      <w:r w:rsidR="001A3BDB">
        <w:rPr>
          <w:rFonts w:ascii="Calibri" w:hAnsi="Calibri" w:cs="Calibri"/>
          <w:lang w:val="en"/>
        </w:rPr>
        <w:t xml:space="preserve">. </w:t>
      </w:r>
      <w:r w:rsidR="001A3BDB" w:rsidRPr="001C1D64">
        <w:t>IM</w:t>
      </w:r>
      <w:r w:rsidR="00203A1A">
        <w:t xml:space="preserve"> </w:t>
      </w:r>
      <w:r w:rsidR="001A3BDB">
        <w:t>continue</w:t>
      </w:r>
      <w:r w:rsidR="00203A1A">
        <w:t>s</w:t>
      </w:r>
      <w:r w:rsidR="001A3BDB">
        <w:t xml:space="preserve"> to operate in the </w:t>
      </w:r>
      <w:r w:rsidR="001851AD">
        <w:t>NT</w:t>
      </w:r>
      <w:r w:rsidR="001A3BDB">
        <w:t xml:space="preserve"> for those that choose not to transition to the CDC</w:t>
      </w:r>
      <w:r w:rsidR="0085425F">
        <w:t xml:space="preserve"> program</w:t>
      </w:r>
      <w:r w:rsidR="001A3BDB">
        <w:t>.</w:t>
      </w:r>
    </w:p>
    <w:p w14:paraId="6DA078A0" w14:textId="77777777" w:rsidR="007A5F55" w:rsidRPr="007A5F55" w:rsidRDefault="007A5F55" w:rsidP="009520A9">
      <w:pPr>
        <w:pStyle w:val="Heading3"/>
      </w:pPr>
      <w:bookmarkStart w:id="21" w:name="_Toc99449467"/>
      <w:bookmarkStart w:id="22" w:name="_Toc108008474"/>
      <w:bookmarkStart w:id="23" w:name="_Toc118103734"/>
      <w:r w:rsidRPr="007A5F55">
        <w:t>Cashless Debit Card</w:t>
      </w:r>
      <w:bookmarkEnd w:id="21"/>
      <w:bookmarkEnd w:id="22"/>
      <w:bookmarkEnd w:id="23"/>
    </w:p>
    <w:p w14:paraId="4040909B" w14:textId="77777777" w:rsidR="002D7515" w:rsidRPr="003F4C8D" w:rsidRDefault="007A5F55" w:rsidP="007A5F55">
      <w:r w:rsidRPr="007A5F55">
        <w:t>The CDC program was developed based on</w:t>
      </w:r>
      <w:r w:rsidR="00BE2819">
        <w:t xml:space="preserve"> recommendations</w:t>
      </w:r>
      <w:r w:rsidRPr="007A5F55">
        <w:t xml:space="preserve"> from the </w:t>
      </w:r>
      <w:r w:rsidRPr="007A5F55">
        <w:rPr>
          <w:i/>
        </w:rPr>
        <w:t>Creating Parity – The Forrest Review</w:t>
      </w:r>
      <w:r w:rsidRPr="007A5F55">
        <w:t xml:space="preserve"> (Forrest 2014) in which the then Government committed to supporting communities </w:t>
      </w:r>
      <w:r w:rsidR="00C9205E">
        <w:t xml:space="preserve">to </w:t>
      </w:r>
      <w:r w:rsidRPr="007A5F55">
        <w:t>reduc</w:t>
      </w:r>
      <w:r w:rsidR="00C9205E">
        <w:t xml:space="preserve">e </w:t>
      </w:r>
      <w:r w:rsidRPr="007A5F55">
        <w:t>the levels of harm associated with alcohol consumption, illicit drug use and gambling. In 2016, after consultation with local communities, First Nation community leaders and local and state government agencies, the then Australian Government implemented the CDC program for income support recipients in multiple locations where high levels of welfare dependence co-exist with high levels of social harm</w:t>
      </w:r>
      <w:r w:rsidR="002D7515" w:rsidRPr="003F4C8D">
        <w:t>.</w:t>
      </w:r>
    </w:p>
    <w:p w14:paraId="07F8552A" w14:textId="77777777" w:rsidR="00DC3003" w:rsidRPr="00DC3003" w:rsidRDefault="00DC3003" w:rsidP="00DC3003">
      <w:pPr>
        <w:rPr>
          <w:rFonts w:cstheme="minorHAnsi"/>
        </w:rPr>
      </w:pPr>
      <w:r w:rsidRPr="00DC3003">
        <w:rPr>
          <w:rFonts w:cstheme="minorHAnsi"/>
        </w:rPr>
        <w:t>The CDC program objectives under Part 3D of the Administration Act are to:</w:t>
      </w:r>
    </w:p>
    <w:p w14:paraId="5CE7F157" w14:textId="77777777" w:rsidR="00DC3003" w:rsidRPr="00DC3003" w:rsidRDefault="00DC3003" w:rsidP="00CD7A01">
      <w:pPr>
        <w:pStyle w:val="BulletedListlvl1"/>
      </w:pPr>
      <w:r w:rsidRPr="00DC3003">
        <w:t xml:space="preserve">reduce the amount of certain restrictable payments available to be spent on alcoholic beverages, gambling and illegal drugs; </w:t>
      </w:r>
    </w:p>
    <w:p w14:paraId="49228294" w14:textId="77777777" w:rsidR="00DC3003" w:rsidRPr="00DC3003" w:rsidRDefault="00DC3003" w:rsidP="00CD7A01">
      <w:pPr>
        <w:pStyle w:val="BulletedListlvl1"/>
      </w:pPr>
      <w:r w:rsidRPr="00DC3003">
        <w:t>support program participants and voluntary participants with their budgeting strategies; and</w:t>
      </w:r>
    </w:p>
    <w:p w14:paraId="4BF837CA" w14:textId="77777777" w:rsidR="00DC3003" w:rsidRPr="00DC3003" w:rsidRDefault="00DC3003" w:rsidP="00CD7A01">
      <w:pPr>
        <w:pStyle w:val="BulletedListlvl1"/>
        <w:spacing w:after="120"/>
        <w:ind w:left="568" w:hanging="284"/>
      </w:pPr>
      <w:r w:rsidRPr="00DC3003">
        <w:t xml:space="preserve">encourage </w:t>
      </w:r>
      <w:r w:rsidR="0053512C">
        <w:t>socially responsible behaviour.</w:t>
      </w:r>
    </w:p>
    <w:p w14:paraId="0C8119ED" w14:textId="77777777" w:rsidR="00F811E8" w:rsidRDefault="00F811E8" w:rsidP="00F811E8">
      <w:pPr>
        <w:rPr>
          <w:b/>
        </w:rPr>
      </w:pPr>
      <w:r w:rsidRPr="00E4407C">
        <w:t>The CDC program commenced in</w:t>
      </w:r>
      <w:r>
        <w:t>:</w:t>
      </w:r>
      <w:r w:rsidRPr="00E4407C">
        <w:t xml:space="preserve"> March 2016 in the Ceduna region, South Australia</w:t>
      </w:r>
      <w:r>
        <w:t>;</w:t>
      </w:r>
      <w:r w:rsidRPr="00E4407C">
        <w:t xml:space="preserve"> April 2016 in the East Kimberley region, Western Australia</w:t>
      </w:r>
      <w:r>
        <w:t>;</w:t>
      </w:r>
      <w:r w:rsidRPr="00E4407C">
        <w:t xml:space="preserve"> March 2018 in the Goldfields region, Western Australia</w:t>
      </w:r>
      <w:r>
        <w:t>;</w:t>
      </w:r>
      <w:r w:rsidRPr="00E4407C">
        <w:t xml:space="preserve"> and on January 2019 in the Bundaberg and Hervey Bay region</w:t>
      </w:r>
      <w:r>
        <w:t>s</w:t>
      </w:r>
      <w:r w:rsidRPr="00E4407C">
        <w:t>, Queensland. In March 2021, IM participants</w:t>
      </w:r>
      <w:r>
        <w:t xml:space="preserve"> in the C</w:t>
      </w:r>
      <w:r w:rsidRPr="00E4407C">
        <w:t>ape York region, Queensland</w:t>
      </w:r>
      <w:r>
        <w:t>,</w:t>
      </w:r>
      <w:r w:rsidRPr="00E4407C">
        <w:t xml:space="preserve"> were transitioned to the CDC and IM participants in the </w:t>
      </w:r>
      <w:r>
        <w:t>NT</w:t>
      </w:r>
      <w:r w:rsidRPr="00E4407C">
        <w:t xml:space="preserve"> were able to choose to transition to the </w:t>
      </w:r>
      <w:r>
        <w:t>CDC program</w:t>
      </w:r>
      <w:r w:rsidRPr="00E4407C">
        <w:t xml:space="preserve">. </w:t>
      </w:r>
      <w:r>
        <w:t xml:space="preserve">CDC regions and measures are summarised in </w:t>
      </w:r>
      <w:r w:rsidRPr="000A7637">
        <w:rPr>
          <w:b/>
        </w:rPr>
        <w:fldChar w:fldCharType="begin"/>
      </w:r>
      <w:r w:rsidRPr="000A7637">
        <w:rPr>
          <w:b/>
        </w:rPr>
        <w:instrText xml:space="preserve"> REF _Ref107839349 \h  \* MERGEFORMAT </w:instrText>
      </w:r>
      <w:r w:rsidRPr="000A7637">
        <w:rPr>
          <w:b/>
        </w:rPr>
      </w:r>
      <w:r w:rsidRPr="000A7637">
        <w:rPr>
          <w:b/>
        </w:rPr>
        <w:fldChar w:fldCharType="separate"/>
      </w:r>
      <w:r w:rsidRPr="007C02F4">
        <w:t xml:space="preserve">Table </w:t>
      </w:r>
      <w:r>
        <w:rPr>
          <w:noProof/>
        </w:rPr>
        <w:t>2</w:t>
      </w:r>
      <w:r w:rsidRPr="000A7637">
        <w:rPr>
          <w:b/>
        </w:rPr>
        <w:fldChar w:fldCharType="end"/>
      </w:r>
      <w:r w:rsidRPr="000A7637">
        <w:rPr>
          <w:b/>
        </w:rPr>
        <w:t>.</w:t>
      </w:r>
    </w:p>
    <w:p w14:paraId="4FCC4EE5" w14:textId="77777777" w:rsidR="00F811E8" w:rsidRPr="007C02F4" w:rsidRDefault="00F811E8" w:rsidP="00F811E8">
      <w:pPr>
        <w:pStyle w:val="Caption"/>
      </w:pPr>
      <w:bookmarkStart w:id="24" w:name="_Ref107839349"/>
      <w:bookmarkStart w:id="25" w:name="_Toc108008543"/>
      <w:bookmarkStart w:id="26" w:name="_Toc118103807"/>
      <w:r w:rsidRPr="007C02F4">
        <w:t xml:space="preserve">Table </w:t>
      </w:r>
      <w:fldSimple w:instr=" SEQ Table \* ARABIC ">
        <w:r w:rsidR="00EA44C7">
          <w:rPr>
            <w:noProof/>
          </w:rPr>
          <w:t>2</w:t>
        </w:r>
      </w:fldSimple>
      <w:bookmarkEnd w:id="24"/>
      <w:r w:rsidRPr="007C02F4">
        <w:t>: Cashless Debit Card sites</w:t>
      </w:r>
      <w:bookmarkEnd w:id="25"/>
      <w:bookmarkEnd w:id="26"/>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 Cashless Debit Card sites.&#10;&#10;Region, Start Dates and Eligibility "/>
      </w:tblPr>
      <w:tblGrid>
        <w:gridCol w:w="1246"/>
        <w:gridCol w:w="1057"/>
        <w:gridCol w:w="3929"/>
        <w:gridCol w:w="3962"/>
      </w:tblGrid>
      <w:tr w:rsidR="00F811E8" w:rsidRPr="001222B0" w14:paraId="6906E731" w14:textId="77777777" w:rsidTr="00014B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6" w:type="dxa"/>
          </w:tcPr>
          <w:p w14:paraId="6BFB9110" w14:textId="77777777" w:rsidR="00F811E8" w:rsidRPr="001222B0" w:rsidRDefault="00F811E8" w:rsidP="00014B18">
            <w:pPr>
              <w:jc w:val="center"/>
              <w:rPr>
                <w:rFonts w:cstheme="minorHAnsi"/>
              </w:rPr>
            </w:pPr>
            <w:r w:rsidRPr="001222B0">
              <w:rPr>
                <w:rFonts w:cstheme="minorHAnsi"/>
              </w:rPr>
              <w:t>REGION</w:t>
            </w:r>
          </w:p>
        </w:tc>
        <w:tc>
          <w:tcPr>
            <w:tcW w:w="1057" w:type="dxa"/>
          </w:tcPr>
          <w:p w14:paraId="2CF905E7" w14:textId="77777777" w:rsidR="00F811E8" w:rsidRPr="001222B0" w:rsidRDefault="00F811E8" w:rsidP="00014B1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222B0">
              <w:rPr>
                <w:rFonts w:cstheme="minorHAnsi"/>
              </w:rPr>
              <w:t xml:space="preserve">START DATE </w:t>
            </w:r>
          </w:p>
        </w:tc>
        <w:tc>
          <w:tcPr>
            <w:tcW w:w="3929" w:type="dxa"/>
          </w:tcPr>
          <w:p w14:paraId="686448C1" w14:textId="77777777" w:rsidR="00F811E8" w:rsidRPr="001222B0" w:rsidRDefault="00F811E8" w:rsidP="00014B1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222B0">
              <w:rPr>
                <w:rFonts w:cstheme="minorHAnsi"/>
              </w:rPr>
              <w:t>ELIGIBILITY</w:t>
            </w:r>
          </w:p>
        </w:tc>
        <w:tc>
          <w:tcPr>
            <w:tcW w:w="3962" w:type="dxa"/>
          </w:tcPr>
          <w:p w14:paraId="6A480C25" w14:textId="77777777" w:rsidR="00F811E8" w:rsidRPr="001222B0" w:rsidRDefault="00F811E8" w:rsidP="00014B1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222B0">
              <w:rPr>
                <w:rFonts w:cstheme="minorHAnsi"/>
              </w:rPr>
              <w:t>REASONS FOR SELECTION</w:t>
            </w:r>
          </w:p>
        </w:tc>
      </w:tr>
      <w:tr w:rsidR="00F811E8" w:rsidRPr="001222B0" w14:paraId="7BF2366E" w14:textId="77777777" w:rsidTr="00014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48E03764" w14:textId="77777777" w:rsidR="00F811E8" w:rsidRPr="001222B0" w:rsidRDefault="00F811E8" w:rsidP="00014B18">
            <w:pPr>
              <w:rPr>
                <w:rFonts w:cstheme="minorHAnsi"/>
              </w:rPr>
            </w:pPr>
            <w:r w:rsidRPr="001222B0">
              <w:rPr>
                <w:rFonts w:cstheme="minorHAnsi"/>
              </w:rPr>
              <w:t xml:space="preserve">Ceduna region </w:t>
            </w:r>
          </w:p>
        </w:tc>
        <w:tc>
          <w:tcPr>
            <w:tcW w:w="1057" w:type="dxa"/>
          </w:tcPr>
          <w:p w14:paraId="5CB9C314"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15 March 2016</w:t>
            </w:r>
          </w:p>
        </w:tc>
        <w:tc>
          <w:tcPr>
            <w:tcW w:w="3929" w:type="dxa"/>
          </w:tcPr>
          <w:p w14:paraId="5D7DC89B" w14:textId="138DBA7D"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People who are recipients of working age payments (for example JobSeek</w:t>
            </w:r>
            <w:r w:rsidR="00002B6D">
              <w:rPr>
                <w:rFonts w:cstheme="minorHAnsi"/>
              </w:rPr>
              <w:t>er Payment and Youth Allowance).</w:t>
            </w:r>
          </w:p>
        </w:tc>
        <w:tc>
          <w:tcPr>
            <w:tcW w:w="3962" w:type="dxa"/>
          </w:tcPr>
          <w:p w14:paraId="4F9E0352" w14:textId="1C6922EE"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Ceduna region was selected based on a range of factors, including community interest and support, levels of welfare dependence, and levels of community harm caused by ga</w:t>
            </w:r>
            <w:r w:rsidR="00002B6D">
              <w:rPr>
                <w:rFonts w:cstheme="minorHAnsi"/>
              </w:rPr>
              <w:t>mbling, alcohol and drug abuse.</w:t>
            </w:r>
          </w:p>
        </w:tc>
      </w:tr>
      <w:tr w:rsidR="00F811E8" w:rsidRPr="001222B0" w14:paraId="787A380E" w14:textId="77777777" w:rsidTr="00014B18">
        <w:tc>
          <w:tcPr>
            <w:cnfStyle w:val="001000000000" w:firstRow="0" w:lastRow="0" w:firstColumn="1" w:lastColumn="0" w:oddVBand="0" w:evenVBand="0" w:oddHBand="0" w:evenHBand="0" w:firstRowFirstColumn="0" w:firstRowLastColumn="0" w:lastRowFirstColumn="0" w:lastRowLastColumn="0"/>
            <w:tcW w:w="1246" w:type="dxa"/>
          </w:tcPr>
          <w:p w14:paraId="161F0B68" w14:textId="01A00A15" w:rsidR="00F811E8" w:rsidRPr="001222B0" w:rsidRDefault="00002B6D" w:rsidP="00014B18">
            <w:pPr>
              <w:rPr>
                <w:rFonts w:cstheme="minorHAnsi"/>
              </w:rPr>
            </w:pPr>
            <w:r>
              <w:rPr>
                <w:rFonts w:cstheme="minorHAnsi"/>
              </w:rPr>
              <w:t>East Kimberley region</w:t>
            </w:r>
          </w:p>
        </w:tc>
        <w:tc>
          <w:tcPr>
            <w:tcW w:w="1057" w:type="dxa"/>
          </w:tcPr>
          <w:p w14:paraId="4005488F"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26 April 2016</w:t>
            </w:r>
          </w:p>
        </w:tc>
        <w:tc>
          <w:tcPr>
            <w:tcW w:w="3929" w:type="dxa"/>
          </w:tcPr>
          <w:p w14:paraId="25BD5D22" w14:textId="3F37F69F"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People who are recipients of working age payments (for example JobSeeker Payment and Youth Allowance)</w:t>
            </w:r>
            <w:r w:rsidR="00002B6D">
              <w:rPr>
                <w:rFonts w:cstheme="minorHAnsi"/>
              </w:rPr>
              <w:t>.</w:t>
            </w:r>
          </w:p>
        </w:tc>
        <w:tc>
          <w:tcPr>
            <w:tcW w:w="3962" w:type="dxa"/>
          </w:tcPr>
          <w:p w14:paraId="6A5275B3" w14:textId="6AA0F220"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East Kimberley was selected based on a range of factors, including community interest and support, levels of welfare dependence, and levels of community harm caused by ga</w:t>
            </w:r>
            <w:r w:rsidR="00002B6D">
              <w:rPr>
                <w:rFonts w:cstheme="minorHAnsi"/>
              </w:rPr>
              <w:t>mbling, alcohol and drug abuse.</w:t>
            </w:r>
          </w:p>
        </w:tc>
      </w:tr>
      <w:tr w:rsidR="00F811E8" w:rsidRPr="001222B0" w14:paraId="27F79F36" w14:textId="77777777" w:rsidTr="00014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03C55DBC" w14:textId="5836747D" w:rsidR="00F811E8" w:rsidRPr="001222B0" w:rsidRDefault="00002B6D" w:rsidP="00014B18">
            <w:pPr>
              <w:rPr>
                <w:rFonts w:cstheme="minorHAnsi"/>
              </w:rPr>
            </w:pPr>
            <w:r>
              <w:rPr>
                <w:rFonts w:cstheme="minorHAnsi"/>
              </w:rPr>
              <w:t>Goldfields region</w:t>
            </w:r>
          </w:p>
        </w:tc>
        <w:tc>
          <w:tcPr>
            <w:tcW w:w="1057" w:type="dxa"/>
          </w:tcPr>
          <w:p w14:paraId="45A9B775"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 xml:space="preserve">26 March 2018 </w:t>
            </w:r>
          </w:p>
        </w:tc>
        <w:tc>
          <w:tcPr>
            <w:tcW w:w="3929" w:type="dxa"/>
          </w:tcPr>
          <w:p w14:paraId="1AEFEC42" w14:textId="689FCD1F"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People who are recipients of working age payments (for example JobSeeker Payment and Youth Allowance)</w:t>
            </w:r>
            <w:r w:rsidR="00002B6D">
              <w:rPr>
                <w:rFonts w:cstheme="minorHAnsi"/>
              </w:rPr>
              <w:t>.</w:t>
            </w:r>
          </w:p>
        </w:tc>
        <w:tc>
          <w:tcPr>
            <w:tcW w:w="3962" w:type="dxa"/>
          </w:tcPr>
          <w:p w14:paraId="014750E9"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The Goldfields region was selected based on the support of community leaders for its introduction.</w:t>
            </w:r>
          </w:p>
        </w:tc>
      </w:tr>
      <w:tr w:rsidR="00F811E8" w:rsidRPr="001222B0" w14:paraId="234E4DB5" w14:textId="77777777" w:rsidTr="00014B18">
        <w:tc>
          <w:tcPr>
            <w:cnfStyle w:val="001000000000" w:firstRow="0" w:lastRow="0" w:firstColumn="1" w:lastColumn="0" w:oddVBand="0" w:evenVBand="0" w:oddHBand="0" w:evenHBand="0" w:firstRowFirstColumn="0" w:firstRowLastColumn="0" w:lastRowFirstColumn="0" w:lastRowLastColumn="0"/>
            <w:tcW w:w="1246" w:type="dxa"/>
          </w:tcPr>
          <w:p w14:paraId="61A3A6AB" w14:textId="77777777" w:rsidR="00F811E8" w:rsidRPr="001222B0" w:rsidRDefault="00F811E8" w:rsidP="00014B18">
            <w:pPr>
              <w:rPr>
                <w:rFonts w:cstheme="minorHAnsi"/>
              </w:rPr>
            </w:pPr>
            <w:r w:rsidRPr="001222B0">
              <w:rPr>
                <w:rFonts w:cstheme="minorHAnsi"/>
              </w:rPr>
              <w:t>Bundaberg and Hervey Bay region</w:t>
            </w:r>
          </w:p>
        </w:tc>
        <w:tc>
          <w:tcPr>
            <w:tcW w:w="1057" w:type="dxa"/>
          </w:tcPr>
          <w:p w14:paraId="5E3DE179"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20 December 2017</w:t>
            </w:r>
          </w:p>
        </w:tc>
        <w:tc>
          <w:tcPr>
            <w:tcW w:w="3929" w:type="dxa"/>
          </w:tcPr>
          <w:p w14:paraId="06FFBDF8"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People aged 35 years and under who receive JobSeeker Payment, Youth Allowance (Job seeker), Parenting Payment (Single) or Parenting Payment (Partnered) receive the card.</w:t>
            </w:r>
          </w:p>
          <w:p w14:paraId="1C2792DC"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p>
          <w:p w14:paraId="3539CB81"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 xml:space="preserve">A person can volunteer to remain on the program </w:t>
            </w:r>
            <w:r w:rsidR="00B751B4">
              <w:rPr>
                <w:rFonts w:cstheme="minorHAnsi"/>
              </w:rPr>
              <w:t>once they turn 36 years of age.</w:t>
            </w:r>
          </w:p>
        </w:tc>
        <w:tc>
          <w:tcPr>
            <w:tcW w:w="3962" w:type="dxa"/>
          </w:tcPr>
          <w:p w14:paraId="0540D594"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Stakeholders requested the CDC to address social issues such as high youth unemployment and intergenerational welfare dependence.</w:t>
            </w:r>
          </w:p>
        </w:tc>
      </w:tr>
      <w:tr w:rsidR="00F811E8" w:rsidRPr="001222B0" w14:paraId="01360ECB" w14:textId="77777777" w:rsidTr="00014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14:paraId="0E07E269" w14:textId="3558F4D2" w:rsidR="00F811E8" w:rsidRPr="001222B0" w:rsidRDefault="00002B6D" w:rsidP="00014B18">
            <w:pPr>
              <w:rPr>
                <w:rFonts w:cstheme="minorHAnsi"/>
              </w:rPr>
            </w:pPr>
            <w:r>
              <w:rPr>
                <w:rFonts w:cstheme="minorHAnsi"/>
              </w:rPr>
              <w:t>Cape York</w:t>
            </w:r>
          </w:p>
        </w:tc>
        <w:tc>
          <w:tcPr>
            <w:tcW w:w="1057" w:type="dxa"/>
          </w:tcPr>
          <w:p w14:paraId="5F859ED3"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17 March 2021</w:t>
            </w:r>
          </w:p>
        </w:tc>
        <w:tc>
          <w:tcPr>
            <w:tcW w:w="3929" w:type="dxa"/>
          </w:tcPr>
          <w:p w14:paraId="1CC00CC6" w14:textId="02C9C3A8"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Existing I</w:t>
            </w:r>
            <w:r w:rsidR="00682D90">
              <w:rPr>
                <w:rFonts w:cstheme="minorHAnsi"/>
              </w:rPr>
              <w:t>M</w:t>
            </w:r>
            <w:r w:rsidRPr="001222B0">
              <w:rPr>
                <w:rFonts w:cstheme="minorHAnsi"/>
              </w:rPr>
              <w:t xml:space="preserve"> participants in the Cape York Region were transitio</w:t>
            </w:r>
            <w:r w:rsidR="00002B6D">
              <w:rPr>
                <w:rFonts w:cstheme="minorHAnsi"/>
              </w:rPr>
              <w:t>ned to the CDC on 17 March 2021.</w:t>
            </w:r>
          </w:p>
          <w:p w14:paraId="0EB6CD18"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The CDC does not automatically apply to everyone on a trigger payment in the Cape York Region. A person is subject to the CDC under the Cape York Measure, if:</w:t>
            </w:r>
          </w:p>
          <w:p w14:paraId="15E6B7EF"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 the individual, or the individual's partner, is an eligible recipient of a category P welfare payment, and</w:t>
            </w:r>
          </w:p>
          <w:p w14:paraId="4F2B17BA"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 the Families Responsibility Commission (FRC) has given a valid notice to the delegate requiring that the individual be subject to the income management regime, and</w:t>
            </w:r>
          </w:p>
          <w:p w14:paraId="433A147C" w14:textId="77777777"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 the notice has not ended or been revoked or withdrawn, and</w:t>
            </w:r>
          </w:p>
          <w:p w14:paraId="2630B1B0" w14:textId="77777777" w:rsidR="00F811E8" w:rsidRPr="001222B0" w:rsidRDefault="00F811E8" w:rsidP="003443DE">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 xml:space="preserve">• if the individual has a payment nominee under part 3B of the Administration Act, who is a CDC participant </w:t>
            </w:r>
            <w:r>
              <w:rPr>
                <w:rFonts w:cstheme="minorHAnsi"/>
              </w:rPr>
              <w:t>or subject to income management</w:t>
            </w:r>
          </w:p>
        </w:tc>
        <w:tc>
          <w:tcPr>
            <w:tcW w:w="3962" w:type="dxa"/>
          </w:tcPr>
          <w:p w14:paraId="4818F9DB" w14:textId="11A20259" w:rsidR="00F811E8" w:rsidRPr="001222B0" w:rsidRDefault="00F811E8" w:rsidP="00014B18">
            <w:pPr>
              <w:cnfStyle w:val="000000100000" w:firstRow="0" w:lastRow="0" w:firstColumn="0" w:lastColumn="0" w:oddVBand="0" w:evenVBand="0" w:oddHBand="1" w:evenHBand="0" w:firstRowFirstColumn="0" w:firstRowLastColumn="0" w:lastRowFirstColumn="0" w:lastRowLastColumn="0"/>
              <w:rPr>
                <w:rFonts w:cstheme="minorHAnsi"/>
              </w:rPr>
            </w:pPr>
            <w:r w:rsidRPr="001222B0">
              <w:rPr>
                <w:rFonts w:cstheme="minorHAnsi"/>
              </w:rPr>
              <w:t>These sites were chosen to transition from I</w:t>
            </w:r>
            <w:r w:rsidR="00682D90">
              <w:rPr>
                <w:rFonts w:cstheme="minorHAnsi"/>
              </w:rPr>
              <w:t>M</w:t>
            </w:r>
            <w:r w:rsidRPr="001222B0">
              <w:rPr>
                <w:rFonts w:cstheme="minorHAnsi"/>
              </w:rPr>
              <w:t xml:space="preserve"> to the CDC program to provide the improved technology of the CDC, retaining other aspects of the Cape York mo</w:t>
            </w:r>
            <w:r w:rsidR="00002B6D">
              <w:rPr>
                <w:rFonts w:cstheme="minorHAnsi"/>
              </w:rPr>
              <w:t>del.</w:t>
            </w:r>
          </w:p>
        </w:tc>
      </w:tr>
      <w:tr w:rsidR="00F811E8" w:rsidRPr="001222B0" w14:paraId="1FA2C509" w14:textId="77777777" w:rsidTr="00014B18">
        <w:tc>
          <w:tcPr>
            <w:cnfStyle w:val="001000000000" w:firstRow="0" w:lastRow="0" w:firstColumn="1" w:lastColumn="0" w:oddVBand="0" w:evenVBand="0" w:oddHBand="0" w:evenHBand="0" w:firstRowFirstColumn="0" w:firstRowLastColumn="0" w:lastRowFirstColumn="0" w:lastRowLastColumn="0"/>
            <w:tcW w:w="1246" w:type="dxa"/>
          </w:tcPr>
          <w:p w14:paraId="11E2391F" w14:textId="77777777" w:rsidR="00F811E8" w:rsidRPr="001222B0" w:rsidRDefault="00F811E8" w:rsidP="00014B18">
            <w:pPr>
              <w:rPr>
                <w:rFonts w:cstheme="minorHAnsi"/>
              </w:rPr>
            </w:pPr>
            <w:r w:rsidRPr="001222B0">
              <w:rPr>
                <w:rFonts w:cstheme="minorHAnsi"/>
              </w:rPr>
              <w:t>Northern Territory</w:t>
            </w:r>
          </w:p>
        </w:tc>
        <w:tc>
          <w:tcPr>
            <w:tcW w:w="1057" w:type="dxa"/>
          </w:tcPr>
          <w:p w14:paraId="2EB616A8"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17 March 2021</w:t>
            </w:r>
          </w:p>
        </w:tc>
        <w:tc>
          <w:tcPr>
            <w:tcW w:w="3929" w:type="dxa"/>
          </w:tcPr>
          <w:p w14:paraId="1A8FF972" w14:textId="77777777"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The program applies to I</w:t>
            </w:r>
            <w:r w:rsidR="00682D90">
              <w:rPr>
                <w:rFonts w:cstheme="minorHAnsi"/>
              </w:rPr>
              <w:t>M</w:t>
            </w:r>
            <w:r w:rsidRPr="001222B0">
              <w:rPr>
                <w:rFonts w:cstheme="minorHAnsi"/>
              </w:rPr>
              <w:t xml:space="preserve"> participants who have chosen to transition to CDC as well as eligible income support recipients who have volunteered for the program.</w:t>
            </w:r>
          </w:p>
        </w:tc>
        <w:tc>
          <w:tcPr>
            <w:tcW w:w="3962" w:type="dxa"/>
          </w:tcPr>
          <w:p w14:paraId="50EFEEA3" w14:textId="4B5DD326" w:rsidR="00F811E8" w:rsidRPr="001222B0" w:rsidRDefault="00F811E8" w:rsidP="00014B18">
            <w:pPr>
              <w:cnfStyle w:val="000000000000" w:firstRow="0" w:lastRow="0" w:firstColumn="0" w:lastColumn="0" w:oddVBand="0" w:evenVBand="0" w:oddHBand="0" w:evenHBand="0" w:firstRowFirstColumn="0" w:firstRowLastColumn="0" w:lastRowFirstColumn="0" w:lastRowLastColumn="0"/>
              <w:rPr>
                <w:rFonts w:cstheme="minorHAnsi"/>
              </w:rPr>
            </w:pPr>
            <w:r w:rsidRPr="001222B0">
              <w:rPr>
                <w:rFonts w:cstheme="minorHAnsi"/>
              </w:rPr>
              <w:t>These sites were chosen to transition from I</w:t>
            </w:r>
            <w:r w:rsidR="00682D90">
              <w:rPr>
                <w:rFonts w:cstheme="minorHAnsi"/>
              </w:rPr>
              <w:t>M</w:t>
            </w:r>
            <w:r w:rsidRPr="001222B0">
              <w:rPr>
                <w:rFonts w:cstheme="minorHAnsi"/>
              </w:rPr>
              <w:t xml:space="preserve"> to the CDC to provide the </w:t>
            </w:r>
            <w:r w:rsidR="00002B6D">
              <w:rPr>
                <w:rFonts w:cstheme="minorHAnsi"/>
              </w:rPr>
              <w:t>improved technology of the CDC.</w:t>
            </w:r>
          </w:p>
        </w:tc>
      </w:tr>
    </w:tbl>
    <w:p w14:paraId="426DB5F3" w14:textId="77777777" w:rsidR="00714EF9" w:rsidRPr="00BD7A0E" w:rsidRDefault="00714EF9" w:rsidP="00CD7A01">
      <w:pPr>
        <w:spacing w:before="120"/>
        <w:rPr>
          <w:rFonts w:cstheme="minorHAnsi"/>
        </w:rPr>
      </w:pPr>
      <w:r w:rsidRPr="00BD7A0E">
        <w:rPr>
          <w:rFonts w:cstheme="minorHAnsi"/>
        </w:rPr>
        <w:t xml:space="preserve">Under the CDC, a percentage of a participant’s </w:t>
      </w:r>
      <w:r w:rsidR="00EB6044">
        <w:t>income support</w:t>
      </w:r>
      <w:r w:rsidRPr="00BD7A0E">
        <w:rPr>
          <w:rFonts w:cstheme="minorHAnsi"/>
        </w:rPr>
        <w:t xml:space="preserve"> payment is placed on a Visa debit card that cannot be used to purchase alcohol, gambling products </w:t>
      </w:r>
      <w:r w:rsidR="00203A1A">
        <w:rPr>
          <w:rFonts w:cstheme="minorHAnsi"/>
        </w:rPr>
        <w:t xml:space="preserve">and open loop gift cards and </w:t>
      </w:r>
      <w:r w:rsidRPr="00BD7A0E">
        <w:rPr>
          <w:rFonts w:cstheme="minorHAnsi"/>
        </w:rPr>
        <w:t xml:space="preserve">cannot be used to withdraw cash. To be a CDC participant, an individual must reside or have previously resided in a CDC </w:t>
      </w:r>
      <w:r w:rsidR="006E5A3C" w:rsidRPr="00BD7A0E">
        <w:rPr>
          <w:rFonts w:cstheme="minorHAnsi"/>
        </w:rPr>
        <w:t xml:space="preserve">region </w:t>
      </w:r>
      <w:r w:rsidRPr="00BD7A0E">
        <w:rPr>
          <w:rFonts w:cstheme="minorHAnsi"/>
        </w:rPr>
        <w:t>and be the recipient of a trigger payment. Trigger payments include certain social security payments that will automatically activate (</w:t>
      </w:r>
      <w:r w:rsidR="002D7515" w:rsidRPr="00BD7A0E">
        <w:rPr>
          <w:rFonts w:cstheme="minorHAnsi"/>
        </w:rPr>
        <w:t xml:space="preserve">also referred to as </w:t>
      </w:r>
      <w:r w:rsidRPr="00BD7A0E">
        <w:rPr>
          <w:rFonts w:cstheme="minorHAnsi"/>
        </w:rPr>
        <w:t>trigger) participation onto the CDC</w:t>
      </w:r>
      <w:r w:rsidR="002D7515" w:rsidRPr="00BD7A0E">
        <w:rPr>
          <w:rFonts w:cstheme="minorHAnsi"/>
        </w:rPr>
        <w:t xml:space="preserve"> program</w:t>
      </w:r>
      <w:r w:rsidR="00BD7A0E">
        <w:rPr>
          <w:rFonts w:cstheme="minorHAnsi"/>
        </w:rPr>
        <w:t>.</w:t>
      </w:r>
    </w:p>
    <w:p w14:paraId="05E9F04A" w14:textId="77777777" w:rsidR="00A7377C" w:rsidRDefault="00AB702D" w:rsidP="00BD7A0E">
      <w:pPr>
        <w:rPr>
          <w:rFonts w:cstheme="minorHAnsi"/>
        </w:rPr>
      </w:pPr>
      <w:r>
        <w:rPr>
          <w:rFonts w:cstheme="minorHAnsi"/>
        </w:rPr>
        <w:t>In most of the CDC sites, the amount of payment that is placed onto the CDC is 80 per</w:t>
      </w:r>
      <w:r w:rsidR="0053512C">
        <w:rPr>
          <w:rFonts w:cstheme="minorHAnsi"/>
        </w:rPr>
        <w:t xml:space="preserve"> </w:t>
      </w:r>
      <w:r>
        <w:rPr>
          <w:rFonts w:cstheme="minorHAnsi"/>
        </w:rPr>
        <w:t xml:space="preserve">cent. </w:t>
      </w:r>
      <w:r w:rsidR="006E5A3C" w:rsidRPr="00BD7A0E">
        <w:rPr>
          <w:rFonts w:cstheme="minorHAnsi"/>
        </w:rPr>
        <w:t>CDC p</w:t>
      </w:r>
      <w:r w:rsidR="00714EF9" w:rsidRPr="00BD7A0E">
        <w:rPr>
          <w:rFonts w:cstheme="minorHAnsi"/>
        </w:rPr>
        <w:t xml:space="preserve">articipants transitioning from </w:t>
      </w:r>
      <w:r w:rsidR="006E5A3C" w:rsidRPr="00BD7A0E">
        <w:rPr>
          <w:rFonts w:cstheme="minorHAnsi"/>
        </w:rPr>
        <w:t>IM</w:t>
      </w:r>
      <w:r w:rsidR="00714EF9" w:rsidRPr="00BD7A0E">
        <w:rPr>
          <w:rFonts w:cstheme="minorHAnsi"/>
        </w:rPr>
        <w:t xml:space="preserve"> in </w:t>
      </w:r>
      <w:r w:rsidR="002D7515" w:rsidRPr="00BD7A0E">
        <w:rPr>
          <w:rFonts w:cstheme="minorHAnsi"/>
        </w:rPr>
        <w:t xml:space="preserve">the </w:t>
      </w:r>
      <w:r w:rsidR="003B0A20">
        <w:rPr>
          <w:rFonts w:cstheme="minorHAnsi"/>
        </w:rPr>
        <w:t>NT</w:t>
      </w:r>
      <w:r w:rsidR="00714EF9" w:rsidRPr="00BD7A0E">
        <w:rPr>
          <w:rFonts w:cstheme="minorHAnsi"/>
        </w:rPr>
        <w:t xml:space="preserve"> and Cape York retain their original </w:t>
      </w:r>
      <w:r w:rsidR="006E5A3C" w:rsidRPr="00BD7A0E">
        <w:rPr>
          <w:rFonts w:cstheme="minorHAnsi"/>
        </w:rPr>
        <w:t>IM</w:t>
      </w:r>
      <w:r w:rsidR="00714EF9" w:rsidRPr="00BD7A0E">
        <w:rPr>
          <w:rFonts w:cstheme="minorHAnsi"/>
        </w:rPr>
        <w:t xml:space="preserve"> payment split </w:t>
      </w:r>
      <w:r>
        <w:rPr>
          <w:rFonts w:cstheme="minorHAnsi"/>
        </w:rPr>
        <w:t>which can be either higher or lower than 80 per</w:t>
      </w:r>
      <w:r w:rsidR="0053512C">
        <w:rPr>
          <w:rFonts w:cstheme="minorHAnsi"/>
        </w:rPr>
        <w:t xml:space="preserve"> cent.</w:t>
      </w:r>
    </w:p>
    <w:p w14:paraId="7AB40585" w14:textId="275F98C5" w:rsidR="00C91606" w:rsidRDefault="007151F7" w:rsidP="007151F7">
      <w:pPr>
        <w:pStyle w:val="Caption"/>
      </w:pPr>
      <w:bookmarkStart w:id="27" w:name="_Toc118103817"/>
      <w:r>
        <w:t xml:space="preserve">Figure </w:t>
      </w:r>
      <w:fldSimple w:instr=" SEQ Figure \* ARABIC ">
        <w:r w:rsidR="001F096E">
          <w:rPr>
            <w:noProof/>
          </w:rPr>
          <w:t>2</w:t>
        </w:r>
      </w:fldSimple>
      <w:r>
        <w:t>: Cashless Debit Card</w:t>
      </w:r>
      <w:bookmarkEnd w:id="27"/>
    </w:p>
    <w:p w14:paraId="56052AA4" w14:textId="77777777" w:rsidR="00AB0155" w:rsidRPr="00464B27" w:rsidRDefault="00AB0155" w:rsidP="00AB0155">
      <w:r>
        <w:rPr>
          <w:noProof/>
          <w:lang w:eastAsia="en-AU"/>
        </w:rPr>
        <w:drawing>
          <wp:inline distT="0" distB="0" distL="0" distR="0" wp14:anchorId="609E1286" wp14:editId="2B398DA6">
            <wp:extent cx="6061744" cy="4176979"/>
            <wp:effectExtent l="0" t="0" r="0" b="0"/>
            <wp:docPr id="2" name="Picture 2" descr="Figure 2: Cashless Debit Card&#10;&#10;Total current participants 17,322&#10;&#10;Northern Territory (17 March 2021) Total 3,846 &#10;First Nations 77%&#10;&#10;East Kimberley (26 April 2016) &#10;Total 1,335 &#10;First Nations 84%&#10;&#10;Goldfields  (26 March 2018) &#10;Total 2,817&#10;First Nations 48%&#10;&#10;Ceduna (15 March 2016) &#10;Total 700 &#10;First Nations 75%&#10;&#10;CapeYork (17 March 2021) &#10;Total 108 &#10;First Nations 95%&#10;&#10;Bundaberg and Hervey Bay (29 January 2019) &#10;Total 4,709 &#10;First Nations 18%&#10;&#10;Out of area  &#10;Total 3,819 &#10;First Nations 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8993" cy="4195756"/>
                    </a:xfrm>
                    <a:prstGeom prst="rect">
                      <a:avLst/>
                    </a:prstGeom>
                    <a:noFill/>
                    <a:ln>
                      <a:noFill/>
                    </a:ln>
                  </pic:spPr>
                </pic:pic>
              </a:graphicData>
            </a:graphic>
          </wp:inline>
        </w:drawing>
      </w:r>
    </w:p>
    <w:p w14:paraId="1F41AE4C" w14:textId="77777777" w:rsidR="00AB0155" w:rsidRDefault="00AB0155" w:rsidP="00AB0155">
      <w:pPr>
        <w:ind w:left="284"/>
        <w:rPr>
          <w:rFonts w:ascii="Bahnschrift Light SemiCondensed" w:hAnsi="Bahnschrift Light SemiCondensed" w:cs="Arial"/>
          <w:sz w:val="14"/>
          <w:szCs w:val="16"/>
        </w:rPr>
      </w:pPr>
      <w:r>
        <w:rPr>
          <w:rFonts w:ascii="Bahnschrift Light SemiCondensed" w:hAnsi="Bahnschrift Light SemiCondensed" w:cs="Arial"/>
          <w:sz w:val="14"/>
          <w:szCs w:val="16"/>
        </w:rPr>
        <w:t>This infographic shows CDC participants by their current location. ‘Out of area’ refers to participants who have moved out of a CDC region by remain on the program.</w:t>
      </w:r>
    </w:p>
    <w:p w14:paraId="35C84F7C" w14:textId="77777777" w:rsidR="00AB0155" w:rsidRPr="00464B27" w:rsidRDefault="00AB0155" w:rsidP="00AB0155">
      <w:pPr>
        <w:ind w:left="284"/>
        <w:rPr>
          <w:rFonts w:ascii="Bahnschrift Light SemiCondensed" w:hAnsi="Bahnschrift Light SemiCondensed" w:cs="Arial"/>
          <w:sz w:val="14"/>
          <w:szCs w:val="16"/>
        </w:rPr>
      </w:pPr>
      <w:r>
        <w:rPr>
          <w:rFonts w:ascii="Bahnschrift Light SemiCondensed" w:hAnsi="Bahnschrift Light SemiCondensed" w:cs="Arial"/>
          <w:sz w:val="14"/>
          <w:szCs w:val="16"/>
        </w:rPr>
        <w:t xml:space="preserve">CDC participant data as at 27 May 2022: regional data from 2016 census (Australian Bureau of Statistics) </w:t>
      </w:r>
      <w:r w:rsidRPr="0095675E">
        <w:rPr>
          <w:rFonts w:ascii="Bahnschrift Light SemiCondensed" w:hAnsi="Bahnschrift Light SemiCondensed" w:cs="Arial"/>
          <w:sz w:val="14"/>
          <w:szCs w:val="16"/>
        </w:rPr>
        <w:t>The CDC was implemented at different times in different regions. Date of implementation shown for each region</w:t>
      </w:r>
      <w:r>
        <w:rPr>
          <w:rFonts w:ascii="Bahnschrift Light SemiCondensed" w:hAnsi="Bahnschrift Light SemiCondensed" w:cs="Arial"/>
          <w:sz w:val="14"/>
          <w:szCs w:val="16"/>
        </w:rPr>
        <w:t>.</w:t>
      </w:r>
    </w:p>
    <w:p w14:paraId="6C8A8D7A" w14:textId="77777777" w:rsidR="001A3BDB" w:rsidRDefault="001A3BDB" w:rsidP="001A3BDB">
      <w:r>
        <w:rPr>
          <w:rFonts w:ascii="Calibri" w:hAnsi="Calibri" w:cs="Calibri"/>
          <w:lang w:val="en"/>
        </w:rPr>
        <w:t>Passage of t</w:t>
      </w:r>
      <w:r w:rsidRPr="00A428AB">
        <w:rPr>
          <w:rFonts w:ascii="Calibri" w:hAnsi="Calibri" w:cs="Calibri"/>
          <w:lang w:val="en"/>
        </w:rPr>
        <w:t xml:space="preserve">he </w:t>
      </w:r>
      <w:r w:rsidRPr="00AB702D">
        <w:rPr>
          <w:rFonts w:ascii="Calibri" w:hAnsi="Calibri" w:cs="Calibri"/>
          <w:i/>
          <w:iCs/>
          <w:lang w:val="en"/>
        </w:rPr>
        <w:t>Social Security Legislation Amendment (Debit Card Trial) Act 2015</w:t>
      </w:r>
      <w:r w:rsidRPr="00A428AB">
        <w:rPr>
          <w:rFonts w:ascii="Calibri" w:hAnsi="Calibri" w:cs="Calibri"/>
          <w:lang w:val="en"/>
        </w:rPr>
        <w:t xml:space="preserve"> established the CDC as a program with a sunset date of 31 December 2022.</w:t>
      </w:r>
      <w:r>
        <w:rPr>
          <w:rFonts w:ascii="Calibri" w:hAnsi="Calibri" w:cs="Calibri"/>
          <w:lang w:val="en"/>
        </w:rPr>
        <w:t xml:space="preserve"> </w:t>
      </w:r>
      <w:r>
        <w:t>Legislative a</w:t>
      </w:r>
      <w:r w:rsidRPr="00AC3FE4">
        <w:t xml:space="preserve">uthority for the </w:t>
      </w:r>
      <w:r>
        <w:t>CDC</w:t>
      </w:r>
      <w:r w:rsidRPr="00AC3FE4">
        <w:t xml:space="preserve"> is </w:t>
      </w:r>
      <w:r>
        <w:t>established</w:t>
      </w:r>
      <w:r w:rsidRPr="00AC3FE4">
        <w:t xml:space="preserve"> </w:t>
      </w:r>
      <w:r>
        <w:t>under</w:t>
      </w:r>
      <w:r w:rsidRPr="00AC3FE4">
        <w:t xml:space="preserve"> Part 3D of the </w:t>
      </w:r>
      <w:r w:rsidRPr="006D1760">
        <w:rPr>
          <w:i/>
        </w:rPr>
        <w:t>Administration Act</w:t>
      </w:r>
      <w:r w:rsidRPr="00AC3FE4">
        <w:t>.</w:t>
      </w:r>
    </w:p>
    <w:p w14:paraId="1A627BAE" w14:textId="77777777" w:rsidR="00F811E8" w:rsidRPr="00F811E8" w:rsidRDefault="00F811E8" w:rsidP="00F811E8">
      <w:pPr>
        <w:rPr>
          <w:b/>
        </w:rPr>
      </w:pPr>
      <w:bookmarkStart w:id="28" w:name="_Toc108008542"/>
      <w:r w:rsidRPr="00F811E8">
        <w:rPr>
          <w:b/>
        </w:rPr>
        <w:t>Social Security (Administration) Amendment (Repeal of Cashless Debit Card and Other Measures) Bill 2022</w:t>
      </w:r>
    </w:p>
    <w:p w14:paraId="4F2F8D83" w14:textId="77777777" w:rsidR="00F811E8" w:rsidRPr="00F811E8" w:rsidRDefault="00F811E8" w:rsidP="00F811E8">
      <w:pPr>
        <w:jc w:val="both"/>
      </w:pPr>
      <w:r w:rsidRPr="00F811E8">
        <w:t xml:space="preserve">In July 2022, the </w:t>
      </w:r>
      <w:r w:rsidRPr="00F811E8">
        <w:rPr>
          <w:i/>
        </w:rPr>
        <w:t>Social Security (Administration) Amendment (Repeal of Cashless Debit Card and Other Measures) Bill 2022</w:t>
      </w:r>
      <w:r w:rsidRPr="00F811E8">
        <w:t xml:space="preserve"> was tabled into the Australian Parliament. This Bill enacts the Government’s 2022 election commitment to ab</w:t>
      </w:r>
      <w:r w:rsidR="00FD2793">
        <w:t xml:space="preserve">olish the CDC. </w:t>
      </w:r>
      <w:r w:rsidRPr="00F811E8">
        <w:t xml:space="preserve">Amendments, where necessary, will be made to legislative instruments under Part 3B of the Administration Act to facilitate arrangements for individuals to enter or re-enter the IM program if they choose to. </w:t>
      </w:r>
    </w:p>
    <w:p w14:paraId="6E54C97B" w14:textId="77777777" w:rsidR="00F811E8" w:rsidRPr="009C3DE0" w:rsidRDefault="00F811E8" w:rsidP="00F811E8">
      <w:r w:rsidRPr="00F811E8">
        <w:t xml:space="preserve">The Bill also makes consequential amendments to the </w:t>
      </w:r>
      <w:r w:rsidRPr="00F811E8">
        <w:rPr>
          <w:i/>
        </w:rPr>
        <w:t>A New Tax System (Family Assistance) (Administration Act) Act 1999</w:t>
      </w:r>
      <w:r w:rsidRPr="00F811E8">
        <w:t xml:space="preserve">, the </w:t>
      </w:r>
      <w:r w:rsidRPr="00F811E8">
        <w:rPr>
          <w:i/>
        </w:rPr>
        <w:t>National Emergency Declaration Act 2020</w:t>
      </w:r>
      <w:r w:rsidRPr="00F811E8">
        <w:t xml:space="preserve"> and the </w:t>
      </w:r>
      <w:r w:rsidRPr="00F811E8">
        <w:rPr>
          <w:i/>
        </w:rPr>
        <w:t>Social Security Act 1991</w:t>
      </w:r>
      <w:r w:rsidRPr="00F811E8">
        <w:t xml:space="preserve"> to reflect the repeal of Part 3D and associated measures.</w:t>
      </w:r>
    </w:p>
    <w:p w14:paraId="45C26D4B" w14:textId="77777777" w:rsidR="00F14E52" w:rsidRPr="00787AC0" w:rsidRDefault="00F14E52" w:rsidP="009520A9">
      <w:pPr>
        <w:pStyle w:val="Heading3"/>
        <w:rPr>
          <w:b/>
        </w:rPr>
      </w:pPr>
      <w:bookmarkStart w:id="29" w:name="_Toc108008475"/>
      <w:bookmarkStart w:id="30" w:name="_Toc118103735"/>
      <w:bookmarkEnd w:id="28"/>
      <w:r w:rsidRPr="00787AC0">
        <w:t>The difference between Income Management and Cashless Debit Card</w:t>
      </w:r>
      <w:bookmarkEnd w:id="29"/>
      <w:bookmarkEnd w:id="30"/>
    </w:p>
    <w:p w14:paraId="4EE7A897" w14:textId="77777777" w:rsidR="00F14E52" w:rsidRDefault="00F14E52" w:rsidP="00F14E52">
      <w:r>
        <w:t xml:space="preserve">The main difference between </w:t>
      </w:r>
      <w:r w:rsidR="00575E75">
        <w:t xml:space="preserve">the </w:t>
      </w:r>
      <w:r>
        <w:t>policy intentions of the two programs is that IM is focussed on directing participants to the purchase of essential needs, whereas the CDC</w:t>
      </w:r>
      <w:r w:rsidR="00A71D77">
        <w:t xml:space="preserve"> </w:t>
      </w:r>
      <w:r w:rsidR="00254AFA">
        <w:t xml:space="preserve">program </w:t>
      </w:r>
      <w:r>
        <w:t xml:space="preserve">is focussed on minimising exposure to goods that cause community-level harm. Key operational and policy differences </w:t>
      </w:r>
      <w:r w:rsidRPr="00F9427C">
        <w:t xml:space="preserve">between </w:t>
      </w:r>
      <w:r>
        <w:t xml:space="preserve">IM </w:t>
      </w:r>
      <w:r w:rsidRPr="00F9427C">
        <w:t xml:space="preserve">and the </w:t>
      </w:r>
      <w:r>
        <w:t>CDC</w:t>
      </w:r>
      <w:r w:rsidR="00254AFA">
        <w:t xml:space="preserve"> program</w:t>
      </w:r>
      <w:r>
        <w:t xml:space="preserve"> </w:t>
      </w:r>
      <w:r w:rsidR="00A71D77">
        <w:t>are summarised in</w:t>
      </w:r>
      <w:r w:rsidR="00C819E0">
        <w:t xml:space="preserve"> </w:t>
      </w:r>
      <w:r w:rsidR="00C819E0" w:rsidRPr="00C819E0">
        <w:rPr>
          <w:b/>
        </w:rPr>
        <w:fldChar w:fldCharType="begin"/>
      </w:r>
      <w:r w:rsidR="00C819E0" w:rsidRPr="00C819E0">
        <w:rPr>
          <w:b/>
        </w:rPr>
        <w:instrText xml:space="preserve"> REF _Ref107839400 \h </w:instrText>
      </w:r>
      <w:r w:rsidR="00C819E0">
        <w:rPr>
          <w:b/>
        </w:rPr>
        <w:instrText xml:space="preserve"> \* MERGEFORMAT </w:instrText>
      </w:r>
      <w:r w:rsidR="00C819E0" w:rsidRPr="00C819E0">
        <w:rPr>
          <w:b/>
        </w:rPr>
      </w:r>
      <w:r w:rsidR="00C819E0" w:rsidRPr="00C819E0">
        <w:rPr>
          <w:b/>
        </w:rPr>
        <w:fldChar w:fldCharType="separate"/>
      </w:r>
      <w:r w:rsidR="004C374C" w:rsidRPr="007C02F4">
        <w:t xml:space="preserve">Table </w:t>
      </w:r>
      <w:r w:rsidR="004C374C">
        <w:rPr>
          <w:noProof/>
        </w:rPr>
        <w:t>3</w:t>
      </w:r>
      <w:r w:rsidR="00C819E0" w:rsidRPr="00C819E0">
        <w:rPr>
          <w:b/>
        </w:rPr>
        <w:fldChar w:fldCharType="end"/>
      </w:r>
      <w:r w:rsidRPr="00C819E0">
        <w:rPr>
          <w:b/>
        </w:rPr>
        <w:t>.</w:t>
      </w:r>
    </w:p>
    <w:p w14:paraId="283B9A99" w14:textId="77777777" w:rsidR="00036FEB" w:rsidRPr="007C02F4" w:rsidRDefault="00C819E0" w:rsidP="007C02F4">
      <w:pPr>
        <w:pStyle w:val="Caption"/>
      </w:pPr>
      <w:bookmarkStart w:id="31" w:name="_Ref107839400"/>
      <w:bookmarkStart w:id="32" w:name="_Toc108008544"/>
      <w:bookmarkStart w:id="33" w:name="_Toc118103808"/>
      <w:r w:rsidRPr="007C02F4">
        <w:t xml:space="preserve">Table </w:t>
      </w:r>
      <w:fldSimple w:instr=" SEQ Table \* ARABIC ">
        <w:r w:rsidR="00EA44C7">
          <w:rPr>
            <w:noProof/>
          </w:rPr>
          <w:t>3</w:t>
        </w:r>
      </w:fldSimple>
      <w:bookmarkEnd w:id="31"/>
      <w:r w:rsidRPr="007C02F4">
        <w:t xml:space="preserve">: </w:t>
      </w:r>
      <w:r w:rsidR="00036FEB" w:rsidRPr="007C02F4">
        <w:t>Policy and operational differences between Income Management and the Cashless Debit Card</w:t>
      </w:r>
      <w:bookmarkEnd w:id="32"/>
      <w:bookmarkEnd w:id="3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3: Policy and operational differences between Income Management and the Cashless Debit Card."/>
      </w:tblPr>
      <w:tblGrid>
        <w:gridCol w:w="1696"/>
        <w:gridCol w:w="4111"/>
        <w:gridCol w:w="4394"/>
      </w:tblGrid>
      <w:tr w:rsidR="00036FEB" w:rsidRPr="00561C8C" w14:paraId="0C2BFEBB" w14:textId="77777777" w:rsidTr="00561C8C">
        <w:trPr>
          <w:trHeight w:val="389"/>
          <w:tblHeader/>
        </w:trPr>
        <w:tc>
          <w:tcPr>
            <w:tcW w:w="1696" w:type="dxa"/>
            <w:tcMar>
              <w:top w:w="0" w:type="dxa"/>
              <w:left w:w="108" w:type="dxa"/>
              <w:bottom w:w="0" w:type="dxa"/>
              <w:right w:w="108" w:type="dxa"/>
            </w:tcMar>
            <w:hideMark/>
          </w:tcPr>
          <w:p w14:paraId="11A6AF16" w14:textId="77777777" w:rsidR="00036FEB" w:rsidRPr="00561C8C" w:rsidRDefault="00036FEB">
            <w:pPr>
              <w:jc w:val="center"/>
              <w:rPr>
                <w:b/>
                <w:color w:val="262626"/>
              </w:rPr>
            </w:pPr>
            <w:r w:rsidRPr="00561C8C">
              <w:rPr>
                <w:b/>
                <w:color w:val="262626"/>
              </w:rPr>
              <w:t>Feature</w:t>
            </w:r>
          </w:p>
        </w:tc>
        <w:tc>
          <w:tcPr>
            <w:tcW w:w="4111" w:type="dxa"/>
            <w:tcMar>
              <w:top w:w="0" w:type="dxa"/>
              <w:left w:w="108" w:type="dxa"/>
              <w:bottom w:w="0" w:type="dxa"/>
              <w:right w:w="108" w:type="dxa"/>
            </w:tcMar>
            <w:hideMark/>
          </w:tcPr>
          <w:p w14:paraId="429787C1" w14:textId="77777777" w:rsidR="00036FEB" w:rsidRPr="00561C8C" w:rsidRDefault="00036FEB">
            <w:pPr>
              <w:jc w:val="center"/>
              <w:rPr>
                <w:b/>
                <w:color w:val="262626"/>
              </w:rPr>
            </w:pPr>
            <w:r w:rsidRPr="00561C8C">
              <w:rPr>
                <w:b/>
                <w:color w:val="262626"/>
              </w:rPr>
              <w:t>Income Management</w:t>
            </w:r>
          </w:p>
        </w:tc>
        <w:tc>
          <w:tcPr>
            <w:tcW w:w="4394" w:type="dxa"/>
            <w:tcMar>
              <w:top w:w="0" w:type="dxa"/>
              <w:left w:w="108" w:type="dxa"/>
              <w:bottom w:w="0" w:type="dxa"/>
              <w:right w:w="108" w:type="dxa"/>
            </w:tcMar>
            <w:hideMark/>
          </w:tcPr>
          <w:p w14:paraId="4A3FC9C2" w14:textId="77777777" w:rsidR="00036FEB" w:rsidRPr="00561C8C" w:rsidRDefault="00036FEB">
            <w:pPr>
              <w:jc w:val="center"/>
              <w:rPr>
                <w:b/>
                <w:color w:val="262626"/>
              </w:rPr>
            </w:pPr>
            <w:r w:rsidRPr="00561C8C">
              <w:rPr>
                <w:b/>
                <w:color w:val="262626"/>
              </w:rPr>
              <w:t>Cashless Debit Card</w:t>
            </w:r>
          </w:p>
        </w:tc>
      </w:tr>
      <w:tr w:rsidR="00036FEB" w14:paraId="4B627FE0" w14:textId="77777777" w:rsidTr="00561C8C">
        <w:trPr>
          <w:trHeight w:val="879"/>
        </w:trPr>
        <w:tc>
          <w:tcPr>
            <w:tcW w:w="1696" w:type="dxa"/>
            <w:tcMar>
              <w:top w:w="0" w:type="dxa"/>
              <w:left w:w="108" w:type="dxa"/>
              <w:bottom w:w="0" w:type="dxa"/>
              <w:right w:w="108" w:type="dxa"/>
            </w:tcMar>
            <w:hideMark/>
          </w:tcPr>
          <w:p w14:paraId="0ED80AF4" w14:textId="77777777" w:rsidR="00036FEB" w:rsidRDefault="00036FEB">
            <w:pPr>
              <w:rPr>
                <w:color w:val="262626"/>
              </w:rPr>
            </w:pPr>
            <w:r>
              <w:rPr>
                <w:color w:val="262626"/>
              </w:rPr>
              <w:t>Policy Objectives</w:t>
            </w:r>
          </w:p>
        </w:tc>
        <w:tc>
          <w:tcPr>
            <w:tcW w:w="4111" w:type="dxa"/>
            <w:tcMar>
              <w:top w:w="0" w:type="dxa"/>
              <w:left w:w="108" w:type="dxa"/>
              <w:bottom w:w="0" w:type="dxa"/>
              <w:right w:w="108" w:type="dxa"/>
            </w:tcMar>
            <w:hideMark/>
          </w:tcPr>
          <w:p w14:paraId="1128DCE7" w14:textId="77777777" w:rsidR="00036FEB" w:rsidRDefault="00036FEB">
            <w:pPr>
              <w:rPr>
                <w:color w:val="262626"/>
              </w:rPr>
            </w:pPr>
            <w:r>
              <w:rPr>
                <w:color w:val="262626"/>
              </w:rPr>
              <w:t>Directing expenditure towards priority needs and helping participants budget.</w:t>
            </w:r>
          </w:p>
        </w:tc>
        <w:tc>
          <w:tcPr>
            <w:tcW w:w="4394" w:type="dxa"/>
            <w:tcMar>
              <w:top w:w="0" w:type="dxa"/>
              <w:left w:w="108" w:type="dxa"/>
              <w:bottom w:w="0" w:type="dxa"/>
              <w:right w:w="108" w:type="dxa"/>
            </w:tcMar>
          </w:tcPr>
          <w:p w14:paraId="67AF4E7A" w14:textId="77777777" w:rsidR="00036FEB" w:rsidRDefault="00036FEB">
            <w:pPr>
              <w:rPr>
                <w:color w:val="262626"/>
              </w:rPr>
            </w:pPr>
            <w:r>
              <w:rPr>
                <w:color w:val="262626"/>
              </w:rPr>
              <w:t>Providing budgeting support and restricting expenditure on harmful good to reduce the social harm caused by these goods.</w:t>
            </w:r>
          </w:p>
        </w:tc>
      </w:tr>
      <w:tr w:rsidR="00036FEB" w14:paraId="66678E2D" w14:textId="77777777" w:rsidTr="00561C8C">
        <w:trPr>
          <w:trHeight w:val="989"/>
        </w:trPr>
        <w:tc>
          <w:tcPr>
            <w:tcW w:w="1696" w:type="dxa"/>
            <w:tcMar>
              <w:top w:w="0" w:type="dxa"/>
              <w:left w:w="108" w:type="dxa"/>
              <w:bottom w:w="0" w:type="dxa"/>
              <w:right w:w="108" w:type="dxa"/>
            </w:tcMar>
            <w:hideMark/>
          </w:tcPr>
          <w:p w14:paraId="1CD0A140" w14:textId="77777777" w:rsidR="00036FEB" w:rsidRDefault="00036FEB">
            <w:pPr>
              <w:rPr>
                <w:color w:val="262626"/>
              </w:rPr>
            </w:pPr>
            <w:r>
              <w:rPr>
                <w:color w:val="262626"/>
              </w:rPr>
              <w:t>Merchant Management</w:t>
            </w:r>
          </w:p>
        </w:tc>
        <w:tc>
          <w:tcPr>
            <w:tcW w:w="4111" w:type="dxa"/>
            <w:tcMar>
              <w:top w:w="0" w:type="dxa"/>
              <w:left w:w="108" w:type="dxa"/>
              <w:bottom w:w="0" w:type="dxa"/>
              <w:right w:w="108" w:type="dxa"/>
            </w:tcMar>
            <w:hideMark/>
          </w:tcPr>
          <w:p w14:paraId="0AC6C4CF" w14:textId="77777777" w:rsidR="00036FEB" w:rsidRDefault="00036FEB">
            <w:pPr>
              <w:rPr>
                <w:color w:val="262626"/>
              </w:rPr>
            </w:pPr>
            <w:r>
              <w:rPr>
                <w:color w:val="262626"/>
              </w:rPr>
              <w:t xml:space="preserve">Merchants are </w:t>
            </w:r>
            <w:r>
              <w:rPr>
                <w:b/>
                <w:bCs/>
                <w:color w:val="262626"/>
              </w:rPr>
              <w:t>excluded</w:t>
            </w:r>
            <w:r>
              <w:rPr>
                <w:color w:val="262626"/>
              </w:rPr>
              <w:t xml:space="preserve"> </w:t>
            </w:r>
            <w:r w:rsidR="00203A1A">
              <w:rPr>
                <w:color w:val="262626"/>
              </w:rPr>
              <w:t>f</w:t>
            </w:r>
            <w:r w:rsidR="0023537B">
              <w:rPr>
                <w:color w:val="262626"/>
              </w:rPr>
              <w:t>rom accepting the</w:t>
            </w:r>
            <w:r w:rsidR="00203A1A">
              <w:rPr>
                <w:color w:val="262626"/>
              </w:rPr>
              <w:t xml:space="preserve"> Basics Card </w:t>
            </w:r>
            <w:r>
              <w:rPr>
                <w:color w:val="262626"/>
              </w:rPr>
              <w:t>unless they enter into an agreement with Services Australia. All merchants require manual management and ongoing compliance checks.</w:t>
            </w:r>
          </w:p>
        </w:tc>
        <w:tc>
          <w:tcPr>
            <w:tcW w:w="4394" w:type="dxa"/>
            <w:tcMar>
              <w:top w:w="0" w:type="dxa"/>
              <w:left w:w="108" w:type="dxa"/>
              <w:bottom w:w="0" w:type="dxa"/>
              <w:right w:w="108" w:type="dxa"/>
            </w:tcMar>
          </w:tcPr>
          <w:p w14:paraId="0678E14A" w14:textId="77777777" w:rsidR="00036FEB" w:rsidRDefault="00036FEB">
            <w:pPr>
              <w:rPr>
                <w:color w:val="262626"/>
              </w:rPr>
            </w:pPr>
            <w:r>
              <w:rPr>
                <w:color w:val="262626"/>
              </w:rPr>
              <w:t xml:space="preserve">Merchants are </w:t>
            </w:r>
            <w:r>
              <w:rPr>
                <w:b/>
                <w:bCs/>
                <w:color w:val="262626"/>
              </w:rPr>
              <w:t xml:space="preserve">included </w:t>
            </w:r>
            <w:r>
              <w:rPr>
                <w:color w:val="262626"/>
              </w:rPr>
              <w:t>unless they sell a restricted item. Manual management and compliance agreements are only required for mixed merchants (those selling restricted and non-restricted goods).</w:t>
            </w:r>
          </w:p>
        </w:tc>
      </w:tr>
      <w:tr w:rsidR="00036FEB" w14:paraId="76FC6362" w14:textId="77777777" w:rsidTr="00561C8C">
        <w:trPr>
          <w:trHeight w:val="494"/>
        </w:trPr>
        <w:tc>
          <w:tcPr>
            <w:tcW w:w="1696" w:type="dxa"/>
            <w:tcMar>
              <w:top w:w="0" w:type="dxa"/>
              <w:left w:w="108" w:type="dxa"/>
              <w:bottom w:w="0" w:type="dxa"/>
              <w:right w:w="108" w:type="dxa"/>
            </w:tcMar>
            <w:hideMark/>
          </w:tcPr>
          <w:p w14:paraId="2DC63A54" w14:textId="77777777" w:rsidR="00036FEB" w:rsidRDefault="00036FEB">
            <w:pPr>
              <w:rPr>
                <w:color w:val="262626"/>
              </w:rPr>
            </w:pPr>
            <w:r>
              <w:rPr>
                <w:color w:val="262626"/>
              </w:rPr>
              <w:t>Operational</w:t>
            </w:r>
          </w:p>
        </w:tc>
        <w:tc>
          <w:tcPr>
            <w:tcW w:w="4111" w:type="dxa"/>
            <w:tcMar>
              <w:top w:w="0" w:type="dxa"/>
              <w:left w:w="108" w:type="dxa"/>
              <w:bottom w:w="0" w:type="dxa"/>
              <w:right w:w="108" w:type="dxa"/>
            </w:tcMar>
          </w:tcPr>
          <w:p w14:paraId="28B86429" w14:textId="77777777" w:rsidR="00036FEB" w:rsidRDefault="00203A1A" w:rsidP="00C33D82">
            <w:pPr>
              <w:rPr>
                <w:color w:val="262626"/>
              </w:rPr>
            </w:pPr>
            <w:r>
              <w:rPr>
                <w:color w:val="262626"/>
              </w:rPr>
              <w:t>BasicsCard a</w:t>
            </w:r>
            <w:r w:rsidR="00036FEB">
              <w:rPr>
                <w:color w:val="262626"/>
              </w:rPr>
              <w:t xml:space="preserve">ccepted </w:t>
            </w:r>
            <w:r w:rsidR="00036FEB" w:rsidRPr="00A71D77">
              <w:rPr>
                <w:color w:val="262626"/>
              </w:rPr>
              <w:t xml:space="preserve">at around </w:t>
            </w:r>
            <w:r w:rsidR="00BE6853">
              <w:t>18</w:t>
            </w:r>
            <w:r w:rsidR="008B0B00">
              <w:t>,000 merchants</w:t>
            </w:r>
            <w:r w:rsidR="00575E75">
              <w:t>.</w:t>
            </w:r>
            <w:r w:rsidR="00036FEB">
              <w:rPr>
                <w:color w:val="262626"/>
              </w:rPr>
              <w:t xml:space="preserve"> Can only be used at approved merchants and not for online shopping or bank transfers.</w:t>
            </w:r>
            <w:r>
              <w:rPr>
                <w:color w:val="262626"/>
              </w:rPr>
              <w:t xml:space="preserve"> For other transactions, Services Australia facilitates the transfer of funds.</w:t>
            </w:r>
          </w:p>
        </w:tc>
        <w:tc>
          <w:tcPr>
            <w:tcW w:w="4394" w:type="dxa"/>
            <w:tcMar>
              <w:top w:w="0" w:type="dxa"/>
              <w:left w:w="108" w:type="dxa"/>
              <w:bottom w:w="0" w:type="dxa"/>
              <w:right w:w="108" w:type="dxa"/>
            </w:tcMar>
            <w:hideMark/>
          </w:tcPr>
          <w:p w14:paraId="44E742D9" w14:textId="77777777" w:rsidR="00036FEB" w:rsidRDefault="00036FEB" w:rsidP="00ED55F2">
            <w:pPr>
              <w:rPr>
                <w:color w:val="262626"/>
              </w:rPr>
            </w:pPr>
            <w:r>
              <w:rPr>
                <w:color w:val="262626"/>
              </w:rPr>
              <w:t>Accepted at ove</w:t>
            </w:r>
            <w:r w:rsidRPr="00A71D77">
              <w:rPr>
                <w:color w:val="262626"/>
              </w:rPr>
              <w:t>r 900,000</w:t>
            </w:r>
            <w:r w:rsidR="008B0B00">
              <w:rPr>
                <w:color w:val="262626"/>
              </w:rPr>
              <w:t xml:space="preserve"> merchants</w:t>
            </w:r>
            <w:r w:rsidR="00A71D77">
              <w:rPr>
                <w:color w:val="262626"/>
              </w:rPr>
              <w:t xml:space="preserve"> and </w:t>
            </w:r>
            <w:r w:rsidR="00ED55F2">
              <w:rPr>
                <w:color w:val="262626"/>
              </w:rPr>
              <w:t>has similar functions as other Visa debit cards</w:t>
            </w:r>
            <w:r>
              <w:rPr>
                <w:color w:val="262626"/>
              </w:rPr>
              <w:t xml:space="preserve">. </w:t>
            </w:r>
          </w:p>
        </w:tc>
      </w:tr>
      <w:tr w:rsidR="00036FEB" w14:paraId="79A49EC6" w14:textId="77777777" w:rsidTr="00561C8C">
        <w:trPr>
          <w:trHeight w:val="721"/>
        </w:trPr>
        <w:tc>
          <w:tcPr>
            <w:tcW w:w="1696" w:type="dxa"/>
            <w:tcMar>
              <w:top w:w="0" w:type="dxa"/>
              <w:left w:w="108" w:type="dxa"/>
              <w:bottom w:w="0" w:type="dxa"/>
              <w:right w:w="108" w:type="dxa"/>
            </w:tcMar>
            <w:hideMark/>
          </w:tcPr>
          <w:p w14:paraId="4B7D9DAA" w14:textId="77777777" w:rsidR="00036FEB" w:rsidRDefault="00036FEB">
            <w:pPr>
              <w:rPr>
                <w:color w:val="262626"/>
              </w:rPr>
            </w:pPr>
            <w:r>
              <w:rPr>
                <w:color w:val="262626"/>
              </w:rPr>
              <w:t>Restricted Goods</w:t>
            </w:r>
          </w:p>
        </w:tc>
        <w:tc>
          <w:tcPr>
            <w:tcW w:w="4111" w:type="dxa"/>
            <w:tcMar>
              <w:top w:w="0" w:type="dxa"/>
              <w:left w:w="108" w:type="dxa"/>
              <w:bottom w:w="0" w:type="dxa"/>
              <w:right w:w="108" w:type="dxa"/>
            </w:tcMar>
          </w:tcPr>
          <w:p w14:paraId="2D164E5D" w14:textId="77777777" w:rsidR="00036FEB" w:rsidRDefault="00036FEB">
            <w:pPr>
              <w:rPr>
                <w:color w:val="262626"/>
              </w:rPr>
            </w:pPr>
            <w:r>
              <w:rPr>
                <w:color w:val="262626"/>
              </w:rPr>
              <w:t>Alcohol, tobacco and tobacco products, pornography, gambling products, or to withdraw cash.</w:t>
            </w:r>
          </w:p>
        </w:tc>
        <w:tc>
          <w:tcPr>
            <w:tcW w:w="4394" w:type="dxa"/>
            <w:tcMar>
              <w:top w:w="0" w:type="dxa"/>
              <w:left w:w="108" w:type="dxa"/>
              <w:bottom w:w="0" w:type="dxa"/>
              <w:right w:w="108" w:type="dxa"/>
            </w:tcMar>
            <w:hideMark/>
          </w:tcPr>
          <w:p w14:paraId="4BC903D3" w14:textId="77777777" w:rsidR="00036FEB" w:rsidRDefault="00036FEB">
            <w:pPr>
              <w:rPr>
                <w:color w:val="262626"/>
              </w:rPr>
            </w:pPr>
            <w:r>
              <w:rPr>
                <w:color w:val="262626"/>
              </w:rPr>
              <w:t>Alcohol, gambling products, cash-like products, or to withdraw cash</w:t>
            </w:r>
            <w:r>
              <w:t>.</w:t>
            </w:r>
          </w:p>
        </w:tc>
      </w:tr>
      <w:tr w:rsidR="00036FEB" w14:paraId="48E1999F" w14:textId="77777777" w:rsidTr="00561C8C">
        <w:trPr>
          <w:trHeight w:val="394"/>
        </w:trPr>
        <w:tc>
          <w:tcPr>
            <w:tcW w:w="1696" w:type="dxa"/>
            <w:tcMar>
              <w:top w:w="0" w:type="dxa"/>
              <w:left w:w="108" w:type="dxa"/>
              <w:bottom w:w="0" w:type="dxa"/>
              <w:right w:w="108" w:type="dxa"/>
            </w:tcMar>
            <w:hideMark/>
          </w:tcPr>
          <w:p w14:paraId="3B6C0C10" w14:textId="77777777" w:rsidR="00036FEB" w:rsidRDefault="00036FEB">
            <w:pPr>
              <w:rPr>
                <w:color w:val="262626"/>
              </w:rPr>
            </w:pPr>
            <w:r>
              <w:rPr>
                <w:color w:val="262626"/>
              </w:rPr>
              <w:t>Interest</w:t>
            </w:r>
          </w:p>
        </w:tc>
        <w:tc>
          <w:tcPr>
            <w:tcW w:w="4111" w:type="dxa"/>
            <w:tcMar>
              <w:top w:w="0" w:type="dxa"/>
              <w:left w:w="108" w:type="dxa"/>
              <w:bottom w:w="0" w:type="dxa"/>
              <w:right w:w="108" w:type="dxa"/>
            </w:tcMar>
            <w:hideMark/>
          </w:tcPr>
          <w:p w14:paraId="3B179EA6" w14:textId="77777777" w:rsidR="00036FEB" w:rsidRDefault="00036FEB">
            <w:pPr>
              <w:rPr>
                <w:color w:val="262626"/>
              </w:rPr>
            </w:pPr>
            <w:r>
              <w:rPr>
                <w:color w:val="262626"/>
              </w:rPr>
              <w:t>No interest accrued</w:t>
            </w:r>
            <w:r>
              <w:t>.</w:t>
            </w:r>
          </w:p>
        </w:tc>
        <w:tc>
          <w:tcPr>
            <w:tcW w:w="4394" w:type="dxa"/>
            <w:tcMar>
              <w:top w:w="0" w:type="dxa"/>
              <w:left w:w="108" w:type="dxa"/>
              <w:bottom w:w="0" w:type="dxa"/>
              <w:right w:w="108" w:type="dxa"/>
            </w:tcMar>
            <w:hideMark/>
          </w:tcPr>
          <w:p w14:paraId="142E222B" w14:textId="77777777" w:rsidR="00036FEB" w:rsidRDefault="00036FEB">
            <w:pPr>
              <w:rPr>
                <w:color w:val="262626"/>
              </w:rPr>
            </w:pPr>
            <w:r>
              <w:rPr>
                <w:color w:val="262626"/>
              </w:rPr>
              <w:t xml:space="preserve">Interest at </w:t>
            </w:r>
            <w:r>
              <w:t>1 per cent.</w:t>
            </w:r>
            <w:r w:rsidR="0024408A">
              <w:t xml:space="preserve"> Paid by Government</w:t>
            </w:r>
          </w:p>
        </w:tc>
      </w:tr>
      <w:tr w:rsidR="00036FEB" w14:paraId="4C99F1BB" w14:textId="77777777" w:rsidTr="00561C8C">
        <w:trPr>
          <w:trHeight w:val="555"/>
        </w:trPr>
        <w:tc>
          <w:tcPr>
            <w:tcW w:w="1696" w:type="dxa"/>
            <w:tcMar>
              <w:top w:w="0" w:type="dxa"/>
              <w:left w:w="108" w:type="dxa"/>
              <w:bottom w:w="0" w:type="dxa"/>
              <w:right w:w="108" w:type="dxa"/>
            </w:tcMar>
            <w:hideMark/>
          </w:tcPr>
          <w:p w14:paraId="11CF45FA" w14:textId="77777777" w:rsidR="00036FEB" w:rsidRDefault="00036FEB">
            <w:pPr>
              <w:rPr>
                <w:color w:val="262626"/>
              </w:rPr>
            </w:pPr>
            <w:r>
              <w:rPr>
                <w:color w:val="262626"/>
              </w:rPr>
              <w:t>Technology</w:t>
            </w:r>
          </w:p>
        </w:tc>
        <w:tc>
          <w:tcPr>
            <w:tcW w:w="4111" w:type="dxa"/>
            <w:tcMar>
              <w:top w:w="0" w:type="dxa"/>
              <w:left w:w="108" w:type="dxa"/>
              <w:bottom w:w="0" w:type="dxa"/>
              <w:right w:w="108" w:type="dxa"/>
            </w:tcMar>
          </w:tcPr>
          <w:p w14:paraId="57BC39CC" w14:textId="77777777" w:rsidR="00036FEB" w:rsidRDefault="00C33D82">
            <w:pPr>
              <w:rPr>
                <w:color w:val="262626"/>
              </w:rPr>
            </w:pPr>
            <w:r>
              <w:rPr>
                <w:color w:val="262626"/>
              </w:rPr>
              <w:t xml:space="preserve">Merchants cannot accept the </w:t>
            </w:r>
            <w:r w:rsidR="00203A1A">
              <w:rPr>
                <w:color w:val="262626"/>
              </w:rPr>
              <w:t>BasicsC</w:t>
            </w:r>
            <w:r>
              <w:rPr>
                <w:color w:val="262626"/>
              </w:rPr>
              <w:t>ar</w:t>
            </w:r>
            <w:r w:rsidR="00480921">
              <w:rPr>
                <w:color w:val="262626"/>
              </w:rPr>
              <w:t>d</w:t>
            </w:r>
            <w:r>
              <w:rPr>
                <w:color w:val="262626"/>
              </w:rPr>
              <w:t xml:space="preserve"> unless they have signed an agreement.</w:t>
            </w:r>
          </w:p>
        </w:tc>
        <w:tc>
          <w:tcPr>
            <w:tcW w:w="4394" w:type="dxa"/>
            <w:tcMar>
              <w:top w:w="0" w:type="dxa"/>
              <w:left w:w="108" w:type="dxa"/>
              <w:bottom w:w="0" w:type="dxa"/>
              <w:right w:w="108" w:type="dxa"/>
            </w:tcMar>
            <w:hideMark/>
          </w:tcPr>
          <w:p w14:paraId="6B0226DE" w14:textId="77777777" w:rsidR="00036FEB" w:rsidRDefault="00036FEB">
            <w:pPr>
              <w:rPr>
                <w:color w:val="262626"/>
              </w:rPr>
            </w:pPr>
            <w:r>
              <w:rPr>
                <w:color w:val="262626"/>
              </w:rPr>
              <w:t>PLB technology will block the purchase</w:t>
            </w:r>
            <w:r>
              <w:t>s that contain a restricted</w:t>
            </w:r>
            <w:r>
              <w:rPr>
                <w:color w:val="262626"/>
              </w:rPr>
              <w:t xml:space="preserve"> item</w:t>
            </w:r>
            <w:r>
              <w:t>.</w:t>
            </w:r>
            <w:r>
              <w:rPr>
                <w:color w:val="262626"/>
              </w:rPr>
              <w:t xml:space="preserve"> </w:t>
            </w:r>
            <w:r w:rsidR="00ED55F2">
              <w:rPr>
                <w:color w:val="262626"/>
              </w:rPr>
              <w:t>Merchant</w:t>
            </w:r>
            <w:r w:rsidR="00B065AC">
              <w:rPr>
                <w:color w:val="262626"/>
              </w:rPr>
              <w:t xml:space="preserve">s </w:t>
            </w:r>
            <w:r w:rsidR="00ED55F2">
              <w:rPr>
                <w:color w:val="262626"/>
              </w:rPr>
              <w:t>such as bottle shops and gambling venues are automatically blocked.</w:t>
            </w:r>
          </w:p>
        </w:tc>
      </w:tr>
      <w:tr w:rsidR="00036FEB" w14:paraId="718BDFC7" w14:textId="77777777" w:rsidTr="00561C8C">
        <w:trPr>
          <w:trHeight w:val="733"/>
        </w:trPr>
        <w:tc>
          <w:tcPr>
            <w:tcW w:w="1696" w:type="dxa"/>
            <w:tcMar>
              <w:top w:w="0" w:type="dxa"/>
              <w:left w:w="108" w:type="dxa"/>
              <w:bottom w:w="0" w:type="dxa"/>
              <w:right w:w="108" w:type="dxa"/>
            </w:tcMar>
            <w:hideMark/>
          </w:tcPr>
          <w:p w14:paraId="48DB801B" w14:textId="77777777" w:rsidR="00036FEB" w:rsidRDefault="00036FEB">
            <w:pPr>
              <w:rPr>
                <w:color w:val="262626"/>
              </w:rPr>
            </w:pPr>
            <w:r>
              <w:rPr>
                <w:color w:val="262626"/>
              </w:rPr>
              <w:t>Participant Support</w:t>
            </w:r>
          </w:p>
        </w:tc>
        <w:tc>
          <w:tcPr>
            <w:tcW w:w="4111" w:type="dxa"/>
            <w:tcMar>
              <w:top w:w="0" w:type="dxa"/>
              <w:left w:w="108" w:type="dxa"/>
              <w:bottom w:w="0" w:type="dxa"/>
              <w:right w:w="108" w:type="dxa"/>
            </w:tcMar>
          </w:tcPr>
          <w:p w14:paraId="27CE583D" w14:textId="77777777" w:rsidR="00036FEB" w:rsidRDefault="00036FEB">
            <w:pPr>
              <w:rPr>
                <w:color w:val="262626"/>
              </w:rPr>
            </w:pPr>
            <w:r>
              <w:rPr>
                <w:color w:val="262626"/>
              </w:rPr>
              <w:t>Services Australia initially provides one on one support with each participant in order to identify their basic needs and those of their family, and set up the appropriate payment deductions. Can assess ongoing support from Services Australia through a range of channels.</w:t>
            </w:r>
          </w:p>
        </w:tc>
        <w:tc>
          <w:tcPr>
            <w:tcW w:w="4394" w:type="dxa"/>
            <w:tcMar>
              <w:top w:w="0" w:type="dxa"/>
              <w:left w:w="108" w:type="dxa"/>
              <w:bottom w:w="0" w:type="dxa"/>
              <w:right w:w="108" w:type="dxa"/>
            </w:tcMar>
            <w:hideMark/>
          </w:tcPr>
          <w:p w14:paraId="321BDA21" w14:textId="77777777" w:rsidR="00036FEB" w:rsidRDefault="00036FEB" w:rsidP="00ED55F2">
            <w:pPr>
              <w:rPr>
                <w:color w:val="262626"/>
              </w:rPr>
            </w:pPr>
            <w:r>
              <w:rPr>
                <w:color w:val="262626"/>
              </w:rPr>
              <w:t>Can access banking services via an online portal, a mobile app and a telephone hotline. Services Australia provides face-to-face support, online servicing and a hotline</w:t>
            </w:r>
            <w:r w:rsidR="00203A1A">
              <w:rPr>
                <w:color w:val="262626"/>
              </w:rPr>
              <w:t>, at the participants request</w:t>
            </w:r>
            <w:r w:rsidR="00FD2793">
              <w:rPr>
                <w:color w:val="262626"/>
              </w:rPr>
              <w:t>.</w:t>
            </w:r>
            <w:r>
              <w:rPr>
                <w:color w:val="262626"/>
              </w:rPr>
              <w:t xml:space="preserve"> </w:t>
            </w:r>
          </w:p>
        </w:tc>
      </w:tr>
    </w:tbl>
    <w:p w14:paraId="1E14D38D" w14:textId="77777777" w:rsidR="008C524D" w:rsidRDefault="008C524D">
      <w:pPr>
        <w:rPr>
          <w:highlight w:val="cyan"/>
        </w:rPr>
      </w:pPr>
      <w:r>
        <w:rPr>
          <w:highlight w:val="cyan"/>
        </w:rPr>
        <w:br w:type="page"/>
      </w:r>
    </w:p>
    <w:p w14:paraId="20047E40" w14:textId="77777777" w:rsidR="003A5E5A" w:rsidRPr="009520A9" w:rsidRDefault="00716A5F" w:rsidP="009520A9">
      <w:pPr>
        <w:pStyle w:val="Title"/>
      </w:pPr>
      <w:bookmarkStart w:id="34" w:name="_Toc108008476"/>
      <w:bookmarkStart w:id="35" w:name="_Toc118103736"/>
      <w:r w:rsidRPr="009520A9">
        <w:t xml:space="preserve">1. </w:t>
      </w:r>
      <w:r w:rsidR="00775419" w:rsidRPr="009520A9">
        <w:t>Problem Statement:</w:t>
      </w:r>
      <w:bookmarkEnd w:id="34"/>
      <w:bookmarkEnd w:id="35"/>
    </w:p>
    <w:p w14:paraId="676C0F4D" w14:textId="77777777" w:rsidR="0082787F" w:rsidRPr="00DC7947" w:rsidRDefault="0082787F" w:rsidP="0082787F">
      <w:pPr>
        <w:pStyle w:val="Heading1"/>
      </w:pPr>
      <w:bookmarkStart w:id="36" w:name="_Toc118103737"/>
      <w:bookmarkStart w:id="37" w:name="_Toc108008477"/>
      <w:r>
        <w:t>The current C</w:t>
      </w:r>
      <w:r w:rsidR="007272B0">
        <w:t xml:space="preserve">ashless </w:t>
      </w:r>
      <w:r>
        <w:t>D</w:t>
      </w:r>
      <w:r w:rsidR="007272B0">
        <w:t xml:space="preserve">ebit </w:t>
      </w:r>
      <w:r>
        <w:t>C</w:t>
      </w:r>
      <w:r w:rsidR="007272B0">
        <w:t>ard</w:t>
      </w:r>
      <w:r>
        <w:t xml:space="preserve"> and I</w:t>
      </w:r>
      <w:r w:rsidR="007272B0">
        <w:t xml:space="preserve">ncome </w:t>
      </w:r>
      <w:r>
        <w:t>M</w:t>
      </w:r>
      <w:r w:rsidR="007272B0">
        <w:t>anagement</w:t>
      </w:r>
      <w:r>
        <w:t xml:space="preserve"> programs are no longer required</w:t>
      </w:r>
      <w:bookmarkEnd w:id="36"/>
    </w:p>
    <w:bookmarkEnd w:id="37"/>
    <w:p w14:paraId="3793E3B3" w14:textId="77777777" w:rsidR="0082787F" w:rsidRDefault="006D1760" w:rsidP="0082787F">
      <w:pPr>
        <w:rPr>
          <w:color w:val="auto"/>
          <w:lang w:eastAsia="en-AU"/>
        </w:rPr>
      </w:pPr>
      <w:r w:rsidRPr="003F4C8D">
        <w:rPr>
          <w:color w:val="auto"/>
          <w:lang w:eastAsia="en-AU"/>
        </w:rPr>
        <w:t xml:space="preserve">The </w:t>
      </w:r>
      <w:r>
        <w:rPr>
          <w:color w:val="auto"/>
          <w:lang w:eastAsia="en-AU"/>
        </w:rPr>
        <w:t>overarching objective of the programs is to reduce the issues in communities caused by alcohol, drugs and gambling</w:t>
      </w:r>
      <w:r w:rsidR="0082787F">
        <w:rPr>
          <w:color w:val="auto"/>
          <w:lang w:eastAsia="en-AU"/>
        </w:rPr>
        <w:t xml:space="preserve">. However, the </w:t>
      </w:r>
      <w:r w:rsidR="00DB31B6">
        <w:rPr>
          <w:color w:val="auto"/>
          <w:lang w:eastAsia="en-AU"/>
        </w:rPr>
        <w:t xml:space="preserve">CDC </w:t>
      </w:r>
      <w:r w:rsidR="0082787F">
        <w:rPr>
          <w:color w:val="auto"/>
          <w:lang w:eastAsia="en-AU"/>
        </w:rPr>
        <w:t>program</w:t>
      </w:r>
      <w:r w:rsidR="00CD59B2">
        <w:rPr>
          <w:color w:val="auto"/>
          <w:lang w:eastAsia="en-AU"/>
        </w:rPr>
        <w:t xml:space="preserve"> </w:t>
      </w:r>
      <w:r w:rsidR="00C165D4">
        <w:rPr>
          <w:color w:val="auto"/>
          <w:lang w:eastAsia="en-AU"/>
        </w:rPr>
        <w:t>is</w:t>
      </w:r>
      <w:r w:rsidR="0082787F">
        <w:rPr>
          <w:color w:val="auto"/>
          <w:lang w:eastAsia="en-AU"/>
        </w:rPr>
        <w:t xml:space="preserve"> targeted at whole communities not individuals, meaning </w:t>
      </w:r>
      <w:r w:rsidR="00F811E8">
        <w:rPr>
          <w:color w:val="auto"/>
          <w:lang w:eastAsia="en-AU"/>
        </w:rPr>
        <w:t>many</w:t>
      </w:r>
      <w:r w:rsidR="0082787F">
        <w:rPr>
          <w:color w:val="auto"/>
          <w:lang w:eastAsia="en-AU"/>
        </w:rPr>
        <w:t xml:space="preserve"> of the participants on the </w:t>
      </w:r>
      <w:r w:rsidR="00DB31B6">
        <w:rPr>
          <w:color w:val="auto"/>
          <w:lang w:eastAsia="en-AU"/>
        </w:rPr>
        <w:t xml:space="preserve">CDC </w:t>
      </w:r>
      <w:r w:rsidR="000B4A97">
        <w:rPr>
          <w:color w:val="auto"/>
          <w:lang w:eastAsia="en-AU"/>
        </w:rPr>
        <w:t>program</w:t>
      </w:r>
      <w:r w:rsidR="0082787F">
        <w:rPr>
          <w:color w:val="auto"/>
          <w:lang w:eastAsia="en-AU"/>
        </w:rPr>
        <w:t xml:space="preserve"> do not have drug, gambling and alcohol issues</w:t>
      </w:r>
      <w:r w:rsidR="00753219">
        <w:rPr>
          <w:color w:val="auto"/>
          <w:lang w:eastAsia="en-AU"/>
        </w:rPr>
        <w:t>, with 46</w:t>
      </w:r>
      <w:r w:rsidR="00753219">
        <w:rPr>
          <w:lang w:eastAsia="en-AU"/>
        </w:rPr>
        <w:t xml:space="preserve"> per</w:t>
      </w:r>
      <w:r w:rsidR="0053512C">
        <w:rPr>
          <w:lang w:eastAsia="en-AU"/>
        </w:rPr>
        <w:t xml:space="preserve"> </w:t>
      </w:r>
      <w:r w:rsidR="00753219">
        <w:rPr>
          <w:lang w:eastAsia="en-AU"/>
        </w:rPr>
        <w:t>cent of CDC participants</w:t>
      </w:r>
      <w:r w:rsidR="00210CC0">
        <w:rPr>
          <w:rStyle w:val="FootnoteReference"/>
          <w:lang w:eastAsia="en-AU"/>
        </w:rPr>
        <w:footnoteReference w:id="2"/>
      </w:r>
      <w:r w:rsidR="00210CC0">
        <w:rPr>
          <w:lang w:eastAsia="en-AU"/>
        </w:rPr>
        <w:t xml:space="preserve"> </w:t>
      </w:r>
      <w:r w:rsidR="00753219">
        <w:rPr>
          <w:lang w:eastAsia="en-AU"/>
        </w:rPr>
        <w:t>reporting they did not drink at all, either before or after they were put on the card</w:t>
      </w:r>
      <w:r w:rsidR="0053512C">
        <w:rPr>
          <w:color w:val="auto"/>
          <w:lang w:eastAsia="en-AU"/>
        </w:rPr>
        <w:t>.</w:t>
      </w:r>
    </w:p>
    <w:p w14:paraId="3F9324FE" w14:textId="77777777" w:rsidR="0082787F" w:rsidRDefault="0082787F" w:rsidP="0082787F">
      <w:pPr>
        <w:rPr>
          <w:color w:val="auto"/>
          <w:lang w:eastAsia="en-AU"/>
        </w:rPr>
      </w:pPr>
      <w:r>
        <w:rPr>
          <w:color w:val="auto"/>
          <w:lang w:eastAsia="en-AU"/>
        </w:rPr>
        <w:t>For participants who face issues with drugs, alcohol and gambling, the policy landscape has changed</w:t>
      </w:r>
      <w:r w:rsidR="00ED5E9C">
        <w:rPr>
          <w:color w:val="auto"/>
          <w:lang w:eastAsia="en-AU"/>
        </w:rPr>
        <w:t>. T</w:t>
      </w:r>
      <w:r>
        <w:rPr>
          <w:color w:val="auto"/>
          <w:lang w:eastAsia="en-AU"/>
        </w:rPr>
        <w:t xml:space="preserve">here are now </w:t>
      </w:r>
      <w:r w:rsidR="00203A1A">
        <w:rPr>
          <w:color w:val="auto"/>
          <w:lang w:eastAsia="en-AU"/>
        </w:rPr>
        <w:t xml:space="preserve">a greater number of </w:t>
      </w:r>
      <w:r>
        <w:rPr>
          <w:color w:val="auto"/>
          <w:lang w:eastAsia="en-AU"/>
        </w:rPr>
        <w:t xml:space="preserve">targeted, community-led programs that offer better support for these participants, reducing the need for </w:t>
      </w:r>
      <w:r w:rsidR="008C593B">
        <w:rPr>
          <w:color w:val="auto"/>
          <w:lang w:eastAsia="en-AU"/>
        </w:rPr>
        <w:t xml:space="preserve">the </w:t>
      </w:r>
      <w:r>
        <w:rPr>
          <w:color w:val="auto"/>
          <w:lang w:eastAsia="en-AU"/>
        </w:rPr>
        <w:t xml:space="preserve">compulsory </w:t>
      </w:r>
      <w:r w:rsidR="008C593B">
        <w:rPr>
          <w:color w:val="auto"/>
          <w:lang w:eastAsia="en-AU"/>
        </w:rPr>
        <w:t>programs</w:t>
      </w:r>
      <w:r>
        <w:rPr>
          <w:color w:val="auto"/>
          <w:lang w:eastAsia="en-AU"/>
        </w:rPr>
        <w:t>. The programs were meant to reduce consumption of drugs, alcohol and gambling by limiting the ability of participants to spend their money on these goods and services. However</w:t>
      </w:r>
      <w:r w:rsidR="008C593B">
        <w:rPr>
          <w:color w:val="auto"/>
          <w:lang w:eastAsia="en-AU"/>
        </w:rPr>
        <w:t>,</w:t>
      </w:r>
      <w:r>
        <w:rPr>
          <w:color w:val="auto"/>
          <w:lang w:eastAsia="en-AU"/>
        </w:rPr>
        <w:t xml:space="preserve"> there is limited evidence that compulsory </w:t>
      </w:r>
      <w:r w:rsidR="008C593B">
        <w:rPr>
          <w:color w:val="auto"/>
          <w:lang w:eastAsia="en-AU"/>
        </w:rPr>
        <w:t>programs</w:t>
      </w:r>
      <w:r>
        <w:rPr>
          <w:color w:val="auto"/>
          <w:lang w:eastAsia="en-AU"/>
        </w:rPr>
        <w:t xml:space="preserve"> actually reduces substance abuse and gambling issues. Rather, there is evidence</w:t>
      </w:r>
      <w:r w:rsidR="00183679">
        <w:rPr>
          <w:color w:val="auto"/>
          <w:lang w:eastAsia="en-AU"/>
        </w:rPr>
        <w:t xml:space="preserve"> </w:t>
      </w:r>
      <w:r w:rsidR="00183679">
        <w:t>through the recent Ministerial consultations</w:t>
      </w:r>
      <w:r>
        <w:rPr>
          <w:color w:val="auto"/>
          <w:lang w:eastAsia="en-AU"/>
        </w:rPr>
        <w:t xml:space="preserve"> that participants with substance abuse and gambling issues find ways to circumvent the system enabling them to keep consuming these goods. Further, the additional targeted </w:t>
      </w:r>
      <w:r w:rsidR="008C593B">
        <w:rPr>
          <w:color w:val="auto"/>
          <w:lang w:eastAsia="en-AU"/>
        </w:rPr>
        <w:t xml:space="preserve">health and social </w:t>
      </w:r>
      <w:r>
        <w:rPr>
          <w:color w:val="auto"/>
          <w:lang w:eastAsia="en-AU"/>
        </w:rPr>
        <w:t xml:space="preserve">programs </w:t>
      </w:r>
      <w:r w:rsidR="00203A1A">
        <w:rPr>
          <w:color w:val="auto"/>
          <w:lang w:eastAsia="en-AU"/>
        </w:rPr>
        <w:t>have a stronger preventative focus</w:t>
      </w:r>
      <w:r w:rsidR="00FA6357">
        <w:rPr>
          <w:color w:val="auto"/>
          <w:lang w:eastAsia="en-AU"/>
        </w:rPr>
        <w:t xml:space="preserve"> as they</w:t>
      </w:r>
      <w:r w:rsidR="00203A1A">
        <w:rPr>
          <w:color w:val="auto"/>
          <w:lang w:eastAsia="en-AU"/>
        </w:rPr>
        <w:t xml:space="preserve"> </w:t>
      </w:r>
      <w:r>
        <w:rPr>
          <w:color w:val="auto"/>
          <w:lang w:eastAsia="en-AU"/>
        </w:rPr>
        <w:t xml:space="preserve">are aimed at addressing the underlying causes of addiction and societal issues and are therefore more likely to achieve </w:t>
      </w:r>
      <w:r w:rsidR="00203A1A">
        <w:rPr>
          <w:color w:val="auto"/>
          <w:lang w:eastAsia="en-AU"/>
        </w:rPr>
        <w:t>sustained</w:t>
      </w:r>
      <w:r w:rsidR="007E30EE">
        <w:rPr>
          <w:color w:val="auto"/>
          <w:lang w:eastAsia="en-AU"/>
        </w:rPr>
        <w:t xml:space="preserve"> </w:t>
      </w:r>
      <w:r w:rsidR="00183679">
        <w:rPr>
          <w:color w:val="auto"/>
          <w:lang w:eastAsia="en-AU"/>
        </w:rPr>
        <w:t>results</w:t>
      </w:r>
      <w:r w:rsidR="00203A1A">
        <w:rPr>
          <w:color w:val="auto"/>
          <w:lang w:eastAsia="en-AU"/>
        </w:rPr>
        <w:t>.</w:t>
      </w:r>
      <w:r>
        <w:rPr>
          <w:color w:val="auto"/>
          <w:lang w:eastAsia="en-AU"/>
        </w:rPr>
        <w:t xml:space="preserve"> </w:t>
      </w:r>
      <w:r w:rsidR="00F811E8">
        <w:rPr>
          <w:color w:val="auto"/>
          <w:lang w:eastAsia="en-AU"/>
        </w:rPr>
        <w:t>T</w:t>
      </w:r>
      <w:r>
        <w:rPr>
          <w:color w:val="auto"/>
          <w:lang w:eastAsia="en-AU"/>
        </w:rPr>
        <w:t>h</w:t>
      </w:r>
      <w:r w:rsidR="00F811E8">
        <w:rPr>
          <w:color w:val="auto"/>
          <w:lang w:eastAsia="en-AU"/>
        </w:rPr>
        <w:t xml:space="preserve">is raises </w:t>
      </w:r>
      <w:r>
        <w:rPr>
          <w:color w:val="auto"/>
          <w:lang w:eastAsia="en-AU"/>
        </w:rPr>
        <w:t>qu</w:t>
      </w:r>
      <w:r w:rsidR="00F811E8">
        <w:rPr>
          <w:color w:val="auto"/>
          <w:lang w:eastAsia="en-AU"/>
        </w:rPr>
        <w:t xml:space="preserve">estions as to whether the current </w:t>
      </w:r>
      <w:r w:rsidR="008C593B">
        <w:rPr>
          <w:color w:val="auto"/>
          <w:lang w:eastAsia="en-AU"/>
        </w:rPr>
        <w:t xml:space="preserve">compulsory </w:t>
      </w:r>
      <w:r>
        <w:rPr>
          <w:color w:val="auto"/>
          <w:lang w:eastAsia="en-AU"/>
        </w:rPr>
        <w:t>programs</w:t>
      </w:r>
      <w:r w:rsidR="00F811E8">
        <w:rPr>
          <w:color w:val="auto"/>
          <w:lang w:eastAsia="en-AU"/>
        </w:rPr>
        <w:t xml:space="preserve"> are the most effective way to achieve the overarching objectives</w:t>
      </w:r>
      <w:r>
        <w:rPr>
          <w:color w:val="auto"/>
          <w:lang w:eastAsia="en-AU"/>
        </w:rPr>
        <w:t xml:space="preserve">, especially when </w:t>
      </w:r>
      <w:r w:rsidR="00CD59B2">
        <w:rPr>
          <w:color w:val="auto"/>
          <w:lang w:eastAsia="en-AU"/>
        </w:rPr>
        <w:t>there are more effective ways to achieve the</w:t>
      </w:r>
      <w:r w:rsidR="00F811E8">
        <w:rPr>
          <w:color w:val="auto"/>
          <w:lang w:eastAsia="en-AU"/>
        </w:rPr>
        <w:t>m</w:t>
      </w:r>
      <w:r w:rsidR="0053512C">
        <w:rPr>
          <w:color w:val="auto"/>
          <w:lang w:eastAsia="en-AU"/>
        </w:rPr>
        <w:t>.</w:t>
      </w:r>
    </w:p>
    <w:p w14:paraId="0AFEEB62" w14:textId="77777777" w:rsidR="006D1760" w:rsidRDefault="00CD59B2" w:rsidP="006D1760">
      <w:pPr>
        <w:rPr>
          <w:color w:val="auto"/>
          <w:lang w:eastAsia="en-AU"/>
        </w:rPr>
      </w:pPr>
      <w:r>
        <w:rPr>
          <w:color w:val="auto"/>
          <w:lang w:eastAsia="en-AU"/>
        </w:rPr>
        <w:t>T</w:t>
      </w:r>
      <w:r w:rsidR="0082787F">
        <w:rPr>
          <w:color w:val="auto"/>
          <w:lang w:eastAsia="en-AU"/>
        </w:rPr>
        <w:t xml:space="preserve">hose </w:t>
      </w:r>
      <w:r>
        <w:rPr>
          <w:color w:val="auto"/>
          <w:lang w:eastAsia="en-AU"/>
        </w:rPr>
        <w:t xml:space="preserve">participants </w:t>
      </w:r>
      <w:r w:rsidR="0082787F">
        <w:rPr>
          <w:color w:val="auto"/>
          <w:lang w:eastAsia="en-AU"/>
        </w:rPr>
        <w:t>who do not have</w:t>
      </w:r>
      <w:r w:rsidR="006D1760">
        <w:rPr>
          <w:color w:val="auto"/>
          <w:lang w:eastAsia="en-AU"/>
        </w:rPr>
        <w:t xml:space="preserve"> a history of substance misuse or problem gambling</w:t>
      </w:r>
      <w:r>
        <w:rPr>
          <w:color w:val="auto"/>
          <w:lang w:eastAsia="en-AU"/>
        </w:rPr>
        <w:t xml:space="preserve"> </w:t>
      </w:r>
      <w:r w:rsidR="0082787F">
        <w:rPr>
          <w:color w:val="auto"/>
          <w:lang w:eastAsia="en-AU"/>
        </w:rPr>
        <w:t>face</w:t>
      </w:r>
      <w:r w:rsidR="006D1760">
        <w:rPr>
          <w:color w:val="auto"/>
          <w:lang w:eastAsia="en-AU"/>
        </w:rPr>
        <w:t xml:space="preserve"> the stigma of being on the program</w:t>
      </w:r>
      <w:r w:rsidR="008C593B">
        <w:rPr>
          <w:color w:val="auto"/>
          <w:lang w:eastAsia="en-AU"/>
        </w:rPr>
        <w:t>s</w:t>
      </w:r>
      <w:r w:rsidR="006D1760">
        <w:rPr>
          <w:color w:val="auto"/>
          <w:lang w:eastAsia="en-AU"/>
        </w:rPr>
        <w:t xml:space="preserve"> as </w:t>
      </w:r>
      <w:r w:rsidR="00ED5E9C">
        <w:rPr>
          <w:color w:val="auto"/>
          <w:lang w:eastAsia="en-AU"/>
        </w:rPr>
        <w:t xml:space="preserve">they are </w:t>
      </w:r>
      <w:r w:rsidR="006D1760">
        <w:rPr>
          <w:color w:val="auto"/>
          <w:lang w:eastAsia="en-AU"/>
        </w:rPr>
        <w:t xml:space="preserve">associated with people with </w:t>
      </w:r>
      <w:r>
        <w:rPr>
          <w:color w:val="auto"/>
          <w:lang w:eastAsia="en-AU"/>
        </w:rPr>
        <w:t>these issues</w:t>
      </w:r>
      <w:r w:rsidR="006D1760">
        <w:rPr>
          <w:color w:val="auto"/>
          <w:lang w:eastAsia="en-AU"/>
        </w:rPr>
        <w:t xml:space="preserve">. </w:t>
      </w:r>
      <w:r w:rsidR="00746AEF">
        <w:rPr>
          <w:color w:val="auto"/>
          <w:lang w:eastAsia="en-AU"/>
        </w:rPr>
        <w:t xml:space="preserve">They also cannot access certain activities and products that only accept cash, such as school canteens or second hand markets. </w:t>
      </w:r>
      <w:r w:rsidR="00BE2819">
        <w:rPr>
          <w:color w:val="auto"/>
          <w:lang w:eastAsia="en-AU"/>
        </w:rPr>
        <w:t xml:space="preserve">Stakeholders have also raised </w:t>
      </w:r>
      <w:r w:rsidR="006D1760">
        <w:rPr>
          <w:color w:val="auto"/>
          <w:lang w:eastAsia="en-AU"/>
        </w:rPr>
        <w:t>concern</w:t>
      </w:r>
      <w:r w:rsidR="00BE2819">
        <w:rPr>
          <w:color w:val="auto"/>
          <w:lang w:eastAsia="en-AU"/>
        </w:rPr>
        <w:t>s</w:t>
      </w:r>
      <w:r w:rsidR="006D1760">
        <w:rPr>
          <w:color w:val="auto"/>
          <w:lang w:eastAsia="en-AU"/>
        </w:rPr>
        <w:t xml:space="preserve"> that the programs are </w:t>
      </w:r>
      <w:r w:rsidR="006D1760" w:rsidRPr="009B1EDC">
        <w:rPr>
          <w:color w:val="auto"/>
          <w:lang w:eastAsia="en-AU"/>
        </w:rPr>
        <w:t xml:space="preserve">potentially discriminatory </w:t>
      </w:r>
      <w:r w:rsidR="00BE2819" w:rsidRPr="009B1EDC">
        <w:rPr>
          <w:color w:val="auto"/>
          <w:lang w:eastAsia="en-AU"/>
        </w:rPr>
        <w:t xml:space="preserve">given a </w:t>
      </w:r>
      <w:r w:rsidR="00927A42" w:rsidRPr="009B1EDC">
        <w:rPr>
          <w:color w:val="auto"/>
        </w:rPr>
        <w:t xml:space="preserve">considerable </w:t>
      </w:r>
      <w:r w:rsidR="00746AEF">
        <w:rPr>
          <w:color w:val="auto"/>
        </w:rPr>
        <w:t xml:space="preserve">overrepresentation of </w:t>
      </w:r>
      <w:r w:rsidR="00927A42" w:rsidRPr="009B1EDC">
        <w:rPr>
          <w:color w:val="auto"/>
        </w:rPr>
        <w:t>First Nations people</w:t>
      </w:r>
      <w:r w:rsidR="00746AEF">
        <w:rPr>
          <w:color w:val="auto"/>
        </w:rPr>
        <w:t xml:space="preserve"> in the participant numbers.</w:t>
      </w:r>
    </w:p>
    <w:p w14:paraId="7098D089" w14:textId="77777777" w:rsidR="0082787F" w:rsidRDefault="00CD59B2" w:rsidP="0082787F">
      <w:pPr>
        <w:rPr>
          <w:color w:val="auto"/>
          <w:lang w:eastAsia="en-AU"/>
        </w:rPr>
      </w:pPr>
      <w:r>
        <w:rPr>
          <w:color w:val="auto"/>
          <w:lang w:eastAsia="en-AU"/>
        </w:rPr>
        <w:t>The i</w:t>
      </w:r>
      <w:r w:rsidR="0082787F">
        <w:rPr>
          <w:color w:val="auto"/>
          <w:lang w:eastAsia="en-AU"/>
        </w:rPr>
        <w:t xml:space="preserve">ssues with </w:t>
      </w:r>
      <w:r w:rsidR="008C593B">
        <w:rPr>
          <w:color w:val="auto"/>
          <w:lang w:eastAsia="en-AU"/>
        </w:rPr>
        <w:t xml:space="preserve">the </w:t>
      </w:r>
      <w:r w:rsidR="0082787F">
        <w:rPr>
          <w:color w:val="auto"/>
          <w:lang w:eastAsia="en-AU"/>
        </w:rPr>
        <w:t xml:space="preserve">compulsory </w:t>
      </w:r>
      <w:r w:rsidR="008C593B">
        <w:rPr>
          <w:color w:val="auto"/>
          <w:lang w:eastAsia="en-AU"/>
        </w:rPr>
        <w:t xml:space="preserve">programs </w:t>
      </w:r>
      <w:r>
        <w:rPr>
          <w:color w:val="auto"/>
          <w:lang w:eastAsia="en-AU"/>
        </w:rPr>
        <w:t xml:space="preserve">are not found in the </w:t>
      </w:r>
      <w:r w:rsidR="0082787F">
        <w:rPr>
          <w:color w:val="auto"/>
          <w:lang w:eastAsia="en-AU"/>
        </w:rPr>
        <w:t>voluntary IM</w:t>
      </w:r>
      <w:r>
        <w:rPr>
          <w:color w:val="auto"/>
          <w:lang w:eastAsia="en-AU"/>
        </w:rPr>
        <w:t xml:space="preserve"> program</w:t>
      </w:r>
      <w:r w:rsidR="0082787F">
        <w:rPr>
          <w:color w:val="auto"/>
          <w:lang w:eastAsia="en-AU"/>
        </w:rPr>
        <w:t xml:space="preserve">. </w:t>
      </w:r>
      <w:r w:rsidR="00FF0F14">
        <w:rPr>
          <w:color w:val="auto"/>
          <w:lang w:eastAsia="en-AU"/>
        </w:rPr>
        <w:t>E</w:t>
      </w:r>
      <w:r w:rsidR="00C6246A">
        <w:rPr>
          <w:color w:val="auto"/>
          <w:lang w:eastAsia="en-AU"/>
        </w:rPr>
        <w:t xml:space="preserve">valuations </w:t>
      </w:r>
      <w:r w:rsidR="00DC4576">
        <w:rPr>
          <w:color w:val="auto"/>
          <w:lang w:eastAsia="en-AU"/>
        </w:rPr>
        <w:t xml:space="preserve">have </w:t>
      </w:r>
      <w:r w:rsidR="003443DE">
        <w:rPr>
          <w:color w:val="auto"/>
          <w:lang w:eastAsia="en-AU"/>
        </w:rPr>
        <w:t xml:space="preserve">found </w:t>
      </w:r>
      <w:r w:rsidR="00DC4576">
        <w:rPr>
          <w:color w:val="auto"/>
          <w:lang w:eastAsia="en-AU"/>
        </w:rPr>
        <w:t xml:space="preserve">that the </w:t>
      </w:r>
      <w:r w:rsidR="006D1760">
        <w:rPr>
          <w:color w:val="auto"/>
          <w:lang w:eastAsia="en-AU"/>
        </w:rPr>
        <w:t xml:space="preserve">voluntary </w:t>
      </w:r>
      <w:r w:rsidR="008C593B">
        <w:rPr>
          <w:color w:val="auto"/>
          <w:lang w:eastAsia="en-AU"/>
        </w:rPr>
        <w:t xml:space="preserve">IM </w:t>
      </w:r>
      <w:r w:rsidR="003443DE">
        <w:rPr>
          <w:color w:val="auto"/>
          <w:lang w:eastAsia="en-AU"/>
        </w:rPr>
        <w:t>program</w:t>
      </w:r>
      <w:r w:rsidR="006D1760">
        <w:rPr>
          <w:color w:val="auto"/>
          <w:lang w:eastAsia="en-AU"/>
        </w:rPr>
        <w:t xml:space="preserve"> helps support people to manage their money and reduce</w:t>
      </w:r>
      <w:r w:rsidR="00DC4576">
        <w:rPr>
          <w:color w:val="auto"/>
          <w:lang w:eastAsia="en-AU"/>
        </w:rPr>
        <w:t>s the</w:t>
      </w:r>
      <w:r w:rsidR="006D1760">
        <w:rPr>
          <w:color w:val="auto"/>
          <w:lang w:eastAsia="en-AU"/>
        </w:rPr>
        <w:t xml:space="preserve"> risk of social harm</w:t>
      </w:r>
      <w:r w:rsidR="0082787F">
        <w:rPr>
          <w:color w:val="auto"/>
          <w:lang w:eastAsia="en-AU"/>
        </w:rPr>
        <w:t xml:space="preserve">. It also does not carry the same stigma and loss of autonomy as </w:t>
      </w:r>
      <w:r w:rsidR="0053512C">
        <w:rPr>
          <w:color w:val="auto"/>
          <w:lang w:eastAsia="en-AU"/>
        </w:rPr>
        <w:t>people make the choice to join.</w:t>
      </w:r>
    </w:p>
    <w:p w14:paraId="318511FB" w14:textId="77777777" w:rsidR="00EB14A1" w:rsidRDefault="0082787F" w:rsidP="00775419">
      <w:pPr>
        <w:rPr>
          <w:color w:val="auto"/>
          <w:lang w:eastAsia="en-AU"/>
        </w:rPr>
      </w:pPr>
      <w:r>
        <w:rPr>
          <w:color w:val="auto"/>
          <w:lang w:eastAsia="en-AU"/>
        </w:rPr>
        <w:t xml:space="preserve">In conclusion, the Government is removing compulsory CDC and </w:t>
      </w:r>
      <w:r w:rsidR="00203A1A">
        <w:rPr>
          <w:color w:val="auto"/>
          <w:lang w:eastAsia="en-AU"/>
        </w:rPr>
        <w:t xml:space="preserve">transitioning away from compulsory </w:t>
      </w:r>
      <w:r>
        <w:rPr>
          <w:color w:val="auto"/>
          <w:lang w:eastAsia="en-AU"/>
        </w:rPr>
        <w:t xml:space="preserve">IM </w:t>
      </w:r>
      <w:r w:rsidR="00BE2819">
        <w:rPr>
          <w:color w:val="auto"/>
          <w:lang w:eastAsia="en-AU"/>
        </w:rPr>
        <w:t xml:space="preserve">as a tool </w:t>
      </w:r>
      <w:r>
        <w:rPr>
          <w:color w:val="auto"/>
          <w:lang w:eastAsia="en-AU"/>
        </w:rPr>
        <w:t xml:space="preserve">to address the </w:t>
      </w:r>
      <w:r w:rsidR="00BE2819">
        <w:rPr>
          <w:color w:val="auto"/>
          <w:lang w:eastAsia="en-AU"/>
        </w:rPr>
        <w:t xml:space="preserve">social </w:t>
      </w:r>
      <w:r>
        <w:rPr>
          <w:color w:val="auto"/>
          <w:lang w:eastAsia="en-AU"/>
        </w:rPr>
        <w:t>problem</w:t>
      </w:r>
      <w:r w:rsidR="00BE2819">
        <w:rPr>
          <w:color w:val="auto"/>
          <w:lang w:eastAsia="en-AU"/>
        </w:rPr>
        <w:t>s</w:t>
      </w:r>
      <w:r>
        <w:rPr>
          <w:color w:val="auto"/>
          <w:lang w:eastAsia="en-AU"/>
        </w:rPr>
        <w:t xml:space="preserve"> </w:t>
      </w:r>
      <w:r w:rsidR="00BE2819">
        <w:rPr>
          <w:color w:val="auto"/>
          <w:lang w:eastAsia="en-AU"/>
        </w:rPr>
        <w:t xml:space="preserve">they were designed to address and will instead consider other approaches to </w:t>
      </w:r>
      <w:r w:rsidR="00DC4576">
        <w:rPr>
          <w:color w:val="auto"/>
          <w:lang w:eastAsia="en-AU"/>
        </w:rPr>
        <w:t xml:space="preserve">address </w:t>
      </w:r>
      <w:r w:rsidR="00BE2819">
        <w:rPr>
          <w:color w:val="auto"/>
          <w:lang w:eastAsia="en-AU"/>
        </w:rPr>
        <w:t xml:space="preserve">these issues. In addition, </w:t>
      </w:r>
      <w:r w:rsidR="00203A1A">
        <w:rPr>
          <w:color w:val="auto"/>
          <w:lang w:eastAsia="en-AU"/>
        </w:rPr>
        <w:t xml:space="preserve">a voluntary </w:t>
      </w:r>
      <w:r w:rsidR="00DC4576">
        <w:rPr>
          <w:color w:val="auto"/>
          <w:lang w:eastAsia="en-AU"/>
        </w:rPr>
        <w:t xml:space="preserve">IM </w:t>
      </w:r>
      <w:r w:rsidR="00203A1A">
        <w:rPr>
          <w:color w:val="auto"/>
          <w:lang w:eastAsia="en-AU"/>
        </w:rPr>
        <w:t>model carries</w:t>
      </w:r>
      <w:r>
        <w:rPr>
          <w:color w:val="auto"/>
          <w:lang w:eastAsia="en-AU"/>
        </w:rPr>
        <w:t xml:space="preserve"> less stigma and reduce</w:t>
      </w:r>
      <w:r w:rsidR="005C095B">
        <w:rPr>
          <w:color w:val="auto"/>
          <w:lang w:eastAsia="en-AU"/>
        </w:rPr>
        <w:t>s</w:t>
      </w:r>
      <w:r w:rsidR="00B751B4">
        <w:rPr>
          <w:color w:val="auto"/>
          <w:lang w:eastAsia="en-AU"/>
        </w:rPr>
        <w:t xml:space="preserve"> costs to </w:t>
      </w:r>
      <w:r w:rsidR="00DC4576">
        <w:rPr>
          <w:color w:val="auto"/>
          <w:lang w:eastAsia="en-AU"/>
        </w:rPr>
        <w:t>G</w:t>
      </w:r>
      <w:r w:rsidR="00B751B4">
        <w:rPr>
          <w:color w:val="auto"/>
          <w:lang w:eastAsia="en-AU"/>
        </w:rPr>
        <w:t>overnment.</w:t>
      </w:r>
    </w:p>
    <w:p w14:paraId="590F878C" w14:textId="77777777" w:rsidR="0082787F" w:rsidRPr="00DC7947" w:rsidRDefault="00964F3C" w:rsidP="0082787F">
      <w:pPr>
        <w:pStyle w:val="Heading2"/>
      </w:pPr>
      <w:bookmarkStart w:id="38" w:name="_Toc118103738"/>
      <w:r>
        <w:t xml:space="preserve">1.1 </w:t>
      </w:r>
      <w:r w:rsidR="0082787F">
        <w:t>C</w:t>
      </w:r>
      <w:r w:rsidR="007272B0">
        <w:t xml:space="preserve">ashless </w:t>
      </w:r>
      <w:r w:rsidR="0082787F">
        <w:t>D</w:t>
      </w:r>
      <w:r w:rsidR="007272B0">
        <w:t xml:space="preserve">ebit </w:t>
      </w:r>
      <w:r w:rsidR="0082787F">
        <w:t>C</w:t>
      </w:r>
      <w:r w:rsidR="007272B0">
        <w:t>ard</w:t>
      </w:r>
      <w:r w:rsidR="0082787F">
        <w:t xml:space="preserve"> and I</w:t>
      </w:r>
      <w:r w:rsidR="007272B0">
        <w:t xml:space="preserve">ncome </w:t>
      </w:r>
      <w:r w:rsidR="0082787F">
        <w:t>M</w:t>
      </w:r>
      <w:r w:rsidR="007272B0">
        <w:t>anagement</w:t>
      </w:r>
      <w:r w:rsidR="0082787F">
        <w:t xml:space="preserve"> programs do not target those who need support the most</w:t>
      </w:r>
      <w:bookmarkEnd w:id="38"/>
    </w:p>
    <w:p w14:paraId="43CFFCFF" w14:textId="77777777" w:rsidR="0082787F" w:rsidRDefault="0082787F" w:rsidP="0082787F">
      <w:pPr>
        <w:rPr>
          <w:color w:val="auto"/>
          <w:lang w:eastAsia="en-AU"/>
        </w:rPr>
      </w:pPr>
      <w:r>
        <w:rPr>
          <w:color w:val="auto"/>
          <w:lang w:eastAsia="en-AU"/>
        </w:rPr>
        <w:t xml:space="preserve">While the sites were chosen due </w:t>
      </w:r>
      <w:r w:rsidR="00BE2819">
        <w:rPr>
          <w:color w:val="auto"/>
          <w:lang w:eastAsia="en-AU"/>
        </w:rPr>
        <w:t xml:space="preserve">to the high proportion of people in receipt of welfare payments, as well as </w:t>
      </w:r>
      <w:r>
        <w:rPr>
          <w:color w:val="auto"/>
          <w:lang w:eastAsia="en-AU"/>
        </w:rPr>
        <w:t>concerns with drugs, alcohol and gambling</w:t>
      </w:r>
      <w:r w:rsidR="00BE2819">
        <w:rPr>
          <w:color w:val="auto"/>
          <w:lang w:eastAsia="en-AU"/>
        </w:rPr>
        <w:t>,</w:t>
      </w:r>
      <w:r>
        <w:rPr>
          <w:color w:val="auto"/>
          <w:lang w:eastAsia="en-AU"/>
        </w:rPr>
        <w:t xml:space="preserve"> </w:t>
      </w:r>
      <w:r w:rsidR="005C095B">
        <w:rPr>
          <w:color w:val="auto"/>
          <w:lang w:eastAsia="en-AU"/>
        </w:rPr>
        <w:t xml:space="preserve">many </w:t>
      </w:r>
      <w:r>
        <w:rPr>
          <w:color w:val="auto"/>
          <w:lang w:eastAsia="en-AU"/>
        </w:rPr>
        <w:t xml:space="preserve">people are </w:t>
      </w:r>
      <w:r w:rsidR="00BE2819">
        <w:rPr>
          <w:color w:val="auto"/>
          <w:lang w:eastAsia="en-AU"/>
        </w:rPr>
        <w:t xml:space="preserve">automatically </w:t>
      </w:r>
      <w:r>
        <w:rPr>
          <w:color w:val="auto"/>
          <w:lang w:eastAsia="en-AU"/>
        </w:rPr>
        <w:t xml:space="preserve">placed on the programs due to them living in the site and receiving an income support payment rather than </w:t>
      </w:r>
      <w:r w:rsidR="00BE6770">
        <w:rPr>
          <w:color w:val="auto"/>
          <w:lang w:eastAsia="en-AU"/>
        </w:rPr>
        <w:t xml:space="preserve">being identified as needing support to address </w:t>
      </w:r>
      <w:r>
        <w:rPr>
          <w:color w:val="auto"/>
          <w:lang w:eastAsia="en-AU"/>
        </w:rPr>
        <w:t>these problems. At an individual level, this means they have restrictions on their payments and autonomy with limited personal benefit.</w:t>
      </w:r>
    </w:p>
    <w:p w14:paraId="1D299523" w14:textId="77777777" w:rsidR="0082787F" w:rsidRPr="0082787F" w:rsidRDefault="0082787F" w:rsidP="00775419">
      <w:pPr>
        <w:rPr>
          <w:color w:val="auto"/>
          <w:lang w:eastAsia="en-AU"/>
        </w:rPr>
      </w:pPr>
      <w:r>
        <w:rPr>
          <w:color w:val="auto"/>
          <w:lang w:eastAsia="en-AU"/>
        </w:rPr>
        <w:t>This tension between the objectives</w:t>
      </w:r>
      <w:r w:rsidR="005C095B">
        <w:rPr>
          <w:color w:val="auto"/>
          <w:lang w:eastAsia="en-AU"/>
        </w:rPr>
        <w:t xml:space="preserve"> of the legislation</w:t>
      </w:r>
      <w:r>
        <w:rPr>
          <w:color w:val="auto"/>
          <w:lang w:eastAsia="en-AU"/>
        </w:rPr>
        <w:t xml:space="preserve"> and who is placed on the programs has resulted in the programs being criticised for including people without a history of substance misuse or problem gambling. </w:t>
      </w:r>
      <w:r w:rsidR="00AB2CD1">
        <w:rPr>
          <w:color w:val="auto"/>
          <w:lang w:eastAsia="en-AU"/>
        </w:rPr>
        <w:t xml:space="preserve">In an evaluation of the CDC </w:t>
      </w:r>
      <w:r w:rsidR="00EF7370">
        <w:rPr>
          <w:color w:val="auto"/>
          <w:lang w:eastAsia="en-AU"/>
        </w:rPr>
        <w:t>program, 74</w:t>
      </w:r>
      <w:r w:rsidR="00FD0731">
        <w:rPr>
          <w:color w:val="auto"/>
          <w:lang w:eastAsia="en-AU"/>
        </w:rPr>
        <w:t xml:space="preserve"> per</w:t>
      </w:r>
      <w:r w:rsidR="007E30EE">
        <w:rPr>
          <w:color w:val="auto"/>
          <w:lang w:eastAsia="en-AU"/>
        </w:rPr>
        <w:t xml:space="preserve"> </w:t>
      </w:r>
      <w:r w:rsidR="00FD0731">
        <w:rPr>
          <w:color w:val="auto"/>
          <w:lang w:eastAsia="en-AU"/>
        </w:rPr>
        <w:t xml:space="preserve">cent </w:t>
      </w:r>
      <w:r w:rsidR="00AB2CD1">
        <w:rPr>
          <w:color w:val="auto"/>
          <w:lang w:eastAsia="en-AU"/>
        </w:rPr>
        <w:t>o</w:t>
      </w:r>
      <w:r w:rsidR="007E30EE">
        <w:rPr>
          <w:color w:val="auto"/>
          <w:lang w:eastAsia="en-AU"/>
        </w:rPr>
        <w:t xml:space="preserve">f participants indicated </w:t>
      </w:r>
      <w:r w:rsidR="00FD0731">
        <w:rPr>
          <w:color w:val="auto"/>
          <w:lang w:eastAsia="en-AU"/>
        </w:rPr>
        <w:t>they wanted to be off the card</w:t>
      </w:r>
      <w:r w:rsidR="006F7E59">
        <w:rPr>
          <w:rStyle w:val="FootnoteReference"/>
          <w:color w:val="auto"/>
          <w:lang w:eastAsia="en-AU"/>
        </w:rPr>
        <w:footnoteReference w:id="3"/>
      </w:r>
      <w:r w:rsidR="00FD0731">
        <w:rPr>
          <w:color w:val="auto"/>
          <w:lang w:eastAsia="en-AU"/>
        </w:rPr>
        <w:t xml:space="preserve">. </w:t>
      </w:r>
      <w:r>
        <w:rPr>
          <w:color w:val="auto"/>
          <w:lang w:eastAsia="en-AU"/>
        </w:rPr>
        <w:t>This can lead to the concerns surrounding the stigma of being on the program as it is associated with people with problems with drugs and alcohol</w:t>
      </w:r>
      <w:r w:rsidR="00F24798">
        <w:rPr>
          <w:color w:val="auto"/>
          <w:lang w:eastAsia="en-AU"/>
        </w:rPr>
        <w:t>.</w:t>
      </w:r>
      <w:r w:rsidR="003D5592">
        <w:rPr>
          <w:color w:val="auto"/>
          <w:lang w:eastAsia="en-AU"/>
        </w:rPr>
        <w:t xml:space="preserve"> </w:t>
      </w:r>
      <w:r>
        <w:rPr>
          <w:color w:val="auto"/>
          <w:lang w:eastAsia="en-AU"/>
        </w:rPr>
        <w:t>It also raises the question of whether the programs are the best use of Government funds to support individuals or communities.</w:t>
      </w:r>
    </w:p>
    <w:p w14:paraId="5F4B12AA" w14:textId="77777777" w:rsidR="00BD6138" w:rsidRPr="00DC7947" w:rsidRDefault="00CD3DB4" w:rsidP="00DC7947">
      <w:pPr>
        <w:pStyle w:val="Heading2"/>
      </w:pPr>
      <w:bookmarkStart w:id="39" w:name="_Toc108008478"/>
      <w:bookmarkStart w:id="40" w:name="_Toc118103739"/>
      <w:r>
        <w:t>1</w:t>
      </w:r>
      <w:r w:rsidR="00964F3C">
        <w:t xml:space="preserve">.2 </w:t>
      </w:r>
      <w:r w:rsidR="00391594" w:rsidRPr="00DC7947">
        <w:t xml:space="preserve">The changed policy landscape has reduced the need for </w:t>
      </w:r>
      <w:r w:rsidR="00E1077A">
        <w:t xml:space="preserve">Cashless Debit Card and Income Management </w:t>
      </w:r>
      <w:r w:rsidR="00825BF7">
        <w:t>programs</w:t>
      </w:r>
      <w:bookmarkEnd w:id="39"/>
      <w:bookmarkEnd w:id="40"/>
    </w:p>
    <w:p w14:paraId="5E17F160" w14:textId="77777777" w:rsidR="00BD6138" w:rsidRDefault="00106635" w:rsidP="00BD6138">
      <w:pPr>
        <w:spacing w:before="120" w:after="180" w:line="280" w:lineRule="atLeast"/>
        <w:textAlignment w:val="center"/>
        <w:rPr>
          <w:color w:val="auto"/>
          <w:lang w:eastAsia="en-AU"/>
        </w:rPr>
      </w:pPr>
      <w:r>
        <w:t>The Australian policy landscape has changed s</w:t>
      </w:r>
      <w:r w:rsidR="00BD6138">
        <w:t xml:space="preserve">ince the establishment of </w:t>
      </w:r>
      <w:r w:rsidR="00257385">
        <w:t>the programs</w:t>
      </w:r>
      <w:r>
        <w:t>.</w:t>
      </w:r>
      <w:r w:rsidR="00BD6138">
        <w:t xml:space="preserve"> Greater collaboration between the Commonwealth and State and Territories has seen the development of frameworks and initiatives to combat social harm within communities. </w:t>
      </w:r>
      <w:r w:rsidR="00BD6138">
        <w:rPr>
          <w:color w:val="auto"/>
          <w:lang w:eastAsia="en-AU"/>
        </w:rPr>
        <w:t>Examples of these are</w:t>
      </w:r>
      <w:r w:rsidR="00BD6138" w:rsidRPr="00865B3F">
        <w:rPr>
          <w:color w:val="auto"/>
          <w:lang w:eastAsia="en-AU"/>
        </w:rPr>
        <w:t xml:space="preserve"> the </w:t>
      </w:r>
      <w:r w:rsidR="00BD6138" w:rsidRPr="00865B3F">
        <w:rPr>
          <w:b/>
          <w:color w:val="auto"/>
          <w:lang w:eastAsia="en-AU"/>
        </w:rPr>
        <w:t>National Drug Strategy 2017-2026</w:t>
      </w:r>
      <w:r w:rsidR="00BC1EFF">
        <w:rPr>
          <w:rStyle w:val="FootnoteReference"/>
          <w:color w:val="auto"/>
          <w:lang w:eastAsia="en-AU"/>
        </w:rPr>
        <w:footnoteReference w:id="4"/>
      </w:r>
      <w:r w:rsidR="00BD6138">
        <w:rPr>
          <w:color w:val="auto"/>
          <w:lang w:eastAsia="en-AU"/>
        </w:rPr>
        <w:t xml:space="preserve">, </w:t>
      </w:r>
      <w:r w:rsidR="00BD6138" w:rsidRPr="00865B3F">
        <w:rPr>
          <w:b/>
          <w:color w:val="auto"/>
          <w:lang w:eastAsia="en-AU"/>
        </w:rPr>
        <w:t>National Alcohol Strategy 2019-2028</w:t>
      </w:r>
      <w:r w:rsidR="00BC1EFF">
        <w:rPr>
          <w:rStyle w:val="FootnoteReference"/>
          <w:color w:val="auto"/>
          <w:lang w:eastAsia="en-AU"/>
        </w:rPr>
        <w:footnoteReference w:id="5"/>
      </w:r>
      <w:r w:rsidR="00BD6138">
        <w:rPr>
          <w:color w:val="auto"/>
          <w:lang w:eastAsia="en-AU"/>
        </w:rPr>
        <w:t xml:space="preserve"> and </w:t>
      </w:r>
      <w:r w:rsidR="00BD6138">
        <w:rPr>
          <w:b/>
          <w:color w:val="auto"/>
          <w:lang w:eastAsia="en-AU"/>
        </w:rPr>
        <w:t>National Consumer Protection Framework for Online Wagering</w:t>
      </w:r>
      <w:r w:rsidR="003D22DE">
        <w:rPr>
          <w:rStyle w:val="FootnoteReference"/>
          <w:b/>
          <w:color w:val="auto"/>
          <w:lang w:eastAsia="en-AU"/>
        </w:rPr>
        <w:footnoteReference w:id="6"/>
      </w:r>
      <w:r w:rsidR="00BD6138">
        <w:rPr>
          <w:b/>
          <w:color w:val="auto"/>
          <w:lang w:eastAsia="en-AU"/>
        </w:rPr>
        <w:t xml:space="preserve">. </w:t>
      </w:r>
      <w:r w:rsidR="00BD6138">
        <w:rPr>
          <w:color w:val="auto"/>
          <w:lang w:eastAsia="en-AU"/>
        </w:rPr>
        <w:t xml:space="preserve">These frameworks seek to provide greater support to community level organisations </w:t>
      </w:r>
      <w:r>
        <w:rPr>
          <w:color w:val="auto"/>
          <w:lang w:eastAsia="en-AU"/>
        </w:rPr>
        <w:t xml:space="preserve">to </w:t>
      </w:r>
      <w:r w:rsidR="00BD6138">
        <w:rPr>
          <w:color w:val="auto"/>
          <w:lang w:eastAsia="en-AU"/>
        </w:rPr>
        <w:t>assist vulnerable individuals, greater law enforcement cooperation between the Commonwealth and State/Territory authorities and improved funding for rehabilitation initiatives. The</w:t>
      </w:r>
      <w:r w:rsidR="00BD6138" w:rsidRPr="00865B3F">
        <w:rPr>
          <w:color w:val="auto"/>
          <w:lang w:eastAsia="en-AU"/>
        </w:rPr>
        <w:t xml:space="preserve"> NSW state government for example, established the </w:t>
      </w:r>
      <w:r w:rsidR="00BD6138" w:rsidRPr="00865B3F">
        <w:rPr>
          <w:b/>
          <w:color w:val="auto"/>
          <w:lang w:eastAsia="en-AU"/>
        </w:rPr>
        <w:t>Centre for Alcohol and Other Drugs</w:t>
      </w:r>
      <w:r w:rsidR="003D22DE">
        <w:rPr>
          <w:rStyle w:val="FootnoteReference"/>
          <w:color w:val="auto"/>
          <w:lang w:eastAsia="en-AU"/>
        </w:rPr>
        <w:footnoteReference w:id="7"/>
      </w:r>
      <w:r w:rsidR="00746B41">
        <w:rPr>
          <w:color w:val="auto"/>
          <w:lang w:eastAsia="en-AU"/>
        </w:rPr>
        <w:t xml:space="preserve"> </w:t>
      </w:r>
      <w:r w:rsidR="00BD6138" w:rsidRPr="00865B3F">
        <w:rPr>
          <w:color w:val="auto"/>
          <w:lang w:eastAsia="en-AU"/>
        </w:rPr>
        <w:t>to coordinate the NSW Health contribution to whole-of-government policy development and implementation in alcohol and other drugs.</w:t>
      </w:r>
    </w:p>
    <w:p w14:paraId="5793E61C" w14:textId="77777777" w:rsidR="00A13FCA" w:rsidRDefault="00BD6138" w:rsidP="00BD6138">
      <w:pPr>
        <w:rPr>
          <w:color w:val="auto"/>
          <w:lang w:eastAsia="en-AU"/>
        </w:rPr>
      </w:pPr>
      <w:r>
        <w:rPr>
          <w:color w:val="auto"/>
          <w:lang w:eastAsia="en-AU"/>
        </w:rPr>
        <w:t xml:space="preserve">Implementation of initiatives such as these </w:t>
      </w:r>
      <w:r w:rsidR="000975CA">
        <w:rPr>
          <w:color w:val="auto"/>
          <w:lang w:eastAsia="en-AU"/>
        </w:rPr>
        <w:t>provide</w:t>
      </w:r>
      <w:r w:rsidR="003443DE">
        <w:rPr>
          <w:color w:val="auto"/>
          <w:lang w:eastAsia="en-AU"/>
        </w:rPr>
        <w:t>s</w:t>
      </w:r>
      <w:r w:rsidR="000975CA">
        <w:rPr>
          <w:color w:val="auto"/>
          <w:lang w:eastAsia="en-AU"/>
        </w:rPr>
        <w:t xml:space="preserve"> </w:t>
      </w:r>
      <w:r>
        <w:rPr>
          <w:color w:val="auto"/>
          <w:lang w:eastAsia="en-AU"/>
        </w:rPr>
        <w:t xml:space="preserve">opportunities for Commonwealth and </w:t>
      </w:r>
      <w:r w:rsidR="00F40BD5">
        <w:rPr>
          <w:color w:val="auto"/>
          <w:lang w:eastAsia="en-AU"/>
        </w:rPr>
        <w:t>S</w:t>
      </w:r>
      <w:r>
        <w:rPr>
          <w:color w:val="auto"/>
          <w:lang w:eastAsia="en-AU"/>
        </w:rPr>
        <w:t>tate</w:t>
      </w:r>
      <w:r w:rsidR="00F40BD5">
        <w:rPr>
          <w:color w:val="auto"/>
          <w:lang w:eastAsia="en-AU"/>
        </w:rPr>
        <w:t xml:space="preserve"> and T</w:t>
      </w:r>
      <w:r>
        <w:rPr>
          <w:color w:val="auto"/>
          <w:lang w:eastAsia="en-AU"/>
        </w:rPr>
        <w:t xml:space="preserve">erritory authorities to support vulnerable people </w:t>
      </w:r>
      <w:r w:rsidR="00093D0B">
        <w:rPr>
          <w:color w:val="auto"/>
          <w:lang w:eastAsia="en-AU"/>
        </w:rPr>
        <w:t>in more direct</w:t>
      </w:r>
      <w:r w:rsidR="00B065AC">
        <w:rPr>
          <w:color w:val="auto"/>
          <w:lang w:eastAsia="en-AU"/>
        </w:rPr>
        <w:t xml:space="preserve"> ways than the </w:t>
      </w:r>
      <w:r w:rsidR="000975CA">
        <w:rPr>
          <w:color w:val="auto"/>
          <w:lang w:eastAsia="en-AU"/>
        </w:rPr>
        <w:t>CDC program</w:t>
      </w:r>
      <w:r w:rsidR="00DC3614">
        <w:rPr>
          <w:color w:val="auto"/>
          <w:lang w:eastAsia="en-AU"/>
        </w:rPr>
        <w:t xml:space="preserve"> </w:t>
      </w:r>
      <w:r w:rsidR="00B065AC">
        <w:rPr>
          <w:color w:val="auto"/>
          <w:lang w:eastAsia="en-AU"/>
        </w:rPr>
        <w:t>can do</w:t>
      </w:r>
      <w:r w:rsidR="00BD7A0E">
        <w:rPr>
          <w:color w:val="auto"/>
          <w:lang w:eastAsia="en-AU"/>
        </w:rPr>
        <w:t>.</w:t>
      </w:r>
      <w:r w:rsidR="0024408A">
        <w:rPr>
          <w:color w:val="auto"/>
          <w:lang w:eastAsia="en-AU"/>
        </w:rPr>
        <w:t xml:space="preserve"> Further</w:t>
      </w:r>
      <w:r w:rsidR="009F27ED">
        <w:rPr>
          <w:color w:val="auto"/>
          <w:lang w:eastAsia="en-AU"/>
        </w:rPr>
        <w:t>,</w:t>
      </w:r>
      <w:r w:rsidR="0024408A">
        <w:rPr>
          <w:color w:val="auto"/>
          <w:lang w:eastAsia="en-AU"/>
        </w:rPr>
        <w:t xml:space="preserve"> evidence is clear that programs that respond to the needs of an individual </w:t>
      </w:r>
      <w:r w:rsidR="009F27ED">
        <w:rPr>
          <w:color w:val="auto"/>
          <w:lang w:eastAsia="en-AU"/>
        </w:rPr>
        <w:t xml:space="preserve">are </w:t>
      </w:r>
      <w:r w:rsidR="0024408A">
        <w:rPr>
          <w:color w:val="auto"/>
          <w:lang w:eastAsia="en-AU"/>
        </w:rPr>
        <w:t xml:space="preserve">more effective than broad brush policy such as the </w:t>
      </w:r>
      <w:r w:rsidR="000747DB">
        <w:rPr>
          <w:color w:val="auto"/>
          <w:lang w:eastAsia="en-AU"/>
        </w:rPr>
        <w:t xml:space="preserve">CDC </w:t>
      </w:r>
      <w:r w:rsidR="00115728">
        <w:rPr>
          <w:color w:val="auto"/>
          <w:lang w:eastAsia="en-AU"/>
        </w:rPr>
        <w:t xml:space="preserve">and IM </w:t>
      </w:r>
      <w:r w:rsidR="000747DB">
        <w:rPr>
          <w:color w:val="auto"/>
          <w:lang w:eastAsia="en-AU"/>
        </w:rPr>
        <w:t>program</w:t>
      </w:r>
      <w:r w:rsidR="00115728">
        <w:rPr>
          <w:color w:val="auto"/>
          <w:lang w:eastAsia="en-AU"/>
        </w:rPr>
        <w:t>s</w:t>
      </w:r>
      <w:r w:rsidR="000747DB">
        <w:rPr>
          <w:color w:val="auto"/>
          <w:lang w:eastAsia="en-AU"/>
        </w:rPr>
        <w:t xml:space="preserve"> </w:t>
      </w:r>
      <w:r w:rsidR="0024408A">
        <w:rPr>
          <w:color w:val="auto"/>
          <w:lang w:eastAsia="en-AU"/>
        </w:rPr>
        <w:t xml:space="preserve">that </w:t>
      </w:r>
      <w:r w:rsidR="00B751B4">
        <w:rPr>
          <w:color w:val="auto"/>
          <w:lang w:eastAsia="en-AU"/>
        </w:rPr>
        <w:t>are based on residency.</w:t>
      </w:r>
    </w:p>
    <w:p w14:paraId="5FEFB223" w14:textId="77777777" w:rsidR="003D0D39" w:rsidRDefault="003D0D39" w:rsidP="00BD6138">
      <w:pPr>
        <w:rPr>
          <w:color w:val="auto"/>
          <w:lang w:eastAsia="en-AU"/>
        </w:rPr>
      </w:pPr>
      <w:r>
        <w:rPr>
          <w:color w:val="auto"/>
          <w:lang w:eastAsia="en-AU"/>
        </w:rPr>
        <w:t>Further, the Closing the Gap Agreement</w:t>
      </w:r>
      <w:r w:rsidR="001279A1">
        <w:rPr>
          <w:rStyle w:val="FootnoteReference"/>
          <w:color w:val="auto"/>
          <w:lang w:eastAsia="en-AU"/>
        </w:rPr>
        <w:footnoteReference w:id="8"/>
      </w:r>
      <w:r>
        <w:rPr>
          <w:color w:val="auto"/>
          <w:lang w:eastAsia="en-AU"/>
        </w:rPr>
        <w:t xml:space="preserve"> and associated implementation plans provides a framework for a new way for Governments to work in authentic partnership with First Nations people. This framework brings all levels of Government together with First Nations people to design </w:t>
      </w:r>
      <w:r w:rsidR="00093D0B">
        <w:rPr>
          <w:color w:val="auto"/>
          <w:lang w:eastAsia="en-AU"/>
        </w:rPr>
        <w:t xml:space="preserve">culturally appropriate and community driven </w:t>
      </w:r>
      <w:r w:rsidR="00B751B4">
        <w:rPr>
          <w:color w:val="auto"/>
          <w:lang w:eastAsia="en-AU"/>
        </w:rPr>
        <w:t>solutions to problems.</w:t>
      </w:r>
    </w:p>
    <w:p w14:paraId="0991CD1F" w14:textId="77777777" w:rsidR="00B751B4" w:rsidRPr="00B751B4" w:rsidRDefault="004D0B06" w:rsidP="00B751B4">
      <w:pPr>
        <w:rPr>
          <w:color w:val="auto"/>
          <w:lang w:eastAsia="en-AU"/>
        </w:rPr>
      </w:pPr>
      <w:r w:rsidRPr="00F11F5F">
        <w:rPr>
          <w:b/>
          <w:color w:val="auto"/>
          <w:lang w:eastAsia="en-AU"/>
        </w:rPr>
        <w:fldChar w:fldCharType="begin"/>
      </w:r>
      <w:r w:rsidRPr="00F11F5F">
        <w:rPr>
          <w:b/>
          <w:color w:val="auto"/>
          <w:lang w:eastAsia="en-AU"/>
        </w:rPr>
        <w:instrText xml:space="preserve"> REF _Ref107839447 \h  \* MERGEFORMAT </w:instrText>
      </w:r>
      <w:r w:rsidRPr="00F11F5F">
        <w:rPr>
          <w:b/>
          <w:color w:val="auto"/>
          <w:lang w:eastAsia="en-AU"/>
        </w:rPr>
      </w:r>
      <w:r w:rsidRPr="00F11F5F">
        <w:rPr>
          <w:b/>
          <w:color w:val="auto"/>
          <w:lang w:eastAsia="en-AU"/>
        </w:rPr>
        <w:fldChar w:fldCharType="separate"/>
      </w:r>
      <w:r w:rsidR="00911002" w:rsidRPr="007C02F4">
        <w:rPr>
          <w:noProof/>
        </w:rPr>
        <w:t>Table</w:t>
      </w:r>
      <w:r w:rsidR="00911002" w:rsidRPr="007C02F4">
        <w:t xml:space="preserve"> </w:t>
      </w:r>
      <w:r w:rsidR="00911002">
        <w:rPr>
          <w:noProof/>
        </w:rPr>
        <w:t>4</w:t>
      </w:r>
      <w:r w:rsidRPr="00F11F5F">
        <w:rPr>
          <w:b/>
          <w:color w:val="auto"/>
          <w:lang w:eastAsia="en-AU"/>
        </w:rPr>
        <w:fldChar w:fldCharType="end"/>
      </w:r>
      <w:r w:rsidRPr="00F11F5F">
        <w:rPr>
          <w:color w:val="auto"/>
          <w:lang w:eastAsia="en-AU"/>
        </w:rPr>
        <w:t xml:space="preserve"> </w:t>
      </w:r>
      <w:r w:rsidR="00D4679A" w:rsidRPr="00F11F5F">
        <w:rPr>
          <w:color w:val="auto"/>
          <w:lang w:eastAsia="en-AU"/>
        </w:rPr>
        <w:t xml:space="preserve">outlines some of the </w:t>
      </w:r>
      <w:r w:rsidR="00550BE2" w:rsidRPr="00F11F5F">
        <w:rPr>
          <w:color w:val="auto"/>
          <w:lang w:eastAsia="en-AU"/>
        </w:rPr>
        <w:t xml:space="preserve">community </w:t>
      </w:r>
      <w:r w:rsidR="00D4679A" w:rsidRPr="00F11F5F">
        <w:rPr>
          <w:color w:val="auto"/>
          <w:lang w:eastAsia="en-AU"/>
        </w:rPr>
        <w:t xml:space="preserve">programs that are </w:t>
      </w:r>
      <w:r w:rsidR="00115728" w:rsidRPr="00F11F5F">
        <w:rPr>
          <w:color w:val="auto"/>
          <w:lang w:eastAsia="en-AU"/>
        </w:rPr>
        <w:t xml:space="preserve">targeting issues within the </w:t>
      </w:r>
      <w:r w:rsidR="00D4679A" w:rsidRPr="00F11F5F">
        <w:rPr>
          <w:color w:val="auto"/>
          <w:lang w:eastAsia="en-AU"/>
        </w:rPr>
        <w:t>CDC</w:t>
      </w:r>
      <w:r w:rsidR="00115728" w:rsidRPr="00F11F5F">
        <w:rPr>
          <w:color w:val="auto"/>
          <w:lang w:eastAsia="en-AU"/>
        </w:rPr>
        <w:t xml:space="preserve"> communities</w:t>
      </w:r>
      <w:r w:rsidR="00F06320" w:rsidRPr="00F11F5F">
        <w:rPr>
          <w:color w:val="auto"/>
          <w:lang w:eastAsia="en-AU"/>
        </w:rPr>
        <w:t xml:space="preserve">. </w:t>
      </w:r>
      <w:r w:rsidR="005C095B" w:rsidRPr="00F11F5F">
        <w:rPr>
          <w:color w:val="auto"/>
          <w:lang w:eastAsia="en-AU"/>
        </w:rPr>
        <w:t>T</w:t>
      </w:r>
      <w:r w:rsidR="00D4679A" w:rsidRPr="00F11F5F">
        <w:rPr>
          <w:color w:val="auto"/>
          <w:lang w:eastAsia="en-AU"/>
        </w:rPr>
        <w:t xml:space="preserve">hese </w:t>
      </w:r>
      <w:r w:rsidR="002D2CC5" w:rsidRPr="00F11F5F">
        <w:rPr>
          <w:color w:val="auto"/>
          <w:lang w:eastAsia="en-AU"/>
        </w:rPr>
        <w:t xml:space="preserve">community </w:t>
      </w:r>
      <w:r w:rsidR="0028039B" w:rsidRPr="00F11F5F">
        <w:rPr>
          <w:color w:val="auto"/>
          <w:lang w:eastAsia="en-AU"/>
        </w:rPr>
        <w:t xml:space="preserve">programs </w:t>
      </w:r>
      <w:r w:rsidR="002D2CC5" w:rsidRPr="00F11F5F">
        <w:rPr>
          <w:color w:val="auto"/>
          <w:lang w:eastAsia="en-AU"/>
        </w:rPr>
        <w:t>have mixed funding from all levels</w:t>
      </w:r>
      <w:r w:rsidR="00093D0B">
        <w:rPr>
          <w:color w:val="auto"/>
          <w:lang w:eastAsia="en-AU"/>
        </w:rPr>
        <w:t xml:space="preserve"> of government with the program’s</w:t>
      </w:r>
      <w:r w:rsidR="002D2CC5" w:rsidRPr="00F11F5F">
        <w:rPr>
          <w:color w:val="auto"/>
          <w:lang w:eastAsia="en-AU"/>
        </w:rPr>
        <w:t xml:space="preserve"> objectives consistent with the CDC objectives</w:t>
      </w:r>
      <w:r w:rsidR="0028039B" w:rsidRPr="00F11F5F">
        <w:rPr>
          <w:color w:val="auto"/>
          <w:lang w:eastAsia="en-AU"/>
        </w:rPr>
        <w:t xml:space="preserve">. </w:t>
      </w:r>
      <w:r w:rsidR="002D2CC5" w:rsidRPr="00F11F5F">
        <w:rPr>
          <w:color w:val="auto"/>
          <w:lang w:eastAsia="en-AU"/>
        </w:rPr>
        <w:t xml:space="preserve">Whilst unable to obtain the data on the effectiveness of </w:t>
      </w:r>
      <w:r w:rsidR="0028039B" w:rsidRPr="00F11F5F">
        <w:rPr>
          <w:color w:val="auto"/>
          <w:lang w:eastAsia="en-AU"/>
        </w:rPr>
        <w:t>these programs</w:t>
      </w:r>
      <w:r w:rsidR="002D2CC5" w:rsidRPr="00F11F5F">
        <w:rPr>
          <w:color w:val="auto"/>
          <w:lang w:eastAsia="en-AU"/>
        </w:rPr>
        <w:t xml:space="preserve"> the Department is aware that </w:t>
      </w:r>
      <w:r w:rsidR="00F11F5F">
        <w:rPr>
          <w:color w:val="auto"/>
          <w:lang w:eastAsia="en-AU"/>
        </w:rPr>
        <w:t>these</w:t>
      </w:r>
      <w:r w:rsidR="002D2CC5" w:rsidRPr="00F11F5F">
        <w:rPr>
          <w:color w:val="auto"/>
          <w:lang w:eastAsia="en-AU"/>
        </w:rPr>
        <w:t xml:space="preserve"> have the potential to better target the needs of vulnerable people in the community therefore </w:t>
      </w:r>
      <w:r w:rsidR="00B751B4">
        <w:rPr>
          <w:color w:val="auto"/>
          <w:lang w:eastAsia="en-AU"/>
        </w:rPr>
        <w:t>make the CDC program redundant.</w:t>
      </w:r>
    </w:p>
    <w:p w14:paraId="3976E106" w14:textId="7EFC138F" w:rsidR="00142497" w:rsidRPr="00B751B4" w:rsidRDefault="002D2CC5" w:rsidP="00B751B4">
      <w:pPr>
        <w:rPr>
          <w:color w:val="auto"/>
          <w:lang w:eastAsia="en-AU"/>
        </w:rPr>
      </w:pPr>
      <w:r w:rsidRPr="00F11F5F">
        <w:rPr>
          <w:color w:val="auto"/>
          <w:lang w:eastAsia="en-AU"/>
        </w:rPr>
        <w:t xml:space="preserve">These programs in </w:t>
      </w:r>
      <w:r w:rsidR="00911002">
        <w:rPr>
          <w:color w:val="auto"/>
          <w:lang w:eastAsia="en-AU"/>
        </w:rPr>
        <w:fldChar w:fldCharType="begin"/>
      </w:r>
      <w:r w:rsidR="00911002">
        <w:rPr>
          <w:color w:val="auto"/>
          <w:lang w:eastAsia="en-AU"/>
        </w:rPr>
        <w:instrText xml:space="preserve"> REF _Ref110537197 \h </w:instrText>
      </w:r>
      <w:r w:rsidR="00B751B4">
        <w:rPr>
          <w:color w:val="auto"/>
          <w:lang w:eastAsia="en-AU"/>
        </w:rPr>
        <w:instrText xml:space="preserve"> \* MERGEFORMAT </w:instrText>
      </w:r>
      <w:r w:rsidR="00911002">
        <w:rPr>
          <w:color w:val="auto"/>
          <w:lang w:eastAsia="en-AU"/>
        </w:rPr>
      </w:r>
      <w:r w:rsidR="00911002">
        <w:rPr>
          <w:color w:val="auto"/>
          <w:lang w:eastAsia="en-AU"/>
        </w:rPr>
        <w:fldChar w:fldCharType="separate"/>
      </w:r>
      <w:r w:rsidR="00911002" w:rsidRPr="00B751B4">
        <w:rPr>
          <w:color w:val="auto"/>
          <w:lang w:eastAsia="en-AU"/>
        </w:rPr>
        <w:t>Table 4</w:t>
      </w:r>
      <w:r w:rsidR="00911002">
        <w:rPr>
          <w:color w:val="auto"/>
          <w:lang w:eastAsia="en-AU"/>
        </w:rPr>
        <w:fldChar w:fldCharType="end"/>
      </w:r>
      <w:r w:rsidR="00911002">
        <w:rPr>
          <w:color w:val="auto"/>
          <w:lang w:eastAsia="en-AU"/>
        </w:rPr>
        <w:t xml:space="preserve"> </w:t>
      </w:r>
      <w:r w:rsidRPr="00F11F5F">
        <w:rPr>
          <w:color w:val="auto"/>
          <w:lang w:eastAsia="en-AU"/>
        </w:rPr>
        <w:t xml:space="preserve">also indicate </w:t>
      </w:r>
      <w:r w:rsidR="005C095B" w:rsidRPr="00F11F5F">
        <w:rPr>
          <w:color w:val="auto"/>
          <w:lang w:eastAsia="en-AU"/>
        </w:rPr>
        <w:t xml:space="preserve">how services can be developed to </w:t>
      </w:r>
      <w:r w:rsidR="005B57EF" w:rsidRPr="00F11F5F">
        <w:rPr>
          <w:color w:val="auto"/>
          <w:lang w:eastAsia="en-AU"/>
        </w:rPr>
        <w:t>better target the needs of vulnerable people.</w:t>
      </w:r>
      <w:r w:rsidR="0023537B" w:rsidRPr="00F11F5F">
        <w:rPr>
          <w:color w:val="auto"/>
          <w:lang w:eastAsia="en-AU"/>
        </w:rPr>
        <w:t xml:space="preserve"> </w:t>
      </w:r>
      <w:r w:rsidR="00014B18" w:rsidRPr="00F11F5F">
        <w:rPr>
          <w:color w:val="auto"/>
          <w:lang w:eastAsia="en-AU"/>
        </w:rPr>
        <w:t>There is evidence both nationally and internationally supporting the success of targeted, community-based services addressing alcohol and drug misuse, particularly for vulnerable groups in society.</w:t>
      </w:r>
      <w:r w:rsidR="00C037FE" w:rsidRPr="00F11F5F">
        <w:rPr>
          <w:color w:val="auto"/>
          <w:lang w:eastAsia="en-AU"/>
        </w:rPr>
        <w:t xml:space="preserve"> </w:t>
      </w:r>
      <w:r w:rsidR="00142497" w:rsidRPr="00F11F5F">
        <w:rPr>
          <w:color w:val="auto"/>
          <w:lang w:eastAsia="en-AU"/>
        </w:rPr>
        <w:t xml:space="preserve">A review of community-based efforts </w:t>
      </w:r>
      <w:r w:rsidR="003443DE">
        <w:rPr>
          <w:color w:val="auto"/>
          <w:lang w:eastAsia="en-AU"/>
        </w:rPr>
        <w:t xml:space="preserve">to reduce alcohol </w:t>
      </w:r>
      <w:r w:rsidR="00142497" w:rsidRPr="00F11F5F">
        <w:rPr>
          <w:color w:val="auto"/>
          <w:lang w:eastAsia="en-AU"/>
        </w:rPr>
        <w:t xml:space="preserve">misuse among youth and young adults in the United States, </w:t>
      </w:r>
      <w:r w:rsidR="003443DE">
        <w:rPr>
          <w:color w:val="auto"/>
          <w:lang w:eastAsia="en-AU"/>
        </w:rPr>
        <w:t>found e</w:t>
      </w:r>
      <w:r w:rsidR="00142497" w:rsidRPr="00F11F5F">
        <w:rPr>
          <w:color w:val="auto"/>
          <w:lang w:eastAsia="en-AU"/>
        </w:rPr>
        <w:t>ngaging local community in the design and implementation of prevention programs has the potential to improve individual and collective health and well-being</w:t>
      </w:r>
      <w:r w:rsidR="00142497" w:rsidRPr="00B751B4">
        <w:rPr>
          <w:color w:val="auto"/>
          <w:vertAlign w:val="superscript"/>
          <w:lang w:eastAsia="en-AU"/>
        </w:rPr>
        <w:footnoteReference w:id="9"/>
      </w:r>
      <w:r w:rsidR="00002B6D">
        <w:rPr>
          <w:color w:val="auto"/>
          <w:lang w:eastAsia="en-AU"/>
        </w:rPr>
        <w:t>.</w:t>
      </w:r>
      <w:r w:rsidR="00B751B4" w:rsidRPr="00B751B4">
        <w:rPr>
          <w:color w:val="auto"/>
          <w:vertAlign w:val="superscript"/>
          <w:lang w:eastAsia="en-AU"/>
        </w:rPr>
        <w:t>.</w:t>
      </w:r>
    </w:p>
    <w:p w14:paraId="20A376F4" w14:textId="77777777" w:rsidR="00142497" w:rsidRPr="00142497" w:rsidRDefault="00142497" w:rsidP="00142497">
      <w:pPr>
        <w:rPr>
          <w:color w:val="auto"/>
          <w:lang w:eastAsia="en-AU"/>
        </w:rPr>
      </w:pPr>
      <w:r w:rsidRPr="00F11F5F">
        <w:rPr>
          <w:color w:val="auto"/>
          <w:lang w:eastAsia="en-AU"/>
        </w:rPr>
        <w:t>Community-led programs also strengthen the ability of the community to identify, prevent and respond to local alcohol and other drug issues. In an Australian review of preventative measures on substance use risk and harm in Australia, it was found that community is an effective way of organising and delivering prevention targeted at legal drugs, especially alcohol, and that interventions that target structural policy change at the local level are the most effective in terms of outcomes</w:t>
      </w:r>
      <w:r w:rsidRPr="00B751B4">
        <w:rPr>
          <w:color w:val="auto"/>
          <w:vertAlign w:val="superscript"/>
          <w:lang w:eastAsia="en-AU"/>
        </w:rPr>
        <w:footnoteReference w:id="10"/>
      </w:r>
      <w:r w:rsidRPr="00F11F5F">
        <w:rPr>
          <w:color w:val="auto"/>
          <w:lang w:eastAsia="en-AU"/>
        </w:rPr>
        <w:t>. Engaging local community in the development of interventions is also effective to create supportive community environments for healthy choices and quality of life</w:t>
      </w:r>
      <w:r w:rsidRPr="00F11F5F">
        <w:rPr>
          <w:color w:val="auto"/>
          <w:vertAlign w:val="superscript"/>
          <w:lang w:eastAsia="en-AU"/>
        </w:rPr>
        <w:footnoteReference w:id="11"/>
      </w:r>
      <w:r w:rsidRPr="00F11F5F">
        <w:rPr>
          <w:color w:val="auto"/>
          <w:lang w:eastAsia="en-AU"/>
        </w:rPr>
        <w:t>.</w:t>
      </w:r>
    </w:p>
    <w:p w14:paraId="3A1724F7" w14:textId="77777777" w:rsidR="00A13FCA" w:rsidRDefault="004D0B06" w:rsidP="00E1077A">
      <w:pPr>
        <w:pStyle w:val="Caption"/>
        <w:ind w:left="0" w:firstLine="0"/>
      </w:pPr>
      <w:bookmarkStart w:id="41" w:name="_Ref107839447"/>
      <w:bookmarkStart w:id="42" w:name="_Ref110537197"/>
      <w:bookmarkStart w:id="43" w:name="_Toc108008545"/>
      <w:bookmarkStart w:id="44" w:name="_Toc118103809"/>
      <w:r w:rsidRPr="007C02F4">
        <w:t xml:space="preserve">Table </w:t>
      </w:r>
      <w:fldSimple w:instr=" SEQ Table \* ARABIC ">
        <w:r w:rsidR="00EA44C7">
          <w:rPr>
            <w:noProof/>
          </w:rPr>
          <w:t>4</w:t>
        </w:r>
      </w:fldSimple>
      <w:bookmarkEnd w:id="41"/>
      <w:bookmarkEnd w:id="42"/>
      <w:r w:rsidRPr="007C02F4">
        <w:t>: E</w:t>
      </w:r>
      <w:r w:rsidR="00550BE2" w:rsidRPr="007C02F4">
        <w:t>xamples of community programs that are achieving C</w:t>
      </w:r>
      <w:r w:rsidR="002B5087">
        <w:t xml:space="preserve">ashless </w:t>
      </w:r>
      <w:r w:rsidR="00550BE2" w:rsidRPr="007C02F4">
        <w:t>D</w:t>
      </w:r>
      <w:r w:rsidR="002B5087">
        <w:t xml:space="preserve">ebit </w:t>
      </w:r>
      <w:r w:rsidR="00550BE2" w:rsidRPr="007C02F4">
        <w:t>C</w:t>
      </w:r>
      <w:r w:rsidR="002B5087">
        <w:t xml:space="preserve">ard </w:t>
      </w:r>
      <w:r w:rsidR="00115728">
        <w:t>and I</w:t>
      </w:r>
      <w:r w:rsidR="002B5087">
        <w:t xml:space="preserve">ncome </w:t>
      </w:r>
      <w:r w:rsidR="00115728">
        <w:t>M</w:t>
      </w:r>
      <w:r w:rsidR="002B5087">
        <w:t>anagement</w:t>
      </w:r>
      <w:r w:rsidR="00115728">
        <w:t xml:space="preserve"> </w:t>
      </w:r>
      <w:r w:rsidR="00550BE2" w:rsidRPr="007C02F4">
        <w:t>objectives</w:t>
      </w:r>
      <w:bookmarkEnd w:id="43"/>
      <w:r w:rsidR="00482E11">
        <w:t xml:space="preserve"> (this list is not comprehensive)</w:t>
      </w:r>
      <w:bookmarkEnd w:id="44"/>
    </w:p>
    <w:tbl>
      <w:tblPr>
        <w:tblStyle w:val="TableGrid"/>
        <w:tblW w:w="10201" w:type="dxa"/>
        <w:tblLook w:val="04A0" w:firstRow="1" w:lastRow="0" w:firstColumn="1" w:lastColumn="0" w:noHBand="0" w:noVBand="1"/>
        <w:tblDescription w:val="Table 4 - Examples of community programs that are achieving Cashless Debit Card and Income Management objectives (this list is not comprehensive"/>
      </w:tblPr>
      <w:tblGrid>
        <w:gridCol w:w="1838"/>
        <w:gridCol w:w="8363"/>
      </w:tblGrid>
      <w:tr w:rsidR="008E4BAE" w:rsidRPr="002B6BEC" w14:paraId="0F563DE5" w14:textId="77777777" w:rsidTr="00AA11A5">
        <w:trPr>
          <w:tblHeader/>
        </w:trPr>
        <w:tc>
          <w:tcPr>
            <w:tcW w:w="1838" w:type="dxa"/>
          </w:tcPr>
          <w:p w14:paraId="24F1E5A8" w14:textId="77777777" w:rsidR="008E4BAE" w:rsidRPr="002B6BEC" w:rsidRDefault="008E4BAE" w:rsidP="00AA11A5">
            <w:pPr>
              <w:rPr>
                <w:b/>
                <w:color w:val="auto"/>
                <w:lang w:eastAsia="en-AU"/>
              </w:rPr>
            </w:pPr>
            <w:r w:rsidRPr="002B6BEC">
              <w:rPr>
                <w:b/>
                <w:color w:val="auto"/>
                <w:lang w:eastAsia="en-AU"/>
              </w:rPr>
              <w:t xml:space="preserve">State or territory </w:t>
            </w:r>
          </w:p>
        </w:tc>
        <w:tc>
          <w:tcPr>
            <w:tcW w:w="8363" w:type="dxa"/>
          </w:tcPr>
          <w:p w14:paraId="6F043445" w14:textId="77777777" w:rsidR="008E4BAE" w:rsidRPr="002B6BEC" w:rsidRDefault="008E4BAE" w:rsidP="00AA11A5">
            <w:pPr>
              <w:rPr>
                <w:b/>
                <w:color w:val="auto"/>
                <w:lang w:eastAsia="en-AU"/>
              </w:rPr>
            </w:pPr>
            <w:r>
              <w:rPr>
                <w:b/>
                <w:color w:val="auto"/>
                <w:lang w:eastAsia="en-AU"/>
              </w:rPr>
              <w:t>Programs</w:t>
            </w:r>
          </w:p>
        </w:tc>
      </w:tr>
      <w:tr w:rsidR="008E4BAE" w14:paraId="1E3D1E78" w14:textId="77777777" w:rsidTr="00AA11A5">
        <w:tc>
          <w:tcPr>
            <w:tcW w:w="1838" w:type="dxa"/>
          </w:tcPr>
          <w:p w14:paraId="7A91335C" w14:textId="77777777" w:rsidR="008E4BAE" w:rsidRDefault="008E4BAE" w:rsidP="00AA11A5">
            <w:pPr>
              <w:rPr>
                <w:color w:val="auto"/>
                <w:lang w:eastAsia="en-AU"/>
              </w:rPr>
            </w:pPr>
            <w:r>
              <w:rPr>
                <w:color w:val="auto"/>
                <w:lang w:eastAsia="en-AU"/>
              </w:rPr>
              <w:t>South Australia</w:t>
            </w:r>
          </w:p>
        </w:tc>
        <w:tc>
          <w:tcPr>
            <w:tcW w:w="8363" w:type="dxa"/>
          </w:tcPr>
          <w:p w14:paraId="2F6C40F7" w14:textId="77777777" w:rsidR="008E4BAE" w:rsidRPr="004D7E18" w:rsidRDefault="008E4BAE" w:rsidP="00AA11A5">
            <w:pPr>
              <w:rPr>
                <w:b/>
                <w:bCs/>
                <w:color w:val="262626"/>
                <w:lang w:eastAsia="en-AU"/>
              </w:rPr>
            </w:pPr>
            <w:r w:rsidRPr="004D7E18">
              <w:rPr>
                <w:b/>
                <w:bCs/>
                <w:color w:val="262626"/>
                <w:lang w:eastAsia="en-AU"/>
              </w:rPr>
              <w:t xml:space="preserve">South Australian Network of Drug and Alcohol Services (SANDAS) </w:t>
            </w:r>
            <w:r w:rsidRPr="004D7E18">
              <w:rPr>
                <w:color w:val="262626"/>
                <w:lang w:eastAsia="en-AU"/>
              </w:rPr>
              <w:t>enhances community wellbeing and reduce the harms associated with alcohol and drug use. It is a not-for-profit association funded by membership contributions, the Australian Government Department of Health, Drug and Alcohol Services of South Australia, the South Australian Department of Health and a range of other organisations on a project basis.</w:t>
            </w:r>
          </w:p>
          <w:p w14:paraId="670516F9" w14:textId="77777777" w:rsidR="008E4BAE" w:rsidRPr="004D7E18" w:rsidRDefault="008E4BAE" w:rsidP="00AA11A5">
            <w:pPr>
              <w:rPr>
                <w:b/>
                <w:bCs/>
                <w:color w:val="262626"/>
                <w:lang w:eastAsia="en-AU"/>
              </w:rPr>
            </w:pPr>
            <w:r w:rsidRPr="004D7E18">
              <w:rPr>
                <w:b/>
                <w:bCs/>
                <w:color w:val="262626"/>
                <w:lang w:eastAsia="en-AU"/>
              </w:rPr>
              <w:t xml:space="preserve">Drug and Alcohol Services South Australia (DASSA) </w:t>
            </w:r>
            <w:r w:rsidRPr="004D7E18">
              <w:rPr>
                <w:color w:val="262626"/>
                <w:lang w:eastAsia="en-AU"/>
              </w:rPr>
              <w:t>provides a range of clinical services.</w:t>
            </w:r>
            <w:r w:rsidRPr="004D7E18">
              <w:rPr>
                <w:b/>
                <w:bCs/>
                <w:color w:val="262626"/>
                <w:lang w:eastAsia="en-AU"/>
              </w:rPr>
              <w:t xml:space="preserve"> </w:t>
            </w:r>
            <w:r>
              <w:rPr>
                <w:color w:val="262626"/>
                <w:lang w:eastAsia="en-AU"/>
              </w:rPr>
              <w:t>P</w:t>
            </w:r>
            <w:r w:rsidRPr="004D7E18">
              <w:rPr>
                <w:color w:val="262626"/>
                <w:lang w:eastAsia="en-AU"/>
              </w:rPr>
              <w:t>rovides clinical advice for medical practitioners, nurses and pharmacists working with people with alcohol and drug problems (the South Australian Department of Health)</w:t>
            </w:r>
            <w:r>
              <w:rPr>
                <w:b/>
                <w:bCs/>
                <w:color w:val="262626"/>
                <w:lang w:eastAsia="en-AU"/>
              </w:rPr>
              <w:t>.</w:t>
            </w:r>
          </w:p>
          <w:p w14:paraId="494F4717" w14:textId="77777777" w:rsidR="008E4BAE" w:rsidRPr="004D7E18" w:rsidRDefault="008E4BAE" w:rsidP="00AA11A5">
            <w:pPr>
              <w:spacing w:after="120"/>
              <w:rPr>
                <w:b/>
                <w:bCs/>
                <w:color w:val="262626"/>
                <w:lang w:eastAsia="en-AU"/>
              </w:rPr>
            </w:pPr>
            <w:r w:rsidRPr="004D7E18">
              <w:rPr>
                <w:b/>
                <w:bCs/>
                <w:color w:val="262626"/>
                <w:lang w:eastAsia="en-AU"/>
              </w:rPr>
              <w:t>Aboriginal Drug &amp; Alcohol Council</w:t>
            </w:r>
            <w:r w:rsidRPr="004D7E18">
              <w:rPr>
                <w:color w:val="262626"/>
                <w:lang w:eastAsia="en-AU"/>
              </w:rPr>
              <w:t xml:space="preserve"> responds to the needs of Indigenous Communities In Metropolitan Adelaide</w:t>
            </w:r>
            <w:r>
              <w:rPr>
                <w:color w:val="262626"/>
                <w:lang w:eastAsia="en-AU"/>
              </w:rPr>
              <w:t>.</w:t>
            </w:r>
          </w:p>
          <w:p w14:paraId="01672822" w14:textId="77777777" w:rsidR="008E4BAE" w:rsidRPr="004D7E18" w:rsidRDefault="008E4BAE" w:rsidP="00AA11A5">
            <w:pPr>
              <w:rPr>
                <w:b/>
                <w:bCs/>
                <w:color w:val="262626"/>
                <w:lang w:eastAsia="en-AU"/>
              </w:rPr>
            </w:pPr>
            <w:r w:rsidRPr="004D7E18">
              <w:rPr>
                <w:b/>
                <w:bCs/>
                <w:color w:val="262626"/>
                <w:lang w:eastAsia="en-AU"/>
              </w:rPr>
              <w:t>Ceduna region</w:t>
            </w:r>
          </w:p>
          <w:p w14:paraId="6D7B4D9B" w14:textId="77777777" w:rsidR="008E4BAE" w:rsidRDefault="008E4BAE" w:rsidP="00AA11A5">
            <w:pPr>
              <w:rPr>
                <w:color w:val="262626"/>
                <w:lang w:eastAsia="en-AU"/>
              </w:rPr>
            </w:pPr>
            <w:r w:rsidRPr="004D7E18">
              <w:rPr>
                <w:b/>
                <w:bCs/>
                <w:color w:val="262626"/>
                <w:lang w:eastAsia="en-AU"/>
              </w:rPr>
              <w:t>Ceduna Aboriginal Corporation</w:t>
            </w:r>
            <w:r>
              <w:rPr>
                <w:b/>
                <w:bCs/>
                <w:color w:val="262626"/>
                <w:lang w:eastAsia="en-AU"/>
              </w:rPr>
              <w:t xml:space="preserve"> </w:t>
            </w:r>
            <w:r w:rsidRPr="004D7E18">
              <w:rPr>
                <w:b/>
                <w:bCs/>
                <w:color w:val="262626"/>
                <w:lang w:eastAsia="en-AU"/>
              </w:rPr>
              <w:t xml:space="preserve">and SA government: Diversionary Programs - </w:t>
            </w:r>
            <w:r w:rsidRPr="004D7E18">
              <w:rPr>
                <w:color w:val="262626"/>
                <w:lang w:eastAsia="en-AU"/>
              </w:rPr>
              <w:t>activities aimed to involve Aboriginal men, women and youth</w:t>
            </w:r>
            <w:r w:rsidRPr="004D7E18">
              <w:rPr>
                <w:b/>
                <w:bCs/>
                <w:color w:val="262626"/>
                <w:lang w:eastAsia="en-AU"/>
              </w:rPr>
              <w:t xml:space="preserve"> </w:t>
            </w:r>
            <w:r w:rsidRPr="004D7E18">
              <w:rPr>
                <w:color w:val="262626"/>
                <w:lang w:eastAsia="en-AU"/>
              </w:rPr>
              <w:t>building resilience through participating in social and emotional wellbeing activities through connecting participants with a</w:t>
            </w:r>
            <w:r>
              <w:rPr>
                <w:color w:val="262626"/>
                <w:lang w:eastAsia="en-AU"/>
              </w:rPr>
              <w:t xml:space="preserve"> range of specialist service.</w:t>
            </w:r>
          </w:p>
          <w:p w14:paraId="2E5D286D" w14:textId="77777777" w:rsidR="008E4BAE" w:rsidRPr="004D7E18" w:rsidRDefault="008E4BAE" w:rsidP="00AA11A5">
            <w:pPr>
              <w:rPr>
                <w:color w:val="262626"/>
                <w:lang w:eastAsia="en-AU"/>
              </w:rPr>
            </w:pPr>
            <w:r w:rsidRPr="004D7E18">
              <w:rPr>
                <w:b/>
                <w:bCs/>
                <w:color w:val="262626"/>
                <w:lang w:eastAsia="en-AU"/>
              </w:rPr>
              <w:t>Street Beat Service</w:t>
            </w:r>
            <w:r w:rsidRPr="004D7E18">
              <w:rPr>
                <w:color w:val="262626"/>
                <w:lang w:eastAsia="en-AU"/>
              </w:rPr>
              <w:t xml:space="preserve"> - </w:t>
            </w:r>
            <w:r w:rsidRPr="004D7E18">
              <w:rPr>
                <w:color w:val="202020"/>
                <w:shd w:val="clear" w:color="auto" w:fill="FFFFFF"/>
              </w:rPr>
              <w:t>24/7</w:t>
            </w:r>
            <w:r w:rsidRPr="004D7E18">
              <w:rPr>
                <w:color w:val="262626"/>
                <w:lang w:eastAsia="en-AU"/>
              </w:rPr>
              <w:t xml:space="preserve"> mobile outreach team patrol the streets and provide assistance to vulnerable people to access the services that will prevent the escalation of incidents that cause harm.</w:t>
            </w:r>
          </w:p>
          <w:p w14:paraId="46E49904" w14:textId="77777777" w:rsidR="008E4BAE" w:rsidRPr="004D7E18" w:rsidRDefault="008E4BAE" w:rsidP="00AA11A5">
            <w:pPr>
              <w:rPr>
                <w:color w:val="262626"/>
                <w:lang w:eastAsia="en-AU"/>
              </w:rPr>
            </w:pPr>
            <w:r w:rsidRPr="004D7E18">
              <w:rPr>
                <w:b/>
                <w:bCs/>
                <w:color w:val="262626"/>
                <w:lang w:eastAsia="en-AU"/>
              </w:rPr>
              <w:t>CatholicCare NT</w:t>
            </w:r>
            <w:r w:rsidRPr="004D7E18">
              <w:rPr>
                <w:color w:val="262626"/>
                <w:lang w:eastAsia="en-AU"/>
              </w:rPr>
              <w:t xml:space="preserve"> </w:t>
            </w:r>
            <w:r>
              <w:rPr>
                <w:color w:val="262626"/>
                <w:lang w:eastAsia="en-AU"/>
              </w:rPr>
              <w:t xml:space="preserve">- </w:t>
            </w:r>
            <w:r w:rsidRPr="004D7E18">
              <w:rPr>
                <w:b/>
                <w:bCs/>
                <w:color w:val="262626"/>
              </w:rPr>
              <w:t>No More Campaign</w:t>
            </w:r>
            <w:r>
              <w:rPr>
                <w:b/>
                <w:bCs/>
                <w:color w:val="262626"/>
              </w:rPr>
              <w:t xml:space="preserve"> </w:t>
            </w:r>
            <w:r w:rsidRPr="004D7E18">
              <w:rPr>
                <w:color w:val="262626"/>
              </w:rPr>
              <w:t>is an</w:t>
            </w:r>
            <w:r w:rsidRPr="004D7E18">
              <w:rPr>
                <w:color w:val="262626"/>
                <w:lang w:eastAsia="en-AU"/>
              </w:rPr>
              <w:t xml:space="preserve"> </w:t>
            </w:r>
            <w:r w:rsidRPr="004D7E18">
              <w:rPr>
                <w:color w:val="262626"/>
              </w:rPr>
              <w:t>educational program for Aboriginal men to raise awareness of family violence, using sporting activities to engage them.</w:t>
            </w:r>
          </w:p>
          <w:p w14:paraId="4ACF09DE" w14:textId="77777777" w:rsidR="008E4BAE" w:rsidRPr="004D7E18" w:rsidRDefault="008E4BAE" w:rsidP="00AA11A5">
            <w:pPr>
              <w:rPr>
                <w:color w:val="262626"/>
                <w:lang w:eastAsia="en-AU"/>
              </w:rPr>
            </w:pPr>
            <w:r w:rsidRPr="004D7E18">
              <w:rPr>
                <w:b/>
                <w:bCs/>
                <w:color w:val="262626"/>
                <w:lang w:eastAsia="en-AU"/>
              </w:rPr>
              <w:t>CentaCare</w:t>
            </w:r>
            <w:r>
              <w:rPr>
                <w:b/>
                <w:bCs/>
                <w:color w:val="262626"/>
                <w:lang w:eastAsia="en-AU"/>
              </w:rPr>
              <w:t xml:space="preserve"> </w:t>
            </w:r>
            <w:r w:rsidRPr="004D7E18">
              <w:rPr>
                <w:color w:val="262626"/>
                <w:lang w:eastAsia="en-AU"/>
              </w:rPr>
              <w:t xml:space="preserve">- </w:t>
            </w:r>
            <w:r w:rsidRPr="004D7E18">
              <w:rPr>
                <w:b/>
                <w:bCs/>
                <w:color w:val="262626"/>
                <w:lang w:eastAsia="en-AU"/>
              </w:rPr>
              <w:t xml:space="preserve">A Better Life </w:t>
            </w:r>
            <w:r w:rsidRPr="004D7E18">
              <w:rPr>
                <w:color w:val="262626"/>
                <w:lang w:eastAsia="en-AU"/>
              </w:rPr>
              <w:t>(ABLe)</w:t>
            </w:r>
            <w:r w:rsidRPr="004D7E18">
              <w:rPr>
                <w:b/>
                <w:bCs/>
                <w:color w:val="262626"/>
                <w:lang w:eastAsia="en-AU"/>
              </w:rPr>
              <w:t xml:space="preserve"> </w:t>
            </w:r>
            <w:r w:rsidRPr="004D7E18">
              <w:rPr>
                <w:color w:val="262626"/>
                <w:lang w:eastAsia="en-AU"/>
              </w:rPr>
              <w:t>provides non-clinical support to people suffering from mental illness, including alcohol and drug misuse and problem gambling, to ensure they are connected with appropriate services, also providing after-care services to support people to transition back into family and community life.</w:t>
            </w:r>
          </w:p>
          <w:p w14:paraId="03BA5435" w14:textId="77777777" w:rsidR="008E4BAE" w:rsidRPr="002B6BEC" w:rsidRDefault="008E4BAE" w:rsidP="00AA11A5">
            <w:pPr>
              <w:rPr>
                <w:color w:val="262626"/>
                <w:lang w:eastAsia="en-AU"/>
              </w:rPr>
            </w:pPr>
            <w:r w:rsidRPr="004D7E18">
              <w:rPr>
                <w:b/>
                <w:bCs/>
                <w:color w:val="262626"/>
                <w:lang w:eastAsia="en-AU"/>
              </w:rPr>
              <w:t>Ceduna Koonibba Aboriginal Health Service Aboriginal Corporation</w:t>
            </w:r>
            <w:r w:rsidRPr="004D7E18">
              <w:rPr>
                <w:color w:val="262626"/>
                <w:lang w:eastAsia="en-AU"/>
              </w:rPr>
              <w:t xml:space="preserve"> provides assessments and referrals to support services for people who experience drug and alcohol addictions, including transport and funding for people affected by drugs and alcohol to book into, and travel to and from funded su</w:t>
            </w:r>
            <w:r>
              <w:rPr>
                <w:color w:val="262626"/>
                <w:lang w:eastAsia="en-AU"/>
              </w:rPr>
              <w:t>pport and counselling services.</w:t>
            </w:r>
          </w:p>
        </w:tc>
      </w:tr>
      <w:tr w:rsidR="008E4BAE" w14:paraId="720D0543" w14:textId="77777777" w:rsidTr="00AA11A5">
        <w:tc>
          <w:tcPr>
            <w:tcW w:w="1838" w:type="dxa"/>
          </w:tcPr>
          <w:p w14:paraId="29C69153" w14:textId="77777777" w:rsidR="008E4BAE" w:rsidRDefault="008E4BAE" w:rsidP="00AA11A5">
            <w:pPr>
              <w:rPr>
                <w:color w:val="auto"/>
                <w:lang w:eastAsia="en-AU"/>
              </w:rPr>
            </w:pPr>
            <w:r>
              <w:rPr>
                <w:color w:val="auto"/>
                <w:lang w:eastAsia="en-AU"/>
              </w:rPr>
              <w:t>Western Australia</w:t>
            </w:r>
          </w:p>
        </w:tc>
        <w:tc>
          <w:tcPr>
            <w:tcW w:w="8363" w:type="dxa"/>
          </w:tcPr>
          <w:p w14:paraId="41C1EBAD" w14:textId="77777777" w:rsidR="008E4BAE" w:rsidRPr="004D7E18" w:rsidRDefault="008E4BAE" w:rsidP="00AA11A5">
            <w:pPr>
              <w:rPr>
                <w:color w:val="262626"/>
                <w:lang w:eastAsia="en-AU"/>
              </w:rPr>
            </w:pPr>
            <w:r w:rsidRPr="004D7E18">
              <w:rPr>
                <w:b/>
                <w:bCs/>
                <w:color w:val="262626"/>
                <w:lang w:eastAsia="en-AU"/>
              </w:rPr>
              <w:t>Next Step Drug and Alcohol Services (Next Step)</w:t>
            </w:r>
            <w:r w:rsidRPr="004D7E18">
              <w:rPr>
                <w:color w:val="262626"/>
                <w:lang w:eastAsia="en-AU"/>
              </w:rPr>
              <w:t xml:space="preserve"> provides a range of treatment services for people experiencing problems associated with their alcohol and other drug use, as well as support for families (Government of Western Australia Mental Health Commission).</w:t>
            </w:r>
          </w:p>
          <w:p w14:paraId="477B3379" w14:textId="77777777" w:rsidR="008E4BAE" w:rsidRPr="002B6BEC" w:rsidRDefault="008E4BAE" w:rsidP="00AA11A5">
            <w:pPr>
              <w:spacing w:after="120"/>
              <w:rPr>
                <w:color w:val="262626"/>
                <w:lang w:eastAsia="en-AU"/>
              </w:rPr>
            </w:pPr>
            <w:r w:rsidRPr="004D7E18">
              <w:rPr>
                <w:b/>
                <w:color w:val="262626"/>
                <w:lang w:eastAsia="en-AU"/>
              </w:rPr>
              <w:t xml:space="preserve">Community Alcohol and Drug Services (CADS) </w:t>
            </w:r>
            <w:r w:rsidRPr="004D7E18">
              <w:rPr>
                <w:color w:val="262626"/>
                <w:lang w:eastAsia="en-AU"/>
              </w:rPr>
              <w:t>provides individuals and their families with alcohol and other drug treatment and support services in the community. Services are provided for people aged 14 years and over, their carers</w:t>
            </w:r>
            <w:r>
              <w:rPr>
                <w:color w:val="262626"/>
                <w:lang w:eastAsia="en-AU"/>
              </w:rPr>
              <w:t>’</w:t>
            </w:r>
            <w:r w:rsidRPr="004D7E18">
              <w:rPr>
                <w:color w:val="262626"/>
                <w:lang w:eastAsia="en-AU"/>
              </w:rPr>
              <w:t xml:space="preserve"> and their families. Also provide support for families and services dealing with people younger than 14 years. Individuals do not require a referral and can self-refer by calling </w:t>
            </w:r>
            <w:r>
              <w:rPr>
                <w:color w:val="262626"/>
                <w:lang w:eastAsia="en-AU"/>
              </w:rPr>
              <w:t>or attending their nearest CADS.</w:t>
            </w:r>
          </w:p>
          <w:p w14:paraId="5C728AD0" w14:textId="77777777" w:rsidR="008E4BAE" w:rsidRPr="004D7E18" w:rsidRDefault="008E4BAE" w:rsidP="00AA11A5">
            <w:pPr>
              <w:rPr>
                <w:b/>
                <w:bCs/>
                <w:color w:val="262626"/>
                <w:lang w:eastAsia="en-AU"/>
              </w:rPr>
            </w:pPr>
            <w:r w:rsidRPr="004D7E18">
              <w:rPr>
                <w:b/>
                <w:bCs/>
                <w:color w:val="262626"/>
                <w:lang w:eastAsia="en-AU"/>
              </w:rPr>
              <w:t>East Kimberley region</w:t>
            </w:r>
          </w:p>
          <w:p w14:paraId="31442FF2" w14:textId="77777777" w:rsidR="008E4BAE" w:rsidRPr="004D7E18" w:rsidRDefault="008E4BAE" w:rsidP="00AA11A5">
            <w:pPr>
              <w:rPr>
                <w:color w:val="262626"/>
                <w:lang w:eastAsia="en-AU"/>
              </w:rPr>
            </w:pPr>
            <w:r w:rsidRPr="004D7E18">
              <w:rPr>
                <w:b/>
                <w:color w:val="262626"/>
              </w:rPr>
              <w:t xml:space="preserve">Boab Health Services Pty Ltd–Wyndham &amp; Ngnowar Aerwah Aboriginal Corporation–Wyndham &amp; </w:t>
            </w:r>
            <w:r w:rsidRPr="004D7E18">
              <w:rPr>
                <w:b/>
                <w:color w:val="262626"/>
                <w:lang w:eastAsia="en-AU"/>
              </w:rPr>
              <w:t>Ord Valley Aboriginal Health Service–OVAHS – Kununurra</w:t>
            </w:r>
            <w:r w:rsidRPr="004D7E18">
              <w:rPr>
                <w:color w:val="262626"/>
              </w:rPr>
              <w:t xml:space="preserve"> - </w:t>
            </w:r>
            <w:r w:rsidRPr="004D7E18">
              <w:rPr>
                <w:color w:val="262626"/>
                <w:lang w:eastAsia="en-AU"/>
              </w:rPr>
              <w:t>ABLe</w:t>
            </w:r>
            <w:r w:rsidRPr="004D7E18">
              <w:rPr>
                <w:b/>
                <w:bCs/>
                <w:color w:val="262626"/>
                <w:lang w:eastAsia="en-AU"/>
              </w:rPr>
              <w:t xml:space="preserve"> </w:t>
            </w:r>
            <w:r w:rsidRPr="004D7E18">
              <w:rPr>
                <w:color w:val="262626"/>
                <w:lang w:eastAsia="en-AU"/>
              </w:rPr>
              <w:t xml:space="preserve">provides services include allied health, mental health, and an Integrated Team Care Program. The mental health team includes mental health nurses, clinical psychologists, social workers and occupational therapists. The organisation has a holistic approach to health and offers programs like singing and drumming groups, art therapy, back to country trips and school holiday programs. </w:t>
            </w:r>
            <w:r w:rsidRPr="004D7E18">
              <w:rPr>
                <w:color w:val="262626"/>
              </w:rPr>
              <w:t>They also provide space for drive-in/drive-out service providers. The services offered include an alcohol and other drugs counselling program; a residential rehabilitation facility for individuals, couples and families; a sobering up shelter; a night patrol service; a safe house for women and children affected by family violence and homelessness; the Building Solid Families program; a youth Grow the Music program; and a horsemanship program for young people.</w:t>
            </w:r>
          </w:p>
          <w:p w14:paraId="1FF01D59" w14:textId="77777777" w:rsidR="008E4BAE" w:rsidRPr="004D7E18" w:rsidRDefault="008E4BAE" w:rsidP="00AA11A5">
            <w:pPr>
              <w:rPr>
                <w:color w:val="262626"/>
                <w:lang w:eastAsia="en-AU"/>
              </w:rPr>
            </w:pPr>
            <w:r w:rsidRPr="004D7E18">
              <w:rPr>
                <w:b/>
                <w:bCs/>
                <w:color w:val="262626"/>
                <w:lang w:eastAsia="en-AU"/>
              </w:rPr>
              <w:t>Wyndham Early Learning Activity–WELA</w:t>
            </w:r>
            <w:r>
              <w:rPr>
                <w:b/>
                <w:bCs/>
                <w:color w:val="262626"/>
                <w:lang w:eastAsia="en-AU"/>
              </w:rPr>
              <w:t xml:space="preserve"> </w:t>
            </w:r>
            <w:r w:rsidRPr="004D7E18">
              <w:rPr>
                <w:color w:val="262626"/>
                <w:lang w:eastAsia="en-AU"/>
              </w:rPr>
              <w:t>i</w:t>
            </w:r>
            <w:r w:rsidRPr="004D7E18">
              <w:rPr>
                <w:color w:val="262626"/>
              </w:rPr>
              <w:t>ncludes parenting education and support, life skills development and home budgeting skills with the aim of supporting families, strengthening relationships, improving the wellbeing of children and young people, and increasing participation of people in community life.</w:t>
            </w:r>
          </w:p>
          <w:p w14:paraId="59A2AF47" w14:textId="77777777" w:rsidR="008E4BAE" w:rsidRPr="002B6BEC" w:rsidRDefault="008E4BAE" w:rsidP="00AA11A5">
            <w:pPr>
              <w:spacing w:after="120"/>
              <w:rPr>
                <w:color w:val="262626"/>
                <w:lang w:eastAsia="en-AU"/>
              </w:rPr>
            </w:pPr>
            <w:r w:rsidRPr="004D7E18">
              <w:rPr>
                <w:b/>
                <w:bCs/>
                <w:color w:val="262626"/>
              </w:rPr>
              <w:t>Wyndham Youth Aboriginal Corporation</w:t>
            </w:r>
            <w:r w:rsidRPr="004D7E18">
              <w:rPr>
                <w:color w:val="262626"/>
              </w:rPr>
              <w:t xml:space="preserve"> supports adolescents unable to access age-appropriate drug and alcohol rehabilitation services.</w:t>
            </w:r>
          </w:p>
          <w:p w14:paraId="512B2FBA" w14:textId="77777777" w:rsidR="008E4BAE" w:rsidRPr="004D7E18" w:rsidRDefault="008E4BAE" w:rsidP="00AA11A5">
            <w:pPr>
              <w:rPr>
                <w:b/>
                <w:bCs/>
                <w:color w:val="262626"/>
                <w:lang w:eastAsia="en-AU"/>
              </w:rPr>
            </w:pPr>
            <w:r w:rsidRPr="004D7E18">
              <w:rPr>
                <w:b/>
                <w:bCs/>
                <w:color w:val="262626"/>
                <w:lang w:eastAsia="en-AU"/>
              </w:rPr>
              <w:t>Goldfields region</w:t>
            </w:r>
          </w:p>
          <w:p w14:paraId="00D2D2DB" w14:textId="77777777" w:rsidR="008E4BAE" w:rsidRPr="004D7E18" w:rsidRDefault="008E4BAE" w:rsidP="00AA11A5">
            <w:pPr>
              <w:rPr>
                <w:color w:val="262626"/>
                <w:lang w:eastAsia="en-AU"/>
              </w:rPr>
            </w:pPr>
            <w:r w:rsidRPr="004D7E18">
              <w:rPr>
                <w:b/>
                <w:bCs/>
                <w:color w:val="262626"/>
                <w:lang w:eastAsia="en-AU"/>
              </w:rPr>
              <w:t>Wirrpanda Foundation</w:t>
            </w:r>
            <w:r w:rsidRPr="004D7E18">
              <w:rPr>
                <w:color w:val="262626"/>
                <w:lang w:eastAsia="en-AU"/>
              </w:rPr>
              <w:t xml:space="preserve"> aims to lead the provision of education, employment and business opportunities for Aboriginal and Torres Strait Islander Australians by working together to empower and build capacity amongst individuals, their families and their communities. The priority of the Wirrpanda Foundation remains delivering programs that are designed and developed by Aboriginal and Torres Strait Islander people.</w:t>
            </w:r>
          </w:p>
          <w:p w14:paraId="32EFDEB2" w14:textId="77777777" w:rsidR="008E4BAE" w:rsidRPr="004D7E18" w:rsidRDefault="008E4BAE" w:rsidP="00AA11A5">
            <w:pPr>
              <w:rPr>
                <w:color w:val="262626"/>
                <w:lang w:eastAsia="en-AU"/>
              </w:rPr>
            </w:pPr>
            <w:r w:rsidRPr="004D7E18">
              <w:rPr>
                <w:b/>
                <w:bCs/>
                <w:color w:val="262626"/>
                <w:lang w:eastAsia="en-AU"/>
              </w:rPr>
              <w:t>Midwest Employment &amp; Economic Development Aboriginal Corporation (MEEDAC)</w:t>
            </w:r>
            <w:r w:rsidRPr="004D7E18">
              <w:rPr>
                <w:color w:val="262626"/>
                <w:lang w:eastAsia="en-AU"/>
              </w:rPr>
              <w:t xml:space="preserve"> provides a single point of contact for job seekers and employers in the Midwest-West and Kambalda regions which includes the following locations and surrounding areas: Mullewa, Northampton, Dongara, Kalbarri, Yalgoo, Morawa, Narngulu, Kambalda, Norseman, Hopetoun and Coolgardie.</w:t>
            </w:r>
          </w:p>
          <w:p w14:paraId="373F22EA" w14:textId="77777777" w:rsidR="008E4BAE" w:rsidRPr="004D7E18" w:rsidRDefault="008E4BAE" w:rsidP="00AA11A5">
            <w:pPr>
              <w:rPr>
                <w:color w:val="262626"/>
                <w:lang w:eastAsia="en-AU"/>
              </w:rPr>
            </w:pPr>
            <w:r w:rsidRPr="004D7E18">
              <w:rPr>
                <w:b/>
                <w:bCs/>
                <w:color w:val="262626"/>
                <w:lang w:eastAsia="en-AU"/>
              </w:rPr>
              <w:t>Vocational Training and Employment Centre (VTEC)</w:t>
            </w:r>
            <w:r w:rsidRPr="004D7E18">
              <w:rPr>
                <w:color w:val="262626"/>
                <w:lang w:eastAsia="en-AU"/>
              </w:rPr>
              <w:t xml:space="preserve"> connects Indigenous job seekers with a guaranteed job for 26 weeks. The guarantee of a job before job-specific training starts, is the key feature of VTECs. This ensures: job seekers choose to participate in the program vocational or job-specific training is directly related to available jobs</w:t>
            </w:r>
            <w:r>
              <w:rPr>
                <w:color w:val="262626"/>
                <w:lang w:eastAsia="en-AU"/>
              </w:rPr>
              <w:t>.</w:t>
            </w:r>
          </w:p>
          <w:p w14:paraId="0C2B3E98" w14:textId="77777777" w:rsidR="008E4BAE" w:rsidRPr="002B6BEC" w:rsidRDefault="008E4BAE" w:rsidP="00AA11A5">
            <w:pPr>
              <w:rPr>
                <w:bCs/>
                <w:color w:val="262626"/>
                <w:lang w:eastAsia="en-AU"/>
              </w:rPr>
            </w:pPr>
            <w:r w:rsidRPr="004D7E18">
              <w:rPr>
                <w:b/>
                <w:bCs/>
                <w:color w:val="262626"/>
                <w:lang w:eastAsia="en-AU"/>
              </w:rPr>
              <w:t xml:space="preserve">Kambalda Community Resource Centre &amp; Coolgardie Resource Centre &amp; Laverton Community Services &amp; Menzies Community Centre </w:t>
            </w:r>
            <w:r w:rsidRPr="004D7E18">
              <w:rPr>
                <w:color w:val="262626"/>
                <w:lang w:eastAsia="en-AU"/>
              </w:rPr>
              <w:t>are volunteer-based Not-for-Profit operating under the Community Development framework and underpinned by the Social Justice principles providing support for the local communities and businesses.</w:t>
            </w:r>
          </w:p>
        </w:tc>
      </w:tr>
      <w:tr w:rsidR="008E4BAE" w14:paraId="21884C60" w14:textId="77777777" w:rsidTr="00AA11A5">
        <w:tc>
          <w:tcPr>
            <w:tcW w:w="1838" w:type="dxa"/>
          </w:tcPr>
          <w:p w14:paraId="788FD672" w14:textId="77777777" w:rsidR="008E4BAE" w:rsidRDefault="008E4BAE" w:rsidP="00AA11A5">
            <w:pPr>
              <w:rPr>
                <w:color w:val="auto"/>
                <w:lang w:eastAsia="en-AU"/>
              </w:rPr>
            </w:pPr>
            <w:r>
              <w:rPr>
                <w:color w:val="auto"/>
                <w:lang w:eastAsia="en-AU"/>
              </w:rPr>
              <w:t>Queensland</w:t>
            </w:r>
          </w:p>
        </w:tc>
        <w:tc>
          <w:tcPr>
            <w:tcW w:w="8363" w:type="dxa"/>
          </w:tcPr>
          <w:p w14:paraId="4122BE0A" w14:textId="77777777" w:rsidR="008E4BAE" w:rsidRPr="00A36376" w:rsidRDefault="008E4BAE" w:rsidP="00AA11A5">
            <w:pPr>
              <w:rPr>
                <w:b/>
                <w:i/>
                <w:color w:val="auto"/>
                <w:lang w:eastAsia="en-AU"/>
              </w:rPr>
            </w:pPr>
            <w:r w:rsidRPr="00A36376">
              <w:rPr>
                <w:b/>
                <w:color w:val="auto"/>
                <w:lang w:eastAsia="en-AU"/>
              </w:rPr>
              <w:t>Bundaberg/Hervey Bay, and Cape York</w:t>
            </w:r>
          </w:p>
          <w:p w14:paraId="6CE14B63" w14:textId="77777777" w:rsidR="008E4BAE" w:rsidRDefault="008E4BAE" w:rsidP="00AA11A5">
            <w:pPr>
              <w:rPr>
                <w:i/>
                <w:color w:val="auto"/>
                <w:lang w:eastAsia="en-AU"/>
              </w:rPr>
            </w:pPr>
            <w:r w:rsidRPr="00A36376">
              <w:rPr>
                <w:b/>
                <w:i/>
                <w:color w:val="auto"/>
                <w:lang w:eastAsia="en-AU"/>
              </w:rPr>
              <w:t>Alcohol restrictions in Queensland communities (Aurukun, Hope Vale, Doomadgee) -</w:t>
            </w:r>
            <w:r>
              <w:rPr>
                <w:i/>
                <w:color w:val="auto"/>
                <w:lang w:eastAsia="en-AU"/>
              </w:rPr>
              <w:t xml:space="preserve"> </w:t>
            </w:r>
            <w:r>
              <w:rPr>
                <w:color w:val="auto"/>
                <w:lang w:eastAsia="en-AU"/>
              </w:rPr>
              <w:t>t</w:t>
            </w:r>
            <w:r w:rsidRPr="004A0FB3">
              <w:rPr>
                <w:color w:val="auto"/>
                <w:lang w:eastAsia="en-AU"/>
              </w:rPr>
              <w:t>hese restrictions ban or limit the amount and type of alcohol you can take into a community. In some communities, alcohol is completely banned</w:t>
            </w:r>
            <w:r>
              <w:rPr>
                <w:i/>
                <w:color w:val="auto"/>
                <w:lang w:eastAsia="en-AU"/>
              </w:rPr>
              <w:t>.</w:t>
            </w:r>
          </w:p>
          <w:p w14:paraId="1A16194A" w14:textId="77777777" w:rsidR="008E4BAE" w:rsidRDefault="008E4BAE" w:rsidP="00AA11A5">
            <w:pPr>
              <w:rPr>
                <w:i/>
                <w:color w:val="auto"/>
                <w:lang w:eastAsia="en-AU"/>
              </w:rPr>
            </w:pPr>
            <w:r w:rsidRPr="00A36376">
              <w:rPr>
                <w:b/>
                <w:i/>
                <w:color w:val="auto"/>
                <w:lang w:eastAsia="en-AU"/>
              </w:rPr>
              <w:t>Mental Health, Alcohol and Other Drugs Service - Alcohol &amp; Other Drugs (AODS) teams (Bundaberg and Hervey Bay)</w:t>
            </w:r>
            <w:r w:rsidRPr="00A36376">
              <w:rPr>
                <w:b/>
                <w:color w:val="auto"/>
                <w:lang w:eastAsia="en-AU"/>
              </w:rPr>
              <w:t xml:space="preserve"> -</w:t>
            </w:r>
            <w:r>
              <w:rPr>
                <w:color w:val="auto"/>
                <w:lang w:eastAsia="en-AU"/>
              </w:rPr>
              <w:t xml:space="preserve"> </w:t>
            </w:r>
            <w:r>
              <w:t>A specialist service within a harm minimisation framework, where individuals directly or indirectly affected by their own or another alcohol or drug use can access an assessment or a range of specialist services.</w:t>
            </w:r>
          </w:p>
          <w:p w14:paraId="5CD4FD54" w14:textId="77777777" w:rsidR="008E4BAE" w:rsidRDefault="008E4BAE" w:rsidP="00AA11A5">
            <w:pPr>
              <w:rPr>
                <w:b/>
                <w:color w:val="auto"/>
                <w:lang w:eastAsia="en-AU"/>
              </w:rPr>
            </w:pPr>
            <w:r w:rsidRPr="00A36376">
              <w:rPr>
                <w:b/>
                <w:i/>
                <w:color w:val="auto"/>
                <w:lang w:eastAsia="en-AU"/>
              </w:rPr>
              <w:t>Gambling Help Queensland</w:t>
            </w:r>
            <w:r w:rsidRPr="00A36376">
              <w:rPr>
                <w:b/>
                <w:color w:val="auto"/>
                <w:lang w:eastAsia="en-AU"/>
              </w:rPr>
              <w:t xml:space="preserve"> </w:t>
            </w:r>
            <w:r w:rsidRPr="00A36376">
              <w:rPr>
                <w:b/>
                <w:i/>
                <w:color w:val="auto"/>
                <w:lang w:eastAsia="en-AU"/>
              </w:rPr>
              <w:t>(Bundaberg)</w:t>
            </w:r>
          </w:p>
          <w:p w14:paraId="72076A5C" w14:textId="77777777" w:rsidR="008E4BAE" w:rsidRDefault="008E4BAE" w:rsidP="00AA11A5">
            <w:pPr>
              <w:rPr>
                <w:color w:val="auto"/>
                <w:lang w:eastAsia="en-AU"/>
              </w:rPr>
            </w:pPr>
            <w:r w:rsidRPr="00697B56">
              <w:rPr>
                <w:color w:val="auto"/>
                <w:lang w:eastAsia="en-AU"/>
              </w:rPr>
              <w:t>The counselling service provides free, professional face-to-face and telephone counselling 24/7. Counselling may include help with addictions, relationships and financial counselling for people with gambling-related problems and their families. It immediate information and assistance over the phone, crisis support and referral to your closest Gambling Help service. These services are available for anyone affected by problem gambling, a partner, family member or friend.</w:t>
            </w:r>
          </w:p>
        </w:tc>
      </w:tr>
      <w:tr w:rsidR="008E4BAE" w14:paraId="032642EC" w14:textId="77777777" w:rsidTr="00AA11A5">
        <w:tc>
          <w:tcPr>
            <w:tcW w:w="1838" w:type="dxa"/>
          </w:tcPr>
          <w:p w14:paraId="04E6C995" w14:textId="77777777" w:rsidR="008E4BAE" w:rsidRDefault="008E4BAE" w:rsidP="00AA11A5">
            <w:pPr>
              <w:rPr>
                <w:color w:val="auto"/>
                <w:lang w:eastAsia="en-AU"/>
              </w:rPr>
            </w:pPr>
            <w:r>
              <w:rPr>
                <w:color w:val="auto"/>
                <w:lang w:eastAsia="en-AU"/>
              </w:rPr>
              <w:t xml:space="preserve">Northern Territory </w:t>
            </w:r>
          </w:p>
        </w:tc>
        <w:tc>
          <w:tcPr>
            <w:tcW w:w="8363" w:type="dxa"/>
          </w:tcPr>
          <w:p w14:paraId="24D01047" w14:textId="77777777" w:rsidR="008E4BAE" w:rsidRDefault="008E4BAE" w:rsidP="00AA11A5">
            <w:pPr>
              <w:rPr>
                <w:color w:val="auto"/>
                <w:lang w:eastAsia="en-AU"/>
              </w:rPr>
            </w:pPr>
            <w:r w:rsidRPr="00A36376">
              <w:rPr>
                <w:b/>
                <w:i/>
                <w:color w:val="auto"/>
                <w:lang w:eastAsia="en-AU"/>
              </w:rPr>
              <w:t>Alcohol Management Plans (AMPs)</w:t>
            </w:r>
            <w:r w:rsidRPr="00A36376">
              <w:rPr>
                <w:b/>
                <w:color w:val="auto"/>
                <w:lang w:eastAsia="en-AU"/>
              </w:rPr>
              <w:t xml:space="preserve"> -</w:t>
            </w:r>
            <w:r w:rsidRPr="00AC75BA">
              <w:rPr>
                <w:color w:val="auto"/>
                <w:lang w:eastAsia="en-AU"/>
              </w:rPr>
              <w:t xml:space="preserve"> describe strategies and actions to reduce the harms associated</w:t>
            </w:r>
            <w:r>
              <w:rPr>
                <w:color w:val="auto"/>
                <w:lang w:eastAsia="en-AU"/>
              </w:rPr>
              <w:t xml:space="preserve"> with alcohol in the community.</w:t>
            </w:r>
            <w:r w:rsidRPr="00AC75BA">
              <w:rPr>
                <w:color w:val="auto"/>
                <w:lang w:eastAsia="en-AU"/>
              </w:rPr>
              <w:t> These strategies target alcohol harm reduction, alcohol demand reduction and alcohol supply reduction.</w:t>
            </w:r>
            <w:r>
              <w:rPr>
                <w:color w:val="auto"/>
                <w:lang w:eastAsia="en-AU"/>
              </w:rPr>
              <w:t xml:space="preserve"> There are 35 communities in the NT, which have undertaken AMP processes.</w:t>
            </w:r>
          </w:p>
          <w:p w14:paraId="5D0D41A4" w14:textId="77777777" w:rsidR="00E22CF4" w:rsidRDefault="00E22CF4" w:rsidP="00E22CF4">
            <w:pPr>
              <w:rPr>
                <w:color w:val="auto"/>
                <w:lang w:eastAsia="en-AU"/>
              </w:rPr>
            </w:pPr>
            <w:r w:rsidRPr="00A36376">
              <w:rPr>
                <w:b/>
                <w:i/>
                <w:color w:val="auto"/>
                <w:lang w:eastAsia="en-AU"/>
              </w:rPr>
              <w:t>Banned Drinker Register</w:t>
            </w:r>
            <w:r w:rsidRPr="00A36376">
              <w:rPr>
                <w:b/>
                <w:color w:val="auto"/>
                <w:lang w:eastAsia="en-AU"/>
              </w:rPr>
              <w:t xml:space="preserve"> (BDR) -</w:t>
            </w:r>
            <w:r w:rsidRPr="00AC75BA">
              <w:rPr>
                <w:color w:val="auto"/>
                <w:lang w:eastAsia="en-AU"/>
              </w:rPr>
              <w:t xml:space="preserve"> </w:t>
            </w:r>
            <w:r>
              <w:rPr>
                <w:color w:val="auto"/>
                <w:lang w:eastAsia="en-AU"/>
              </w:rPr>
              <w:t xml:space="preserve">the BDR </w:t>
            </w:r>
            <w:r w:rsidRPr="00AC75BA">
              <w:rPr>
                <w:color w:val="auto"/>
                <w:lang w:eastAsia="en-AU"/>
              </w:rPr>
              <w:t>identifies people who are banned from purchasing takeaway a</w:t>
            </w:r>
            <w:r>
              <w:rPr>
                <w:color w:val="auto"/>
                <w:lang w:eastAsia="en-AU"/>
              </w:rPr>
              <w:t xml:space="preserve">lcohol and stops their purchase. It </w:t>
            </w:r>
            <w:r w:rsidRPr="00AC75BA">
              <w:rPr>
                <w:color w:val="auto"/>
                <w:lang w:eastAsia="en-AU"/>
              </w:rPr>
              <w:t>assists in reducing alcohol-related harm to individuals, families and the community.</w:t>
            </w:r>
          </w:p>
          <w:p w14:paraId="609C2637" w14:textId="77777777" w:rsidR="008E4BAE" w:rsidRPr="00A36376" w:rsidRDefault="008E4BAE" w:rsidP="00AA11A5">
            <w:pPr>
              <w:rPr>
                <w:b/>
                <w:color w:val="auto"/>
                <w:lang w:eastAsia="en-AU"/>
              </w:rPr>
            </w:pPr>
            <w:r w:rsidRPr="00A36376">
              <w:rPr>
                <w:b/>
                <w:i/>
                <w:color w:val="auto"/>
                <w:lang w:eastAsia="en-AU"/>
              </w:rPr>
              <w:t>Alcohol Action Initiatives (AAIs)</w:t>
            </w:r>
          </w:p>
          <w:p w14:paraId="6172EC90" w14:textId="77777777" w:rsidR="008E4BAE" w:rsidRDefault="008E4BAE" w:rsidP="00AA11A5">
            <w:pPr>
              <w:rPr>
                <w:color w:val="auto"/>
                <w:lang w:eastAsia="en-AU"/>
              </w:rPr>
            </w:pPr>
            <w:r w:rsidRPr="00AC75BA">
              <w:rPr>
                <w:color w:val="auto"/>
                <w:lang w:eastAsia="en-AU"/>
              </w:rPr>
              <w:t>AAIs</w:t>
            </w:r>
            <w:r>
              <w:rPr>
                <w:color w:val="auto"/>
                <w:lang w:eastAsia="en-AU"/>
              </w:rPr>
              <w:t xml:space="preserve"> </w:t>
            </w:r>
            <w:r w:rsidRPr="00AC75BA">
              <w:rPr>
                <w:color w:val="auto"/>
                <w:lang w:eastAsia="en-AU"/>
              </w:rPr>
              <w:t xml:space="preserve">are community driven projects that develop local </w:t>
            </w:r>
            <w:r>
              <w:rPr>
                <w:color w:val="auto"/>
                <w:lang w:eastAsia="en-AU"/>
              </w:rPr>
              <w:t xml:space="preserve">solutions and practical actions to alcohol misuse. </w:t>
            </w:r>
            <w:r w:rsidRPr="00AC75BA">
              <w:rPr>
                <w:color w:val="auto"/>
                <w:lang w:eastAsia="en-AU"/>
              </w:rPr>
              <w:t>The AAI program provides short term funding to support community action to minimise the harm caused by the consumption of alcohol through supply, demand and harm reduction strategies.</w:t>
            </w:r>
          </w:p>
          <w:p w14:paraId="10EA2F53" w14:textId="77777777" w:rsidR="008E4BAE" w:rsidRDefault="008E4BAE" w:rsidP="00AA11A5">
            <w:pPr>
              <w:rPr>
                <w:color w:val="auto"/>
                <w:lang w:eastAsia="en-AU"/>
              </w:rPr>
            </w:pPr>
            <w:r w:rsidRPr="00A36376">
              <w:rPr>
                <w:b/>
                <w:color w:val="auto"/>
                <w:lang w:eastAsia="en-AU"/>
              </w:rPr>
              <w:t>Ice Action Plan - The Ice Action Plan -</w:t>
            </w:r>
            <w:r w:rsidRPr="00985CFC">
              <w:rPr>
                <w:color w:val="auto"/>
                <w:lang w:eastAsia="en-AU"/>
              </w:rPr>
              <w:t xml:space="preserve"> Tackling Ice in the </w:t>
            </w:r>
            <w:r>
              <w:rPr>
                <w:color w:val="auto"/>
                <w:lang w:eastAsia="en-AU"/>
              </w:rPr>
              <w:t>NT</w:t>
            </w:r>
            <w:r w:rsidRPr="00985CFC">
              <w:rPr>
                <w:color w:val="auto"/>
                <w:lang w:eastAsia="en-AU"/>
              </w:rPr>
              <w:t xml:space="preserve"> contains whole-of-community and agency-specific activities to reduce the supply, demand and harms from crystal methamphetamine.</w:t>
            </w:r>
          </w:p>
        </w:tc>
      </w:tr>
    </w:tbl>
    <w:p w14:paraId="6DE1FAF3" w14:textId="77777777" w:rsidR="00C55DDC" w:rsidRDefault="00CD3DB4" w:rsidP="00C55DDC">
      <w:pPr>
        <w:pStyle w:val="Heading3"/>
      </w:pPr>
      <w:bookmarkStart w:id="45" w:name="_Toc118103740"/>
      <w:r>
        <w:t>1</w:t>
      </w:r>
      <w:r w:rsidR="00964F3C">
        <w:t>.</w:t>
      </w:r>
      <w:r>
        <w:t>2.1</w:t>
      </w:r>
      <w:r w:rsidR="00964F3C">
        <w:t xml:space="preserve"> </w:t>
      </w:r>
      <w:r w:rsidR="00C55DDC">
        <w:t>Both Programs have similar objectives and functions operating concurrently</w:t>
      </w:r>
      <w:bookmarkEnd w:id="45"/>
    </w:p>
    <w:p w14:paraId="1165245C" w14:textId="77777777" w:rsidR="007151F7" w:rsidRPr="007151F7" w:rsidRDefault="00700F68" w:rsidP="007151F7">
      <w:pPr>
        <w:rPr>
          <w:color w:val="auto"/>
          <w:lang w:eastAsia="en-AU"/>
        </w:rPr>
      </w:pPr>
      <w:r w:rsidRPr="001E125B">
        <w:rPr>
          <w:color w:val="auto"/>
        </w:rPr>
        <w:t xml:space="preserve">The existence of two programs operating across Australia, creates a challenge in explaining the objectives of </w:t>
      </w:r>
      <w:r>
        <w:rPr>
          <w:color w:val="auto"/>
        </w:rPr>
        <w:t>each program</w:t>
      </w:r>
      <w:r w:rsidRPr="001E125B">
        <w:rPr>
          <w:color w:val="auto"/>
        </w:rPr>
        <w:t xml:space="preserve">. Both CDC </w:t>
      </w:r>
      <w:r w:rsidR="003443DE">
        <w:rPr>
          <w:color w:val="auto"/>
        </w:rPr>
        <w:t>a</w:t>
      </w:r>
      <w:r w:rsidRPr="001E125B">
        <w:rPr>
          <w:color w:val="auto"/>
        </w:rPr>
        <w:t xml:space="preserve">nd </w:t>
      </w:r>
      <w:r>
        <w:rPr>
          <w:color w:val="auto"/>
        </w:rPr>
        <w:t xml:space="preserve">IM </w:t>
      </w:r>
      <w:r w:rsidR="003443DE">
        <w:rPr>
          <w:color w:val="auto"/>
        </w:rPr>
        <w:t>programs</w:t>
      </w:r>
      <w:r w:rsidRPr="001E125B">
        <w:rPr>
          <w:color w:val="auto"/>
        </w:rPr>
        <w:t xml:space="preserve"> are methods of delivering income support payments, which encourage responsible spending of </w:t>
      </w:r>
      <w:r w:rsidR="00FA6357">
        <w:rPr>
          <w:color w:val="auto"/>
        </w:rPr>
        <w:t>a recipient’s</w:t>
      </w:r>
      <w:r w:rsidR="00F2752E">
        <w:rPr>
          <w:color w:val="auto"/>
        </w:rPr>
        <w:t xml:space="preserve"> </w:t>
      </w:r>
      <w:r w:rsidRPr="001E125B">
        <w:rPr>
          <w:color w:val="auto"/>
        </w:rPr>
        <w:t xml:space="preserve">payments. However, the two programs differ in participant requirements, referral mechanisms, technologies, and service support levels. The complexity of the dual program has created confusion for </w:t>
      </w:r>
      <w:r>
        <w:rPr>
          <w:color w:val="auto"/>
        </w:rPr>
        <w:t>people</w:t>
      </w:r>
      <w:r w:rsidRPr="001E125B">
        <w:rPr>
          <w:color w:val="auto"/>
        </w:rPr>
        <w:t xml:space="preserve"> seeking the best social outcome</w:t>
      </w:r>
      <w:r w:rsidR="009105BC">
        <w:rPr>
          <w:color w:val="auto"/>
        </w:rPr>
        <w:t xml:space="preserve"> </w:t>
      </w:r>
      <w:r w:rsidR="005E0890">
        <w:rPr>
          <w:color w:val="auto"/>
        </w:rPr>
        <w:t xml:space="preserve">in particular in the </w:t>
      </w:r>
      <w:r w:rsidR="003B0A20">
        <w:rPr>
          <w:color w:val="auto"/>
        </w:rPr>
        <w:t>NT</w:t>
      </w:r>
      <w:r w:rsidR="005E0890">
        <w:rPr>
          <w:color w:val="auto"/>
        </w:rPr>
        <w:t xml:space="preserve"> where people have a choice of the two programs</w:t>
      </w:r>
      <w:r w:rsidRPr="001E125B">
        <w:rPr>
          <w:color w:val="auto"/>
        </w:rPr>
        <w:t>. IM participants are reluctant to move from the BasicsCard to the CDC</w:t>
      </w:r>
      <w:r>
        <w:rPr>
          <w:color w:val="auto"/>
        </w:rPr>
        <w:t xml:space="preserve"> program </w:t>
      </w:r>
      <w:r w:rsidRPr="001E125B">
        <w:rPr>
          <w:color w:val="auto"/>
        </w:rPr>
        <w:t>due to the effort required in moving from a known entity to an unknown entity, regardless of the benefits it may provide. The</w:t>
      </w:r>
      <w:r w:rsidR="005E0890">
        <w:rPr>
          <w:color w:val="auto"/>
        </w:rPr>
        <w:t>re</w:t>
      </w:r>
      <w:r w:rsidRPr="001E125B">
        <w:rPr>
          <w:color w:val="auto"/>
        </w:rPr>
        <w:t xml:space="preserve"> </w:t>
      </w:r>
      <w:r w:rsidR="005E0890">
        <w:rPr>
          <w:color w:val="auto"/>
        </w:rPr>
        <w:t xml:space="preserve">are also </w:t>
      </w:r>
      <w:r w:rsidRPr="001E125B">
        <w:rPr>
          <w:color w:val="auto"/>
        </w:rPr>
        <w:t xml:space="preserve">inefficiencies caused by the </w:t>
      </w:r>
      <w:r w:rsidRPr="001E125B">
        <w:rPr>
          <w:color w:val="auto"/>
          <w:lang w:eastAsia="en-AU"/>
        </w:rPr>
        <w:t xml:space="preserve">complexity of </w:t>
      </w:r>
      <w:r w:rsidR="005E0890">
        <w:rPr>
          <w:color w:val="auto"/>
          <w:lang w:eastAsia="en-AU"/>
        </w:rPr>
        <w:t xml:space="preserve">merchants having to </w:t>
      </w:r>
      <w:r w:rsidRPr="001E125B">
        <w:rPr>
          <w:color w:val="auto"/>
          <w:lang w:eastAsia="en-AU"/>
        </w:rPr>
        <w:t>maintain a dual program</w:t>
      </w:r>
      <w:r w:rsidR="005E0890">
        <w:rPr>
          <w:color w:val="auto"/>
          <w:lang w:eastAsia="en-AU"/>
        </w:rPr>
        <w:t>.</w:t>
      </w:r>
      <w:r w:rsidRPr="001E125B">
        <w:rPr>
          <w:color w:val="auto"/>
          <w:lang w:eastAsia="en-AU"/>
        </w:rPr>
        <w:t xml:space="preserve"> </w:t>
      </w:r>
      <w:r w:rsidR="005E0890">
        <w:rPr>
          <w:color w:val="auto"/>
          <w:lang w:eastAsia="en-AU"/>
        </w:rPr>
        <w:t>Having a single program for people who volunteer to use it would reduce these concerns</w:t>
      </w:r>
      <w:r w:rsidR="00F32D5B">
        <w:rPr>
          <w:color w:val="auto"/>
          <w:lang w:eastAsia="en-AU"/>
        </w:rPr>
        <w:t>.</w:t>
      </w:r>
    </w:p>
    <w:p w14:paraId="70308D00" w14:textId="77777777" w:rsidR="00C24555" w:rsidRPr="007151F7" w:rsidRDefault="00195DE8" w:rsidP="007151F7">
      <w:pPr>
        <w:rPr>
          <w:color w:val="auto"/>
          <w:lang w:eastAsia="en-AU"/>
        </w:rPr>
      </w:pPr>
      <w:r w:rsidRPr="007151F7">
        <w:rPr>
          <w:color w:val="auto"/>
          <w:lang w:eastAsia="en-AU"/>
        </w:rPr>
        <w:t xml:space="preserve">In addition, there are other </w:t>
      </w:r>
      <w:r w:rsidR="00550BE2" w:rsidRPr="007151F7">
        <w:rPr>
          <w:color w:val="auto"/>
          <w:lang w:eastAsia="en-AU"/>
        </w:rPr>
        <w:t>community</w:t>
      </w:r>
      <w:r w:rsidR="00F61ABF" w:rsidRPr="007151F7">
        <w:rPr>
          <w:color w:val="auto"/>
          <w:lang w:eastAsia="en-AU"/>
        </w:rPr>
        <w:t>-</w:t>
      </w:r>
      <w:r w:rsidR="00550BE2" w:rsidRPr="007151F7">
        <w:rPr>
          <w:color w:val="auto"/>
          <w:lang w:eastAsia="en-AU"/>
        </w:rPr>
        <w:t xml:space="preserve">based </w:t>
      </w:r>
      <w:r w:rsidRPr="007151F7">
        <w:rPr>
          <w:color w:val="auto"/>
          <w:lang w:eastAsia="en-AU"/>
        </w:rPr>
        <w:t>programs that support individuals. These o</w:t>
      </w:r>
      <w:r w:rsidR="00C24555" w:rsidRPr="007151F7">
        <w:rPr>
          <w:color w:val="auto"/>
          <w:lang w:eastAsia="en-AU"/>
        </w:rPr>
        <w:t xml:space="preserve">ther policy levers also </w:t>
      </w:r>
      <w:r w:rsidR="00F61ABF" w:rsidRPr="007151F7">
        <w:rPr>
          <w:color w:val="auto"/>
          <w:lang w:eastAsia="en-AU"/>
        </w:rPr>
        <w:t xml:space="preserve">aim to support </w:t>
      </w:r>
      <w:r w:rsidR="00C24555" w:rsidRPr="007151F7">
        <w:rPr>
          <w:color w:val="auto"/>
          <w:lang w:eastAsia="en-AU"/>
        </w:rPr>
        <w:t xml:space="preserve">a reduction </w:t>
      </w:r>
      <w:r w:rsidR="00482E11">
        <w:rPr>
          <w:color w:val="auto"/>
          <w:lang w:eastAsia="en-AU"/>
        </w:rPr>
        <w:t>of social harm while empowering</w:t>
      </w:r>
      <w:r w:rsidR="00BE6853">
        <w:rPr>
          <w:color w:val="auto"/>
          <w:lang w:eastAsia="en-AU"/>
        </w:rPr>
        <w:t xml:space="preserve"> communities</w:t>
      </w:r>
      <w:r w:rsidR="00C24555" w:rsidRPr="007151F7">
        <w:rPr>
          <w:color w:val="auto"/>
          <w:lang w:eastAsia="en-AU"/>
        </w:rPr>
        <w:t>. This may include health, economic, psychosocial responses from different levels of government, business</w:t>
      </w:r>
      <w:r w:rsidR="00B751B4">
        <w:rPr>
          <w:color w:val="auto"/>
          <w:lang w:eastAsia="en-AU"/>
        </w:rPr>
        <w:t>es, community and individuals.</w:t>
      </w:r>
    </w:p>
    <w:p w14:paraId="119E1FF4" w14:textId="77777777" w:rsidR="00CE62CE" w:rsidRDefault="00CD3DB4" w:rsidP="00025205">
      <w:pPr>
        <w:pStyle w:val="Heading2"/>
      </w:pPr>
      <w:bookmarkStart w:id="46" w:name="_Toc108008479"/>
      <w:bookmarkStart w:id="47" w:name="_Toc118103741"/>
      <w:r>
        <w:t>1.3</w:t>
      </w:r>
      <w:r w:rsidR="00964F3C">
        <w:t xml:space="preserve"> </w:t>
      </w:r>
      <w:r w:rsidR="00CE62CE" w:rsidRPr="00025205">
        <w:t xml:space="preserve">Evidence for </w:t>
      </w:r>
      <w:r w:rsidR="008C524D" w:rsidRPr="00025205">
        <w:t xml:space="preserve">the </w:t>
      </w:r>
      <w:r w:rsidR="007A5F55" w:rsidRPr="00025205">
        <w:t xml:space="preserve">success of </w:t>
      </w:r>
      <w:r w:rsidR="00F32D5B">
        <w:t xml:space="preserve">the programs </w:t>
      </w:r>
      <w:r w:rsidR="008C524D" w:rsidRPr="00025205">
        <w:t>i</w:t>
      </w:r>
      <w:r w:rsidR="00CE62CE" w:rsidRPr="00025205">
        <w:t xml:space="preserve">s </w:t>
      </w:r>
      <w:r w:rsidR="00F61ABF" w:rsidRPr="00025205">
        <w:t>unclear</w:t>
      </w:r>
      <w:bookmarkEnd w:id="46"/>
      <w:bookmarkEnd w:id="47"/>
    </w:p>
    <w:p w14:paraId="7A3C9D4B" w14:textId="77777777" w:rsidR="000A09CA" w:rsidRDefault="002B5087">
      <w:pPr>
        <w:rPr>
          <w:color w:val="auto"/>
          <w:lang w:eastAsia="en-AU"/>
        </w:rPr>
      </w:pPr>
      <w:r w:rsidRPr="00E81977">
        <w:rPr>
          <w:color w:val="auto"/>
        </w:rPr>
        <w:t xml:space="preserve">Evaluating the impact of the </w:t>
      </w:r>
      <w:r w:rsidR="00DC4576">
        <w:rPr>
          <w:color w:val="auto"/>
        </w:rPr>
        <w:t>programs</w:t>
      </w:r>
      <w:r w:rsidRPr="00E81977">
        <w:rPr>
          <w:color w:val="auto"/>
        </w:rPr>
        <w:t xml:space="preserve"> has been difficult. Evaluations and analyses have often lacked a baseline against which to measure </w:t>
      </w:r>
      <w:r w:rsidR="00482E11">
        <w:rPr>
          <w:color w:val="auto"/>
        </w:rPr>
        <w:t xml:space="preserve">the </w:t>
      </w:r>
      <w:r w:rsidRPr="00E81977">
        <w:rPr>
          <w:color w:val="auto"/>
        </w:rPr>
        <w:t>program</w:t>
      </w:r>
      <w:r w:rsidR="00DC4576">
        <w:rPr>
          <w:color w:val="auto"/>
        </w:rPr>
        <w:t>s</w:t>
      </w:r>
      <w:r w:rsidRPr="00E81977">
        <w:rPr>
          <w:color w:val="auto"/>
        </w:rPr>
        <w:t xml:space="preserve"> impact. Where changes for individuals or communities have been observed, evaluations have often been unable to attribute these to </w:t>
      </w:r>
      <w:r w:rsidR="00DC4576">
        <w:rPr>
          <w:color w:val="auto"/>
        </w:rPr>
        <w:t>the programs</w:t>
      </w:r>
      <w:r w:rsidRPr="00E81977">
        <w:rPr>
          <w:color w:val="auto"/>
        </w:rPr>
        <w:t xml:space="preserve"> due to the number of other policie</w:t>
      </w:r>
      <w:r w:rsidR="005A6F4B">
        <w:rPr>
          <w:color w:val="auto"/>
        </w:rPr>
        <w:t>s and programs also implemented</w:t>
      </w:r>
      <w:r w:rsidR="00F32D5B">
        <w:rPr>
          <w:color w:val="auto"/>
          <w:lang w:eastAsia="en-AU"/>
        </w:rPr>
        <w:t>.</w:t>
      </w:r>
    </w:p>
    <w:p w14:paraId="026B354B" w14:textId="77777777" w:rsidR="00583283" w:rsidRPr="00FC0338" w:rsidRDefault="00583283" w:rsidP="0008431C">
      <w:pPr>
        <w:rPr>
          <w:b/>
          <w:color w:val="auto"/>
          <w:lang w:eastAsia="en-AU"/>
        </w:rPr>
      </w:pPr>
      <w:r w:rsidRPr="00FC0338">
        <w:rPr>
          <w:b/>
          <w:color w:val="auto"/>
          <w:lang w:eastAsia="en-AU"/>
        </w:rPr>
        <w:t>Cashless Debit Card</w:t>
      </w:r>
      <w:r w:rsidR="006762E5" w:rsidRPr="00FC0338">
        <w:rPr>
          <w:b/>
          <w:color w:val="auto"/>
          <w:lang w:eastAsia="en-AU"/>
        </w:rPr>
        <w:t xml:space="preserve"> evidence</w:t>
      </w:r>
    </w:p>
    <w:p w14:paraId="65E83936" w14:textId="77777777" w:rsidR="008F1F7D" w:rsidRDefault="008F1F7D" w:rsidP="008F1F7D">
      <w:pPr>
        <w:rPr>
          <w:lang w:eastAsia="en-AU"/>
        </w:rPr>
      </w:pPr>
      <w:r>
        <w:rPr>
          <w:lang w:eastAsia="en-AU"/>
        </w:rPr>
        <w:t xml:space="preserve">Evaluations of the CDC program have reported both positive and negative findings. Reviewing previous evaluation activities, the ANAO audit report found that while the </w:t>
      </w:r>
      <w:r w:rsidR="009205C1">
        <w:rPr>
          <w:lang w:eastAsia="en-AU"/>
        </w:rPr>
        <w:t>D</w:t>
      </w:r>
      <w:r>
        <w:rPr>
          <w:lang w:eastAsia="en-AU"/>
        </w:rPr>
        <w:t xml:space="preserve">epartment’s administrative oversight of the CDC program is largely effective, the </w:t>
      </w:r>
      <w:r w:rsidR="009205C1">
        <w:rPr>
          <w:lang w:eastAsia="en-AU"/>
        </w:rPr>
        <w:t>D</w:t>
      </w:r>
      <w:r>
        <w:rPr>
          <w:lang w:eastAsia="en-AU"/>
        </w:rPr>
        <w:t>epartment was not able to demonstrate that the CDC program is meeting its intended objectives.</w:t>
      </w:r>
    </w:p>
    <w:p w14:paraId="18E7CAF4" w14:textId="77777777" w:rsidR="008F1F7D" w:rsidRDefault="008F1F7D" w:rsidP="008F1F7D">
      <w:pPr>
        <w:rPr>
          <w:lang w:eastAsia="en-AU"/>
        </w:rPr>
      </w:pPr>
      <w:r>
        <w:rPr>
          <w:lang w:eastAsia="en-AU"/>
        </w:rPr>
        <w:t>The second impact evaluation of the CDC in Ceduna, East Kimberley and the Goldfields Region was undertaken by the University of Adelaide. It commenced in November 2018 and was released in February 2021.</w:t>
      </w:r>
      <w:r>
        <w:rPr>
          <w:rStyle w:val="FootnoteReference"/>
          <w:lang w:eastAsia="en-AU"/>
        </w:rPr>
        <w:footnoteReference w:id="12"/>
      </w:r>
      <w:r>
        <w:rPr>
          <w:lang w:eastAsia="en-AU"/>
        </w:rPr>
        <w:t xml:space="preserve"> The evaluation found evidence of reductions in alcohol consumption and gambling, and suggestions of a reducti</w:t>
      </w:r>
      <w:r w:rsidR="00B751B4">
        <w:rPr>
          <w:lang w:eastAsia="en-AU"/>
        </w:rPr>
        <w:t>on in the use of illicit drugs.</w:t>
      </w:r>
    </w:p>
    <w:p w14:paraId="0F61A033" w14:textId="77777777" w:rsidR="008F1F7D" w:rsidRDefault="00814A4B" w:rsidP="008F1F7D">
      <w:pPr>
        <w:rPr>
          <w:lang w:eastAsia="en-AU"/>
        </w:rPr>
      </w:pPr>
      <w:r>
        <w:rPr>
          <w:lang w:eastAsia="en-AU"/>
        </w:rPr>
        <w:t>Twenty five</w:t>
      </w:r>
      <w:r w:rsidR="008F1F7D">
        <w:rPr>
          <w:lang w:eastAsia="en-AU"/>
        </w:rPr>
        <w:t xml:space="preserve"> per cent of surveyed CDC participants who reported they drink alcohol reported reducing the amount they drink at any one time, and 22 per cent reported reducing the number of times they drink. </w:t>
      </w:r>
      <w:r>
        <w:rPr>
          <w:lang w:eastAsia="en-AU"/>
        </w:rPr>
        <w:t>Twenty one</w:t>
      </w:r>
      <w:r w:rsidR="008F1F7D">
        <w:rPr>
          <w:lang w:eastAsia="en-AU"/>
        </w:rPr>
        <w:t xml:space="preserve"> per cent of survey respondents reported a positive change in gambling behaviours for either themselves, family, friends or the community where they live. The </w:t>
      </w:r>
      <w:r w:rsidR="007178F5">
        <w:rPr>
          <w:lang w:eastAsia="en-AU"/>
        </w:rPr>
        <w:t>report did not find any clear effect on child welfare. Forty six per</w:t>
      </w:r>
      <w:r w:rsidR="0053512C">
        <w:rPr>
          <w:lang w:eastAsia="en-AU"/>
        </w:rPr>
        <w:t xml:space="preserve"> </w:t>
      </w:r>
      <w:r w:rsidR="007178F5">
        <w:rPr>
          <w:lang w:eastAsia="en-AU"/>
        </w:rPr>
        <w:t xml:space="preserve">cent of CDC participants reported they did not drink at all, either before or after they were put on the card. The </w:t>
      </w:r>
      <w:r w:rsidR="008F1F7D">
        <w:rPr>
          <w:lang w:eastAsia="en-AU"/>
        </w:rPr>
        <w:t>evaluation also found that CDC participants reported experiences of stigma and discrimination. Of those surveyed 74 per cent of CDC participants wanted to o</w:t>
      </w:r>
      <w:r w:rsidR="00FF0F14">
        <w:rPr>
          <w:lang w:eastAsia="en-AU"/>
        </w:rPr>
        <w:t>pt out, although the majority of</w:t>
      </w:r>
      <w:r w:rsidR="008F1F7D">
        <w:rPr>
          <w:lang w:eastAsia="en-AU"/>
        </w:rPr>
        <w:t xml:space="preserve"> survey respondents (made up of stakeholders and participants) supported the continuation of the CDC in some form.</w:t>
      </w:r>
    </w:p>
    <w:p w14:paraId="2F4B88CA" w14:textId="77777777" w:rsidR="008F1F7D" w:rsidRDefault="008F1F7D" w:rsidP="008F1F7D">
      <w:pPr>
        <w:rPr>
          <w:lang w:eastAsia="en-AU"/>
        </w:rPr>
      </w:pPr>
      <w:r>
        <w:rPr>
          <w:lang w:eastAsia="en-AU"/>
        </w:rPr>
        <w:t>The evaluators noted that analysis had been constrained by limitations of available data. The evaluators noted that a range of programs and policies impact on outcomes in CDC regions, making it more complicated to attribute impacts to the CDC. These findings of the second impact evaluation, including data limitations, were consistent with those of the first impact evaluation undertaken by ORIMA Research on the CDC in the Ceduna and East Kimberley regions.</w:t>
      </w:r>
    </w:p>
    <w:p w14:paraId="7FCB7310" w14:textId="77777777" w:rsidR="008F1F7D" w:rsidRDefault="008F1F7D" w:rsidP="008F1F7D">
      <w:pPr>
        <w:rPr>
          <w:lang w:eastAsia="en-AU"/>
        </w:rPr>
      </w:pPr>
      <w:r>
        <w:t xml:space="preserve">Feedback from consultations are that </w:t>
      </w:r>
      <w:r>
        <w:rPr>
          <w:lang w:eastAsia="en-AU"/>
        </w:rPr>
        <w:t xml:space="preserve">some people </w:t>
      </w:r>
      <w:r>
        <w:t xml:space="preserve">are finding ways around the card’s restrictions to continue purchasing drugs or alcohol or to gamble. Examples include people finding a merchant who is prepared to overcharge for a product and provide cash back to the CDC participant. There are also anecdotal reports of people bartering with the card, by purchasing unrestricted goods such as groceries for a person who </w:t>
      </w:r>
      <w:r w:rsidR="005D5D7D">
        <w:t>then pays them cash</w:t>
      </w:r>
      <w:r w:rsidR="00BE6853">
        <w:t xml:space="preserve"> in return</w:t>
      </w:r>
      <w:r>
        <w:t xml:space="preserve">. </w:t>
      </w:r>
      <w:r w:rsidR="00DF195B">
        <w:t xml:space="preserve">These </w:t>
      </w:r>
      <w:r w:rsidR="008C42B8">
        <w:t>activit</w:t>
      </w:r>
      <w:r w:rsidR="00DF195B">
        <w:t>ies</w:t>
      </w:r>
      <w:r w:rsidR="008C42B8">
        <w:t xml:space="preserve"> </w:t>
      </w:r>
      <w:r w:rsidR="00DF195B">
        <w:t xml:space="preserve">are </w:t>
      </w:r>
      <w:r w:rsidR="008C42B8">
        <w:t xml:space="preserve">hard to </w:t>
      </w:r>
      <w:r w:rsidR="00DF195B">
        <w:t>identify, and reports of people successfully applying workarounds to access cash have continued over the life of the programs.</w:t>
      </w:r>
    </w:p>
    <w:p w14:paraId="3B0A2A2B" w14:textId="2001C555" w:rsidR="00D60884" w:rsidRPr="00E72CBA" w:rsidRDefault="00D60884" w:rsidP="00D60884">
      <w:pPr>
        <w:rPr>
          <w:b/>
          <w:color w:val="auto"/>
          <w:lang w:eastAsia="en-AU"/>
        </w:rPr>
      </w:pPr>
      <w:r w:rsidRPr="00E72CBA">
        <w:rPr>
          <w:b/>
          <w:color w:val="auto"/>
          <w:lang w:eastAsia="en-AU"/>
        </w:rPr>
        <w:t>Income Management</w:t>
      </w:r>
      <w:r w:rsidR="005F09CE">
        <w:rPr>
          <w:b/>
          <w:color w:val="auto"/>
          <w:lang w:eastAsia="en-AU"/>
        </w:rPr>
        <w:t xml:space="preserve"> evidence</w:t>
      </w:r>
    </w:p>
    <w:p w14:paraId="1000891E" w14:textId="6DCAA7AE" w:rsidR="00D60884" w:rsidRPr="00D60884" w:rsidRDefault="007C59D5" w:rsidP="00D60884">
      <w:pPr>
        <w:rPr>
          <w:color w:val="auto"/>
          <w:lang w:eastAsia="en-AU"/>
        </w:rPr>
      </w:pPr>
      <w:r>
        <w:rPr>
          <w:color w:val="auto"/>
          <w:lang w:eastAsia="en-AU"/>
        </w:rPr>
        <w:t>Between 2010 and 2019</w:t>
      </w:r>
      <w:r w:rsidR="00814A4B">
        <w:rPr>
          <w:color w:val="auto"/>
          <w:lang w:eastAsia="en-AU"/>
        </w:rPr>
        <w:t>,</w:t>
      </w:r>
      <w:r>
        <w:rPr>
          <w:color w:val="auto"/>
          <w:lang w:eastAsia="en-AU"/>
        </w:rPr>
        <w:t xml:space="preserve"> s</w:t>
      </w:r>
      <w:r w:rsidR="00D60884" w:rsidRPr="00D60884">
        <w:rPr>
          <w:color w:val="auto"/>
          <w:lang w:eastAsia="en-AU"/>
        </w:rPr>
        <w:t xml:space="preserve">even evaluations of </w:t>
      </w:r>
      <w:r w:rsidR="00E72CBA">
        <w:rPr>
          <w:color w:val="auto"/>
          <w:lang w:eastAsia="en-AU"/>
        </w:rPr>
        <w:t>IM</w:t>
      </w:r>
      <w:r w:rsidR="00D60884" w:rsidRPr="00D60884">
        <w:rPr>
          <w:color w:val="auto"/>
          <w:lang w:eastAsia="en-AU"/>
        </w:rPr>
        <w:t xml:space="preserve"> have been undertaken or commissioned by the </w:t>
      </w:r>
      <w:r w:rsidR="00814A4B">
        <w:rPr>
          <w:color w:val="auto"/>
          <w:lang w:eastAsia="en-AU"/>
        </w:rPr>
        <w:t>D</w:t>
      </w:r>
      <w:r w:rsidR="00D60884" w:rsidRPr="00D60884">
        <w:rPr>
          <w:color w:val="auto"/>
          <w:lang w:eastAsia="en-AU"/>
        </w:rPr>
        <w:t>epartment. Evaluations</w:t>
      </w:r>
      <w:r>
        <w:rPr>
          <w:color w:val="auto"/>
          <w:lang w:eastAsia="en-AU"/>
        </w:rPr>
        <w:t xml:space="preserve"> </w:t>
      </w:r>
      <w:r w:rsidR="00D60884" w:rsidRPr="00D60884">
        <w:rPr>
          <w:color w:val="auto"/>
          <w:lang w:eastAsia="en-AU"/>
        </w:rPr>
        <w:t xml:space="preserve">for the most part, </w:t>
      </w:r>
      <w:r>
        <w:rPr>
          <w:color w:val="auto"/>
          <w:lang w:eastAsia="en-AU"/>
        </w:rPr>
        <w:t xml:space="preserve">have </w:t>
      </w:r>
      <w:r w:rsidR="00D60884" w:rsidRPr="00D60884">
        <w:rPr>
          <w:color w:val="auto"/>
          <w:lang w:eastAsia="en-AU"/>
        </w:rPr>
        <w:t xml:space="preserve">been region based and considered compulsory and voluntary income management models. Findings across evaluations have been relatively consistent and included both positive and negative findings, although evaluators noted that analysis had been constrained by situational differences between income management regions and that a range of policies and programs </w:t>
      </w:r>
      <w:r w:rsidR="00BE6770">
        <w:rPr>
          <w:color w:val="auto"/>
          <w:lang w:eastAsia="en-AU"/>
        </w:rPr>
        <w:t xml:space="preserve">operate in </w:t>
      </w:r>
      <w:r w:rsidR="00D60884" w:rsidRPr="00D60884">
        <w:rPr>
          <w:color w:val="auto"/>
          <w:lang w:eastAsia="en-AU"/>
        </w:rPr>
        <w:t>income managed communities - making impacts difficult to attribute</w:t>
      </w:r>
      <w:r w:rsidR="005A6F4B">
        <w:rPr>
          <w:color w:val="auto"/>
          <w:lang w:eastAsia="en-AU"/>
        </w:rPr>
        <w:t xml:space="preserve"> to the </w:t>
      </w:r>
      <w:r w:rsidR="00517A64">
        <w:rPr>
          <w:color w:val="auto"/>
          <w:lang w:eastAsia="en-AU"/>
        </w:rPr>
        <w:t>IM</w:t>
      </w:r>
      <w:r w:rsidR="005A6F4B">
        <w:rPr>
          <w:color w:val="auto"/>
          <w:lang w:eastAsia="en-AU"/>
        </w:rPr>
        <w:t xml:space="preserve"> program</w:t>
      </w:r>
      <w:r w:rsidR="00B751B4">
        <w:rPr>
          <w:color w:val="auto"/>
          <w:lang w:eastAsia="en-AU"/>
        </w:rPr>
        <w:t>.</w:t>
      </w:r>
    </w:p>
    <w:p w14:paraId="7F990109" w14:textId="77777777" w:rsidR="00D60884" w:rsidRPr="00D60884" w:rsidRDefault="00D60884" w:rsidP="00D60884">
      <w:pPr>
        <w:rPr>
          <w:color w:val="auto"/>
          <w:lang w:eastAsia="en-AU"/>
        </w:rPr>
      </w:pPr>
      <w:r w:rsidRPr="00A538F2">
        <w:rPr>
          <w:color w:val="auto"/>
          <w:lang w:eastAsia="en-AU"/>
        </w:rPr>
        <w:t>The New Income Management in the Northern Territory: First Evaluation Report, by the University of New South Wales Social Policy and Research Cent</w:t>
      </w:r>
      <w:r w:rsidR="00407304" w:rsidRPr="00A538F2">
        <w:rPr>
          <w:color w:val="auto"/>
          <w:lang w:eastAsia="en-AU"/>
        </w:rPr>
        <w:t>re, was released in</w:t>
      </w:r>
      <w:r w:rsidR="0087168B" w:rsidRPr="00A538F2">
        <w:rPr>
          <w:color w:val="auto"/>
          <w:lang w:eastAsia="en-AU"/>
        </w:rPr>
        <w:t xml:space="preserve"> 2012</w:t>
      </w:r>
      <w:r w:rsidRPr="00A538F2">
        <w:rPr>
          <w:color w:val="auto"/>
          <w:lang w:eastAsia="en-AU"/>
        </w:rPr>
        <w:t xml:space="preserve">. The evaluation found few indicators of strong or consistent impacts of </w:t>
      </w:r>
      <w:r w:rsidR="00E72CBA" w:rsidRPr="00A538F2">
        <w:rPr>
          <w:color w:val="auto"/>
          <w:lang w:eastAsia="en-AU"/>
        </w:rPr>
        <w:t>IM</w:t>
      </w:r>
      <w:r w:rsidRPr="00A538F2">
        <w:rPr>
          <w:color w:val="auto"/>
          <w:lang w:eastAsia="en-AU"/>
        </w:rPr>
        <w:t>, rather, they found there h</w:t>
      </w:r>
      <w:r w:rsidR="007178F5" w:rsidRPr="00A538F2">
        <w:rPr>
          <w:color w:val="auto"/>
          <w:lang w:eastAsia="en-AU"/>
        </w:rPr>
        <w:t>ave been diverse outcomes that a</w:t>
      </w:r>
      <w:r w:rsidRPr="00A538F2">
        <w:rPr>
          <w:color w:val="auto"/>
          <w:lang w:eastAsia="en-AU"/>
        </w:rPr>
        <w:t xml:space="preserve">ffect a wide </w:t>
      </w:r>
      <w:r w:rsidR="007178F5" w:rsidRPr="00A538F2">
        <w:rPr>
          <w:color w:val="auto"/>
          <w:lang w:eastAsia="en-AU"/>
        </w:rPr>
        <w:t xml:space="preserve">range of people </w:t>
      </w:r>
      <w:r w:rsidRPr="00A538F2">
        <w:rPr>
          <w:color w:val="auto"/>
          <w:lang w:eastAsia="en-AU"/>
        </w:rPr>
        <w:t xml:space="preserve">and inconsistent range of views and experiences. First Nations people subject to </w:t>
      </w:r>
      <w:r w:rsidR="00E72CBA" w:rsidRPr="00A538F2">
        <w:rPr>
          <w:color w:val="auto"/>
          <w:lang w:eastAsia="en-AU"/>
        </w:rPr>
        <w:t>IM</w:t>
      </w:r>
      <w:r w:rsidRPr="00A538F2">
        <w:rPr>
          <w:color w:val="auto"/>
          <w:lang w:eastAsia="en-AU"/>
        </w:rPr>
        <w:t xml:space="preserve"> reported strong perceptions to improvements in the wellbeing of children in their community and ability to afford food. Amongst First Nations people, 59 per cent on voluntary </w:t>
      </w:r>
      <w:r w:rsidR="00E72CBA" w:rsidRPr="00A538F2">
        <w:rPr>
          <w:color w:val="auto"/>
          <w:lang w:eastAsia="en-AU"/>
        </w:rPr>
        <w:t xml:space="preserve">IM </w:t>
      </w:r>
      <w:r w:rsidRPr="00A538F2">
        <w:rPr>
          <w:color w:val="auto"/>
          <w:lang w:eastAsia="en-AU"/>
        </w:rPr>
        <w:t xml:space="preserve">felt that </w:t>
      </w:r>
      <w:r w:rsidR="00E72CBA" w:rsidRPr="00A538F2">
        <w:rPr>
          <w:color w:val="auto"/>
          <w:lang w:eastAsia="en-AU"/>
        </w:rPr>
        <w:t>IM</w:t>
      </w:r>
      <w:r w:rsidRPr="00A538F2">
        <w:rPr>
          <w:color w:val="auto"/>
          <w:lang w:eastAsia="en-AU"/>
        </w:rPr>
        <w:t xml:space="preserve"> had made things better, compared to 36 per cent on compulsory </w:t>
      </w:r>
      <w:r w:rsidR="00E72CBA" w:rsidRPr="00A538F2">
        <w:rPr>
          <w:color w:val="auto"/>
          <w:lang w:eastAsia="en-AU"/>
        </w:rPr>
        <w:t>IM</w:t>
      </w:r>
      <w:r w:rsidR="0087168B" w:rsidRPr="00A538F2">
        <w:rPr>
          <w:rStyle w:val="FootnoteReference"/>
          <w:color w:val="auto"/>
          <w:lang w:eastAsia="en-AU"/>
        </w:rPr>
        <w:footnoteReference w:id="13"/>
      </w:r>
      <w:r w:rsidRPr="00A538F2">
        <w:rPr>
          <w:color w:val="auto"/>
          <w:lang w:eastAsia="en-AU"/>
        </w:rPr>
        <w:t>. Consistent with the First Evaluation Report the other evaluations found perceived improvements to access to children’s clothing and education, decreased crime rates, reduced opportunities for humbugging and reduced</w:t>
      </w:r>
      <w:r w:rsidR="00B751B4" w:rsidRPr="00A538F2">
        <w:rPr>
          <w:color w:val="auto"/>
          <w:lang w:eastAsia="en-AU"/>
        </w:rPr>
        <w:t xml:space="preserve"> access to alcohol and tobacco.</w:t>
      </w:r>
    </w:p>
    <w:p w14:paraId="2BC9BEDE" w14:textId="3896B993" w:rsidR="00E20838" w:rsidRDefault="005A6F4B" w:rsidP="00D60884">
      <w:pPr>
        <w:rPr>
          <w:color w:val="auto"/>
          <w:lang w:eastAsia="en-AU"/>
        </w:rPr>
      </w:pPr>
      <w:r>
        <w:rPr>
          <w:color w:val="auto"/>
          <w:lang w:eastAsia="en-AU"/>
        </w:rPr>
        <w:t>A consistent theme throughout several e</w:t>
      </w:r>
      <w:r w:rsidR="00D60884" w:rsidRPr="00D60884">
        <w:rPr>
          <w:color w:val="auto"/>
          <w:lang w:eastAsia="en-AU"/>
        </w:rPr>
        <w:t xml:space="preserve">valuations </w:t>
      </w:r>
      <w:r w:rsidR="00385DEC">
        <w:rPr>
          <w:color w:val="auto"/>
          <w:lang w:eastAsia="en-AU"/>
        </w:rPr>
        <w:t xml:space="preserve">was the negative impacts of the restrictions including; limitations on </w:t>
      </w:r>
      <w:r w:rsidR="00D60884" w:rsidRPr="00D60884">
        <w:rPr>
          <w:color w:val="auto"/>
          <w:lang w:eastAsia="en-AU"/>
        </w:rPr>
        <w:t xml:space="preserve">where they could shop, difficulties using </w:t>
      </w:r>
      <w:r w:rsidR="00E72CBA">
        <w:rPr>
          <w:color w:val="auto"/>
          <w:lang w:eastAsia="en-AU"/>
        </w:rPr>
        <w:t xml:space="preserve">IM </w:t>
      </w:r>
      <w:r w:rsidR="00D60884" w:rsidRPr="00D60884">
        <w:rPr>
          <w:color w:val="auto"/>
          <w:lang w:eastAsia="en-AU"/>
        </w:rPr>
        <w:t xml:space="preserve">for public transport and widespread feelings of unfairness and disempowerment. </w:t>
      </w:r>
      <w:r w:rsidR="00385DEC">
        <w:t xml:space="preserve">Evaluators for the First Evaluation Report indicated that many people subject to compulsory income management appeared not to demonstrate the behaviour problems or financial difficulties income management was intended to remedy. </w:t>
      </w:r>
      <w:r w:rsidR="007C0149">
        <w:fldChar w:fldCharType="begin"/>
      </w:r>
      <w:r w:rsidR="007C0149">
        <w:instrText xml:space="preserve"> REF _Ref109372020 \h </w:instrText>
      </w:r>
      <w:r w:rsidR="007C0149">
        <w:fldChar w:fldCharType="separate"/>
      </w:r>
      <w:r w:rsidR="007C0149">
        <w:t xml:space="preserve">Table </w:t>
      </w:r>
      <w:r w:rsidR="007C0149">
        <w:rPr>
          <w:noProof/>
        </w:rPr>
        <w:t>5</w:t>
      </w:r>
      <w:r w:rsidR="007C0149">
        <w:fldChar w:fldCharType="end"/>
      </w:r>
      <w:r w:rsidR="007C0149">
        <w:t xml:space="preserve"> </w:t>
      </w:r>
      <w:r w:rsidR="00700F68">
        <w:rPr>
          <w:color w:val="auto"/>
          <w:lang w:eastAsia="en-AU"/>
        </w:rPr>
        <w:t xml:space="preserve">provides a summary of the </w:t>
      </w:r>
      <w:r w:rsidR="00E20838">
        <w:rPr>
          <w:color w:val="auto"/>
          <w:lang w:eastAsia="en-AU"/>
        </w:rPr>
        <w:t>IM evaluations commissioned by the Department.</w:t>
      </w:r>
    </w:p>
    <w:p w14:paraId="75AC0337" w14:textId="23A37033" w:rsidR="003C31B0" w:rsidRPr="009C3D9D" w:rsidRDefault="007C59D5" w:rsidP="003C31B0">
      <w:pPr>
        <w:pStyle w:val="Caption"/>
        <w:ind w:left="0" w:firstLine="0"/>
        <w:rPr>
          <w:color w:val="auto"/>
          <w:lang w:eastAsia="en-AU"/>
        </w:rPr>
      </w:pPr>
      <w:bookmarkStart w:id="48" w:name="_Ref109372020"/>
      <w:bookmarkStart w:id="49" w:name="_Toc118103810"/>
      <w:r>
        <w:t xml:space="preserve">Table </w:t>
      </w:r>
      <w:fldSimple w:instr=" SEQ Table \* ARABIC ">
        <w:r w:rsidR="00EA44C7">
          <w:rPr>
            <w:noProof/>
          </w:rPr>
          <w:t>5</w:t>
        </w:r>
      </w:fldSimple>
      <w:bookmarkEnd w:id="48"/>
      <w:r>
        <w:t xml:space="preserve">: </w:t>
      </w:r>
      <w:r w:rsidR="00700F68">
        <w:t>Income Management e</w:t>
      </w:r>
      <w:r>
        <w:t>valuations commission</w:t>
      </w:r>
      <w:r w:rsidR="007F6B4B">
        <w:t>ed</w:t>
      </w:r>
      <w:r>
        <w:t xml:space="preserve"> by the Department</w:t>
      </w:r>
      <w:bookmarkStart w:id="50" w:name="_Toc108008480"/>
      <w:bookmarkEnd w:id="49"/>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5: Income Management evaluations commissioned by the Department"/>
      </w:tblPr>
      <w:tblGrid>
        <w:gridCol w:w="7226"/>
        <w:gridCol w:w="2961"/>
      </w:tblGrid>
      <w:tr w:rsidR="003C31B0" w14:paraId="55BD3FC1" w14:textId="77777777" w:rsidTr="00DC4576">
        <w:trPr>
          <w:trHeight w:val="397"/>
        </w:trPr>
        <w:tc>
          <w:tcPr>
            <w:tcW w:w="7226" w:type="dxa"/>
            <w:tcMar>
              <w:top w:w="0" w:type="dxa"/>
              <w:left w:w="108" w:type="dxa"/>
              <w:bottom w:w="0" w:type="dxa"/>
              <w:right w:w="108" w:type="dxa"/>
            </w:tcMar>
            <w:hideMark/>
          </w:tcPr>
          <w:p w14:paraId="63045A80" w14:textId="77777777" w:rsidR="003C31B0" w:rsidRDefault="003C31B0">
            <w:pPr>
              <w:rPr>
                <w:rFonts w:ascii="Calibri" w:hAnsi="Calibri" w:cs="Calibri"/>
                <w:b/>
                <w:bCs/>
                <w:color w:val="auto"/>
                <w:sz w:val="22"/>
                <w:szCs w:val="22"/>
                <w:lang w:eastAsia="en-AU"/>
              </w:rPr>
            </w:pPr>
            <w:r>
              <w:rPr>
                <w:b/>
                <w:bCs/>
                <w:lang w:eastAsia="en-AU"/>
              </w:rPr>
              <w:t>Evaluation</w:t>
            </w:r>
          </w:p>
        </w:tc>
        <w:tc>
          <w:tcPr>
            <w:tcW w:w="2961" w:type="dxa"/>
            <w:tcMar>
              <w:top w:w="0" w:type="dxa"/>
              <w:left w:w="108" w:type="dxa"/>
              <w:bottom w:w="0" w:type="dxa"/>
              <w:right w:w="108" w:type="dxa"/>
            </w:tcMar>
            <w:hideMark/>
          </w:tcPr>
          <w:p w14:paraId="3910D4B7" w14:textId="77777777" w:rsidR="003C31B0" w:rsidRDefault="003C31B0">
            <w:pPr>
              <w:rPr>
                <w:b/>
                <w:bCs/>
                <w:lang w:eastAsia="en-AU"/>
              </w:rPr>
            </w:pPr>
            <w:r>
              <w:rPr>
                <w:b/>
                <w:bCs/>
                <w:lang w:eastAsia="en-AU"/>
              </w:rPr>
              <w:t>Publication date</w:t>
            </w:r>
          </w:p>
        </w:tc>
      </w:tr>
      <w:tr w:rsidR="003C31B0" w14:paraId="2D7D929D" w14:textId="77777777" w:rsidTr="00DC4576">
        <w:trPr>
          <w:trHeight w:val="667"/>
        </w:trPr>
        <w:tc>
          <w:tcPr>
            <w:tcW w:w="7226" w:type="dxa"/>
            <w:tcMar>
              <w:top w:w="0" w:type="dxa"/>
              <w:left w:w="108" w:type="dxa"/>
              <w:bottom w:w="0" w:type="dxa"/>
              <w:right w:w="108" w:type="dxa"/>
            </w:tcMar>
            <w:hideMark/>
          </w:tcPr>
          <w:p w14:paraId="5843AFB2" w14:textId="77777777" w:rsidR="003C31B0" w:rsidRDefault="003C31B0">
            <w:pPr>
              <w:rPr>
                <w:lang w:eastAsia="en-AU"/>
              </w:rPr>
            </w:pPr>
            <w:r>
              <w:rPr>
                <w:lang w:eastAsia="en-AU"/>
              </w:rPr>
              <w:t>Evaluation of the Child Protection Scheme of Income Management and Voluntary Income Management Measures in Western Australia</w:t>
            </w:r>
          </w:p>
        </w:tc>
        <w:tc>
          <w:tcPr>
            <w:tcW w:w="2961" w:type="dxa"/>
            <w:tcMar>
              <w:top w:w="0" w:type="dxa"/>
              <w:left w:w="108" w:type="dxa"/>
              <w:bottom w:w="0" w:type="dxa"/>
              <w:right w:w="108" w:type="dxa"/>
            </w:tcMar>
            <w:hideMark/>
          </w:tcPr>
          <w:p w14:paraId="37B81EAD" w14:textId="77777777" w:rsidR="003C31B0" w:rsidRDefault="003C31B0">
            <w:pPr>
              <w:rPr>
                <w:lang w:eastAsia="en-AU"/>
              </w:rPr>
            </w:pPr>
            <w:r>
              <w:rPr>
                <w:lang w:eastAsia="en-AU"/>
              </w:rPr>
              <w:t>2010</w:t>
            </w:r>
          </w:p>
        </w:tc>
      </w:tr>
      <w:tr w:rsidR="003C31B0" w14:paraId="01DE147B" w14:textId="77777777" w:rsidTr="00DC4576">
        <w:trPr>
          <w:trHeight w:val="397"/>
        </w:trPr>
        <w:tc>
          <w:tcPr>
            <w:tcW w:w="7226" w:type="dxa"/>
            <w:tcMar>
              <w:top w:w="0" w:type="dxa"/>
              <w:left w:w="108" w:type="dxa"/>
              <w:bottom w:w="0" w:type="dxa"/>
              <w:right w:w="108" w:type="dxa"/>
            </w:tcMar>
            <w:hideMark/>
          </w:tcPr>
          <w:p w14:paraId="456E5A9D" w14:textId="77777777" w:rsidR="003C31B0" w:rsidRDefault="003C31B0">
            <w:pPr>
              <w:rPr>
                <w:lang w:eastAsia="en-AU"/>
              </w:rPr>
            </w:pPr>
            <w:r>
              <w:t>Evaluation of Cape York Welfare Reform</w:t>
            </w:r>
          </w:p>
        </w:tc>
        <w:tc>
          <w:tcPr>
            <w:tcW w:w="2961" w:type="dxa"/>
            <w:tcMar>
              <w:top w:w="0" w:type="dxa"/>
              <w:left w:w="108" w:type="dxa"/>
              <w:bottom w:w="0" w:type="dxa"/>
              <w:right w:w="108" w:type="dxa"/>
            </w:tcMar>
            <w:hideMark/>
          </w:tcPr>
          <w:p w14:paraId="3597211D" w14:textId="77777777" w:rsidR="003C31B0" w:rsidRDefault="003C31B0">
            <w:pPr>
              <w:rPr>
                <w:lang w:eastAsia="en-AU"/>
              </w:rPr>
            </w:pPr>
            <w:r>
              <w:rPr>
                <w:lang w:eastAsia="en-AU"/>
              </w:rPr>
              <w:t>2012</w:t>
            </w:r>
          </w:p>
        </w:tc>
      </w:tr>
      <w:tr w:rsidR="003C31B0" w14:paraId="60A2C6AF" w14:textId="77777777" w:rsidTr="00DC4576">
        <w:trPr>
          <w:trHeight w:val="397"/>
        </w:trPr>
        <w:tc>
          <w:tcPr>
            <w:tcW w:w="7226" w:type="dxa"/>
            <w:tcMar>
              <w:top w:w="0" w:type="dxa"/>
              <w:left w:w="108" w:type="dxa"/>
              <w:bottom w:w="0" w:type="dxa"/>
              <w:right w:w="108" w:type="dxa"/>
            </w:tcMar>
            <w:hideMark/>
          </w:tcPr>
          <w:p w14:paraId="3FC455FA" w14:textId="77777777" w:rsidR="003C31B0" w:rsidRDefault="003C31B0">
            <w:pPr>
              <w:rPr>
                <w:lang w:eastAsia="en-AU"/>
              </w:rPr>
            </w:pPr>
            <w:r>
              <w:rPr>
                <w:lang w:eastAsia="en-AU"/>
              </w:rPr>
              <w:t>Review of Child Protection Income Management in Western Australia</w:t>
            </w:r>
          </w:p>
        </w:tc>
        <w:tc>
          <w:tcPr>
            <w:tcW w:w="2961" w:type="dxa"/>
            <w:tcMar>
              <w:top w:w="0" w:type="dxa"/>
              <w:left w:w="108" w:type="dxa"/>
              <w:bottom w:w="0" w:type="dxa"/>
              <w:right w:w="108" w:type="dxa"/>
            </w:tcMar>
            <w:hideMark/>
          </w:tcPr>
          <w:p w14:paraId="6A232080" w14:textId="77777777" w:rsidR="003C31B0" w:rsidRDefault="003C31B0">
            <w:pPr>
              <w:rPr>
                <w:lang w:eastAsia="en-AU"/>
              </w:rPr>
            </w:pPr>
            <w:r>
              <w:rPr>
                <w:lang w:eastAsia="en-AU"/>
              </w:rPr>
              <w:t>2014</w:t>
            </w:r>
          </w:p>
        </w:tc>
      </w:tr>
      <w:tr w:rsidR="003C31B0" w14:paraId="584E5F6B" w14:textId="77777777" w:rsidTr="00DC4576">
        <w:trPr>
          <w:trHeight w:val="667"/>
        </w:trPr>
        <w:tc>
          <w:tcPr>
            <w:tcW w:w="7226" w:type="dxa"/>
            <w:tcMar>
              <w:top w:w="0" w:type="dxa"/>
              <w:left w:w="108" w:type="dxa"/>
              <w:bottom w:w="0" w:type="dxa"/>
              <w:right w:w="108" w:type="dxa"/>
            </w:tcMar>
            <w:hideMark/>
          </w:tcPr>
          <w:p w14:paraId="5FAD0EE6" w14:textId="77777777" w:rsidR="003C31B0" w:rsidRDefault="003C31B0">
            <w:pPr>
              <w:rPr>
                <w:lang w:eastAsia="en-AU"/>
              </w:rPr>
            </w:pPr>
            <w:r>
              <w:rPr>
                <w:lang w:eastAsia="en-AU"/>
              </w:rPr>
              <w:t>Evaluation of Voluntary Income Management in the Anangu Pitjantjatjara Yankunytjatjara (APY) Lands</w:t>
            </w:r>
          </w:p>
        </w:tc>
        <w:tc>
          <w:tcPr>
            <w:tcW w:w="2961" w:type="dxa"/>
            <w:tcMar>
              <w:top w:w="0" w:type="dxa"/>
              <w:left w:w="108" w:type="dxa"/>
              <w:bottom w:w="0" w:type="dxa"/>
              <w:right w:w="108" w:type="dxa"/>
            </w:tcMar>
            <w:hideMark/>
          </w:tcPr>
          <w:p w14:paraId="0D2179E8" w14:textId="77777777" w:rsidR="003C31B0" w:rsidRDefault="003C31B0">
            <w:pPr>
              <w:rPr>
                <w:lang w:eastAsia="en-AU"/>
              </w:rPr>
            </w:pPr>
            <w:r>
              <w:rPr>
                <w:lang w:eastAsia="en-AU"/>
              </w:rPr>
              <w:t>2014</w:t>
            </w:r>
          </w:p>
        </w:tc>
      </w:tr>
      <w:tr w:rsidR="003C31B0" w14:paraId="4583274C" w14:textId="77777777" w:rsidTr="00DC4576">
        <w:trPr>
          <w:trHeight w:val="397"/>
        </w:trPr>
        <w:tc>
          <w:tcPr>
            <w:tcW w:w="7226" w:type="dxa"/>
            <w:tcMar>
              <w:top w:w="0" w:type="dxa"/>
              <w:left w:w="108" w:type="dxa"/>
              <w:bottom w:w="0" w:type="dxa"/>
              <w:right w:w="108" w:type="dxa"/>
            </w:tcMar>
            <w:hideMark/>
          </w:tcPr>
          <w:p w14:paraId="51AF772B" w14:textId="77777777" w:rsidR="003C31B0" w:rsidRDefault="003C31B0">
            <w:pPr>
              <w:rPr>
                <w:lang w:eastAsia="en-AU"/>
              </w:rPr>
            </w:pPr>
            <w:r>
              <w:rPr>
                <w:lang w:eastAsia="en-AU"/>
              </w:rPr>
              <w:t>Evaluation of New Income Management in the Northern Territory</w:t>
            </w:r>
            <w:r w:rsidR="0087168B">
              <w:rPr>
                <w:lang w:eastAsia="en-AU"/>
              </w:rPr>
              <w:t xml:space="preserve"> (series of reports)</w:t>
            </w:r>
          </w:p>
        </w:tc>
        <w:tc>
          <w:tcPr>
            <w:tcW w:w="2961" w:type="dxa"/>
            <w:tcMar>
              <w:top w:w="0" w:type="dxa"/>
              <w:left w:w="108" w:type="dxa"/>
              <w:bottom w:w="0" w:type="dxa"/>
              <w:right w:w="108" w:type="dxa"/>
            </w:tcMar>
            <w:hideMark/>
          </w:tcPr>
          <w:p w14:paraId="537B8AA8" w14:textId="77777777" w:rsidR="003C31B0" w:rsidRDefault="0087168B">
            <w:pPr>
              <w:rPr>
                <w:lang w:eastAsia="en-AU"/>
              </w:rPr>
            </w:pPr>
            <w:r>
              <w:rPr>
                <w:lang w:eastAsia="en-AU"/>
              </w:rPr>
              <w:t>2012 and 2014</w:t>
            </w:r>
          </w:p>
        </w:tc>
      </w:tr>
      <w:tr w:rsidR="003C31B0" w14:paraId="0835ABB4" w14:textId="77777777" w:rsidTr="00DC4576">
        <w:trPr>
          <w:trHeight w:val="391"/>
        </w:trPr>
        <w:tc>
          <w:tcPr>
            <w:tcW w:w="7226" w:type="dxa"/>
            <w:tcMar>
              <w:top w:w="0" w:type="dxa"/>
              <w:left w:w="108" w:type="dxa"/>
              <w:bottom w:w="0" w:type="dxa"/>
              <w:right w:w="108" w:type="dxa"/>
            </w:tcMar>
            <w:hideMark/>
          </w:tcPr>
          <w:p w14:paraId="53876766" w14:textId="77777777" w:rsidR="003C31B0" w:rsidRDefault="003C31B0">
            <w:pPr>
              <w:rPr>
                <w:lang w:eastAsia="en-AU"/>
              </w:rPr>
            </w:pPr>
            <w:r>
              <w:rPr>
                <w:lang w:eastAsia="en-AU"/>
              </w:rPr>
              <w:t>Consolidated Place-Based Income Management Evaluation Report</w:t>
            </w:r>
          </w:p>
        </w:tc>
        <w:tc>
          <w:tcPr>
            <w:tcW w:w="2961" w:type="dxa"/>
            <w:tcMar>
              <w:top w:w="0" w:type="dxa"/>
              <w:left w:w="108" w:type="dxa"/>
              <w:bottom w:w="0" w:type="dxa"/>
              <w:right w:w="108" w:type="dxa"/>
            </w:tcMar>
            <w:hideMark/>
          </w:tcPr>
          <w:p w14:paraId="0C969743" w14:textId="77777777" w:rsidR="003C31B0" w:rsidRDefault="003C31B0">
            <w:pPr>
              <w:rPr>
                <w:lang w:eastAsia="en-AU"/>
              </w:rPr>
            </w:pPr>
            <w:r>
              <w:rPr>
                <w:lang w:eastAsia="en-AU"/>
              </w:rPr>
              <w:t>2015</w:t>
            </w:r>
          </w:p>
        </w:tc>
      </w:tr>
      <w:tr w:rsidR="003C31B0" w14:paraId="5DFE72C7" w14:textId="77777777" w:rsidTr="00DC4576">
        <w:trPr>
          <w:trHeight w:val="397"/>
        </w:trPr>
        <w:tc>
          <w:tcPr>
            <w:tcW w:w="7226" w:type="dxa"/>
            <w:tcMar>
              <w:top w:w="0" w:type="dxa"/>
              <w:left w:w="108" w:type="dxa"/>
              <w:bottom w:w="0" w:type="dxa"/>
              <w:right w:w="108" w:type="dxa"/>
            </w:tcMar>
            <w:hideMark/>
          </w:tcPr>
          <w:p w14:paraId="0E08BB03" w14:textId="77777777" w:rsidR="003C31B0" w:rsidRDefault="003C31B0">
            <w:pPr>
              <w:rPr>
                <w:lang w:eastAsia="en-AU"/>
              </w:rPr>
            </w:pPr>
            <w:r>
              <w:rPr>
                <w:lang w:eastAsia="en-AU"/>
              </w:rPr>
              <w:t>Strategic Review of Cape York Income Management</w:t>
            </w:r>
          </w:p>
        </w:tc>
        <w:tc>
          <w:tcPr>
            <w:tcW w:w="2961" w:type="dxa"/>
            <w:tcMar>
              <w:top w:w="0" w:type="dxa"/>
              <w:left w:w="108" w:type="dxa"/>
              <w:bottom w:w="0" w:type="dxa"/>
              <w:right w:w="108" w:type="dxa"/>
            </w:tcMar>
            <w:hideMark/>
          </w:tcPr>
          <w:p w14:paraId="7FFB126A" w14:textId="77777777" w:rsidR="003C31B0" w:rsidRDefault="003C31B0">
            <w:pPr>
              <w:rPr>
                <w:lang w:eastAsia="en-AU"/>
              </w:rPr>
            </w:pPr>
            <w:r>
              <w:rPr>
                <w:lang w:eastAsia="en-AU"/>
              </w:rPr>
              <w:t>2018</w:t>
            </w:r>
          </w:p>
        </w:tc>
      </w:tr>
    </w:tbl>
    <w:p w14:paraId="05862951" w14:textId="6ECE9BB6" w:rsidR="007E30EE" w:rsidRDefault="00CD3DB4" w:rsidP="00025205">
      <w:pPr>
        <w:pStyle w:val="Heading2"/>
      </w:pPr>
      <w:bookmarkStart w:id="51" w:name="_Toc118103742"/>
      <w:r>
        <w:t>1.4</w:t>
      </w:r>
      <w:r w:rsidR="00964F3C">
        <w:t xml:space="preserve"> </w:t>
      </w:r>
      <w:r w:rsidR="00C55DDC" w:rsidRPr="00C55DDC">
        <w:t>The compulsory nature of the program restricts freedom of choice and carries a stigma</w:t>
      </w:r>
      <w:bookmarkEnd w:id="51"/>
    </w:p>
    <w:bookmarkEnd w:id="50"/>
    <w:p w14:paraId="06EBC6EB" w14:textId="77777777" w:rsidR="004B2222" w:rsidRDefault="001F1501" w:rsidP="001F1501">
      <w:pPr>
        <w:spacing w:before="120" w:after="180" w:line="280" w:lineRule="atLeast"/>
        <w:textAlignment w:val="center"/>
        <w:rPr>
          <w:color w:val="auto"/>
          <w:lang w:eastAsia="en-AU"/>
        </w:rPr>
      </w:pPr>
      <w:r w:rsidRPr="008D63C8">
        <w:rPr>
          <w:color w:val="auto"/>
          <w:lang w:eastAsia="en-AU"/>
        </w:rPr>
        <w:t xml:space="preserve">The main criticism </w:t>
      </w:r>
      <w:r w:rsidR="000975CA">
        <w:rPr>
          <w:color w:val="auto"/>
          <w:lang w:eastAsia="en-AU"/>
        </w:rPr>
        <w:t>of</w:t>
      </w:r>
      <w:r w:rsidRPr="008D63C8">
        <w:rPr>
          <w:color w:val="auto"/>
          <w:lang w:eastAsia="en-AU"/>
        </w:rPr>
        <w:t xml:space="preserve"> the program</w:t>
      </w:r>
      <w:r w:rsidR="002C2A28">
        <w:rPr>
          <w:color w:val="auto"/>
          <w:lang w:eastAsia="en-AU"/>
        </w:rPr>
        <w:t>s</w:t>
      </w:r>
      <w:r w:rsidRPr="008D63C8">
        <w:rPr>
          <w:color w:val="auto"/>
          <w:lang w:eastAsia="en-AU"/>
        </w:rPr>
        <w:t xml:space="preserve"> </w:t>
      </w:r>
      <w:r w:rsidR="00DC4576">
        <w:rPr>
          <w:color w:val="auto"/>
          <w:lang w:eastAsia="en-AU"/>
        </w:rPr>
        <w:t>is</w:t>
      </w:r>
      <w:r w:rsidR="000975CA">
        <w:rPr>
          <w:color w:val="auto"/>
          <w:lang w:eastAsia="en-AU"/>
        </w:rPr>
        <w:t xml:space="preserve"> that </w:t>
      </w:r>
      <w:r w:rsidR="002F7768">
        <w:rPr>
          <w:color w:val="auto"/>
          <w:lang w:eastAsia="en-AU"/>
        </w:rPr>
        <w:t xml:space="preserve">they </w:t>
      </w:r>
      <w:r w:rsidR="00F61ABF">
        <w:rPr>
          <w:color w:val="auto"/>
          <w:lang w:eastAsia="en-AU"/>
        </w:rPr>
        <w:t xml:space="preserve">remove personal choice by </w:t>
      </w:r>
      <w:r w:rsidR="00077419">
        <w:rPr>
          <w:color w:val="auto"/>
          <w:lang w:eastAsia="en-AU"/>
        </w:rPr>
        <w:t xml:space="preserve">compulsorily </w:t>
      </w:r>
      <w:r w:rsidR="00F61ABF">
        <w:rPr>
          <w:color w:val="auto"/>
          <w:lang w:eastAsia="en-AU"/>
        </w:rPr>
        <w:t>controlling</w:t>
      </w:r>
      <w:r w:rsidRPr="008D63C8">
        <w:rPr>
          <w:color w:val="auto"/>
          <w:lang w:eastAsia="en-AU"/>
        </w:rPr>
        <w:t xml:space="preserve"> the spending of participants</w:t>
      </w:r>
      <w:r w:rsidR="00BE6770">
        <w:rPr>
          <w:color w:val="auto"/>
          <w:lang w:eastAsia="en-AU"/>
        </w:rPr>
        <w:t xml:space="preserve"> </w:t>
      </w:r>
      <w:r w:rsidR="00DC4576">
        <w:rPr>
          <w:color w:val="auto"/>
          <w:lang w:eastAsia="en-AU"/>
        </w:rPr>
        <w:t xml:space="preserve">income support </w:t>
      </w:r>
      <w:r w:rsidR="00BE6770">
        <w:rPr>
          <w:color w:val="auto"/>
          <w:lang w:eastAsia="en-AU"/>
        </w:rPr>
        <w:t>and do not address the root cause of the issues that are trying to be addressed</w:t>
      </w:r>
      <w:r w:rsidRPr="008D63C8">
        <w:rPr>
          <w:color w:val="auto"/>
          <w:lang w:eastAsia="en-AU"/>
        </w:rPr>
        <w:t xml:space="preserve">. </w:t>
      </w:r>
      <w:r w:rsidR="005B7CB6">
        <w:rPr>
          <w:color w:val="auto"/>
          <w:lang w:eastAsia="en-AU"/>
        </w:rPr>
        <w:t>It is noted that the</w:t>
      </w:r>
      <w:r w:rsidR="005B7CB6" w:rsidRPr="001E125B">
        <w:rPr>
          <w:color w:val="auto"/>
          <w:lang w:eastAsia="en-AU"/>
        </w:rPr>
        <w:t xml:space="preserve"> </w:t>
      </w:r>
      <w:r w:rsidR="005B7CB6">
        <w:rPr>
          <w:color w:val="auto"/>
          <w:lang w:eastAsia="en-AU"/>
        </w:rPr>
        <w:t>IM program differs from the CDC program in that in addition to placing restrictions on the purchasing of alcohol</w:t>
      </w:r>
      <w:r w:rsidR="00774EFD">
        <w:rPr>
          <w:color w:val="auto"/>
          <w:lang w:eastAsia="en-AU"/>
        </w:rPr>
        <w:t xml:space="preserve"> and </w:t>
      </w:r>
      <w:r w:rsidR="005B7CB6">
        <w:rPr>
          <w:color w:val="auto"/>
          <w:lang w:eastAsia="en-AU"/>
        </w:rPr>
        <w:t xml:space="preserve">gambling products, and the withdrawal of cash, it also restricts the purchasing of tobacco and pornography. </w:t>
      </w:r>
      <w:r w:rsidR="00810713">
        <w:rPr>
          <w:color w:val="auto"/>
          <w:lang w:eastAsia="en-AU"/>
        </w:rPr>
        <w:t>It has been argued that n</w:t>
      </w:r>
      <w:r w:rsidR="000975CA">
        <w:rPr>
          <w:color w:val="auto"/>
          <w:lang w:eastAsia="en-AU"/>
        </w:rPr>
        <w:t xml:space="preserve">ot being able to access cash </w:t>
      </w:r>
      <w:r w:rsidR="00810713">
        <w:rPr>
          <w:color w:val="auto"/>
          <w:lang w:eastAsia="en-AU"/>
        </w:rPr>
        <w:t>for emergencies or purchases of second hand goods places a strain on those in the program</w:t>
      </w:r>
      <w:r w:rsidR="002C2A28">
        <w:rPr>
          <w:color w:val="auto"/>
          <w:lang w:eastAsia="en-AU"/>
        </w:rPr>
        <w:t>s</w:t>
      </w:r>
      <w:r w:rsidR="002835CC">
        <w:rPr>
          <w:color w:val="auto"/>
          <w:lang w:eastAsia="en-AU"/>
        </w:rPr>
        <w:t xml:space="preserve"> and requires them to purchase goods at a higher price</w:t>
      </w:r>
      <w:r w:rsidR="00BD7A0E">
        <w:rPr>
          <w:color w:val="auto"/>
          <w:lang w:eastAsia="en-AU"/>
        </w:rPr>
        <w:t>.</w:t>
      </w:r>
      <w:r w:rsidR="00583283">
        <w:rPr>
          <w:color w:val="auto"/>
          <w:lang w:eastAsia="en-AU"/>
        </w:rPr>
        <w:t xml:space="preserve"> </w:t>
      </w:r>
      <w:r w:rsidR="00265698">
        <w:rPr>
          <w:color w:val="auto"/>
          <w:lang w:eastAsia="en-AU"/>
        </w:rPr>
        <w:t xml:space="preserve">This has been more of a </w:t>
      </w:r>
      <w:r w:rsidR="002C2A28">
        <w:rPr>
          <w:color w:val="auto"/>
          <w:lang w:eastAsia="en-AU"/>
        </w:rPr>
        <w:t xml:space="preserve">criticism of the CDC </w:t>
      </w:r>
      <w:r w:rsidR="00DC4576">
        <w:rPr>
          <w:color w:val="auto"/>
          <w:lang w:eastAsia="en-AU"/>
        </w:rPr>
        <w:t>program</w:t>
      </w:r>
      <w:r w:rsidR="00265698">
        <w:rPr>
          <w:color w:val="auto"/>
          <w:lang w:eastAsia="en-AU"/>
        </w:rPr>
        <w:t xml:space="preserve"> </w:t>
      </w:r>
      <w:r w:rsidR="002C2A28">
        <w:rPr>
          <w:color w:val="auto"/>
          <w:lang w:eastAsia="en-AU"/>
        </w:rPr>
        <w:t>as it has a higher quarantine amount of 80 per</w:t>
      </w:r>
      <w:r w:rsidR="0053512C">
        <w:rPr>
          <w:color w:val="auto"/>
          <w:lang w:eastAsia="en-AU"/>
        </w:rPr>
        <w:t xml:space="preserve"> </w:t>
      </w:r>
      <w:r w:rsidR="002C2A28">
        <w:rPr>
          <w:color w:val="auto"/>
          <w:lang w:eastAsia="en-AU"/>
        </w:rPr>
        <w:t xml:space="preserve">cent compared to the </w:t>
      </w:r>
      <w:r w:rsidR="00A2579E">
        <w:rPr>
          <w:color w:val="auto"/>
          <w:lang w:eastAsia="en-AU"/>
        </w:rPr>
        <w:t xml:space="preserve">typical quarantine amount of 50 </w:t>
      </w:r>
      <w:r w:rsidR="002C2A28">
        <w:rPr>
          <w:color w:val="auto"/>
          <w:lang w:eastAsia="en-AU"/>
        </w:rPr>
        <w:t>per</w:t>
      </w:r>
      <w:r w:rsidR="0053512C">
        <w:rPr>
          <w:color w:val="auto"/>
          <w:lang w:eastAsia="en-AU"/>
        </w:rPr>
        <w:t xml:space="preserve"> </w:t>
      </w:r>
      <w:r w:rsidR="00B751B4">
        <w:rPr>
          <w:color w:val="auto"/>
          <w:lang w:eastAsia="en-AU"/>
        </w:rPr>
        <w:t>cent in IM.</w:t>
      </w:r>
    </w:p>
    <w:p w14:paraId="1E3AEB95" w14:textId="77777777" w:rsidR="00C55DDC" w:rsidRDefault="00C55DDC" w:rsidP="00C55DDC">
      <w:pPr>
        <w:spacing w:before="120" w:after="180" w:line="280" w:lineRule="atLeast"/>
        <w:textAlignment w:val="center"/>
        <w:rPr>
          <w:color w:val="auto"/>
          <w:lang w:eastAsia="en-AU"/>
        </w:rPr>
      </w:pPr>
      <w:r w:rsidRPr="008D63C8">
        <w:rPr>
          <w:color w:val="auto"/>
          <w:lang w:eastAsia="en-AU"/>
        </w:rPr>
        <w:t xml:space="preserve">The CDC program specifically was criticised as being a blunt instrument, which is applied to people who have not demonstrated a need for </w:t>
      </w:r>
      <w:r>
        <w:rPr>
          <w:color w:val="auto"/>
          <w:lang w:eastAsia="en-AU"/>
        </w:rPr>
        <w:t>their income support payments to be quarantined</w:t>
      </w:r>
      <w:r w:rsidRPr="008D63C8">
        <w:rPr>
          <w:color w:val="auto"/>
          <w:lang w:eastAsia="en-AU"/>
        </w:rPr>
        <w:t>. The arrangements attempt to achieve community wide outcomes but in doing so</w:t>
      </w:r>
      <w:r>
        <w:rPr>
          <w:color w:val="auto"/>
          <w:lang w:eastAsia="en-AU"/>
        </w:rPr>
        <w:t xml:space="preserve"> </w:t>
      </w:r>
      <w:r w:rsidRPr="008D63C8">
        <w:rPr>
          <w:color w:val="auto"/>
          <w:lang w:eastAsia="en-AU"/>
        </w:rPr>
        <w:t xml:space="preserve">they impinge upon the individual freedoms of those without </w:t>
      </w:r>
      <w:r>
        <w:rPr>
          <w:color w:val="auto"/>
          <w:lang w:eastAsia="en-AU"/>
        </w:rPr>
        <w:t xml:space="preserve">identified </w:t>
      </w:r>
      <w:r w:rsidRPr="008D63C8">
        <w:rPr>
          <w:color w:val="auto"/>
          <w:lang w:eastAsia="en-AU"/>
        </w:rPr>
        <w:t xml:space="preserve">problems with drugs, alcohol </w:t>
      </w:r>
      <w:r>
        <w:rPr>
          <w:color w:val="auto"/>
          <w:lang w:eastAsia="en-AU"/>
        </w:rPr>
        <w:t>and/</w:t>
      </w:r>
      <w:r w:rsidRPr="008D63C8">
        <w:rPr>
          <w:color w:val="auto"/>
          <w:lang w:eastAsia="en-AU"/>
        </w:rPr>
        <w:t>or gambling. The current</w:t>
      </w:r>
      <w:r>
        <w:rPr>
          <w:color w:val="auto"/>
          <w:lang w:eastAsia="en-AU"/>
        </w:rPr>
        <w:t xml:space="preserve"> CDC</w:t>
      </w:r>
      <w:r w:rsidRPr="008D63C8">
        <w:rPr>
          <w:color w:val="auto"/>
          <w:lang w:eastAsia="en-AU"/>
        </w:rPr>
        <w:t xml:space="preserve"> program focuses on geographic sites rather than individual circumstances. By focusing on geographical sites, critics claim the CDC </w:t>
      </w:r>
      <w:r>
        <w:rPr>
          <w:color w:val="auto"/>
          <w:lang w:eastAsia="en-AU"/>
        </w:rPr>
        <w:t xml:space="preserve">program </w:t>
      </w:r>
      <w:r w:rsidRPr="008D63C8">
        <w:rPr>
          <w:color w:val="auto"/>
          <w:lang w:eastAsia="en-AU"/>
        </w:rPr>
        <w:t xml:space="preserve">perpetuates the </w:t>
      </w:r>
      <w:r w:rsidRPr="000D4960">
        <w:rPr>
          <w:color w:val="auto"/>
          <w:lang w:eastAsia="en-AU"/>
        </w:rPr>
        <w:t>stigma faced by minority communities.</w:t>
      </w:r>
    </w:p>
    <w:p w14:paraId="556C6E2C" w14:textId="77777777" w:rsidR="004B2222" w:rsidRDefault="002835CC" w:rsidP="004B2222">
      <w:pPr>
        <w:spacing w:before="120" w:after="180" w:line="280" w:lineRule="atLeast"/>
        <w:textAlignment w:val="center"/>
        <w:rPr>
          <w:color w:val="auto"/>
          <w:lang w:eastAsia="en-AU"/>
        </w:rPr>
      </w:pPr>
      <w:r>
        <w:rPr>
          <w:color w:val="auto"/>
          <w:lang w:eastAsia="en-AU"/>
        </w:rPr>
        <w:t>The issue of stigma has also been raised as a concern</w:t>
      </w:r>
      <w:r w:rsidR="0014365E">
        <w:rPr>
          <w:color w:val="auto"/>
          <w:lang w:eastAsia="en-AU"/>
        </w:rPr>
        <w:t>. I</w:t>
      </w:r>
      <w:r w:rsidR="00F61ABF">
        <w:rPr>
          <w:color w:val="auto"/>
          <w:lang w:eastAsia="en-AU"/>
        </w:rPr>
        <w:t>n</w:t>
      </w:r>
      <w:r>
        <w:rPr>
          <w:color w:val="auto"/>
          <w:lang w:eastAsia="en-AU"/>
        </w:rPr>
        <w:t xml:space="preserve"> s</w:t>
      </w:r>
      <w:r w:rsidR="004B2222" w:rsidRPr="004B2222">
        <w:rPr>
          <w:color w:val="auto"/>
          <w:lang w:eastAsia="en-AU"/>
        </w:rPr>
        <w:t>u</w:t>
      </w:r>
      <w:r w:rsidR="004B2222">
        <w:rPr>
          <w:color w:val="auto"/>
          <w:lang w:eastAsia="en-AU"/>
        </w:rPr>
        <w:t>bmission</w:t>
      </w:r>
      <w:r w:rsidR="00F61ABF">
        <w:rPr>
          <w:color w:val="auto"/>
          <w:lang w:eastAsia="en-AU"/>
        </w:rPr>
        <w:t>s to the</w:t>
      </w:r>
      <w:r w:rsidR="004B2222">
        <w:rPr>
          <w:color w:val="auto"/>
          <w:lang w:eastAsia="en-AU"/>
        </w:rPr>
        <w:t xml:space="preserve"> </w:t>
      </w:r>
      <w:r w:rsidR="00F61ABF">
        <w:rPr>
          <w:color w:val="auto"/>
          <w:lang w:eastAsia="en-AU"/>
        </w:rPr>
        <w:t>Senate</w:t>
      </w:r>
      <w:r w:rsidR="00F61ABF" w:rsidRPr="00F61ABF">
        <w:rPr>
          <w:color w:val="auto"/>
          <w:lang w:eastAsia="en-AU"/>
        </w:rPr>
        <w:t xml:space="preserve"> Community Affairs Legislation Committee </w:t>
      </w:r>
      <w:r w:rsidR="00F61ABF">
        <w:rPr>
          <w:color w:val="auto"/>
          <w:lang w:eastAsia="en-AU"/>
        </w:rPr>
        <w:t xml:space="preserve">inquiry into </w:t>
      </w:r>
      <w:r w:rsidR="004B2222">
        <w:rPr>
          <w:color w:val="auto"/>
          <w:lang w:eastAsia="en-AU"/>
        </w:rPr>
        <w:t xml:space="preserve">the </w:t>
      </w:r>
      <w:r w:rsidR="004B2222" w:rsidRPr="00295F77">
        <w:rPr>
          <w:i/>
          <w:color w:val="auto"/>
          <w:lang w:eastAsia="en-AU"/>
        </w:rPr>
        <w:t xml:space="preserve">Social Security (Administration) Amendment (Income Management to Cashless Debit Card Transition) </w:t>
      </w:r>
      <w:r w:rsidR="005B57EF" w:rsidRPr="00295F77">
        <w:rPr>
          <w:i/>
          <w:color w:val="auto"/>
          <w:lang w:eastAsia="en-AU"/>
        </w:rPr>
        <w:t>B</w:t>
      </w:r>
      <w:r w:rsidR="004B2222" w:rsidRPr="00295F77">
        <w:rPr>
          <w:i/>
          <w:color w:val="auto"/>
          <w:lang w:eastAsia="en-AU"/>
        </w:rPr>
        <w:t>ill 2019</w:t>
      </w:r>
      <w:r w:rsidR="00F61ABF">
        <w:rPr>
          <w:color w:val="auto"/>
          <w:lang w:eastAsia="en-AU"/>
        </w:rPr>
        <w:t xml:space="preserve">, </w:t>
      </w:r>
      <w:r>
        <w:rPr>
          <w:color w:val="auto"/>
          <w:lang w:eastAsia="en-AU"/>
        </w:rPr>
        <w:t>a person on the</w:t>
      </w:r>
      <w:r w:rsidR="002C2A28">
        <w:rPr>
          <w:color w:val="auto"/>
          <w:lang w:eastAsia="en-AU"/>
        </w:rPr>
        <w:t xml:space="preserve"> CDC</w:t>
      </w:r>
      <w:r>
        <w:rPr>
          <w:color w:val="auto"/>
          <w:lang w:eastAsia="en-AU"/>
        </w:rPr>
        <w:t xml:space="preserve"> program stated that</w:t>
      </w:r>
      <w:r w:rsidR="005B57EF">
        <w:rPr>
          <w:color w:val="auto"/>
          <w:lang w:eastAsia="en-AU"/>
        </w:rPr>
        <w:t xml:space="preserve"> they were being judged as a drug user and it was d</w:t>
      </w:r>
      <w:r w:rsidR="00BD7A0E">
        <w:rPr>
          <w:color w:val="auto"/>
          <w:lang w:eastAsia="en-AU"/>
        </w:rPr>
        <w:t>ifficult to effectively budget</w:t>
      </w:r>
      <w:r w:rsidR="008815D3">
        <w:rPr>
          <w:color w:val="auto"/>
          <w:lang w:eastAsia="en-AU"/>
        </w:rPr>
        <w:t xml:space="preserve"> while on the CDC</w:t>
      </w:r>
      <w:r w:rsidR="00DC4576">
        <w:rPr>
          <w:color w:val="auto"/>
          <w:lang w:eastAsia="en-AU"/>
        </w:rPr>
        <w:t xml:space="preserve"> program</w:t>
      </w:r>
      <w:r w:rsidR="00BD7A0E">
        <w:rPr>
          <w:color w:val="auto"/>
          <w:lang w:eastAsia="en-AU"/>
        </w:rPr>
        <w:t>.</w:t>
      </w:r>
      <w:r w:rsidR="002C2A28">
        <w:rPr>
          <w:color w:val="auto"/>
          <w:lang w:eastAsia="en-AU"/>
        </w:rPr>
        <w:t xml:space="preserve"> It is easier to identify a person on the IM program as the BasicsCard is a PIN only card </w:t>
      </w:r>
      <w:r w:rsidR="00B751B4">
        <w:rPr>
          <w:color w:val="auto"/>
          <w:lang w:eastAsia="en-AU"/>
        </w:rPr>
        <w:t>with a very distinctive design.</w:t>
      </w:r>
    </w:p>
    <w:p w14:paraId="3BCB6CEB" w14:textId="77777777" w:rsidR="001F1501" w:rsidRPr="00DC4576" w:rsidRDefault="001F1501" w:rsidP="001F1501">
      <w:pPr>
        <w:spacing w:before="120" w:after="180" w:line="280" w:lineRule="atLeast"/>
        <w:textAlignment w:val="center"/>
        <w:rPr>
          <w:color w:val="auto"/>
          <w:lang w:eastAsia="en-AU"/>
        </w:rPr>
      </w:pPr>
      <w:r w:rsidRPr="00DC4576">
        <w:rPr>
          <w:color w:val="auto"/>
          <w:lang w:eastAsia="en-AU"/>
        </w:rPr>
        <w:t xml:space="preserve">Another criticism </w:t>
      </w:r>
      <w:r w:rsidR="002C2A28" w:rsidRPr="00DC4576">
        <w:rPr>
          <w:color w:val="auto"/>
          <w:lang w:eastAsia="en-AU"/>
        </w:rPr>
        <w:t xml:space="preserve">of the </w:t>
      </w:r>
      <w:r w:rsidR="00216DE4" w:rsidRPr="00DC4576">
        <w:rPr>
          <w:color w:val="auto"/>
          <w:lang w:eastAsia="en-AU"/>
        </w:rPr>
        <w:t>program</w:t>
      </w:r>
      <w:r w:rsidR="002C2A28" w:rsidRPr="00DC4576">
        <w:rPr>
          <w:color w:val="auto"/>
          <w:lang w:eastAsia="en-AU"/>
        </w:rPr>
        <w:t>s</w:t>
      </w:r>
      <w:r w:rsidR="00216DE4" w:rsidRPr="00DC4576">
        <w:rPr>
          <w:color w:val="auto"/>
          <w:lang w:eastAsia="en-AU"/>
        </w:rPr>
        <w:t xml:space="preserve"> </w:t>
      </w:r>
      <w:r w:rsidR="002C2A28" w:rsidRPr="00DC4576">
        <w:rPr>
          <w:color w:val="auto"/>
          <w:lang w:eastAsia="en-AU"/>
        </w:rPr>
        <w:t xml:space="preserve">is </w:t>
      </w:r>
      <w:r w:rsidR="00DC4576" w:rsidRPr="00DC4576">
        <w:rPr>
          <w:color w:val="auto"/>
          <w:lang w:eastAsia="en-AU"/>
        </w:rPr>
        <w:t>they</w:t>
      </w:r>
      <w:r w:rsidR="00D23B53" w:rsidRPr="00DC4576">
        <w:rPr>
          <w:color w:val="auto"/>
          <w:lang w:eastAsia="en-AU"/>
        </w:rPr>
        <w:t xml:space="preserve"> are discriminatory </w:t>
      </w:r>
      <w:r w:rsidR="003670B3" w:rsidRPr="00DC4576">
        <w:rPr>
          <w:color w:val="auto"/>
          <w:lang w:eastAsia="en-AU"/>
        </w:rPr>
        <w:t>as there are a</w:t>
      </w:r>
      <w:r w:rsidRPr="00DC4576">
        <w:rPr>
          <w:color w:val="auto"/>
          <w:lang w:eastAsia="en-AU"/>
        </w:rPr>
        <w:t xml:space="preserve"> high proportion of </w:t>
      </w:r>
      <w:r w:rsidR="000D4960" w:rsidRPr="00DC4576">
        <w:rPr>
          <w:color w:val="auto"/>
          <w:lang w:eastAsia="en-AU"/>
        </w:rPr>
        <w:t>First Nation p</w:t>
      </w:r>
      <w:r w:rsidRPr="00DC4576">
        <w:rPr>
          <w:color w:val="auto"/>
          <w:lang w:eastAsia="en-AU"/>
        </w:rPr>
        <w:t>eople</w:t>
      </w:r>
      <w:r w:rsidR="000D4960" w:rsidRPr="00DC4576">
        <w:rPr>
          <w:color w:val="auto"/>
          <w:lang w:eastAsia="en-AU"/>
        </w:rPr>
        <w:t xml:space="preserve"> </w:t>
      </w:r>
      <w:r w:rsidR="007178F5" w:rsidRPr="00DC4576">
        <w:rPr>
          <w:color w:val="auto"/>
          <w:lang w:eastAsia="en-AU"/>
        </w:rPr>
        <w:t>on the programs. Some argue the program</w:t>
      </w:r>
      <w:r w:rsidR="00BE6853">
        <w:rPr>
          <w:color w:val="auto"/>
          <w:lang w:eastAsia="en-AU"/>
        </w:rPr>
        <w:t>s</w:t>
      </w:r>
      <w:r w:rsidR="007178F5" w:rsidRPr="00DC4576">
        <w:rPr>
          <w:color w:val="auto"/>
          <w:lang w:eastAsia="en-AU"/>
        </w:rPr>
        <w:t xml:space="preserve"> </w:t>
      </w:r>
      <w:r w:rsidR="003F2C66" w:rsidRPr="00DC4576">
        <w:rPr>
          <w:rFonts w:cs="Times New Roman"/>
          <w:iCs/>
          <w:color w:val="auto"/>
          <w:szCs w:val="24"/>
        </w:rPr>
        <w:t xml:space="preserve">could be in breach of the </w:t>
      </w:r>
      <w:r w:rsidR="003F2C66" w:rsidRPr="00DC4576">
        <w:rPr>
          <w:rFonts w:cs="Times New Roman"/>
          <w:i/>
          <w:iCs/>
          <w:color w:val="auto"/>
          <w:szCs w:val="24"/>
        </w:rPr>
        <w:t>Racial Discrimination Act 1975</w:t>
      </w:r>
      <w:r w:rsidR="00E87B20">
        <w:rPr>
          <w:rFonts w:cs="Times New Roman"/>
          <w:iCs/>
          <w:color w:val="auto"/>
          <w:szCs w:val="24"/>
        </w:rPr>
        <w:t xml:space="preserve">. Currently, </w:t>
      </w:r>
      <w:r w:rsidR="00EF7370">
        <w:rPr>
          <w:rFonts w:cs="Times New Roman"/>
          <w:iCs/>
          <w:color w:val="auto"/>
          <w:szCs w:val="24"/>
        </w:rPr>
        <w:t>50</w:t>
      </w:r>
      <w:r w:rsidR="003F2C66" w:rsidRPr="00DC4576">
        <w:rPr>
          <w:rFonts w:cs="Times New Roman"/>
          <w:iCs/>
          <w:color w:val="auto"/>
          <w:szCs w:val="24"/>
        </w:rPr>
        <w:t xml:space="preserve"> per cent of CDC participants are First Nations </w:t>
      </w:r>
      <w:r w:rsidR="00EF7370">
        <w:rPr>
          <w:rFonts w:cs="Times New Roman"/>
          <w:iCs/>
          <w:color w:val="auto"/>
          <w:szCs w:val="24"/>
        </w:rPr>
        <w:t>people. This is</w:t>
      </w:r>
      <w:r w:rsidR="009D3EDC" w:rsidRPr="00DC4576">
        <w:rPr>
          <w:rFonts w:cs="Times New Roman"/>
          <w:iCs/>
          <w:color w:val="auto"/>
          <w:szCs w:val="24"/>
        </w:rPr>
        <w:t xml:space="preserve"> compared with 3.2 per cent of people who identify as First Nations with</w:t>
      </w:r>
      <w:r w:rsidR="00C01788">
        <w:rPr>
          <w:rFonts w:cs="Times New Roman"/>
          <w:iCs/>
          <w:color w:val="auto"/>
          <w:szCs w:val="24"/>
        </w:rPr>
        <w:t>in</w:t>
      </w:r>
      <w:r w:rsidR="009D3EDC" w:rsidRPr="00DC4576">
        <w:rPr>
          <w:rFonts w:cs="Times New Roman"/>
          <w:iCs/>
          <w:color w:val="auto"/>
          <w:szCs w:val="24"/>
        </w:rPr>
        <w:t xml:space="preserve"> the Australia community</w:t>
      </w:r>
      <w:r w:rsidR="002B3310" w:rsidRPr="00DC4576">
        <w:rPr>
          <w:rStyle w:val="FootnoteReference"/>
          <w:rFonts w:cs="Times New Roman"/>
          <w:iCs/>
          <w:color w:val="auto"/>
          <w:szCs w:val="24"/>
        </w:rPr>
        <w:footnoteReference w:id="14"/>
      </w:r>
      <w:r w:rsidR="009D3EDC" w:rsidRPr="00DC4576">
        <w:rPr>
          <w:rFonts w:cs="Times New Roman"/>
          <w:iCs/>
          <w:color w:val="auto"/>
          <w:szCs w:val="24"/>
        </w:rPr>
        <w:t xml:space="preserve">. </w:t>
      </w:r>
      <w:r w:rsidR="002B3310" w:rsidRPr="00DC4576">
        <w:rPr>
          <w:rFonts w:cs="Times New Roman"/>
          <w:iCs/>
          <w:color w:val="auto"/>
          <w:szCs w:val="24"/>
        </w:rPr>
        <w:t xml:space="preserve">For example, </w:t>
      </w:r>
      <w:r w:rsidR="00EE0921" w:rsidRPr="00DC4576">
        <w:rPr>
          <w:rFonts w:cs="Times New Roman"/>
          <w:iCs/>
          <w:color w:val="auto"/>
          <w:szCs w:val="24"/>
        </w:rPr>
        <w:t xml:space="preserve">as at </w:t>
      </w:r>
      <w:r w:rsidR="00EE0921" w:rsidRPr="00DC4576">
        <w:rPr>
          <w:rFonts w:cs="Times New Roman"/>
          <w:color w:val="auto"/>
          <w:szCs w:val="24"/>
        </w:rPr>
        <w:t xml:space="preserve">27 May 2022, </w:t>
      </w:r>
      <w:r w:rsidR="002B3310" w:rsidRPr="00DC4576">
        <w:rPr>
          <w:rFonts w:cs="Times New Roman"/>
          <w:iCs/>
          <w:color w:val="auto"/>
          <w:szCs w:val="24"/>
        </w:rPr>
        <w:t>i</w:t>
      </w:r>
      <w:r w:rsidR="003F2C66" w:rsidRPr="00DC4576">
        <w:rPr>
          <w:color w:val="auto"/>
          <w:lang w:eastAsia="en-AU"/>
        </w:rPr>
        <w:t xml:space="preserve">n Ceduna, </w:t>
      </w:r>
      <w:r w:rsidR="003F2C66" w:rsidRPr="00DC4576">
        <w:rPr>
          <w:rFonts w:cs="Times New Roman"/>
          <w:color w:val="auto"/>
          <w:szCs w:val="24"/>
        </w:rPr>
        <w:t>there were 700 CDC participants</w:t>
      </w:r>
      <w:r w:rsidR="002B3310" w:rsidRPr="00DC4576">
        <w:rPr>
          <w:rFonts w:cs="Times New Roman"/>
          <w:color w:val="auto"/>
          <w:szCs w:val="24"/>
        </w:rPr>
        <w:t xml:space="preserve"> </w:t>
      </w:r>
      <w:r w:rsidR="003F2C66" w:rsidRPr="00DC4576">
        <w:rPr>
          <w:rFonts w:cs="Times New Roman"/>
          <w:color w:val="auto"/>
          <w:szCs w:val="24"/>
        </w:rPr>
        <w:t>in the Ceduna region of which around 75 per cent of p</w:t>
      </w:r>
      <w:r w:rsidR="003F2C66" w:rsidRPr="00DC4576">
        <w:rPr>
          <w:rFonts w:cs="Times New Roman"/>
          <w:iCs/>
          <w:color w:val="auto"/>
          <w:szCs w:val="24"/>
        </w:rPr>
        <w:t>articipants identify as Abori</w:t>
      </w:r>
      <w:r w:rsidR="00C151BF">
        <w:rPr>
          <w:rFonts w:cs="Times New Roman"/>
          <w:iCs/>
          <w:color w:val="auto"/>
          <w:szCs w:val="24"/>
        </w:rPr>
        <w:t>ginal or Torres Strait Islanders</w:t>
      </w:r>
      <w:r w:rsidR="003F2C66" w:rsidRPr="00DC4576">
        <w:rPr>
          <w:rFonts w:cs="Times New Roman"/>
          <w:iCs/>
          <w:color w:val="auto"/>
          <w:szCs w:val="24"/>
        </w:rPr>
        <w:t>.</w:t>
      </w:r>
    </w:p>
    <w:p w14:paraId="061E5289" w14:textId="77777777" w:rsidR="006762E5" w:rsidRPr="00B52DAA" w:rsidRDefault="00CD3DB4" w:rsidP="00B52DAA">
      <w:pPr>
        <w:pStyle w:val="Heading2"/>
      </w:pPr>
      <w:bookmarkStart w:id="52" w:name="_Toc118103743"/>
      <w:r>
        <w:t>1.5</w:t>
      </w:r>
      <w:r w:rsidR="00964F3C">
        <w:t xml:space="preserve"> </w:t>
      </w:r>
      <w:r w:rsidR="006762E5">
        <w:t xml:space="preserve">Current </w:t>
      </w:r>
      <w:r w:rsidR="006762E5" w:rsidRPr="00B52DAA">
        <w:t>BasicsCard technology restricts participant choice</w:t>
      </w:r>
      <w:bookmarkEnd w:id="52"/>
    </w:p>
    <w:p w14:paraId="5450F91B" w14:textId="77777777" w:rsidR="003C04C4" w:rsidRDefault="00835EA3" w:rsidP="00E72CBA">
      <w:pPr>
        <w:pStyle w:val="BodyText"/>
        <w:rPr>
          <w:color w:val="auto"/>
          <w:lang w:eastAsia="en-AU"/>
        </w:rPr>
      </w:pPr>
      <w:r>
        <w:rPr>
          <w:color w:val="auto"/>
          <w:lang w:eastAsia="en-AU"/>
        </w:rPr>
        <w:t xml:space="preserve">The </w:t>
      </w:r>
      <w:r w:rsidR="007178F5">
        <w:rPr>
          <w:color w:val="auto"/>
          <w:lang w:eastAsia="en-AU"/>
        </w:rPr>
        <w:t xml:space="preserve">legislative </w:t>
      </w:r>
      <w:r w:rsidR="00D23B53">
        <w:rPr>
          <w:color w:val="auto"/>
          <w:lang w:eastAsia="en-AU"/>
        </w:rPr>
        <w:t xml:space="preserve">design of the </w:t>
      </w:r>
      <w:r w:rsidR="00265C86">
        <w:rPr>
          <w:color w:val="auto"/>
          <w:lang w:eastAsia="en-AU"/>
        </w:rPr>
        <w:t xml:space="preserve">IM </w:t>
      </w:r>
      <w:r w:rsidR="00D23B53">
        <w:rPr>
          <w:color w:val="auto"/>
          <w:lang w:eastAsia="en-AU"/>
        </w:rPr>
        <w:t xml:space="preserve">means that the </w:t>
      </w:r>
      <w:r w:rsidR="00E72CBA" w:rsidRPr="001E125B">
        <w:rPr>
          <w:color w:val="auto"/>
          <w:lang w:eastAsia="en-AU"/>
        </w:rPr>
        <w:t>BasicsCard</w:t>
      </w:r>
      <w:r w:rsidR="00D23B53">
        <w:rPr>
          <w:color w:val="auto"/>
          <w:lang w:eastAsia="en-AU"/>
        </w:rPr>
        <w:t xml:space="preserve"> can only be used in merchants that have </w:t>
      </w:r>
      <w:r w:rsidR="00E72CBA" w:rsidRPr="001E125B">
        <w:rPr>
          <w:color w:val="auto"/>
          <w:lang w:eastAsia="en-AU"/>
        </w:rPr>
        <w:t>enter</w:t>
      </w:r>
      <w:r w:rsidR="00D23B53">
        <w:rPr>
          <w:color w:val="auto"/>
          <w:lang w:eastAsia="en-AU"/>
        </w:rPr>
        <w:t>ed</w:t>
      </w:r>
      <w:r w:rsidR="00E72CBA" w:rsidRPr="001E125B">
        <w:rPr>
          <w:color w:val="auto"/>
          <w:lang w:eastAsia="en-AU"/>
        </w:rPr>
        <w:t xml:space="preserve"> into an agreement with the Government under the </w:t>
      </w:r>
      <w:r w:rsidR="00E72CBA" w:rsidRPr="00B52DAA">
        <w:rPr>
          <w:color w:val="auto"/>
          <w:lang w:eastAsia="en-AU"/>
        </w:rPr>
        <w:t>BasicsCard Merchant Approval Framework</w:t>
      </w:r>
      <w:r w:rsidR="00E72CBA" w:rsidRPr="001E125B">
        <w:rPr>
          <w:color w:val="auto"/>
          <w:lang w:eastAsia="en-AU"/>
        </w:rPr>
        <w:t xml:space="preserve">. </w:t>
      </w:r>
      <w:r w:rsidR="003C04C4">
        <w:rPr>
          <w:color w:val="auto"/>
          <w:lang w:eastAsia="en-AU"/>
        </w:rPr>
        <w:t xml:space="preserve">This means that a person on the CDC program is able to directly purchase goods from more merchants than if they are on IM. Services Australia can arrange for goods to be purchased from non-approved merchants which </w:t>
      </w:r>
      <w:r w:rsidR="001608DA">
        <w:rPr>
          <w:color w:val="auto"/>
          <w:lang w:eastAsia="en-AU"/>
        </w:rPr>
        <w:t>i</w:t>
      </w:r>
      <w:r w:rsidR="003C04C4">
        <w:rPr>
          <w:color w:val="auto"/>
          <w:lang w:eastAsia="en-AU"/>
        </w:rPr>
        <w:t xml:space="preserve">s a </w:t>
      </w:r>
      <w:r w:rsidR="001608DA">
        <w:rPr>
          <w:color w:val="auto"/>
          <w:lang w:eastAsia="en-AU"/>
        </w:rPr>
        <w:t xml:space="preserve">further </w:t>
      </w:r>
      <w:r w:rsidR="00C55DDC">
        <w:rPr>
          <w:color w:val="auto"/>
          <w:lang w:eastAsia="en-AU"/>
        </w:rPr>
        <w:t>burden</w:t>
      </w:r>
      <w:r w:rsidR="001608DA">
        <w:rPr>
          <w:color w:val="auto"/>
          <w:lang w:eastAsia="en-AU"/>
        </w:rPr>
        <w:t xml:space="preserve"> on </w:t>
      </w:r>
      <w:r w:rsidR="00B751B4">
        <w:rPr>
          <w:color w:val="auto"/>
          <w:lang w:eastAsia="en-AU"/>
        </w:rPr>
        <w:t>individuals.</w:t>
      </w:r>
    </w:p>
    <w:p w14:paraId="41716882" w14:textId="77777777" w:rsidR="00E72CBA" w:rsidRDefault="003C04C4" w:rsidP="00E72CBA">
      <w:pPr>
        <w:pStyle w:val="BodyText"/>
        <w:rPr>
          <w:color w:val="auto"/>
          <w:lang w:eastAsia="en-AU"/>
        </w:rPr>
      </w:pPr>
      <w:r>
        <w:rPr>
          <w:color w:val="auto"/>
          <w:lang w:eastAsia="en-AU"/>
        </w:rPr>
        <w:t>The approval process for the BasicsCard also places a higher regulatory burden on mer</w:t>
      </w:r>
      <w:r w:rsidR="00172173">
        <w:rPr>
          <w:color w:val="auto"/>
          <w:lang w:eastAsia="en-AU"/>
        </w:rPr>
        <w:t>c</w:t>
      </w:r>
      <w:r>
        <w:rPr>
          <w:color w:val="auto"/>
          <w:lang w:eastAsia="en-AU"/>
        </w:rPr>
        <w:t xml:space="preserve">hants. </w:t>
      </w:r>
      <w:r w:rsidR="00E72CBA" w:rsidRPr="001E125B">
        <w:rPr>
          <w:color w:val="auto"/>
          <w:lang w:eastAsia="en-AU"/>
        </w:rPr>
        <w:t xml:space="preserve">As part of the process, merchants must complete and submit a BasicsCard application form, which will be used by Services Australia to assess whether the business is suitable to </w:t>
      </w:r>
      <w:r w:rsidR="00E72CBA" w:rsidRPr="00B52DAA">
        <w:rPr>
          <w:color w:val="auto"/>
          <w:lang w:eastAsia="en-AU"/>
        </w:rPr>
        <w:t>participate in the BasicsCard. Merchants must also read the </w:t>
      </w:r>
      <w:r w:rsidR="00E72CBA" w:rsidRPr="001E125B">
        <w:rPr>
          <w:color w:val="auto"/>
          <w:lang w:eastAsia="en-AU"/>
        </w:rPr>
        <w:t>BasicsCard Merchant Approval Framework</w:t>
      </w:r>
      <w:r w:rsidR="00E72CBA" w:rsidRPr="00B52DAA">
        <w:rPr>
          <w:color w:val="auto"/>
          <w:lang w:eastAsia="en-AU"/>
        </w:rPr>
        <w:t>, in conjunction with the Merchant Application and the Merchant Terms and Conditions that contain the contrac</w:t>
      </w:r>
      <w:r w:rsidR="00B751B4">
        <w:rPr>
          <w:color w:val="auto"/>
          <w:lang w:eastAsia="en-AU"/>
        </w:rPr>
        <w:t>tual obligations for merchants.</w:t>
      </w:r>
    </w:p>
    <w:p w14:paraId="36C32C0D" w14:textId="77777777" w:rsidR="006762E5" w:rsidRDefault="00E72CBA" w:rsidP="00E72CBA">
      <w:pPr>
        <w:pStyle w:val="BodyText"/>
        <w:rPr>
          <w:color w:val="auto"/>
          <w:lang w:eastAsia="en-AU"/>
        </w:rPr>
      </w:pPr>
      <w:r w:rsidRPr="00B52DAA">
        <w:rPr>
          <w:color w:val="auto"/>
          <w:lang w:eastAsia="en-AU"/>
        </w:rPr>
        <w:t>In addition, mixed merchants,</w:t>
      </w:r>
      <w:r w:rsidRPr="001E125B">
        <w:rPr>
          <w:color w:val="auto"/>
          <w:lang w:eastAsia="en-AU"/>
        </w:rPr>
        <w:t xml:space="preserve"> defined as businesses selling both restricted and unrestricted items (including supermarkets and petrol stations),</w:t>
      </w:r>
      <w:r w:rsidRPr="00B52DAA">
        <w:rPr>
          <w:color w:val="auto"/>
          <w:lang w:eastAsia="en-AU"/>
        </w:rPr>
        <w:t xml:space="preserve"> wishing to accept the BasicsCard must ensure in-store procedures are in place to recognise which goods and services can be sold to BasicsCard holders. This often entails staff training and maintaining a separate till to serve BasicsCard holders. </w:t>
      </w:r>
      <w:r w:rsidRPr="001E125B">
        <w:rPr>
          <w:color w:val="auto"/>
          <w:lang w:eastAsia="en-AU"/>
        </w:rPr>
        <w:t>Due to the strict approval and compliance process for merchants, the BasicsCard can only be accepted at approximately 1</w:t>
      </w:r>
      <w:r w:rsidR="001608DA">
        <w:rPr>
          <w:color w:val="auto"/>
          <w:lang w:eastAsia="en-AU"/>
        </w:rPr>
        <w:t>8</w:t>
      </w:r>
      <w:r w:rsidRPr="001E125B">
        <w:rPr>
          <w:color w:val="auto"/>
          <w:lang w:eastAsia="en-AU"/>
        </w:rPr>
        <w:t>,000 approved merchants nationally, limiting I</w:t>
      </w:r>
      <w:r w:rsidR="00814A4B">
        <w:rPr>
          <w:color w:val="auto"/>
          <w:lang w:eastAsia="en-AU"/>
        </w:rPr>
        <w:t>M</w:t>
      </w:r>
      <w:r w:rsidRPr="001E125B">
        <w:rPr>
          <w:color w:val="auto"/>
          <w:lang w:eastAsia="en-AU"/>
        </w:rPr>
        <w:t xml:space="preserve"> participants’ access to retailers and merchants’ access to potential customers.</w:t>
      </w:r>
    </w:p>
    <w:p w14:paraId="787DCCFB" w14:textId="77777777" w:rsidR="00FC321B" w:rsidRDefault="00FC321B" w:rsidP="00E72CBA">
      <w:pPr>
        <w:pStyle w:val="BodyText"/>
        <w:rPr>
          <w:color w:val="auto"/>
          <w:lang w:eastAsia="en-AU"/>
        </w:rPr>
      </w:pPr>
      <w:r>
        <w:rPr>
          <w:color w:val="auto"/>
          <w:lang w:eastAsia="en-AU"/>
        </w:rPr>
        <w:t xml:space="preserve">The BasicsCard also does not have the same functionality of </w:t>
      </w:r>
      <w:r w:rsidR="00265C86">
        <w:rPr>
          <w:color w:val="auto"/>
          <w:lang w:eastAsia="en-AU"/>
        </w:rPr>
        <w:t xml:space="preserve">a </w:t>
      </w:r>
      <w:r>
        <w:rPr>
          <w:color w:val="auto"/>
          <w:lang w:eastAsia="en-AU"/>
        </w:rPr>
        <w:t xml:space="preserve">direct debit card used in the CDC program. </w:t>
      </w:r>
      <w:r w:rsidR="00265C86">
        <w:rPr>
          <w:color w:val="auto"/>
          <w:lang w:eastAsia="en-AU"/>
        </w:rPr>
        <w:t xml:space="preserve">The BasicsCard </w:t>
      </w:r>
      <w:r w:rsidR="006C0A81">
        <w:rPr>
          <w:color w:val="auto"/>
          <w:lang w:eastAsia="en-AU"/>
        </w:rPr>
        <w:t xml:space="preserve">can only be used to purchase goods at the approved merchants. It does not allow a person to use tap and go, </w:t>
      </w:r>
      <w:r w:rsidR="00B44C1A">
        <w:rPr>
          <w:color w:val="auto"/>
          <w:lang w:eastAsia="en-AU"/>
        </w:rPr>
        <w:t xml:space="preserve">make </w:t>
      </w:r>
      <w:r w:rsidR="006C0A81">
        <w:rPr>
          <w:color w:val="auto"/>
          <w:lang w:eastAsia="en-AU"/>
        </w:rPr>
        <w:t xml:space="preserve">payments through </w:t>
      </w:r>
      <w:r w:rsidR="0066120E" w:rsidRPr="00184C01">
        <w:t>B</w:t>
      </w:r>
      <w:r w:rsidR="0066120E">
        <w:t>PAY</w:t>
      </w:r>
      <w:r w:rsidR="006C0A81">
        <w:rPr>
          <w:color w:val="auto"/>
          <w:lang w:eastAsia="en-AU"/>
        </w:rPr>
        <w:t xml:space="preserve"> or internet purchases. </w:t>
      </w:r>
      <w:r w:rsidR="00B44C1A">
        <w:rPr>
          <w:color w:val="auto"/>
          <w:lang w:eastAsia="en-AU"/>
        </w:rPr>
        <w:t xml:space="preserve">Users of </w:t>
      </w:r>
      <w:r w:rsidR="00265C86">
        <w:rPr>
          <w:color w:val="auto"/>
          <w:lang w:eastAsia="en-AU"/>
        </w:rPr>
        <w:t>direct debit</w:t>
      </w:r>
      <w:r w:rsidR="00B44C1A">
        <w:rPr>
          <w:color w:val="auto"/>
          <w:lang w:eastAsia="en-AU"/>
        </w:rPr>
        <w:t xml:space="preserve"> cards now expect these functions</w:t>
      </w:r>
      <w:r w:rsidR="006C0A81">
        <w:rPr>
          <w:color w:val="auto"/>
          <w:lang w:eastAsia="en-AU"/>
        </w:rPr>
        <w:t>.</w:t>
      </w:r>
    </w:p>
    <w:p w14:paraId="0D2DA65C" w14:textId="408A4ACD" w:rsidR="00346896" w:rsidRPr="00B52DAA" w:rsidRDefault="00CD3DB4" w:rsidP="00172173">
      <w:pPr>
        <w:pStyle w:val="Heading2"/>
      </w:pPr>
      <w:bookmarkStart w:id="53" w:name="_Toc118103744"/>
      <w:r>
        <w:t>1.6</w:t>
      </w:r>
      <w:r w:rsidR="00964F3C">
        <w:t xml:space="preserve"> </w:t>
      </w:r>
      <w:r w:rsidR="00F67253">
        <w:t xml:space="preserve">Voluntary Income </w:t>
      </w:r>
      <w:r w:rsidR="00265C86">
        <w:t>M</w:t>
      </w:r>
      <w:r w:rsidR="00F67253">
        <w:t>anagement carries less stigma and can be more effective</w:t>
      </w:r>
      <w:bookmarkEnd w:id="53"/>
    </w:p>
    <w:p w14:paraId="2B53BD90" w14:textId="77777777" w:rsidR="00DB45F7" w:rsidRPr="00F94F58" w:rsidRDefault="00D80FC3" w:rsidP="00184C01">
      <w:pPr>
        <w:pStyle w:val="BodyText"/>
        <w:rPr>
          <w:color w:val="auto"/>
        </w:rPr>
      </w:pPr>
      <w:r w:rsidRPr="00265C86">
        <w:rPr>
          <w:color w:val="auto"/>
        </w:rPr>
        <w:t xml:space="preserve">The problems identified above largely relate to the compulsory nature of the </w:t>
      </w:r>
      <w:r w:rsidR="000B4A97" w:rsidRPr="00265C86">
        <w:rPr>
          <w:color w:val="auto"/>
        </w:rPr>
        <w:t>program</w:t>
      </w:r>
      <w:r w:rsidRPr="00265C86">
        <w:rPr>
          <w:color w:val="auto"/>
        </w:rPr>
        <w:t>, especially issues with stigma and discrimination</w:t>
      </w:r>
      <w:r w:rsidR="001608DA" w:rsidRPr="00265C86">
        <w:rPr>
          <w:color w:val="auto"/>
        </w:rPr>
        <w:t>. A</w:t>
      </w:r>
      <w:r w:rsidRPr="00265C86">
        <w:rPr>
          <w:color w:val="auto"/>
        </w:rPr>
        <w:t>lso</w:t>
      </w:r>
      <w:r w:rsidR="00B44C1A" w:rsidRPr="00265C86">
        <w:rPr>
          <w:color w:val="auto"/>
        </w:rPr>
        <w:t>,</w:t>
      </w:r>
      <w:r w:rsidRPr="00265C86">
        <w:rPr>
          <w:color w:val="auto"/>
        </w:rPr>
        <w:t xml:space="preserve"> participants who are forced onto the </w:t>
      </w:r>
      <w:r w:rsidR="000B4A97" w:rsidRPr="00265C86">
        <w:rPr>
          <w:color w:val="auto"/>
        </w:rPr>
        <w:t>program</w:t>
      </w:r>
      <w:r w:rsidRPr="00265C86">
        <w:rPr>
          <w:color w:val="auto"/>
        </w:rPr>
        <w:t xml:space="preserve"> but have drug and alcohol issues are the ones that are most </w:t>
      </w:r>
      <w:r w:rsidRPr="00F94F58">
        <w:rPr>
          <w:color w:val="auto"/>
        </w:rPr>
        <w:t>likely t</w:t>
      </w:r>
      <w:r w:rsidR="00B751B4" w:rsidRPr="00F94F58">
        <w:rPr>
          <w:color w:val="auto"/>
        </w:rPr>
        <w:t>o try to circumvent the system.</w:t>
      </w:r>
    </w:p>
    <w:p w14:paraId="469C023F" w14:textId="2FC237AB" w:rsidR="00D80FC3" w:rsidRPr="00265C86" w:rsidRDefault="00757098" w:rsidP="00184C01">
      <w:pPr>
        <w:pStyle w:val="BodyText"/>
        <w:rPr>
          <w:color w:val="auto"/>
        </w:rPr>
      </w:pPr>
      <w:r>
        <w:rPr>
          <w:color w:val="auto"/>
        </w:rPr>
        <w:t>Participants</w:t>
      </w:r>
      <w:r w:rsidR="00E33EA4" w:rsidRPr="00F94F58">
        <w:rPr>
          <w:color w:val="auto"/>
        </w:rPr>
        <w:t xml:space="preserve"> on voluntary IM experience positive impacts on their financial management, including having enough money to pay for accommodation costs, and improvements to their money situation, in comparison to compulsory participants</w:t>
      </w:r>
      <w:r w:rsidR="00DC2D7B">
        <w:rPr>
          <w:rStyle w:val="FootnoteReference"/>
          <w:color w:val="auto"/>
        </w:rPr>
        <w:footnoteReference w:id="15"/>
      </w:r>
      <w:r w:rsidR="00E33EA4">
        <w:rPr>
          <w:color w:val="auto"/>
        </w:rPr>
        <w:t>.</w:t>
      </w:r>
      <w:r w:rsidR="004325C9">
        <w:rPr>
          <w:color w:val="auto"/>
        </w:rPr>
        <w:t xml:space="preserve"> </w:t>
      </w:r>
      <w:r w:rsidR="00D80FC3" w:rsidRPr="00265C86">
        <w:rPr>
          <w:color w:val="auto"/>
        </w:rPr>
        <w:t>A</w:t>
      </w:r>
      <w:r w:rsidR="00814A4B">
        <w:rPr>
          <w:color w:val="auto"/>
        </w:rPr>
        <w:t> </w:t>
      </w:r>
      <w:r w:rsidR="00D80FC3" w:rsidRPr="00265C86">
        <w:rPr>
          <w:color w:val="auto"/>
        </w:rPr>
        <w:t xml:space="preserve">voluntary </w:t>
      </w:r>
      <w:r w:rsidR="000B4A97" w:rsidRPr="00265C86">
        <w:rPr>
          <w:color w:val="auto"/>
        </w:rPr>
        <w:t>program</w:t>
      </w:r>
      <w:r w:rsidR="00D80FC3" w:rsidRPr="00265C86">
        <w:rPr>
          <w:color w:val="auto"/>
        </w:rPr>
        <w:t xml:space="preserve"> would still give participants the benefit of </w:t>
      </w:r>
      <w:r w:rsidR="00265C86" w:rsidRPr="00265C86">
        <w:rPr>
          <w:color w:val="auto"/>
        </w:rPr>
        <w:t>IM</w:t>
      </w:r>
      <w:r w:rsidR="00D80FC3" w:rsidRPr="00265C86">
        <w:rPr>
          <w:color w:val="auto"/>
        </w:rPr>
        <w:t xml:space="preserve"> if they feel this will support them to better manage their funds, especially in the face of addiction issues</w:t>
      </w:r>
      <w:r w:rsidR="007178F5" w:rsidRPr="00265C86">
        <w:rPr>
          <w:color w:val="auto"/>
        </w:rPr>
        <w:t xml:space="preserve">. </w:t>
      </w:r>
      <w:r w:rsidR="00B44C1A" w:rsidRPr="00265C86">
        <w:rPr>
          <w:color w:val="auto"/>
        </w:rPr>
        <w:t>As t</w:t>
      </w:r>
      <w:r w:rsidR="00D80FC3" w:rsidRPr="00265C86">
        <w:rPr>
          <w:color w:val="auto"/>
        </w:rPr>
        <w:t xml:space="preserve">hey have </w:t>
      </w:r>
      <w:r w:rsidR="00BE6853">
        <w:rPr>
          <w:color w:val="auto"/>
        </w:rPr>
        <w:t>volunteered for</w:t>
      </w:r>
      <w:r w:rsidR="00517A64">
        <w:rPr>
          <w:color w:val="auto"/>
        </w:rPr>
        <w:t xml:space="preserve"> </w:t>
      </w:r>
      <w:r w:rsidR="00265C86">
        <w:rPr>
          <w:color w:val="auto"/>
        </w:rPr>
        <w:t xml:space="preserve">IM </w:t>
      </w:r>
      <w:r w:rsidR="00D80FC3" w:rsidRPr="00265C86">
        <w:rPr>
          <w:color w:val="auto"/>
        </w:rPr>
        <w:t>they do have an incentive to find loop holes to continue consumption</w:t>
      </w:r>
      <w:r w:rsidR="00B44C1A" w:rsidRPr="00265C86">
        <w:rPr>
          <w:color w:val="auto"/>
        </w:rPr>
        <w:t xml:space="preserve"> of these goods</w:t>
      </w:r>
      <w:r w:rsidR="00D80FC3" w:rsidRPr="00265C86">
        <w:rPr>
          <w:color w:val="auto"/>
        </w:rPr>
        <w:t>. It also does not carry the same stigma, loss of autonomy and discrimination issues as people make the choice to join.</w:t>
      </w:r>
    </w:p>
    <w:p w14:paraId="6A0F08EB" w14:textId="77777777" w:rsidR="007E30EE" w:rsidRDefault="00D80FC3" w:rsidP="00184C01">
      <w:pPr>
        <w:pStyle w:val="BodyText"/>
        <w:rPr>
          <w:color w:val="auto"/>
        </w:rPr>
      </w:pPr>
      <w:r w:rsidRPr="00FD5D10">
        <w:rPr>
          <w:color w:val="auto"/>
        </w:rPr>
        <w:t>There is strong evidence to support these claims. A 201</w:t>
      </w:r>
      <w:r w:rsidR="0033775D" w:rsidRPr="00FD5D10">
        <w:rPr>
          <w:color w:val="auto"/>
        </w:rPr>
        <w:t>2</w:t>
      </w:r>
      <w:r w:rsidRPr="00FD5D10">
        <w:rPr>
          <w:color w:val="auto"/>
        </w:rPr>
        <w:t xml:space="preserve"> </w:t>
      </w:r>
      <w:r w:rsidR="0087168B">
        <w:rPr>
          <w:color w:val="auto"/>
        </w:rPr>
        <w:t xml:space="preserve">report </w:t>
      </w:r>
      <w:r w:rsidRPr="00FD5D10">
        <w:rPr>
          <w:color w:val="auto"/>
        </w:rPr>
        <w:t>found that amongst First Nations people, 59 per cent on voluntary IM felt that IM had made things better, compared to 36 per cent on compulsory IM</w:t>
      </w:r>
      <w:r w:rsidR="001454C9" w:rsidRPr="00FD5D10">
        <w:rPr>
          <w:color w:val="auto"/>
          <w:vertAlign w:val="superscript"/>
        </w:rPr>
        <w:footnoteReference w:id="16"/>
      </w:r>
      <w:r w:rsidR="00FA3225" w:rsidRPr="00FD5D10">
        <w:rPr>
          <w:color w:val="auto"/>
        </w:rPr>
        <w:t>. Further, a 201</w:t>
      </w:r>
      <w:r w:rsidR="00AF7FE3" w:rsidRPr="00FD5D10">
        <w:rPr>
          <w:color w:val="auto"/>
        </w:rPr>
        <w:t>5</w:t>
      </w:r>
      <w:r w:rsidR="00FA3225" w:rsidRPr="00FD5D10">
        <w:rPr>
          <w:color w:val="auto"/>
        </w:rPr>
        <w:t xml:space="preserve"> Del</w:t>
      </w:r>
      <w:r w:rsidRPr="00FD5D10">
        <w:rPr>
          <w:color w:val="auto"/>
        </w:rPr>
        <w:t>o</w:t>
      </w:r>
      <w:r w:rsidR="00FA3225" w:rsidRPr="00FD5D10">
        <w:rPr>
          <w:color w:val="auto"/>
        </w:rPr>
        <w:t>i</w:t>
      </w:r>
      <w:r w:rsidRPr="00FD5D10">
        <w:rPr>
          <w:color w:val="auto"/>
        </w:rPr>
        <w:t>tte report found</w:t>
      </w:r>
      <w:r w:rsidR="007908F9" w:rsidRPr="00FD5D10">
        <w:rPr>
          <w:color w:val="auto"/>
        </w:rPr>
        <w:t xml:space="preserve"> t</w:t>
      </w:r>
      <w:r w:rsidR="00444F8A" w:rsidRPr="00FD5D10">
        <w:rPr>
          <w:color w:val="auto"/>
        </w:rPr>
        <w:t>here is evidence that voluntary IM achieve</w:t>
      </w:r>
      <w:r w:rsidR="003443DE" w:rsidRPr="00FD5D10">
        <w:rPr>
          <w:color w:val="auto"/>
        </w:rPr>
        <w:t>d</w:t>
      </w:r>
      <w:r w:rsidR="00444F8A" w:rsidRPr="00FD5D10">
        <w:rPr>
          <w:color w:val="auto"/>
        </w:rPr>
        <w:t xml:space="preserve"> better outcomes than compulsory </w:t>
      </w:r>
      <w:r w:rsidR="00D57CC6" w:rsidRPr="00FD5D10">
        <w:rPr>
          <w:color w:val="auto"/>
        </w:rPr>
        <w:t>IM</w:t>
      </w:r>
      <w:r w:rsidR="00B54D1E" w:rsidRPr="00FD5D10">
        <w:rPr>
          <w:color w:val="auto"/>
        </w:rPr>
        <w:t xml:space="preserve"> and the evaluators suggested less use of compulsory IM, except in exceptional circumstances</w:t>
      </w:r>
      <w:r w:rsidR="00B54D1E" w:rsidRPr="00FD5D10">
        <w:rPr>
          <w:color w:val="auto"/>
          <w:vertAlign w:val="superscript"/>
        </w:rPr>
        <w:footnoteReference w:id="17"/>
      </w:r>
      <w:r w:rsidR="00444F8A" w:rsidRPr="00FD5D10">
        <w:rPr>
          <w:color w:val="auto"/>
        </w:rPr>
        <w:t xml:space="preserve">. </w:t>
      </w:r>
      <w:r w:rsidR="00E93D99" w:rsidRPr="00FD5D10">
        <w:rPr>
          <w:color w:val="auto"/>
        </w:rPr>
        <w:t xml:space="preserve">It </w:t>
      </w:r>
      <w:r w:rsidR="00444F8A" w:rsidRPr="00FD5D10">
        <w:rPr>
          <w:color w:val="auto"/>
        </w:rPr>
        <w:t xml:space="preserve">found that </w:t>
      </w:r>
      <w:r w:rsidR="00D57CC6" w:rsidRPr="00FD5D10">
        <w:rPr>
          <w:color w:val="auto"/>
        </w:rPr>
        <w:t>IM</w:t>
      </w:r>
      <w:r w:rsidR="00444F8A" w:rsidRPr="00FD5D10">
        <w:rPr>
          <w:color w:val="auto"/>
        </w:rPr>
        <w:t xml:space="preserve"> was effective for some participants, improving financial stability, financial management and housing. Positive impacts were more often experienced by voluntary participants who chose to take part in </w:t>
      </w:r>
      <w:r w:rsidR="00D57CC6" w:rsidRPr="00FD5D10">
        <w:rPr>
          <w:color w:val="auto"/>
        </w:rPr>
        <w:t>IM</w:t>
      </w:r>
      <w:r w:rsidR="00444F8A" w:rsidRPr="00FD5D10">
        <w:rPr>
          <w:color w:val="auto"/>
        </w:rPr>
        <w:t xml:space="preserve">. </w:t>
      </w:r>
      <w:r w:rsidR="00C01788" w:rsidRPr="00FD5D10">
        <w:rPr>
          <w:color w:val="auto"/>
        </w:rPr>
        <w:t>The evaluators also recommended that future program design should be more narrowly targeted to those who are likely to benefit, including people who are self-motivated to participate.</w:t>
      </w:r>
      <w:r w:rsidR="00C01788">
        <w:rPr>
          <w:color w:val="auto"/>
        </w:rPr>
        <w:t xml:space="preserve"> </w:t>
      </w:r>
      <w:r w:rsidR="00757098">
        <w:rPr>
          <w:color w:val="auto"/>
        </w:rPr>
        <w:t>A</w:t>
      </w:r>
      <w:r w:rsidR="00B54D1E" w:rsidRPr="00FD5D10">
        <w:rPr>
          <w:color w:val="auto"/>
        </w:rPr>
        <w:t xml:space="preserve"> </w:t>
      </w:r>
      <w:r w:rsidR="004325C9" w:rsidRPr="00FD5D10">
        <w:rPr>
          <w:color w:val="auto"/>
        </w:rPr>
        <w:t xml:space="preserve">CDC </w:t>
      </w:r>
      <w:r w:rsidR="00B54D1E" w:rsidRPr="00FD5D10">
        <w:rPr>
          <w:color w:val="auto"/>
        </w:rPr>
        <w:t xml:space="preserve">evaluation found </w:t>
      </w:r>
      <w:r w:rsidR="004325C9" w:rsidRPr="00FD5D10">
        <w:rPr>
          <w:color w:val="auto"/>
        </w:rPr>
        <w:t xml:space="preserve">those most likely to remain on the program were </w:t>
      </w:r>
      <w:r w:rsidR="00B54D1E" w:rsidRPr="00FD5D10">
        <w:rPr>
          <w:color w:val="auto"/>
        </w:rPr>
        <w:t>pa</w:t>
      </w:r>
      <w:r w:rsidR="004325C9" w:rsidRPr="00FD5D10">
        <w:rPr>
          <w:color w:val="auto"/>
        </w:rPr>
        <w:t xml:space="preserve">rticipants </w:t>
      </w:r>
      <w:r w:rsidR="00B54D1E" w:rsidRPr="00FD5D10">
        <w:rPr>
          <w:color w:val="auto"/>
        </w:rPr>
        <w:t>who received Parenting Payment (S</w:t>
      </w:r>
      <w:r w:rsidR="004325C9" w:rsidRPr="00FD5D10">
        <w:rPr>
          <w:color w:val="auto"/>
        </w:rPr>
        <w:t>ingle or Partnered) and were either older</w:t>
      </w:r>
      <w:r w:rsidR="00B54D1E" w:rsidRPr="00FD5D10">
        <w:rPr>
          <w:color w:val="auto"/>
        </w:rPr>
        <w:t xml:space="preserve"> or had not experienced issues using the CDC</w:t>
      </w:r>
      <w:r w:rsidR="00BE6853">
        <w:rPr>
          <w:color w:val="auto"/>
        </w:rPr>
        <w:t>.</w:t>
      </w:r>
      <w:r w:rsidR="00B54D1E" w:rsidRPr="00FD5D10">
        <w:rPr>
          <w:rStyle w:val="FootnoteReference"/>
          <w:color w:val="auto"/>
        </w:rPr>
        <w:footnoteReference w:id="18"/>
      </w:r>
    </w:p>
    <w:p w14:paraId="5DD61E00" w14:textId="77777777" w:rsidR="00E33EA4" w:rsidRDefault="00BF181E" w:rsidP="00184C01">
      <w:pPr>
        <w:pStyle w:val="BodyText"/>
        <w:rPr>
          <w:color w:val="auto"/>
        </w:rPr>
      </w:pPr>
      <w:r>
        <w:rPr>
          <w:color w:val="auto"/>
        </w:rPr>
        <w:t>Anecdotal evidence from</w:t>
      </w:r>
      <w:r w:rsidR="00B00744">
        <w:rPr>
          <w:color w:val="auto"/>
        </w:rPr>
        <w:t xml:space="preserve"> a</w:t>
      </w:r>
      <w:r w:rsidR="009E7968">
        <w:rPr>
          <w:color w:val="auto"/>
        </w:rPr>
        <w:t>n I</w:t>
      </w:r>
      <w:r w:rsidR="00B00744">
        <w:rPr>
          <w:color w:val="auto"/>
        </w:rPr>
        <w:t xml:space="preserve">M </w:t>
      </w:r>
      <w:r>
        <w:rPr>
          <w:color w:val="auto"/>
        </w:rPr>
        <w:t xml:space="preserve">stakeholder </w:t>
      </w:r>
      <w:r w:rsidR="00B00744">
        <w:rPr>
          <w:color w:val="auto"/>
        </w:rPr>
        <w:t xml:space="preserve">during </w:t>
      </w:r>
      <w:r w:rsidR="00863B67">
        <w:rPr>
          <w:color w:val="auto"/>
        </w:rPr>
        <w:t xml:space="preserve">the February 2022 </w:t>
      </w:r>
      <w:r>
        <w:rPr>
          <w:color w:val="auto"/>
        </w:rPr>
        <w:t>consultation on remaking the legislative instrument for voluntary IM in</w:t>
      </w:r>
      <w:r w:rsidR="00B00744">
        <w:rPr>
          <w:color w:val="auto"/>
        </w:rPr>
        <w:t xml:space="preserve"> the region</w:t>
      </w:r>
      <w:r w:rsidR="00863B67">
        <w:rPr>
          <w:color w:val="auto"/>
        </w:rPr>
        <w:t>,</w:t>
      </w:r>
      <w:r>
        <w:rPr>
          <w:color w:val="auto"/>
        </w:rPr>
        <w:t xml:space="preserve"> indicated that an elderly lady benefitted from being a voluntary participant for more than 10 years, which prevented family members from withdrawing cash without her consent, </w:t>
      </w:r>
      <w:r w:rsidR="00863B67">
        <w:rPr>
          <w:color w:val="auto"/>
        </w:rPr>
        <w:t>allowing her to</w:t>
      </w:r>
      <w:r>
        <w:rPr>
          <w:color w:val="auto"/>
        </w:rPr>
        <w:t xml:space="preserve"> pay rent and bills on time.</w:t>
      </w:r>
    </w:p>
    <w:p w14:paraId="7A49BEC9" w14:textId="77777777" w:rsidR="00F878BB" w:rsidRDefault="00B54D1E" w:rsidP="00B00744">
      <w:pPr>
        <w:pStyle w:val="BodyText"/>
        <w:rPr>
          <w:color w:val="auto"/>
        </w:rPr>
      </w:pPr>
      <w:r>
        <w:rPr>
          <w:color w:val="auto"/>
        </w:rPr>
        <w:t>These finding</w:t>
      </w:r>
      <w:r w:rsidR="00863B67">
        <w:rPr>
          <w:color w:val="auto"/>
        </w:rPr>
        <w:t>s</w:t>
      </w:r>
      <w:r>
        <w:rPr>
          <w:color w:val="auto"/>
        </w:rPr>
        <w:t xml:space="preserve"> may provide an indication of which CDC participants may continue to experience benefits through opting for voluntary IM.</w:t>
      </w:r>
      <w:bookmarkStart w:id="54" w:name="_Toc108008481"/>
    </w:p>
    <w:p w14:paraId="7A292E96" w14:textId="77777777" w:rsidR="008F2F60" w:rsidRPr="00025205" w:rsidRDefault="002F7768" w:rsidP="0023103D">
      <w:pPr>
        <w:pStyle w:val="Heading2"/>
      </w:pPr>
      <w:bookmarkStart w:id="55" w:name="_Toc118103745"/>
      <w:r>
        <w:t xml:space="preserve">1.7 </w:t>
      </w:r>
      <w:r w:rsidR="00752349">
        <w:t>There is a higher opportunity cost to continue C</w:t>
      </w:r>
      <w:r w:rsidR="0023103D">
        <w:t xml:space="preserve">ashless </w:t>
      </w:r>
      <w:r w:rsidR="00752349">
        <w:t>D</w:t>
      </w:r>
      <w:r w:rsidR="0023103D">
        <w:t xml:space="preserve">ebit </w:t>
      </w:r>
      <w:r w:rsidR="00752349">
        <w:t>C</w:t>
      </w:r>
      <w:r w:rsidR="0023103D">
        <w:t>ard</w:t>
      </w:r>
      <w:r w:rsidR="00752349">
        <w:t xml:space="preserve"> and I</w:t>
      </w:r>
      <w:r w:rsidR="0023103D">
        <w:t xml:space="preserve">ncome </w:t>
      </w:r>
      <w:r w:rsidR="00752349">
        <w:t>M</w:t>
      </w:r>
      <w:bookmarkEnd w:id="54"/>
      <w:r w:rsidR="0023103D">
        <w:t>anagement</w:t>
      </w:r>
      <w:bookmarkEnd w:id="55"/>
    </w:p>
    <w:p w14:paraId="18ED1D37" w14:textId="77777777" w:rsidR="003776C5" w:rsidRPr="00265C86" w:rsidRDefault="003776C5" w:rsidP="003776C5">
      <w:pPr>
        <w:pStyle w:val="BodyText"/>
        <w:rPr>
          <w:color w:val="auto"/>
          <w:lang w:eastAsia="en-AU"/>
        </w:rPr>
      </w:pPr>
      <w:r w:rsidRPr="00265C86">
        <w:rPr>
          <w:color w:val="auto"/>
          <w:lang w:eastAsia="en-AU"/>
        </w:rPr>
        <w:t>The Government spent $</w:t>
      </w:r>
      <w:r w:rsidR="009C2E0B" w:rsidRPr="00265C86">
        <w:rPr>
          <w:color w:val="auto"/>
          <w:lang w:eastAsia="en-AU"/>
        </w:rPr>
        <w:t>1</w:t>
      </w:r>
      <w:r w:rsidR="00F7124A">
        <w:rPr>
          <w:color w:val="auto"/>
          <w:lang w:eastAsia="en-AU"/>
        </w:rPr>
        <w:t>8</w:t>
      </w:r>
      <w:r w:rsidR="00127A8B">
        <w:rPr>
          <w:color w:val="auto"/>
          <w:lang w:eastAsia="en-AU"/>
        </w:rPr>
        <w:t>0.7</w:t>
      </w:r>
      <w:r w:rsidRPr="00265C86">
        <w:rPr>
          <w:color w:val="auto"/>
          <w:lang w:eastAsia="en-AU"/>
        </w:rPr>
        <w:t xml:space="preserve"> million on the CDC </w:t>
      </w:r>
      <w:r w:rsidR="00D57CC6">
        <w:rPr>
          <w:color w:val="auto"/>
          <w:lang w:eastAsia="en-AU"/>
        </w:rPr>
        <w:t xml:space="preserve">program </w:t>
      </w:r>
      <w:r w:rsidRPr="00265C86">
        <w:rPr>
          <w:color w:val="auto"/>
          <w:lang w:eastAsia="en-AU"/>
        </w:rPr>
        <w:t>from 2016 to 2022, and spen</w:t>
      </w:r>
      <w:r w:rsidR="000A09CA" w:rsidRPr="00265C86">
        <w:rPr>
          <w:color w:val="auto"/>
          <w:lang w:eastAsia="en-AU"/>
        </w:rPr>
        <w:t>t $341.2 million since 2016-17</w:t>
      </w:r>
      <w:r w:rsidR="00E93D99" w:rsidRPr="00265C86">
        <w:rPr>
          <w:color w:val="auto"/>
          <w:lang w:eastAsia="en-AU"/>
        </w:rPr>
        <w:t xml:space="preserve"> on </w:t>
      </w:r>
      <w:r w:rsidRPr="00265C86">
        <w:rPr>
          <w:color w:val="auto"/>
          <w:lang w:eastAsia="en-AU"/>
        </w:rPr>
        <w:t>IM</w:t>
      </w:r>
      <w:r w:rsidR="00E93D99" w:rsidRPr="00265C86">
        <w:rPr>
          <w:color w:val="auto"/>
          <w:lang w:eastAsia="en-AU"/>
        </w:rPr>
        <w:t>.</w:t>
      </w:r>
      <w:r w:rsidRPr="00265C86">
        <w:rPr>
          <w:color w:val="auto"/>
          <w:lang w:eastAsia="en-AU"/>
        </w:rPr>
        <w:t xml:space="preserve"> </w:t>
      </w:r>
      <w:r w:rsidR="00757098">
        <w:rPr>
          <w:color w:val="auto"/>
          <w:lang w:eastAsia="en-AU"/>
        </w:rPr>
        <w:t xml:space="preserve">There are currently </w:t>
      </w:r>
      <w:r w:rsidR="00A85FF0" w:rsidRPr="00265C86">
        <w:rPr>
          <w:color w:val="auto"/>
          <w:lang w:eastAsia="en-AU"/>
        </w:rPr>
        <w:t>around 42</w:t>
      </w:r>
      <w:r w:rsidR="004102D4" w:rsidRPr="00265C86">
        <w:rPr>
          <w:color w:val="auto"/>
          <w:lang w:eastAsia="en-AU"/>
        </w:rPr>
        <w:t>,000 participants</w:t>
      </w:r>
      <w:r w:rsidR="00D57CC6">
        <w:rPr>
          <w:color w:val="auto"/>
          <w:lang w:eastAsia="en-AU"/>
        </w:rPr>
        <w:t xml:space="preserve"> </w:t>
      </w:r>
      <w:r w:rsidR="00757098">
        <w:rPr>
          <w:color w:val="auto"/>
          <w:lang w:eastAsia="en-AU"/>
        </w:rPr>
        <w:t xml:space="preserve">in these programs. </w:t>
      </w:r>
      <w:r w:rsidR="004102D4" w:rsidRPr="00265C86">
        <w:rPr>
          <w:color w:val="auto"/>
          <w:lang w:eastAsia="en-AU"/>
        </w:rPr>
        <w:t>As</w:t>
      </w:r>
      <w:r w:rsidRPr="00265C86">
        <w:rPr>
          <w:color w:val="auto"/>
          <w:lang w:eastAsia="en-AU"/>
        </w:rPr>
        <w:t xml:space="preserve"> noted above, many</w:t>
      </w:r>
      <w:r w:rsidR="004102D4" w:rsidRPr="00265C86">
        <w:rPr>
          <w:color w:val="auto"/>
          <w:lang w:eastAsia="en-AU"/>
        </w:rPr>
        <w:t xml:space="preserve"> CDC participants have n</w:t>
      </w:r>
      <w:r w:rsidRPr="00265C86">
        <w:rPr>
          <w:color w:val="auto"/>
          <w:lang w:eastAsia="en-AU"/>
        </w:rPr>
        <w:t>o</w:t>
      </w:r>
      <w:r w:rsidR="004102D4" w:rsidRPr="00265C86">
        <w:rPr>
          <w:color w:val="auto"/>
          <w:lang w:eastAsia="en-AU"/>
        </w:rPr>
        <w:t xml:space="preserve"> reported</w:t>
      </w:r>
      <w:r w:rsidRPr="00265C86">
        <w:rPr>
          <w:color w:val="auto"/>
          <w:lang w:eastAsia="en-AU"/>
        </w:rPr>
        <w:t xml:space="preserve"> drug, alcohol and gambling issues </w:t>
      </w:r>
      <w:r w:rsidR="004102D4" w:rsidRPr="00265C86">
        <w:rPr>
          <w:color w:val="auto"/>
          <w:lang w:eastAsia="en-AU"/>
        </w:rPr>
        <w:t xml:space="preserve">which </w:t>
      </w:r>
      <w:r w:rsidRPr="00265C86">
        <w:rPr>
          <w:color w:val="auto"/>
          <w:lang w:eastAsia="en-AU"/>
        </w:rPr>
        <w:t xml:space="preserve">the programs aim to address. As a result, the Government </w:t>
      </w:r>
      <w:r w:rsidR="004102D4" w:rsidRPr="00265C86">
        <w:rPr>
          <w:color w:val="auto"/>
          <w:lang w:eastAsia="en-AU"/>
        </w:rPr>
        <w:t>could take</w:t>
      </w:r>
      <w:r w:rsidRPr="00265C86">
        <w:rPr>
          <w:color w:val="auto"/>
          <w:lang w:eastAsia="en-AU"/>
        </w:rPr>
        <w:t xml:space="preserve"> the opportunity to repurpo</w:t>
      </w:r>
      <w:r w:rsidR="00E93D99" w:rsidRPr="00265C86">
        <w:rPr>
          <w:color w:val="auto"/>
          <w:lang w:eastAsia="en-AU"/>
        </w:rPr>
        <w:t xml:space="preserve">se funds to deliver targeted services </w:t>
      </w:r>
      <w:r w:rsidRPr="00265C86">
        <w:rPr>
          <w:color w:val="auto"/>
          <w:lang w:eastAsia="en-AU"/>
        </w:rPr>
        <w:t>to individuals with substance abuse and gambling issues</w:t>
      </w:r>
      <w:r w:rsidR="00E93D99" w:rsidRPr="00265C86">
        <w:rPr>
          <w:color w:val="auto"/>
          <w:lang w:eastAsia="en-AU"/>
        </w:rPr>
        <w:t>, as well as community-based preventative services</w:t>
      </w:r>
      <w:r w:rsidRPr="00265C86">
        <w:rPr>
          <w:color w:val="auto"/>
          <w:lang w:eastAsia="en-AU"/>
        </w:rPr>
        <w:t>. This is why ongoing community support services are a key focus of the propo</w:t>
      </w:r>
      <w:r w:rsidR="008B6EFB" w:rsidRPr="00265C86">
        <w:rPr>
          <w:color w:val="auto"/>
          <w:lang w:eastAsia="en-AU"/>
        </w:rPr>
        <w:t xml:space="preserve">sed solution </w:t>
      </w:r>
      <w:r w:rsidR="00D57CC6">
        <w:rPr>
          <w:color w:val="auto"/>
          <w:lang w:eastAsia="en-AU"/>
        </w:rPr>
        <w:t xml:space="preserve">in option 2 </w:t>
      </w:r>
      <w:r w:rsidR="008B6EFB" w:rsidRPr="00265C86">
        <w:rPr>
          <w:color w:val="auto"/>
          <w:lang w:eastAsia="en-AU"/>
        </w:rPr>
        <w:t>articulated below.</w:t>
      </w:r>
    </w:p>
    <w:p w14:paraId="5B869009" w14:textId="77777777" w:rsidR="009C16EA" w:rsidRDefault="00CD3DB4" w:rsidP="00B52DAA">
      <w:pPr>
        <w:pStyle w:val="Heading2"/>
      </w:pPr>
      <w:bookmarkStart w:id="56" w:name="_Toc118103746"/>
      <w:r>
        <w:t>1.</w:t>
      </w:r>
      <w:r w:rsidR="002F7768">
        <w:t>8</w:t>
      </w:r>
      <w:r w:rsidR="00964F3C">
        <w:t xml:space="preserve"> </w:t>
      </w:r>
      <w:r w:rsidR="00752349">
        <w:t>Summary of stakeholder impacts</w:t>
      </w:r>
      <w:bookmarkEnd w:id="56"/>
    </w:p>
    <w:p w14:paraId="545086EE" w14:textId="77777777" w:rsidR="00E259B4" w:rsidRPr="00D57CC6" w:rsidRDefault="00E259B4" w:rsidP="00052E86">
      <w:pPr>
        <w:pStyle w:val="BodyText"/>
        <w:rPr>
          <w:color w:val="auto"/>
        </w:rPr>
      </w:pPr>
      <w:r w:rsidRPr="00D57CC6">
        <w:rPr>
          <w:color w:val="auto"/>
        </w:rPr>
        <w:t xml:space="preserve">As at 27 May 2022, there were 17,322 participants on the CDC program. This included 66 voluntary participants </w:t>
      </w:r>
      <w:r w:rsidR="008C4C5E" w:rsidRPr="00D57CC6">
        <w:rPr>
          <w:color w:val="auto"/>
        </w:rPr>
        <w:t xml:space="preserve">(excluding </w:t>
      </w:r>
      <w:r w:rsidRPr="00D57CC6">
        <w:rPr>
          <w:color w:val="auto"/>
        </w:rPr>
        <w:t>the Cape York region</w:t>
      </w:r>
      <w:r w:rsidR="008C4C5E" w:rsidRPr="00D57CC6">
        <w:rPr>
          <w:color w:val="auto"/>
        </w:rPr>
        <w:t>)</w:t>
      </w:r>
      <w:r w:rsidRPr="00D57CC6">
        <w:rPr>
          <w:color w:val="auto"/>
        </w:rPr>
        <w:t xml:space="preserve">. At 27 May 2022, there were 108 participants on the CDC program in the Cape York region, where participants can volunteer or </w:t>
      </w:r>
      <w:r w:rsidR="00265698">
        <w:rPr>
          <w:color w:val="auto"/>
        </w:rPr>
        <w:t xml:space="preserve">be </w:t>
      </w:r>
      <w:r w:rsidRPr="00D57CC6">
        <w:rPr>
          <w:color w:val="auto"/>
        </w:rPr>
        <w:t xml:space="preserve">referred to the </w:t>
      </w:r>
      <w:r w:rsidR="00D57CC6">
        <w:rPr>
          <w:color w:val="auto"/>
        </w:rPr>
        <w:t xml:space="preserve">CDC </w:t>
      </w:r>
      <w:r w:rsidRPr="00D57CC6">
        <w:rPr>
          <w:color w:val="auto"/>
        </w:rPr>
        <w:t xml:space="preserve">program through the </w:t>
      </w:r>
      <w:r w:rsidR="00D57CC6">
        <w:rPr>
          <w:color w:val="auto"/>
        </w:rPr>
        <w:t>FRC</w:t>
      </w:r>
      <w:r w:rsidRPr="00D57CC6">
        <w:rPr>
          <w:color w:val="auto"/>
        </w:rPr>
        <w:t>.</w:t>
      </w:r>
    </w:p>
    <w:p w14:paraId="30553440" w14:textId="77777777" w:rsidR="00E259B4" w:rsidRPr="00D57CC6" w:rsidRDefault="00E259B4" w:rsidP="00052E86">
      <w:pPr>
        <w:pStyle w:val="BodyText"/>
        <w:rPr>
          <w:color w:val="auto"/>
        </w:rPr>
      </w:pPr>
      <w:r w:rsidRPr="00D57CC6">
        <w:rPr>
          <w:color w:val="auto"/>
        </w:rPr>
        <w:t xml:space="preserve">The CDC program is compulsory for almost all participants. Many CDC participants have no reported drug, alcohol and gambling issues but are placed on the </w:t>
      </w:r>
      <w:r w:rsidR="000B4A97" w:rsidRPr="00D57CC6">
        <w:rPr>
          <w:color w:val="auto"/>
        </w:rPr>
        <w:t>program</w:t>
      </w:r>
      <w:r w:rsidRPr="00D57CC6">
        <w:rPr>
          <w:color w:val="auto"/>
        </w:rPr>
        <w:t xml:space="preserve"> because they reside in a CDC region. Many participants reported feeling stigmatised or discriminated against. However, the second impact evaluation of the CDC program found only 25 per cent of survey respondents (who reported they drank alcohol) reported reducing the amount they drink at any one time, and only </w:t>
      </w:r>
      <w:r w:rsidR="00D57CC6">
        <w:rPr>
          <w:color w:val="auto"/>
        </w:rPr>
        <w:br/>
      </w:r>
      <w:r w:rsidRPr="00D57CC6">
        <w:rPr>
          <w:color w:val="auto"/>
        </w:rPr>
        <w:t>22 per cent reported reducing the number of times they drink. Only 21 per cent of survey respondents reported a positive change in gambling behaviours for either themselves, family, friends or the community where they live.</w:t>
      </w:r>
    </w:p>
    <w:p w14:paraId="4FC24248" w14:textId="77777777" w:rsidR="0097582F" w:rsidRPr="00D57CC6" w:rsidRDefault="00052E86" w:rsidP="0097582F">
      <w:pPr>
        <w:pStyle w:val="BodyText"/>
        <w:rPr>
          <w:color w:val="auto"/>
        </w:rPr>
      </w:pPr>
      <w:r w:rsidRPr="00D57CC6">
        <w:rPr>
          <w:color w:val="auto"/>
        </w:rPr>
        <w:t xml:space="preserve">As at 27 May 2022, there were 24,825 participants on </w:t>
      </w:r>
      <w:r w:rsidR="00D57CC6">
        <w:rPr>
          <w:color w:val="auto"/>
        </w:rPr>
        <w:t>IM</w:t>
      </w:r>
      <w:r w:rsidRPr="00D57CC6">
        <w:rPr>
          <w:color w:val="auto"/>
        </w:rPr>
        <w:t xml:space="preserve">. This included 2,663 </w:t>
      </w:r>
      <w:r w:rsidR="0097582F" w:rsidRPr="00D57CC6">
        <w:rPr>
          <w:color w:val="auto"/>
        </w:rPr>
        <w:t xml:space="preserve">IM </w:t>
      </w:r>
      <w:r w:rsidRPr="00D57CC6">
        <w:rPr>
          <w:color w:val="auto"/>
        </w:rPr>
        <w:t xml:space="preserve">participants under the Voluntary Income Management measure. (Note that some participants on </w:t>
      </w:r>
      <w:r w:rsidR="004D614E">
        <w:rPr>
          <w:color w:val="auto"/>
        </w:rPr>
        <w:t>v</w:t>
      </w:r>
      <w:r w:rsidRPr="00D57CC6">
        <w:rPr>
          <w:color w:val="auto"/>
        </w:rPr>
        <w:t>oluntary I</w:t>
      </w:r>
      <w:r w:rsidR="004D614E">
        <w:rPr>
          <w:color w:val="auto"/>
        </w:rPr>
        <w:t>M</w:t>
      </w:r>
      <w:r w:rsidRPr="00D57CC6">
        <w:rPr>
          <w:color w:val="auto"/>
        </w:rPr>
        <w:t xml:space="preserve"> may be subject to compulsory </w:t>
      </w:r>
      <w:r w:rsidR="00D57CC6">
        <w:rPr>
          <w:color w:val="auto"/>
        </w:rPr>
        <w:t xml:space="preserve">IM </w:t>
      </w:r>
      <w:r w:rsidRPr="00D57CC6">
        <w:rPr>
          <w:color w:val="auto"/>
        </w:rPr>
        <w:t>measures if they exit</w:t>
      </w:r>
      <w:r w:rsidR="0097582F" w:rsidRPr="00D57CC6">
        <w:rPr>
          <w:color w:val="auto"/>
        </w:rPr>
        <w:t>ed). Participants on mandatory IM report similar issues around the stigma and use of their funds, for limited clear benefit. In addition, IM participants face significant issues using the BasicsCard due to the basic functionality of the technolo</w:t>
      </w:r>
      <w:r w:rsidR="00184C01" w:rsidRPr="00D57CC6">
        <w:rPr>
          <w:color w:val="auto"/>
        </w:rPr>
        <w:t>gy platform it uses.</w:t>
      </w:r>
    </w:p>
    <w:p w14:paraId="6A75A57C" w14:textId="77777777" w:rsidR="000E544B" w:rsidRDefault="0097582F">
      <w:pPr>
        <w:rPr>
          <w:color w:val="auto"/>
          <w:lang w:eastAsia="en-AU"/>
        </w:rPr>
      </w:pPr>
      <w:r>
        <w:rPr>
          <w:lang w:eastAsia="en-AU"/>
        </w:rPr>
        <w:t>These programs also impact the merchants that need to install technology and train staff to accept the card. As the CDC program has Product Level Blocking</w:t>
      </w:r>
      <w:r w:rsidR="00F878BB">
        <w:rPr>
          <w:lang w:eastAsia="en-AU"/>
        </w:rPr>
        <w:t xml:space="preserve"> (PLB)</w:t>
      </w:r>
      <w:r>
        <w:rPr>
          <w:lang w:eastAsia="en-AU"/>
        </w:rPr>
        <w:t xml:space="preserve"> the card can be used at most vendors and online without any burden on the business. The exception is the </w:t>
      </w:r>
      <w:r w:rsidR="00ED788C" w:rsidRPr="001C51AE">
        <w:rPr>
          <w:lang w:eastAsia="en-AU"/>
        </w:rPr>
        <w:t>4</w:t>
      </w:r>
      <w:r w:rsidR="001C51AE" w:rsidRPr="001C51AE">
        <w:rPr>
          <w:lang w:eastAsia="en-AU"/>
        </w:rPr>
        <w:t>00</w:t>
      </w:r>
      <w:r w:rsidR="001C51AE">
        <w:rPr>
          <w:lang w:eastAsia="en-AU"/>
        </w:rPr>
        <w:t xml:space="preserve"> </w:t>
      </w:r>
      <w:r w:rsidRPr="001C51AE">
        <w:rPr>
          <w:lang w:eastAsia="en-AU"/>
        </w:rPr>
        <w:t>mixed merchants</w:t>
      </w:r>
      <w:r>
        <w:rPr>
          <w:lang w:eastAsia="en-AU"/>
        </w:rPr>
        <w:t xml:space="preserve"> </w:t>
      </w:r>
      <w:r w:rsidR="001608DA">
        <w:rPr>
          <w:lang w:eastAsia="en-AU"/>
        </w:rPr>
        <w:t>(that is who sell a mixture of restricted and unrestricted items)</w:t>
      </w:r>
      <w:r w:rsidR="000154D6">
        <w:rPr>
          <w:lang w:eastAsia="en-AU"/>
        </w:rPr>
        <w:t xml:space="preserve"> in the CDC sites </w:t>
      </w:r>
      <w:r>
        <w:rPr>
          <w:lang w:eastAsia="en-AU"/>
        </w:rPr>
        <w:t xml:space="preserve">who </w:t>
      </w:r>
      <w:r w:rsidR="000154D6">
        <w:rPr>
          <w:lang w:eastAsia="en-AU"/>
        </w:rPr>
        <w:t>currently do not have PLB in their business</w:t>
      </w:r>
      <w:r>
        <w:rPr>
          <w:lang w:eastAsia="en-AU"/>
        </w:rPr>
        <w:t>. There are also over 1</w:t>
      </w:r>
      <w:r w:rsidR="000154D6">
        <w:rPr>
          <w:lang w:eastAsia="en-AU"/>
        </w:rPr>
        <w:t>8</w:t>
      </w:r>
      <w:r>
        <w:rPr>
          <w:lang w:eastAsia="en-AU"/>
        </w:rPr>
        <w:t>,000 merchants that are on the IM program and these businesses incur costs</w:t>
      </w:r>
      <w:r w:rsidR="000154D6">
        <w:rPr>
          <w:lang w:eastAsia="en-AU"/>
        </w:rPr>
        <w:t xml:space="preserve"> such as </w:t>
      </w:r>
      <w:r w:rsidR="000154D6" w:rsidRPr="00B52DAA">
        <w:rPr>
          <w:color w:val="auto"/>
          <w:lang w:eastAsia="en-AU"/>
        </w:rPr>
        <w:t xml:space="preserve">staff training and </w:t>
      </w:r>
      <w:r w:rsidR="008C4C5E">
        <w:rPr>
          <w:color w:val="auto"/>
          <w:lang w:eastAsia="en-AU"/>
        </w:rPr>
        <w:t xml:space="preserve">in some cases, </w:t>
      </w:r>
      <w:r w:rsidR="000154D6" w:rsidRPr="00B52DAA">
        <w:rPr>
          <w:color w:val="auto"/>
          <w:lang w:eastAsia="en-AU"/>
        </w:rPr>
        <w:t xml:space="preserve">maintaining a separate till to serve BasicsCard holders. </w:t>
      </w:r>
      <w:r w:rsidR="000154D6">
        <w:rPr>
          <w:color w:val="auto"/>
          <w:lang w:eastAsia="en-AU"/>
        </w:rPr>
        <w:t xml:space="preserve">They also face </w:t>
      </w:r>
      <w:r w:rsidR="000154D6" w:rsidRPr="001E125B">
        <w:rPr>
          <w:color w:val="auto"/>
          <w:lang w:eastAsia="en-AU"/>
        </w:rPr>
        <w:t>strict</w:t>
      </w:r>
      <w:r w:rsidR="000154D6">
        <w:rPr>
          <w:color w:val="auto"/>
          <w:lang w:eastAsia="en-AU"/>
        </w:rPr>
        <w:t>er</w:t>
      </w:r>
      <w:r w:rsidR="000154D6" w:rsidRPr="001E125B">
        <w:rPr>
          <w:color w:val="auto"/>
          <w:lang w:eastAsia="en-AU"/>
        </w:rPr>
        <w:t xml:space="preserve"> approval and compliance process</w:t>
      </w:r>
      <w:r w:rsidR="000154D6">
        <w:rPr>
          <w:color w:val="auto"/>
          <w:lang w:eastAsia="en-AU"/>
        </w:rPr>
        <w:t>es</w:t>
      </w:r>
      <w:r w:rsidR="000154D6" w:rsidRPr="001E125B">
        <w:rPr>
          <w:color w:val="auto"/>
          <w:lang w:eastAsia="en-AU"/>
        </w:rPr>
        <w:t xml:space="preserve"> </w:t>
      </w:r>
      <w:r w:rsidR="000154D6">
        <w:rPr>
          <w:color w:val="auto"/>
          <w:lang w:eastAsia="en-AU"/>
        </w:rPr>
        <w:t xml:space="preserve">as a result of being an IM </w:t>
      </w:r>
      <w:r w:rsidR="000154D6" w:rsidRPr="001E125B">
        <w:rPr>
          <w:color w:val="auto"/>
          <w:lang w:eastAsia="en-AU"/>
        </w:rPr>
        <w:t>merchant</w:t>
      </w:r>
      <w:r w:rsidR="000154D6">
        <w:rPr>
          <w:color w:val="auto"/>
          <w:lang w:eastAsia="en-AU"/>
        </w:rPr>
        <w:t>.</w:t>
      </w:r>
    </w:p>
    <w:p w14:paraId="3E5A8460" w14:textId="77777777" w:rsidR="00A073CF" w:rsidRDefault="00A073CF">
      <w:pPr>
        <w:rPr>
          <w:color w:val="auto"/>
          <w:lang w:eastAsia="en-AU"/>
        </w:rPr>
      </w:pPr>
      <w:r>
        <w:rPr>
          <w:color w:val="auto"/>
          <w:lang w:eastAsia="en-AU"/>
        </w:rPr>
        <w:br w:type="page"/>
      </w:r>
    </w:p>
    <w:p w14:paraId="31953A28" w14:textId="77777777" w:rsidR="000856F9" w:rsidRPr="009520A9" w:rsidRDefault="00716A5F" w:rsidP="009520A9">
      <w:pPr>
        <w:pStyle w:val="Title"/>
      </w:pPr>
      <w:bookmarkStart w:id="57" w:name="_Toc108008482"/>
      <w:bookmarkStart w:id="58" w:name="_Toc118103747"/>
      <w:r w:rsidRPr="009520A9">
        <w:t>2. Why is Government action needed?</w:t>
      </w:r>
      <w:bookmarkEnd w:id="57"/>
      <w:bookmarkEnd w:id="58"/>
    </w:p>
    <w:p w14:paraId="44E4DDDB" w14:textId="77777777" w:rsidR="00091044" w:rsidRDefault="00CD3DB4" w:rsidP="00B65911">
      <w:pPr>
        <w:pStyle w:val="Heading2"/>
      </w:pPr>
      <w:bookmarkStart w:id="59" w:name="_Toc118103748"/>
      <w:r>
        <w:t xml:space="preserve">2.1 </w:t>
      </w:r>
      <w:r w:rsidR="00091044" w:rsidRPr="00B52DAA">
        <w:t xml:space="preserve">Why the government should </w:t>
      </w:r>
      <w:r w:rsidR="00AF7FE3">
        <w:t>reform the programs</w:t>
      </w:r>
      <w:bookmarkEnd w:id="59"/>
    </w:p>
    <w:p w14:paraId="1B2005C9" w14:textId="77777777" w:rsidR="007105C4" w:rsidRPr="00D57CC6" w:rsidRDefault="00957296" w:rsidP="00893CE3">
      <w:pPr>
        <w:rPr>
          <w:color w:val="auto"/>
        </w:rPr>
      </w:pPr>
      <w:r w:rsidRPr="00D57CC6">
        <w:rPr>
          <w:color w:val="auto"/>
        </w:rPr>
        <w:t>As the program</w:t>
      </w:r>
      <w:r w:rsidR="000154D6" w:rsidRPr="00D57CC6">
        <w:rPr>
          <w:color w:val="auto"/>
        </w:rPr>
        <w:t>s</w:t>
      </w:r>
      <w:r w:rsidRPr="00D57CC6">
        <w:rPr>
          <w:color w:val="auto"/>
        </w:rPr>
        <w:t xml:space="preserve"> </w:t>
      </w:r>
      <w:r w:rsidR="000154D6" w:rsidRPr="00D57CC6">
        <w:rPr>
          <w:color w:val="auto"/>
        </w:rPr>
        <w:t>are</w:t>
      </w:r>
      <w:r w:rsidRPr="00D57CC6">
        <w:rPr>
          <w:color w:val="auto"/>
        </w:rPr>
        <w:t xml:space="preserve"> </w:t>
      </w:r>
      <w:r w:rsidR="000154D6" w:rsidRPr="00D57CC6">
        <w:rPr>
          <w:color w:val="auto"/>
        </w:rPr>
        <w:t>Government</w:t>
      </w:r>
      <w:r w:rsidRPr="00D57CC6">
        <w:rPr>
          <w:color w:val="auto"/>
        </w:rPr>
        <w:t xml:space="preserve"> </w:t>
      </w:r>
      <w:r w:rsidR="00BE6770" w:rsidRPr="00D57CC6">
        <w:rPr>
          <w:color w:val="auto"/>
        </w:rPr>
        <w:t>operated</w:t>
      </w:r>
      <w:r w:rsidRPr="00D57CC6">
        <w:rPr>
          <w:color w:val="auto"/>
        </w:rPr>
        <w:t>, the</w:t>
      </w:r>
      <w:r w:rsidR="00BE6770" w:rsidRPr="00D57CC6">
        <w:rPr>
          <w:color w:val="auto"/>
        </w:rPr>
        <w:t>ir</w:t>
      </w:r>
      <w:r w:rsidRPr="00D57CC6">
        <w:rPr>
          <w:color w:val="auto"/>
        </w:rPr>
        <w:t xml:space="preserve"> </w:t>
      </w:r>
      <w:r w:rsidR="000154D6" w:rsidRPr="00D57CC6">
        <w:rPr>
          <w:color w:val="auto"/>
        </w:rPr>
        <w:t>reform ca</w:t>
      </w:r>
      <w:r w:rsidRPr="00D57CC6">
        <w:rPr>
          <w:color w:val="auto"/>
        </w:rPr>
        <w:t>n o</w:t>
      </w:r>
      <w:r w:rsidR="00E47883" w:rsidRPr="00D57CC6">
        <w:rPr>
          <w:color w:val="auto"/>
        </w:rPr>
        <w:t>nly be actioned by Government.</w:t>
      </w:r>
    </w:p>
    <w:p w14:paraId="368AA0B9" w14:textId="77777777" w:rsidR="00091044" w:rsidRPr="00D57CC6" w:rsidRDefault="00B52E8E" w:rsidP="00427E38">
      <w:pPr>
        <w:rPr>
          <w:color w:val="auto"/>
        </w:rPr>
      </w:pPr>
      <w:r w:rsidRPr="00D57CC6">
        <w:rPr>
          <w:color w:val="auto"/>
        </w:rPr>
        <w:t>To continue a program without reliable evidence of its utility is not a suitable use of public fund</w:t>
      </w:r>
      <w:r w:rsidR="00D57CC6" w:rsidRPr="00D57CC6">
        <w:rPr>
          <w:color w:val="auto"/>
        </w:rPr>
        <w:t>s</w:t>
      </w:r>
      <w:r w:rsidRPr="00D57CC6">
        <w:rPr>
          <w:color w:val="auto"/>
        </w:rPr>
        <w:t xml:space="preserve"> and Government action is required</w:t>
      </w:r>
      <w:r w:rsidR="004C0D63" w:rsidRPr="00D57CC6">
        <w:rPr>
          <w:color w:val="auto"/>
        </w:rPr>
        <w:t xml:space="preserve"> to consider alternative approaches</w:t>
      </w:r>
      <w:r w:rsidR="00172173" w:rsidRPr="00D57CC6">
        <w:rPr>
          <w:color w:val="auto"/>
        </w:rPr>
        <w:t xml:space="preserve">. </w:t>
      </w:r>
      <w:r w:rsidR="0061696F" w:rsidRPr="00D57CC6">
        <w:rPr>
          <w:color w:val="auto"/>
        </w:rPr>
        <w:t>T</w:t>
      </w:r>
      <w:r w:rsidR="0034586E" w:rsidRPr="00D57CC6">
        <w:rPr>
          <w:color w:val="auto"/>
        </w:rPr>
        <w:t xml:space="preserve">he </w:t>
      </w:r>
      <w:r w:rsidR="007105C4" w:rsidRPr="00D57CC6">
        <w:rPr>
          <w:color w:val="auto"/>
        </w:rPr>
        <w:t>Australia</w:t>
      </w:r>
      <w:r w:rsidR="007274BB" w:rsidRPr="00D57CC6">
        <w:rPr>
          <w:color w:val="auto"/>
        </w:rPr>
        <w:t>n</w:t>
      </w:r>
      <w:r w:rsidR="007105C4" w:rsidRPr="00D57CC6">
        <w:rPr>
          <w:color w:val="auto"/>
        </w:rPr>
        <w:t xml:space="preserve"> </w:t>
      </w:r>
      <w:r w:rsidR="0034586E" w:rsidRPr="00D57CC6">
        <w:rPr>
          <w:color w:val="auto"/>
        </w:rPr>
        <w:t xml:space="preserve">policy landscape </w:t>
      </w:r>
      <w:r w:rsidR="007274BB" w:rsidRPr="00D57CC6">
        <w:rPr>
          <w:color w:val="auto"/>
        </w:rPr>
        <w:t xml:space="preserve">in relation to dealing with individual issues with drugs, alcohol and gambling </w:t>
      </w:r>
      <w:r w:rsidR="0034586E" w:rsidRPr="00D57CC6">
        <w:rPr>
          <w:color w:val="auto"/>
        </w:rPr>
        <w:t xml:space="preserve">has changed since the introduction of the </w:t>
      </w:r>
      <w:r w:rsidR="007105C4" w:rsidRPr="00D57CC6">
        <w:rPr>
          <w:color w:val="auto"/>
        </w:rPr>
        <w:t>program</w:t>
      </w:r>
      <w:r w:rsidR="00172173" w:rsidRPr="00D57CC6">
        <w:rPr>
          <w:color w:val="auto"/>
        </w:rPr>
        <w:t>s.</w:t>
      </w:r>
      <w:r w:rsidR="007105C4" w:rsidRPr="00D57CC6">
        <w:rPr>
          <w:color w:val="auto"/>
        </w:rPr>
        <w:t xml:space="preserve"> </w:t>
      </w:r>
      <w:r w:rsidR="007274BB" w:rsidRPr="00D57CC6">
        <w:rPr>
          <w:color w:val="auto"/>
        </w:rPr>
        <w:t xml:space="preserve">There has been a </w:t>
      </w:r>
      <w:r w:rsidR="004C0D63" w:rsidRPr="00D57CC6">
        <w:rPr>
          <w:color w:val="auto"/>
        </w:rPr>
        <w:t>clear shift to place based approach</w:t>
      </w:r>
      <w:r w:rsidR="0061696F" w:rsidRPr="00D57CC6">
        <w:rPr>
          <w:color w:val="auto"/>
        </w:rPr>
        <w:t>es</w:t>
      </w:r>
      <w:r w:rsidR="004C0D63" w:rsidRPr="00D57CC6">
        <w:rPr>
          <w:color w:val="auto"/>
        </w:rPr>
        <w:t xml:space="preserve"> that are co-designed with local communities </w:t>
      </w:r>
      <w:r w:rsidR="0061696F" w:rsidRPr="00D57CC6">
        <w:rPr>
          <w:color w:val="auto"/>
        </w:rPr>
        <w:t>and</w:t>
      </w:r>
      <w:r w:rsidR="004C0D63" w:rsidRPr="00D57CC6">
        <w:rPr>
          <w:color w:val="auto"/>
        </w:rPr>
        <w:t xml:space="preserve"> respon</w:t>
      </w:r>
      <w:r w:rsidR="0061696F" w:rsidRPr="00D57CC6">
        <w:rPr>
          <w:color w:val="auto"/>
        </w:rPr>
        <w:t>d to local needs or opportunities</w:t>
      </w:r>
      <w:r w:rsidR="004C0D63" w:rsidRPr="00D57CC6">
        <w:rPr>
          <w:color w:val="auto"/>
        </w:rPr>
        <w:t>. This shift is evident in policies and programs addressing</w:t>
      </w:r>
      <w:r w:rsidR="0061696F" w:rsidRPr="00D57CC6">
        <w:rPr>
          <w:color w:val="auto"/>
        </w:rPr>
        <w:t xml:space="preserve"> a range of policy areas, including</w:t>
      </w:r>
      <w:r w:rsidR="007105C4" w:rsidRPr="00D57CC6">
        <w:rPr>
          <w:color w:val="auto"/>
        </w:rPr>
        <w:t xml:space="preserve"> alcohol and illicit drug misuse and domestic, family and sexual violence</w:t>
      </w:r>
      <w:r w:rsidR="003B743D">
        <w:rPr>
          <w:color w:val="auto"/>
        </w:rPr>
        <w:t>.</w:t>
      </w:r>
      <w:r w:rsidR="001964EB" w:rsidRPr="00D57CC6">
        <w:rPr>
          <w:rStyle w:val="FootnoteReference"/>
          <w:color w:val="auto"/>
        </w:rPr>
        <w:footnoteReference w:id="19"/>
      </w:r>
    </w:p>
    <w:p w14:paraId="7F44B597" w14:textId="212AB65C" w:rsidR="00091044" w:rsidRDefault="00CD3DB4" w:rsidP="00B65911">
      <w:pPr>
        <w:pStyle w:val="Heading2"/>
      </w:pPr>
      <w:bookmarkStart w:id="60" w:name="_Toc118103749"/>
      <w:r>
        <w:t xml:space="preserve">2.2 </w:t>
      </w:r>
      <w:r w:rsidR="00091044">
        <w:t>Alternatives to Commonwealth Government action</w:t>
      </w:r>
      <w:bookmarkEnd w:id="60"/>
    </w:p>
    <w:p w14:paraId="09F760A3" w14:textId="77777777" w:rsidR="00091044" w:rsidRPr="00D57CC6" w:rsidRDefault="00B71B7E" w:rsidP="00427E38">
      <w:pPr>
        <w:rPr>
          <w:color w:val="auto"/>
        </w:rPr>
      </w:pPr>
      <w:r w:rsidRPr="00D57CC6">
        <w:rPr>
          <w:color w:val="auto"/>
        </w:rPr>
        <w:t>The introduction of other</w:t>
      </w:r>
      <w:r w:rsidR="00427E38" w:rsidRPr="00D57CC6">
        <w:rPr>
          <w:color w:val="auto"/>
        </w:rPr>
        <w:t xml:space="preserve"> government </w:t>
      </w:r>
      <w:r w:rsidR="007105C4" w:rsidRPr="00D57CC6">
        <w:rPr>
          <w:color w:val="auto"/>
        </w:rPr>
        <w:t xml:space="preserve">policies </w:t>
      </w:r>
      <w:r w:rsidR="00427E38" w:rsidRPr="00D57CC6">
        <w:rPr>
          <w:color w:val="auto"/>
        </w:rPr>
        <w:t xml:space="preserve">(at both a Commonwealth and State and Territory level) </w:t>
      </w:r>
      <w:r w:rsidRPr="00D57CC6">
        <w:rPr>
          <w:color w:val="auto"/>
        </w:rPr>
        <w:t xml:space="preserve">recognises the complexity and </w:t>
      </w:r>
      <w:r w:rsidR="007105C4" w:rsidRPr="00D57CC6">
        <w:rPr>
          <w:color w:val="auto"/>
        </w:rPr>
        <w:t>multifaceted nature of the</w:t>
      </w:r>
      <w:r w:rsidR="004547E3" w:rsidRPr="00D57CC6">
        <w:rPr>
          <w:color w:val="auto"/>
        </w:rPr>
        <w:t xml:space="preserve">se </w:t>
      </w:r>
      <w:r w:rsidR="007105C4" w:rsidRPr="00D57CC6">
        <w:rPr>
          <w:color w:val="auto"/>
        </w:rPr>
        <w:t>social issue</w:t>
      </w:r>
      <w:r w:rsidR="00375000" w:rsidRPr="00D57CC6">
        <w:rPr>
          <w:color w:val="auto"/>
        </w:rPr>
        <w:t>s</w:t>
      </w:r>
      <w:r w:rsidR="007105C4" w:rsidRPr="00D57CC6">
        <w:rPr>
          <w:color w:val="auto"/>
        </w:rPr>
        <w:t xml:space="preserve"> and provide</w:t>
      </w:r>
      <w:r w:rsidR="009C16EA" w:rsidRPr="00D57CC6">
        <w:rPr>
          <w:color w:val="auto"/>
        </w:rPr>
        <w:t>s</w:t>
      </w:r>
      <w:r w:rsidR="007105C4" w:rsidRPr="00D57CC6">
        <w:rPr>
          <w:color w:val="auto"/>
        </w:rPr>
        <w:t xml:space="preserve"> </w:t>
      </w:r>
      <w:r w:rsidR="00427E38" w:rsidRPr="00D57CC6">
        <w:rPr>
          <w:color w:val="auto"/>
        </w:rPr>
        <w:t>more targeted interventions</w:t>
      </w:r>
      <w:r w:rsidR="004C0D63" w:rsidRPr="00D57CC6">
        <w:rPr>
          <w:color w:val="auto"/>
        </w:rPr>
        <w:t xml:space="preserve"> </w:t>
      </w:r>
      <w:r w:rsidR="0061696F" w:rsidRPr="00D57CC6">
        <w:rPr>
          <w:color w:val="auto"/>
        </w:rPr>
        <w:t xml:space="preserve">that are aligned with </w:t>
      </w:r>
      <w:r w:rsidR="004C0D63" w:rsidRPr="00D57CC6">
        <w:rPr>
          <w:color w:val="auto"/>
        </w:rPr>
        <w:t>community</w:t>
      </w:r>
      <w:r w:rsidR="0061696F" w:rsidRPr="00D57CC6">
        <w:rPr>
          <w:color w:val="auto"/>
        </w:rPr>
        <w:t xml:space="preserve"> aspirations</w:t>
      </w:r>
      <w:r w:rsidRPr="00D57CC6">
        <w:rPr>
          <w:color w:val="auto"/>
        </w:rPr>
        <w:t>.</w:t>
      </w:r>
      <w:r w:rsidR="00427E38" w:rsidRPr="00D57CC6">
        <w:rPr>
          <w:color w:val="auto"/>
        </w:rPr>
        <w:t xml:space="preserve"> </w:t>
      </w:r>
      <w:r w:rsidR="009C16EA" w:rsidRPr="00D57CC6">
        <w:rPr>
          <w:color w:val="auto"/>
        </w:rPr>
        <w:t xml:space="preserve">These </w:t>
      </w:r>
      <w:r w:rsidR="00091044" w:rsidRPr="00D57CC6">
        <w:rPr>
          <w:color w:val="auto"/>
        </w:rPr>
        <w:t xml:space="preserve">alternative </w:t>
      </w:r>
      <w:r w:rsidR="004C0D63" w:rsidRPr="00D57CC6">
        <w:rPr>
          <w:color w:val="auto"/>
        </w:rPr>
        <w:t>approaches</w:t>
      </w:r>
      <w:r w:rsidR="009C16EA" w:rsidRPr="00D57CC6">
        <w:rPr>
          <w:color w:val="auto"/>
        </w:rPr>
        <w:t xml:space="preserve"> </w:t>
      </w:r>
      <w:r w:rsidR="008C4C5E" w:rsidRPr="00D57CC6">
        <w:rPr>
          <w:color w:val="auto"/>
        </w:rPr>
        <w:t>provide</w:t>
      </w:r>
      <w:r w:rsidR="00F1749C" w:rsidRPr="00D57CC6">
        <w:rPr>
          <w:color w:val="auto"/>
        </w:rPr>
        <w:t xml:space="preserve"> </w:t>
      </w:r>
      <w:r w:rsidR="009C16EA" w:rsidRPr="00D57CC6">
        <w:rPr>
          <w:color w:val="auto"/>
        </w:rPr>
        <w:t xml:space="preserve">more </w:t>
      </w:r>
      <w:r w:rsidR="008C4C5E" w:rsidRPr="00D57CC6">
        <w:rPr>
          <w:color w:val="auto"/>
        </w:rPr>
        <w:t xml:space="preserve">effective </w:t>
      </w:r>
      <w:r w:rsidR="009C16EA" w:rsidRPr="00D57CC6">
        <w:rPr>
          <w:color w:val="auto"/>
        </w:rPr>
        <w:t xml:space="preserve">alternatives to the current </w:t>
      </w:r>
      <w:r w:rsidR="00574793" w:rsidRPr="00D57CC6">
        <w:rPr>
          <w:color w:val="auto"/>
        </w:rPr>
        <w:t>program</w:t>
      </w:r>
      <w:r w:rsidR="007274BB" w:rsidRPr="00D57CC6">
        <w:rPr>
          <w:color w:val="auto"/>
        </w:rPr>
        <w:t xml:space="preserve">s which are not specifically targeted at </w:t>
      </w:r>
      <w:r w:rsidR="00ED793F" w:rsidRPr="00D57CC6">
        <w:rPr>
          <w:color w:val="auto"/>
        </w:rPr>
        <w:t>problems individuals are facing</w:t>
      </w:r>
      <w:r w:rsidR="00574793" w:rsidRPr="00D57CC6">
        <w:rPr>
          <w:color w:val="auto"/>
        </w:rPr>
        <w:t xml:space="preserve">. </w:t>
      </w:r>
      <w:r w:rsidR="00ED793F" w:rsidRPr="00D57CC6">
        <w:rPr>
          <w:color w:val="auto"/>
        </w:rPr>
        <w:t>Alternatives allowing people to choose to quarantine part of their income support payments can complement these community based alternatives.</w:t>
      </w:r>
      <w:r w:rsidR="009C16EA" w:rsidRPr="00D57CC6">
        <w:rPr>
          <w:color w:val="auto"/>
        </w:rPr>
        <w:t xml:space="preserve"> </w:t>
      </w:r>
      <w:r w:rsidR="00091044" w:rsidRPr="00D57CC6">
        <w:rPr>
          <w:color w:val="auto"/>
        </w:rPr>
        <w:t>Community groups, businesses and individuals also have a role to play to reduce societal harm</w:t>
      </w:r>
      <w:r w:rsidR="00ED793F" w:rsidRPr="00D57CC6">
        <w:rPr>
          <w:color w:val="auto"/>
        </w:rPr>
        <w:t>. H</w:t>
      </w:r>
      <w:r w:rsidR="00091044" w:rsidRPr="00D57CC6">
        <w:rPr>
          <w:color w:val="auto"/>
        </w:rPr>
        <w:t>owever</w:t>
      </w:r>
      <w:r w:rsidR="000154D6" w:rsidRPr="00D57CC6">
        <w:rPr>
          <w:color w:val="auto"/>
        </w:rPr>
        <w:t>,</w:t>
      </w:r>
      <w:r w:rsidR="00091044" w:rsidRPr="00D57CC6">
        <w:rPr>
          <w:color w:val="auto"/>
        </w:rPr>
        <w:t xml:space="preserve"> they currently spend time and resources on the existing </w:t>
      </w:r>
      <w:r w:rsidR="007F2973" w:rsidRPr="00D57CC6">
        <w:rPr>
          <w:color w:val="auto"/>
        </w:rPr>
        <w:t>compulsory</w:t>
      </w:r>
      <w:r w:rsidR="00091044" w:rsidRPr="00D57CC6">
        <w:rPr>
          <w:color w:val="auto"/>
        </w:rPr>
        <w:t xml:space="preserve"> programs </w:t>
      </w:r>
      <w:r w:rsidR="00ED793F" w:rsidRPr="00D57CC6">
        <w:rPr>
          <w:color w:val="auto"/>
        </w:rPr>
        <w:t xml:space="preserve">which would be freed up to consider alternative approaches if the </w:t>
      </w:r>
      <w:r w:rsidR="00091044" w:rsidRPr="00D57CC6">
        <w:rPr>
          <w:color w:val="auto"/>
        </w:rPr>
        <w:t xml:space="preserve">Government </w:t>
      </w:r>
      <w:r w:rsidR="002817A7" w:rsidRPr="00D57CC6">
        <w:rPr>
          <w:color w:val="auto"/>
        </w:rPr>
        <w:t>re</w:t>
      </w:r>
      <w:r w:rsidR="00ED793F" w:rsidRPr="00D57CC6">
        <w:rPr>
          <w:color w:val="auto"/>
        </w:rPr>
        <w:t xml:space="preserve">forms </w:t>
      </w:r>
      <w:r w:rsidR="002817A7" w:rsidRPr="00D57CC6">
        <w:rPr>
          <w:color w:val="auto"/>
        </w:rPr>
        <w:t>these programs</w:t>
      </w:r>
      <w:r w:rsidR="00ED793F" w:rsidRPr="00D57CC6">
        <w:rPr>
          <w:color w:val="auto"/>
        </w:rPr>
        <w:t>.</w:t>
      </w:r>
    </w:p>
    <w:p w14:paraId="72430D93" w14:textId="77777777" w:rsidR="00BB4724" w:rsidRPr="00427E38" w:rsidRDefault="00CD3DB4" w:rsidP="00B65911">
      <w:pPr>
        <w:pStyle w:val="Heading2"/>
      </w:pPr>
      <w:bookmarkStart w:id="61" w:name="_Toc118103750"/>
      <w:r>
        <w:t xml:space="preserve">2.3 </w:t>
      </w:r>
      <w:r w:rsidR="00BB4724">
        <w:t>Objectives of the policy change</w:t>
      </w:r>
      <w:bookmarkEnd w:id="61"/>
      <w:r w:rsidR="00BB4724">
        <w:t xml:space="preserve"> </w:t>
      </w:r>
    </w:p>
    <w:p w14:paraId="116CC1BB" w14:textId="77777777" w:rsidR="00990B13" w:rsidRPr="00D57CC6" w:rsidRDefault="000F7948" w:rsidP="00427E38">
      <w:pPr>
        <w:rPr>
          <w:bCs/>
          <w:color w:val="auto"/>
        </w:rPr>
      </w:pPr>
      <w:r w:rsidRPr="00D57CC6">
        <w:rPr>
          <w:bCs/>
          <w:color w:val="auto"/>
        </w:rPr>
        <w:t>The objective</w:t>
      </w:r>
      <w:r w:rsidR="000A39DC" w:rsidRPr="00D57CC6">
        <w:rPr>
          <w:bCs/>
          <w:color w:val="auto"/>
        </w:rPr>
        <w:t>s</w:t>
      </w:r>
      <w:r w:rsidR="003670B3" w:rsidRPr="00D57CC6">
        <w:rPr>
          <w:bCs/>
          <w:color w:val="auto"/>
        </w:rPr>
        <w:t xml:space="preserve"> of abolishing CDC and reforming IM </w:t>
      </w:r>
      <w:r w:rsidR="000A39DC" w:rsidRPr="00D57CC6">
        <w:rPr>
          <w:bCs/>
          <w:color w:val="auto"/>
        </w:rPr>
        <w:t>programs are</w:t>
      </w:r>
      <w:r w:rsidR="003B743D">
        <w:rPr>
          <w:bCs/>
          <w:color w:val="auto"/>
        </w:rPr>
        <w:t xml:space="preserve"> to:</w:t>
      </w:r>
    </w:p>
    <w:p w14:paraId="1450EA32" w14:textId="77777777" w:rsidR="00990B13" w:rsidRPr="00D57CC6" w:rsidRDefault="007105C4" w:rsidP="00031DCD">
      <w:pPr>
        <w:pStyle w:val="ListParagraph"/>
        <w:numPr>
          <w:ilvl w:val="0"/>
          <w:numId w:val="24"/>
        </w:numPr>
        <w:rPr>
          <w:color w:val="auto"/>
        </w:rPr>
      </w:pPr>
      <w:r w:rsidRPr="00D57CC6">
        <w:rPr>
          <w:bCs/>
          <w:color w:val="auto"/>
        </w:rPr>
        <w:t xml:space="preserve">return control </w:t>
      </w:r>
      <w:r w:rsidR="00427E38" w:rsidRPr="00D57CC6">
        <w:rPr>
          <w:bCs/>
          <w:color w:val="auto"/>
        </w:rPr>
        <w:t xml:space="preserve">and choice </w:t>
      </w:r>
      <w:r w:rsidRPr="00D57CC6">
        <w:rPr>
          <w:bCs/>
          <w:color w:val="auto"/>
        </w:rPr>
        <w:t xml:space="preserve">of </w:t>
      </w:r>
      <w:r w:rsidR="00900C95" w:rsidRPr="00D57CC6">
        <w:rPr>
          <w:bCs/>
          <w:color w:val="auto"/>
        </w:rPr>
        <w:t>income support</w:t>
      </w:r>
      <w:r w:rsidRPr="00D57CC6">
        <w:rPr>
          <w:bCs/>
          <w:color w:val="auto"/>
        </w:rPr>
        <w:t xml:space="preserve"> payments back to </w:t>
      </w:r>
      <w:r w:rsidR="00B36FCC" w:rsidRPr="00D57CC6">
        <w:rPr>
          <w:bCs/>
          <w:color w:val="auto"/>
        </w:rPr>
        <w:t>individuals</w:t>
      </w:r>
      <w:r w:rsidR="00BE40A8" w:rsidRPr="00D57CC6">
        <w:rPr>
          <w:bCs/>
          <w:color w:val="auto"/>
        </w:rPr>
        <w:t>.</w:t>
      </w:r>
    </w:p>
    <w:p w14:paraId="7F3529AC" w14:textId="77777777" w:rsidR="008402D6" w:rsidRPr="008402D6" w:rsidRDefault="00990B13" w:rsidP="00031DCD">
      <w:pPr>
        <w:pStyle w:val="ListParagraph"/>
        <w:numPr>
          <w:ilvl w:val="0"/>
          <w:numId w:val="24"/>
        </w:numPr>
        <w:rPr>
          <w:color w:val="auto"/>
        </w:rPr>
      </w:pPr>
      <w:r w:rsidRPr="00F94F58">
        <w:rPr>
          <w:bCs/>
          <w:color w:val="auto"/>
        </w:rPr>
        <w:t>offer the option of continuing support for people who want to continue to have part of their payments quarantined through voluntary IM</w:t>
      </w:r>
      <w:r w:rsidR="008402D6">
        <w:rPr>
          <w:bCs/>
          <w:color w:val="auto"/>
        </w:rPr>
        <w:t xml:space="preserve">. </w:t>
      </w:r>
    </w:p>
    <w:p w14:paraId="358C9D74" w14:textId="77777777" w:rsidR="00990B13" w:rsidRPr="00F94F58" w:rsidRDefault="008402D6" w:rsidP="00031DCD">
      <w:pPr>
        <w:pStyle w:val="ListParagraph"/>
        <w:numPr>
          <w:ilvl w:val="0"/>
          <w:numId w:val="24"/>
        </w:numPr>
        <w:rPr>
          <w:color w:val="auto"/>
        </w:rPr>
      </w:pPr>
      <w:r>
        <w:rPr>
          <w:bCs/>
          <w:color w:val="auto"/>
        </w:rPr>
        <w:t>Ensure those who volunteer for IM do not return to the BasicsCard but will have similar card functionality to what they are currently using</w:t>
      </w:r>
      <w:r w:rsidR="00E47883" w:rsidRPr="00F94F58">
        <w:rPr>
          <w:bCs/>
          <w:color w:val="auto"/>
        </w:rPr>
        <w:t>.</w:t>
      </w:r>
    </w:p>
    <w:p w14:paraId="6E812941" w14:textId="77777777" w:rsidR="00990B13" w:rsidRPr="00F94F58" w:rsidRDefault="00265698" w:rsidP="000F0E6C">
      <w:pPr>
        <w:pStyle w:val="ListParagraph"/>
        <w:numPr>
          <w:ilvl w:val="0"/>
          <w:numId w:val="24"/>
        </w:numPr>
        <w:rPr>
          <w:color w:val="auto"/>
        </w:rPr>
      </w:pPr>
      <w:r>
        <w:rPr>
          <w:bCs/>
          <w:color w:val="auto"/>
        </w:rPr>
        <w:t xml:space="preserve">increased levels of funding support for </w:t>
      </w:r>
      <w:r w:rsidR="00355AA7" w:rsidRPr="00F94F58">
        <w:rPr>
          <w:rFonts w:cstheme="minorHAnsi"/>
        </w:rPr>
        <w:t xml:space="preserve">place-based approaches that are co-designed with local communities </w:t>
      </w:r>
      <w:r w:rsidR="00990B13" w:rsidRPr="00F94F58">
        <w:rPr>
          <w:bCs/>
          <w:color w:val="auto"/>
        </w:rPr>
        <w:t xml:space="preserve">to better achieve </w:t>
      </w:r>
      <w:r w:rsidR="002F70E6" w:rsidRPr="00F94F58">
        <w:rPr>
          <w:color w:val="auto"/>
          <w:lang w:eastAsia="en-AU"/>
        </w:rPr>
        <w:t>social and wellbeing outcomes,</w:t>
      </w:r>
      <w:r w:rsidR="002F70E6" w:rsidRPr="00F94F58">
        <w:rPr>
          <w:bCs/>
          <w:color w:val="auto"/>
        </w:rPr>
        <w:t xml:space="preserve"> </w:t>
      </w:r>
      <w:r>
        <w:rPr>
          <w:bCs/>
          <w:color w:val="auto"/>
        </w:rPr>
        <w:t>such as reducing drug and alcoh</w:t>
      </w:r>
      <w:r w:rsidR="003B743D">
        <w:rPr>
          <w:bCs/>
          <w:color w:val="auto"/>
        </w:rPr>
        <w:t>ol misuse and problem gambling.</w:t>
      </w:r>
    </w:p>
    <w:p w14:paraId="05C0F968" w14:textId="14F41DBE" w:rsidR="00FB5ADF" w:rsidRDefault="00CD3DB4" w:rsidP="00B65911">
      <w:pPr>
        <w:pStyle w:val="Heading2"/>
      </w:pPr>
      <w:bookmarkStart w:id="62" w:name="_Toc109331832"/>
      <w:bookmarkStart w:id="63" w:name="_Toc118103751"/>
      <w:r>
        <w:t xml:space="preserve">2.4 </w:t>
      </w:r>
      <w:r w:rsidR="00FB5ADF">
        <w:t>Constraints or barriers to achieving these objectives</w:t>
      </w:r>
      <w:bookmarkEnd w:id="62"/>
      <w:bookmarkEnd w:id="63"/>
    </w:p>
    <w:p w14:paraId="572CC18E" w14:textId="77777777" w:rsidR="00FB5ADF" w:rsidRPr="00D57CC6" w:rsidRDefault="00FB5ADF" w:rsidP="00FB5ADF">
      <w:pPr>
        <w:pStyle w:val="BodyText"/>
        <w:rPr>
          <w:color w:val="auto"/>
        </w:rPr>
      </w:pPr>
      <w:r w:rsidRPr="00D57CC6">
        <w:rPr>
          <w:color w:val="auto"/>
        </w:rPr>
        <w:t>The Government has identified several barriers to achiev</w:t>
      </w:r>
      <w:r w:rsidR="00231FEE">
        <w:rPr>
          <w:color w:val="auto"/>
        </w:rPr>
        <w:t>e</w:t>
      </w:r>
      <w:r w:rsidRPr="00D57CC6">
        <w:rPr>
          <w:color w:val="auto"/>
        </w:rPr>
        <w:t xml:space="preserve"> the objectives of the policy change</w:t>
      </w:r>
      <w:r w:rsidR="00231FEE">
        <w:rPr>
          <w:color w:val="auto"/>
        </w:rPr>
        <w:t xml:space="preserve">s. These will be </w:t>
      </w:r>
      <w:r w:rsidRPr="00D57CC6">
        <w:rPr>
          <w:color w:val="auto"/>
        </w:rPr>
        <w:t>carefully consider</w:t>
      </w:r>
      <w:r w:rsidR="00231FEE">
        <w:rPr>
          <w:color w:val="auto"/>
        </w:rPr>
        <w:t xml:space="preserve">ed and addressed </w:t>
      </w:r>
      <w:r w:rsidRPr="00D57CC6">
        <w:rPr>
          <w:color w:val="auto"/>
        </w:rPr>
        <w:t xml:space="preserve">through </w:t>
      </w:r>
      <w:r w:rsidR="00231FEE">
        <w:rPr>
          <w:color w:val="auto"/>
        </w:rPr>
        <w:t xml:space="preserve">the </w:t>
      </w:r>
      <w:r w:rsidRPr="00D57CC6">
        <w:rPr>
          <w:color w:val="auto"/>
        </w:rPr>
        <w:t>design and implementation process. These barriers are:</w:t>
      </w:r>
    </w:p>
    <w:p w14:paraId="6B0A35F5" w14:textId="77777777" w:rsidR="00FB5ADF" w:rsidRPr="00444A1A" w:rsidRDefault="00FB5ADF" w:rsidP="00031DCD">
      <w:pPr>
        <w:pStyle w:val="BodyText"/>
        <w:numPr>
          <w:ilvl w:val="0"/>
          <w:numId w:val="26"/>
        </w:numPr>
        <w:rPr>
          <w:color w:val="auto"/>
        </w:rPr>
      </w:pPr>
      <w:r w:rsidRPr="00444A1A">
        <w:rPr>
          <w:b/>
          <w:color w:val="auto"/>
        </w:rPr>
        <w:t>Time constraints</w:t>
      </w:r>
      <w:r w:rsidRPr="00444A1A">
        <w:rPr>
          <w:color w:val="auto"/>
        </w:rPr>
        <w:t xml:space="preserve"> – there could </w:t>
      </w:r>
      <w:r w:rsidR="00A85FF0" w:rsidRPr="00444A1A">
        <w:rPr>
          <w:color w:val="auto"/>
        </w:rPr>
        <w:t xml:space="preserve">be </w:t>
      </w:r>
      <w:r w:rsidRPr="00444A1A">
        <w:rPr>
          <w:color w:val="auto"/>
        </w:rPr>
        <w:t xml:space="preserve">difficulties in transitioning all participants off </w:t>
      </w:r>
      <w:r w:rsidR="00A85FF0" w:rsidRPr="00444A1A">
        <w:rPr>
          <w:color w:val="auto"/>
        </w:rPr>
        <w:t xml:space="preserve">the </w:t>
      </w:r>
      <w:r w:rsidRPr="00444A1A">
        <w:rPr>
          <w:color w:val="auto"/>
        </w:rPr>
        <w:t>CDC program by 31 December 2022 due to the limited time period for tra</w:t>
      </w:r>
      <w:r w:rsidR="00BD5B94" w:rsidRPr="00444A1A">
        <w:rPr>
          <w:color w:val="auto"/>
        </w:rPr>
        <w:t>nsition</w:t>
      </w:r>
      <w:r w:rsidR="00BE6770" w:rsidRPr="00444A1A">
        <w:rPr>
          <w:color w:val="auto"/>
        </w:rPr>
        <w:t xml:space="preserve"> and the mobile nature of many participants</w:t>
      </w:r>
      <w:r w:rsidR="00BD5B94" w:rsidRPr="00444A1A">
        <w:rPr>
          <w:color w:val="auto"/>
        </w:rPr>
        <w:t>.</w:t>
      </w:r>
    </w:p>
    <w:p w14:paraId="01C4DBE3" w14:textId="77777777" w:rsidR="00635177" w:rsidRPr="00444A1A" w:rsidRDefault="00635177" w:rsidP="00031DCD">
      <w:pPr>
        <w:pStyle w:val="BodyText"/>
        <w:numPr>
          <w:ilvl w:val="0"/>
          <w:numId w:val="26"/>
        </w:numPr>
        <w:rPr>
          <w:color w:val="auto"/>
        </w:rPr>
      </w:pPr>
      <w:r w:rsidRPr="00444A1A">
        <w:rPr>
          <w:b/>
          <w:color w:val="auto"/>
        </w:rPr>
        <w:t xml:space="preserve">Voluntary participation in the program </w:t>
      </w:r>
      <w:r w:rsidRPr="00444A1A">
        <w:rPr>
          <w:color w:val="auto"/>
        </w:rPr>
        <w:t xml:space="preserve">– participation in the voluntary program is based on a number of </w:t>
      </w:r>
      <w:r w:rsidR="00B07D96" w:rsidRPr="00444A1A">
        <w:rPr>
          <w:color w:val="auto"/>
        </w:rPr>
        <w:t>assumptions</w:t>
      </w:r>
      <w:r w:rsidR="003C70F6" w:rsidRPr="00444A1A">
        <w:rPr>
          <w:color w:val="auto"/>
        </w:rPr>
        <w:t xml:space="preserve"> around the current rate of volunteering in the IM program. There is a risk that these assumptions are incorrect and the numbers of people who do volunteer are either higher or lower than what is forecast. Risks on the downside are that people do not volunteer at </w:t>
      </w:r>
      <w:r w:rsidR="00A172E5" w:rsidRPr="00444A1A">
        <w:rPr>
          <w:color w:val="auto"/>
        </w:rPr>
        <w:t xml:space="preserve">or above </w:t>
      </w:r>
      <w:r w:rsidR="003C70F6" w:rsidRPr="00444A1A">
        <w:rPr>
          <w:color w:val="auto"/>
        </w:rPr>
        <w:t>the current rate</w:t>
      </w:r>
      <w:r w:rsidR="00A172E5" w:rsidRPr="00444A1A">
        <w:rPr>
          <w:color w:val="auto"/>
        </w:rPr>
        <w:t>,</w:t>
      </w:r>
      <w:r w:rsidR="003C70F6" w:rsidRPr="00444A1A">
        <w:rPr>
          <w:color w:val="auto"/>
        </w:rPr>
        <w:t xml:space="preserve"> </w:t>
      </w:r>
      <w:r w:rsidR="00A172E5" w:rsidRPr="00444A1A">
        <w:rPr>
          <w:color w:val="auto"/>
        </w:rPr>
        <w:t xml:space="preserve">as is assumed in the voluntary participant numbers, </w:t>
      </w:r>
      <w:r w:rsidR="003C70F6" w:rsidRPr="00444A1A">
        <w:rPr>
          <w:color w:val="auto"/>
        </w:rPr>
        <w:t xml:space="preserve">due to </w:t>
      </w:r>
      <w:r w:rsidR="00A172E5" w:rsidRPr="00444A1A">
        <w:rPr>
          <w:color w:val="auto"/>
        </w:rPr>
        <w:t xml:space="preserve">a preference to have full </w:t>
      </w:r>
      <w:r w:rsidR="003C70F6" w:rsidRPr="00444A1A">
        <w:rPr>
          <w:color w:val="auto"/>
        </w:rPr>
        <w:t>access to all of their income support payment</w:t>
      </w:r>
      <w:r w:rsidR="00C209F0" w:rsidRPr="00444A1A">
        <w:rPr>
          <w:color w:val="auto"/>
        </w:rPr>
        <w:t>.</w:t>
      </w:r>
      <w:r w:rsidR="003C70F6" w:rsidRPr="00444A1A">
        <w:rPr>
          <w:color w:val="auto"/>
        </w:rPr>
        <w:t xml:space="preserve"> </w:t>
      </w:r>
      <w:r w:rsidR="00A172E5" w:rsidRPr="00444A1A">
        <w:rPr>
          <w:color w:val="auto"/>
        </w:rPr>
        <w:t xml:space="preserve">Participation numbers are also contingent on future government decisions. Low participation in the program could </w:t>
      </w:r>
      <w:r w:rsidR="003C70F6" w:rsidRPr="00444A1A">
        <w:rPr>
          <w:color w:val="auto"/>
        </w:rPr>
        <w:t>raise conc</w:t>
      </w:r>
      <w:r w:rsidR="00C209F0" w:rsidRPr="00444A1A">
        <w:rPr>
          <w:color w:val="auto"/>
        </w:rPr>
        <w:t xml:space="preserve">erns with the viability of the program. </w:t>
      </w:r>
      <w:r w:rsidR="00A172E5" w:rsidRPr="00444A1A">
        <w:rPr>
          <w:color w:val="auto"/>
        </w:rPr>
        <w:t>Conversely, t</w:t>
      </w:r>
      <w:r w:rsidR="00BD629A" w:rsidRPr="00444A1A">
        <w:rPr>
          <w:color w:val="auto"/>
        </w:rPr>
        <w:t>he number of people</w:t>
      </w:r>
      <w:r w:rsidR="00C209F0" w:rsidRPr="00444A1A">
        <w:rPr>
          <w:color w:val="auto"/>
        </w:rPr>
        <w:t xml:space="preserve"> could also be higher. The reasons for this </w:t>
      </w:r>
      <w:r w:rsidR="00A172E5" w:rsidRPr="00444A1A">
        <w:rPr>
          <w:color w:val="auto"/>
        </w:rPr>
        <w:t xml:space="preserve">could be </w:t>
      </w:r>
      <w:r w:rsidR="00C209F0" w:rsidRPr="00444A1A">
        <w:rPr>
          <w:color w:val="auto"/>
        </w:rPr>
        <w:t xml:space="preserve">the broad </w:t>
      </w:r>
      <w:r w:rsidR="005A4BCE">
        <w:rPr>
          <w:color w:val="auto"/>
        </w:rPr>
        <w:t>based</w:t>
      </w:r>
      <w:r w:rsidR="00C209F0" w:rsidRPr="00444A1A">
        <w:rPr>
          <w:color w:val="auto"/>
        </w:rPr>
        <w:t xml:space="preserve"> nature of the CDC and IM programs</w:t>
      </w:r>
      <w:r w:rsidR="00BA2878" w:rsidRPr="00444A1A">
        <w:rPr>
          <w:color w:val="auto"/>
        </w:rPr>
        <w:t xml:space="preserve">. This means there are already a high number of people </w:t>
      </w:r>
      <w:r w:rsidR="00265698" w:rsidRPr="00444A1A">
        <w:rPr>
          <w:color w:val="auto"/>
        </w:rPr>
        <w:t>mandatorily</w:t>
      </w:r>
      <w:r w:rsidR="00BA2878" w:rsidRPr="00444A1A">
        <w:rPr>
          <w:color w:val="auto"/>
        </w:rPr>
        <w:t xml:space="preserve"> on the programs which reduces the number of people who may have volunteered had they not been place</w:t>
      </w:r>
      <w:r w:rsidR="00BE6853">
        <w:rPr>
          <w:color w:val="auto"/>
        </w:rPr>
        <w:t>d</w:t>
      </w:r>
      <w:r w:rsidR="00BA2878" w:rsidRPr="00444A1A">
        <w:rPr>
          <w:color w:val="auto"/>
        </w:rPr>
        <w:t xml:space="preserve"> on the program. </w:t>
      </w:r>
      <w:r w:rsidR="00C209F0" w:rsidRPr="00444A1A">
        <w:rPr>
          <w:color w:val="auto"/>
        </w:rPr>
        <w:t>The government</w:t>
      </w:r>
      <w:r w:rsidR="00BA2878" w:rsidRPr="00444A1A">
        <w:rPr>
          <w:color w:val="auto"/>
        </w:rPr>
        <w:t>’</w:t>
      </w:r>
      <w:r w:rsidR="00C209F0" w:rsidRPr="00444A1A">
        <w:rPr>
          <w:color w:val="auto"/>
        </w:rPr>
        <w:t xml:space="preserve">s intent to consult on community and state government referrals and a national program </w:t>
      </w:r>
      <w:r w:rsidR="00265698">
        <w:rPr>
          <w:color w:val="auto"/>
        </w:rPr>
        <w:t>may</w:t>
      </w:r>
      <w:r w:rsidR="00C209F0" w:rsidRPr="00444A1A">
        <w:rPr>
          <w:color w:val="auto"/>
        </w:rPr>
        <w:t xml:space="preserve"> also incr</w:t>
      </w:r>
      <w:r w:rsidR="00A172E5" w:rsidRPr="00444A1A">
        <w:rPr>
          <w:color w:val="auto"/>
        </w:rPr>
        <w:t xml:space="preserve">ease the </w:t>
      </w:r>
      <w:r w:rsidR="00265698">
        <w:rPr>
          <w:color w:val="auto"/>
        </w:rPr>
        <w:t xml:space="preserve">estimate of the number of people </w:t>
      </w:r>
      <w:r w:rsidR="00A172E5" w:rsidRPr="00444A1A">
        <w:rPr>
          <w:color w:val="auto"/>
        </w:rPr>
        <w:t>on the program, noting estimated participation rates for these populations are included below.</w:t>
      </w:r>
      <w:r w:rsidR="00C209F0" w:rsidRPr="00444A1A">
        <w:rPr>
          <w:color w:val="auto"/>
        </w:rPr>
        <w:t xml:space="preserve"> Higher numbers in the program would i</w:t>
      </w:r>
      <w:r w:rsidRPr="00444A1A">
        <w:rPr>
          <w:color w:val="auto"/>
        </w:rPr>
        <w:t>ncrease the fiscal costs of running the program</w:t>
      </w:r>
      <w:r w:rsidR="005A4BCE">
        <w:rPr>
          <w:color w:val="auto"/>
        </w:rPr>
        <w:t>, but reduce the cost per head</w:t>
      </w:r>
      <w:r w:rsidR="003B743D">
        <w:rPr>
          <w:color w:val="auto"/>
        </w:rPr>
        <w:t>.</w:t>
      </w:r>
    </w:p>
    <w:p w14:paraId="78344BE2" w14:textId="77777777" w:rsidR="008C4C5E" w:rsidRPr="00444A1A" w:rsidRDefault="008C4C5E" w:rsidP="00031DCD">
      <w:pPr>
        <w:pStyle w:val="BodyText"/>
        <w:numPr>
          <w:ilvl w:val="0"/>
          <w:numId w:val="26"/>
        </w:numPr>
        <w:rPr>
          <w:color w:val="auto"/>
        </w:rPr>
      </w:pPr>
      <w:r w:rsidRPr="00444A1A">
        <w:rPr>
          <w:b/>
          <w:color w:val="auto"/>
        </w:rPr>
        <w:t xml:space="preserve">Uptake of support </w:t>
      </w:r>
      <w:r w:rsidR="00F146AD" w:rsidRPr="00444A1A">
        <w:rPr>
          <w:b/>
          <w:color w:val="auto"/>
        </w:rPr>
        <w:t>services</w:t>
      </w:r>
      <w:r w:rsidR="00F146AD" w:rsidRPr="00444A1A">
        <w:rPr>
          <w:color w:val="auto"/>
        </w:rPr>
        <w:t xml:space="preserve"> </w:t>
      </w:r>
      <w:r w:rsidRPr="00444A1A">
        <w:rPr>
          <w:color w:val="auto"/>
        </w:rPr>
        <w:t>– there may be a reluctance to engage with supports or a lack of knowledge of the additional services available to participants who either leave cashless welfare or are transitioning to IM.</w:t>
      </w:r>
    </w:p>
    <w:p w14:paraId="095014B1" w14:textId="77777777" w:rsidR="00FB5ADF" w:rsidRPr="00D57CC6" w:rsidRDefault="00FB5ADF" w:rsidP="00031DCD">
      <w:pPr>
        <w:pStyle w:val="BodyText"/>
        <w:numPr>
          <w:ilvl w:val="0"/>
          <w:numId w:val="26"/>
        </w:numPr>
        <w:rPr>
          <w:color w:val="auto"/>
        </w:rPr>
      </w:pPr>
      <w:r w:rsidRPr="00D57CC6">
        <w:rPr>
          <w:b/>
          <w:color w:val="auto"/>
        </w:rPr>
        <w:t>Legislation not passed in a timely manner</w:t>
      </w:r>
      <w:r w:rsidRPr="00D57CC6">
        <w:rPr>
          <w:color w:val="auto"/>
        </w:rPr>
        <w:t xml:space="preserve"> – there may be a barrier due to not having the passage of legislation or that Royal Assent is not received in a timely manner. This </w:t>
      </w:r>
      <w:r w:rsidR="000A5EFC" w:rsidRPr="00D57CC6">
        <w:rPr>
          <w:color w:val="auto"/>
        </w:rPr>
        <w:t xml:space="preserve">may </w:t>
      </w:r>
      <w:r w:rsidRPr="00D57CC6">
        <w:rPr>
          <w:color w:val="auto"/>
        </w:rPr>
        <w:t>lead to reduced time to im</w:t>
      </w:r>
      <w:r w:rsidR="00BD5B94" w:rsidRPr="00D57CC6">
        <w:rPr>
          <w:color w:val="auto"/>
        </w:rPr>
        <w:t>plement the transition process.</w:t>
      </w:r>
    </w:p>
    <w:p w14:paraId="603690F5" w14:textId="77777777" w:rsidR="00FB5ADF" w:rsidRPr="00D57CC6" w:rsidRDefault="00FB5ADF" w:rsidP="00031DCD">
      <w:pPr>
        <w:pStyle w:val="BodyText"/>
        <w:numPr>
          <w:ilvl w:val="0"/>
          <w:numId w:val="26"/>
        </w:numPr>
        <w:rPr>
          <w:color w:val="auto"/>
        </w:rPr>
      </w:pPr>
      <w:r w:rsidRPr="00D57CC6">
        <w:rPr>
          <w:b/>
          <w:color w:val="auto"/>
        </w:rPr>
        <w:t>Difficulties engaging with stakeholders</w:t>
      </w:r>
      <w:r w:rsidRPr="00D57CC6">
        <w:rPr>
          <w:color w:val="auto"/>
        </w:rPr>
        <w:t xml:space="preserve"> – there </w:t>
      </w:r>
      <w:r w:rsidR="000154D6" w:rsidRPr="00D57CC6">
        <w:rPr>
          <w:color w:val="auto"/>
        </w:rPr>
        <w:t xml:space="preserve">are </w:t>
      </w:r>
      <w:r w:rsidRPr="00D57CC6">
        <w:rPr>
          <w:color w:val="auto"/>
        </w:rPr>
        <w:t>challenges in the engagement with community and state/territory governments in the consultation to inform the</w:t>
      </w:r>
      <w:r w:rsidR="005A4BCE">
        <w:rPr>
          <w:color w:val="auto"/>
        </w:rPr>
        <w:t xml:space="preserve"> changes to the policy and many stakeholders are being consulted on other matters at the same time.</w:t>
      </w:r>
    </w:p>
    <w:p w14:paraId="2863EBDC" w14:textId="77777777" w:rsidR="00FB5ADF" w:rsidRPr="00D57CC6" w:rsidRDefault="00FB5ADF" w:rsidP="00031DCD">
      <w:pPr>
        <w:pStyle w:val="BodyText"/>
        <w:numPr>
          <w:ilvl w:val="0"/>
          <w:numId w:val="26"/>
        </w:numPr>
        <w:rPr>
          <w:color w:val="auto"/>
        </w:rPr>
      </w:pPr>
      <w:r w:rsidRPr="00D57CC6">
        <w:rPr>
          <w:b/>
          <w:color w:val="auto"/>
        </w:rPr>
        <w:t xml:space="preserve">COVID-19 </w:t>
      </w:r>
      <w:r w:rsidRPr="00D57CC6">
        <w:rPr>
          <w:color w:val="auto"/>
        </w:rPr>
        <w:t xml:space="preserve">– there may be challenges with unforeseen outbreaks of COVID-19 which may impact being able to access face-to-face support especially if Services Australia staff are physically needing to </w:t>
      </w:r>
      <w:r w:rsidR="00BD5B94" w:rsidRPr="00D57CC6">
        <w:rPr>
          <w:color w:val="auto"/>
        </w:rPr>
        <w:t>move from location to location.</w:t>
      </w:r>
    </w:p>
    <w:p w14:paraId="1C5C1D22" w14:textId="77777777" w:rsidR="00091044" w:rsidRPr="00EB14A1" w:rsidRDefault="00CD3DB4" w:rsidP="00B65911">
      <w:pPr>
        <w:pStyle w:val="Heading2"/>
      </w:pPr>
      <w:bookmarkStart w:id="64" w:name="_Toc118103752"/>
      <w:r>
        <w:t xml:space="preserve">2.5 </w:t>
      </w:r>
      <w:r w:rsidR="00091044">
        <w:t xml:space="preserve">The Governments capacity to </w:t>
      </w:r>
      <w:r w:rsidR="00BB4724">
        <w:t xml:space="preserve">reform the programs </w:t>
      </w:r>
      <w:r w:rsidR="00091044">
        <w:t>successfully and overcome these barriers</w:t>
      </w:r>
      <w:bookmarkEnd w:id="64"/>
    </w:p>
    <w:p w14:paraId="14D65C66" w14:textId="77777777" w:rsidR="002A56E1" w:rsidRDefault="000F7948" w:rsidP="00E647E0">
      <w:r>
        <w:t>To ensure the Government achieves its objectives</w:t>
      </w:r>
      <w:r w:rsidR="004B1F19">
        <w:t xml:space="preserve"> of abolishing the CDC program</w:t>
      </w:r>
      <w:r w:rsidR="00231FEE">
        <w:t xml:space="preserve"> and reform IM</w:t>
      </w:r>
      <w:r>
        <w:t xml:space="preserve">, </w:t>
      </w:r>
      <w:r w:rsidR="00D702E0" w:rsidRPr="00427E38">
        <w:t>arra</w:t>
      </w:r>
      <w:r w:rsidR="00D47222" w:rsidRPr="00427E38">
        <w:t xml:space="preserve">ngements will be developed to </w:t>
      </w:r>
      <w:r w:rsidR="003A0C94" w:rsidRPr="00427E38">
        <w:t>allow</w:t>
      </w:r>
      <w:r w:rsidR="00D47222" w:rsidRPr="00427E38">
        <w:t xml:space="preserve"> </w:t>
      </w:r>
      <w:r w:rsidR="004547E3" w:rsidRPr="00427E38">
        <w:t>an</w:t>
      </w:r>
      <w:r w:rsidR="00D47222" w:rsidRPr="00427E38">
        <w:t xml:space="preserve"> </w:t>
      </w:r>
      <w:r w:rsidR="00427E38">
        <w:t>open</w:t>
      </w:r>
      <w:r w:rsidR="00D47222" w:rsidRPr="00427E38">
        <w:t xml:space="preserve"> </w:t>
      </w:r>
      <w:r w:rsidR="00632775" w:rsidRPr="00427E38">
        <w:t xml:space="preserve">and transparent </w:t>
      </w:r>
      <w:r w:rsidR="00D47222" w:rsidRPr="00427E38">
        <w:t>transition o</w:t>
      </w:r>
      <w:r w:rsidR="002A56E1" w:rsidRPr="00427E38">
        <w:t>f</w:t>
      </w:r>
      <w:r w:rsidR="00D47222" w:rsidRPr="00427E38">
        <w:t xml:space="preserve">f </w:t>
      </w:r>
      <w:r w:rsidR="00632775" w:rsidRPr="00427E38">
        <w:t xml:space="preserve">the </w:t>
      </w:r>
      <w:r w:rsidR="00B36FCC">
        <w:t>program</w:t>
      </w:r>
      <w:r w:rsidR="00231FEE">
        <w:t>s</w:t>
      </w:r>
      <w:r w:rsidR="00B36FCC">
        <w:t>.</w:t>
      </w:r>
      <w:r w:rsidR="00255686" w:rsidRPr="00427E38">
        <w:t xml:space="preserve"> </w:t>
      </w:r>
      <w:r w:rsidR="002A56E1" w:rsidRPr="00427E38">
        <w:t xml:space="preserve">Support will be given </w:t>
      </w:r>
      <w:r w:rsidR="00B36FCC">
        <w:t xml:space="preserve">to individuals </w:t>
      </w:r>
      <w:r w:rsidR="002A56E1" w:rsidRPr="00427E38">
        <w:t>so th</w:t>
      </w:r>
      <w:r w:rsidR="000154D6">
        <w:t>ey are aware of the need to change</w:t>
      </w:r>
      <w:r w:rsidR="002A56E1" w:rsidRPr="00427E38">
        <w:t xml:space="preserve"> d</w:t>
      </w:r>
      <w:r w:rsidR="00255686" w:rsidRPr="00427E38">
        <w:t>irect</w:t>
      </w:r>
      <w:r w:rsidR="00231FEE">
        <w:t xml:space="preserve"> </w:t>
      </w:r>
      <w:r w:rsidR="002A56E1" w:rsidRPr="00427E38">
        <w:t>d</w:t>
      </w:r>
      <w:r w:rsidR="00255686" w:rsidRPr="00427E38">
        <w:t xml:space="preserve">ebit </w:t>
      </w:r>
      <w:r w:rsidR="002A56E1" w:rsidRPr="00427E38">
        <w:t xml:space="preserve">arrangements </w:t>
      </w:r>
      <w:r w:rsidR="000154D6">
        <w:t xml:space="preserve">so they </w:t>
      </w:r>
      <w:r w:rsidR="002A56E1" w:rsidRPr="00427E38">
        <w:t xml:space="preserve">are moved to </w:t>
      </w:r>
      <w:r w:rsidR="00BE40A8">
        <w:t>their bank account</w:t>
      </w:r>
      <w:r w:rsidR="002A56E1" w:rsidRPr="00427E38">
        <w:t xml:space="preserve"> so payments will continue to be made for es</w:t>
      </w:r>
      <w:r w:rsidR="00255686" w:rsidRPr="00427E38">
        <w:t>sential services such as rent</w:t>
      </w:r>
      <w:r w:rsidR="00560D8C" w:rsidRPr="00427E38">
        <w:t xml:space="preserve"> and paying bills</w:t>
      </w:r>
      <w:r w:rsidR="00632775" w:rsidRPr="00427E38">
        <w:t>.</w:t>
      </w:r>
      <w:r w:rsidR="005625B2" w:rsidRPr="00427E38">
        <w:t xml:space="preserve"> </w:t>
      </w:r>
      <w:r w:rsidR="00BE40A8">
        <w:t xml:space="preserve">Additional support will </w:t>
      </w:r>
      <w:r w:rsidR="007026AA">
        <w:t>be provided to those who need it, building on the existing services footprint in order to fill gaps and enable future co-design of services</w:t>
      </w:r>
      <w:r w:rsidR="00BE40A8">
        <w:t>.</w:t>
      </w:r>
      <w:r w:rsidR="000A5EFC">
        <w:t xml:space="preserve"> A communication strategy will commence once the legislation to abolish the CDC program </w:t>
      </w:r>
      <w:r w:rsidR="000154D6">
        <w:t xml:space="preserve">has passed </w:t>
      </w:r>
      <w:r w:rsidR="000A5EFC">
        <w:t>to raise awareness and provide information to affected participants of the changes</w:t>
      </w:r>
      <w:r w:rsidR="00231FEE">
        <w:t xml:space="preserve"> and inform</w:t>
      </w:r>
      <w:r w:rsidR="007026AA">
        <w:t xml:space="preserve"> them opportunity to participate</w:t>
      </w:r>
      <w:r w:rsidR="00231FEE">
        <w:t xml:space="preserve"> in IM</w:t>
      </w:r>
      <w:r w:rsidR="000A5EFC">
        <w:t>. How Government will successfully overcome t</w:t>
      </w:r>
      <w:r w:rsidR="004E0CC4">
        <w:t>h</w:t>
      </w:r>
      <w:r w:rsidR="000A5EFC">
        <w:t>e</w:t>
      </w:r>
      <w:r w:rsidR="00132B95">
        <w:t xml:space="preserve"> barriers</w:t>
      </w:r>
      <w:r w:rsidR="007026AA">
        <w:t xml:space="preserve"> outlined above</w:t>
      </w:r>
      <w:r w:rsidR="004E0CC4">
        <w:t xml:space="preserve"> </w:t>
      </w:r>
      <w:r w:rsidR="0046750F">
        <w:t xml:space="preserve">are </w:t>
      </w:r>
      <w:r w:rsidR="004E0CC4">
        <w:t>explained in further det</w:t>
      </w:r>
      <w:r w:rsidR="005A57E8">
        <w:t>ail in the options description.</w:t>
      </w:r>
    </w:p>
    <w:p w14:paraId="7EA36D9F" w14:textId="77777777" w:rsidR="005305F6" w:rsidRDefault="005305F6" w:rsidP="00E647E0">
      <w:r>
        <w:t>The legislation provides for the ability for the Minister to put in place arrangements for people who are unable to transition off the program by 31 December 2022. The expectation is that this wi</w:t>
      </w:r>
      <w:r w:rsidR="00A073CF">
        <w:t>ll be a small number of people.</w:t>
      </w:r>
    </w:p>
    <w:p w14:paraId="5EB17248" w14:textId="77777777" w:rsidR="00651F89" w:rsidRPr="009520A9" w:rsidRDefault="00BC1EFF" w:rsidP="009520A9">
      <w:pPr>
        <w:pStyle w:val="Title"/>
      </w:pPr>
      <w:bookmarkStart w:id="65" w:name="_Toc108008483"/>
      <w:bookmarkStart w:id="66" w:name="_Toc118103753"/>
      <w:r w:rsidRPr="009520A9">
        <w:t xml:space="preserve">3. What policy options are you </w:t>
      </w:r>
      <w:r w:rsidR="00651F89" w:rsidRPr="009520A9">
        <w:t>considering?</w:t>
      </w:r>
      <w:bookmarkEnd w:id="65"/>
      <w:bookmarkEnd w:id="66"/>
    </w:p>
    <w:p w14:paraId="587A285E" w14:textId="77777777" w:rsidR="00AC36B9" w:rsidRPr="00AC36B9" w:rsidRDefault="00AC36B9" w:rsidP="00AC36B9">
      <w:pPr>
        <w:pStyle w:val="NormalWeb"/>
        <w:rPr>
          <w:rFonts w:asciiTheme="minorHAnsi" w:hAnsiTheme="minorHAnsi" w:cstheme="minorHAnsi"/>
        </w:rPr>
      </w:pPr>
      <w:r>
        <w:rPr>
          <w:rFonts w:asciiTheme="minorHAnsi" w:hAnsiTheme="minorHAnsi" w:cstheme="minorHAnsi"/>
        </w:rPr>
        <w:t>As this policy is addressing an election commitment</w:t>
      </w:r>
      <w:r w:rsidR="00F06320">
        <w:rPr>
          <w:rFonts w:asciiTheme="minorHAnsi" w:hAnsiTheme="minorHAnsi" w:cstheme="minorHAnsi"/>
        </w:rPr>
        <w:t>,</w:t>
      </w:r>
      <w:r>
        <w:rPr>
          <w:rFonts w:asciiTheme="minorHAnsi" w:hAnsiTheme="minorHAnsi" w:cstheme="minorHAnsi"/>
        </w:rPr>
        <w:t xml:space="preserve"> </w:t>
      </w:r>
      <w:r w:rsidRPr="00AC36B9">
        <w:rPr>
          <w:rFonts w:asciiTheme="minorHAnsi" w:hAnsiTheme="minorHAnsi" w:cstheme="minorHAnsi"/>
        </w:rPr>
        <w:t xml:space="preserve">only </w:t>
      </w:r>
      <w:r w:rsidR="007A099E">
        <w:rPr>
          <w:rFonts w:asciiTheme="minorHAnsi" w:hAnsiTheme="minorHAnsi" w:cstheme="minorHAnsi"/>
        </w:rPr>
        <w:t xml:space="preserve">2 </w:t>
      </w:r>
      <w:r w:rsidRPr="00AC36B9">
        <w:rPr>
          <w:rFonts w:asciiTheme="minorHAnsi" w:hAnsiTheme="minorHAnsi" w:cstheme="minorHAnsi"/>
        </w:rPr>
        <w:t>options have been considered</w:t>
      </w:r>
      <w:r>
        <w:rPr>
          <w:rFonts w:asciiTheme="minorHAnsi" w:hAnsiTheme="minorHAnsi" w:cstheme="minorHAnsi"/>
        </w:rPr>
        <w:t>.</w:t>
      </w:r>
    </w:p>
    <w:p w14:paraId="616B93C9" w14:textId="77777777" w:rsidR="00651F89" w:rsidRPr="00F90356" w:rsidRDefault="00D6204D" w:rsidP="00B65911">
      <w:pPr>
        <w:pStyle w:val="Heading2"/>
      </w:pPr>
      <w:bookmarkStart w:id="67" w:name="_Toc108008484"/>
      <w:bookmarkStart w:id="68" w:name="_Toc118103754"/>
      <w:r w:rsidRPr="00F90356">
        <w:t xml:space="preserve">3.1 Option 1 – </w:t>
      </w:r>
      <w:r w:rsidR="00C172EC" w:rsidRPr="00F90356">
        <w:t>Maintain the status quo</w:t>
      </w:r>
      <w:bookmarkEnd w:id="67"/>
      <w:bookmarkEnd w:id="68"/>
    </w:p>
    <w:p w14:paraId="77116699" w14:textId="77777777" w:rsidR="00BD53A3" w:rsidRPr="001E125B" w:rsidRDefault="00BD53A3" w:rsidP="00BD53A3">
      <w:pPr>
        <w:rPr>
          <w:color w:val="auto"/>
        </w:rPr>
      </w:pPr>
      <w:r w:rsidRPr="001E125B">
        <w:rPr>
          <w:color w:val="auto"/>
        </w:rPr>
        <w:t xml:space="preserve">The status quo option would see the existing arrangements for both </w:t>
      </w:r>
      <w:r w:rsidR="003E48A5">
        <w:rPr>
          <w:color w:val="auto"/>
        </w:rPr>
        <w:t>IM</w:t>
      </w:r>
      <w:r w:rsidRPr="001E125B">
        <w:rPr>
          <w:color w:val="auto"/>
        </w:rPr>
        <w:t xml:space="preserve"> and CDC</w:t>
      </w:r>
      <w:r w:rsidR="004B1F19">
        <w:rPr>
          <w:color w:val="auto"/>
        </w:rPr>
        <w:t xml:space="preserve"> program</w:t>
      </w:r>
      <w:r w:rsidRPr="001E125B">
        <w:rPr>
          <w:color w:val="auto"/>
        </w:rPr>
        <w:t xml:space="preserve"> continue to run in current sites of operation (see Background</w:t>
      </w:r>
      <w:r w:rsidR="00BD7A0E">
        <w:rPr>
          <w:color w:val="auto"/>
        </w:rPr>
        <w:t xml:space="preserve"> section for details of sites).</w:t>
      </w:r>
    </w:p>
    <w:p w14:paraId="719A00F4" w14:textId="77777777" w:rsidR="00BD53A3" w:rsidRPr="002C0C87" w:rsidRDefault="00BD53A3" w:rsidP="00BD53A3">
      <w:r w:rsidRPr="001E125B">
        <w:rPr>
          <w:color w:val="auto"/>
        </w:rPr>
        <w:t xml:space="preserve">The existing referral mechanisms would continue to apply to </w:t>
      </w:r>
      <w:r>
        <w:rPr>
          <w:color w:val="auto"/>
        </w:rPr>
        <w:t>place</w:t>
      </w:r>
      <w:r w:rsidRPr="001E125B">
        <w:rPr>
          <w:color w:val="auto"/>
        </w:rPr>
        <w:t xml:space="preserve"> participants </w:t>
      </w:r>
      <w:r>
        <w:rPr>
          <w:color w:val="auto"/>
        </w:rPr>
        <w:t>on</w:t>
      </w:r>
      <w:r w:rsidRPr="001E125B">
        <w:rPr>
          <w:color w:val="auto"/>
        </w:rPr>
        <w:t xml:space="preserve">to </w:t>
      </w:r>
      <w:r w:rsidR="00A85FF0">
        <w:rPr>
          <w:color w:val="auto"/>
        </w:rPr>
        <w:t xml:space="preserve">the </w:t>
      </w:r>
      <w:r w:rsidR="004B1F19">
        <w:rPr>
          <w:color w:val="auto"/>
        </w:rPr>
        <w:t>program</w:t>
      </w:r>
      <w:r w:rsidR="009756D3">
        <w:rPr>
          <w:color w:val="auto"/>
        </w:rPr>
        <w:t>s</w:t>
      </w:r>
      <w:r w:rsidRPr="001E125B">
        <w:rPr>
          <w:color w:val="auto"/>
        </w:rPr>
        <w:t xml:space="preserve">. Current service delivery and operational arrangements would also continue for all participants on either program. </w:t>
      </w:r>
      <w:r w:rsidR="00807030" w:rsidRPr="00807030">
        <w:rPr>
          <w:b/>
          <w:color w:val="auto"/>
        </w:rPr>
        <w:fldChar w:fldCharType="begin"/>
      </w:r>
      <w:r w:rsidR="00807030" w:rsidRPr="00807030">
        <w:rPr>
          <w:b/>
          <w:color w:val="auto"/>
        </w:rPr>
        <w:instrText xml:space="preserve"> REF _Ref107840061 \h </w:instrText>
      </w:r>
      <w:r w:rsidR="00807030">
        <w:rPr>
          <w:b/>
          <w:color w:val="auto"/>
        </w:rPr>
        <w:instrText xml:space="preserve"> \* MERGEFORMAT </w:instrText>
      </w:r>
      <w:r w:rsidR="00807030" w:rsidRPr="00807030">
        <w:rPr>
          <w:b/>
          <w:color w:val="auto"/>
        </w:rPr>
      </w:r>
      <w:r w:rsidR="00807030" w:rsidRPr="00807030">
        <w:rPr>
          <w:b/>
          <w:color w:val="auto"/>
        </w:rPr>
        <w:fldChar w:fldCharType="separate"/>
      </w:r>
      <w:r w:rsidR="002C0C87" w:rsidRPr="002C0C87">
        <w:rPr>
          <w:b/>
        </w:rPr>
        <w:t xml:space="preserve">Figure </w:t>
      </w:r>
      <w:r w:rsidR="002C0C87" w:rsidRPr="002C0C87">
        <w:rPr>
          <w:b/>
          <w:noProof/>
        </w:rPr>
        <w:t>3</w:t>
      </w:r>
      <w:r w:rsidR="00807030" w:rsidRPr="00807030">
        <w:rPr>
          <w:b/>
          <w:color w:val="auto"/>
        </w:rPr>
        <w:fldChar w:fldCharType="end"/>
      </w:r>
      <w:r w:rsidR="00807030" w:rsidRPr="00807030">
        <w:rPr>
          <w:b/>
          <w:color w:val="auto"/>
        </w:rPr>
        <w:t xml:space="preserve"> </w:t>
      </w:r>
      <w:r w:rsidR="00BF0BA6">
        <w:rPr>
          <w:color w:val="auto"/>
        </w:rPr>
        <w:t>an</w:t>
      </w:r>
      <w:r w:rsidR="00357B90">
        <w:rPr>
          <w:color w:val="auto"/>
        </w:rPr>
        <w:t xml:space="preserve">d </w:t>
      </w:r>
      <w:r w:rsidR="00807030" w:rsidRPr="002B6550">
        <w:rPr>
          <w:b/>
          <w:color w:val="auto"/>
        </w:rPr>
        <w:fldChar w:fldCharType="begin"/>
      </w:r>
      <w:r w:rsidR="00807030" w:rsidRPr="000154D6">
        <w:rPr>
          <w:b/>
          <w:color w:val="auto"/>
        </w:rPr>
        <w:instrText xml:space="preserve"> REF _Ref107840073 \h  \* MERGEFORMAT </w:instrText>
      </w:r>
      <w:r w:rsidR="00807030" w:rsidRPr="002B6550">
        <w:rPr>
          <w:b/>
          <w:color w:val="auto"/>
        </w:rPr>
      </w:r>
      <w:r w:rsidR="00807030" w:rsidRPr="002B6550">
        <w:rPr>
          <w:b/>
          <w:color w:val="auto"/>
        </w:rPr>
        <w:fldChar w:fldCharType="separate"/>
      </w:r>
      <w:r w:rsidR="002C0C87" w:rsidRPr="00C64EEF">
        <w:rPr>
          <w:b/>
          <w:noProof/>
        </w:rPr>
        <w:t>Figure</w:t>
      </w:r>
      <w:r w:rsidR="002C0C87" w:rsidRPr="00C64EEF">
        <w:rPr>
          <w:b/>
        </w:rPr>
        <w:t xml:space="preserve"> </w:t>
      </w:r>
      <w:r w:rsidR="002C0C87" w:rsidRPr="00C64EEF">
        <w:rPr>
          <w:b/>
          <w:noProof/>
        </w:rPr>
        <w:t>4</w:t>
      </w:r>
      <w:r w:rsidR="00807030" w:rsidRPr="002B6550">
        <w:rPr>
          <w:b/>
          <w:color w:val="auto"/>
        </w:rPr>
        <w:fldChar w:fldCharType="end"/>
      </w:r>
      <w:r w:rsidR="00807030">
        <w:rPr>
          <w:color w:val="auto"/>
        </w:rPr>
        <w:t xml:space="preserve"> </w:t>
      </w:r>
      <w:r w:rsidRPr="001E125B">
        <w:rPr>
          <w:color w:val="auto"/>
        </w:rPr>
        <w:t>below</w:t>
      </w:r>
      <w:r>
        <w:rPr>
          <w:color w:val="auto"/>
        </w:rPr>
        <w:t xml:space="preserve"> </w:t>
      </w:r>
      <w:r w:rsidRPr="001E125B">
        <w:rPr>
          <w:color w:val="auto"/>
        </w:rPr>
        <w:t>illustrate</w:t>
      </w:r>
      <w:r w:rsidR="003E48A5">
        <w:rPr>
          <w:color w:val="auto"/>
        </w:rPr>
        <w:t>s</w:t>
      </w:r>
      <w:r w:rsidRPr="001E125B">
        <w:rPr>
          <w:color w:val="auto"/>
        </w:rPr>
        <w:t xml:space="preserve"> how the two programs operate in practice </w:t>
      </w:r>
      <w:r w:rsidRPr="00957296">
        <w:rPr>
          <w:color w:val="auto"/>
        </w:rPr>
        <w:t xml:space="preserve">(also refer to </w:t>
      </w:r>
      <w:r w:rsidRPr="009756D3">
        <w:rPr>
          <w:b/>
          <w:color w:val="auto"/>
        </w:rPr>
        <w:t xml:space="preserve">Attachment A and B </w:t>
      </w:r>
      <w:r w:rsidRPr="00957296">
        <w:rPr>
          <w:color w:val="auto"/>
        </w:rPr>
        <w:t>for specific practices in each site).</w:t>
      </w:r>
    </w:p>
    <w:p w14:paraId="3C2376C5" w14:textId="77777777" w:rsidR="00BD53A3" w:rsidRPr="007526A9" w:rsidRDefault="00807030" w:rsidP="000E544B">
      <w:pPr>
        <w:pStyle w:val="Caption"/>
        <w:ind w:left="0" w:firstLine="0"/>
        <w:rPr>
          <w:szCs w:val="24"/>
        </w:rPr>
      </w:pPr>
      <w:bookmarkStart w:id="69" w:name="_Ref107840061"/>
      <w:bookmarkStart w:id="70" w:name="_Toc99449480"/>
      <w:bookmarkStart w:id="71" w:name="_Toc108008548"/>
      <w:bookmarkStart w:id="72" w:name="_Toc118103818"/>
      <w:r>
        <w:t xml:space="preserve">Figure </w:t>
      </w:r>
      <w:fldSimple w:instr=" SEQ Figure \* ARABIC ">
        <w:r w:rsidR="001F096E">
          <w:rPr>
            <w:noProof/>
          </w:rPr>
          <w:t>3</w:t>
        </w:r>
      </w:fldSimple>
      <w:bookmarkEnd w:id="69"/>
      <w:r>
        <w:t xml:space="preserve">: </w:t>
      </w:r>
      <w:r>
        <w:rPr>
          <w:szCs w:val="24"/>
        </w:rPr>
        <w:t xml:space="preserve">Income Management how it </w:t>
      </w:r>
      <w:r w:rsidR="00BD53A3" w:rsidRPr="007526A9">
        <w:rPr>
          <w:szCs w:val="24"/>
        </w:rPr>
        <w:t>operates in practice</w:t>
      </w:r>
      <w:bookmarkEnd w:id="70"/>
      <w:bookmarkEnd w:id="71"/>
      <w:bookmarkEnd w:id="72"/>
    </w:p>
    <w:p w14:paraId="37902D39" w14:textId="77777777" w:rsidR="00BD53A3" w:rsidRPr="00A37218" w:rsidRDefault="007427D2" w:rsidP="00A37218">
      <w:pPr>
        <w:pStyle w:val="BodyText"/>
        <w:rPr>
          <w:lang w:eastAsia="en-AU"/>
        </w:rPr>
      </w:pPr>
      <w:r>
        <w:rPr>
          <w:noProof/>
          <w:lang w:eastAsia="en-AU"/>
        </w:rPr>
        <w:drawing>
          <wp:inline distT="0" distB="0" distL="0" distR="0" wp14:anchorId="3BA6A50B" wp14:editId="321FAB0E">
            <wp:extent cx="6320836" cy="2981739"/>
            <wp:effectExtent l="0" t="0" r="3810" b="9525"/>
            <wp:docPr id="27" name="Picture 27" descr="Figure 3: Income Management how it operates in practice&#10;&#10;For an explanation of this figure please email. IMCOORD@dss.gov.au" title="Income Management how it operates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4580" cy="3007092"/>
                    </a:xfrm>
                    <a:prstGeom prst="rect">
                      <a:avLst/>
                    </a:prstGeom>
                    <a:noFill/>
                  </pic:spPr>
                </pic:pic>
              </a:graphicData>
            </a:graphic>
          </wp:inline>
        </w:drawing>
      </w:r>
      <w:r w:rsidR="00BD53A3" w:rsidRPr="007A305F">
        <w:rPr>
          <w:rFonts w:ascii="Calibri" w:eastAsia="Times New Roman" w:hAnsi="Calibri" w:cs="Times New Roman"/>
          <w:color w:val="auto"/>
          <w:lang w:eastAsia="en-AU"/>
        </w:rPr>
        <w:t>*</w:t>
      </w:r>
      <w:r w:rsidR="00BD53A3" w:rsidRPr="0088389F">
        <w:rPr>
          <w:rFonts w:ascii="Calibri" w:eastAsia="Times New Roman" w:hAnsi="Calibri" w:cs="Times New Roman"/>
          <w:color w:val="auto"/>
          <w:lang w:eastAsia="en-AU"/>
        </w:rPr>
        <w:t xml:space="preserve">Existing measures include </w:t>
      </w:r>
      <w:r w:rsidR="00BD53A3" w:rsidRPr="0088389F">
        <w:rPr>
          <w:color w:val="auto"/>
        </w:rPr>
        <w:t>Vulnerable measure (VWPR), Child Protection measure</w:t>
      </w:r>
      <w:r w:rsidR="00BD53A3" w:rsidRPr="0088389F">
        <w:rPr>
          <w:rStyle w:val="CommentReference"/>
          <w:rFonts w:ascii="Arial" w:eastAsia="Times New Roman" w:hAnsi="Arial" w:cs="Times New Roman"/>
          <w:color w:val="auto"/>
          <w:spacing w:val="4"/>
          <w:lang w:eastAsia="en-AU"/>
        </w:rPr>
        <w:t>, S</w:t>
      </w:r>
      <w:r w:rsidR="00BD53A3" w:rsidRPr="0088389F">
        <w:rPr>
          <w:color w:val="auto"/>
        </w:rPr>
        <w:t>upporting People at Risk measure (SPAR)</w:t>
      </w:r>
      <w:r w:rsidR="00BD53A3">
        <w:rPr>
          <w:color w:val="auto"/>
        </w:rPr>
        <w:t>.</w:t>
      </w:r>
    </w:p>
    <w:p w14:paraId="3123AC64" w14:textId="77777777" w:rsidR="00BD53A3" w:rsidRPr="007A305F" w:rsidRDefault="00BD53A3" w:rsidP="00BD53A3">
      <w:pPr>
        <w:rPr>
          <w:rFonts w:ascii="Calibri" w:eastAsia="Times New Roman" w:hAnsi="Calibri" w:cs="Times New Roman"/>
          <w:color w:val="auto"/>
          <w:lang w:eastAsia="en-AU"/>
        </w:rPr>
      </w:pPr>
      <w:r>
        <w:rPr>
          <w:rFonts w:ascii="Calibri" w:eastAsia="Times New Roman" w:hAnsi="Calibri" w:cs="Times New Roman"/>
          <w:color w:val="auto"/>
          <w:lang w:eastAsia="en-AU"/>
        </w:rPr>
        <w:t>** This mechanism identifies under 16 Special Benefit Payment, over 16 and unable to live at home, under 25 prison release, disengaged youth (</w:t>
      </w:r>
      <w:r w:rsidR="003B0A20">
        <w:rPr>
          <w:rFonts w:ascii="Calibri" w:eastAsia="Times New Roman" w:hAnsi="Calibri" w:cs="Times New Roman"/>
          <w:color w:val="auto"/>
          <w:lang w:eastAsia="en-AU"/>
        </w:rPr>
        <w:t>NT</w:t>
      </w:r>
      <w:r>
        <w:rPr>
          <w:rFonts w:ascii="Calibri" w:eastAsia="Times New Roman" w:hAnsi="Calibri" w:cs="Times New Roman"/>
          <w:color w:val="auto"/>
          <w:lang w:eastAsia="en-AU"/>
        </w:rPr>
        <w:t xml:space="preserve"> only) and long term welfare recipi</w:t>
      </w:r>
      <w:r w:rsidR="00BD7A0E">
        <w:rPr>
          <w:rFonts w:ascii="Calibri" w:eastAsia="Times New Roman" w:hAnsi="Calibri" w:cs="Times New Roman"/>
          <w:color w:val="auto"/>
          <w:lang w:eastAsia="en-AU"/>
        </w:rPr>
        <w:t>ent (</w:t>
      </w:r>
      <w:r w:rsidR="003B0A20">
        <w:rPr>
          <w:rFonts w:ascii="Calibri" w:eastAsia="Times New Roman" w:hAnsi="Calibri" w:cs="Times New Roman"/>
          <w:color w:val="auto"/>
          <w:lang w:eastAsia="en-AU"/>
        </w:rPr>
        <w:t>NT</w:t>
      </w:r>
      <w:r w:rsidR="00BD7A0E">
        <w:rPr>
          <w:rFonts w:ascii="Calibri" w:eastAsia="Times New Roman" w:hAnsi="Calibri" w:cs="Times New Roman"/>
          <w:color w:val="auto"/>
          <w:lang w:eastAsia="en-AU"/>
        </w:rPr>
        <w:t xml:space="preserve"> only).</w:t>
      </w:r>
    </w:p>
    <w:p w14:paraId="40993326" w14:textId="74CAF183" w:rsidR="0035516A" w:rsidRDefault="00BD53A3" w:rsidP="00BD53A3">
      <w:pPr>
        <w:spacing w:before="120" w:after="180" w:line="280" w:lineRule="atLeast"/>
        <w:textAlignment w:val="center"/>
        <w:rPr>
          <w:rFonts w:ascii="Calibri" w:eastAsia="Times New Roman" w:hAnsi="Calibri" w:cs="Times New Roman"/>
          <w:color w:val="auto"/>
          <w:lang w:eastAsia="en-AU"/>
        </w:rPr>
      </w:pPr>
      <w:r w:rsidRPr="002A7389">
        <w:rPr>
          <w:rFonts w:ascii="Calibri" w:eastAsia="Times New Roman" w:hAnsi="Calibri" w:cs="Times New Roman"/>
          <w:color w:val="auto"/>
          <w:lang w:eastAsia="en-AU"/>
        </w:rPr>
        <w:t>*** Assessment of eligibility can occur automatically</w:t>
      </w:r>
      <w:r>
        <w:rPr>
          <w:rFonts w:ascii="Calibri" w:eastAsia="Times New Roman" w:hAnsi="Calibri" w:cs="Times New Roman"/>
          <w:color w:val="auto"/>
          <w:lang w:eastAsia="en-AU"/>
        </w:rPr>
        <w:t>.</w:t>
      </w:r>
    </w:p>
    <w:p w14:paraId="504C02D5" w14:textId="77777777" w:rsidR="005305D2" w:rsidRPr="00A37218" w:rsidRDefault="00E33B04" w:rsidP="00A37218">
      <w:pPr>
        <w:spacing w:before="120" w:after="180" w:line="280" w:lineRule="atLeast"/>
        <w:textAlignment w:val="center"/>
        <w:rPr>
          <w:rFonts w:ascii="Calibri" w:eastAsia="Times New Roman" w:hAnsi="Calibri" w:cs="Times New Roman"/>
          <w:color w:val="auto"/>
          <w:lang w:eastAsia="en-AU"/>
        </w:rPr>
      </w:pPr>
      <w:r>
        <w:rPr>
          <w:rFonts w:ascii="Calibri" w:eastAsia="Times New Roman" w:hAnsi="Calibri" w:cs="Times New Roman"/>
          <w:noProof/>
          <w:color w:val="auto"/>
          <w:lang w:eastAsia="en-AU"/>
        </w:rPr>
        <w:drawing>
          <wp:inline distT="0" distB="0" distL="0" distR="0" wp14:anchorId="0E557A88" wp14:editId="3C819C94">
            <wp:extent cx="6197628" cy="1557519"/>
            <wp:effectExtent l="0" t="0" r="0" b="5080"/>
            <wp:docPr id="34" name="Picture 34" descr="Figure 3: Income Management how it operates in practice&#10;&#10;For an explanation of this figure please email. IMCOORD@dss.gov.au" title="Figure 3: Income Management how it operates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7475" cy="1580098"/>
                    </a:xfrm>
                    <a:prstGeom prst="rect">
                      <a:avLst/>
                    </a:prstGeom>
                    <a:noFill/>
                  </pic:spPr>
                </pic:pic>
              </a:graphicData>
            </a:graphic>
          </wp:inline>
        </w:drawing>
      </w:r>
      <w:bookmarkStart w:id="73" w:name="_Toc99449481"/>
    </w:p>
    <w:p w14:paraId="0F1590E8" w14:textId="77777777" w:rsidR="00BD53A3" w:rsidRPr="0035516A" w:rsidRDefault="00807030" w:rsidP="00A37218">
      <w:pPr>
        <w:pStyle w:val="Caption"/>
        <w:ind w:left="0" w:firstLine="0"/>
      </w:pPr>
      <w:bookmarkStart w:id="74" w:name="_Ref107840073"/>
      <w:bookmarkStart w:id="75" w:name="_Toc108008549"/>
      <w:bookmarkStart w:id="76" w:name="_Toc118103819"/>
      <w:r>
        <w:t xml:space="preserve">Figure </w:t>
      </w:r>
      <w:fldSimple w:instr=" SEQ Figure \* ARABIC ">
        <w:r w:rsidR="001F096E">
          <w:rPr>
            <w:noProof/>
          </w:rPr>
          <w:t>4</w:t>
        </w:r>
      </w:fldSimple>
      <w:bookmarkEnd w:id="74"/>
      <w:r>
        <w:t xml:space="preserve">: </w:t>
      </w:r>
      <w:r w:rsidR="00BD53A3" w:rsidRPr="0035516A">
        <w:t xml:space="preserve">How </w:t>
      </w:r>
      <w:r>
        <w:t xml:space="preserve">CDC </w:t>
      </w:r>
      <w:r w:rsidR="00BD53A3" w:rsidRPr="0035516A">
        <w:t>operates in practice</w:t>
      </w:r>
      <w:bookmarkEnd w:id="73"/>
      <w:bookmarkEnd w:id="75"/>
      <w:bookmarkEnd w:id="76"/>
    </w:p>
    <w:p w14:paraId="4964BA7F" w14:textId="77777777" w:rsidR="00BD53A3" w:rsidRPr="00E5547A" w:rsidRDefault="00E33B04" w:rsidP="00E5547A">
      <w:pPr>
        <w:pStyle w:val="BodyText"/>
      </w:pPr>
      <w:r>
        <w:rPr>
          <w:noProof/>
          <w:lang w:eastAsia="en-AU"/>
        </w:rPr>
        <w:drawing>
          <wp:inline distT="0" distB="0" distL="0" distR="0" wp14:anchorId="40C17BA2" wp14:editId="22102494">
            <wp:extent cx="6179513" cy="1486479"/>
            <wp:effectExtent l="0" t="0" r="0" b="0"/>
            <wp:docPr id="35" name="Picture 35" descr="Figure 4: How CDC operates in practice &#10;&#10;For an explanation of this figure please email. IMCOORD@dss.gov.au" title="Figure 4: How CDC operates in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2626" cy="1523310"/>
                    </a:xfrm>
                    <a:prstGeom prst="rect">
                      <a:avLst/>
                    </a:prstGeom>
                    <a:noFill/>
                  </pic:spPr>
                </pic:pic>
              </a:graphicData>
            </a:graphic>
          </wp:inline>
        </w:drawing>
      </w:r>
    </w:p>
    <w:p w14:paraId="3853660A" w14:textId="77777777" w:rsidR="00BD53A3" w:rsidRPr="00865B3F" w:rsidRDefault="00BD53A3" w:rsidP="00BD53A3">
      <w:pPr>
        <w:rPr>
          <w:color w:val="auto"/>
        </w:rPr>
      </w:pPr>
      <w:r w:rsidRPr="00865B3F">
        <w:rPr>
          <w:color w:val="auto"/>
        </w:rPr>
        <w:t xml:space="preserve">*Cohorts of welfare recipients in certain locations are automatically enrolled under </w:t>
      </w:r>
      <w:r w:rsidR="00CE76D5">
        <w:rPr>
          <w:color w:val="auto"/>
        </w:rPr>
        <w:t xml:space="preserve">the </w:t>
      </w:r>
      <w:r w:rsidRPr="00865B3F">
        <w:rPr>
          <w:color w:val="auto"/>
        </w:rPr>
        <w:t>CDC</w:t>
      </w:r>
      <w:r w:rsidR="004B1F19">
        <w:rPr>
          <w:color w:val="auto"/>
        </w:rPr>
        <w:t xml:space="preserve"> program</w:t>
      </w:r>
      <w:r w:rsidRPr="00865B3F">
        <w:rPr>
          <w:color w:val="auto"/>
        </w:rPr>
        <w:t>:</w:t>
      </w:r>
    </w:p>
    <w:p w14:paraId="727E678B" w14:textId="77777777" w:rsidR="00BD53A3" w:rsidRPr="00865B3F" w:rsidRDefault="00BD53A3" w:rsidP="000A5EFC">
      <w:pPr>
        <w:pStyle w:val="ListParagraph"/>
        <w:numPr>
          <w:ilvl w:val="0"/>
          <w:numId w:val="17"/>
        </w:numPr>
        <w:rPr>
          <w:color w:val="auto"/>
        </w:rPr>
      </w:pPr>
      <w:r w:rsidRPr="00865B3F">
        <w:rPr>
          <w:rFonts w:cstheme="minorHAnsi"/>
          <w:color w:val="auto"/>
        </w:rPr>
        <w:t>In the Ceduna region, the Goldfields region and the East Kimberley region the program applies to all people who receive a </w:t>
      </w:r>
      <w:hyperlink r:id="rId23" w:history="1">
        <w:r w:rsidRPr="00865B3F">
          <w:rPr>
            <w:rStyle w:val="Hyperlink"/>
            <w:rFonts w:cstheme="minorHAnsi"/>
            <w:color w:val="auto"/>
          </w:rPr>
          <w:t>working age welfare payment</w:t>
        </w:r>
      </w:hyperlink>
      <w:r w:rsidRPr="00865B3F">
        <w:rPr>
          <w:rFonts w:cstheme="minorHAnsi"/>
          <w:color w:val="auto"/>
        </w:rPr>
        <w:t>. People receiving the Age Pensio</w:t>
      </w:r>
      <w:r w:rsidR="00BD7A0E">
        <w:rPr>
          <w:rFonts w:cstheme="minorHAnsi"/>
          <w:color w:val="auto"/>
        </w:rPr>
        <w:t>n may volunteer to participate.</w:t>
      </w:r>
    </w:p>
    <w:p w14:paraId="76573E7F" w14:textId="77777777" w:rsidR="00BD53A3" w:rsidRPr="00865B3F" w:rsidRDefault="00BD53A3" w:rsidP="000A5EFC">
      <w:pPr>
        <w:pStyle w:val="ListParagraph"/>
        <w:numPr>
          <w:ilvl w:val="0"/>
          <w:numId w:val="17"/>
        </w:numPr>
        <w:rPr>
          <w:color w:val="auto"/>
        </w:rPr>
      </w:pPr>
      <w:r w:rsidRPr="00865B3F">
        <w:rPr>
          <w:rFonts w:cstheme="minorHAnsi"/>
          <w:color w:val="auto"/>
        </w:rPr>
        <w:t>In the Bundaberg and Hervey Bay region, the program applies to people aged 35 and under who receive JobSeeker Payment, Youth Allowance (Job seeker), Parenting Payment (Partnered) and Parenting Payment (Single). People over 35 years of age or receiving the Age Pensio</w:t>
      </w:r>
      <w:r w:rsidR="00BD7A0E">
        <w:rPr>
          <w:rFonts w:cstheme="minorHAnsi"/>
          <w:color w:val="auto"/>
        </w:rPr>
        <w:t>n may volunteer to participate.</w:t>
      </w:r>
    </w:p>
    <w:p w14:paraId="0C0589D9" w14:textId="77777777" w:rsidR="00BD53A3" w:rsidRPr="003C3023" w:rsidRDefault="00BD53A3" w:rsidP="000A5EFC">
      <w:pPr>
        <w:pStyle w:val="ListParagraph"/>
        <w:numPr>
          <w:ilvl w:val="0"/>
          <w:numId w:val="17"/>
        </w:numPr>
        <w:rPr>
          <w:rFonts w:cstheme="minorHAnsi"/>
          <w:color w:val="2C2A29"/>
        </w:rPr>
      </w:pPr>
      <w:r w:rsidRPr="001E125B">
        <w:rPr>
          <w:rFonts w:cstheme="minorHAnsi"/>
          <w:color w:val="auto"/>
        </w:rPr>
        <w:t>In the Cape York region in Queensland, the program applies to those who the F</w:t>
      </w:r>
      <w:r w:rsidR="004D614E">
        <w:rPr>
          <w:rFonts w:cstheme="minorHAnsi"/>
          <w:color w:val="auto"/>
        </w:rPr>
        <w:t>RC</w:t>
      </w:r>
      <w:r w:rsidRPr="001E125B">
        <w:rPr>
          <w:rFonts w:cstheme="minorHAnsi"/>
          <w:color w:val="auto"/>
        </w:rPr>
        <w:t xml:space="preserve"> have referred. People on Age Pension may choose to volunteer to participate</w:t>
      </w:r>
      <w:r w:rsidRPr="002839C1">
        <w:rPr>
          <w:rFonts w:ascii="Arial" w:hAnsi="Arial" w:cs="Arial"/>
          <w:color w:val="2C2A29"/>
        </w:rPr>
        <w:t>.</w:t>
      </w:r>
    </w:p>
    <w:p w14:paraId="4B85F91D" w14:textId="77777777" w:rsidR="00BD53A3" w:rsidRDefault="00BD53A3" w:rsidP="00BD53A3">
      <w:pPr>
        <w:spacing w:before="120" w:after="180" w:line="280" w:lineRule="atLeast"/>
        <w:textAlignment w:val="center"/>
        <w:rPr>
          <w:rFonts w:ascii="Calibri" w:eastAsia="Times New Roman" w:hAnsi="Calibri" w:cs="Times New Roman"/>
          <w:color w:val="auto"/>
          <w:lang w:eastAsia="en-AU"/>
        </w:rPr>
      </w:pPr>
      <w:r w:rsidRPr="002A7389">
        <w:rPr>
          <w:rFonts w:ascii="Calibri" w:eastAsia="Times New Roman" w:hAnsi="Calibri" w:cs="Times New Roman"/>
          <w:color w:val="auto"/>
          <w:lang w:eastAsia="en-AU"/>
        </w:rPr>
        <w:t>*</w:t>
      </w:r>
      <w:r w:rsidRPr="003C3023">
        <w:rPr>
          <w:rFonts w:ascii="Calibri" w:eastAsia="Times New Roman" w:hAnsi="Calibri" w:cs="Times New Roman"/>
          <w:color w:val="auto"/>
          <w:lang w:eastAsia="en-AU"/>
        </w:rPr>
        <w:t>* Assessment of eligibility can occur automatically</w:t>
      </w:r>
      <w:r w:rsidR="00BD7A0E">
        <w:rPr>
          <w:rFonts w:ascii="Calibri" w:eastAsia="Times New Roman" w:hAnsi="Calibri" w:cs="Times New Roman"/>
          <w:color w:val="auto"/>
          <w:lang w:eastAsia="en-AU"/>
        </w:rPr>
        <w:t>.</w:t>
      </w:r>
    </w:p>
    <w:p w14:paraId="6DB2989C" w14:textId="77777777" w:rsidR="00BD53A3" w:rsidRPr="00EE3965" w:rsidRDefault="00EE3965" w:rsidP="00EE3965">
      <w:pPr>
        <w:spacing w:before="120" w:after="180" w:line="280" w:lineRule="atLeast"/>
        <w:textAlignment w:val="center"/>
      </w:pPr>
      <w:r>
        <w:rPr>
          <w:noProof/>
          <w:lang w:eastAsia="en-AU"/>
        </w:rPr>
        <w:drawing>
          <wp:inline distT="0" distB="0" distL="0" distR="0" wp14:anchorId="6BEC3E16" wp14:editId="74958AC0">
            <wp:extent cx="6352540" cy="1621790"/>
            <wp:effectExtent l="0" t="0" r="0" b="0"/>
            <wp:docPr id="40" name="Picture 40" descr="Figure 4: How CDC operates in practice&#10;&#10;For an explanation of this figure please email. IMCOORD@dss.gov.au" title="Figure 4: How CDC operates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2540" cy="1621790"/>
                    </a:xfrm>
                    <a:prstGeom prst="rect">
                      <a:avLst/>
                    </a:prstGeom>
                    <a:noFill/>
                  </pic:spPr>
                </pic:pic>
              </a:graphicData>
            </a:graphic>
          </wp:inline>
        </w:drawing>
      </w:r>
      <w:r w:rsidR="00BD53A3" w:rsidRPr="00865B3F">
        <w:rPr>
          <w:color w:val="auto"/>
        </w:rPr>
        <w:t xml:space="preserve">Under the status quo, there will continue to be two programs running concurrently. As the two </w:t>
      </w:r>
      <w:r w:rsidR="00257385">
        <w:rPr>
          <w:color w:val="auto"/>
        </w:rPr>
        <w:t>programs</w:t>
      </w:r>
      <w:r w:rsidR="00BD53A3" w:rsidRPr="00865B3F">
        <w:rPr>
          <w:color w:val="auto"/>
        </w:rPr>
        <w:t xml:space="preserve"> differ in eligibility criteria, referral mechanisms, technologies and service levels, this can create unnecessary confusion for potential </w:t>
      </w:r>
      <w:r w:rsidR="00BD53A3" w:rsidRPr="00A232B7">
        <w:rPr>
          <w:color w:val="auto"/>
        </w:rPr>
        <w:t>participants.</w:t>
      </w:r>
      <w:r w:rsidR="00BD53A3" w:rsidRPr="00865B3F">
        <w:rPr>
          <w:color w:val="auto"/>
        </w:rPr>
        <w:t xml:space="preserve"> </w:t>
      </w:r>
      <w:r w:rsidR="004B1F19">
        <w:rPr>
          <w:color w:val="auto"/>
        </w:rPr>
        <w:t>T</w:t>
      </w:r>
      <w:r w:rsidR="00BD53A3" w:rsidRPr="00865B3F">
        <w:rPr>
          <w:color w:val="auto"/>
        </w:rPr>
        <w:t xml:space="preserve">his option does not consider any changes to the current geographical eligibility criteria for either </w:t>
      </w:r>
      <w:r w:rsidR="004B1F19">
        <w:rPr>
          <w:color w:val="auto"/>
        </w:rPr>
        <w:t>program</w:t>
      </w:r>
      <w:r w:rsidR="009756D3">
        <w:rPr>
          <w:color w:val="auto"/>
        </w:rPr>
        <w:t>s</w:t>
      </w:r>
      <w:r w:rsidR="00BD53A3" w:rsidRPr="00865B3F">
        <w:rPr>
          <w:color w:val="auto"/>
        </w:rPr>
        <w:t>, meaning both will continue to only run in their respective current locatio</w:t>
      </w:r>
      <w:r w:rsidR="00BD7A0E">
        <w:rPr>
          <w:color w:val="auto"/>
        </w:rPr>
        <w:t>ns.</w:t>
      </w:r>
    </w:p>
    <w:p w14:paraId="77959905" w14:textId="77777777" w:rsidR="00BD53A3" w:rsidRPr="00865B3F" w:rsidRDefault="00BD53A3" w:rsidP="00BD53A3">
      <w:pPr>
        <w:spacing w:before="120" w:after="180" w:line="280" w:lineRule="atLeast"/>
        <w:rPr>
          <w:color w:val="auto"/>
        </w:rPr>
      </w:pPr>
      <w:r w:rsidRPr="00A232B7">
        <w:rPr>
          <w:rFonts w:ascii="Calibri" w:hAnsi="Calibri" w:cs="Calibri"/>
          <w:color w:val="auto"/>
        </w:rPr>
        <w:t xml:space="preserve">Merchants </w:t>
      </w:r>
      <w:r w:rsidRPr="00865B3F">
        <w:rPr>
          <w:rFonts w:ascii="Calibri" w:hAnsi="Calibri" w:cs="Calibri"/>
          <w:color w:val="auto"/>
        </w:rPr>
        <w:t xml:space="preserve">wishing to sell goods and services to participants under </w:t>
      </w:r>
      <w:r w:rsidR="00A232B7">
        <w:rPr>
          <w:rFonts w:ascii="Calibri" w:hAnsi="Calibri" w:cs="Calibri"/>
          <w:color w:val="auto"/>
        </w:rPr>
        <w:t xml:space="preserve">IM </w:t>
      </w:r>
      <w:r w:rsidRPr="00865B3F">
        <w:rPr>
          <w:rFonts w:ascii="Calibri" w:hAnsi="Calibri" w:cs="Calibri"/>
          <w:color w:val="auto"/>
        </w:rPr>
        <w:t>will continue to be su</w:t>
      </w:r>
      <w:r w:rsidR="00BD7A0E">
        <w:rPr>
          <w:rFonts w:ascii="Calibri" w:hAnsi="Calibri" w:cs="Calibri"/>
          <w:color w:val="auto"/>
        </w:rPr>
        <w:t>bject to existing requirements.</w:t>
      </w:r>
    </w:p>
    <w:p w14:paraId="411C5ADD" w14:textId="77777777" w:rsidR="00BD53A3" w:rsidRPr="00865B3F" w:rsidRDefault="00BD53A3" w:rsidP="00BD53A3">
      <w:pPr>
        <w:spacing w:before="120" w:after="180" w:line="280" w:lineRule="atLeast"/>
        <w:rPr>
          <w:color w:val="auto"/>
        </w:rPr>
      </w:pPr>
      <w:r w:rsidRPr="00865B3F">
        <w:rPr>
          <w:rFonts w:ascii="Calibri" w:hAnsi="Calibri" w:cs="Calibri"/>
          <w:color w:val="auto"/>
        </w:rPr>
        <w:t xml:space="preserve">No discrete implementation activity would be required by the </w:t>
      </w:r>
      <w:r w:rsidRPr="00A232B7">
        <w:rPr>
          <w:rFonts w:ascii="Calibri" w:hAnsi="Calibri" w:cs="Calibri"/>
          <w:color w:val="auto"/>
        </w:rPr>
        <w:t>Government,</w:t>
      </w:r>
      <w:r w:rsidRPr="00865B3F">
        <w:rPr>
          <w:rFonts w:ascii="Calibri" w:hAnsi="Calibri" w:cs="Calibri"/>
          <w:color w:val="auto"/>
        </w:rPr>
        <w:t xml:space="preserve"> but the Government would continue to serve its existing role in leading program delivery (continued oversight, make incremental adjustments to governance framework as needed, manage entry of new welfare recipients). </w:t>
      </w:r>
      <w:r w:rsidR="004B1F19">
        <w:rPr>
          <w:rFonts w:ascii="Calibri" w:hAnsi="Calibri" w:cs="Calibri"/>
          <w:color w:val="auto"/>
        </w:rPr>
        <w:t xml:space="preserve">The </w:t>
      </w:r>
      <w:r w:rsidRPr="00865B3F">
        <w:rPr>
          <w:color w:val="auto"/>
        </w:rPr>
        <w:t>CDC</w:t>
      </w:r>
      <w:r w:rsidR="004B1F19">
        <w:rPr>
          <w:color w:val="auto"/>
        </w:rPr>
        <w:t xml:space="preserve"> program</w:t>
      </w:r>
      <w:r w:rsidRPr="00865B3F">
        <w:rPr>
          <w:color w:val="auto"/>
        </w:rPr>
        <w:t xml:space="preserve"> has a legislative sunset date of 31 December 2022 across</w:t>
      </w:r>
      <w:r>
        <w:rPr>
          <w:color w:val="auto"/>
        </w:rPr>
        <w:t xml:space="preserve"> the</w:t>
      </w:r>
      <w:r w:rsidRPr="00865B3F">
        <w:rPr>
          <w:color w:val="auto"/>
        </w:rPr>
        <w:t xml:space="preserve"> six </w:t>
      </w:r>
      <w:r w:rsidR="004B1F19">
        <w:rPr>
          <w:color w:val="auto"/>
        </w:rPr>
        <w:t>regions</w:t>
      </w:r>
      <w:r w:rsidR="00A232B7">
        <w:rPr>
          <w:color w:val="auto"/>
        </w:rPr>
        <w:t xml:space="preserve">. </w:t>
      </w:r>
      <w:r w:rsidRPr="00865B3F">
        <w:rPr>
          <w:color w:val="auto"/>
        </w:rPr>
        <w:t xml:space="preserve">IM will continue to operate in the </w:t>
      </w:r>
      <w:r w:rsidR="003B0A20">
        <w:rPr>
          <w:color w:val="auto"/>
        </w:rPr>
        <w:t>NT</w:t>
      </w:r>
      <w:r w:rsidRPr="00865B3F">
        <w:rPr>
          <w:color w:val="auto"/>
        </w:rPr>
        <w:t xml:space="preserve"> and across 12 Place-Based IM</w:t>
      </w:r>
      <w:r w:rsidR="00A232B7">
        <w:rPr>
          <w:color w:val="auto"/>
        </w:rPr>
        <w:t xml:space="preserve"> </w:t>
      </w:r>
      <w:r w:rsidRPr="00865B3F">
        <w:rPr>
          <w:color w:val="auto"/>
        </w:rPr>
        <w:t>locations with no legislated end date</w:t>
      </w:r>
      <w:r>
        <w:rPr>
          <w:color w:val="auto"/>
        </w:rPr>
        <w:t xml:space="preserve"> (although IM has no legislated sunset date, the instruments that determine each location as a declared I</w:t>
      </w:r>
      <w:r w:rsidR="00A232B7">
        <w:rPr>
          <w:color w:val="auto"/>
        </w:rPr>
        <w:t>M</w:t>
      </w:r>
      <w:r>
        <w:rPr>
          <w:color w:val="auto"/>
        </w:rPr>
        <w:t xml:space="preserve"> site do sunset).</w:t>
      </w:r>
      <w:r w:rsidRPr="00865B3F">
        <w:rPr>
          <w:rFonts w:ascii="Calibri" w:hAnsi="Calibri" w:cs="Calibri"/>
          <w:color w:val="auto"/>
        </w:rPr>
        <w:t xml:space="preserve"> </w:t>
      </w:r>
      <w:r>
        <w:rPr>
          <w:color w:val="auto"/>
        </w:rPr>
        <w:t>L</w:t>
      </w:r>
      <w:r w:rsidRPr="00865B3F">
        <w:rPr>
          <w:color w:val="auto"/>
        </w:rPr>
        <w:t xml:space="preserve">egislative amendments would </w:t>
      </w:r>
      <w:r>
        <w:rPr>
          <w:color w:val="auto"/>
        </w:rPr>
        <w:t xml:space="preserve">need to </w:t>
      </w:r>
      <w:r w:rsidRPr="00865B3F">
        <w:rPr>
          <w:color w:val="auto"/>
        </w:rPr>
        <w:t xml:space="preserve">be passed to continue the CDC </w:t>
      </w:r>
      <w:r w:rsidR="004B1F19">
        <w:rPr>
          <w:color w:val="auto"/>
        </w:rPr>
        <w:t xml:space="preserve">program </w:t>
      </w:r>
      <w:r w:rsidRPr="00865B3F">
        <w:rPr>
          <w:color w:val="auto"/>
        </w:rPr>
        <w:t>beyond 31</w:t>
      </w:r>
      <w:r w:rsidR="00A232B7">
        <w:rPr>
          <w:color w:val="auto"/>
        </w:rPr>
        <w:t> </w:t>
      </w:r>
      <w:r w:rsidRPr="00865B3F">
        <w:rPr>
          <w:color w:val="auto"/>
        </w:rPr>
        <w:t>December 2022</w:t>
      </w:r>
      <w:r>
        <w:rPr>
          <w:color w:val="auto"/>
        </w:rPr>
        <w:t>.</w:t>
      </w:r>
    </w:p>
    <w:p w14:paraId="77D6A879" w14:textId="36C72CAA" w:rsidR="00BD53A3" w:rsidRDefault="004B1F19" w:rsidP="004E3DA2">
      <w:pPr>
        <w:spacing w:before="120" w:after="180" w:line="280" w:lineRule="atLeast"/>
        <w:rPr>
          <w:rFonts w:ascii="Calibri" w:hAnsi="Calibri" w:cs="Calibri"/>
          <w:color w:val="auto"/>
        </w:rPr>
      </w:pPr>
      <w:r>
        <w:rPr>
          <w:color w:val="auto"/>
        </w:rPr>
        <w:t xml:space="preserve">State and </w:t>
      </w:r>
      <w:r w:rsidR="0066120E">
        <w:rPr>
          <w:color w:val="auto"/>
        </w:rPr>
        <w:t>t</w:t>
      </w:r>
      <w:r>
        <w:rPr>
          <w:color w:val="auto"/>
        </w:rPr>
        <w:t xml:space="preserve">erritory </w:t>
      </w:r>
      <w:r w:rsidR="0066120E">
        <w:rPr>
          <w:color w:val="auto"/>
        </w:rPr>
        <w:t>g</w:t>
      </w:r>
      <w:r w:rsidR="00BD53A3" w:rsidRPr="00A232B7">
        <w:rPr>
          <w:color w:val="auto"/>
        </w:rPr>
        <w:t>overnments</w:t>
      </w:r>
      <w:r w:rsidR="00BD53A3" w:rsidRPr="00865B3F">
        <w:rPr>
          <w:color w:val="auto"/>
        </w:rPr>
        <w:t xml:space="preserve"> will continue to have a </w:t>
      </w:r>
      <w:r w:rsidR="00E70F7F">
        <w:rPr>
          <w:color w:val="auto"/>
        </w:rPr>
        <w:t xml:space="preserve">minor </w:t>
      </w:r>
      <w:r w:rsidR="00BD53A3" w:rsidRPr="00865B3F">
        <w:rPr>
          <w:color w:val="auto"/>
        </w:rPr>
        <w:t xml:space="preserve">role in implementation. </w:t>
      </w:r>
      <w:r w:rsidR="00BD53A3" w:rsidRPr="00865B3F">
        <w:rPr>
          <w:rFonts w:ascii="Calibri" w:hAnsi="Calibri" w:cs="Calibri"/>
          <w:color w:val="auto"/>
        </w:rPr>
        <w:t xml:space="preserve">Each </w:t>
      </w:r>
      <w:r w:rsidR="00BD53A3">
        <w:rPr>
          <w:rFonts w:ascii="Calibri" w:hAnsi="Calibri" w:cs="Calibri"/>
          <w:color w:val="auto"/>
        </w:rPr>
        <w:t xml:space="preserve">IM </w:t>
      </w:r>
      <w:r w:rsidR="00BD53A3" w:rsidRPr="00865B3F">
        <w:rPr>
          <w:rFonts w:ascii="Calibri" w:hAnsi="Calibri" w:cs="Calibri"/>
          <w:color w:val="auto"/>
        </w:rPr>
        <w:t xml:space="preserve">measure currently has a legislative </w:t>
      </w:r>
      <w:r w:rsidR="00BD53A3">
        <w:rPr>
          <w:rFonts w:ascii="Calibri" w:hAnsi="Calibri" w:cs="Calibri"/>
          <w:color w:val="auto"/>
        </w:rPr>
        <w:t>instrument</w:t>
      </w:r>
      <w:r w:rsidR="00BD53A3" w:rsidRPr="00865B3F">
        <w:rPr>
          <w:rFonts w:ascii="Calibri" w:hAnsi="Calibri" w:cs="Calibri"/>
          <w:color w:val="auto"/>
        </w:rPr>
        <w:t xml:space="preserve"> to operate in the relevant state or territory, however, the implementation of two measures - Child Protection and SPaR – rel</w:t>
      </w:r>
      <w:r w:rsidR="00BD53A3">
        <w:rPr>
          <w:rFonts w:ascii="Calibri" w:hAnsi="Calibri" w:cs="Calibri"/>
          <w:color w:val="auto"/>
        </w:rPr>
        <w:t>ies</w:t>
      </w:r>
      <w:r w:rsidR="00BD53A3" w:rsidRPr="00865B3F">
        <w:rPr>
          <w:rFonts w:ascii="Calibri" w:hAnsi="Calibri" w:cs="Calibri"/>
          <w:color w:val="auto"/>
        </w:rPr>
        <w:t xml:space="preserve"> heavily on the cooperation of state and territory-run authorities to refer </w:t>
      </w:r>
      <w:r w:rsidR="00BD53A3">
        <w:rPr>
          <w:rFonts w:ascii="Calibri" w:hAnsi="Calibri" w:cs="Calibri"/>
          <w:color w:val="auto"/>
        </w:rPr>
        <w:t>relevant</w:t>
      </w:r>
      <w:r w:rsidR="00BD53A3" w:rsidRPr="00865B3F">
        <w:rPr>
          <w:rFonts w:ascii="Calibri" w:hAnsi="Calibri" w:cs="Calibri"/>
          <w:color w:val="auto"/>
        </w:rPr>
        <w:t xml:space="preserve"> individuals to</w:t>
      </w:r>
      <w:r w:rsidR="00257385">
        <w:rPr>
          <w:rFonts w:ascii="Calibri" w:hAnsi="Calibri" w:cs="Calibri"/>
          <w:color w:val="auto"/>
        </w:rPr>
        <w:t xml:space="preserve"> the program.</w:t>
      </w:r>
    </w:p>
    <w:p w14:paraId="010A2225" w14:textId="2E640075" w:rsidR="00212B31" w:rsidRPr="00077021" w:rsidRDefault="00CD3DB4" w:rsidP="004E3DA2">
      <w:pPr>
        <w:pStyle w:val="Heading3"/>
      </w:pPr>
      <w:bookmarkStart w:id="77" w:name="_Toc108008485"/>
      <w:bookmarkStart w:id="78" w:name="_Toc118103755"/>
      <w:r>
        <w:t xml:space="preserve">3.1.1 </w:t>
      </w:r>
      <w:r w:rsidR="00212B31" w:rsidRPr="00D52C4A">
        <w:t xml:space="preserve">The ability of the </w:t>
      </w:r>
      <w:r w:rsidR="00212B31">
        <w:t>‘status quo’ option</w:t>
      </w:r>
      <w:r w:rsidR="00212B31" w:rsidRPr="00D52C4A">
        <w:t xml:space="preserve"> to address the problem</w:t>
      </w:r>
      <w:bookmarkEnd w:id="77"/>
      <w:bookmarkEnd w:id="78"/>
    </w:p>
    <w:p w14:paraId="7CCCA667" w14:textId="6D315D19" w:rsidR="00E1121A" w:rsidRDefault="009C16EA" w:rsidP="004E3DA2">
      <w:pPr>
        <w:spacing w:before="120" w:after="180" w:line="280" w:lineRule="atLeast"/>
        <w:rPr>
          <w:color w:val="auto"/>
        </w:rPr>
      </w:pPr>
      <w:r w:rsidRPr="009756D3">
        <w:rPr>
          <w:color w:val="auto"/>
        </w:rPr>
        <w:t>M</w:t>
      </w:r>
      <w:r w:rsidR="00091EA5" w:rsidRPr="009756D3">
        <w:rPr>
          <w:color w:val="auto"/>
        </w:rPr>
        <w:t>aintain</w:t>
      </w:r>
      <w:r w:rsidRPr="009756D3">
        <w:rPr>
          <w:color w:val="auto"/>
        </w:rPr>
        <w:t xml:space="preserve">ing </w:t>
      </w:r>
      <w:r w:rsidR="00091EA5" w:rsidRPr="009756D3">
        <w:rPr>
          <w:color w:val="auto"/>
        </w:rPr>
        <w:t xml:space="preserve">the status quo </w:t>
      </w:r>
      <w:r w:rsidR="002573D9" w:rsidRPr="009756D3">
        <w:rPr>
          <w:color w:val="auto"/>
        </w:rPr>
        <w:t xml:space="preserve">and retaining </w:t>
      </w:r>
      <w:r w:rsidR="006612D6" w:rsidRPr="009756D3">
        <w:rPr>
          <w:color w:val="auto"/>
        </w:rPr>
        <w:t xml:space="preserve">both </w:t>
      </w:r>
      <w:r w:rsidR="002573D9" w:rsidRPr="009756D3">
        <w:rPr>
          <w:color w:val="auto"/>
        </w:rPr>
        <w:t>program</w:t>
      </w:r>
      <w:r w:rsidR="006612D6" w:rsidRPr="009756D3">
        <w:rPr>
          <w:color w:val="auto"/>
        </w:rPr>
        <w:t>s</w:t>
      </w:r>
      <w:r w:rsidR="002573D9" w:rsidRPr="009756D3">
        <w:rPr>
          <w:color w:val="auto"/>
        </w:rPr>
        <w:t xml:space="preserve"> </w:t>
      </w:r>
      <w:r w:rsidR="00316BBC" w:rsidRPr="009756D3">
        <w:rPr>
          <w:color w:val="auto"/>
        </w:rPr>
        <w:t xml:space="preserve">will not </w:t>
      </w:r>
      <w:r w:rsidRPr="009756D3">
        <w:rPr>
          <w:color w:val="auto"/>
        </w:rPr>
        <w:t xml:space="preserve">address </w:t>
      </w:r>
      <w:r w:rsidR="00C068DD" w:rsidRPr="009756D3">
        <w:rPr>
          <w:color w:val="auto"/>
        </w:rPr>
        <w:t xml:space="preserve">the problem </w:t>
      </w:r>
      <w:r w:rsidR="00E70F7F">
        <w:rPr>
          <w:color w:val="auto"/>
        </w:rPr>
        <w:t xml:space="preserve">given </w:t>
      </w:r>
      <w:r w:rsidR="00316BBC" w:rsidRPr="009756D3">
        <w:rPr>
          <w:color w:val="auto"/>
        </w:rPr>
        <w:t xml:space="preserve">that </w:t>
      </w:r>
      <w:r w:rsidR="004F6495" w:rsidRPr="009756D3">
        <w:rPr>
          <w:color w:val="auto"/>
        </w:rPr>
        <w:t>the</w:t>
      </w:r>
      <w:r w:rsidR="009756D3">
        <w:rPr>
          <w:color w:val="auto"/>
        </w:rPr>
        <w:t xml:space="preserve">y </w:t>
      </w:r>
      <w:r w:rsidR="00316BBC" w:rsidRPr="009756D3">
        <w:rPr>
          <w:color w:val="auto"/>
        </w:rPr>
        <w:t>ha</w:t>
      </w:r>
      <w:r w:rsidR="009756D3">
        <w:rPr>
          <w:color w:val="auto"/>
        </w:rPr>
        <w:t>ve</w:t>
      </w:r>
      <w:r w:rsidR="00316BBC" w:rsidRPr="009756D3">
        <w:rPr>
          <w:color w:val="auto"/>
        </w:rPr>
        <w:t xml:space="preserve"> not achieved </w:t>
      </w:r>
      <w:r w:rsidR="009756D3">
        <w:rPr>
          <w:color w:val="auto"/>
        </w:rPr>
        <w:t xml:space="preserve">their </w:t>
      </w:r>
      <w:r w:rsidR="00316BBC" w:rsidRPr="009756D3">
        <w:rPr>
          <w:color w:val="auto"/>
        </w:rPr>
        <w:t>objective</w:t>
      </w:r>
      <w:r w:rsidR="00E70F7F">
        <w:rPr>
          <w:color w:val="auto"/>
        </w:rPr>
        <w:t>s,</w:t>
      </w:r>
      <w:r w:rsidR="00C068DD" w:rsidRPr="009756D3">
        <w:rPr>
          <w:color w:val="auto"/>
        </w:rPr>
        <w:t xml:space="preserve"> </w:t>
      </w:r>
      <w:r w:rsidR="00E70F7F">
        <w:rPr>
          <w:color w:val="auto"/>
        </w:rPr>
        <w:t xml:space="preserve">they maintain </w:t>
      </w:r>
      <w:r w:rsidR="00C068DD" w:rsidRPr="009756D3">
        <w:rPr>
          <w:color w:val="auto"/>
        </w:rPr>
        <w:t xml:space="preserve">stigma in the community and </w:t>
      </w:r>
      <w:r w:rsidR="00E70F7F">
        <w:rPr>
          <w:color w:val="auto"/>
        </w:rPr>
        <w:t>they do not reflect contemporary evidence and policy landscape where</w:t>
      </w:r>
      <w:r w:rsidR="00E70F7F">
        <w:rPr>
          <w:color w:val="auto"/>
          <w:lang w:eastAsia="en-AU"/>
        </w:rPr>
        <w:t xml:space="preserve"> community driven initiatives offer</w:t>
      </w:r>
      <w:r w:rsidR="00E1121A">
        <w:rPr>
          <w:color w:val="auto"/>
          <w:lang w:eastAsia="en-AU"/>
        </w:rPr>
        <w:t xml:space="preserve"> better support for participants, reducing the need for compulsory programs</w:t>
      </w:r>
      <w:r w:rsidR="00002B6D">
        <w:rPr>
          <w:color w:val="auto"/>
        </w:rPr>
        <w:t>.</w:t>
      </w:r>
    </w:p>
    <w:p w14:paraId="5218A9C4" w14:textId="77777777" w:rsidR="008846C0" w:rsidRDefault="00316BBC" w:rsidP="00BD53A3">
      <w:pPr>
        <w:spacing w:before="120" w:after="180" w:line="280" w:lineRule="atLeast"/>
        <w:rPr>
          <w:color w:val="auto"/>
          <w:lang w:eastAsia="en-AU"/>
        </w:rPr>
      </w:pPr>
      <w:r w:rsidRPr="00380AE9">
        <w:rPr>
          <w:color w:val="auto"/>
          <w:lang w:eastAsia="en-AU"/>
        </w:rPr>
        <w:t>The CDC program has been criticised that it affects people without a history of substance misuse or problem gambling, and it is potentially discriminatory as</w:t>
      </w:r>
      <w:r w:rsidR="00011FB1" w:rsidRPr="00380AE9">
        <w:rPr>
          <w:color w:val="auto"/>
          <w:lang w:eastAsia="en-AU"/>
        </w:rPr>
        <w:t xml:space="preserve"> </w:t>
      </w:r>
      <w:r w:rsidR="00011FB1" w:rsidRPr="00380AE9">
        <w:t xml:space="preserve">a high proportion of those affected by the program are First Nations people. </w:t>
      </w:r>
      <w:r w:rsidR="00E1121A" w:rsidRPr="00380AE9">
        <w:t xml:space="preserve">IM has also been criticised for disproportionately affecting First Nations people and </w:t>
      </w:r>
      <w:r w:rsidR="00011FB1" w:rsidRPr="00380AE9">
        <w:t>for encouraging increased reliance on the welfare system</w:t>
      </w:r>
      <w:r w:rsidR="00260C99" w:rsidRPr="00380AE9">
        <w:t xml:space="preserve"> </w:t>
      </w:r>
      <w:r w:rsidR="00011FB1" w:rsidRPr="00380AE9">
        <w:t xml:space="preserve">instead of developing participants’ skills, which may lead to longer term benefits. Evaluations of IM have found that people who volunteer for IM or are otherwise identified as vulnerable experience more positive outcomes, although additional services are often required. </w:t>
      </w:r>
      <w:r w:rsidR="00DD2130" w:rsidRPr="00380AE9">
        <w:t>Evaluation</w:t>
      </w:r>
      <w:r w:rsidR="00E70F7F">
        <w:t>s</w:t>
      </w:r>
      <w:r w:rsidR="00DD2130" w:rsidRPr="00380AE9">
        <w:t xml:space="preserve"> have also found that c</w:t>
      </w:r>
      <w:r w:rsidR="00011FB1" w:rsidRPr="00380AE9">
        <w:t xml:space="preserve">ompulsory IM participants experience fewer positive </w:t>
      </w:r>
      <w:r w:rsidR="00DD2130" w:rsidRPr="00380AE9">
        <w:t>outcomes</w:t>
      </w:r>
      <w:r w:rsidR="00DD2130" w:rsidRPr="00380AE9">
        <w:rPr>
          <w:color w:val="auto"/>
          <w:lang w:eastAsia="en-AU"/>
        </w:rPr>
        <w:t>, therefore</w:t>
      </w:r>
      <w:r w:rsidR="008846C0" w:rsidRPr="00380AE9">
        <w:rPr>
          <w:color w:val="auto"/>
          <w:lang w:eastAsia="en-AU"/>
        </w:rPr>
        <w:t>, alternatives should be available to support participant’s and community’s choice</w:t>
      </w:r>
    </w:p>
    <w:p w14:paraId="17359C3F" w14:textId="77777777" w:rsidR="009246AC" w:rsidRPr="00865B3F" w:rsidRDefault="008846C0" w:rsidP="00BD53A3">
      <w:pPr>
        <w:spacing w:before="120" w:after="180" w:line="280" w:lineRule="atLeast"/>
        <w:rPr>
          <w:color w:val="auto"/>
        </w:rPr>
      </w:pPr>
      <w:r w:rsidRPr="008846C0">
        <w:rPr>
          <w:color w:val="auto"/>
          <w:lang w:eastAsia="en-AU"/>
        </w:rPr>
        <w:t>Consequently</w:t>
      </w:r>
      <w:r w:rsidR="00316BBC" w:rsidRPr="009756D3">
        <w:rPr>
          <w:color w:val="auto"/>
          <w:lang w:eastAsia="en-AU"/>
        </w:rPr>
        <w:t xml:space="preserve">, expenditure on the </w:t>
      </w:r>
      <w:r w:rsidR="003770EC" w:rsidRPr="009756D3">
        <w:rPr>
          <w:color w:val="auto"/>
          <w:lang w:eastAsia="en-AU"/>
        </w:rPr>
        <w:t xml:space="preserve">compulsory </w:t>
      </w:r>
      <w:r w:rsidR="008878D7" w:rsidRPr="009756D3">
        <w:rPr>
          <w:color w:val="auto"/>
          <w:lang w:eastAsia="en-AU"/>
        </w:rPr>
        <w:t xml:space="preserve">nature of the programs </w:t>
      </w:r>
      <w:r w:rsidR="00316BBC" w:rsidRPr="009756D3">
        <w:rPr>
          <w:color w:val="auto"/>
          <w:lang w:eastAsia="en-AU"/>
        </w:rPr>
        <w:t>no longer represents the most appropriate and effective use of Government funds to support individuals or communities.</w:t>
      </w:r>
      <w:r w:rsidR="009D1E05">
        <w:rPr>
          <w:color w:val="auto"/>
          <w:lang w:eastAsia="en-AU"/>
        </w:rPr>
        <w:t xml:space="preserve"> </w:t>
      </w:r>
      <w:r w:rsidR="004D614E" w:rsidRPr="009756D3">
        <w:rPr>
          <w:color w:val="auto"/>
          <w:lang w:eastAsia="en-AU"/>
        </w:rPr>
        <w:t>In addition</w:t>
      </w:r>
      <w:r w:rsidR="003770EC" w:rsidRPr="009756D3">
        <w:rPr>
          <w:color w:val="auto"/>
          <w:lang w:eastAsia="en-AU"/>
        </w:rPr>
        <w:t xml:space="preserve">, </w:t>
      </w:r>
      <w:r w:rsidR="0062186F" w:rsidRPr="009756D3">
        <w:rPr>
          <w:color w:val="auto"/>
          <w:lang w:eastAsia="en-AU"/>
        </w:rPr>
        <w:t>o</w:t>
      </w:r>
      <w:r w:rsidR="002573D9" w:rsidRPr="009756D3">
        <w:rPr>
          <w:color w:val="auto"/>
          <w:lang w:eastAsia="en-AU"/>
        </w:rPr>
        <w:t xml:space="preserve">ption 1 also does not </w:t>
      </w:r>
      <w:r w:rsidR="002573D9" w:rsidRPr="008878D7">
        <w:rPr>
          <w:color w:val="auto"/>
          <w:lang w:eastAsia="en-AU"/>
        </w:rPr>
        <w:t xml:space="preserve">address the Government’s </w:t>
      </w:r>
      <w:r w:rsidR="008C4C5E">
        <w:rPr>
          <w:color w:val="auto"/>
          <w:lang w:eastAsia="en-AU"/>
        </w:rPr>
        <w:t xml:space="preserve">2022 </w:t>
      </w:r>
      <w:r w:rsidR="006612D6" w:rsidRPr="008878D7">
        <w:rPr>
          <w:color w:val="auto"/>
          <w:lang w:eastAsia="en-AU"/>
        </w:rPr>
        <w:t>election</w:t>
      </w:r>
      <w:r w:rsidR="002573D9" w:rsidRPr="008878D7">
        <w:rPr>
          <w:color w:val="auto"/>
          <w:lang w:eastAsia="en-AU"/>
        </w:rPr>
        <w:t xml:space="preserve"> commitment of abolishing the CDC program.</w:t>
      </w:r>
    </w:p>
    <w:p w14:paraId="7EB7E0C5" w14:textId="77777777" w:rsidR="00651F89" w:rsidRDefault="00E2495F" w:rsidP="00B65911">
      <w:pPr>
        <w:pStyle w:val="Heading2"/>
      </w:pPr>
      <w:bookmarkStart w:id="79" w:name="_Toc108008486"/>
      <w:bookmarkStart w:id="80" w:name="_Toc118103756"/>
      <w:r>
        <w:t xml:space="preserve">3.2 Option 2 – </w:t>
      </w:r>
      <w:r w:rsidR="0062186F">
        <w:t xml:space="preserve">Reform the </w:t>
      </w:r>
      <w:r w:rsidR="00C5210C">
        <w:t>Cashless Debit Card</w:t>
      </w:r>
      <w:bookmarkEnd w:id="79"/>
      <w:r w:rsidR="00CA432F">
        <w:t xml:space="preserve"> and Income Management </w:t>
      </w:r>
      <w:r w:rsidR="0062186F">
        <w:t>programs</w:t>
      </w:r>
      <w:bookmarkEnd w:id="80"/>
    </w:p>
    <w:p w14:paraId="6F36D522" w14:textId="77777777" w:rsidR="00AE379D" w:rsidRPr="009756D3" w:rsidRDefault="00AE379D" w:rsidP="00B52DAA">
      <w:pPr>
        <w:pStyle w:val="BodyText"/>
        <w:rPr>
          <w:color w:val="auto"/>
        </w:rPr>
      </w:pPr>
      <w:bookmarkStart w:id="81" w:name="_Toc108008487"/>
      <w:r w:rsidRPr="009756D3">
        <w:rPr>
          <w:color w:val="auto"/>
        </w:rPr>
        <w:t xml:space="preserve">Option 2 provides </w:t>
      </w:r>
      <w:r w:rsidR="00BB4EC1" w:rsidRPr="009756D3">
        <w:rPr>
          <w:color w:val="auto"/>
        </w:rPr>
        <w:t>Government</w:t>
      </w:r>
      <w:r w:rsidR="00DF195B" w:rsidRPr="009756D3">
        <w:rPr>
          <w:color w:val="auto"/>
        </w:rPr>
        <w:t xml:space="preserve"> the opportunity to reform </w:t>
      </w:r>
      <w:r w:rsidR="009756D3">
        <w:rPr>
          <w:color w:val="auto"/>
        </w:rPr>
        <w:t>the programs</w:t>
      </w:r>
      <w:r w:rsidR="00DF195B" w:rsidRPr="009756D3">
        <w:rPr>
          <w:color w:val="auto"/>
        </w:rPr>
        <w:t>. The information below set</w:t>
      </w:r>
      <w:r w:rsidR="004C7FBB" w:rsidRPr="009756D3">
        <w:rPr>
          <w:color w:val="auto"/>
        </w:rPr>
        <w:t>s</w:t>
      </w:r>
      <w:r w:rsidR="00DF195B" w:rsidRPr="009756D3">
        <w:rPr>
          <w:color w:val="auto"/>
        </w:rPr>
        <w:t xml:space="preserve"> out the option in detail.</w:t>
      </w:r>
    </w:p>
    <w:p w14:paraId="259B6507" w14:textId="77777777" w:rsidR="001240FD" w:rsidRPr="001240FD" w:rsidRDefault="00CD3DB4" w:rsidP="00B65911">
      <w:pPr>
        <w:pStyle w:val="Heading3"/>
      </w:pPr>
      <w:bookmarkStart w:id="82" w:name="_Toc118103757"/>
      <w:r>
        <w:t xml:space="preserve">3.2.1 </w:t>
      </w:r>
      <w:r w:rsidR="001240FD" w:rsidRPr="001240FD">
        <w:t>Key elements</w:t>
      </w:r>
      <w:bookmarkEnd w:id="81"/>
      <w:bookmarkEnd w:id="82"/>
    </w:p>
    <w:p w14:paraId="557F71C4" w14:textId="77777777" w:rsidR="004E0CC4" w:rsidRPr="009756D3" w:rsidRDefault="00EA2D28">
      <w:pPr>
        <w:pStyle w:val="BodyText"/>
        <w:rPr>
          <w:color w:val="auto"/>
        </w:rPr>
      </w:pPr>
      <w:r w:rsidRPr="009756D3">
        <w:rPr>
          <w:color w:val="auto"/>
        </w:rPr>
        <w:t>This option</w:t>
      </w:r>
      <w:r w:rsidR="004E0CC4" w:rsidRPr="009756D3">
        <w:rPr>
          <w:color w:val="auto"/>
        </w:rPr>
        <w:t>:</w:t>
      </w:r>
    </w:p>
    <w:p w14:paraId="153C5D33" w14:textId="77777777" w:rsidR="00D80DB1" w:rsidRPr="009756D3" w:rsidRDefault="004E0CC4" w:rsidP="00031DCD">
      <w:pPr>
        <w:pStyle w:val="BodyText"/>
        <w:numPr>
          <w:ilvl w:val="0"/>
          <w:numId w:val="25"/>
        </w:numPr>
        <w:rPr>
          <w:color w:val="auto"/>
        </w:rPr>
      </w:pPr>
      <w:r w:rsidRPr="009756D3">
        <w:rPr>
          <w:b/>
          <w:color w:val="auto"/>
        </w:rPr>
        <w:t>A</w:t>
      </w:r>
      <w:r w:rsidR="00EA2D28" w:rsidRPr="009756D3">
        <w:rPr>
          <w:b/>
          <w:color w:val="auto"/>
        </w:rPr>
        <w:t>bolish</w:t>
      </w:r>
      <w:r w:rsidR="009F3279" w:rsidRPr="009756D3">
        <w:rPr>
          <w:b/>
          <w:color w:val="auto"/>
        </w:rPr>
        <w:t>es</w:t>
      </w:r>
      <w:r w:rsidR="00EA2D28" w:rsidRPr="009756D3">
        <w:rPr>
          <w:b/>
          <w:color w:val="auto"/>
        </w:rPr>
        <w:t xml:space="preserve"> the C</w:t>
      </w:r>
      <w:r w:rsidR="00B9245B" w:rsidRPr="009756D3">
        <w:rPr>
          <w:b/>
          <w:color w:val="auto"/>
        </w:rPr>
        <w:t xml:space="preserve">ashless </w:t>
      </w:r>
      <w:r w:rsidR="00EA2D28" w:rsidRPr="009756D3">
        <w:rPr>
          <w:b/>
          <w:color w:val="auto"/>
        </w:rPr>
        <w:t>D</w:t>
      </w:r>
      <w:r w:rsidR="00B9245B" w:rsidRPr="009756D3">
        <w:rPr>
          <w:b/>
          <w:color w:val="auto"/>
        </w:rPr>
        <w:t xml:space="preserve">ebit </w:t>
      </w:r>
      <w:r w:rsidR="00EA2D28" w:rsidRPr="009756D3">
        <w:rPr>
          <w:b/>
          <w:color w:val="auto"/>
        </w:rPr>
        <w:t>C</w:t>
      </w:r>
      <w:r w:rsidR="00B9245B" w:rsidRPr="009756D3">
        <w:rPr>
          <w:b/>
          <w:color w:val="auto"/>
        </w:rPr>
        <w:t>ard</w:t>
      </w:r>
      <w:r w:rsidR="00EA2D28" w:rsidRPr="009756D3">
        <w:rPr>
          <w:b/>
          <w:color w:val="auto"/>
        </w:rPr>
        <w:t xml:space="preserve"> program</w:t>
      </w:r>
      <w:r w:rsidR="00121B61" w:rsidRPr="009756D3">
        <w:rPr>
          <w:color w:val="auto"/>
        </w:rPr>
        <w:t xml:space="preserve"> – </w:t>
      </w:r>
      <w:r w:rsidR="0062186F" w:rsidRPr="009756D3">
        <w:rPr>
          <w:color w:val="auto"/>
        </w:rPr>
        <w:t xml:space="preserve">The </w:t>
      </w:r>
      <w:r w:rsidR="00121B61" w:rsidRPr="009756D3">
        <w:rPr>
          <w:color w:val="auto"/>
        </w:rPr>
        <w:t xml:space="preserve">CDC program will be abolished and </w:t>
      </w:r>
      <w:r w:rsidR="0062186F" w:rsidRPr="009756D3">
        <w:rPr>
          <w:color w:val="auto"/>
        </w:rPr>
        <w:t>participants will be transitioned off the program before 31 Decembe</w:t>
      </w:r>
      <w:r w:rsidR="003B743D">
        <w:rPr>
          <w:color w:val="auto"/>
        </w:rPr>
        <w:t>r 2022.</w:t>
      </w:r>
    </w:p>
    <w:p w14:paraId="47D01DB5" w14:textId="77777777" w:rsidR="004E0CC4" w:rsidRPr="009756D3" w:rsidRDefault="00D80DB1" w:rsidP="00D80DB1">
      <w:pPr>
        <w:pStyle w:val="BodyText"/>
        <w:ind w:left="720"/>
        <w:rPr>
          <w:color w:val="auto"/>
        </w:rPr>
      </w:pPr>
      <w:r w:rsidRPr="009756D3">
        <w:rPr>
          <w:color w:val="auto"/>
        </w:rPr>
        <w:t>The</w:t>
      </w:r>
      <w:r w:rsidR="00121B61" w:rsidRPr="009756D3">
        <w:rPr>
          <w:color w:val="auto"/>
        </w:rPr>
        <w:t xml:space="preserve"> CDC program will cease on 31 December 2022 (inclusive)</w:t>
      </w:r>
      <w:r w:rsidR="009756D3">
        <w:rPr>
          <w:color w:val="auto"/>
        </w:rPr>
        <w:t>.</w:t>
      </w:r>
    </w:p>
    <w:p w14:paraId="16107ABA" w14:textId="77777777" w:rsidR="00E40F22" w:rsidRPr="009756D3" w:rsidRDefault="00683A67" w:rsidP="00031DCD">
      <w:pPr>
        <w:pStyle w:val="BodyText"/>
        <w:numPr>
          <w:ilvl w:val="0"/>
          <w:numId w:val="25"/>
        </w:numPr>
        <w:rPr>
          <w:color w:val="auto"/>
        </w:rPr>
      </w:pPr>
      <w:r w:rsidRPr="009756D3">
        <w:rPr>
          <w:b/>
          <w:color w:val="auto"/>
        </w:rPr>
        <w:t xml:space="preserve">Transition </w:t>
      </w:r>
      <w:r w:rsidR="00EA2D28" w:rsidRPr="009756D3">
        <w:rPr>
          <w:b/>
          <w:color w:val="auto"/>
        </w:rPr>
        <w:t xml:space="preserve">arrangements </w:t>
      </w:r>
      <w:r w:rsidR="00606CEC" w:rsidRPr="009756D3">
        <w:rPr>
          <w:b/>
          <w:color w:val="auto"/>
        </w:rPr>
        <w:t>from the Cashless Debit Card</w:t>
      </w:r>
      <w:r w:rsidR="00606CEC" w:rsidRPr="009756D3">
        <w:rPr>
          <w:color w:val="auto"/>
        </w:rPr>
        <w:t xml:space="preserve"> – </w:t>
      </w:r>
      <w:r w:rsidRPr="009756D3">
        <w:rPr>
          <w:color w:val="auto"/>
        </w:rPr>
        <w:t>will</w:t>
      </w:r>
      <w:r w:rsidR="004B1F19" w:rsidRPr="009756D3">
        <w:rPr>
          <w:color w:val="auto"/>
        </w:rPr>
        <w:t xml:space="preserve"> also</w:t>
      </w:r>
      <w:r w:rsidRPr="009756D3">
        <w:rPr>
          <w:color w:val="auto"/>
        </w:rPr>
        <w:t xml:space="preserve"> be established </w:t>
      </w:r>
      <w:r w:rsidR="00EA2D28" w:rsidRPr="009756D3">
        <w:rPr>
          <w:color w:val="auto"/>
        </w:rPr>
        <w:t xml:space="preserve">to </w:t>
      </w:r>
      <w:r w:rsidRPr="009756D3">
        <w:rPr>
          <w:color w:val="auto"/>
        </w:rPr>
        <w:t>ensure a smooth transition off the CDC</w:t>
      </w:r>
      <w:r w:rsidR="004B1F19" w:rsidRPr="009756D3">
        <w:rPr>
          <w:color w:val="auto"/>
        </w:rPr>
        <w:t xml:space="preserve"> program</w:t>
      </w:r>
      <w:r w:rsidR="0062186F" w:rsidRPr="009756D3">
        <w:rPr>
          <w:color w:val="auto"/>
        </w:rPr>
        <w:t>.</w:t>
      </w:r>
      <w:r w:rsidR="004B1F19" w:rsidRPr="009756D3">
        <w:rPr>
          <w:color w:val="auto"/>
        </w:rPr>
        <w:t xml:space="preserve"> </w:t>
      </w:r>
    </w:p>
    <w:p w14:paraId="11410079" w14:textId="1FE28BCD" w:rsidR="00606CEC" w:rsidRPr="009756D3" w:rsidRDefault="00606CEC" w:rsidP="00031DCD">
      <w:pPr>
        <w:pStyle w:val="BodyText"/>
        <w:numPr>
          <w:ilvl w:val="1"/>
          <w:numId w:val="25"/>
        </w:numPr>
        <w:rPr>
          <w:color w:val="auto"/>
        </w:rPr>
      </w:pPr>
      <w:r w:rsidRPr="009756D3">
        <w:rPr>
          <w:color w:val="auto"/>
        </w:rPr>
        <w:t xml:space="preserve">From 1 August </w:t>
      </w:r>
      <w:r w:rsidR="00EC6E0F" w:rsidRPr="009756D3">
        <w:rPr>
          <w:color w:val="auto"/>
        </w:rPr>
        <w:t>2022,</w:t>
      </w:r>
      <w:r w:rsidRPr="009756D3">
        <w:rPr>
          <w:color w:val="auto"/>
        </w:rPr>
        <w:t xml:space="preserve"> no new participants will </w:t>
      </w:r>
      <w:r w:rsidR="00002B6D">
        <w:rPr>
          <w:color w:val="auto"/>
        </w:rPr>
        <w:t>be placed onto the CDC program.</w:t>
      </w:r>
    </w:p>
    <w:p w14:paraId="05BBDFB4" w14:textId="089FD4A3" w:rsidR="00606CEC" w:rsidRPr="009756D3" w:rsidRDefault="00606CEC" w:rsidP="00031DCD">
      <w:pPr>
        <w:pStyle w:val="BodyText"/>
        <w:numPr>
          <w:ilvl w:val="1"/>
          <w:numId w:val="25"/>
        </w:numPr>
        <w:rPr>
          <w:color w:val="auto"/>
        </w:rPr>
      </w:pPr>
      <w:r w:rsidRPr="009756D3">
        <w:rPr>
          <w:color w:val="auto"/>
        </w:rPr>
        <w:t>From</w:t>
      </w:r>
      <w:r w:rsidR="00E12EC9">
        <w:rPr>
          <w:color w:val="auto"/>
        </w:rPr>
        <w:t xml:space="preserve"> the day after</w:t>
      </w:r>
      <w:r w:rsidR="007B0343" w:rsidRPr="009756D3">
        <w:rPr>
          <w:color w:val="auto"/>
        </w:rPr>
        <w:t xml:space="preserve"> </w:t>
      </w:r>
      <w:r w:rsidRPr="009756D3">
        <w:rPr>
          <w:color w:val="auto"/>
        </w:rPr>
        <w:t>the legislation receive</w:t>
      </w:r>
      <w:r w:rsidR="0062186F" w:rsidRPr="009756D3">
        <w:rPr>
          <w:color w:val="auto"/>
        </w:rPr>
        <w:t>s</w:t>
      </w:r>
      <w:r w:rsidRPr="009756D3">
        <w:rPr>
          <w:color w:val="auto"/>
        </w:rPr>
        <w:t xml:space="preserve"> Royal Assent</w:t>
      </w:r>
      <w:r w:rsidR="00EC6E0F" w:rsidRPr="009756D3">
        <w:rPr>
          <w:color w:val="auto"/>
        </w:rPr>
        <w:t xml:space="preserve"> </w:t>
      </w:r>
      <w:r w:rsidR="007B0343" w:rsidRPr="009756D3">
        <w:rPr>
          <w:color w:val="auto"/>
        </w:rPr>
        <w:t xml:space="preserve">until </w:t>
      </w:r>
      <w:r w:rsidR="00EC6E0F" w:rsidRPr="009756D3">
        <w:rPr>
          <w:color w:val="auto"/>
        </w:rPr>
        <w:t>31 December 2022</w:t>
      </w:r>
      <w:r w:rsidRPr="009756D3">
        <w:rPr>
          <w:color w:val="auto"/>
        </w:rPr>
        <w:t xml:space="preserve">, participants </w:t>
      </w:r>
      <w:r w:rsidR="00E70F7F">
        <w:rPr>
          <w:color w:val="auto"/>
        </w:rPr>
        <w:t xml:space="preserve">in the 4 trial sites </w:t>
      </w:r>
      <w:r w:rsidR="00EC6E0F" w:rsidRPr="009756D3">
        <w:rPr>
          <w:color w:val="auto"/>
        </w:rPr>
        <w:t>can</w:t>
      </w:r>
      <w:r w:rsidRPr="009756D3">
        <w:rPr>
          <w:color w:val="auto"/>
        </w:rPr>
        <w:t xml:space="preserve"> opt out o</w:t>
      </w:r>
      <w:r w:rsidR="00E70F7F">
        <w:rPr>
          <w:color w:val="auto"/>
        </w:rPr>
        <w:t xml:space="preserve">r volunteer for </w:t>
      </w:r>
      <w:r w:rsidRPr="009756D3">
        <w:rPr>
          <w:color w:val="auto"/>
        </w:rPr>
        <w:t>IM</w:t>
      </w:r>
      <w:r w:rsidR="00E70F7F">
        <w:rPr>
          <w:color w:val="auto"/>
        </w:rPr>
        <w:t xml:space="preserve">. </w:t>
      </w:r>
      <w:r w:rsidRPr="009756D3">
        <w:rPr>
          <w:color w:val="auto"/>
        </w:rPr>
        <w:t>Services Australia will exit people progressively</w:t>
      </w:r>
      <w:r w:rsidR="004C7FBB" w:rsidRPr="009756D3">
        <w:rPr>
          <w:color w:val="auto"/>
        </w:rPr>
        <w:t xml:space="preserve"> off the program</w:t>
      </w:r>
      <w:r w:rsidRPr="009756D3">
        <w:rPr>
          <w:color w:val="auto"/>
        </w:rPr>
        <w:t>.</w:t>
      </w:r>
      <w:r w:rsidR="00EC6E0F" w:rsidRPr="009756D3">
        <w:rPr>
          <w:color w:val="auto"/>
        </w:rPr>
        <w:t xml:space="preserve"> </w:t>
      </w:r>
      <w:r w:rsidR="00E70F7F">
        <w:rPr>
          <w:color w:val="auto"/>
        </w:rPr>
        <w:t>A p</w:t>
      </w:r>
      <w:r w:rsidR="00EC6E0F" w:rsidRPr="009756D3">
        <w:rPr>
          <w:color w:val="auto"/>
        </w:rPr>
        <w:t xml:space="preserve">articipant’s </w:t>
      </w:r>
      <w:r w:rsidRPr="009756D3">
        <w:rPr>
          <w:color w:val="auto"/>
        </w:rPr>
        <w:t>CDC account will be closed</w:t>
      </w:r>
      <w:r w:rsidR="00EC6E0F" w:rsidRPr="009756D3">
        <w:rPr>
          <w:color w:val="auto"/>
        </w:rPr>
        <w:t xml:space="preserve">. </w:t>
      </w:r>
    </w:p>
    <w:p w14:paraId="1381A348" w14:textId="77777777" w:rsidR="00606CEC" w:rsidRPr="009756D3" w:rsidRDefault="004E0CC4" w:rsidP="00031DCD">
      <w:pPr>
        <w:pStyle w:val="BodyText"/>
        <w:numPr>
          <w:ilvl w:val="1"/>
          <w:numId w:val="25"/>
        </w:numPr>
        <w:rPr>
          <w:color w:val="auto"/>
        </w:rPr>
      </w:pPr>
      <w:r w:rsidRPr="009756D3">
        <w:rPr>
          <w:color w:val="auto"/>
        </w:rPr>
        <w:t xml:space="preserve">Communication </w:t>
      </w:r>
      <w:r w:rsidR="00606CEC" w:rsidRPr="009756D3">
        <w:rPr>
          <w:color w:val="auto"/>
        </w:rPr>
        <w:t>to affected individuals will be provided before, during and after their transition off the CDC program</w:t>
      </w:r>
      <w:r w:rsidRPr="009756D3">
        <w:rPr>
          <w:color w:val="auto"/>
        </w:rPr>
        <w:t>.</w:t>
      </w:r>
    </w:p>
    <w:p w14:paraId="6F61BF0B" w14:textId="77777777" w:rsidR="00213ADE" w:rsidRPr="009756D3" w:rsidRDefault="00F73AFD" w:rsidP="00031DCD">
      <w:pPr>
        <w:pStyle w:val="BodyText"/>
        <w:numPr>
          <w:ilvl w:val="1"/>
          <w:numId w:val="25"/>
        </w:numPr>
        <w:rPr>
          <w:color w:val="auto"/>
        </w:rPr>
      </w:pPr>
      <w:r>
        <w:rPr>
          <w:color w:val="auto"/>
        </w:rPr>
        <w:t xml:space="preserve">CDC participants in Cape York will </w:t>
      </w:r>
      <w:r w:rsidR="00B3605F" w:rsidRPr="009756D3">
        <w:rPr>
          <w:color w:val="auto"/>
        </w:rPr>
        <w:t xml:space="preserve">be </w:t>
      </w:r>
      <w:r>
        <w:rPr>
          <w:color w:val="auto"/>
        </w:rPr>
        <w:t xml:space="preserve">automatically </w:t>
      </w:r>
      <w:r w:rsidR="00B3605F" w:rsidRPr="009756D3">
        <w:rPr>
          <w:color w:val="auto"/>
        </w:rPr>
        <w:t>referred to</w:t>
      </w:r>
      <w:r w:rsidR="00C205C4" w:rsidRPr="009756D3">
        <w:rPr>
          <w:color w:val="auto"/>
        </w:rPr>
        <w:t xml:space="preserve"> </w:t>
      </w:r>
      <w:r w:rsidR="002A479B" w:rsidRPr="009756D3">
        <w:rPr>
          <w:color w:val="auto"/>
        </w:rPr>
        <w:t xml:space="preserve">IM </w:t>
      </w:r>
      <w:r>
        <w:rPr>
          <w:color w:val="auto"/>
        </w:rPr>
        <w:t>and the F</w:t>
      </w:r>
      <w:r w:rsidR="004D614E">
        <w:rPr>
          <w:color w:val="auto"/>
        </w:rPr>
        <w:t>RC</w:t>
      </w:r>
      <w:r>
        <w:rPr>
          <w:color w:val="auto"/>
        </w:rPr>
        <w:t xml:space="preserve"> will retain its ability to refer and support Volunteers onto the IM program.</w:t>
      </w:r>
    </w:p>
    <w:p w14:paraId="13EB0A8D" w14:textId="77777777" w:rsidR="00213ADE" w:rsidRPr="009756D3" w:rsidRDefault="005305F6" w:rsidP="00031DCD">
      <w:pPr>
        <w:pStyle w:val="BodyText"/>
        <w:numPr>
          <w:ilvl w:val="1"/>
          <w:numId w:val="25"/>
        </w:numPr>
        <w:rPr>
          <w:color w:val="auto"/>
        </w:rPr>
      </w:pPr>
      <w:r w:rsidRPr="009756D3">
        <w:rPr>
          <w:color w:val="auto"/>
        </w:rPr>
        <w:t xml:space="preserve">CDC participants in the </w:t>
      </w:r>
      <w:r w:rsidR="00ED346C">
        <w:rPr>
          <w:color w:val="auto"/>
        </w:rPr>
        <w:t>NT</w:t>
      </w:r>
      <w:r w:rsidRPr="009756D3">
        <w:rPr>
          <w:color w:val="auto"/>
        </w:rPr>
        <w:t xml:space="preserve"> will revert back to IM</w:t>
      </w:r>
      <w:r w:rsidR="003443DE" w:rsidRPr="009756D3">
        <w:rPr>
          <w:color w:val="auto"/>
        </w:rPr>
        <w:t>, where eligible,</w:t>
      </w:r>
      <w:r w:rsidRPr="009756D3">
        <w:rPr>
          <w:color w:val="auto"/>
        </w:rPr>
        <w:t xml:space="preserve"> until reforms are made</w:t>
      </w:r>
      <w:r w:rsidR="00B8749D">
        <w:rPr>
          <w:color w:val="auto"/>
        </w:rPr>
        <w:t>.</w:t>
      </w:r>
    </w:p>
    <w:p w14:paraId="3B0078F2" w14:textId="77777777" w:rsidR="00213ADE" w:rsidRDefault="00213ADE" w:rsidP="00031DCD">
      <w:pPr>
        <w:pStyle w:val="BodyText"/>
        <w:numPr>
          <w:ilvl w:val="1"/>
          <w:numId w:val="25"/>
        </w:numPr>
        <w:rPr>
          <w:color w:val="auto"/>
        </w:rPr>
      </w:pPr>
      <w:r w:rsidRPr="009756D3">
        <w:rPr>
          <w:color w:val="auto"/>
        </w:rPr>
        <w:t>Maintain exi</w:t>
      </w:r>
      <w:r w:rsidR="00DC0CAA" w:rsidRPr="009756D3">
        <w:rPr>
          <w:color w:val="auto"/>
        </w:rPr>
        <w:t>s</w:t>
      </w:r>
      <w:r w:rsidRPr="009756D3">
        <w:rPr>
          <w:color w:val="auto"/>
        </w:rPr>
        <w:t>ting policy and program parameters for IM in P</w:t>
      </w:r>
      <w:r w:rsidR="00974578">
        <w:rPr>
          <w:color w:val="auto"/>
        </w:rPr>
        <w:t xml:space="preserve">lace </w:t>
      </w:r>
      <w:r w:rsidRPr="009756D3">
        <w:rPr>
          <w:color w:val="auto"/>
        </w:rPr>
        <w:t>B</w:t>
      </w:r>
      <w:r w:rsidR="00974578">
        <w:rPr>
          <w:color w:val="auto"/>
        </w:rPr>
        <w:t xml:space="preserve">ased </w:t>
      </w:r>
      <w:r w:rsidRPr="009756D3">
        <w:rPr>
          <w:color w:val="auto"/>
        </w:rPr>
        <w:t>I</w:t>
      </w:r>
      <w:r w:rsidR="00974578">
        <w:rPr>
          <w:color w:val="auto"/>
        </w:rPr>
        <w:t xml:space="preserve">ncome </w:t>
      </w:r>
      <w:r w:rsidRPr="009756D3">
        <w:rPr>
          <w:color w:val="auto"/>
        </w:rPr>
        <w:t>M</w:t>
      </w:r>
      <w:r w:rsidR="00974578">
        <w:rPr>
          <w:color w:val="auto"/>
        </w:rPr>
        <w:t>anagement</w:t>
      </w:r>
      <w:r w:rsidRPr="009756D3">
        <w:rPr>
          <w:color w:val="auto"/>
        </w:rPr>
        <w:t xml:space="preserve"> </w:t>
      </w:r>
      <w:r w:rsidR="00BE6770" w:rsidRPr="009756D3">
        <w:rPr>
          <w:color w:val="auto"/>
        </w:rPr>
        <w:t xml:space="preserve">sites </w:t>
      </w:r>
      <w:r w:rsidRPr="009756D3">
        <w:rPr>
          <w:color w:val="auto"/>
        </w:rPr>
        <w:t xml:space="preserve">and NT until </w:t>
      </w:r>
      <w:r w:rsidR="00A70D6F" w:rsidRPr="009756D3">
        <w:rPr>
          <w:color w:val="auto"/>
        </w:rPr>
        <w:t>reforms commence.</w:t>
      </w:r>
    </w:p>
    <w:p w14:paraId="1C2CBED2" w14:textId="77777777" w:rsidR="003E23DC" w:rsidRPr="003E23DC" w:rsidRDefault="003E23DC" w:rsidP="003E23DC">
      <w:pPr>
        <w:pStyle w:val="BodyText"/>
        <w:numPr>
          <w:ilvl w:val="1"/>
          <w:numId w:val="25"/>
        </w:numPr>
        <w:rPr>
          <w:color w:val="auto"/>
        </w:rPr>
      </w:pPr>
      <w:r>
        <w:rPr>
          <w:color w:val="auto"/>
        </w:rPr>
        <w:t>People will have a card with similar functions that exist in the CDC program.</w:t>
      </w:r>
    </w:p>
    <w:p w14:paraId="7BA14F22" w14:textId="36A40F73" w:rsidR="00EA2D28" w:rsidRPr="00E16E4D" w:rsidRDefault="00F146AD" w:rsidP="00A93103">
      <w:pPr>
        <w:pStyle w:val="BodyText"/>
        <w:numPr>
          <w:ilvl w:val="0"/>
          <w:numId w:val="25"/>
        </w:numPr>
        <w:rPr>
          <w:color w:val="auto"/>
        </w:rPr>
      </w:pPr>
      <w:r>
        <w:rPr>
          <w:b/>
          <w:color w:val="auto"/>
        </w:rPr>
        <w:t>S</w:t>
      </w:r>
      <w:r w:rsidR="00C00560" w:rsidRPr="009756D3">
        <w:rPr>
          <w:b/>
          <w:color w:val="auto"/>
        </w:rPr>
        <w:t>upports</w:t>
      </w:r>
      <w:r w:rsidR="00A9740A" w:rsidRPr="009756D3">
        <w:rPr>
          <w:b/>
          <w:color w:val="auto"/>
        </w:rPr>
        <w:t xml:space="preserve"> services</w:t>
      </w:r>
      <w:r w:rsidR="004E0CC4" w:rsidRPr="009756D3">
        <w:rPr>
          <w:color w:val="auto"/>
        </w:rPr>
        <w:t xml:space="preserve"> </w:t>
      </w:r>
      <w:r w:rsidR="00606CEC" w:rsidRPr="009756D3">
        <w:rPr>
          <w:color w:val="auto"/>
        </w:rPr>
        <w:t xml:space="preserve">– </w:t>
      </w:r>
      <w:r w:rsidR="004E0CC4" w:rsidRPr="009756D3">
        <w:rPr>
          <w:color w:val="auto"/>
        </w:rPr>
        <w:t xml:space="preserve">will include </w:t>
      </w:r>
      <w:r w:rsidR="001B3690" w:rsidRPr="009756D3">
        <w:rPr>
          <w:color w:val="auto"/>
        </w:rPr>
        <w:t xml:space="preserve">a range of </w:t>
      </w:r>
      <w:r w:rsidR="00644616">
        <w:rPr>
          <w:color w:val="auto"/>
        </w:rPr>
        <w:t>locally</w:t>
      </w:r>
      <w:r w:rsidR="001B3690" w:rsidRPr="009756D3">
        <w:rPr>
          <w:color w:val="auto"/>
        </w:rPr>
        <w:t xml:space="preserve"> driven solutions to </w:t>
      </w:r>
      <w:r w:rsidR="00DC0CAA" w:rsidRPr="009756D3">
        <w:rPr>
          <w:color w:val="auto"/>
        </w:rPr>
        <w:t>support people within the communities</w:t>
      </w:r>
      <w:r w:rsidR="001B3690" w:rsidRPr="009756D3">
        <w:rPr>
          <w:color w:val="auto"/>
        </w:rPr>
        <w:t xml:space="preserve">. </w:t>
      </w:r>
      <w:r w:rsidR="00F73AFD">
        <w:rPr>
          <w:color w:val="auto"/>
        </w:rPr>
        <w:t xml:space="preserve">The current suite of services will provide an initial platform of support with funds available to fill service gaps. </w:t>
      </w:r>
      <w:r w:rsidR="001B3690" w:rsidRPr="009756D3">
        <w:rPr>
          <w:color w:val="auto"/>
        </w:rPr>
        <w:t>T</w:t>
      </w:r>
      <w:r w:rsidR="004E0CC4" w:rsidRPr="009756D3">
        <w:rPr>
          <w:color w:val="auto"/>
        </w:rPr>
        <w:t xml:space="preserve">hese </w:t>
      </w:r>
      <w:r w:rsidR="00F73AFD">
        <w:rPr>
          <w:color w:val="auto"/>
        </w:rPr>
        <w:t xml:space="preserve">initiatives </w:t>
      </w:r>
      <w:r w:rsidR="004E0CC4" w:rsidRPr="009756D3">
        <w:rPr>
          <w:color w:val="auto"/>
        </w:rPr>
        <w:t>will be further developed i</w:t>
      </w:r>
      <w:r w:rsidR="00C00560" w:rsidRPr="009756D3">
        <w:rPr>
          <w:color w:val="auto"/>
        </w:rPr>
        <w:t>n partnership with local communities, i</w:t>
      </w:r>
      <w:r w:rsidR="00D73AA9" w:rsidRPr="009756D3">
        <w:rPr>
          <w:color w:val="auto"/>
        </w:rPr>
        <w:t>ncluding First Nations leaders</w:t>
      </w:r>
      <w:r w:rsidR="00DC0CAA" w:rsidRPr="009756D3">
        <w:rPr>
          <w:color w:val="auto"/>
        </w:rPr>
        <w:t xml:space="preserve"> to target the specific issues within the different sites</w:t>
      </w:r>
      <w:r w:rsidR="00D73AA9" w:rsidRPr="009756D3">
        <w:rPr>
          <w:color w:val="auto"/>
        </w:rPr>
        <w:t>.</w:t>
      </w:r>
      <w:r w:rsidR="003965E7" w:rsidRPr="009756D3">
        <w:rPr>
          <w:color w:val="auto"/>
        </w:rPr>
        <w:t xml:space="preserve"> </w:t>
      </w:r>
      <w:r w:rsidR="00A17116" w:rsidRPr="009756D3">
        <w:rPr>
          <w:color w:val="auto"/>
        </w:rPr>
        <w:t>These supports will compl</w:t>
      </w:r>
      <w:r w:rsidR="000C6AC6" w:rsidRPr="009756D3">
        <w:rPr>
          <w:color w:val="auto"/>
        </w:rPr>
        <w:t>e</w:t>
      </w:r>
      <w:r w:rsidR="00A17116" w:rsidRPr="009756D3">
        <w:rPr>
          <w:color w:val="auto"/>
        </w:rPr>
        <w:t>ment other programs</w:t>
      </w:r>
      <w:r w:rsidR="004A139D" w:rsidRPr="009756D3">
        <w:rPr>
          <w:color w:val="auto"/>
        </w:rPr>
        <w:t xml:space="preserve"> in the community</w:t>
      </w:r>
      <w:r w:rsidR="00A17116" w:rsidRPr="009756D3">
        <w:rPr>
          <w:color w:val="auto"/>
        </w:rPr>
        <w:t xml:space="preserve"> and </w:t>
      </w:r>
      <w:r w:rsidR="0023580F" w:rsidRPr="009756D3">
        <w:rPr>
          <w:color w:val="auto"/>
        </w:rPr>
        <w:t>be monitored to measure implementation and impact.</w:t>
      </w:r>
      <w:r w:rsidR="003F19DE" w:rsidRPr="009756D3">
        <w:rPr>
          <w:color w:val="auto"/>
        </w:rPr>
        <w:t xml:space="preserve"> Any CDC participant transitioning from the program or IM participant will be able to access support </w:t>
      </w:r>
      <w:r>
        <w:rPr>
          <w:color w:val="auto"/>
        </w:rPr>
        <w:t>services</w:t>
      </w:r>
      <w:r w:rsidR="003F19DE" w:rsidRPr="009756D3">
        <w:rPr>
          <w:color w:val="auto"/>
        </w:rPr>
        <w:t>.</w:t>
      </w:r>
      <w:r w:rsidR="00D22B4B">
        <w:rPr>
          <w:color w:val="auto"/>
        </w:rPr>
        <w:t xml:space="preserve"> </w:t>
      </w:r>
      <w:r w:rsidR="00644616">
        <w:rPr>
          <w:color w:val="auto"/>
        </w:rPr>
        <w:t xml:space="preserve">Current services include financial literacy and counselling support, youth engagement and employment readiness </w:t>
      </w:r>
      <w:r w:rsidR="0074484D">
        <w:rPr>
          <w:color w:val="auto"/>
        </w:rPr>
        <w:t>initiatives</w:t>
      </w:r>
      <w:r w:rsidR="00644616">
        <w:rPr>
          <w:color w:val="auto"/>
        </w:rPr>
        <w:t xml:space="preserve">. </w:t>
      </w:r>
      <w:r w:rsidR="0074484D">
        <w:rPr>
          <w:color w:val="auto"/>
        </w:rPr>
        <w:t>A</w:t>
      </w:r>
      <w:r w:rsidR="00644616">
        <w:rPr>
          <w:color w:val="auto"/>
        </w:rPr>
        <w:t xml:space="preserve">nalysis of the support services component of </w:t>
      </w:r>
      <w:r w:rsidR="0074484D">
        <w:rPr>
          <w:color w:val="auto"/>
        </w:rPr>
        <w:t>this option will be informed by the current suite of services, noting that the detail on further services are subject to co-des</w:t>
      </w:r>
      <w:r w:rsidR="004D614E">
        <w:rPr>
          <w:color w:val="auto"/>
        </w:rPr>
        <w:t>i</w:t>
      </w:r>
      <w:r w:rsidR="0074484D">
        <w:rPr>
          <w:color w:val="auto"/>
        </w:rPr>
        <w:t xml:space="preserve">gn </w:t>
      </w:r>
      <w:r w:rsidR="00A93103" w:rsidRPr="00444A1A">
        <w:rPr>
          <w:color w:val="auto"/>
        </w:rPr>
        <w:t>process with communities and will inform a</w:t>
      </w:r>
      <w:r w:rsidR="00002B6D">
        <w:rPr>
          <w:color w:val="auto"/>
        </w:rPr>
        <w:t xml:space="preserve"> future decision of government.</w:t>
      </w:r>
    </w:p>
    <w:p w14:paraId="7665CB2D" w14:textId="33D46570" w:rsidR="00147816" w:rsidRPr="009756D3" w:rsidRDefault="00606CEC" w:rsidP="00A93103">
      <w:pPr>
        <w:pStyle w:val="BodyText"/>
        <w:numPr>
          <w:ilvl w:val="0"/>
          <w:numId w:val="25"/>
        </w:numPr>
        <w:rPr>
          <w:color w:val="auto"/>
        </w:rPr>
      </w:pPr>
      <w:r w:rsidRPr="0090057F">
        <w:rPr>
          <w:b/>
          <w:color w:val="auto"/>
        </w:rPr>
        <w:t xml:space="preserve">IM technology </w:t>
      </w:r>
      <w:r w:rsidR="00971B0A" w:rsidRPr="0090057F">
        <w:rPr>
          <w:b/>
          <w:color w:val="auto"/>
        </w:rPr>
        <w:t>enhancements</w:t>
      </w:r>
      <w:r w:rsidR="00147816" w:rsidRPr="0090057F">
        <w:rPr>
          <w:color w:val="auto"/>
        </w:rPr>
        <w:t xml:space="preserve"> </w:t>
      </w:r>
      <w:r w:rsidR="00147816" w:rsidRPr="009756D3">
        <w:rPr>
          <w:color w:val="auto"/>
        </w:rPr>
        <w:t xml:space="preserve">– enhance </w:t>
      </w:r>
      <w:r w:rsidR="00DC0CAA" w:rsidRPr="009756D3">
        <w:rPr>
          <w:color w:val="auto"/>
        </w:rPr>
        <w:t xml:space="preserve">the </w:t>
      </w:r>
      <w:r w:rsidR="00147816" w:rsidRPr="009756D3">
        <w:rPr>
          <w:color w:val="auto"/>
        </w:rPr>
        <w:t xml:space="preserve">technology </w:t>
      </w:r>
      <w:r w:rsidR="00DC0CAA" w:rsidRPr="009756D3">
        <w:rPr>
          <w:color w:val="auto"/>
        </w:rPr>
        <w:t xml:space="preserve">to </w:t>
      </w:r>
      <w:r w:rsidR="00147816" w:rsidRPr="009756D3">
        <w:rPr>
          <w:color w:val="auto"/>
        </w:rPr>
        <w:t xml:space="preserve">provide </w:t>
      </w:r>
      <w:r w:rsidR="00DC0CAA" w:rsidRPr="009756D3">
        <w:rPr>
          <w:color w:val="auto"/>
        </w:rPr>
        <w:t>a</w:t>
      </w:r>
      <w:r w:rsidR="00147816" w:rsidRPr="009756D3">
        <w:rPr>
          <w:color w:val="auto"/>
        </w:rPr>
        <w:t xml:space="preserve"> modern experience for participants who want to remain on IM</w:t>
      </w:r>
      <w:r w:rsidR="00CE58BA">
        <w:rPr>
          <w:color w:val="auto"/>
        </w:rPr>
        <w:t xml:space="preserve">, including having debit card type functions, allow for online shopping, </w:t>
      </w:r>
      <w:r w:rsidR="0066120E">
        <w:rPr>
          <w:color w:val="auto"/>
        </w:rPr>
        <w:t>BPAY</w:t>
      </w:r>
      <w:r w:rsidR="00CE58BA">
        <w:rPr>
          <w:color w:val="auto"/>
        </w:rPr>
        <w:t xml:space="preserve"> and access to a significa</w:t>
      </w:r>
      <w:r w:rsidR="00002B6D">
        <w:rPr>
          <w:color w:val="auto"/>
        </w:rPr>
        <w:t>ntly larger range of merchants.</w:t>
      </w:r>
    </w:p>
    <w:p w14:paraId="3A30790E" w14:textId="77777777" w:rsidR="00B9245B" w:rsidRPr="00A93103" w:rsidRDefault="00A9740A" w:rsidP="00D947F3">
      <w:pPr>
        <w:pStyle w:val="BodyText"/>
        <w:numPr>
          <w:ilvl w:val="0"/>
          <w:numId w:val="25"/>
        </w:numPr>
        <w:rPr>
          <w:color w:val="auto"/>
        </w:rPr>
      </w:pPr>
      <w:r w:rsidRPr="009756D3">
        <w:rPr>
          <w:b/>
          <w:color w:val="auto"/>
        </w:rPr>
        <w:t>Opt-in referral based IM arrangements</w:t>
      </w:r>
      <w:r w:rsidR="00DC0CAA" w:rsidRPr="009756D3">
        <w:rPr>
          <w:b/>
          <w:color w:val="auto"/>
        </w:rPr>
        <w:t xml:space="preserve"> </w:t>
      </w:r>
      <w:r w:rsidR="00B9245B" w:rsidRPr="009756D3">
        <w:rPr>
          <w:color w:val="auto"/>
        </w:rPr>
        <w:t>–</w:t>
      </w:r>
      <w:r w:rsidR="00B9245B" w:rsidRPr="009756D3">
        <w:rPr>
          <w:b/>
          <w:color w:val="auto"/>
        </w:rPr>
        <w:t xml:space="preserve"> </w:t>
      </w:r>
      <w:r w:rsidR="009E3BAC">
        <w:rPr>
          <w:color w:val="auto"/>
        </w:rPr>
        <w:t>T</w:t>
      </w:r>
      <w:r w:rsidR="00DC0CAA" w:rsidRPr="009756D3">
        <w:rPr>
          <w:color w:val="auto"/>
        </w:rPr>
        <w:t xml:space="preserve">he </w:t>
      </w:r>
      <w:r w:rsidR="0066120E">
        <w:rPr>
          <w:color w:val="auto"/>
        </w:rPr>
        <w:t>G</w:t>
      </w:r>
      <w:r w:rsidR="000C6AC6" w:rsidRPr="009756D3">
        <w:rPr>
          <w:color w:val="auto"/>
        </w:rPr>
        <w:t xml:space="preserve">overnment will consult with communities on whether the IM program should allow for referrals from community based committees similar to </w:t>
      </w:r>
      <w:r w:rsidR="00B9245B" w:rsidRPr="009756D3">
        <w:rPr>
          <w:color w:val="auto"/>
        </w:rPr>
        <w:t>the Family Responsibilities Commi</w:t>
      </w:r>
      <w:r w:rsidR="009F3279" w:rsidRPr="009756D3">
        <w:rPr>
          <w:color w:val="auto"/>
        </w:rPr>
        <w:t>ssion</w:t>
      </w:r>
      <w:r w:rsidR="00B9245B" w:rsidRPr="009756D3">
        <w:rPr>
          <w:color w:val="auto"/>
        </w:rPr>
        <w:t xml:space="preserve"> in </w:t>
      </w:r>
      <w:r w:rsidR="009F3279" w:rsidRPr="009756D3">
        <w:rPr>
          <w:color w:val="auto"/>
        </w:rPr>
        <w:t xml:space="preserve">the </w:t>
      </w:r>
      <w:r w:rsidR="00B9245B" w:rsidRPr="009756D3">
        <w:rPr>
          <w:color w:val="auto"/>
        </w:rPr>
        <w:t>Cape York region</w:t>
      </w:r>
      <w:r w:rsidR="000C6AC6" w:rsidRPr="009756D3">
        <w:rPr>
          <w:color w:val="auto"/>
        </w:rPr>
        <w:t>,</w:t>
      </w:r>
      <w:r w:rsidR="008C4C5E" w:rsidRPr="009756D3">
        <w:rPr>
          <w:color w:val="auto"/>
        </w:rPr>
        <w:t xml:space="preserve"> or from other </w:t>
      </w:r>
      <w:r w:rsidR="008C4C5E" w:rsidRPr="00A93103">
        <w:rPr>
          <w:color w:val="auto"/>
        </w:rPr>
        <w:t>statutory bodies</w:t>
      </w:r>
      <w:r w:rsidR="000C6AC6" w:rsidRPr="00A93103">
        <w:rPr>
          <w:color w:val="auto"/>
        </w:rPr>
        <w:t>.</w:t>
      </w:r>
      <w:r w:rsidR="00CE58BA">
        <w:rPr>
          <w:color w:val="auto"/>
        </w:rPr>
        <w:t xml:space="preserve"> T</w:t>
      </w:r>
      <w:r w:rsidR="00D947F3" w:rsidRPr="00A93103">
        <w:rPr>
          <w:color w:val="auto"/>
        </w:rPr>
        <w:t>he adoption by any community into an opt-in referral based IM arrangement will be subject to a future decision of government.</w:t>
      </w:r>
    </w:p>
    <w:p w14:paraId="70A0E3BA" w14:textId="77777777" w:rsidR="00A9740A" w:rsidRPr="00A93103" w:rsidRDefault="00A9740A" w:rsidP="00031DCD">
      <w:pPr>
        <w:pStyle w:val="BodyText"/>
        <w:numPr>
          <w:ilvl w:val="0"/>
          <w:numId w:val="25"/>
        </w:numPr>
        <w:rPr>
          <w:b/>
          <w:color w:val="auto"/>
        </w:rPr>
      </w:pPr>
      <w:r w:rsidRPr="009756D3">
        <w:rPr>
          <w:b/>
          <w:color w:val="auto"/>
        </w:rPr>
        <w:t xml:space="preserve">Continuation of Child Protection Measure and extending </w:t>
      </w:r>
      <w:r w:rsidR="0031376E" w:rsidRPr="009756D3">
        <w:rPr>
          <w:b/>
          <w:color w:val="auto"/>
        </w:rPr>
        <w:t>SPaR</w:t>
      </w:r>
      <w:r w:rsidRPr="009756D3">
        <w:rPr>
          <w:b/>
          <w:color w:val="auto"/>
        </w:rPr>
        <w:t xml:space="preserve"> measures - </w:t>
      </w:r>
      <w:r w:rsidR="009E3BAC" w:rsidRPr="009E3BAC">
        <w:rPr>
          <w:color w:val="auto"/>
        </w:rPr>
        <w:t>This will</w:t>
      </w:r>
      <w:r w:rsidR="009E3BAC">
        <w:rPr>
          <w:b/>
          <w:color w:val="auto"/>
        </w:rPr>
        <w:t xml:space="preserve"> </w:t>
      </w:r>
      <w:r w:rsidR="009E3BAC">
        <w:t>allow state and territory governments to nominate people who may benefit from the program such as continuing child protection orders that already exist.</w:t>
      </w:r>
      <w:r w:rsidR="009E3BAC" w:rsidRPr="009756D3">
        <w:rPr>
          <w:color w:val="auto"/>
        </w:rPr>
        <w:t xml:space="preserve"> </w:t>
      </w:r>
      <w:r w:rsidR="00D947F3" w:rsidRPr="00A93103">
        <w:rPr>
          <w:color w:val="auto"/>
        </w:rPr>
        <w:t>Note this is subject to take up by state and territory go</w:t>
      </w:r>
      <w:r w:rsidR="00CE58BA">
        <w:rPr>
          <w:color w:val="auto"/>
        </w:rPr>
        <w:t>vernments</w:t>
      </w:r>
      <w:r w:rsidR="00BE6853">
        <w:rPr>
          <w:color w:val="auto"/>
        </w:rPr>
        <w:t xml:space="preserve"> and is subject to a future decision of government</w:t>
      </w:r>
      <w:r w:rsidR="00D947F3" w:rsidRPr="00A93103">
        <w:rPr>
          <w:color w:val="auto"/>
        </w:rPr>
        <w:t>.</w:t>
      </w:r>
    </w:p>
    <w:p w14:paraId="674D4802" w14:textId="77777777" w:rsidR="00BB4724" w:rsidRPr="00A93103" w:rsidRDefault="00BB4724" w:rsidP="008938B4">
      <w:pPr>
        <w:pStyle w:val="BodyText"/>
        <w:numPr>
          <w:ilvl w:val="0"/>
          <w:numId w:val="25"/>
        </w:numPr>
        <w:rPr>
          <w:b/>
          <w:color w:val="auto"/>
        </w:rPr>
      </w:pPr>
      <w:r>
        <w:rPr>
          <w:b/>
          <w:color w:val="auto"/>
        </w:rPr>
        <w:t>N</w:t>
      </w:r>
      <w:r w:rsidR="00A01D74">
        <w:rPr>
          <w:b/>
          <w:color w:val="auto"/>
        </w:rPr>
        <w:t xml:space="preserve">ational expansion of voluntary </w:t>
      </w:r>
      <w:r w:rsidR="00A761A1">
        <w:rPr>
          <w:b/>
          <w:color w:val="auto"/>
        </w:rPr>
        <w:t>c</w:t>
      </w:r>
      <w:r w:rsidR="00A01D74">
        <w:rPr>
          <w:b/>
          <w:color w:val="auto"/>
        </w:rPr>
        <w:t>ashless</w:t>
      </w:r>
      <w:r w:rsidR="00A761A1">
        <w:rPr>
          <w:b/>
          <w:color w:val="auto"/>
        </w:rPr>
        <w:t xml:space="preserve"> </w:t>
      </w:r>
      <w:r w:rsidR="00A01D74">
        <w:rPr>
          <w:b/>
          <w:color w:val="auto"/>
        </w:rPr>
        <w:t>IM</w:t>
      </w:r>
      <w:r w:rsidRPr="005E0F28">
        <w:rPr>
          <w:color w:val="auto"/>
        </w:rPr>
        <w:t xml:space="preserve"> –</w:t>
      </w:r>
      <w:r>
        <w:rPr>
          <w:b/>
          <w:color w:val="auto"/>
        </w:rPr>
        <w:t xml:space="preserve"> </w:t>
      </w:r>
      <w:r w:rsidR="008938B4">
        <w:rPr>
          <w:color w:val="auto"/>
        </w:rPr>
        <w:t>T</w:t>
      </w:r>
      <w:r w:rsidRPr="005E0F28">
        <w:rPr>
          <w:color w:val="auto"/>
        </w:rPr>
        <w:t>he government will consult on whether the voluntary income management program should be expanded nationally.</w:t>
      </w:r>
      <w:r>
        <w:rPr>
          <w:b/>
          <w:color w:val="auto"/>
        </w:rPr>
        <w:t xml:space="preserve"> </w:t>
      </w:r>
      <w:r w:rsidR="004929BC">
        <w:rPr>
          <w:color w:val="auto"/>
        </w:rPr>
        <w:t>An</w:t>
      </w:r>
      <w:r w:rsidR="008938B4" w:rsidRPr="008938B4">
        <w:rPr>
          <w:color w:val="auto"/>
        </w:rPr>
        <w:t xml:space="preserve"> expansion</w:t>
      </w:r>
      <w:r w:rsidR="004929BC">
        <w:rPr>
          <w:color w:val="auto"/>
        </w:rPr>
        <w:t xml:space="preserve"> </w:t>
      </w:r>
      <w:r w:rsidR="008938B4" w:rsidRPr="008938B4">
        <w:rPr>
          <w:color w:val="auto"/>
        </w:rPr>
        <w:t>will</w:t>
      </w:r>
      <w:r w:rsidR="008938B4">
        <w:rPr>
          <w:b/>
          <w:color w:val="auto"/>
        </w:rPr>
        <w:t xml:space="preserve"> </w:t>
      </w:r>
      <w:r w:rsidR="008938B4">
        <w:t>ensure people who want to can continue to access budgeting support or protection of their payments</w:t>
      </w:r>
      <w:r w:rsidR="008938B4" w:rsidRPr="00A93103">
        <w:t>.</w:t>
      </w:r>
      <w:r w:rsidR="00D947F3" w:rsidRPr="00A93103">
        <w:rPr>
          <w:color w:val="auto"/>
        </w:rPr>
        <w:t xml:space="preserve"> Note the national expansion of voluntary IM will be subject to a future decision of government.</w:t>
      </w:r>
    </w:p>
    <w:p w14:paraId="1AD0753B" w14:textId="7E240DF4" w:rsidR="004E0CC4" w:rsidRPr="00B52DAA" w:rsidRDefault="00950900" w:rsidP="00B65911">
      <w:pPr>
        <w:pStyle w:val="Heading3"/>
      </w:pPr>
      <w:bookmarkStart w:id="83" w:name="_Toc118103758"/>
      <w:r>
        <w:t xml:space="preserve">3.2.2 </w:t>
      </w:r>
      <w:r w:rsidR="004E0CC4" w:rsidRPr="00B52DAA">
        <w:t>Abolish the C</w:t>
      </w:r>
      <w:r w:rsidR="00A01D74">
        <w:t xml:space="preserve">ashless </w:t>
      </w:r>
      <w:r w:rsidR="004E0CC4" w:rsidRPr="00B52DAA">
        <w:t>D</w:t>
      </w:r>
      <w:r w:rsidR="00A01D74">
        <w:t xml:space="preserve">ebit </w:t>
      </w:r>
      <w:r w:rsidR="004E0CC4" w:rsidRPr="00B52DAA">
        <w:t>C</w:t>
      </w:r>
      <w:r w:rsidR="00A01D74">
        <w:t>ard</w:t>
      </w:r>
      <w:bookmarkEnd w:id="83"/>
    </w:p>
    <w:p w14:paraId="4A2E1F9D" w14:textId="77777777" w:rsidR="00B930ED" w:rsidRPr="00ED346C" w:rsidRDefault="00B930ED" w:rsidP="00B52DAA">
      <w:pPr>
        <w:pStyle w:val="BodyText"/>
        <w:rPr>
          <w:color w:val="auto"/>
        </w:rPr>
      </w:pPr>
      <w:r w:rsidRPr="00ED346C">
        <w:rPr>
          <w:color w:val="auto"/>
        </w:rPr>
        <w:t>This element will abolish the CDC program and allow a participant to move to IM</w:t>
      </w:r>
      <w:r w:rsidR="00A01D74">
        <w:rPr>
          <w:color w:val="auto"/>
        </w:rPr>
        <w:t xml:space="preserve"> by 31 December 2022</w:t>
      </w:r>
      <w:r w:rsidRPr="00ED346C">
        <w:rPr>
          <w:color w:val="auto"/>
        </w:rPr>
        <w:t>.</w:t>
      </w:r>
    </w:p>
    <w:p w14:paraId="667FB94D" w14:textId="192C7192" w:rsidR="007000F3" w:rsidRPr="00380AE9" w:rsidRDefault="00950900" w:rsidP="00B65911">
      <w:pPr>
        <w:pStyle w:val="Heading3"/>
      </w:pPr>
      <w:bookmarkStart w:id="84" w:name="_Toc118103759"/>
      <w:r w:rsidRPr="00380AE9">
        <w:t xml:space="preserve">3.2.3 </w:t>
      </w:r>
      <w:r w:rsidR="001C61E0">
        <w:t>Card</w:t>
      </w:r>
      <w:r w:rsidR="007000F3" w:rsidRPr="00380AE9">
        <w:t xml:space="preserve"> technology </w:t>
      </w:r>
      <w:r w:rsidR="00E37752">
        <w:t>for voluntary IM participants</w:t>
      </w:r>
      <w:bookmarkEnd w:id="84"/>
    </w:p>
    <w:p w14:paraId="4CF4B50F" w14:textId="79BB6427" w:rsidR="007000F3" w:rsidRPr="0035071A" w:rsidRDefault="00E37752" w:rsidP="007000F3">
      <w:pPr>
        <w:pStyle w:val="BodyText"/>
        <w:rPr>
          <w:color w:val="auto"/>
        </w:rPr>
      </w:pPr>
      <w:r>
        <w:rPr>
          <w:color w:val="auto"/>
        </w:rPr>
        <w:t>R</w:t>
      </w:r>
      <w:r w:rsidRPr="007C75D4">
        <w:rPr>
          <w:color w:val="auto"/>
        </w:rPr>
        <w:t>ather than return</w:t>
      </w:r>
      <w:r>
        <w:rPr>
          <w:color w:val="auto"/>
        </w:rPr>
        <w:t>ing</w:t>
      </w:r>
      <w:r w:rsidRPr="007C75D4">
        <w:rPr>
          <w:color w:val="auto"/>
        </w:rPr>
        <w:t xml:space="preserve"> to the use of stored value cards, individuals </w:t>
      </w:r>
      <w:r>
        <w:rPr>
          <w:color w:val="auto"/>
        </w:rPr>
        <w:t xml:space="preserve">who </w:t>
      </w:r>
      <w:r w:rsidRPr="0035071A">
        <w:rPr>
          <w:color w:val="auto"/>
        </w:rPr>
        <w:t>cho</w:t>
      </w:r>
      <w:r>
        <w:rPr>
          <w:color w:val="auto"/>
        </w:rPr>
        <w:t>o</w:t>
      </w:r>
      <w:r w:rsidRPr="0035071A">
        <w:rPr>
          <w:color w:val="auto"/>
        </w:rPr>
        <w:t>se to participate in the voluntary IM program, or who transition to IM in Cape York and the NT</w:t>
      </w:r>
      <w:r>
        <w:rPr>
          <w:color w:val="auto"/>
        </w:rPr>
        <w:t>,</w:t>
      </w:r>
      <w:r w:rsidRPr="007C75D4">
        <w:rPr>
          <w:color w:val="auto"/>
        </w:rPr>
        <w:t xml:space="preserve"> will be provided with a contemporary card that ensures a modern technological functionality. This provides continuity and a consistent approach for persons transitioning to enhanced IM from CDC.</w:t>
      </w:r>
      <w:r w:rsidR="0001118F">
        <w:rPr>
          <w:color w:val="auto"/>
        </w:rPr>
        <w:t xml:space="preserve"> </w:t>
      </w:r>
      <w:r w:rsidR="007000F3" w:rsidRPr="0035071A">
        <w:rPr>
          <w:color w:val="auto"/>
        </w:rPr>
        <w:t>Participants would receive a VISA/eftpos debit card which would inco</w:t>
      </w:r>
      <w:r w:rsidR="00184C01" w:rsidRPr="0035071A">
        <w:rPr>
          <w:color w:val="auto"/>
        </w:rPr>
        <w:t>rporate basic features</w:t>
      </w:r>
      <w:r w:rsidR="00B129B9" w:rsidRPr="0035071A">
        <w:rPr>
          <w:color w:val="auto"/>
        </w:rPr>
        <w:t xml:space="preserve"> that currently do not exist under IM</w:t>
      </w:r>
      <w:r w:rsidR="00184C01" w:rsidRPr="0035071A">
        <w:rPr>
          <w:color w:val="auto"/>
        </w:rPr>
        <w:t xml:space="preserve"> such as:</w:t>
      </w:r>
    </w:p>
    <w:p w14:paraId="62D2E47A" w14:textId="77777777" w:rsidR="007000F3" w:rsidRPr="0035071A" w:rsidRDefault="007000F3" w:rsidP="00184C01">
      <w:pPr>
        <w:pStyle w:val="ListParagraph"/>
        <w:numPr>
          <w:ilvl w:val="0"/>
          <w:numId w:val="18"/>
        </w:numPr>
        <w:tabs>
          <w:tab w:val="left" w:pos="851"/>
        </w:tabs>
        <w:spacing w:before="120" w:line="276" w:lineRule="auto"/>
        <w:rPr>
          <w:color w:val="auto"/>
        </w:rPr>
      </w:pPr>
      <w:r w:rsidRPr="0035071A">
        <w:rPr>
          <w:color w:val="auto"/>
        </w:rPr>
        <w:t>BPAY</w:t>
      </w:r>
      <w:r w:rsidR="004C0891" w:rsidRPr="0035071A">
        <w:rPr>
          <w:color w:val="auto"/>
        </w:rPr>
        <w:t>;</w:t>
      </w:r>
    </w:p>
    <w:p w14:paraId="4F9408F7" w14:textId="77777777" w:rsidR="003E23DC" w:rsidRPr="0035071A" w:rsidRDefault="003E23DC" w:rsidP="00184C01">
      <w:pPr>
        <w:pStyle w:val="ListParagraph"/>
        <w:numPr>
          <w:ilvl w:val="0"/>
          <w:numId w:val="18"/>
        </w:numPr>
        <w:tabs>
          <w:tab w:val="left" w:pos="851"/>
        </w:tabs>
        <w:spacing w:before="120" w:line="276" w:lineRule="auto"/>
        <w:rPr>
          <w:color w:val="auto"/>
        </w:rPr>
      </w:pPr>
      <w:r w:rsidRPr="0035071A">
        <w:rPr>
          <w:color w:val="auto"/>
        </w:rPr>
        <w:t>able to shop with a broader range of merchants</w:t>
      </w:r>
      <w:r w:rsidR="004A3EE1">
        <w:rPr>
          <w:color w:val="auto"/>
        </w:rPr>
        <w:t>;</w:t>
      </w:r>
    </w:p>
    <w:p w14:paraId="7D28D41A" w14:textId="77777777" w:rsidR="007000F3" w:rsidRPr="0035071A" w:rsidRDefault="007000F3" w:rsidP="00184C01">
      <w:pPr>
        <w:pStyle w:val="ListParagraph"/>
        <w:numPr>
          <w:ilvl w:val="0"/>
          <w:numId w:val="18"/>
        </w:numPr>
        <w:tabs>
          <w:tab w:val="left" w:pos="851"/>
        </w:tabs>
        <w:spacing w:before="120" w:line="276" w:lineRule="auto"/>
        <w:rPr>
          <w:color w:val="auto"/>
        </w:rPr>
      </w:pPr>
      <w:r w:rsidRPr="0035071A">
        <w:rPr>
          <w:color w:val="auto"/>
        </w:rPr>
        <w:t>e-commerce and online shopping</w:t>
      </w:r>
      <w:r w:rsidR="004C0891" w:rsidRPr="0035071A">
        <w:rPr>
          <w:color w:val="auto"/>
        </w:rPr>
        <w:t>;</w:t>
      </w:r>
    </w:p>
    <w:p w14:paraId="225DEAA0" w14:textId="77777777" w:rsidR="007000F3" w:rsidRPr="0035071A" w:rsidRDefault="007000F3" w:rsidP="00184C01">
      <w:pPr>
        <w:pStyle w:val="ListParagraph"/>
        <w:numPr>
          <w:ilvl w:val="0"/>
          <w:numId w:val="18"/>
        </w:numPr>
        <w:tabs>
          <w:tab w:val="left" w:pos="851"/>
        </w:tabs>
        <w:spacing w:before="120" w:line="276" w:lineRule="auto"/>
        <w:rPr>
          <w:color w:val="auto"/>
        </w:rPr>
      </w:pPr>
      <w:r w:rsidRPr="0035071A">
        <w:rPr>
          <w:color w:val="auto"/>
        </w:rPr>
        <w:t>online banking and transfers</w:t>
      </w:r>
      <w:r w:rsidR="004C0891" w:rsidRPr="0035071A">
        <w:rPr>
          <w:color w:val="auto"/>
        </w:rPr>
        <w:t>; and</w:t>
      </w:r>
    </w:p>
    <w:p w14:paraId="07FEB54D" w14:textId="77777777" w:rsidR="007000F3" w:rsidRPr="0035071A" w:rsidRDefault="007000F3" w:rsidP="00184C01">
      <w:pPr>
        <w:pStyle w:val="ListParagraph"/>
        <w:numPr>
          <w:ilvl w:val="0"/>
          <w:numId w:val="18"/>
        </w:numPr>
        <w:tabs>
          <w:tab w:val="left" w:pos="851"/>
        </w:tabs>
        <w:spacing w:before="120" w:line="276" w:lineRule="auto"/>
        <w:rPr>
          <w:color w:val="auto"/>
        </w:rPr>
      </w:pPr>
      <w:r w:rsidRPr="0035071A">
        <w:rPr>
          <w:color w:val="auto"/>
        </w:rPr>
        <w:t>tap and go capability</w:t>
      </w:r>
      <w:r w:rsidR="004C0891" w:rsidRPr="0035071A">
        <w:rPr>
          <w:color w:val="auto"/>
        </w:rPr>
        <w:t>.</w:t>
      </w:r>
    </w:p>
    <w:p w14:paraId="517DEECA" w14:textId="77777777" w:rsidR="00BB2608" w:rsidRPr="0035071A" w:rsidRDefault="00154356" w:rsidP="00BB2608">
      <w:pPr>
        <w:pStyle w:val="BodyText"/>
        <w:rPr>
          <w:color w:val="auto"/>
        </w:rPr>
      </w:pPr>
      <w:r w:rsidRPr="0035071A">
        <w:rPr>
          <w:color w:val="auto"/>
        </w:rPr>
        <w:t>Current IM participants will continue to use the BasicsCard</w:t>
      </w:r>
      <w:r w:rsidR="00F94894" w:rsidRPr="0035071A">
        <w:rPr>
          <w:color w:val="auto"/>
        </w:rPr>
        <w:t>, and move</w:t>
      </w:r>
      <w:r w:rsidR="00295956" w:rsidRPr="0035071A">
        <w:rPr>
          <w:color w:val="auto"/>
        </w:rPr>
        <w:t xml:space="preserve"> </w:t>
      </w:r>
      <w:r w:rsidR="00F94894" w:rsidRPr="0035071A">
        <w:rPr>
          <w:color w:val="auto"/>
        </w:rPr>
        <w:t xml:space="preserve">to </w:t>
      </w:r>
      <w:r w:rsidRPr="0035071A">
        <w:rPr>
          <w:color w:val="auto"/>
        </w:rPr>
        <w:t>a new card with enhanced functionality</w:t>
      </w:r>
      <w:r w:rsidR="00F85BFE" w:rsidRPr="0035071A">
        <w:rPr>
          <w:color w:val="auto"/>
        </w:rPr>
        <w:t xml:space="preserve"> from</w:t>
      </w:r>
      <w:r w:rsidR="00E151D9" w:rsidRPr="0035071A">
        <w:rPr>
          <w:color w:val="auto"/>
        </w:rPr>
        <w:br/>
      </w:r>
      <w:r w:rsidR="00F85BFE" w:rsidRPr="0035071A">
        <w:rPr>
          <w:color w:val="auto"/>
        </w:rPr>
        <w:t>1 July 2023</w:t>
      </w:r>
      <w:r w:rsidR="00FD2793">
        <w:rPr>
          <w:color w:val="auto"/>
        </w:rPr>
        <w:t>.</w:t>
      </w:r>
    </w:p>
    <w:p w14:paraId="673E8E7A" w14:textId="120937D5" w:rsidR="005B43D4" w:rsidRPr="003E23DC" w:rsidRDefault="00F85BFE" w:rsidP="007000F3">
      <w:pPr>
        <w:pStyle w:val="BodyText"/>
        <w:rPr>
          <w:color w:val="auto"/>
        </w:rPr>
      </w:pPr>
      <w:r w:rsidRPr="0035071A">
        <w:t xml:space="preserve">An important difference between the </w:t>
      </w:r>
      <w:r w:rsidR="005148C5">
        <w:t xml:space="preserve">contemporary card </w:t>
      </w:r>
      <w:r w:rsidRPr="0035071A">
        <w:t>and the current CDC</w:t>
      </w:r>
      <w:r w:rsidR="009034BE">
        <w:t xml:space="preserve"> card</w:t>
      </w:r>
      <w:r w:rsidRPr="0035071A">
        <w:t xml:space="preserve"> is that all client interactions will be done by Services Australia and not the card provider. The card provider will only do those services which are necessary for the card to be accepted by merchants and the merchants to be paid. </w:t>
      </w:r>
      <w:r w:rsidR="00D1717A">
        <w:t>The card provider</w:t>
      </w:r>
      <w:r w:rsidRPr="0035071A">
        <w:t xml:space="preserve"> would</w:t>
      </w:r>
      <w:r w:rsidR="0035071A" w:rsidRPr="0035071A">
        <w:t xml:space="preserve"> also</w:t>
      </w:r>
      <w:r w:rsidRPr="0035071A">
        <w:t xml:space="preserve"> provide all </w:t>
      </w:r>
      <w:r w:rsidR="00D1717A">
        <w:t xml:space="preserve">transaction </w:t>
      </w:r>
      <w:r w:rsidRPr="0035071A">
        <w:t>information to Services Australia so they can respond to inquiries from cardholders.</w:t>
      </w:r>
    </w:p>
    <w:p w14:paraId="65ECC904" w14:textId="265BE171" w:rsidR="00E30953" w:rsidRPr="00ED346C" w:rsidRDefault="00F322B5" w:rsidP="00025F93">
      <w:pPr>
        <w:pStyle w:val="BodyText"/>
        <w:rPr>
          <w:color w:val="auto"/>
        </w:rPr>
      </w:pPr>
      <w:r w:rsidRPr="003E23DC">
        <w:rPr>
          <w:color w:val="auto"/>
        </w:rPr>
        <w:t>M</w:t>
      </w:r>
      <w:r w:rsidR="00025F93" w:rsidRPr="003E23DC">
        <w:rPr>
          <w:color w:val="auto"/>
        </w:rPr>
        <w:t xml:space="preserve">erchants </w:t>
      </w:r>
      <w:r w:rsidRPr="003E23DC">
        <w:rPr>
          <w:color w:val="auto"/>
        </w:rPr>
        <w:t xml:space="preserve">that were part of </w:t>
      </w:r>
      <w:r w:rsidR="003E40B7" w:rsidRPr="003E23DC">
        <w:rPr>
          <w:color w:val="auto"/>
        </w:rPr>
        <w:t xml:space="preserve">the </w:t>
      </w:r>
      <w:r w:rsidR="00025F93" w:rsidRPr="003E23DC">
        <w:rPr>
          <w:color w:val="auto"/>
        </w:rPr>
        <w:t>CDC program</w:t>
      </w:r>
      <w:r w:rsidRPr="003E23DC">
        <w:rPr>
          <w:color w:val="auto"/>
        </w:rPr>
        <w:t xml:space="preserve"> should readily be able to adopt the</w:t>
      </w:r>
      <w:r w:rsidR="00025F93" w:rsidRPr="003E23DC">
        <w:rPr>
          <w:color w:val="auto"/>
        </w:rPr>
        <w:t xml:space="preserve"> new technology to accept the </w:t>
      </w:r>
      <w:r w:rsidR="005148C5">
        <w:rPr>
          <w:color w:val="auto"/>
        </w:rPr>
        <w:t>contemporary card</w:t>
      </w:r>
      <w:r w:rsidR="00025F93" w:rsidRPr="003E23DC">
        <w:rPr>
          <w:color w:val="auto"/>
        </w:rPr>
        <w:t xml:space="preserve">. </w:t>
      </w:r>
      <w:r w:rsidRPr="003E23DC">
        <w:rPr>
          <w:color w:val="auto"/>
        </w:rPr>
        <w:t xml:space="preserve">Merchants will no longer have to be on the IM program. There will be some adjustments to using the </w:t>
      </w:r>
      <w:r w:rsidR="005148C5">
        <w:rPr>
          <w:color w:val="auto"/>
        </w:rPr>
        <w:t>contemporary card</w:t>
      </w:r>
      <w:r w:rsidR="00AA5DF7">
        <w:rPr>
          <w:color w:val="auto"/>
        </w:rPr>
        <w:t>,</w:t>
      </w:r>
      <w:r w:rsidRPr="003E23DC">
        <w:rPr>
          <w:color w:val="auto"/>
        </w:rPr>
        <w:t xml:space="preserve"> however</w:t>
      </w:r>
      <w:r w:rsidR="00AA5DF7">
        <w:rPr>
          <w:color w:val="auto"/>
        </w:rPr>
        <w:t>,</w:t>
      </w:r>
      <w:r w:rsidRPr="003E23DC">
        <w:rPr>
          <w:color w:val="auto"/>
        </w:rPr>
        <w:t xml:space="preserve"> as it use</w:t>
      </w:r>
      <w:r w:rsidR="003E23DC" w:rsidRPr="003E23DC">
        <w:rPr>
          <w:color w:val="auto"/>
        </w:rPr>
        <w:t>s</w:t>
      </w:r>
      <w:r w:rsidRPr="003E23DC">
        <w:rPr>
          <w:color w:val="auto"/>
        </w:rPr>
        <w:t xml:space="preserve"> similar technology as other cards it should be easy to </w:t>
      </w:r>
      <w:r w:rsidR="003E23DC" w:rsidRPr="003E23DC">
        <w:rPr>
          <w:color w:val="auto"/>
        </w:rPr>
        <w:t>apply in their business</w:t>
      </w:r>
      <w:r w:rsidRPr="003E23DC">
        <w:rPr>
          <w:color w:val="auto"/>
        </w:rPr>
        <w:t xml:space="preserve">. </w:t>
      </w:r>
      <w:r w:rsidR="00025F93" w:rsidRPr="003E23DC">
        <w:rPr>
          <w:color w:val="auto"/>
        </w:rPr>
        <w:t>The Government will develop transitional arrangements to support merchants during this time.</w:t>
      </w:r>
      <w:r w:rsidRPr="003E23DC">
        <w:rPr>
          <w:color w:val="auto"/>
        </w:rPr>
        <w:t xml:space="preserve"> </w:t>
      </w:r>
      <w:r w:rsidR="005A2606" w:rsidRPr="003E23DC">
        <w:rPr>
          <w:color w:val="auto"/>
        </w:rPr>
        <w:fldChar w:fldCharType="begin"/>
      </w:r>
      <w:r w:rsidR="005A2606" w:rsidRPr="003E23DC">
        <w:rPr>
          <w:color w:val="auto"/>
        </w:rPr>
        <w:instrText xml:space="preserve"> REF _Ref111481016 \h </w:instrText>
      </w:r>
      <w:r w:rsidR="001B5B4B" w:rsidRPr="003E23DC">
        <w:rPr>
          <w:color w:val="auto"/>
        </w:rPr>
        <w:instrText xml:space="preserve"> \* MERGEFORMAT </w:instrText>
      </w:r>
      <w:r w:rsidR="005A2606" w:rsidRPr="003E23DC">
        <w:rPr>
          <w:color w:val="auto"/>
        </w:rPr>
      </w:r>
      <w:r w:rsidR="005A2606" w:rsidRPr="003E23DC">
        <w:rPr>
          <w:color w:val="auto"/>
        </w:rPr>
        <w:fldChar w:fldCharType="separate"/>
      </w:r>
      <w:r w:rsidR="005A2606" w:rsidRPr="003E23DC">
        <w:t xml:space="preserve">Figure </w:t>
      </w:r>
      <w:r w:rsidR="005A2606" w:rsidRPr="003E23DC">
        <w:rPr>
          <w:noProof/>
        </w:rPr>
        <w:t>5</w:t>
      </w:r>
      <w:r w:rsidR="005A2606" w:rsidRPr="003E23DC">
        <w:rPr>
          <w:color w:val="auto"/>
        </w:rPr>
        <w:fldChar w:fldCharType="end"/>
      </w:r>
      <w:r w:rsidR="001F096E" w:rsidRPr="003E23DC">
        <w:rPr>
          <w:color w:val="auto"/>
        </w:rPr>
        <w:t xml:space="preserve"> below provides an outline of the process for onboarding Merchants to accept the </w:t>
      </w:r>
      <w:r w:rsidR="005148C5">
        <w:rPr>
          <w:color w:val="auto"/>
        </w:rPr>
        <w:t>contemporary card</w:t>
      </w:r>
      <w:r w:rsidR="001F096E" w:rsidRPr="003E23DC">
        <w:rPr>
          <w:color w:val="auto"/>
        </w:rPr>
        <w:t>.</w:t>
      </w:r>
    </w:p>
    <w:p w14:paraId="47E89178" w14:textId="52B45101" w:rsidR="00F322B5" w:rsidRPr="001F096E" w:rsidRDefault="001F096E" w:rsidP="00F322B5">
      <w:pPr>
        <w:pStyle w:val="Caption"/>
        <w:ind w:left="0" w:firstLine="0"/>
      </w:pPr>
      <w:bookmarkStart w:id="85" w:name="_Ref111481016"/>
      <w:bookmarkStart w:id="86" w:name="_Toc118103820"/>
      <w:r>
        <w:t xml:space="preserve">Figure </w:t>
      </w:r>
      <w:fldSimple w:instr=" SEQ Figure \* ARABIC ">
        <w:r>
          <w:rPr>
            <w:noProof/>
          </w:rPr>
          <w:t>5</w:t>
        </w:r>
      </w:fldSimple>
      <w:bookmarkEnd w:id="85"/>
      <w:r>
        <w:t xml:space="preserve">: </w:t>
      </w:r>
      <w:r w:rsidR="005148C5">
        <w:t>Contemporary card</w:t>
      </w:r>
      <w:r w:rsidR="00F322B5" w:rsidRPr="001F096E">
        <w:t xml:space="preserve"> </w:t>
      </w:r>
      <w:r w:rsidR="00CD5DDA">
        <w:t>Merchant o</w:t>
      </w:r>
      <w:r w:rsidR="00F322B5" w:rsidRPr="00BD629A">
        <w:t>nboarding</w:t>
      </w:r>
      <w:bookmarkEnd w:id="86"/>
    </w:p>
    <w:p w14:paraId="40217B77" w14:textId="77777777" w:rsidR="001F096E" w:rsidRPr="001F096E" w:rsidRDefault="007C6FAC" w:rsidP="00FB42B1">
      <w:pPr>
        <w:pStyle w:val="NormalWeb"/>
      </w:pPr>
      <w:r>
        <w:rPr>
          <w:noProof/>
        </w:rPr>
        <w:drawing>
          <wp:inline distT="0" distB="0" distL="0" distR="0" wp14:anchorId="3FED038E" wp14:editId="18B766DD">
            <wp:extent cx="6383653" cy="3344329"/>
            <wp:effectExtent l="0" t="0" r="0" b="8890"/>
            <wp:docPr id="55" name="Picture 55" descr="Figure 5: Contemporary card Merchant onboarding&#10;&#10;For an explanation of this figure please email. IMCOORD@dss.gov.au" title="Figure 5: Contemporary card Merchant on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6735" cy="3361660"/>
                    </a:xfrm>
                    <a:prstGeom prst="rect">
                      <a:avLst/>
                    </a:prstGeom>
                    <a:noFill/>
                  </pic:spPr>
                </pic:pic>
              </a:graphicData>
            </a:graphic>
          </wp:inline>
        </w:drawing>
      </w:r>
    </w:p>
    <w:p w14:paraId="5F8A5A06" w14:textId="77777777" w:rsidR="004F6495" w:rsidRPr="00025205" w:rsidRDefault="00FC667A" w:rsidP="00B65911">
      <w:pPr>
        <w:pStyle w:val="Heading3"/>
      </w:pPr>
      <w:bookmarkStart w:id="87" w:name="_Toc108008488"/>
      <w:bookmarkStart w:id="88" w:name="_Toc118103760"/>
      <w:r>
        <w:t xml:space="preserve">3.2.4 </w:t>
      </w:r>
      <w:r w:rsidR="004F6495" w:rsidRPr="00025205">
        <w:t xml:space="preserve">Supporting participants exiting </w:t>
      </w:r>
      <w:r w:rsidR="00257385">
        <w:t xml:space="preserve">the </w:t>
      </w:r>
      <w:r w:rsidR="000079CE">
        <w:t>C</w:t>
      </w:r>
      <w:r w:rsidR="001D13A1">
        <w:t xml:space="preserve">ashless </w:t>
      </w:r>
      <w:r w:rsidR="000079CE">
        <w:t xml:space="preserve">Debit Card </w:t>
      </w:r>
      <w:r w:rsidR="001D13A1">
        <w:t>programs</w:t>
      </w:r>
      <w:r w:rsidR="004F6495" w:rsidRPr="00025205">
        <w:t xml:space="preserve"> through transitional arrangements</w:t>
      </w:r>
      <w:bookmarkEnd w:id="87"/>
      <w:bookmarkEnd w:id="88"/>
    </w:p>
    <w:p w14:paraId="59AC7131" w14:textId="77777777" w:rsidR="004F6495" w:rsidRDefault="004F6495" w:rsidP="004F6495">
      <w:pPr>
        <w:pStyle w:val="BodyText"/>
      </w:pPr>
      <w:r>
        <w:t xml:space="preserve">To support people exiting the programs, the Government will develop transitional arrangements for ending </w:t>
      </w:r>
      <w:r w:rsidR="003A0299">
        <w:t>both the</w:t>
      </w:r>
      <w:r w:rsidR="00ED346C">
        <w:t xml:space="preserve"> </w:t>
      </w:r>
      <w:r>
        <w:t>program</w:t>
      </w:r>
      <w:r w:rsidR="003A0299">
        <w:t>s</w:t>
      </w:r>
      <w:r>
        <w:t xml:space="preserve">. The Department and Services Australia will undertake community engagement in each region prior to transition. </w:t>
      </w:r>
      <w:r w:rsidR="00362BDF">
        <w:t>As</w:t>
      </w:r>
      <w:r w:rsidR="00DF75C1">
        <w:t xml:space="preserve"> </w:t>
      </w:r>
      <w:r w:rsidR="00A51CCD">
        <w:fldChar w:fldCharType="begin"/>
      </w:r>
      <w:r w:rsidR="00A51CCD">
        <w:instrText xml:space="preserve"> REF _Ref110325384 \h </w:instrText>
      </w:r>
      <w:r w:rsidR="00A51CCD">
        <w:fldChar w:fldCharType="separate"/>
      </w:r>
      <w:r w:rsidR="00A51CCD">
        <w:t>Figure</w:t>
      </w:r>
      <w:r w:rsidR="004D180B">
        <w:t>s</w:t>
      </w:r>
      <w:r w:rsidR="00A51CCD">
        <w:t xml:space="preserve"> </w:t>
      </w:r>
      <w:r w:rsidR="00A51CCD">
        <w:rPr>
          <w:noProof/>
        </w:rPr>
        <w:t>6</w:t>
      </w:r>
      <w:r w:rsidR="00A51CCD">
        <w:fldChar w:fldCharType="end"/>
      </w:r>
      <w:r w:rsidR="004D180B">
        <w:t>,</w:t>
      </w:r>
      <w:r w:rsidR="00A51CCD">
        <w:fldChar w:fldCharType="begin"/>
      </w:r>
      <w:r w:rsidR="00A51CCD">
        <w:instrText xml:space="preserve"> REF _Ref111742460 \h </w:instrText>
      </w:r>
      <w:r w:rsidR="00A51CCD">
        <w:fldChar w:fldCharType="separate"/>
      </w:r>
      <w:r w:rsidR="00A51CCD">
        <w:t xml:space="preserve"> </w:t>
      </w:r>
      <w:r w:rsidR="00A51CCD">
        <w:rPr>
          <w:noProof/>
        </w:rPr>
        <w:t>7</w:t>
      </w:r>
      <w:r w:rsidR="00A51CCD">
        <w:fldChar w:fldCharType="end"/>
      </w:r>
      <w:r w:rsidR="004D180B">
        <w:t xml:space="preserve"> and</w:t>
      </w:r>
      <w:r w:rsidR="00A51CCD">
        <w:fldChar w:fldCharType="begin"/>
      </w:r>
      <w:r w:rsidR="00A51CCD">
        <w:instrText xml:space="preserve"> REF _Ref111742517 \h </w:instrText>
      </w:r>
      <w:r w:rsidR="00A51CCD">
        <w:fldChar w:fldCharType="separate"/>
      </w:r>
      <w:r w:rsidR="00A51CCD" w:rsidRPr="00F356C9">
        <w:t xml:space="preserve"> </w:t>
      </w:r>
      <w:r w:rsidR="00A51CCD">
        <w:rPr>
          <w:noProof/>
        </w:rPr>
        <w:t>8</w:t>
      </w:r>
      <w:r w:rsidR="00A51CCD">
        <w:fldChar w:fldCharType="end"/>
      </w:r>
      <w:r w:rsidR="004D180B">
        <w:t xml:space="preserve"> </w:t>
      </w:r>
      <w:r w:rsidR="00362BDF">
        <w:t>illustrate the</w:t>
      </w:r>
      <w:r w:rsidR="002F3DA9">
        <w:t xml:space="preserve"> transition progress</w:t>
      </w:r>
      <w:r>
        <w:t xml:space="preserve"> will include:</w:t>
      </w:r>
    </w:p>
    <w:p w14:paraId="477F5CE9" w14:textId="77777777" w:rsidR="004F6495" w:rsidRDefault="004F6495" w:rsidP="00535E16">
      <w:pPr>
        <w:pStyle w:val="ListParagraph"/>
        <w:numPr>
          <w:ilvl w:val="0"/>
          <w:numId w:val="18"/>
        </w:numPr>
        <w:tabs>
          <w:tab w:val="left" w:pos="851"/>
        </w:tabs>
        <w:spacing w:before="120" w:line="276" w:lineRule="auto"/>
      </w:pPr>
      <w:r>
        <w:t>provid</w:t>
      </w:r>
      <w:r w:rsidR="00052205">
        <w:t>ing</w:t>
      </w:r>
      <w:r>
        <w:t xml:space="preserve"> participants with information on the transition</w:t>
      </w:r>
      <w:r w:rsidR="00052205">
        <w:t xml:space="preserve"> arrangement (written and verbally)</w:t>
      </w:r>
    </w:p>
    <w:p w14:paraId="7C1C3700" w14:textId="77777777" w:rsidR="004F6495" w:rsidRDefault="004F6495" w:rsidP="00535E16">
      <w:pPr>
        <w:pStyle w:val="ListParagraph"/>
        <w:numPr>
          <w:ilvl w:val="0"/>
          <w:numId w:val="18"/>
        </w:numPr>
        <w:tabs>
          <w:tab w:val="left" w:pos="851"/>
        </w:tabs>
        <w:spacing w:before="120" w:line="276" w:lineRule="auto"/>
      </w:pPr>
      <w:r>
        <w:t>inform</w:t>
      </w:r>
      <w:r w:rsidR="00052205">
        <w:t>ing</w:t>
      </w:r>
      <w:r>
        <w:t xml:space="preserve"> participants how to set up direct debits or utilise Centrepay if they need assistance scheduling payments</w:t>
      </w:r>
    </w:p>
    <w:p w14:paraId="6176EB77" w14:textId="77777777" w:rsidR="004F6495" w:rsidRDefault="004F6495" w:rsidP="00535E16">
      <w:pPr>
        <w:pStyle w:val="ListParagraph"/>
        <w:numPr>
          <w:ilvl w:val="0"/>
          <w:numId w:val="18"/>
        </w:numPr>
        <w:tabs>
          <w:tab w:val="left" w:pos="851"/>
        </w:tabs>
        <w:spacing w:before="120" w:line="276" w:lineRule="auto"/>
      </w:pPr>
      <w:r>
        <w:t>inform</w:t>
      </w:r>
      <w:r w:rsidR="00052205">
        <w:t>ing</w:t>
      </w:r>
      <w:r>
        <w:t xml:space="preserve"> participants on their option to volunteer for </w:t>
      </w:r>
      <w:r w:rsidR="00052205">
        <w:t>IM</w:t>
      </w:r>
      <w:r>
        <w:t>, and</w:t>
      </w:r>
    </w:p>
    <w:p w14:paraId="2A3426CC" w14:textId="77777777" w:rsidR="004F6495" w:rsidRDefault="00052205" w:rsidP="00535E16">
      <w:pPr>
        <w:pStyle w:val="ListParagraph"/>
        <w:numPr>
          <w:ilvl w:val="0"/>
          <w:numId w:val="18"/>
        </w:numPr>
        <w:tabs>
          <w:tab w:val="left" w:pos="851"/>
        </w:tabs>
        <w:spacing w:before="120" w:line="276" w:lineRule="auto"/>
      </w:pPr>
      <w:r>
        <w:t>providing information to</w:t>
      </w:r>
      <w:r w:rsidR="004F6495">
        <w:t xml:space="preserve"> participants </w:t>
      </w:r>
      <w:r w:rsidR="00D1717A">
        <w:t xml:space="preserve">about local </w:t>
      </w:r>
      <w:r w:rsidR="004F6495">
        <w:t xml:space="preserve">support services </w:t>
      </w:r>
      <w:r w:rsidR="00D1717A">
        <w:t xml:space="preserve">and referrals </w:t>
      </w:r>
      <w:r w:rsidR="004F6495">
        <w:t xml:space="preserve">where </w:t>
      </w:r>
      <w:r w:rsidR="00D1717A">
        <w:t>appropriate</w:t>
      </w:r>
      <w:r w:rsidR="004F6495">
        <w:t>.</w:t>
      </w:r>
    </w:p>
    <w:p w14:paraId="2DC12F89" w14:textId="77777777" w:rsidR="000079CE" w:rsidRDefault="00951571" w:rsidP="000079CE">
      <w:pPr>
        <w:pStyle w:val="BodyText"/>
      </w:pPr>
      <w:r>
        <w:fldChar w:fldCharType="begin"/>
      </w:r>
      <w:r>
        <w:instrText xml:space="preserve"> REF _Ref110325384 \h </w:instrText>
      </w:r>
      <w:r>
        <w:fldChar w:fldCharType="separate"/>
      </w:r>
      <w:r w:rsidR="00D42121">
        <w:t xml:space="preserve">Figure </w:t>
      </w:r>
      <w:r w:rsidR="00D42121">
        <w:rPr>
          <w:noProof/>
        </w:rPr>
        <w:t>6</w:t>
      </w:r>
      <w:r>
        <w:fldChar w:fldCharType="end"/>
      </w:r>
      <w:r w:rsidR="000079CE">
        <w:fldChar w:fldCharType="begin"/>
      </w:r>
      <w:r w:rsidR="000079CE">
        <w:instrText xml:space="preserve"> REF _Ref109372395 \h </w:instrText>
      </w:r>
      <w:r w:rsidR="000079CE">
        <w:fldChar w:fldCharType="end"/>
      </w:r>
      <w:r w:rsidR="003864C6">
        <w:t xml:space="preserve"> provides a summary of how a</w:t>
      </w:r>
      <w:r w:rsidR="000079CE">
        <w:t>ffected participants will transition off the CDC program</w:t>
      </w:r>
      <w:r w:rsidR="004A139D">
        <w:t xml:space="preserve"> until the end of the transitional period</w:t>
      </w:r>
      <w:r w:rsidR="000079CE">
        <w:t xml:space="preserve">. </w:t>
      </w:r>
      <w:r w:rsidR="00F8532C">
        <w:t xml:space="preserve">Note people </w:t>
      </w:r>
      <w:r w:rsidR="00DF195B">
        <w:t xml:space="preserve">may want to exit without the need for </w:t>
      </w:r>
      <w:r w:rsidR="00F8532C">
        <w:t>support</w:t>
      </w:r>
      <w:r w:rsidR="00DF195B">
        <w:t>. This will mean they can transition as soon</w:t>
      </w:r>
      <w:r w:rsidR="00F8532C">
        <w:t xml:space="preserve"> as possible subject to legislation.</w:t>
      </w:r>
    </w:p>
    <w:p w14:paraId="674962EC" w14:textId="77777777" w:rsidR="000079CE" w:rsidRDefault="000079CE" w:rsidP="000079CE">
      <w:pPr>
        <w:pStyle w:val="Caption"/>
      </w:pPr>
      <w:bookmarkStart w:id="89" w:name="_Ref110325384"/>
      <w:bookmarkStart w:id="90" w:name="_Toc118103821"/>
      <w:bookmarkStart w:id="91" w:name="_Ref112068536"/>
      <w:r>
        <w:t xml:space="preserve">Figure </w:t>
      </w:r>
      <w:fldSimple w:instr=" SEQ Figure \* ARABIC ">
        <w:r w:rsidR="00D42121">
          <w:rPr>
            <w:noProof/>
          </w:rPr>
          <w:t>6</w:t>
        </w:r>
      </w:fldSimple>
      <w:bookmarkEnd w:id="89"/>
      <w:r>
        <w:t>: Summary of participant transition off CDC</w:t>
      </w:r>
      <w:r w:rsidR="003A0299">
        <w:t xml:space="preserve"> and IM</w:t>
      </w:r>
      <w:r>
        <w:t xml:space="preserve"> program</w:t>
      </w:r>
      <w:r w:rsidR="003A0299">
        <w:t>s</w:t>
      </w:r>
      <w:bookmarkEnd w:id="90"/>
      <w:r>
        <w:t xml:space="preserve"> </w:t>
      </w:r>
      <w:bookmarkEnd w:id="91"/>
    </w:p>
    <w:p w14:paraId="0564F4DE" w14:textId="77777777" w:rsidR="000079CE" w:rsidRPr="00206EA5" w:rsidRDefault="00BC511E" w:rsidP="00206EA5">
      <w:r>
        <w:rPr>
          <w:noProof/>
          <w:lang w:eastAsia="en-AU"/>
        </w:rPr>
        <w:drawing>
          <wp:inline distT="0" distB="0" distL="0" distR="0" wp14:anchorId="6F55EF2D" wp14:editId="7C779DD2">
            <wp:extent cx="6217920" cy="3852880"/>
            <wp:effectExtent l="0" t="0" r="0" b="0"/>
            <wp:docPr id="38" name="Picture 38" descr="Figure 6: Summary of participant transition off CDC and IM programs&#10;&#10;For an explanation of this figure please email. IMCOORD@dss.gov.au" title="Figure 6: Summary of participant transition off CDC and IM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24713" cy="3857089"/>
                    </a:xfrm>
                    <a:prstGeom prst="rect">
                      <a:avLst/>
                    </a:prstGeom>
                    <a:noFill/>
                  </pic:spPr>
                </pic:pic>
              </a:graphicData>
            </a:graphic>
          </wp:inline>
        </w:drawing>
      </w:r>
    </w:p>
    <w:p w14:paraId="0D12A92A" w14:textId="77777777" w:rsidR="000079CE" w:rsidRDefault="000079CE" w:rsidP="000079CE">
      <w:pPr>
        <w:pStyle w:val="BodyText"/>
      </w:pPr>
      <w:r w:rsidRPr="00084A9E">
        <w:t xml:space="preserve">For those in the </w:t>
      </w:r>
      <w:r w:rsidR="003B0A20">
        <w:t>NT</w:t>
      </w:r>
      <w:r w:rsidRPr="00084A9E">
        <w:t xml:space="preserve"> and Cape York the process is different</w:t>
      </w:r>
      <w:r>
        <w:t>. Consistent with the arrangements that have been in place for many years</w:t>
      </w:r>
      <w:r w:rsidR="0063292A">
        <w:t>,</w:t>
      </w:r>
      <w:r>
        <w:t xml:space="preserve"> the F</w:t>
      </w:r>
      <w:r w:rsidR="0066120E">
        <w:t>RC</w:t>
      </w:r>
      <w:r>
        <w:t xml:space="preserve"> </w:t>
      </w:r>
      <w:r w:rsidR="007518C2">
        <w:t xml:space="preserve">in Cape York </w:t>
      </w:r>
      <w:r>
        <w:t>will make decisions on whether a person would benefit from having part of their income support payments quarantined</w:t>
      </w:r>
      <w:r w:rsidR="003B6353">
        <w:t xml:space="preserve"> s</w:t>
      </w:r>
      <w:r w:rsidR="0063292A">
        <w:t>ee</w:t>
      </w:r>
      <w:r w:rsidR="007518C2">
        <w:t xml:space="preserve"> </w:t>
      </w:r>
      <w:r w:rsidR="007518C2">
        <w:fldChar w:fldCharType="begin"/>
      </w:r>
      <w:r w:rsidR="007518C2">
        <w:instrText xml:space="preserve"> REF _Ref111742460 \h </w:instrText>
      </w:r>
      <w:r w:rsidR="007518C2">
        <w:fldChar w:fldCharType="separate"/>
      </w:r>
      <w:r w:rsidR="007518C2">
        <w:t xml:space="preserve">Figure </w:t>
      </w:r>
      <w:r w:rsidR="007518C2">
        <w:rPr>
          <w:noProof/>
        </w:rPr>
        <w:t>7</w:t>
      </w:r>
      <w:r w:rsidR="007518C2">
        <w:fldChar w:fldCharType="end"/>
      </w:r>
      <w:r>
        <w:t xml:space="preserve">. </w:t>
      </w:r>
      <w:r w:rsidR="000B7B10">
        <w:t>Participants in the NT wil</w:t>
      </w:r>
      <w:r w:rsidR="003B6353">
        <w:t xml:space="preserve">l </w:t>
      </w:r>
      <w:r w:rsidR="002C0033">
        <w:t>revert</w:t>
      </w:r>
      <w:r w:rsidR="003B6353">
        <w:t xml:space="preserve"> to the IM program</w:t>
      </w:r>
      <w:r w:rsidR="000B7B10">
        <w:t xml:space="preserve"> </w:t>
      </w:r>
      <w:r w:rsidR="003B6353">
        <w:t>s</w:t>
      </w:r>
      <w:r w:rsidR="00911002">
        <w:t>ee</w:t>
      </w:r>
      <w:r w:rsidR="007518C2">
        <w:t xml:space="preserve"> </w:t>
      </w:r>
      <w:r w:rsidR="007518C2">
        <w:fldChar w:fldCharType="begin"/>
      </w:r>
      <w:r w:rsidR="007518C2">
        <w:instrText xml:space="preserve"> REF _Ref111742517 \h </w:instrText>
      </w:r>
      <w:r w:rsidR="007518C2">
        <w:fldChar w:fldCharType="separate"/>
      </w:r>
      <w:r w:rsidR="007518C2" w:rsidRPr="00F356C9">
        <w:t xml:space="preserve">Figure </w:t>
      </w:r>
      <w:r w:rsidR="007518C2">
        <w:rPr>
          <w:noProof/>
        </w:rPr>
        <w:t>8</w:t>
      </w:r>
      <w:r w:rsidR="007518C2">
        <w:fldChar w:fldCharType="end"/>
      </w:r>
      <w:r w:rsidR="007518C2">
        <w:t>.</w:t>
      </w:r>
    </w:p>
    <w:p w14:paraId="1FF072CC" w14:textId="77777777" w:rsidR="003B6353" w:rsidRDefault="003B6353" w:rsidP="003B6353">
      <w:pPr>
        <w:pStyle w:val="Caption"/>
      </w:pPr>
      <w:bookmarkStart w:id="92" w:name="_Ref111742460"/>
      <w:bookmarkStart w:id="93" w:name="_Ref111742450"/>
      <w:bookmarkStart w:id="94" w:name="_Toc118103822"/>
      <w:r>
        <w:t xml:space="preserve">Figure </w:t>
      </w:r>
      <w:fldSimple w:instr=" SEQ Figure \* ARABIC ">
        <w:r w:rsidR="00D42121">
          <w:rPr>
            <w:noProof/>
          </w:rPr>
          <w:t>7</w:t>
        </w:r>
      </w:fldSimple>
      <w:bookmarkEnd w:id="92"/>
      <w:r>
        <w:t xml:space="preserve">: </w:t>
      </w:r>
      <w:r w:rsidR="00206EA5">
        <w:t>Summary of participants under Community led models</w:t>
      </w:r>
      <w:bookmarkEnd w:id="93"/>
      <w:bookmarkEnd w:id="94"/>
    </w:p>
    <w:p w14:paraId="6670BAF9" w14:textId="77777777" w:rsidR="003B6353" w:rsidRPr="003B6353" w:rsidRDefault="00BC511E" w:rsidP="003B6353">
      <w:r>
        <w:rPr>
          <w:noProof/>
          <w:lang w:eastAsia="en-AU"/>
        </w:rPr>
        <w:drawing>
          <wp:inline distT="0" distB="0" distL="0" distR="0" wp14:anchorId="07D60BDF" wp14:editId="2CF492D8">
            <wp:extent cx="4858247" cy="3261761"/>
            <wp:effectExtent l="0" t="0" r="0" b="0"/>
            <wp:docPr id="39" name="Picture 39" descr="Figure 7: Summary of participants under Community led models&#10;&#10;For an explanation of this figure please email. IMCOORD@dss.gov.au" title="Figure 7: Summary of participants under Community led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6896" cy="3267568"/>
                    </a:xfrm>
                    <a:prstGeom prst="rect">
                      <a:avLst/>
                    </a:prstGeom>
                    <a:noFill/>
                  </pic:spPr>
                </pic:pic>
              </a:graphicData>
            </a:graphic>
          </wp:inline>
        </w:drawing>
      </w:r>
    </w:p>
    <w:p w14:paraId="0DC1CB83" w14:textId="77777777" w:rsidR="000079CE" w:rsidRDefault="000079CE" w:rsidP="006B023D">
      <w:pPr>
        <w:pStyle w:val="Caption"/>
        <w:ind w:left="0" w:firstLine="0"/>
      </w:pPr>
      <w:bookmarkStart w:id="95" w:name="_Ref111742517"/>
      <w:bookmarkStart w:id="96" w:name="_Toc118103823"/>
      <w:r w:rsidRPr="00F356C9">
        <w:t xml:space="preserve">Figure </w:t>
      </w:r>
      <w:fldSimple w:instr=" SEQ Figure \* ARABIC ">
        <w:r w:rsidR="003F3EDC">
          <w:rPr>
            <w:noProof/>
          </w:rPr>
          <w:t>8</w:t>
        </w:r>
      </w:fldSimple>
      <w:bookmarkEnd w:id="95"/>
      <w:r w:rsidRPr="00F356C9">
        <w:t>: Summary of participant</w:t>
      </w:r>
      <w:r w:rsidR="004A139D" w:rsidRPr="00F356C9">
        <w:t xml:space="preserve"> expected</w:t>
      </w:r>
      <w:r w:rsidRPr="00F356C9">
        <w:t xml:space="preserve"> transition off CDC program </w:t>
      </w:r>
      <w:r w:rsidR="003B0A20" w:rsidRPr="00F356C9">
        <w:t>NT</w:t>
      </w:r>
      <w:bookmarkEnd w:id="96"/>
    </w:p>
    <w:p w14:paraId="5EA90707" w14:textId="77777777" w:rsidR="00DB0C0D" w:rsidRDefault="005948C2" w:rsidP="004F6495">
      <w:pPr>
        <w:spacing w:before="120"/>
      </w:pPr>
      <w:r>
        <w:rPr>
          <w:noProof/>
          <w:lang w:eastAsia="en-AU"/>
        </w:rPr>
        <w:drawing>
          <wp:inline distT="0" distB="0" distL="0" distR="0" wp14:anchorId="34C17EBF" wp14:editId="3500A98F">
            <wp:extent cx="5876925" cy="3560445"/>
            <wp:effectExtent l="0" t="0" r="0" b="0"/>
            <wp:docPr id="37" name="Picture 37" descr="Figure 8: Summary of participant expected transition off CDC program NT&#10;&#10;For an explanation of this figure please email. IMCOORD@dss.gov.au" title="Figure 8: Summary of participant expected transition off CDC program 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6925" cy="3560445"/>
                    </a:xfrm>
                    <a:prstGeom prst="rect">
                      <a:avLst/>
                    </a:prstGeom>
                    <a:noFill/>
                  </pic:spPr>
                </pic:pic>
              </a:graphicData>
            </a:graphic>
          </wp:inline>
        </w:drawing>
      </w:r>
    </w:p>
    <w:p w14:paraId="157F785A" w14:textId="77777777" w:rsidR="004F6495" w:rsidRDefault="00AD132D" w:rsidP="004F6495">
      <w:pPr>
        <w:spacing w:before="120"/>
      </w:pPr>
      <w:r>
        <w:t>From 1 August 2022</w:t>
      </w:r>
      <w:r w:rsidR="0066120E">
        <w:t>,</w:t>
      </w:r>
      <w:r>
        <w:t xml:space="preserve"> there have been no new entrants to the CDC program. U</w:t>
      </w:r>
      <w:r w:rsidR="00052205">
        <w:t xml:space="preserve">nder new legislation, </w:t>
      </w:r>
      <w:r w:rsidR="004F6495">
        <w:t>existing participants will be transitioned off in a staged approach. A staged</w:t>
      </w:r>
      <w:r w:rsidR="00052205">
        <w:t xml:space="preserve"> transition will</w:t>
      </w:r>
      <w:r w:rsidR="004F6495">
        <w:t xml:space="preserve"> allow people to request to leave the program. </w:t>
      </w:r>
      <w:r w:rsidR="00326936">
        <w:t xml:space="preserve">All participants will receive a letter from </w:t>
      </w:r>
      <w:r w:rsidR="004F6495">
        <w:t>Services Australia advis</w:t>
      </w:r>
      <w:r w:rsidR="00326936">
        <w:t>ing them of their options</w:t>
      </w:r>
      <w:r w:rsidR="004F6495">
        <w:t>. This recognises that some CDC participants have been using CDC for up to six years, and allows time for Services Australia and the Department, along with their contracted card providers, to provide targeted support to people</w:t>
      </w:r>
      <w:r w:rsidR="004F6495" w:rsidRPr="00E02EA6">
        <w:t xml:space="preserve"> </w:t>
      </w:r>
      <w:r w:rsidR="004F6495">
        <w:t>as needed.</w:t>
      </w:r>
    </w:p>
    <w:p w14:paraId="5638E23F" w14:textId="77777777" w:rsidR="00BE6770" w:rsidRDefault="00BE6770" w:rsidP="00BE6770">
      <w:pPr>
        <w:pStyle w:val="BodyText"/>
      </w:pPr>
      <w:r>
        <w:t>The Department along with Services Australia will raise awareness and provide information to educate participants and communities on upco</w:t>
      </w:r>
      <w:r w:rsidR="008B6EFB">
        <w:t>ming transitional arrangements.</w:t>
      </w:r>
    </w:p>
    <w:p w14:paraId="5F4C64A6" w14:textId="35019867" w:rsidR="004F6495" w:rsidRDefault="004F6495" w:rsidP="004F6495">
      <w:pPr>
        <w:spacing w:before="120"/>
      </w:pPr>
      <w:r>
        <w:t xml:space="preserve">Services Australia </w:t>
      </w:r>
      <w:r w:rsidR="00E6205A">
        <w:t xml:space="preserve">will </w:t>
      </w:r>
      <w:r>
        <w:t>offer targeted transition interviews</w:t>
      </w:r>
      <w:r w:rsidR="0001609E">
        <w:t xml:space="preserve"> to those who </w:t>
      </w:r>
      <w:r w:rsidR="00326936">
        <w:t>require more assistance</w:t>
      </w:r>
      <w:r>
        <w:t xml:space="preserve">. </w:t>
      </w:r>
      <w:r w:rsidRPr="00A24914">
        <w:t xml:space="preserve">Transition interviews will provide </w:t>
      </w:r>
      <w:r w:rsidR="00E6205A">
        <w:t xml:space="preserve">CDC participants with </w:t>
      </w:r>
      <w:r w:rsidRPr="00A24914">
        <w:t>a</w:t>
      </w:r>
      <w:r w:rsidR="00BE6770">
        <w:t xml:space="preserve"> supported </w:t>
      </w:r>
      <w:r w:rsidRPr="00A24914">
        <w:t xml:space="preserve">transition, support to understand how their circumstances will change including the impact on established direct debits, offer voluntary IM, and offer referrals to local support </w:t>
      </w:r>
      <w:r w:rsidR="00E6205A">
        <w:t xml:space="preserve">services assistance with </w:t>
      </w:r>
      <w:r w:rsidRPr="00A24914">
        <w:t xml:space="preserve">financial </w:t>
      </w:r>
      <w:r w:rsidR="003864C6">
        <w:t xml:space="preserve">counselling, money management support, </w:t>
      </w:r>
      <w:r w:rsidRPr="00A24914">
        <w:t xml:space="preserve">and </w:t>
      </w:r>
      <w:r>
        <w:t>Centrepay arrangements.</w:t>
      </w:r>
    </w:p>
    <w:p w14:paraId="10BE2560" w14:textId="77777777" w:rsidR="004F6495" w:rsidRDefault="004F6495" w:rsidP="004F6495">
      <w:pPr>
        <w:spacing w:before="120"/>
      </w:pPr>
      <w:r>
        <w:t>I</w:t>
      </w:r>
      <w:r w:rsidRPr="00A24914">
        <w:t>nterviews will be either face</w:t>
      </w:r>
      <w:r>
        <w:t>-</w:t>
      </w:r>
      <w:r w:rsidRPr="00A24914">
        <w:t>to</w:t>
      </w:r>
      <w:r>
        <w:t>-</w:t>
      </w:r>
      <w:r w:rsidRPr="00A24914">
        <w:t>face or by telephone.</w:t>
      </w:r>
    </w:p>
    <w:p w14:paraId="69AC8B05" w14:textId="77777777" w:rsidR="00F22035" w:rsidRPr="00407B7F" w:rsidRDefault="00FC667A" w:rsidP="00B65911">
      <w:pPr>
        <w:pStyle w:val="Heading3"/>
      </w:pPr>
      <w:bookmarkStart w:id="97" w:name="_Toc118103761"/>
      <w:r>
        <w:t xml:space="preserve">3.2.5 </w:t>
      </w:r>
      <w:r w:rsidR="00F22035" w:rsidRPr="00407B7F">
        <w:t>Transition from mandatory to voluntary IM</w:t>
      </w:r>
      <w:bookmarkEnd w:id="97"/>
    </w:p>
    <w:p w14:paraId="1B5E3308" w14:textId="5B6F09DA" w:rsidR="00CE0C43" w:rsidRPr="00407B7F" w:rsidRDefault="00CE0C43" w:rsidP="00F22035">
      <w:pPr>
        <w:pStyle w:val="BodyText"/>
      </w:pPr>
      <w:r w:rsidRPr="00407B7F">
        <w:t>Similar to the CDC transition</w:t>
      </w:r>
      <w:r w:rsidR="00C56634">
        <w:t>,</w:t>
      </w:r>
      <w:r w:rsidRPr="00407B7F">
        <w:t xml:space="preserve"> people in the IM site will be able</w:t>
      </w:r>
      <w:r w:rsidR="003B6353">
        <w:t xml:space="preserve"> </w:t>
      </w:r>
      <w:r w:rsidRPr="00407B7F">
        <w:t>to trans</w:t>
      </w:r>
      <w:r w:rsidR="00BE6EAA">
        <w:t>ition</w:t>
      </w:r>
      <w:r w:rsidRPr="00407B7F">
        <w:t xml:space="preserve"> off IM. </w:t>
      </w:r>
      <w:r w:rsidR="00940879">
        <w:t xml:space="preserve">The Government will consult on the appropriate way to transition to a voluntary IM system. </w:t>
      </w:r>
      <w:r w:rsidR="00BE6EAA" w:rsidRPr="00BE6EAA">
        <w:t xml:space="preserve">People will cease being placed onto the </w:t>
      </w:r>
      <w:r w:rsidR="00BE6EAA">
        <w:t>IM</w:t>
      </w:r>
      <w:r w:rsidR="00BE6EAA" w:rsidRPr="00BE6EAA">
        <w:t xml:space="preserve"> program, and existing participants will be transitioned off in a staged approach. </w:t>
      </w:r>
      <w:r w:rsidR="00BE6EAA">
        <w:t>Changes will be communicated to all affected participants and they will be supported throughout.</w:t>
      </w:r>
      <w:r w:rsidR="00834C35" w:rsidRPr="00834C35">
        <w:t xml:space="preserve"> </w:t>
      </w:r>
      <w:r w:rsidR="00834C35" w:rsidRPr="0035071A">
        <w:t>Support services will be available 12 months prior to removal off IM to provide digital and financial literacy support.</w:t>
      </w:r>
    </w:p>
    <w:p w14:paraId="07D8892F" w14:textId="77777777" w:rsidR="008A41F0" w:rsidRDefault="008A41F0" w:rsidP="008A41F0">
      <w:r>
        <w:t xml:space="preserve">Services Australia and </w:t>
      </w:r>
      <w:r w:rsidR="0066120E">
        <w:t>the Department</w:t>
      </w:r>
      <w:r>
        <w:t xml:space="preserve"> will undertake community engagement in each region prior to transition in order to:</w:t>
      </w:r>
    </w:p>
    <w:p w14:paraId="19138A4C" w14:textId="77777777" w:rsidR="008A41F0" w:rsidRDefault="008A41F0" w:rsidP="00B173C0">
      <w:pPr>
        <w:pStyle w:val="BulletedListlvl1"/>
      </w:pPr>
      <w:r>
        <w:t>provide participants with information on the transition,</w:t>
      </w:r>
    </w:p>
    <w:p w14:paraId="1DAD3E42" w14:textId="77777777" w:rsidR="008A41F0" w:rsidRDefault="008A41F0" w:rsidP="00B173C0">
      <w:pPr>
        <w:pStyle w:val="BulletedListlvl1"/>
      </w:pPr>
      <w:r>
        <w:t>inform participants on their option to volunteer for IM, and</w:t>
      </w:r>
    </w:p>
    <w:p w14:paraId="1A3A29BE" w14:textId="77777777" w:rsidR="008A41F0" w:rsidRDefault="008A41F0" w:rsidP="00104B38">
      <w:pPr>
        <w:pStyle w:val="BulletedListlvl1"/>
        <w:spacing w:after="120"/>
        <w:ind w:left="568" w:hanging="284"/>
      </w:pPr>
      <w:r>
        <w:t>refer vulnerable participants to local support services where needed.</w:t>
      </w:r>
    </w:p>
    <w:p w14:paraId="4460279A" w14:textId="77777777" w:rsidR="008A41F0" w:rsidRDefault="008A41F0" w:rsidP="008A41F0">
      <w:pPr>
        <w:pStyle w:val="BodyText"/>
      </w:pPr>
      <w:bookmarkStart w:id="98" w:name="_Toc108008490"/>
      <w:r>
        <w:t xml:space="preserve">The </w:t>
      </w:r>
      <w:r w:rsidRPr="00407B7F">
        <w:t>Minis</w:t>
      </w:r>
      <w:r>
        <w:t>ter will consult with s</w:t>
      </w:r>
      <w:r w:rsidRPr="00407B7F">
        <w:t>tate</w:t>
      </w:r>
      <w:r>
        <w:t>s and territories</w:t>
      </w:r>
      <w:r w:rsidRPr="00407B7F">
        <w:t xml:space="preserve"> </w:t>
      </w:r>
      <w:r>
        <w:t xml:space="preserve">as </w:t>
      </w:r>
      <w:r>
        <w:rPr>
          <w:rFonts w:ascii="Calibri" w:hAnsi="Calibri" w:cs="Calibri"/>
          <w:color w:val="auto"/>
        </w:rPr>
        <w:t>e</w:t>
      </w:r>
      <w:r w:rsidRPr="00865B3F">
        <w:rPr>
          <w:rFonts w:ascii="Calibri" w:hAnsi="Calibri" w:cs="Calibri"/>
          <w:color w:val="auto"/>
        </w:rPr>
        <w:t xml:space="preserve">ach </w:t>
      </w:r>
      <w:r>
        <w:rPr>
          <w:rFonts w:ascii="Calibri" w:hAnsi="Calibri" w:cs="Calibri"/>
          <w:color w:val="auto"/>
        </w:rPr>
        <w:t xml:space="preserve">IM </w:t>
      </w:r>
      <w:r w:rsidRPr="00865B3F">
        <w:rPr>
          <w:rFonts w:ascii="Calibri" w:hAnsi="Calibri" w:cs="Calibri"/>
          <w:color w:val="auto"/>
        </w:rPr>
        <w:t xml:space="preserve">measure currently has a legislative </w:t>
      </w:r>
      <w:r>
        <w:rPr>
          <w:rFonts w:ascii="Calibri" w:hAnsi="Calibri" w:cs="Calibri"/>
          <w:color w:val="auto"/>
        </w:rPr>
        <w:t>instrument</w:t>
      </w:r>
      <w:r w:rsidRPr="00865B3F">
        <w:rPr>
          <w:rFonts w:ascii="Calibri" w:hAnsi="Calibri" w:cs="Calibri"/>
          <w:color w:val="auto"/>
        </w:rPr>
        <w:t xml:space="preserve"> to operate in the relevant state or territory</w:t>
      </w:r>
      <w:r w:rsidR="00CC7DC9">
        <w:rPr>
          <w:rFonts w:ascii="Calibri" w:hAnsi="Calibri" w:cs="Calibri"/>
          <w:color w:val="auto"/>
        </w:rPr>
        <w:t>.</w:t>
      </w:r>
      <w:r w:rsidRPr="00865B3F">
        <w:rPr>
          <w:rFonts w:ascii="Calibri" w:hAnsi="Calibri" w:cs="Calibri"/>
          <w:color w:val="auto"/>
        </w:rPr>
        <w:t xml:space="preserve"> </w:t>
      </w:r>
      <w:r w:rsidR="00CC7DC9">
        <w:rPr>
          <w:rFonts w:ascii="Calibri" w:hAnsi="Calibri" w:cs="Calibri"/>
          <w:color w:val="auto"/>
        </w:rPr>
        <w:t>T</w:t>
      </w:r>
      <w:r w:rsidRPr="00865B3F">
        <w:rPr>
          <w:rFonts w:ascii="Calibri" w:hAnsi="Calibri" w:cs="Calibri"/>
          <w:color w:val="auto"/>
        </w:rPr>
        <w:t>he implementation of two measures - Child Protection and SPaR – rel</w:t>
      </w:r>
      <w:r>
        <w:rPr>
          <w:rFonts w:ascii="Calibri" w:hAnsi="Calibri" w:cs="Calibri"/>
          <w:color w:val="auto"/>
        </w:rPr>
        <w:t>ies</w:t>
      </w:r>
      <w:r w:rsidRPr="00865B3F">
        <w:rPr>
          <w:rFonts w:ascii="Calibri" w:hAnsi="Calibri" w:cs="Calibri"/>
          <w:color w:val="auto"/>
        </w:rPr>
        <w:t xml:space="preserve"> heavily on the cooperation of state and territory-run authorities to refer </w:t>
      </w:r>
      <w:r>
        <w:rPr>
          <w:rFonts w:ascii="Calibri" w:hAnsi="Calibri" w:cs="Calibri"/>
          <w:color w:val="auto"/>
        </w:rPr>
        <w:t>relevant</w:t>
      </w:r>
      <w:r w:rsidRPr="00865B3F">
        <w:rPr>
          <w:rFonts w:ascii="Calibri" w:hAnsi="Calibri" w:cs="Calibri"/>
          <w:color w:val="auto"/>
        </w:rPr>
        <w:t xml:space="preserve"> individuals to</w:t>
      </w:r>
      <w:r>
        <w:rPr>
          <w:rFonts w:ascii="Calibri" w:hAnsi="Calibri" w:cs="Calibri"/>
          <w:color w:val="auto"/>
        </w:rPr>
        <w:t xml:space="preserve"> the program.</w:t>
      </w:r>
    </w:p>
    <w:p w14:paraId="37DC2706" w14:textId="77777777" w:rsidR="008A41F0" w:rsidRDefault="00F834FA" w:rsidP="00F834FA">
      <w:r>
        <w:t xml:space="preserve">Community model for referrals to IM will also be </w:t>
      </w:r>
      <w:r w:rsidR="00D1717A">
        <w:t>explored</w:t>
      </w:r>
      <w:r w:rsidR="00626155">
        <w:t xml:space="preserve"> (</w:t>
      </w:r>
      <w:r w:rsidR="005148C5" w:rsidRPr="00684131">
        <w:t>subject to future consideration by government</w:t>
      </w:r>
      <w:r w:rsidR="00626155">
        <w:t>)</w:t>
      </w:r>
      <w:r>
        <w:t xml:space="preserve">. The Government will consult with communities whether they want a community model for referrals. This will mean communities could </w:t>
      </w:r>
      <w:r w:rsidR="008A41F0">
        <w:t>make determinations on who should be on the program, how long they should be on it and what leve</w:t>
      </w:r>
      <w:r w:rsidR="008B6EFB">
        <w:t>l of quarantining should apply.</w:t>
      </w:r>
    </w:p>
    <w:p w14:paraId="13D1D01F" w14:textId="77777777" w:rsidR="00B16E80" w:rsidRPr="00D75D59" w:rsidRDefault="00FC667A" w:rsidP="00B65911">
      <w:pPr>
        <w:pStyle w:val="Heading3"/>
      </w:pPr>
      <w:bookmarkStart w:id="99" w:name="_Toc118103762"/>
      <w:r w:rsidRPr="00D75D59">
        <w:t xml:space="preserve">3.2.6 </w:t>
      </w:r>
      <w:r w:rsidR="00B16E80" w:rsidRPr="00D75D59">
        <w:t>Opt-in referral based IM arrangements</w:t>
      </w:r>
      <w:bookmarkEnd w:id="99"/>
    </w:p>
    <w:p w14:paraId="7329FEEA" w14:textId="77777777" w:rsidR="002935FB" w:rsidRDefault="00B16E80" w:rsidP="00B16E80">
      <w:pPr>
        <w:pStyle w:val="BodyText"/>
      </w:pPr>
      <w:r w:rsidRPr="00170AA0">
        <w:t>An opt-in community based I</w:t>
      </w:r>
      <w:r w:rsidR="0000407B">
        <w:t xml:space="preserve">M referral model would enable a suitable </w:t>
      </w:r>
      <w:r w:rsidRPr="00170AA0">
        <w:t xml:space="preserve">community </w:t>
      </w:r>
      <w:r w:rsidR="0000407B">
        <w:t xml:space="preserve">authority or </w:t>
      </w:r>
      <w:r w:rsidR="002935FB">
        <w:t xml:space="preserve">representative body </w:t>
      </w:r>
      <w:r w:rsidR="0000407B">
        <w:t xml:space="preserve">to make referrals to </w:t>
      </w:r>
      <w:r w:rsidRPr="00170AA0">
        <w:t>IM</w:t>
      </w:r>
      <w:r w:rsidR="0000407B">
        <w:t xml:space="preserve"> or facilitate voluntary participation in IM</w:t>
      </w:r>
      <w:r w:rsidR="005774E8" w:rsidRPr="00170AA0">
        <w:t>. This could be</w:t>
      </w:r>
      <w:r w:rsidRPr="00170AA0">
        <w:t xml:space="preserve"> similar to the existing model employed by the FRC in Cape York</w:t>
      </w:r>
      <w:r w:rsidR="0039164A" w:rsidRPr="00170AA0">
        <w:t xml:space="preserve"> </w:t>
      </w:r>
      <w:r w:rsidR="0000407B">
        <w:t xml:space="preserve">where individuals are referred to Income Management </w:t>
      </w:r>
      <w:r w:rsidR="00307A17">
        <w:t xml:space="preserve">based on their individual needs. Alternatively, the opt-in approach could see a model </w:t>
      </w:r>
      <w:r w:rsidR="002935FB">
        <w:t xml:space="preserve">that supports </w:t>
      </w:r>
      <w:r w:rsidR="00307A17">
        <w:t>a collective community decision to opt in to I</w:t>
      </w:r>
      <w:r w:rsidR="0066120E">
        <w:t>M</w:t>
      </w:r>
      <w:r w:rsidR="00307A17">
        <w:t xml:space="preserve"> for all eligible </w:t>
      </w:r>
      <w:r w:rsidR="002935FB">
        <w:t>community members, where the community determines that IM is a useful tool to assist the community.</w:t>
      </w:r>
    </w:p>
    <w:p w14:paraId="2D25460E" w14:textId="77777777" w:rsidR="00B16E80" w:rsidRPr="00170AA0" w:rsidRDefault="0000407B" w:rsidP="00B16E80">
      <w:pPr>
        <w:pStyle w:val="BodyText"/>
      </w:pPr>
      <w:r>
        <w:t xml:space="preserve">Such models would require several months of deep and thorough consultation to test the community support and capacity for such a model. Depending on the model, </w:t>
      </w:r>
      <w:r w:rsidR="00307A17">
        <w:t>compulsory referral</w:t>
      </w:r>
      <w:r>
        <w:t xml:space="preserve"> </w:t>
      </w:r>
      <w:r w:rsidR="002935FB">
        <w:t>by c</w:t>
      </w:r>
      <w:r w:rsidR="00307A17">
        <w:t xml:space="preserve">ommunity </w:t>
      </w:r>
      <w:r>
        <w:t xml:space="preserve">to IM </w:t>
      </w:r>
      <w:r w:rsidR="00307A17">
        <w:t xml:space="preserve">would require </w:t>
      </w:r>
      <w:r w:rsidR="00307A17" w:rsidRPr="00170AA0">
        <w:t>Commonwealth or State legislation</w:t>
      </w:r>
      <w:r w:rsidR="00307A17">
        <w:t xml:space="preserve"> to </w:t>
      </w:r>
      <w:r>
        <w:t>authorise such p</w:t>
      </w:r>
      <w:r w:rsidR="00FD2793">
        <w:t>owers for opt-in communities.</w:t>
      </w:r>
    </w:p>
    <w:p w14:paraId="09FD420F" w14:textId="77777777" w:rsidR="00B97CA5" w:rsidRPr="00170AA0" w:rsidRDefault="00804632" w:rsidP="00E133B9">
      <w:pPr>
        <w:autoSpaceDE w:val="0"/>
        <w:autoSpaceDN w:val="0"/>
        <w:adjustRightInd w:val="0"/>
        <w:spacing w:after="0" w:line="240" w:lineRule="auto"/>
        <w:rPr>
          <w:bCs/>
        </w:rPr>
      </w:pPr>
      <w:r w:rsidRPr="00170AA0">
        <w:t xml:space="preserve">Final proposals will be determined through </w:t>
      </w:r>
      <w:r w:rsidR="00A9726B" w:rsidRPr="00684131">
        <w:t>consultation and subject to future consideration by government</w:t>
      </w:r>
      <w:r w:rsidRPr="00684131">
        <w:t xml:space="preserve">. Based on the models chosen </w:t>
      </w:r>
      <w:r w:rsidR="00A9726B" w:rsidRPr="00684131">
        <w:t xml:space="preserve">and the number of communities that choose to opt –in, </w:t>
      </w:r>
      <w:r w:rsidRPr="00684131">
        <w:t>the population</w:t>
      </w:r>
      <w:r w:rsidRPr="00170AA0">
        <w:t xml:space="preserve"> figures in this regulatory costing could be less.</w:t>
      </w:r>
    </w:p>
    <w:p w14:paraId="53DBEB0D" w14:textId="77777777" w:rsidR="00DF73CF" w:rsidRDefault="00FC667A" w:rsidP="00B65911">
      <w:pPr>
        <w:pStyle w:val="Heading3"/>
      </w:pPr>
      <w:bookmarkStart w:id="100" w:name="_Toc118103763"/>
      <w:r>
        <w:t xml:space="preserve">3.2.7 </w:t>
      </w:r>
      <w:r w:rsidR="00DF73CF">
        <w:t>The Transition Communications Strategy</w:t>
      </w:r>
      <w:bookmarkEnd w:id="98"/>
      <w:bookmarkEnd w:id="100"/>
    </w:p>
    <w:p w14:paraId="36D53501" w14:textId="77777777" w:rsidR="00DF73CF" w:rsidRDefault="00DF73CF" w:rsidP="00DF73CF">
      <w:pPr>
        <w:pStyle w:val="BodyText"/>
      </w:pPr>
      <w:r>
        <w:t>The communication strategy for abolishing the CDC program and reforming IM will involve:</w:t>
      </w:r>
    </w:p>
    <w:p w14:paraId="2C5F34B1" w14:textId="77777777" w:rsidR="00DF73CF" w:rsidRPr="00B173C0" w:rsidRDefault="00380661" w:rsidP="00B173C0">
      <w:pPr>
        <w:pStyle w:val="BulletedListlvl1"/>
      </w:pPr>
      <w:r>
        <w:t xml:space="preserve">Inform and educate </w:t>
      </w:r>
      <w:r w:rsidR="00DF73CF" w:rsidRPr="00B173C0">
        <w:t>participants of the:</w:t>
      </w:r>
    </w:p>
    <w:p w14:paraId="5B752F29" w14:textId="77777777" w:rsidR="00DF73CF" w:rsidRPr="0062425B" w:rsidRDefault="00DF73CF" w:rsidP="00DF73CF">
      <w:pPr>
        <w:pStyle w:val="BulletedListlvl2"/>
        <w:spacing w:after="120"/>
        <w:rPr>
          <w:sz w:val="21"/>
          <w:szCs w:val="21"/>
          <w:lang w:eastAsia="en-AU"/>
        </w:rPr>
      </w:pPr>
      <w:r w:rsidRPr="0062425B">
        <w:rPr>
          <w:lang w:eastAsia="en-AU"/>
        </w:rPr>
        <w:t>cessation of the CDC program</w:t>
      </w:r>
    </w:p>
    <w:p w14:paraId="399F0EF6" w14:textId="77777777" w:rsidR="00DF73CF" w:rsidRPr="0062425B" w:rsidRDefault="00DF73CF" w:rsidP="00DF73CF">
      <w:pPr>
        <w:pStyle w:val="BulletedListlvl2"/>
        <w:spacing w:after="120"/>
        <w:rPr>
          <w:sz w:val="21"/>
          <w:szCs w:val="21"/>
          <w:lang w:eastAsia="en-AU"/>
        </w:rPr>
      </w:pPr>
      <w:r w:rsidRPr="0062425B">
        <w:rPr>
          <w:lang w:eastAsia="en-AU"/>
        </w:rPr>
        <w:t>when the transition occurs</w:t>
      </w:r>
    </w:p>
    <w:p w14:paraId="260DCFC1" w14:textId="77777777" w:rsidR="00DF73CF" w:rsidRPr="0062425B" w:rsidRDefault="00DF73CF" w:rsidP="00DF73CF">
      <w:pPr>
        <w:pStyle w:val="BulletedListlvl2"/>
        <w:spacing w:after="120"/>
        <w:rPr>
          <w:sz w:val="21"/>
          <w:szCs w:val="21"/>
          <w:lang w:eastAsia="en-AU"/>
        </w:rPr>
      </w:pPr>
      <w:r w:rsidRPr="0062425B">
        <w:rPr>
          <w:lang w:eastAsia="en-AU"/>
        </w:rPr>
        <w:t>ability to volunteer for IM or the change to IM (location specific)</w:t>
      </w:r>
    </w:p>
    <w:p w14:paraId="7AE7F787" w14:textId="77777777" w:rsidR="00DF73CF" w:rsidRPr="0062425B" w:rsidRDefault="00DF73CF" w:rsidP="00DF73CF">
      <w:pPr>
        <w:pStyle w:val="BulletedListlvl2"/>
        <w:spacing w:after="120"/>
        <w:rPr>
          <w:sz w:val="21"/>
          <w:szCs w:val="21"/>
          <w:lang w:eastAsia="en-AU"/>
        </w:rPr>
      </w:pPr>
      <w:r w:rsidRPr="0062425B">
        <w:rPr>
          <w:lang w:eastAsia="en-AU"/>
        </w:rPr>
        <w:t>support services available</w:t>
      </w:r>
    </w:p>
    <w:p w14:paraId="300FDCC5" w14:textId="77777777" w:rsidR="00DF73CF" w:rsidRPr="0062425B" w:rsidRDefault="00DF73CF" w:rsidP="00DF73CF">
      <w:pPr>
        <w:pStyle w:val="BulletedListlvl2"/>
        <w:spacing w:after="120"/>
        <w:rPr>
          <w:sz w:val="21"/>
          <w:szCs w:val="21"/>
          <w:lang w:eastAsia="en-AU"/>
        </w:rPr>
      </w:pPr>
      <w:r w:rsidRPr="0062425B">
        <w:rPr>
          <w:lang w:eastAsia="en-AU"/>
        </w:rPr>
        <w:t xml:space="preserve">need to make alternative arrangements </w:t>
      </w:r>
      <w:r w:rsidR="003864C6">
        <w:rPr>
          <w:lang w:eastAsia="en-AU"/>
        </w:rPr>
        <w:t>for</w:t>
      </w:r>
      <w:r w:rsidRPr="0062425B">
        <w:rPr>
          <w:lang w:eastAsia="en-AU"/>
        </w:rPr>
        <w:t xml:space="preserve"> any </w:t>
      </w:r>
      <w:r w:rsidR="003864C6">
        <w:rPr>
          <w:lang w:eastAsia="en-AU"/>
        </w:rPr>
        <w:t xml:space="preserve">scheduled </w:t>
      </w:r>
      <w:r w:rsidRPr="0062425B">
        <w:rPr>
          <w:lang w:eastAsia="en-AU"/>
        </w:rPr>
        <w:t xml:space="preserve">financial </w:t>
      </w:r>
      <w:r w:rsidR="00CC7DC9">
        <w:rPr>
          <w:lang w:eastAsia="en-AU"/>
        </w:rPr>
        <w:t>arrangements</w:t>
      </w:r>
      <w:r w:rsidRPr="0062425B">
        <w:rPr>
          <w:lang w:eastAsia="en-AU"/>
        </w:rPr>
        <w:t xml:space="preserve">, such as direct debits attached to </w:t>
      </w:r>
      <w:r w:rsidR="00CC7DC9">
        <w:rPr>
          <w:lang w:eastAsia="en-AU"/>
        </w:rPr>
        <w:t>the CDC</w:t>
      </w:r>
      <w:r w:rsidR="00C41A63">
        <w:rPr>
          <w:lang w:eastAsia="en-AU"/>
        </w:rPr>
        <w:t xml:space="preserve"> card</w:t>
      </w:r>
    </w:p>
    <w:p w14:paraId="6B954C9A" w14:textId="77777777" w:rsidR="00DF73CF" w:rsidRPr="0062425B" w:rsidRDefault="00DF73CF" w:rsidP="00DF73CF">
      <w:pPr>
        <w:pStyle w:val="BulletedListlvl2"/>
        <w:spacing w:after="120"/>
        <w:rPr>
          <w:sz w:val="21"/>
          <w:szCs w:val="21"/>
          <w:lang w:eastAsia="en-AU"/>
        </w:rPr>
      </w:pPr>
      <w:r w:rsidRPr="0062425B">
        <w:rPr>
          <w:lang w:eastAsia="en-AU"/>
        </w:rPr>
        <w:t>options for transferring funds from CDC account to unrestricted accounts</w:t>
      </w:r>
    </w:p>
    <w:p w14:paraId="59A8A462" w14:textId="3B169FAE" w:rsidR="00DF73CF" w:rsidRPr="00C41A63" w:rsidRDefault="00DF73CF" w:rsidP="00DF73CF">
      <w:pPr>
        <w:pStyle w:val="BulletedListlvl2"/>
        <w:spacing w:after="120"/>
        <w:rPr>
          <w:sz w:val="21"/>
          <w:szCs w:val="21"/>
          <w:lang w:eastAsia="en-AU"/>
        </w:rPr>
      </w:pPr>
      <w:r w:rsidRPr="0062425B">
        <w:rPr>
          <w:lang w:eastAsia="en-AU"/>
        </w:rPr>
        <w:t>options available such as Cen</w:t>
      </w:r>
      <w:r w:rsidR="00380661">
        <w:rPr>
          <w:lang w:eastAsia="en-AU"/>
        </w:rPr>
        <w:t xml:space="preserve">trepay </w:t>
      </w:r>
      <w:r w:rsidR="007140E7">
        <w:rPr>
          <w:lang w:eastAsia="en-AU"/>
        </w:rPr>
        <w:t>and the Rent Deduction Scheme</w:t>
      </w:r>
    </w:p>
    <w:p w14:paraId="35B727EE" w14:textId="7505DCBE" w:rsidR="00C41A63" w:rsidRPr="001C1778" w:rsidRDefault="00C41A63" w:rsidP="00DF73CF">
      <w:pPr>
        <w:pStyle w:val="BulletedListlvl2"/>
        <w:spacing w:after="120"/>
        <w:rPr>
          <w:sz w:val="21"/>
          <w:szCs w:val="21"/>
          <w:lang w:eastAsia="en-AU"/>
        </w:rPr>
      </w:pPr>
      <w:r w:rsidRPr="001C1778">
        <w:rPr>
          <w:lang w:eastAsia="en-AU"/>
        </w:rPr>
        <w:t>need to make a</w:t>
      </w:r>
      <w:r w:rsidR="001C1778">
        <w:rPr>
          <w:lang w:eastAsia="en-AU"/>
        </w:rPr>
        <w:t>lternative arrangements for buy now pay lat</w:t>
      </w:r>
      <w:r w:rsidRPr="001C1778">
        <w:rPr>
          <w:lang w:eastAsia="en-AU"/>
        </w:rPr>
        <w:t xml:space="preserve">er </w:t>
      </w:r>
      <w:r w:rsidR="001C1778">
        <w:rPr>
          <w:lang w:eastAsia="en-AU"/>
        </w:rPr>
        <w:t>arrangements</w:t>
      </w:r>
    </w:p>
    <w:p w14:paraId="4E83B79E" w14:textId="77777777" w:rsidR="00DF73CF" w:rsidRDefault="00380661" w:rsidP="00B173C0">
      <w:pPr>
        <w:pStyle w:val="BulletedListlvl1"/>
      </w:pPr>
      <w:r>
        <w:t xml:space="preserve">Educate </w:t>
      </w:r>
      <w:r w:rsidR="00DF73CF" w:rsidRPr="00B173C0">
        <w:t>intermediaries about the changes to support the transition.</w:t>
      </w:r>
    </w:p>
    <w:p w14:paraId="2E28004A" w14:textId="7CF25257" w:rsidR="000263B0" w:rsidRPr="00B173C0" w:rsidRDefault="000263B0" w:rsidP="000263B0">
      <w:pPr>
        <w:pStyle w:val="BulletedListlvl1"/>
      </w:pPr>
      <w:r>
        <w:t>Inform and educate</w:t>
      </w:r>
      <w:r w:rsidRPr="00F67288">
        <w:t xml:space="preserve"> merchants</w:t>
      </w:r>
      <w:r>
        <w:t xml:space="preserve"> through specifically designed communications such as factsheets and information packs at the individual business and or corporate level and through on the ground engagement</w:t>
      </w:r>
      <w:r w:rsidR="007140E7">
        <w:t>.</w:t>
      </w:r>
      <w:r>
        <w:t xml:space="preserve"> </w:t>
      </w:r>
    </w:p>
    <w:p w14:paraId="4F9FF332" w14:textId="77777777" w:rsidR="00DF73CF" w:rsidRPr="00B173C0" w:rsidRDefault="00380661" w:rsidP="000B471B">
      <w:pPr>
        <w:pStyle w:val="BulletedListlvl1"/>
        <w:spacing w:after="120"/>
      </w:pPr>
      <w:r>
        <w:t xml:space="preserve">Raise awareness </w:t>
      </w:r>
      <w:r w:rsidR="00DF73CF" w:rsidRPr="00B173C0">
        <w:t>among the general public.</w:t>
      </w:r>
    </w:p>
    <w:p w14:paraId="4641969C" w14:textId="77777777" w:rsidR="006D17A6" w:rsidRDefault="00DF73CF" w:rsidP="00DF73CF">
      <w:pPr>
        <w:pStyle w:val="BodyText"/>
      </w:pPr>
      <w:r>
        <w:t>It is expected there will be a variety of communication channels including face-to-face meetings, correspondence and social media.</w:t>
      </w:r>
    </w:p>
    <w:p w14:paraId="5D3BC985" w14:textId="77777777" w:rsidR="004F6495" w:rsidRDefault="00FC667A" w:rsidP="00B65911">
      <w:pPr>
        <w:pStyle w:val="Heading3"/>
      </w:pPr>
      <w:bookmarkStart w:id="101" w:name="_Toc108008489"/>
      <w:bookmarkStart w:id="102" w:name="_Toc118103764"/>
      <w:r>
        <w:t xml:space="preserve">3.2.8 </w:t>
      </w:r>
      <w:r w:rsidR="004F6495">
        <w:t xml:space="preserve">Expanded support </w:t>
      </w:r>
      <w:r w:rsidR="00281835">
        <w:t xml:space="preserve">services </w:t>
      </w:r>
      <w:r w:rsidR="004F6495">
        <w:t>for affected communities</w:t>
      </w:r>
      <w:bookmarkEnd w:id="101"/>
      <w:bookmarkEnd w:id="102"/>
    </w:p>
    <w:p w14:paraId="59AECDE7" w14:textId="77777777" w:rsidR="00835E26" w:rsidRDefault="00835E26" w:rsidP="007952F0">
      <w:pPr>
        <w:pStyle w:val="BodyText"/>
      </w:pPr>
      <w:r w:rsidRPr="0023537B">
        <w:t xml:space="preserve">Currently there are </w:t>
      </w:r>
      <w:r w:rsidR="00177B5E">
        <w:t xml:space="preserve">time limited </w:t>
      </w:r>
      <w:r w:rsidRPr="0023537B">
        <w:t>supports funded across the CDC regions. These supports were funded under a range of Budget initiatives as part of the roll out of the CDC, including $82 million provided under the Economic and Employment Support package announced in the 2021-22 Budget; $50 million of which was provided to the Department of Health</w:t>
      </w:r>
      <w:r w:rsidR="00177B5E">
        <w:t xml:space="preserve"> and Ageing</w:t>
      </w:r>
      <w:r w:rsidRPr="0023537B">
        <w:t xml:space="preserve"> for Alcohol and Other Drug </w:t>
      </w:r>
      <w:r w:rsidR="00177B5E">
        <w:t xml:space="preserve">(AOD) </w:t>
      </w:r>
      <w:r w:rsidRPr="0023537B">
        <w:t>rehabilitation services</w:t>
      </w:r>
      <w:r w:rsidR="00177B5E">
        <w:t xml:space="preserve"> (yet to be decided)</w:t>
      </w:r>
      <w:r w:rsidRPr="0023537B">
        <w:t xml:space="preserve">. Further information on the support services </w:t>
      </w:r>
      <w:r w:rsidR="00177B5E">
        <w:t>in</w:t>
      </w:r>
      <w:r w:rsidRPr="0023537B">
        <w:t xml:space="preserve"> CDC </w:t>
      </w:r>
      <w:r w:rsidR="00177B5E">
        <w:t xml:space="preserve">locations are </w:t>
      </w:r>
      <w:r>
        <w:t>at Attachment D.</w:t>
      </w:r>
    </w:p>
    <w:p w14:paraId="221E07E9" w14:textId="0D310EE8" w:rsidR="00177B5E" w:rsidRDefault="00177B5E" w:rsidP="007952F0">
      <w:pPr>
        <w:pStyle w:val="BodyText"/>
        <w:rPr>
          <w:rFonts w:cstheme="minorHAnsi"/>
        </w:rPr>
      </w:pPr>
      <w:r>
        <w:rPr>
          <w:rFonts w:cstheme="minorHAnsi"/>
        </w:rPr>
        <w:t xml:space="preserve">The election commitment to abolish the CDC was also clear that the </w:t>
      </w:r>
      <w:r w:rsidR="0066120E">
        <w:rPr>
          <w:rFonts w:cstheme="minorHAnsi"/>
        </w:rPr>
        <w:t>G</w:t>
      </w:r>
      <w:r>
        <w:rPr>
          <w:rFonts w:cstheme="minorHAnsi"/>
        </w:rPr>
        <w:t>overnment would consult with First Nations people to understand the supports needed to not only support participants leaving the program, but address priorities and gaps in services addressing a range of s</w:t>
      </w:r>
      <w:r w:rsidR="0066120E">
        <w:rPr>
          <w:rFonts w:cstheme="minorHAnsi"/>
        </w:rPr>
        <w:t>o</w:t>
      </w:r>
      <w:r>
        <w:rPr>
          <w:rFonts w:cstheme="minorHAnsi"/>
        </w:rPr>
        <w:t>cial and economic priorit</w:t>
      </w:r>
      <w:r w:rsidR="00FB42B1">
        <w:rPr>
          <w:rFonts w:cstheme="minorHAnsi"/>
        </w:rPr>
        <w:t>ies.</w:t>
      </w:r>
    </w:p>
    <w:p w14:paraId="75224C2F" w14:textId="70C106FD" w:rsidR="007952F0" w:rsidRDefault="00177B5E" w:rsidP="007952F0">
      <w:pPr>
        <w:pStyle w:val="BodyText"/>
        <w:rPr>
          <w:rFonts w:cstheme="minorHAnsi"/>
        </w:rPr>
      </w:pPr>
      <w:r>
        <w:rPr>
          <w:rFonts w:cstheme="minorHAnsi"/>
        </w:rPr>
        <w:t xml:space="preserve">The </w:t>
      </w:r>
      <w:r w:rsidR="00326936" w:rsidRPr="008B6EFB">
        <w:rPr>
          <w:rFonts w:cstheme="minorHAnsi"/>
        </w:rPr>
        <w:t>Ministerial consultations conducted to date</w:t>
      </w:r>
      <w:r>
        <w:rPr>
          <w:rFonts w:cstheme="minorHAnsi"/>
        </w:rPr>
        <w:t xml:space="preserve"> have confirmed the critical importance of such services and in most cases that these supports are more important than the </w:t>
      </w:r>
      <w:r w:rsidR="00326936" w:rsidRPr="009D1E05">
        <w:rPr>
          <w:rFonts w:cstheme="minorHAnsi"/>
        </w:rPr>
        <w:t>CDC</w:t>
      </w:r>
      <w:r w:rsidR="003A3953" w:rsidRPr="009D1E05">
        <w:rPr>
          <w:rFonts w:cstheme="minorHAnsi"/>
        </w:rPr>
        <w:t xml:space="preserve"> and IM</w:t>
      </w:r>
      <w:r w:rsidR="00326936" w:rsidRPr="009D1E05">
        <w:rPr>
          <w:rFonts w:cstheme="minorHAnsi"/>
        </w:rPr>
        <w:t xml:space="preserve"> in</w:t>
      </w:r>
      <w:r w:rsidR="00326936" w:rsidRPr="008B6EFB">
        <w:rPr>
          <w:rFonts w:cstheme="minorHAnsi"/>
        </w:rPr>
        <w:t xml:space="preserve"> </w:t>
      </w:r>
      <w:r>
        <w:rPr>
          <w:rFonts w:cstheme="minorHAnsi"/>
        </w:rPr>
        <w:t xml:space="preserve">building financial independence and </w:t>
      </w:r>
      <w:r w:rsidR="00FB42B1">
        <w:rPr>
          <w:rFonts w:cstheme="minorHAnsi"/>
        </w:rPr>
        <w:t>managing social issues.</w:t>
      </w:r>
    </w:p>
    <w:p w14:paraId="3FD19F69" w14:textId="79F36CF7" w:rsidR="00797C5A" w:rsidRPr="00797C5A" w:rsidRDefault="00326936" w:rsidP="00177B5E">
      <w:pPr>
        <w:spacing w:before="120"/>
        <w:rPr>
          <w:rFonts w:cstheme="minorHAnsi"/>
        </w:rPr>
      </w:pPr>
      <w:r w:rsidRPr="008B6EFB">
        <w:rPr>
          <w:rFonts w:cstheme="minorHAnsi"/>
        </w:rPr>
        <w:t xml:space="preserve">The Department, the National Indigenous Australians Agency </w:t>
      </w:r>
      <w:r w:rsidR="00177B5E">
        <w:rPr>
          <w:rFonts w:cstheme="minorHAnsi"/>
        </w:rPr>
        <w:t xml:space="preserve">and Services Australia </w:t>
      </w:r>
      <w:r w:rsidRPr="008B6EFB">
        <w:rPr>
          <w:rFonts w:cstheme="minorHAnsi"/>
        </w:rPr>
        <w:t xml:space="preserve">will work with local </w:t>
      </w:r>
      <w:r w:rsidR="00177B5E">
        <w:rPr>
          <w:rFonts w:cstheme="minorHAnsi"/>
        </w:rPr>
        <w:t xml:space="preserve">communities, organisations and leaders </w:t>
      </w:r>
      <w:r w:rsidR="00D216A2">
        <w:rPr>
          <w:rFonts w:cstheme="minorHAnsi"/>
        </w:rPr>
        <w:t xml:space="preserve">to </w:t>
      </w:r>
      <w:r w:rsidR="00177B5E">
        <w:rPr>
          <w:rFonts w:cstheme="minorHAnsi"/>
        </w:rPr>
        <w:t xml:space="preserve">understand these immediate and longer-term priorities. </w:t>
      </w:r>
      <w:r w:rsidR="00797C5A">
        <w:rPr>
          <w:rFonts w:cstheme="minorHAnsi"/>
        </w:rPr>
        <w:t xml:space="preserve">This </w:t>
      </w:r>
      <w:r w:rsidR="00177B5E">
        <w:rPr>
          <w:rFonts w:cstheme="minorHAnsi"/>
        </w:rPr>
        <w:t>would</w:t>
      </w:r>
      <w:r w:rsidR="00797C5A">
        <w:rPr>
          <w:rFonts w:cstheme="minorHAnsi"/>
        </w:rPr>
        <w:t xml:space="preserve"> </w:t>
      </w:r>
      <w:r w:rsidRPr="008B6EFB">
        <w:rPr>
          <w:rFonts w:cstheme="minorHAnsi"/>
        </w:rPr>
        <w:t>includ</w:t>
      </w:r>
      <w:r w:rsidR="00797C5A">
        <w:rPr>
          <w:rFonts w:cstheme="minorHAnsi"/>
        </w:rPr>
        <w:t>e</w:t>
      </w:r>
      <w:r w:rsidRPr="008B6EFB">
        <w:rPr>
          <w:rFonts w:cstheme="minorHAnsi"/>
        </w:rPr>
        <w:t xml:space="preserve"> how current funding could be repurposed and consolidated to ensure</w:t>
      </w:r>
      <w:r w:rsidR="00177B5E">
        <w:rPr>
          <w:rFonts w:cstheme="minorHAnsi"/>
        </w:rPr>
        <w:t xml:space="preserve"> </w:t>
      </w:r>
      <w:r w:rsidRPr="00797C5A">
        <w:rPr>
          <w:rFonts w:cstheme="minorHAnsi"/>
        </w:rPr>
        <w:t>investments are complementary</w:t>
      </w:r>
      <w:r w:rsidR="00797C5A" w:rsidRPr="00797C5A">
        <w:rPr>
          <w:rFonts w:cstheme="minorHAnsi"/>
        </w:rPr>
        <w:t>,</w:t>
      </w:r>
      <w:r w:rsidRPr="00797C5A">
        <w:rPr>
          <w:rFonts w:cstheme="minorHAnsi"/>
        </w:rPr>
        <w:t xml:space="preserve"> </w:t>
      </w:r>
      <w:r w:rsidR="00177B5E">
        <w:rPr>
          <w:rFonts w:cstheme="minorHAnsi"/>
        </w:rPr>
        <w:t xml:space="preserve">maximised and </w:t>
      </w:r>
      <w:r w:rsidRPr="00797C5A">
        <w:rPr>
          <w:rFonts w:cstheme="minorHAnsi"/>
        </w:rPr>
        <w:t>targeted to the needs and as</w:t>
      </w:r>
      <w:r w:rsidR="00FB42B1">
        <w:rPr>
          <w:rFonts w:cstheme="minorHAnsi"/>
        </w:rPr>
        <w:t>pirations of these communities.</w:t>
      </w:r>
    </w:p>
    <w:p w14:paraId="67DD4E31" w14:textId="0B2C9350" w:rsidR="00DC26E3" w:rsidRDefault="00497753" w:rsidP="001A31EB">
      <w:pPr>
        <w:spacing w:before="120"/>
        <w:rPr>
          <w:rFonts w:cstheme="minorHAnsi"/>
        </w:rPr>
      </w:pPr>
      <w:r>
        <w:rPr>
          <w:rFonts w:cstheme="minorHAnsi"/>
        </w:rPr>
        <w:t>This</w:t>
      </w:r>
      <w:r w:rsidR="00177B5E">
        <w:rPr>
          <w:rFonts w:cstheme="minorHAnsi"/>
        </w:rPr>
        <w:t xml:space="preserve"> work</w:t>
      </w:r>
      <w:r w:rsidR="00326936" w:rsidRPr="008B6EFB">
        <w:rPr>
          <w:rFonts w:cstheme="minorHAnsi"/>
        </w:rPr>
        <w:t xml:space="preserve"> will leverage existing mechanisms such as the Department’s cashless welfare Community Reference Group, Empowered Communities, </w:t>
      </w:r>
      <w:r>
        <w:rPr>
          <w:rFonts w:cstheme="minorHAnsi"/>
        </w:rPr>
        <w:t>the F</w:t>
      </w:r>
      <w:r w:rsidR="0066120E">
        <w:rPr>
          <w:rFonts w:cstheme="minorHAnsi"/>
        </w:rPr>
        <w:t>RC</w:t>
      </w:r>
      <w:r w:rsidR="00326936" w:rsidRPr="008B6EFB">
        <w:rPr>
          <w:rFonts w:cstheme="minorHAnsi"/>
        </w:rPr>
        <w:t xml:space="preserve">, and Stronger Places, Stronger People to ensure </w:t>
      </w:r>
      <w:r>
        <w:rPr>
          <w:rFonts w:cstheme="minorHAnsi"/>
        </w:rPr>
        <w:t xml:space="preserve">local </w:t>
      </w:r>
      <w:r w:rsidR="00326936" w:rsidRPr="008B6EFB">
        <w:rPr>
          <w:rFonts w:cstheme="minorHAnsi"/>
        </w:rPr>
        <w:t xml:space="preserve">solutions are </w:t>
      </w:r>
      <w:r>
        <w:rPr>
          <w:rFonts w:cstheme="minorHAnsi"/>
        </w:rPr>
        <w:t>ultimat</w:t>
      </w:r>
      <w:r w:rsidR="00FB42B1">
        <w:rPr>
          <w:rFonts w:cstheme="minorHAnsi"/>
        </w:rPr>
        <w:t>ely designed and owned locally.</w:t>
      </w:r>
    </w:p>
    <w:p w14:paraId="300D9FD8" w14:textId="77777777" w:rsidR="001A31EB" w:rsidRDefault="00DC26E3" w:rsidP="001A31EB">
      <w:pPr>
        <w:spacing w:before="120"/>
        <w:rPr>
          <w:rFonts w:cstheme="minorHAnsi"/>
        </w:rPr>
      </w:pPr>
      <w:r w:rsidRPr="0035071A">
        <w:t>Co-designed supports will provide a range of benefits to individuals, families and the broader community, from initiatives supporting financial literacy and money management, targeted support to address addiction to alcohol and other drugs, and programs that support pathways to greater economic independence</w:t>
      </w:r>
      <w:r w:rsidR="001A31EB" w:rsidRPr="0035071A">
        <w:rPr>
          <w:rFonts w:cstheme="minorHAnsi"/>
        </w:rPr>
        <w:t>.</w:t>
      </w:r>
    </w:p>
    <w:p w14:paraId="15B9E67B" w14:textId="77777777" w:rsidR="007952F0" w:rsidRDefault="007952F0" w:rsidP="007952F0">
      <w:pPr>
        <w:pStyle w:val="BodyText"/>
      </w:pPr>
      <w:r>
        <w:t>It is proposed individuals, their families and communities will have access to enhance</w:t>
      </w:r>
      <w:r w:rsidR="00D216A2">
        <w:t>d</w:t>
      </w:r>
      <w:r>
        <w:t xml:space="preserve"> supports that may include:</w:t>
      </w:r>
    </w:p>
    <w:p w14:paraId="17CBBB54" w14:textId="77777777" w:rsidR="007952F0" w:rsidRDefault="007952F0" w:rsidP="000A025F">
      <w:pPr>
        <w:pStyle w:val="BulletedListlvl1"/>
        <w:numPr>
          <w:ilvl w:val="0"/>
          <w:numId w:val="46"/>
        </w:numPr>
      </w:pPr>
      <w:r>
        <w:t>support to assist participants to transition off CDC such as financial literacy, budgeting and money management skills</w:t>
      </w:r>
    </w:p>
    <w:p w14:paraId="7DDE334B" w14:textId="77777777" w:rsidR="007952F0" w:rsidRDefault="007952F0" w:rsidP="000A025F">
      <w:pPr>
        <w:pStyle w:val="BulletedListlvl1"/>
        <w:numPr>
          <w:ilvl w:val="0"/>
          <w:numId w:val="46"/>
        </w:numPr>
      </w:pPr>
      <w:r>
        <w:t>maintaining stability through domestic and family violence support, alcohol and drug use harm reduction services and gambling harm prevention</w:t>
      </w:r>
    </w:p>
    <w:p w14:paraId="5062C3C6" w14:textId="77777777" w:rsidR="007952F0" w:rsidRDefault="007952F0" w:rsidP="000A025F">
      <w:pPr>
        <w:pStyle w:val="BulletedListlvl1"/>
        <w:numPr>
          <w:ilvl w:val="0"/>
          <w:numId w:val="46"/>
        </w:numPr>
      </w:pPr>
      <w:r>
        <w:t xml:space="preserve">building individual, family and community social and emotional well-being to minimise social harm, and build community strength and empowerment </w:t>
      </w:r>
    </w:p>
    <w:p w14:paraId="77FD62C3" w14:textId="375C5B2F" w:rsidR="007952F0" w:rsidRDefault="007952F0" w:rsidP="000A025F">
      <w:pPr>
        <w:pStyle w:val="BulletedListlvl1"/>
        <w:numPr>
          <w:ilvl w:val="0"/>
          <w:numId w:val="46"/>
        </w:numPr>
      </w:pPr>
      <w:r>
        <w:t>gaining skills and building capacity to move to economic independence by removing or reduce entrenched barriers to employment, to move individuals and communities towards greater self-reli</w:t>
      </w:r>
      <w:r w:rsidR="00000627">
        <w:t>ance and economic independence.</w:t>
      </w:r>
    </w:p>
    <w:p w14:paraId="4EC2B8E4" w14:textId="171D003B" w:rsidR="001A31EB" w:rsidRDefault="001A31EB" w:rsidP="001A31EB">
      <w:pPr>
        <w:spacing w:before="120"/>
        <w:rPr>
          <w:rFonts w:cstheme="minorHAnsi"/>
        </w:rPr>
      </w:pPr>
      <w:r>
        <w:rPr>
          <w:rFonts w:cstheme="minorHAnsi"/>
        </w:rPr>
        <w:t xml:space="preserve">Income support recipients will be eligible to access these support services in former CDC regions in the </w:t>
      </w:r>
      <w:r w:rsidR="003B0A20">
        <w:rPr>
          <w:rFonts w:cstheme="minorHAnsi"/>
        </w:rPr>
        <w:t>NT,</w:t>
      </w:r>
      <w:r>
        <w:rPr>
          <w:rFonts w:cstheme="minorHAnsi"/>
        </w:rPr>
        <w:t xml:space="preserve"> Ceduna in South Australia, the East Kimberley and Goldfields in Western Australia, and Bundaberg/Hervey Bay and Cape York in Queensland</w:t>
      </w:r>
      <w:r w:rsidR="00D216A2">
        <w:rPr>
          <w:rFonts w:cstheme="minorHAnsi"/>
        </w:rPr>
        <w:t xml:space="preserve"> and</w:t>
      </w:r>
      <w:r w:rsidR="003A3953" w:rsidRPr="00E83ED2">
        <w:rPr>
          <w:rFonts w:cstheme="minorHAnsi"/>
        </w:rPr>
        <w:t xml:space="preserve"> former IM </w:t>
      </w:r>
      <w:r w:rsidR="00BD0E0E">
        <w:rPr>
          <w:rFonts w:cstheme="minorHAnsi"/>
        </w:rPr>
        <w:t>sites</w:t>
      </w:r>
      <w:r w:rsidR="003A3953" w:rsidRPr="00E83ED2">
        <w:rPr>
          <w:rFonts w:cstheme="minorHAnsi"/>
        </w:rPr>
        <w:t>.</w:t>
      </w:r>
    </w:p>
    <w:p w14:paraId="1F3BEBF4" w14:textId="77777777" w:rsidR="003F19DE" w:rsidRDefault="003F19DE" w:rsidP="003F19DE">
      <w:pPr>
        <w:pStyle w:val="BodyText"/>
      </w:pPr>
      <w:r>
        <w:t>Any CDC participant transitioning from the program will be able to access support</w:t>
      </w:r>
      <w:r w:rsidR="0039164A">
        <w:t xml:space="preserve"> from the support </w:t>
      </w:r>
      <w:r w:rsidR="00F146AD">
        <w:t>services</w:t>
      </w:r>
      <w:r w:rsidR="0039164A">
        <w:t>.</w:t>
      </w:r>
    </w:p>
    <w:p w14:paraId="58D7C369" w14:textId="77777777" w:rsidR="00232EAF" w:rsidRDefault="001A31EB" w:rsidP="00232EAF">
      <w:pPr>
        <w:rPr>
          <w:b/>
        </w:rPr>
      </w:pPr>
      <w:r w:rsidRPr="00232EAF">
        <w:rPr>
          <w:rFonts w:cstheme="minorHAnsi"/>
        </w:rPr>
        <w:t xml:space="preserve">There </w:t>
      </w:r>
      <w:r w:rsidR="000E3CE8">
        <w:rPr>
          <w:rFonts w:cstheme="minorHAnsi"/>
        </w:rPr>
        <w:t>are 2</w:t>
      </w:r>
      <w:r w:rsidR="00FC57E3" w:rsidRPr="00232EAF">
        <w:rPr>
          <w:rFonts w:cstheme="minorHAnsi"/>
        </w:rPr>
        <w:t xml:space="preserve"> elements t</w:t>
      </w:r>
      <w:r w:rsidR="00232EAF" w:rsidRPr="00232EAF">
        <w:rPr>
          <w:rFonts w:cstheme="minorHAnsi"/>
        </w:rPr>
        <w:t>hat</w:t>
      </w:r>
      <w:r w:rsidR="00FC57E3" w:rsidRPr="00232EAF">
        <w:rPr>
          <w:rFonts w:cstheme="minorHAnsi"/>
        </w:rPr>
        <w:t xml:space="preserve"> respond to the needs and voice of the communities. These are:</w:t>
      </w:r>
    </w:p>
    <w:p w14:paraId="68706FD4" w14:textId="4E9E9EC4" w:rsidR="000E3CE8" w:rsidRDefault="00FC57E3" w:rsidP="000A025F">
      <w:pPr>
        <w:pStyle w:val="ListParagraph"/>
        <w:numPr>
          <w:ilvl w:val="0"/>
          <w:numId w:val="54"/>
        </w:numPr>
      </w:pPr>
      <w:r w:rsidRPr="00232EAF">
        <w:rPr>
          <w:b/>
        </w:rPr>
        <w:t>First element</w:t>
      </w:r>
      <w:r w:rsidR="00C35AEA">
        <w:t xml:space="preserve"> –</w:t>
      </w:r>
      <w:r>
        <w:t>maintains services that are having an impact in communities. E</w:t>
      </w:r>
      <w:r w:rsidR="00C35AEA">
        <w:t>xis</w:t>
      </w:r>
      <w:r w:rsidR="000E3CE8">
        <w:t xml:space="preserve">ting support services </w:t>
      </w:r>
      <w:r w:rsidR="00C35AEA">
        <w:t xml:space="preserve">will be engaged to outreach to </w:t>
      </w:r>
      <w:r w:rsidR="00C35AEA" w:rsidRPr="009300DF">
        <w:t xml:space="preserve">CDC participants </w:t>
      </w:r>
      <w:r w:rsidR="00C35AEA">
        <w:t xml:space="preserve">as they </w:t>
      </w:r>
      <w:r w:rsidR="00C35AEA" w:rsidRPr="009300DF">
        <w:t xml:space="preserve">start to transition off the </w:t>
      </w:r>
      <w:r w:rsidR="00C35AEA">
        <w:t>CDC program</w:t>
      </w:r>
      <w:r w:rsidR="008E4DAE">
        <w:t>.</w:t>
      </w:r>
      <w:r w:rsidR="00FD2793">
        <w:t xml:space="preserve"> </w:t>
      </w:r>
      <w:r w:rsidR="000E3CE8">
        <w:t>These programs provide a mix of services promoting community building, health and social well-being outcomes and include community-led initiatives such as youth programs, community buses, local community night patrols and parenting programs.</w:t>
      </w:r>
    </w:p>
    <w:p w14:paraId="3C7F0C4E" w14:textId="1961CCCB" w:rsidR="000E3CE8" w:rsidRPr="00232EAF" w:rsidRDefault="00FC57E3" w:rsidP="000A025F">
      <w:pPr>
        <w:pStyle w:val="ListParagraph"/>
        <w:numPr>
          <w:ilvl w:val="0"/>
          <w:numId w:val="54"/>
        </w:numPr>
      </w:pPr>
      <w:r w:rsidRPr="00232EAF">
        <w:rPr>
          <w:rFonts w:cstheme="minorHAnsi"/>
          <w:b/>
        </w:rPr>
        <w:t>Second element</w:t>
      </w:r>
      <w:r w:rsidR="00C35AEA" w:rsidRPr="00232EAF">
        <w:rPr>
          <w:rFonts w:cstheme="minorHAnsi"/>
        </w:rPr>
        <w:t xml:space="preserve"> –</w:t>
      </w:r>
      <w:r w:rsidR="000E3CE8">
        <w:rPr>
          <w:rFonts w:cstheme="minorHAnsi"/>
        </w:rPr>
        <w:t xml:space="preserve"> </w:t>
      </w:r>
      <w:r w:rsidR="000E3CE8" w:rsidRPr="00075885">
        <w:t>will be a longer term approach aligned with the priority reforms under the National Agreement on Closing the Gap and will deliver co-designed initiatives with joint decision making in each former CDC region</w:t>
      </w:r>
      <w:r w:rsidR="00626155">
        <w:t>.</w:t>
      </w:r>
      <w:r w:rsidR="00626155" w:rsidRPr="00075885" w:rsidDel="00626155">
        <w:t xml:space="preserve"> </w:t>
      </w:r>
      <w:r w:rsidR="000E3CE8" w:rsidRPr="00075885">
        <w:t>This work would leverage established community leadership structures to both inform and promote the development of community priorities an</w:t>
      </w:r>
      <w:r w:rsidR="00FD2793">
        <w:t>d co-designed grant activities.</w:t>
      </w:r>
    </w:p>
    <w:p w14:paraId="7107E293" w14:textId="77777777" w:rsidR="001A31EB" w:rsidRPr="0023537B" w:rsidRDefault="001A31EB" w:rsidP="0023537B">
      <w:pPr>
        <w:pStyle w:val="BodyText"/>
      </w:pPr>
      <w:r>
        <w:rPr>
          <w:rFonts w:ascii="Calibri" w:eastAsia="Calibri" w:hAnsi="Calibri" w:cs="Times New Roman"/>
          <w:color w:val="262626"/>
        </w:rPr>
        <w:t xml:space="preserve">An outcomes evaluation strategy will be developed, in partnership with community, to monitor the implementation as well as </w:t>
      </w:r>
      <w:r w:rsidR="00D216A2">
        <w:rPr>
          <w:rFonts w:ascii="Calibri" w:eastAsia="Calibri" w:hAnsi="Calibri" w:cs="Times New Roman"/>
          <w:color w:val="262626"/>
        </w:rPr>
        <w:t xml:space="preserve">the </w:t>
      </w:r>
      <w:r>
        <w:rPr>
          <w:rFonts w:ascii="Calibri" w:eastAsia="Calibri" w:hAnsi="Calibri" w:cs="Times New Roman"/>
          <w:color w:val="262626"/>
        </w:rPr>
        <w:t xml:space="preserve">impact of these supports. While the complexity of measuring social impact of discrete </w:t>
      </w:r>
      <w:r w:rsidR="00162257">
        <w:rPr>
          <w:rFonts w:ascii="Calibri" w:eastAsia="Calibri" w:hAnsi="Calibri" w:cs="Times New Roman"/>
          <w:color w:val="262626"/>
        </w:rPr>
        <w:t>pragmatic</w:t>
      </w:r>
      <w:r>
        <w:rPr>
          <w:rFonts w:ascii="Calibri" w:eastAsia="Calibri" w:hAnsi="Calibri" w:cs="Times New Roman"/>
          <w:color w:val="262626"/>
        </w:rPr>
        <w:t xml:space="preserve"> responses is acknowledged, the strategy will include the ongoing development of the data asset including State and local data </w:t>
      </w:r>
      <w:r w:rsidRPr="0023537B">
        <w:t>partnerships to assist future evaluations and ongoing monitoring. Data collections and evaluation outcomes will be shared with community, supporting the National Agreement on Closing the Gap priority reforms.</w:t>
      </w:r>
    </w:p>
    <w:p w14:paraId="568C243A" w14:textId="77777777" w:rsidR="007128EA" w:rsidRDefault="00E133B9" w:rsidP="00B65911">
      <w:pPr>
        <w:pStyle w:val="Heading3"/>
      </w:pPr>
      <w:bookmarkStart w:id="103" w:name="_Toc118103765"/>
      <w:r>
        <w:t xml:space="preserve">3.2.9 </w:t>
      </w:r>
      <w:r w:rsidR="007128EA">
        <w:t>Options for later transition</w:t>
      </w:r>
      <w:bookmarkEnd w:id="103"/>
      <w:r w:rsidR="00F54B35">
        <w:t xml:space="preserve"> </w:t>
      </w:r>
    </w:p>
    <w:p w14:paraId="5956A49A" w14:textId="77777777" w:rsidR="005F42B9" w:rsidRPr="0035071A" w:rsidRDefault="00E27C94" w:rsidP="007128EA">
      <w:pPr>
        <w:pStyle w:val="BodyText"/>
      </w:pPr>
      <w:r w:rsidRPr="0035071A">
        <w:t>It is anticipated most people will be transition</w:t>
      </w:r>
      <w:r w:rsidR="005942E7" w:rsidRPr="0035071A">
        <w:t>ed</w:t>
      </w:r>
      <w:r w:rsidRPr="0035071A">
        <w:t xml:space="preserve"> off the CDC program by 31 December 2022. </w:t>
      </w:r>
      <w:r w:rsidR="00A01F62" w:rsidRPr="0035071A">
        <w:rPr>
          <w:rFonts w:ascii="Calibri" w:hAnsi="Calibri" w:cs="Calibri"/>
          <w:color w:val="262626"/>
        </w:rPr>
        <w:t xml:space="preserve">Key to ensuring participants can transition in a timely manner is having a destination to pay the balance of their CDC account and any ongoing income support payments. For the majority of people on the CDC program, </w:t>
      </w:r>
      <w:r w:rsidR="00CC7DC9" w:rsidRPr="0035071A">
        <w:t>Services Australia will be able to identify an alternative bank account</w:t>
      </w:r>
      <w:r w:rsidR="00A01F62" w:rsidRPr="0035071A">
        <w:t>.</w:t>
      </w:r>
      <w:r w:rsidR="000B7B10" w:rsidRPr="0035071A">
        <w:t xml:space="preserve"> </w:t>
      </w:r>
      <w:r w:rsidR="00C0202F" w:rsidRPr="0035071A">
        <w:t xml:space="preserve">However, </w:t>
      </w:r>
      <w:r w:rsidRPr="0035071A">
        <w:t xml:space="preserve">there will be some </w:t>
      </w:r>
      <w:r w:rsidR="00C0202F" w:rsidRPr="0035071A">
        <w:t>people</w:t>
      </w:r>
      <w:r w:rsidRPr="0035071A">
        <w:t>, due to exceptional circumstances, who may</w:t>
      </w:r>
      <w:r w:rsidR="00C0202F" w:rsidRPr="0035071A">
        <w:t xml:space="preserve"> not </w:t>
      </w:r>
      <w:r w:rsidR="00F30088" w:rsidRPr="0035071A">
        <w:t>have residual CDC funds transferred to their nominated account</w:t>
      </w:r>
      <w:r w:rsidR="00C0202F" w:rsidRPr="0035071A">
        <w:t xml:space="preserve">. </w:t>
      </w:r>
      <w:r w:rsidR="00A01F62" w:rsidRPr="0035071A">
        <w:t>Services Australia will prioritise those</w:t>
      </w:r>
      <w:r w:rsidR="00A01F62" w:rsidRPr="0035071A">
        <w:rPr>
          <w:rFonts w:ascii="Calibri" w:hAnsi="Calibri" w:cs="Calibri"/>
          <w:color w:val="262626"/>
        </w:rPr>
        <w:t xml:space="preserve"> participants identified as not having an alternative destination so their accounts can be transitioned prior to 31 December 2022.</w:t>
      </w:r>
    </w:p>
    <w:p w14:paraId="6BF5987C" w14:textId="77777777" w:rsidR="00A01F62" w:rsidRDefault="00E93C8E" w:rsidP="008462EA">
      <w:pPr>
        <w:pStyle w:val="BodyText"/>
      </w:pPr>
      <w:r w:rsidRPr="0035071A">
        <w:t>I</w:t>
      </w:r>
      <w:r w:rsidR="00E71183" w:rsidRPr="0035071A">
        <w:t>t is possible post 31 December 2022</w:t>
      </w:r>
      <w:r w:rsidRPr="0035071A">
        <w:t xml:space="preserve"> there will be some participants</w:t>
      </w:r>
      <w:r w:rsidR="007C45B3">
        <w:t xml:space="preserve"> whose</w:t>
      </w:r>
      <w:r w:rsidR="00E71183" w:rsidRPr="0035071A">
        <w:t xml:space="preserve"> CDC accounts will remain open. </w:t>
      </w:r>
      <w:r w:rsidR="00D216A2">
        <w:t>These people will no longer be CDC participants and their card provider can close their account in accordance with their terms and conditions.</w:t>
      </w:r>
    </w:p>
    <w:p w14:paraId="47E7C681" w14:textId="77777777" w:rsidR="001240FD" w:rsidRDefault="00FC667A" w:rsidP="00B65911">
      <w:pPr>
        <w:pStyle w:val="Heading3"/>
      </w:pPr>
      <w:bookmarkStart w:id="104" w:name="_Toc108008491"/>
      <w:bookmarkStart w:id="105" w:name="_Toc118103766"/>
      <w:r>
        <w:t>3.2.</w:t>
      </w:r>
      <w:r w:rsidR="00E133B9">
        <w:t>10</w:t>
      </w:r>
      <w:r>
        <w:t xml:space="preserve"> </w:t>
      </w:r>
      <w:r w:rsidR="006056B6" w:rsidRPr="00126367">
        <w:t xml:space="preserve">Required </w:t>
      </w:r>
      <w:r w:rsidR="001240FD" w:rsidRPr="00126367">
        <w:t>Legislative changes</w:t>
      </w:r>
      <w:bookmarkEnd w:id="104"/>
      <w:r w:rsidR="006056B6" w:rsidRPr="00126367">
        <w:t xml:space="preserve"> to the programs</w:t>
      </w:r>
      <w:bookmarkEnd w:id="105"/>
    </w:p>
    <w:p w14:paraId="21B72DA3" w14:textId="77777777" w:rsidR="0064390A" w:rsidRDefault="0064390A" w:rsidP="0064390A">
      <w:pPr>
        <w:pStyle w:val="BodyText"/>
      </w:pPr>
      <w:r>
        <w:t>Amendments to the Administration Act are required to repeal part 3D. These amendments will also insert transitional provisions to provide for the transition of persons off the CDC. These transition arrangements will commence once Royal Assent is received. Changes will also be made to allow people in CDC locations to volunteer for IM.</w:t>
      </w:r>
    </w:p>
    <w:p w14:paraId="0B5E99D7" w14:textId="77777777" w:rsidR="00C00560" w:rsidRDefault="0064390A" w:rsidP="00C00560">
      <w:pPr>
        <w:pStyle w:val="BodyText"/>
      </w:pPr>
      <w:r>
        <w:t>A</w:t>
      </w:r>
      <w:r w:rsidR="00965A08">
        <w:t>s part of this</w:t>
      </w:r>
      <w:r w:rsidR="00C00560">
        <w:t xml:space="preserve"> work the </w:t>
      </w:r>
      <w:r w:rsidR="005305F6">
        <w:t xml:space="preserve">following </w:t>
      </w:r>
      <w:r w:rsidR="00965A08">
        <w:t>legislative changes</w:t>
      </w:r>
      <w:r w:rsidR="005305F6">
        <w:t xml:space="preserve"> will be made</w:t>
      </w:r>
      <w:r w:rsidR="00B173C0">
        <w:t>:</w:t>
      </w:r>
    </w:p>
    <w:p w14:paraId="4740757E" w14:textId="77777777" w:rsidR="007D5C16" w:rsidRDefault="007D5C16" w:rsidP="000A025F">
      <w:pPr>
        <w:pStyle w:val="ListParagraph"/>
        <w:numPr>
          <w:ilvl w:val="0"/>
          <w:numId w:val="40"/>
        </w:numPr>
        <w:spacing w:after="0" w:line="240" w:lineRule="auto"/>
      </w:pPr>
      <w:r w:rsidRPr="007D5C16">
        <w:rPr>
          <w:b/>
        </w:rPr>
        <w:t xml:space="preserve">12 month deferral of six legislative instruments due to sunset on </w:t>
      </w:r>
      <w:r w:rsidRPr="007E237E">
        <w:rPr>
          <w:b/>
        </w:rPr>
        <w:t>1 October 2022</w:t>
      </w:r>
      <w:r w:rsidR="00FD2793">
        <w:t>.</w:t>
      </w:r>
    </w:p>
    <w:p w14:paraId="0EE838F2" w14:textId="77777777" w:rsidR="007D5C16" w:rsidRPr="007D5C16" w:rsidRDefault="007D5C16" w:rsidP="007D5C16">
      <w:pPr>
        <w:pStyle w:val="ListParagraph"/>
        <w:spacing w:after="0" w:line="240" w:lineRule="auto"/>
        <w:rPr>
          <w:rFonts w:cs="Times New Roman"/>
        </w:rPr>
      </w:pPr>
      <w:r>
        <w:t xml:space="preserve">These instruments </w:t>
      </w:r>
      <w:r w:rsidR="00B62FF2">
        <w:t>(see Attachment C</w:t>
      </w:r>
      <w:r>
        <w:t>) enable more than 80</w:t>
      </w:r>
      <w:r w:rsidR="002125F9">
        <w:t xml:space="preserve"> per cent</w:t>
      </w:r>
      <w:r>
        <w:t xml:space="preserve"> of IM arrangements. The deferral of these instruments </w:t>
      </w:r>
      <w:r w:rsidR="00075925">
        <w:t>are consistent with the policy to maintain IM until it is reformed</w:t>
      </w:r>
      <w:r w:rsidR="00B85286">
        <w:t>.</w:t>
      </w:r>
    </w:p>
    <w:p w14:paraId="7DDD4B0A" w14:textId="77777777" w:rsidR="007E1F87" w:rsidRPr="007E1F87" w:rsidRDefault="007E1F87" w:rsidP="000A025F">
      <w:pPr>
        <w:pStyle w:val="BodyText"/>
        <w:numPr>
          <w:ilvl w:val="0"/>
          <w:numId w:val="40"/>
        </w:numPr>
        <w:spacing w:after="0"/>
        <w:ind w:left="714" w:hanging="357"/>
        <w:rPr>
          <w:b/>
        </w:rPr>
      </w:pPr>
      <w:r w:rsidRPr="007E1F87">
        <w:rPr>
          <w:rFonts w:cs="Times New Roman"/>
          <w:b/>
        </w:rPr>
        <w:t>Amending four IM instruments</w:t>
      </w:r>
    </w:p>
    <w:p w14:paraId="2D94C881" w14:textId="77777777" w:rsidR="007D5C16" w:rsidRDefault="007E1F87" w:rsidP="007E1F87">
      <w:pPr>
        <w:pStyle w:val="BodyText"/>
        <w:spacing w:after="0"/>
        <w:ind w:left="714"/>
      </w:pPr>
      <w:r>
        <w:rPr>
          <w:rFonts w:cs="Times New Roman"/>
        </w:rPr>
        <w:t>Thes</w:t>
      </w:r>
      <w:r w:rsidR="00B62FF2">
        <w:rPr>
          <w:rFonts w:cs="Times New Roman"/>
        </w:rPr>
        <w:t>e instruments (see Attachment C</w:t>
      </w:r>
      <w:r>
        <w:rPr>
          <w:rFonts w:cs="Times New Roman"/>
        </w:rPr>
        <w:t xml:space="preserve">) need to be amended </w:t>
      </w:r>
      <w:r w:rsidRPr="007E1F87">
        <w:rPr>
          <w:rFonts w:cs="Times New Roman"/>
        </w:rPr>
        <w:t>to make voluntary IM available in all existing CDC locations and remove compulsory IM from existing CDC areas, specifically Ceduna and Laverton</w:t>
      </w:r>
      <w:r>
        <w:rPr>
          <w:rFonts w:cs="Times New Roman"/>
        </w:rPr>
        <w:t>.</w:t>
      </w:r>
    </w:p>
    <w:p w14:paraId="3FDCB8BB" w14:textId="77777777" w:rsidR="00B62FF2" w:rsidRPr="00B62FF2" w:rsidRDefault="00391946" w:rsidP="00535E16">
      <w:pPr>
        <w:pStyle w:val="BodyText"/>
        <w:numPr>
          <w:ilvl w:val="0"/>
          <w:numId w:val="20"/>
        </w:numPr>
        <w:spacing w:after="0"/>
        <w:rPr>
          <w:b/>
        </w:rPr>
      </w:pPr>
      <w:r w:rsidRPr="00B62FF2">
        <w:rPr>
          <w:b/>
        </w:rPr>
        <w:t>Amending two IM instruments</w:t>
      </w:r>
    </w:p>
    <w:p w14:paraId="11A7BCCC" w14:textId="77777777" w:rsidR="00B62FF2" w:rsidRDefault="00B62FF2" w:rsidP="00104B38">
      <w:pPr>
        <w:pStyle w:val="BodyText"/>
        <w:ind w:left="720"/>
      </w:pPr>
      <w:r>
        <w:t xml:space="preserve">These instruments (see Attachment C) </w:t>
      </w:r>
      <w:r w:rsidR="00B85286">
        <w:t>specify</w:t>
      </w:r>
      <w:r w:rsidR="00391946">
        <w:t xml:space="preserve"> vulnerable income management areas for the purposes of paragraph 123UCA(1)(b) of the </w:t>
      </w:r>
      <w:r w:rsidR="00234035">
        <w:t xml:space="preserve">Administration </w:t>
      </w:r>
      <w:r w:rsidR="00391946">
        <w:t>Act.</w:t>
      </w:r>
      <w:r w:rsidR="00391946" w:rsidRPr="00391946">
        <w:t xml:space="preserve"> </w:t>
      </w:r>
      <w:r w:rsidR="00391946">
        <w:t>This will mean people in these areas will not be mandatorily placed in IM, but will allow for voluntary participant in IM.</w:t>
      </w:r>
    </w:p>
    <w:p w14:paraId="6B028FEF" w14:textId="77777777" w:rsidR="00520FA2" w:rsidRDefault="00520FA2" w:rsidP="00104B38">
      <w:pPr>
        <w:pStyle w:val="NormalWeb"/>
        <w:spacing w:before="0" w:beforeAutospacing="0" w:after="0" w:afterAutospacing="0"/>
      </w:pPr>
      <w:r>
        <w:t>In order to complete the implementation of the election commitment</w:t>
      </w:r>
      <w:r w:rsidR="00EE0921">
        <w:t>,</w:t>
      </w:r>
      <w:r w:rsidR="004D1175">
        <w:t xml:space="preserve"> reforms will be made to </w:t>
      </w:r>
      <w:r w:rsidR="00602770">
        <w:t xml:space="preserve">the IM </w:t>
      </w:r>
      <w:r w:rsidR="00796A73">
        <w:t xml:space="preserve">program </w:t>
      </w:r>
      <w:r w:rsidR="00602770">
        <w:t>to make it voluntary</w:t>
      </w:r>
      <w:r w:rsidR="00E47883">
        <w:t xml:space="preserve">. </w:t>
      </w:r>
      <w:r>
        <w:t>This will require further policy development, consult</w:t>
      </w:r>
      <w:r w:rsidR="00E47883">
        <w:t xml:space="preserve">ation and legislative changes. </w:t>
      </w:r>
      <w:r>
        <w:t>T</w:t>
      </w:r>
      <w:r w:rsidR="00D73AA9">
        <w:t>he scope of this work</w:t>
      </w:r>
      <w:r w:rsidR="00D30CCA">
        <w:t xml:space="preserve"> would involve</w:t>
      </w:r>
      <w:r w:rsidR="00D73AA9">
        <w:t>:</w:t>
      </w:r>
    </w:p>
    <w:p w14:paraId="5C58BC02" w14:textId="77777777" w:rsidR="00520FA2" w:rsidRDefault="00520FA2" w:rsidP="00B173C0">
      <w:pPr>
        <w:pStyle w:val="BulletedListlvl1"/>
      </w:pPr>
      <w:r>
        <w:t>amending part 3B of the</w:t>
      </w:r>
      <w:r w:rsidR="00234035">
        <w:t xml:space="preserve"> Administration Act</w:t>
      </w:r>
      <w:r>
        <w:t xml:space="preserve"> to cease all compulsory forms of the </w:t>
      </w:r>
      <w:r w:rsidR="002125F9">
        <w:t>IM</w:t>
      </w:r>
      <w:r>
        <w:t xml:space="preserve"> regime</w:t>
      </w:r>
    </w:p>
    <w:p w14:paraId="5331800D" w14:textId="77777777" w:rsidR="00520FA2" w:rsidRDefault="00520FA2" w:rsidP="00B173C0">
      <w:pPr>
        <w:pStyle w:val="BulletedListlvl1"/>
      </w:pPr>
      <w:r>
        <w:t xml:space="preserve">inserting transitional and application provisions to provide for the supported transition of persons out of </w:t>
      </w:r>
      <w:r w:rsidR="004F00A4">
        <w:t>IM</w:t>
      </w:r>
    </w:p>
    <w:p w14:paraId="2D0A5F12" w14:textId="77777777" w:rsidR="00520FA2" w:rsidRDefault="00520FA2" w:rsidP="00B173C0">
      <w:pPr>
        <w:pStyle w:val="BulletedListlvl1"/>
      </w:pPr>
      <w:r>
        <w:t>inserting transitional arrangements to include provision for the transition of participants from</w:t>
      </w:r>
      <w:r w:rsidR="00257385">
        <w:t xml:space="preserve"> the CDC</w:t>
      </w:r>
      <w:r>
        <w:t xml:space="preserve"> or mandatory </w:t>
      </w:r>
      <w:r w:rsidR="002125F9">
        <w:t>IM</w:t>
      </w:r>
      <w:r>
        <w:t xml:space="preserve"> arrangements to </w:t>
      </w:r>
      <w:r w:rsidR="002125F9">
        <w:t>IM</w:t>
      </w:r>
      <w:r>
        <w:t xml:space="preserve"> on a voluntary basis</w:t>
      </w:r>
    </w:p>
    <w:p w14:paraId="01EE020C" w14:textId="77777777" w:rsidR="00520FA2" w:rsidRDefault="00520FA2" w:rsidP="00104B38">
      <w:pPr>
        <w:pStyle w:val="BulletedListlvl1"/>
        <w:spacing w:after="120"/>
        <w:ind w:left="568" w:hanging="284"/>
      </w:pPr>
      <w:r>
        <w:t>including provision</w:t>
      </w:r>
      <w:r w:rsidR="00D30CCA">
        <w:t>s</w:t>
      </w:r>
      <w:r>
        <w:t xml:space="preserve"> for suitabl</w:t>
      </w:r>
      <w:r w:rsidR="00D73AA9">
        <w:t xml:space="preserve">e referral to </w:t>
      </w:r>
      <w:r w:rsidR="002125F9">
        <w:t>IM</w:t>
      </w:r>
      <w:r w:rsidR="004F00A4">
        <w:t>.</w:t>
      </w:r>
    </w:p>
    <w:p w14:paraId="22D124EF" w14:textId="77777777" w:rsidR="00A6264E" w:rsidRDefault="00520FA2" w:rsidP="00520FA2">
      <w:pPr>
        <w:pStyle w:val="BodyText"/>
      </w:pPr>
      <w:r w:rsidRPr="00CD2B2B">
        <w:t>These changes</w:t>
      </w:r>
      <w:r w:rsidR="00CD2B2B">
        <w:t xml:space="preserve"> will </w:t>
      </w:r>
      <w:r w:rsidRPr="00CD2B2B">
        <w:t xml:space="preserve">ensure </w:t>
      </w:r>
      <w:r w:rsidR="00BA524D" w:rsidRPr="00CD2B2B">
        <w:t>those in affected communities will be able to exercise their choice in how they manage their finances but also allow those who want further support in their management of their finances the opp</w:t>
      </w:r>
      <w:r w:rsidR="00D73AA9" w:rsidRPr="00CD2B2B">
        <w:t>ortunity to volunteer for IM</w:t>
      </w:r>
      <w:r w:rsidR="00CD2B2B">
        <w:t xml:space="preserve"> once CDC program is abolished</w:t>
      </w:r>
      <w:r w:rsidR="00D73AA9" w:rsidRPr="00CD2B2B">
        <w:t>.</w:t>
      </w:r>
    </w:p>
    <w:p w14:paraId="4C829C7F" w14:textId="77777777" w:rsidR="004F6495" w:rsidRPr="00A1225C" w:rsidRDefault="00FC667A" w:rsidP="00B65911">
      <w:pPr>
        <w:pStyle w:val="Heading3"/>
      </w:pPr>
      <w:bookmarkStart w:id="106" w:name="_Toc108008493"/>
      <w:bookmarkStart w:id="107" w:name="_Toc118103767"/>
      <w:r w:rsidRPr="00906822">
        <w:t>3.2.1</w:t>
      </w:r>
      <w:r w:rsidR="00E133B9" w:rsidRPr="00906822">
        <w:t>1</w:t>
      </w:r>
      <w:r w:rsidRPr="00A1225C">
        <w:t xml:space="preserve"> </w:t>
      </w:r>
      <w:r w:rsidR="004F6495" w:rsidRPr="00A1225C">
        <w:t xml:space="preserve">The ability </w:t>
      </w:r>
      <w:r w:rsidR="00122766" w:rsidRPr="00A1225C">
        <w:t xml:space="preserve">to reform </w:t>
      </w:r>
      <w:r w:rsidR="004F6495" w:rsidRPr="00A1225C">
        <w:t>the C</w:t>
      </w:r>
      <w:r w:rsidR="0075772C" w:rsidRPr="00A1225C">
        <w:t xml:space="preserve">ashless </w:t>
      </w:r>
      <w:r w:rsidR="004F6495" w:rsidRPr="00A1225C">
        <w:t>D</w:t>
      </w:r>
      <w:r w:rsidR="0075772C" w:rsidRPr="00A1225C">
        <w:t xml:space="preserve">ebit </w:t>
      </w:r>
      <w:r w:rsidR="004F6495" w:rsidRPr="00A1225C">
        <w:t>C</w:t>
      </w:r>
      <w:r w:rsidR="0075772C" w:rsidRPr="00A1225C">
        <w:t>ard</w:t>
      </w:r>
      <w:r w:rsidR="004F6495" w:rsidRPr="00A1225C">
        <w:t xml:space="preserve"> </w:t>
      </w:r>
      <w:r w:rsidR="00122766" w:rsidRPr="00A1225C">
        <w:t xml:space="preserve">and Income Management </w:t>
      </w:r>
      <w:r w:rsidR="004F6495" w:rsidRPr="00A1225C">
        <w:t>program</w:t>
      </w:r>
      <w:r w:rsidR="00122766" w:rsidRPr="00A1225C">
        <w:t>s</w:t>
      </w:r>
      <w:r w:rsidR="004F6495" w:rsidRPr="00A1225C">
        <w:t xml:space="preserve"> option to address the problem</w:t>
      </w:r>
      <w:bookmarkEnd w:id="106"/>
      <w:bookmarkEnd w:id="107"/>
    </w:p>
    <w:p w14:paraId="49BAA368" w14:textId="53F53B11" w:rsidR="000A51E8" w:rsidRPr="00A1225C" w:rsidRDefault="00122766" w:rsidP="00122766">
      <w:pPr>
        <w:rPr>
          <w:color w:val="auto"/>
        </w:rPr>
      </w:pPr>
      <w:r w:rsidRPr="00A1225C">
        <w:rPr>
          <w:color w:val="auto"/>
        </w:rPr>
        <w:t xml:space="preserve">Reforming both </w:t>
      </w:r>
      <w:r w:rsidR="004F6495" w:rsidRPr="00A1225C">
        <w:rPr>
          <w:color w:val="auto"/>
        </w:rPr>
        <w:t xml:space="preserve">the CDC </w:t>
      </w:r>
      <w:r w:rsidRPr="00A1225C">
        <w:rPr>
          <w:color w:val="auto"/>
        </w:rPr>
        <w:t xml:space="preserve">and the IM </w:t>
      </w:r>
      <w:r w:rsidR="004F6495" w:rsidRPr="00A1225C">
        <w:rPr>
          <w:color w:val="auto"/>
        </w:rPr>
        <w:t>program</w:t>
      </w:r>
      <w:r w:rsidRPr="00A1225C">
        <w:rPr>
          <w:color w:val="auto"/>
        </w:rPr>
        <w:t>s</w:t>
      </w:r>
      <w:r w:rsidR="004F6495" w:rsidRPr="00A1225C">
        <w:rPr>
          <w:color w:val="auto"/>
        </w:rPr>
        <w:t xml:space="preserve"> will allow the</w:t>
      </w:r>
      <w:r w:rsidR="00DC3310" w:rsidRPr="00A1225C">
        <w:rPr>
          <w:color w:val="auto"/>
        </w:rPr>
        <w:t xml:space="preserve"> Government to develop strategies which best </w:t>
      </w:r>
      <w:r w:rsidR="00AD5B52" w:rsidRPr="00A1225C">
        <w:rPr>
          <w:color w:val="auto"/>
        </w:rPr>
        <w:t xml:space="preserve">address social harm. </w:t>
      </w:r>
      <w:r w:rsidR="00B77EE8" w:rsidRPr="00A1225C">
        <w:rPr>
          <w:color w:val="auto"/>
        </w:rPr>
        <w:t xml:space="preserve">It will also free up both time and resources associated with </w:t>
      </w:r>
      <w:r w:rsidRPr="00A1225C">
        <w:rPr>
          <w:color w:val="auto"/>
        </w:rPr>
        <w:t xml:space="preserve">compulsory programs allowing </w:t>
      </w:r>
      <w:r w:rsidR="00B77EE8" w:rsidRPr="00A1225C">
        <w:rPr>
          <w:color w:val="auto"/>
        </w:rPr>
        <w:t>communities t</w:t>
      </w:r>
      <w:r w:rsidR="00000627">
        <w:rPr>
          <w:color w:val="auto"/>
        </w:rPr>
        <w:t>o develop their own strategies.</w:t>
      </w:r>
    </w:p>
    <w:p w14:paraId="181B9C82" w14:textId="45398B40" w:rsidR="00963A06" w:rsidRPr="00A1225C" w:rsidRDefault="004F6495" w:rsidP="00122766">
      <w:pPr>
        <w:rPr>
          <w:color w:val="auto"/>
          <w:lang w:eastAsia="en-AU"/>
        </w:rPr>
      </w:pPr>
      <w:r w:rsidRPr="00A1225C">
        <w:rPr>
          <w:color w:val="auto"/>
          <w:lang w:eastAsia="en-AU"/>
        </w:rPr>
        <w:t xml:space="preserve">The CDC program has been criticised that it affects people without a history of substance misuse or problem gambling, and it is potentially discriminatory as it affects a high proportion of First Nations </w:t>
      </w:r>
      <w:r w:rsidR="002125F9">
        <w:rPr>
          <w:color w:val="auto"/>
          <w:lang w:eastAsia="en-AU"/>
        </w:rPr>
        <w:t>p</w:t>
      </w:r>
      <w:r w:rsidRPr="00A1225C">
        <w:rPr>
          <w:color w:val="auto"/>
          <w:lang w:eastAsia="en-AU"/>
        </w:rPr>
        <w:t>eoples. Therefore, expenditure on the CDC program no longer represents the most appropriate and effective use of Government funds to supp</w:t>
      </w:r>
      <w:r w:rsidR="00000627">
        <w:rPr>
          <w:color w:val="auto"/>
          <w:lang w:eastAsia="en-AU"/>
        </w:rPr>
        <w:t>ort individuals or communities.</w:t>
      </w:r>
    </w:p>
    <w:p w14:paraId="764FE4E4" w14:textId="5E51081A" w:rsidR="00137038" w:rsidRDefault="000A51E8" w:rsidP="000A51E8">
      <w:pPr>
        <w:rPr>
          <w:color w:val="auto"/>
        </w:rPr>
      </w:pPr>
      <w:r w:rsidRPr="00A1225C">
        <w:rPr>
          <w:color w:val="auto"/>
          <w:lang w:eastAsia="en-AU"/>
        </w:rPr>
        <w:t xml:space="preserve">Reforming IM </w:t>
      </w:r>
      <w:r w:rsidR="00963A06" w:rsidRPr="00A1225C">
        <w:rPr>
          <w:color w:val="auto"/>
          <w:lang w:eastAsia="en-AU"/>
        </w:rPr>
        <w:t xml:space="preserve">is supported by evidence that </w:t>
      </w:r>
      <w:r w:rsidR="00432690" w:rsidRPr="00A1225C">
        <w:rPr>
          <w:color w:val="auto"/>
          <w:lang w:eastAsia="en-AU"/>
        </w:rPr>
        <w:t xml:space="preserve">a </w:t>
      </w:r>
      <w:r w:rsidR="00963A06" w:rsidRPr="00A1225C">
        <w:rPr>
          <w:color w:val="auto"/>
        </w:rPr>
        <w:t xml:space="preserve">voluntary </w:t>
      </w:r>
      <w:r w:rsidR="00432690" w:rsidRPr="00A1225C">
        <w:rPr>
          <w:color w:val="auto"/>
        </w:rPr>
        <w:t>program can</w:t>
      </w:r>
      <w:r w:rsidR="00963A06" w:rsidRPr="00A1225C">
        <w:rPr>
          <w:color w:val="auto"/>
        </w:rPr>
        <w:t xml:space="preserve"> achieve</w:t>
      </w:r>
      <w:r w:rsidR="00432690" w:rsidRPr="00A1225C">
        <w:rPr>
          <w:color w:val="auto"/>
        </w:rPr>
        <w:t xml:space="preserve"> a</w:t>
      </w:r>
      <w:r w:rsidR="00963A06" w:rsidRPr="00A1225C">
        <w:rPr>
          <w:color w:val="auto"/>
        </w:rPr>
        <w:t xml:space="preserve"> better outcome than</w:t>
      </w:r>
      <w:r w:rsidR="00432690" w:rsidRPr="00A1225C">
        <w:rPr>
          <w:color w:val="auto"/>
        </w:rPr>
        <w:t xml:space="preserve"> a</w:t>
      </w:r>
      <w:r w:rsidR="00963A06" w:rsidRPr="00A1225C">
        <w:rPr>
          <w:color w:val="auto"/>
        </w:rPr>
        <w:t xml:space="preserve"> compulsory </w:t>
      </w:r>
      <w:r w:rsidR="00432690" w:rsidRPr="00A1225C">
        <w:rPr>
          <w:color w:val="auto"/>
        </w:rPr>
        <w:t>IM</w:t>
      </w:r>
      <w:r w:rsidR="00663E8C" w:rsidRPr="00A1225C">
        <w:rPr>
          <w:color w:val="auto"/>
        </w:rPr>
        <w:t xml:space="preserve"> program</w:t>
      </w:r>
      <w:r w:rsidR="00963A06" w:rsidRPr="00A1225C">
        <w:rPr>
          <w:color w:val="auto"/>
          <w:vertAlign w:val="superscript"/>
        </w:rPr>
        <w:footnoteReference w:id="20"/>
      </w:r>
      <w:r w:rsidRPr="00A1225C">
        <w:rPr>
          <w:color w:val="auto"/>
        </w:rPr>
        <w:t xml:space="preserve">. The card and account technology will be updated and the </w:t>
      </w:r>
      <w:r w:rsidR="00C91721" w:rsidRPr="00A1225C">
        <w:rPr>
          <w:color w:val="auto"/>
        </w:rPr>
        <w:t xml:space="preserve">current IM </w:t>
      </w:r>
      <w:r w:rsidRPr="00A1225C">
        <w:rPr>
          <w:color w:val="auto"/>
        </w:rPr>
        <w:t>card will be replaced to provide a modern experience for partici</w:t>
      </w:r>
      <w:r w:rsidR="00000627">
        <w:rPr>
          <w:color w:val="auto"/>
        </w:rPr>
        <w:t>pants who want to remain on IM.</w:t>
      </w:r>
    </w:p>
    <w:p w14:paraId="720CEB79" w14:textId="77777777" w:rsidR="00122766" w:rsidRPr="00137038" w:rsidRDefault="004F6495" w:rsidP="000A51E8">
      <w:pPr>
        <w:rPr>
          <w:color w:val="auto"/>
        </w:rPr>
      </w:pPr>
      <w:r w:rsidRPr="00A1225C">
        <w:rPr>
          <w:color w:val="auto"/>
          <w:lang w:eastAsia="en-AU"/>
        </w:rPr>
        <w:t>Option 2 also addresses the Government’s 2022 election commitment</w:t>
      </w:r>
      <w:r w:rsidR="00B173C0" w:rsidRPr="00A1225C">
        <w:rPr>
          <w:color w:val="auto"/>
          <w:lang w:eastAsia="en-AU"/>
        </w:rPr>
        <w:t xml:space="preserve"> of abolishing the CDC program</w:t>
      </w:r>
      <w:r w:rsidR="00122766" w:rsidRPr="00A1225C">
        <w:rPr>
          <w:color w:val="auto"/>
          <w:lang w:eastAsia="en-AU"/>
        </w:rPr>
        <w:t xml:space="preserve"> </w:t>
      </w:r>
      <w:r w:rsidR="00122766" w:rsidRPr="00A1225C">
        <w:t>and reforming IM. This commitment included that any future solutions moving forward would be developed after consulting with affected communities.</w:t>
      </w:r>
    </w:p>
    <w:p w14:paraId="74B2697B" w14:textId="77777777" w:rsidR="002573D9" w:rsidRDefault="00AD5B52" w:rsidP="00B65911">
      <w:pPr>
        <w:pStyle w:val="Heading2"/>
      </w:pPr>
      <w:bookmarkStart w:id="108" w:name="_Toc108008494"/>
      <w:bookmarkStart w:id="109" w:name="_Toc118103768"/>
      <w:r>
        <w:t xml:space="preserve">3.3 </w:t>
      </w:r>
      <w:r w:rsidR="002573D9" w:rsidRPr="00AD5B52">
        <w:t>Comparison of the two options</w:t>
      </w:r>
      <w:bookmarkEnd w:id="108"/>
      <w:bookmarkEnd w:id="109"/>
    </w:p>
    <w:p w14:paraId="7B857C81" w14:textId="77777777" w:rsidR="00AD5B52" w:rsidRDefault="007C59D5" w:rsidP="00AD5B52">
      <w:pPr>
        <w:pStyle w:val="BodyText"/>
      </w:pPr>
      <w:r>
        <w:rPr>
          <w:b/>
        </w:rPr>
        <w:fldChar w:fldCharType="begin"/>
      </w:r>
      <w:r>
        <w:instrText xml:space="preserve"> REF _Ref107994689 \h </w:instrText>
      </w:r>
      <w:r>
        <w:rPr>
          <w:b/>
        </w:rPr>
      </w:r>
      <w:r>
        <w:rPr>
          <w:b/>
        </w:rPr>
        <w:fldChar w:fldCharType="separate"/>
      </w:r>
      <w:r w:rsidR="004C374C">
        <w:t xml:space="preserve">Table </w:t>
      </w:r>
      <w:r w:rsidR="004C374C">
        <w:rPr>
          <w:noProof/>
        </w:rPr>
        <w:t>6</w:t>
      </w:r>
      <w:r>
        <w:rPr>
          <w:b/>
        </w:rPr>
        <w:fldChar w:fldCharType="end"/>
      </w:r>
      <w:r>
        <w:rPr>
          <w:b/>
        </w:rPr>
        <w:t xml:space="preserve"> </w:t>
      </w:r>
      <w:r w:rsidR="00AD5B52">
        <w:t>below demonstrates the key differences between the two options.</w:t>
      </w:r>
    </w:p>
    <w:p w14:paraId="4B066590" w14:textId="6D45B5FE" w:rsidR="00AD5B52" w:rsidRPr="00AD5B52" w:rsidRDefault="00ED2EE7" w:rsidP="00ED2EE7">
      <w:pPr>
        <w:pStyle w:val="Caption"/>
      </w:pPr>
      <w:bookmarkStart w:id="110" w:name="_Ref107994689"/>
      <w:bookmarkStart w:id="111" w:name="_Toc108008546"/>
      <w:bookmarkStart w:id="112" w:name="_Toc118103811"/>
      <w:r>
        <w:t xml:space="preserve">Table </w:t>
      </w:r>
      <w:fldSimple w:instr=" SEQ Table \* ARABIC ">
        <w:r w:rsidR="00EA44C7">
          <w:rPr>
            <w:noProof/>
          </w:rPr>
          <w:t>6</w:t>
        </w:r>
      </w:fldSimple>
      <w:bookmarkEnd w:id="110"/>
      <w:r>
        <w:t>: Key differences between the two options</w:t>
      </w:r>
      <w:bookmarkEnd w:id="111"/>
      <w:bookmarkEnd w:id="1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Key differences between the two options"/>
      </w:tblPr>
      <w:tblGrid>
        <w:gridCol w:w="1980"/>
        <w:gridCol w:w="2977"/>
        <w:gridCol w:w="5244"/>
      </w:tblGrid>
      <w:tr w:rsidR="002C572D" w:rsidRPr="00AF17E8" w14:paraId="45362EEB" w14:textId="77777777" w:rsidTr="002F19FE">
        <w:trPr>
          <w:tblHeader/>
        </w:trPr>
        <w:tc>
          <w:tcPr>
            <w:tcW w:w="1980" w:type="dxa"/>
          </w:tcPr>
          <w:p w14:paraId="4F73132A" w14:textId="77777777" w:rsidR="002C572D" w:rsidRPr="00AF17E8" w:rsidRDefault="002C572D" w:rsidP="00596912">
            <w:pPr>
              <w:pStyle w:val="BodyText"/>
              <w:rPr>
                <w:b/>
              </w:rPr>
            </w:pPr>
          </w:p>
        </w:tc>
        <w:tc>
          <w:tcPr>
            <w:tcW w:w="2977" w:type="dxa"/>
          </w:tcPr>
          <w:p w14:paraId="0CB30189" w14:textId="77777777" w:rsidR="002C572D" w:rsidRPr="00AF17E8" w:rsidRDefault="002C572D" w:rsidP="00596912">
            <w:pPr>
              <w:pStyle w:val="BodyText"/>
              <w:rPr>
                <w:b/>
              </w:rPr>
            </w:pPr>
            <w:r w:rsidRPr="00AF17E8">
              <w:rPr>
                <w:b/>
              </w:rPr>
              <w:t>Option 1: Status Quo</w:t>
            </w:r>
          </w:p>
        </w:tc>
        <w:tc>
          <w:tcPr>
            <w:tcW w:w="5244" w:type="dxa"/>
          </w:tcPr>
          <w:p w14:paraId="4A4E9EFD" w14:textId="35D5CA58" w:rsidR="002C572D" w:rsidRPr="00AF17E8" w:rsidRDefault="002C572D" w:rsidP="00E80030">
            <w:pPr>
              <w:pStyle w:val="BodyText"/>
              <w:rPr>
                <w:b/>
              </w:rPr>
            </w:pPr>
            <w:r w:rsidRPr="00AF17E8">
              <w:rPr>
                <w:b/>
              </w:rPr>
              <w:t xml:space="preserve">Option 2: </w:t>
            </w:r>
            <w:r w:rsidR="00010E08" w:rsidRPr="00AF17E8">
              <w:rPr>
                <w:b/>
              </w:rPr>
              <w:t>R</w:t>
            </w:r>
            <w:r w:rsidR="006B023D" w:rsidRPr="00AF17E8">
              <w:rPr>
                <w:b/>
              </w:rPr>
              <w:t xml:space="preserve">eform </w:t>
            </w:r>
            <w:r w:rsidR="00010E08" w:rsidRPr="00AF17E8">
              <w:rPr>
                <w:b/>
              </w:rPr>
              <w:t xml:space="preserve">CDC and </w:t>
            </w:r>
            <w:r w:rsidR="006B023D" w:rsidRPr="00AF17E8">
              <w:rPr>
                <w:b/>
              </w:rPr>
              <w:t xml:space="preserve">IM </w:t>
            </w:r>
            <w:r w:rsidR="00010E08" w:rsidRPr="00AF17E8">
              <w:rPr>
                <w:b/>
              </w:rPr>
              <w:t xml:space="preserve">including providing </w:t>
            </w:r>
            <w:r w:rsidR="00E80030">
              <w:rPr>
                <w:b/>
              </w:rPr>
              <w:t>c</w:t>
            </w:r>
            <w:r w:rsidR="00E80030" w:rsidRPr="00E80030">
              <w:rPr>
                <w:b/>
              </w:rPr>
              <w:t>ard technology for voluntary IM participants</w:t>
            </w:r>
          </w:p>
        </w:tc>
      </w:tr>
      <w:tr w:rsidR="002C572D" w:rsidRPr="00D75D59" w14:paraId="4452A816" w14:textId="77777777" w:rsidTr="002F19FE">
        <w:tc>
          <w:tcPr>
            <w:tcW w:w="1980" w:type="dxa"/>
          </w:tcPr>
          <w:p w14:paraId="4AB2D37F" w14:textId="77777777" w:rsidR="002C572D" w:rsidRPr="00D75D59" w:rsidRDefault="002C572D" w:rsidP="00596912">
            <w:pPr>
              <w:pStyle w:val="BodyText"/>
              <w:rPr>
                <w:sz w:val="18"/>
              </w:rPr>
            </w:pPr>
            <w:r w:rsidRPr="00D75D59">
              <w:rPr>
                <w:sz w:val="18"/>
              </w:rPr>
              <w:t xml:space="preserve">CDC </w:t>
            </w:r>
          </w:p>
        </w:tc>
        <w:tc>
          <w:tcPr>
            <w:tcW w:w="2977" w:type="dxa"/>
          </w:tcPr>
          <w:p w14:paraId="49689F14" w14:textId="77777777" w:rsidR="00A22370" w:rsidRPr="007140E7" w:rsidRDefault="00A22370" w:rsidP="00031DCD">
            <w:pPr>
              <w:pStyle w:val="BodyText"/>
              <w:numPr>
                <w:ilvl w:val="0"/>
                <w:numId w:val="30"/>
              </w:numPr>
              <w:rPr>
                <w:sz w:val="18"/>
              </w:rPr>
            </w:pPr>
            <w:r w:rsidRPr="007140E7">
              <w:rPr>
                <w:sz w:val="18"/>
              </w:rPr>
              <w:t>Participants continue to use the CDC in all CDC locations, assuming the legislation scheduled to sunset by 31 December 2022 is extended.</w:t>
            </w:r>
          </w:p>
          <w:p w14:paraId="4DABAA57" w14:textId="77777777" w:rsidR="002C572D" w:rsidRPr="007140E7" w:rsidRDefault="00A22370" w:rsidP="00F146AD">
            <w:pPr>
              <w:pStyle w:val="BodyText"/>
              <w:numPr>
                <w:ilvl w:val="0"/>
                <w:numId w:val="30"/>
              </w:numPr>
              <w:rPr>
                <w:sz w:val="18"/>
              </w:rPr>
            </w:pPr>
            <w:r w:rsidRPr="007140E7">
              <w:rPr>
                <w:sz w:val="18"/>
              </w:rPr>
              <w:t>CDC support services may expire June 2023 when the current funding terminates.</w:t>
            </w:r>
          </w:p>
        </w:tc>
        <w:tc>
          <w:tcPr>
            <w:tcW w:w="5244" w:type="dxa"/>
          </w:tcPr>
          <w:p w14:paraId="4DB2B0E8" w14:textId="3832D492" w:rsidR="002C572D" w:rsidRPr="007140E7" w:rsidRDefault="002C572D" w:rsidP="00E61FE3">
            <w:pPr>
              <w:pStyle w:val="BodyText"/>
              <w:numPr>
                <w:ilvl w:val="0"/>
                <w:numId w:val="30"/>
              </w:numPr>
              <w:rPr>
                <w:sz w:val="18"/>
              </w:rPr>
            </w:pPr>
            <w:r w:rsidRPr="007140E7">
              <w:rPr>
                <w:sz w:val="18"/>
              </w:rPr>
              <w:t>CDC is abolished</w:t>
            </w:r>
            <w:r w:rsidR="00A22370" w:rsidRPr="007140E7">
              <w:rPr>
                <w:sz w:val="18"/>
              </w:rPr>
              <w:t xml:space="preserve"> and participants are given the option to opt-in to </w:t>
            </w:r>
            <w:r w:rsidR="001B18D9" w:rsidRPr="007140E7">
              <w:rPr>
                <w:sz w:val="18"/>
              </w:rPr>
              <w:t xml:space="preserve">voluntary </w:t>
            </w:r>
            <w:r w:rsidR="00A22370" w:rsidRPr="007140E7">
              <w:rPr>
                <w:sz w:val="18"/>
              </w:rPr>
              <w:t>IM</w:t>
            </w:r>
            <w:r w:rsidR="00596912" w:rsidRPr="007140E7">
              <w:rPr>
                <w:sz w:val="18"/>
              </w:rPr>
              <w:t>.</w:t>
            </w:r>
          </w:p>
          <w:p w14:paraId="5B39A44C" w14:textId="10E5D639" w:rsidR="000A38B9" w:rsidRPr="007140E7" w:rsidRDefault="0064390A" w:rsidP="00031DCD">
            <w:pPr>
              <w:pStyle w:val="BodyText"/>
              <w:numPr>
                <w:ilvl w:val="0"/>
                <w:numId w:val="30"/>
              </w:numPr>
              <w:rPr>
                <w:sz w:val="18"/>
              </w:rPr>
            </w:pPr>
            <w:r w:rsidRPr="007140E7">
              <w:rPr>
                <w:sz w:val="18"/>
              </w:rPr>
              <w:t>CDC participants in Cape York will revert to IM</w:t>
            </w:r>
            <w:r w:rsidR="001C0F7C" w:rsidRPr="007140E7">
              <w:rPr>
                <w:sz w:val="18"/>
              </w:rPr>
              <w:t xml:space="preserve"> if subject to a notice by the FRC</w:t>
            </w:r>
            <w:r w:rsidR="00634EC1" w:rsidRPr="007140E7">
              <w:rPr>
                <w:sz w:val="18"/>
              </w:rPr>
              <w:t>.</w:t>
            </w:r>
          </w:p>
          <w:p w14:paraId="4D60E6A7" w14:textId="7227C026" w:rsidR="000A38B9" w:rsidRPr="007140E7" w:rsidRDefault="0064390A" w:rsidP="00E6483C">
            <w:pPr>
              <w:pStyle w:val="BodyText"/>
              <w:numPr>
                <w:ilvl w:val="0"/>
                <w:numId w:val="30"/>
              </w:numPr>
              <w:rPr>
                <w:sz w:val="18"/>
              </w:rPr>
            </w:pPr>
            <w:r w:rsidRPr="007140E7">
              <w:rPr>
                <w:sz w:val="18"/>
              </w:rPr>
              <w:t xml:space="preserve">CDC participants in the NT revert back to </w:t>
            </w:r>
            <w:r w:rsidR="00BF0A6C" w:rsidRPr="007140E7">
              <w:rPr>
                <w:sz w:val="18"/>
              </w:rPr>
              <w:t xml:space="preserve">compulsory </w:t>
            </w:r>
            <w:r w:rsidRPr="007140E7">
              <w:rPr>
                <w:sz w:val="18"/>
              </w:rPr>
              <w:t>IM if they are eligible</w:t>
            </w:r>
            <w:r w:rsidR="00BF0A6C" w:rsidRPr="007140E7">
              <w:rPr>
                <w:sz w:val="18"/>
              </w:rPr>
              <w:t xml:space="preserve">, </w:t>
            </w:r>
            <w:r w:rsidR="00E6483C" w:rsidRPr="007140E7">
              <w:rPr>
                <w:sz w:val="18"/>
              </w:rPr>
              <w:t>ensuring</w:t>
            </w:r>
            <w:r w:rsidR="008B13ED" w:rsidRPr="007140E7">
              <w:rPr>
                <w:sz w:val="18"/>
              </w:rPr>
              <w:t xml:space="preserve"> the NT ha</w:t>
            </w:r>
            <w:r w:rsidR="002116A4" w:rsidRPr="007140E7">
              <w:rPr>
                <w:sz w:val="18"/>
              </w:rPr>
              <w:t>s</w:t>
            </w:r>
            <w:r w:rsidR="00E6483C" w:rsidRPr="007140E7">
              <w:rPr>
                <w:sz w:val="18"/>
              </w:rPr>
              <w:t xml:space="preserve"> a consistent and coordinated transition</w:t>
            </w:r>
            <w:r w:rsidR="008B13ED" w:rsidRPr="007140E7">
              <w:rPr>
                <w:sz w:val="18"/>
              </w:rPr>
              <w:t xml:space="preserve"> </w:t>
            </w:r>
            <w:r w:rsidR="00F050D3" w:rsidRPr="007140E7">
              <w:rPr>
                <w:sz w:val="18"/>
              </w:rPr>
              <w:t>whilst government consults on the future of IM.</w:t>
            </w:r>
          </w:p>
          <w:p w14:paraId="197D75DA" w14:textId="78F9CBDE" w:rsidR="00E61FE3" w:rsidRPr="007140E7" w:rsidRDefault="00E61FE3" w:rsidP="00E6483C">
            <w:pPr>
              <w:pStyle w:val="BodyText"/>
              <w:numPr>
                <w:ilvl w:val="0"/>
                <w:numId w:val="30"/>
              </w:numPr>
              <w:rPr>
                <w:sz w:val="18"/>
              </w:rPr>
            </w:pPr>
            <w:r w:rsidRPr="007140E7">
              <w:rPr>
                <w:sz w:val="18"/>
              </w:rPr>
              <w:t xml:space="preserve">CDC participants </w:t>
            </w:r>
            <w:r w:rsidR="002116A4" w:rsidRPr="007140E7">
              <w:rPr>
                <w:sz w:val="18"/>
              </w:rPr>
              <w:t>transitioning</w:t>
            </w:r>
            <w:r w:rsidRPr="007140E7">
              <w:rPr>
                <w:sz w:val="18"/>
              </w:rPr>
              <w:t xml:space="preserve"> </w:t>
            </w:r>
            <w:r w:rsidR="002116A4" w:rsidRPr="007140E7">
              <w:rPr>
                <w:sz w:val="18"/>
              </w:rPr>
              <w:t xml:space="preserve">to </w:t>
            </w:r>
            <w:r w:rsidR="00A14214" w:rsidRPr="007140E7">
              <w:rPr>
                <w:sz w:val="18"/>
              </w:rPr>
              <w:t>the</w:t>
            </w:r>
            <w:r w:rsidRPr="007140E7">
              <w:rPr>
                <w:sz w:val="18"/>
              </w:rPr>
              <w:t xml:space="preserve"> IM </w:t>
            </w:r>
            <w:r w:rsidR="002116A4" w:rsidRPr="007140E7">
              <w:rPr>
                <w:sz w:val="18"/>
              </w:rPr>
              <w:t xml:space="preserve">program </w:t>
            </w:r>
            <w:r w:rsidRPr="007140E7">
              <w:rPr>
                <w:sz w:val="18"/>
              </w:rPr>
              <w:t>retain a card with similar functionality as their current CDC card</w:t>
            </w:r>
            <w:r w:rsidR="00974FFF" w:rsidRPr="007140E7">
              <w:rPr>
                <w:sz w:val="18"/>
              </w:rPr>
              <w:t>.</w:t>
            </w:r>
          </w:p>
          <w:p w14:paraId="7D1EF639" w14:textId="77777777" w:rsidR="00BF0A6C" w:rsidRPr="007140E7" w:rsidRDefault="009C2F29" w:rsidP="00031DCD">
            <w:pPr>
              <w:pStyle w:val="BodyText"/>
              <w:numPr>
                <w:ilvl w:val="0"/>
                <w:numId w:val="30"/>
              </w:numPr>
              <w:rPr>
                <w:sz w:val="18"/>
              </w:rPr>
            </w:pPr>
            <w:r w:rsidRPr="007140E7">
              <w:rPr>
                <w:sz w:val="18"/>
              </w:rPr>
              <w:t>S</w:t>
            </w:r>
            <w:r w:rsidR="00A22370" w:rsidRPr="007140E7">
              <w:rPr>
                <w:sz w:val="18"/>
              </w:rPr>
              <w:t xml:space="preserve">upport </w:t>
            </w:r>
            <w:r w:rsidR="00F146AD" w:rsidRPr="007140E7">
              <w:rPr>
                <w:sz w:val="18"/>
              </w:rPr>
              <w:t xml:space="preserve">services </w:t>
            </w:r>
            <w:r w:rsidR="00A22370" w:rsidRPr="007140E7">
              <w:rPr>
                <w:sz w:val="18"/>
              </w:rPr>
              <w:t>are expanded based on co-design and community need. These services wil</w:t>
            </w:r>
            <w:r w:rsidR="00E56B5B" w:rsidRPr="007140E7">
              <w:rPr>
                <w:sz w:val="18"/>
              </w:rPr>
              <w:t>l continue beyond 30 June 2023.</w:t>
            </w:r>
          </w:p>
          <w:p w14:paraId="27D8D43B" w14:textId="77777777" w:rsidR="002C572D" w:rsidRPr="007140E7" w:rsidRDefault="00E6483C" w:rsidP="00031DCD">
            <w:pPr>
              <w:pStyle w:val="BodyText"/>
              <w:numPr>
                <w:ilvl w:val="0"/>
                <w:numId w:val="30"/>
              </w:numPr>
              <w:rPr>
                <w:sz w:val="18"/>
              </w:rPr>
            </w:pPr>
            <w:r w:rsidRPr="007140E7">
              <w:rPr>
                <w:sz w:val="18"/>
              </w:rPr>
              <w:t>New services focussing on supporting individuals and families, and enhancing community-stability will be offered from early 2023.</w:t>
            </w:r>
          </w:p>
        </w:tc>
      </w:tr>
      <w:tr w:rsidR="002C572D" w:rsidRPr="00D75D59" w14:paraId="4B06ACD0" w14:textId="77777777" w:rsidTr="002F19FE">
        <w:tc>
          <w:tcPr>
            <w:tcW w:w="1980" w:type="dxa"/>
          </w:tcPr>
          <w:p w14:paraId="320726DD" w14:textId="77777777" w:rsidR="002C572D" w:rsidRPr="00D75D59" w:rsidRDefault="002C572D" w:rsidP="00596912">
            <w:pPr>
              <w:pStyle w:val="BodyText"/>
              <w:rPr>
                <w:sz w:val="18"/>
              </w:rPr>
            </w:pPr>
            <w:r w:rsidRPr="00D75D59">
              <w:rPr>
                <w:sz w:val="18"/>
              </w:rPr>
              <w:t xml:space="preserve">IM </w:t>
            </w:r>
          </w:p>
        </w:tc>
        <w:tc>
          <w:tcPr>
            <w:tcW w:w="2977" w:type="dxa"/>
          </w:tcPr>
          <w:p w14:paraId="576AC214" w14:textId="77777777" w:rsidR="002C572D" w:rsidRPr="00D75D59" w:rsidRDefault="002C572D" w:rsidP="00BF0A6C">
            <w:pPr>
              <w:pStyle w:val="BodyText"/>
              <w:numPr>
                <w:ilvl w:val="0"/>
                <w:numId w:val="31"/>
              </w:numPr>
              <w:rPr>
                <w:sz w:val="18"/>
              </w:rPr>
            </w:pPr>
            <w:r w:rsidRPr="00D75D59">
              <w:rPr>
                <w:sz w:val="18"/>
              </w:rPr>
              <w:t xml:space="preserve">IM stays </w:t>
            </w:r>
            <w:r w:rsidR="00AD5B52" w:rsidRPr="00D75D59">
              <w:rPr>
                <w:sz w:val="18"/>
              </w:rPr>
              <w:t>with</w:t>
            </w:r>
            <w:r w:rsidRPr="00D75D59">
              <w:rPr>
                <w:sz w:val="18"/>
              </w:rPr>
              <w:t xml:space="preserve"> current policy </w:t>
            </w:r>
            <w:r w:rsidR="00BF0A6C" w:rsidRPr="00D75D59">
              <w:rPr>
                <w:sz w:val="18"/>
              </w:rPr>
              <w:t xml:space="preserve">arrangements </w:t>
            </w:r>
            <w:r w:rsidR="00A22370" w:rsidRPr="00D75D59">
              <w:rPr>
                <w:sz w:val="18"/>
              </w:rPr>
              <w:t>including the use of the BasicsCard and IM support</w:t>
            </w:r>
            <w:r w:rsidR="00596912" w:rsidRPr="00D75D59">
              <w:rPr>
                <w:sz w:val="18"/>
              </w:rPr>
              <w:t>.</w:t>
            </w:r>
          </w:p>
        </w:tc>
        <w:tc>
          <w:tcPr>
            <w:tcW w:w="5244" w:type="dxa"/>
          </w:tcPr>
          <w:p w14:paraId="35A45248" w14:textId="1F0FC14F" w:rsidR="009C2F29" w:rsidRPr="00D75D59" w:rsidRDefault="00D30CCA" w:rsidP="002F5431">
            <w:pPr>
              <w:pStyle w:val="BodyText"/>
              <w:numPr>
                <w:ilvl w:val="0"/>
                <w:numId w:val="31"/>
              </w:numPr>
              <w:rPr>
                <w:sz w:val="18"/>
              </w:rPr>
            </w:pPr>
            <w:r w:rsidRPr="00D75D59">
              <w:rPr>
                <w:sz w:val="18"/>
              </w:rPr>
              <w:t xml:space="preserve">IM is reformed to </w:t>
            </w:r>
            <w:r w:rsidR="00E6483C" w:rsidRPr="00D75D59">
              <w:rPr>
                <w:sz w:val="18"/>
              </w:rPr>
              <w:t xml:space="preserve">an </w:t>
            </w:r>
            <w:r w:rsidRPr="00D75D59">
              <w:rPr>
                <w:sz w:val="18"/>
              </w:rPr>
              <w:t xml:space="preserve">opt-in </w:t>
            </w:r>
            <w:r w:rsidR="00655EA2" w:rsidRPr="00D75D59">
              <w:rPr>
                <w:sz w:val="18"/>
              </w:rPr>
              <w:t>voluntary</w:t>
            </w:r>
            <w:r w:rsidRPr="00D75D59">
              <w:rPr>
                <w:sz w:val="18"/>
              </w:rPr>
              <w:t xml:space="preserve"> program</w:t>
            </w:r>
            <w:r w:rsidR="00000627">
              <w:rPr>
                <w:sz w:val="18"/>
              </w:rPr>
              <w:t>.*</w:t>
            </w:r>
            <w:r w:rsidR="001B5821" w:rsidRPr="00D75D59">
              <w:rPr>
                <w:sz w:val="18"/>
              </w:rPr>
              <w:t xml:space="preserve"> </w:t>
            </w:r>
            <w:r w:rsidR="009C2F29" w:rsidRPr="00D75D59">
              <w:rPr>
                <w:sz w:val="18"/>
              </w:rPr>
              <w:t>The FRC will continue to be able to place people on the program.</w:t>
            </w:r>
          </w:p>
          <w:p w14:paraId="7BF565E6" w14:textId="56A9A53B" w:rsidR="001C5C03" w:rsidRPr="00D75D59" w:rsidRDefault="00A4604F" w:rsidP="002F5431">
            <w:pPr>
              <w:pStyle w:val="BodyText"/>
              <w:numPr>
                <w:ilvl w:val="0"/>
                <w:numId w:val="31"/>
              </w:numPr>
              <w:rPr>
                <w:sz w:val="18"/>
              </w:rPr>
            </w:pPr>
            <w:r>
              <w:rPr>
                <w:sz w:val="18"/>
              </w:rPr>
              <w:t>Participants</w:t>
            </w:r>
            <w:r w:rsidR="003E56FF" w:rsidRPr="00D75D59">
              <w:rPr>
                <w:sz w:val="18"/>
              </w:rPr>
              <w:t xml:space="preserve"> </w:t>
            </w:r>
            <w:r w:rsidR="001C5C03" w:rsidRPr="00D75D59">
              <w:rPr>
                <w:sz w:val="18"/>
              </w:rPr>
              <w:t xml:space="preserve">start transitioning off </w:t>
            </w:r>
            <w:r w:rsidR="006F7419" w:rsidRPr="00D75D59">
              <w:rPr>
                <w:sz w:val="18"/>
              </w:rPr>
              <w:t xml:space="preserve">the </w:t>
            </w:r>
            <w:r w:rsidR="001C5C03" w:rsidRPr="00D75D59">
              <w:rPr>
                <w:sz w:val="18"/>
              </w:rPr>
              <w:t>compulsory IM</w:t>
            </w:r>
            <w:r w:rsidR="006F7419" w:rsidRPr="00D75D59">
              <w:rPr>
                <w:sz w:val="18"/>
              </w:rPr>
              <w:t xml:space="preserve"> program through a </w:t>
            </w:r>
            <w:r w:rsidR="00A14214">
              <w:rPr>
                <w:sz w:val="18"/>
              </w:rPr>
              <w:t>staged</w:t>
            </w:r>
            <w:r w:rsidR="006F7419" w:rsidRPr="00D75D59">
              <w:rPr>
                <w:sz w:val="18"/>
              </w:rPr>
              <w:t xml:space="preserve"> approach, </w:t>
            </w:r>
            <w:r w:rsidR="006F7419" w:rsidRPr="00D75D59">
              <w:rPr>
                <w:sz w:val="18"/>
                <w:lang w:val="en-US"/>
              </w:rPr>
              <w:t>providing participants with progressive targeted staged support</w:t>
            </w:r>
            <w:r w:rsidR="00000627">
              <w:rPr>
                <w:sz w:val="18"/>
                <w:lang w:val="en-US"/>
              </w:rPr>
              <w:t>.</w:t>
            </w:r>
            <w:r w:rsidR="00FE05BA">
              <w:rPr>
                <w:sz w:val="18"/>
                <w:lang w:val="en-US"/>
              </w:rPr>
              <w:t>*</w:t>
            </w:r>
          </w:p>
          <w:p w14:paraId="10532F47" w14:textId="31AFD397" w:rsidR="00CC6512" w:rsidRPr="007140E7" w:rsidRDefault="003E62E2" w:rsidP="00BF0A6C">
            <w:pPr>
              <w:pStyle w:val="BodyText"/>
              <w:numPr>
                <w:ilvl w:val="0"/>
                <w:numId w:val="31"/>
              </w:numPr>
              <w:rPr>
                <w:sz w:val="18"/>
              </w:rPr>
            </w:pPr>
            <w:r w:rsidRPr="007140E7">
              <w:rPr>
                <w:sz w:val="18"/>
              </w:rPr>
              <w:t xml:space="preserve">A new card with </w:t>
            </w:r>
            <w:r w:rsidR="00F050D3" w:rsidRPr="007140E7">
              <w:rPr>
                <w:sz w:val="18"/>
              </w:rPr>
              <w:t xml:space="preserve">updated </w:t>
            </w:r>
            <w:r w:rsidRPr="007140E7">
              <w:rPr>
                <w:sz w:val="18"/>
              </w:rPr>
              <w:t>technology</w:t>
            </w:r>
            <w:r w:rsidR="00E56B5B" w:rsidRPr="007140E7">
              <w:rPr>
                <w:sz w:val="18"/>
              </w:rPr>
              <w:t>*</w:t>
            </w:r>
            <w:r w:rsidR="00FE05BA" w:rsidRPr="007140E7">
              <w:rPr>
                <w:sz w:val="18"/>
              </w:rPr>
              <w:t>available</w:t>
            </w:r>
            <w:r w:rsidR="00000627">
              <w:rPr>
                <w:sz w:val="18"/>
              </w:rPr>
              <w:t xml:space="preserve"> for those of enhanced IM.</w:t>
            </w:r>
          </w:p>
          <w:p w14:paraId="6249810C" w14:textId="77777777" w:rsidR="00A7693B" w:rsidRPr="00D75D59" w:rsidRDefault="00A7693B" w:rsidP="00BF0A6C">
            <w:pPr>
              <w:pStyle w:val="BodyText"/>
              <w:numPr>
                <w:ilvl w:val="0"/>
                <w:numId w:val="31"/>
              </w:numPr>
              <w:rPr>
                <w:sz w:val="18"/>
              </w:rPr>
            </w:pPr>
            <w:r w:rsidRPr="00D75D59">
              <w:rPr>
                <w:sz w:val="18"/>
              </w:rPr>
              <w:t xml:space="preserve">Communities will be offered the option of </w:t>
            </w:r>
            <w:r w:rsidR="00A14214">
              <w:rPr>
                <w:sz w:val="18"/>
              </w:rPr>
              <w:t xml:space="preserve">working with Government on </w:t>
            </w:r>
            <w:r w:rsidR="00385F9A">
              <w:rPr>
                <w:sz w:val="18"/>
              </w:rPr>
              <w:t xml:space="preserve">their own </w:t>
            </w:r>
            <w:r w:rsidRPr="00D75D59">
              <w:rPr>
                <w:sz w:val="18"/>
              </w:rPr>
              <w:t>referral IM arrangement.*</w:t>
            </w:r>
          </w:p>
          <w:p w14:paraId="38E8836D" w14:textId="77777777" w:rsidR="00655EA2" w:rsidRPr="00D75D59" w:rsidRDefault="00CC6512" w:rsidP="00E133B9">
            <w:pPr>
              <w:pStyle w:val="BodyText"/>
              <w:numPr>
                <w:ilvl w:val="0"/>
                <w:numId w:val="31"/>
              </w:numPr>
              <w:rPr>
                <w:sz w:val="18"/>
              </w:rPr>
            </w:pPr>
            <w:r w:rsidRPr="00D75D59">
              <w:rPr>
                <w:sz w:val="18"/>
              </w:rPr>
              <w:t>Voluntary IM is expanded nationally to allow people to choose to go on the program if it benefits them.</w:t>
            </w:r>
            <w:r w:rsidR="00A7693B" w:rsidRPr="00D75D59">
              <w:rPr>
                <w:sz w:val="18"/>
              </w:rPr>
              <w:t>*</w:t>
            </w:r>
          </w:p>
        </w:tc>
      </w:tr>
      <w:tr w:rsidR="002C572D" w:rsidRPr="00D75D59" w14:paraId="7409BF63" w14:textId="77777777" w:rsidTr="002F19FE">
        <w:tc>
          <w:tcPr>
            <w:tcW w:w="1980" w:type="dxa"/>
          </w:tcPr>
          <w:p w14:paraId="5A207496" w14:textId="77777777" w:rsidR="002C572D" w:rsidRPr="00D75D59" w:rsidRDefault="002C572D" w:rsidP="00596912">
            <w:pPr>
              <w:pStyle w:val="BodyText"/>
              <w:rPr>
                <w:sz w:val="18"/>
              </w:rPr>
            </w:pPr>
            <w:r w:rsidRPr="00D75D59">
              <w:rPr>
                <w:sz w:val="18"/>
              </w:rPr>
              <w:t>Transition and communications</w:t>
            </w:r>
          </w:p>
        </w:tc>
        <w:tc>
          <w:tcPr>
            <w:tcW w:w="2977" w:type="dxa"/>
          </w:tcPr>
          <w:p w14:paraId="2A259435" w14:textId="77777777" w:rsidR="002C572D" w:rsidRPr="00D75D59" w:rsidRDefault="002C572D" w:rsidP="00031DCD">
            <w:pPr>
              <w:pStyle w:val="BodyText"/>
              <w:numPr>
                <w:ilvl w:val="0"/>
                <w:numId w:val="31"/>
              </w:numPr>
              <w:rPr>
                <w:sz w:val="18"/>
              </w:rPr>
            </w:pPr>
            <w:r w:rsidRPr="00D75D59">
              <w:rPr>
                <w:sz w:val="18"/>
              </w:rPr>
              <w:t>No transition</w:t>
            </w:r>
            <w:r w:rsidR="00596912" w:rsidRPr="00D75D59">
              <w:rPr>
                <w:sz w:val="18"/>
              </w:rPr>
              <w:t>al process</w:t>
            </w:r>
            <w:r w:rsidRPr="00D75D59">
              <w:rPr>
                <w:sz w:val="18"/>
              </w:rPr>
              <w:t xml:space="preserve"> required. </w:t>
            </w:r>
          </w:p>
          <w:p w14:paraId="7EB37670" w14:textId="6687C2EF" w:rsidR="002C572D" w:rsidRPr="00D75D59" w:rsidRDefault="00596912" w:rsidP="00031DCD">
            <w:pPr>
              <w:pStyle w:val="BodyText"/>
              <w:numPr>
                <w:ilvl w:val="0"/>
                <w:numId w:val="31"/>
              </w:numPr>
              <w:rPr>
                <w:sz w:val="18"/>
              </w:rPr>
            </w:pPr>
            <w:r w:rsidRPr="00D75D59">
              <w:rPr>
                <w:sz w:val="18"/>
              </w:rPr>
              <w:t>No change in policy therefore no communication process require</w:t>
            </w:r>
            <w:r w:rsidR="00000627">
              <w:rPr>
                <w:sz w:val="18"/>
              </w:rPr>
              <w:t>d other than business as usual.</w:t>
            </w:r>
          </w:p>
        </w:tc>
        <w:tc>
          <w:tcPr>
            <w:tcW w:w="5244" w:type="dxa"/>
          </w:tcPr>
          <w:p w14:paraId="45D3A7F0" w14:textId="77777777" w:rsidR="003E62E2" w:rsidRPr="00D75D59" w:rsidRDefault="003E62E2" w:rsidP="00031DCD">
            <w:pPr>
              <w:pStyle w:val="BodyText"/>
              <w:numPr>
                <w:ilvl w:val="0"/>
                <w:numId w:val="31"/>
              </w:numPr>
              <w:rPr>
                <w:sz w:val="18"/>
              </w:rPr>
            </w:pPr>
            <w:r w:rsidRPr="00D75D59">
              <w:rPr>
                <w:sz w:val="18"/>
              </w:rPr>
              <w:t>Staged transitional process will commence from the day after leg</w:t>
            </w:r>
            <w:r w:rsidR="00E56B5B">
              <w:rPr>
                <w:sz w:val="18"/>
              </w:rPr>
              <w:t>islation receives Royal Assent.</w:t>
            </w:r>
          </w:p>
          <w:p w14:paraId="63DE88C3" w14:textId="77777777" w:rsidR="003E62E2" w:rsidRPr="00D75D59" w:rsidRDefault="003E62E2" w:rsidP="00031DCD">
            <w:pPr>
              <w:pStyle w:val="BodyText"/>
              <w:numPr>
                <w:ilvl w:val="0"/>
                <w:numId w:val="31"/>
              </w:numPr>
              <w:rPr>
                <w:sz w:val="18"/>
              </w:rPr>
            </w:pPr>
            <w:r w:rsidRPr="00D75D59">
              <w:rPr>
                <w:sz w:val="18"/>
              </w:rPr>
              <w:t>Letters will be sent out, media channels will be used to promote the changes, and there will b</w:t>
            </w:r>
            <w:r w:rsidR="00E56B5B">
              <w:rPr>
                <w:sz w:val="18"/>
              </w:rPr>
              <w:t>e a series of community forums.</w:t>
            </w:r>
          </w:p>
          <w:p w14:paraId="6B31943A" w14:textId="77777777" w:rsidR="003E62E2" w:rsidRPr="00D75D59" w:rsidRDefault="0041662D" w:rsidP="00031DCD">
            <w:pPr>
              <w:pStyle w:val="BodyText"/>
              <w:numPr>
                <w:ilvl w:val="0"/>
                <w:numId w:val="31"/>
              </w:numPr>
              <w:rPr>
                <w:sz w:val="18"/>
              </w:rPr>
            </w:pPr>
            <w:r w:rsidRPr="00D75D59">
              <w:rPr>
                <w:sz w:val="18"/>
              </w:rPr>
              <w:t>CDC p</w:t>
            </w:r>
            <w:r w:rsidR="003E62E2" w:rsidRPr="00D75D59">
              <w:rPr>
                <w:sz w:val="18"/>
              </w:rPr>
              <w:t xml:space="preserve">articipants </w:t>
            </w:r>
            <w:r w:rsidR="0064390A" w:rsidRPr="00D75D59">
              <w:rPr>
                <w:sz w:val="18"/>
              </w:rPr>
              <w:t>can request</w:t>
            </w:r>
            <w:r w:rsidR="003E62E2" w:rsidRPr="00D75D59">
              <w:rPr>
                <w:sz w:val="18"/>
              </w:rPr>
              <w:t xml:space="preserve"> 1-on-1 face to face or telephone support to transition off cashless welfare or onto voluntary welfare.</w:t>
            </w:r>
          </w:p>
          <w:p w14:paraId="68106AC8" w14:textId="77777777" w:rsidR="00596912" w:rsidRPr="00D75D59" w:rsidRDefault="0041662D" w:rsidP="00031DCD">
            <w:pPr>
              <w:pStyle w:val="BodyText"/>
              <w:numPr>
                <w:ilvl w:val="0"/>
                <w:numId w:val="31"/>
              </w:numPr>
              <w:rPr>
                <w:sz w:val="18"/>
              </w:rPr>
            </w:pPr>
            <w:r w:rsidRPr="00D75D59">
              <w:rPr>
                <w:sz w:val="18"/>
              </w:rPr>
              <w:t>CDC p</w:t>
            </w:r>
            <w:r w:rsidR="003E62E2" w:rsidRPr="00D75D59">
              <w:rPr>
                <w:sz w:val="18"/>
              </w:rPr>
              <w:t xml:space="preserve">articipants will be transitioned </w:t>
            </w:r>
            <w:r w:rsidR="0064390A" w:rsidRPr="00D75D59">
              <w:rPr>
                <w:sz w:val="18"/>
              </w:rPr>
              <w:t xml:space="preserve">off </w:t>
            </w:r>
            <w:r w:rsidR="00E56B5B">
              <w:rPr>
                <w:sz w:val="18"/>
              </w:rPr>
              <w:t>in a staged approach.</w:t>
            </w:r>
          </w:p>
          <w:p w14:paraId="4B5AC378" w14:textId="512B5B3F" w:rsidR="009C07A0" w:rsidRPr="00000627" w:rsidRDefault="00940879" w:rsidP="00000627">
            <w:pPr>
              <w:pStyle w:val="BodyText"/>
              <w:numPr>
                <w:ilvl w:val="0"/>
                <w:numId w:val="31"/>
              </w:numPr>
              <w:rPr>
                <w:sz w:val="18"/>
              </w:rPr>
            </w:pPr>
            <w:r>
              <w:rPr>
                <w:sz w:val="18"/>
              </w:rPr>
              <w:t>Compulsory IM will cease with the Government consulting with communities on how this will be done, including community based approaches, refe</w:t>
            </w:r>
            <w:r w:rsidR="00000627">
              <w:rPr>
                <w:sz w:val="18"/>
              </w:rPr>
              <w:t>rrals and transition processes.</w:t>
            </w:r>
          </w:p>
        </w:tc>
      </w:tr>
      <w:tr w:rsidR="002C572D" w:rsidRPr="00D75D59" w14:paraId="10ACCD89" w14:textId="77777777" w:rsidTr="002F19FE">
        <w:tc>
          <w:tcPr>
            <w:tcW w:w="1980" w:type="dxa"/>
          </w:tcPr>
          <w:p w14:paraId="35002F47" w14:textId="77777777" w:rsidR="002C572D" w:rsidRPr="00D75D59" w:rsidRDefault="002C572D" w:rsidP="00596912">
            <w:pPr>
              <w:pStyle w:val="BodyText"/>
              <w:rPr>
                <w:sz w:val="18"/>
              </w:rPr>
            </w:pPr>
            <w:r w:rsidRPr="00D75D59">
              <w:rPr>
                <w:sz w:val="18"/>
              </w:rPr>
              <w:t>Government action</w:t>
            </w:r>
          </w:p>
        </w:tc>
        <w:tc>
          <w:tcPr>
            <w:tcW w:w="2977" w:type="dxa"/>
          </w:tcPr>
          <w:p w14:paraId="63228970" w14:textId="77777777" w:rsidR="00A70D6F" w:rsidRPr="00D75D59" w:rsidRDefault="00A70D6F" w:rsidP="00031DCD">
            <w:pPr>
              <w:pStyle w:val="BodyText"/>
              <w:numPr>
                <w:ilvl w:val="0"/>
                <w:numId w:val="32"/>
              </w:numPr>
              <w:rPr>
                <w:sz w:val="18"/>
              </w:rPr>
            </w:pPr>
            <w:r w:rsidRPr="00D75D59">
              <w:rPr>
                <w:sz w:val="18"/>
              </w:rPr>
              <w:t>Legislation would be needed to extend the CDC program beyond 31 December 2022.</w:t>
            </w:r>
          </w:p>
          <w:p w14:paraId="3EFF74F0" w14:textId="77777777" w:rsidR="002C572D" w:rsidRPr="00D75D59" w:rsidRDefault="00A70D6F" w:rsidP="00031DCD">
            <w:pPr>
              <w:pStyle w:val="BodyText"/>
              <w:numPr>
                <w:ilvl w:val="0"/>
                <w:numId w:val="32"/>
              </w:numPr>
              <w:rPr>
                <w:sz w:val="18"/>
              </w:rPr>
            </w:pPr>
            <w:r w:rsidRPr="00D75D59">
              <w:rPr>
                <w:sz w:val="18"/>
              </w:rPr>
              <w:t>Funding for both programs to be extended.</w:t>
            </w:r>
          </w:p>
        </w:tc>
        <w:tc>
          <w:tcPr>
            <w:tcW w:w="5244" w:type="dxa"/>
          </w:tcPr>
          <w:p w14:paraId="69360090" w14:textId="77777777" w:rsidR="003E62E2" w:rsidRPr="00D75D59" w:rsidRDefault="003E62E2" w:rsidP="00031DCD">
            <w:pPr>
              <w:pStyle w:val="BodyText"/>
              <w:numPr>
                <w:ilvl w:val="0"/>
                <w:numId w:val="33"/>
              </w:numPr>
              <w:rPr>
                <w:sz w:val="18"/>
              </w:rPr>
            </w:pPr>
            <w:r w:rsidRPr="00D75D59">
              <w:rPr>
                <w:sz w:val="18"/>
              </w:rPr>
              <w:t xml:space="preserve">Action required to </w:t>
            </w:r>
            <w:r w:rsidR="008E030A" w:rsidRPr="00D75D59">
              <w:rPr>
                <w:sz w:val="18"/>
              </w:rPr>
              <w:t>reform</w:t>
            </w:r>
            <w:r w:rsidR="003E56FF" w:rsidRPr="00D75D59">
              <w:rPr>
                <w:sz w:val="18"/>
              </w:rPr>
              <w:t xml:space="preserve"> both</w:t>
            </w:r>
            <w:r w:rsidR="008E030A" w:rsidRPr="00D75D59">
              <w:rPr>
                <w:sz w:val="18"/>
              </w:rPr>
              <w:t xml:space="preserve"> </w:t>
            </w:r>
            <w:r w:rsidRPr="00D75D59">
              <w:rPr>
                <w:sz w:val="18"/>
              </w:rPr>
              <w:t>CDC</w:t>
            </w:r>
            <w:r w:rsidR="008E030A" w:rsidRPr="00D75D59">
              <w:rPr>
                <w:sz w:val="18"/>
              </w:rPr>
              <w:t xml:space="preserve"> and IM</w:t>
            </w:r>
            <w:r w:rsidRPr="00D75D59">
              <w:rPr>
                <w:sz w:val="18"/>
              </w:rPr>
              <w:t xml:space="preserve"> legislation</w:t>
            </w:r>
            <w:r w:rsidR="00D30CCA" w:rsidRPr="00D75D59">
              <w:rPr>
                <w:sz w:val="18"/>
              </w:rPr>
              <w:t>.</w:t>
            </w:r>
          </w:p>
          <w:p w14:paraId="57C08B4C" w14:textId="25BD54BE" w:rsidR="002C572D" w:rsidRPr="00D75D59" w:rsidRDefault="003E62E2" w:rsidP="00031DCD">
            <w:pPr>
              <w:pStyle w:val="BodyText"/>
              <w:numPr>
                <w:ilvl w:val="0"/>
                <w:numId w:val="33"/>
              </w:numPr>
              <w:rPr>
                <w:sz w:val="18"/>
              </w:rPr>
            </w:pPr>
            <w:r w:rsidRPr="00D75D59">
              <w:rPr>
                <w:sz w:val="18"/>
              </w:rPr>
              <w:t>Government resources required to transition participants and merchants, and to expand support services, however this would be offset by the reduction in the scope of the program.</w:t>
            </w:r>
          </w:p>
        </w:tc>
      </w:tr>
    </w:tbl>
    <w:p w14:paraId="5055BBF6" w14:textId="77777777" w:rsidR="00884F2C" w:rsidRPr="00A7693B" w:rsidRDefault="00A7693B" w:rsidP="00A7693B">
      <w:pPr>
        <w:pStyle w:val="NormalWeb"/>
        <w:spacing w:before="0" w:beforeAutospacing="0" w:after="0" w:afterAutospacing="0"/>
        <w:rPr>
          <w:sz w:val="14"/>
        </w:rPr>
      </w:pPr>
      <w:bookmarkStart w:id="113" w:name="_Toc108008495"/>
      <w:r w:rsidRPr="00444A1A">
        <w:rPr>
          <w:sz w:val="14"/>
        </w:rPr>
        <w:t>*These are subject to further consideration by government</w:t>
      </w:r>
    </w:p>
    <w:p w14:paraId="0418B93E" w14:textId="77777777" w:rsidR="00884F2C" w:rsidRPr="00B173C0" w:rsidRDefault="00884F2C" w:rsidP="00B173C0">
      <w:pPr>
        <w:pStyle w:val="NormalWeb"/>
      </w:pPr>
      <w:r w:rsidRPr="00B173C0">
        <w:br w:type="page"/>
      </w:r>
    </w:p>
    <w:p w14:paraId="43873014" w14:textId="77777777" w:rsidR="00651F89" w:rsidRPr="005518DB" w:rsidRDefault="00651F89" w:rsidP="00651F89">
      <w:pPr>
        <w:pStyle w:val="Title"/>
        <w:rPr>
          <w:szCs w:val="52"/>
        </w:rPr>
      </w:pPr>
      <w:bookmarkStart w:id="114" w:name="_Toc118103769"/>
      <w:r w:rsidRPr="005518DB">
        <w:rPr>
          <w:szCs w:val="52"/>
        </w:rPr>
        <w:t>4. What is the likely net benefit of each option?</w:t>
      </w:r>
      <w:bookmarkEnd w:id="113"/>
      <w:bookmarkEnd w:id="114"/>
    </w:p>
    <w:p w14:paraId="344C3DB7" w14:textId="77777777" w:rsidR="00475BEE" w:rsidRPr="00025205" w:rsidRDefault="00475BEE" w:rsidP="00B65911">
      <w:pPr>
        <w:pStyle w:val="Heading2"/>
      </w:pPr>
      <w:bookmarkStart w:id="115" w:name="_Toc84009797"/>
      <w:bookmarkStart w:id="116" w:name="_Toc89955693"/>
      <w:bookmarkStart w:id="117" w:name="_Toc108008496"/>
      <w:bookmarkStart w:id="118" w:name="_Toc118103770"/>
      <w:r w:rsidRPr="00025205">
        <w:t>4.1 O</w:t>
      </w:r>
      <w:r w:rsidR="00D85A0B" w:rsidRPr="00025205">
        <w:t xml:space="preserve">ption </w:t>
      </w:r>
      <w:r w:rsidR="00E5547A">
        <w:t>1</w:t>
      </w:r>
      <w:r w:rsidR="00D85A0B" w:rsidRPr="00025205">
        <w:t xml:space="preserve"> – </w:t>
      </w:r>
      <w:r w:rsidR="00D954E2" w:rsidRPr="00025205">
        <w:t>(Status quo)</w:t>
      </w:r>
      <w:r w:rsidR="002B1DA2" w:rsidRPr="00025205">
        <w:t xml:space="preserve"> </w:t>
      </w:r>
      <w:r w:rsidR="00D85A0B" w:rsidRPr="00025205">
        <w:t>Maintain</w:t>
      </w:r>
      <w:r w:rsidR="00F95F1F" w:rsidRPr="00025205">
        <w:t xml:space="preserve"> </w:t>
      </w:r>
      <w:bookmarkEnd w:id="115"/>
      <w:bookmarkEnd w:id="116"/>
      <w:r w:rsidR="0041662D">
        <w:t xml:space="preserve">both </w:t>
      </w:r>
      <w:r w:rsidR="00D85A0B" w:rsidRPr="00025205">
        <w:t>programs</w:t>
      </w:r>
      <w:bookmarkEnd w:id="117"/>
      <w:bookmarkEnd w:id="118"/>
    </w:p>
    <w:p w14:paraId="6BE87623" w14:textId="77777777" w:rsidR="003E48A5" w:rsidRPr="009840BD" w:rsidRDefault="003E48A5" w:rsidP="003E48A5">
      <w:bookmarkStart w:id="119" w:name="_Toc84009798"/>
      <w:bookmarkStart w:id="120" w:name="_Toc89955694"/>
      <w:r w:rsidRPr="009840BD">
        <w:t xml:space="preserve">Continuing the existing CDC and </w:t>
      </w:r>
      <w:r w:rsidR="00D85A0B">
        <w:t>IM</w:t>
      </w:r>
      <w:r w:rsidRPr="009840BD">
        <w:t xml:space="preserve"> program</w:t>
      </w:r>
      <w:r w:rsidR="00D85A0B">
        <w:t>s</w:t>
      </w:r>
      <w:r w:rsidRPr="009840BD">
        <w:t xml:space="preserve"> for participants and maintaining the same service delivery arrangements with Services Australia would introduce no new regulatory impacts</w:t>
      </w:r>
      <w:r w:rsidR="009C03F5">
        <w:t>, however would extend existing impacts</w:t>
      </w:r>
      <w:r w:rsidRPr="009840BD">
        <w:t>. As such, there are no changes to the costs and benefits currently experience</w:t>
      </w:r>
      <w:r w:rsidR="00D73AA9">
        <w:t>d by each stakeholder group</w:t>
      </w:r>
      <w:r w:rsidR="00840DBB">
        <w:t xml:space="preserve"> however, </w:t>
      </w:r>
      <w:r w:rsidR="00075925">
        <w:t>t</w:t>
      </w:r>
      <w:r w:rsidR="00840DBB">
        <w:t>he existing burden of the program for participants, merchants and other stakeholders</w:t>
      </w:r>
      <w:r w:rsidR="00075925">
        <w:t xml:space="preserve"> will continue</w:t>
      </w:r>
      <w:r w:rsidR="00D73AA9">
        <w:t>.</w:t>
      </w:r>
    </w:p>
    <w:p w14:paraId="500902B1" w14:textId="77777777" w:rsidR="003E48A5" w:rsidRPr="00381C4C" w:rsidRDefault="003E48A5" w:rsidP="00B65911">
      <w:pPr>
        <w:pStyle w:val="Heading3"/>
      </w:pPr>
      <w:bookmarkStart w:id="121" w:name="_Toc99449491"/>
      <w:bookmarkStart w:id="122" w:name="_Toc108008497"/>
      <w:bookmarkStart w:id="123" w:name="_Toc118103771"/>
      <w:r w:rsidRPr="00381C4C">
        <w:t>4.1.1 Overall impacts</w:t>
      </w:r>
      <w:bookmarkEnd w:id="121"/>
      <w:bookmarkEnd w:id="122"/>
      <w:bookmarkEnd w:id="123"/>
    </w:p>
    <w:p w14:paraId="04B92263" w14:textId="77777777" w:rsidR="003E48A5" w:rsidRPr="005C7470" w:rsidRDefault="00FC667A" w:rsidP="00B65911">
      <w:pPr>
        <w:pStyle w:val="Heading4"/>
      </w:pPr>
      <w:bookmarkStart w:id="124" w:name="_Toc108008498"/>
      <w:r>
        <w:t xml:space="preserve">4.1.1.1 </w:t>
      </w:r>
      <w:r w:rsidR="003E48A5" w:rsidRPr="005C7470">
        <w:t>Participants</w:t>
      </w:r>
      <w:bookmarkEnd w:id="124"/>
    </w:p>
    <w:p w14:paraId="4D68DA86" w14:textId="77777777" w:rsidR="00923C27" w:rsidRPr="004F6A6A" w:rsidRDefault="00923C27" w:rsidP="00923C27">
      <w:pPr>
        <w:rPr>
          <w:rFonts w:ascii="Calibri" w:eastAsia="Calibri" w:hAnsi="Calibri" w:cs="Times New Roman"/>
          <w:color w:val="262626"/>
        </w:rPr>
      </w:pPr>
      <w:r w:rsidRPr="004F6A6A">
        <w:rPr>
          <w:rFonts w:ascii="Calibri" w:eastAsia="Calibri" w:hAnsi="Calibri" w:cs="Times New Roman"/>
          <w:color w:val="262626"/>
        </w:rPr>
        <w:t xml:space="preserve">There are currently over 17,300 CDC participants and </w:t>
      </w:r>
      <w:r w:rsidR="002F0AE6">
        <w:rPr>
          <w:rFonts w:ascii="Calibri" w:eastAsia="Calibri" w:hAnsi="Calibri" w:cs="Times New Roman"/>
          <w:color w:val="262626"/>
        </w:rPr>
        <w:t>nearly 25,0</w:t>
      </w:r>
      <w:r w:rsidRPr="004F6A6A">
        <w:rPr>
          <w:rFonts w:ascii="Calibri" w:eastAsia="Calibri" w:hAnsi="Calibri" w:cs="Times New Roman"/>
          <w:color w:val="262626"/>
        </w:rPr>
        <w:t>00 IM participants (as of 27 May 2022). Continuing this option under its current settings will see little change over time for the impact on participants in the program.</w:t>
      </w:r>
      <w:r>
        <w:rPr>
          <w:rFonts w:ascii="Calibri" w:eastAsia="Calibri" w:hAnsi="Calibri" w:cs="Times New Roman"/>
          <w:color w:val="262626"/>
        </w:rPr>
        <w:t xml:space="preserve"> </w:t>
      </w:r>
      <w:r w:rsidR="009C03F5">
        <w:rPr>
          <w:rFonts w:ascii="Calibri" w:eastAsia="Calibri" w:hAnsi="Calibri" w:cs="Times New Roman"/>
          <w:color w:val="262626"/>
        </w:rPr>
        <w:t>P</w:t>
      </w:r>
      <w:r>
        <w:rPr>
          <w:rFonts w:ascii="Calibri" w:eastAsia="Calibri" w:hAnsi="Calibri" w:cs="Times New Roman"/>
          <w:color w:val="262626"/>
        </w:rPr>
        <w:t xml:space="preserve">articipants from both the CDC and IM </w:t>
      </w:r>
      <w:r w:rsidR="009C03F5">
        <w:rPr>
          <w:rFonts w:ascii="Calibri" w:eastAsia="Calibri" w:hAnsi="Calibri" w:cs="Times New Roman"/>
          <w:color w:val="262626"/>
        </w:rPr>
        <w:t xml:space="preserve">program have similar </w:t>
      </w:r>
      <w:r>
        <w:rPr>
          <w:rFonts w:ascii="Calibri" w:eastAsia="Calibri" w:hAnsi="Calibri" w:cs="Times New Roman"/>
          <w:color w:val="262626"/>
        </w:rPr>
        <w:t xml:space="preserve">benefits and costs when it comes to the potential social impacts and exclusion, </w:t>
      </w:r>
      <w:r w:rsidR="009C03F5">
        <w:rPr>
          <w:rFonts w:ascii="Calibri" w:eastAsia="Calibri" w:hAnsi="Calibri" w:cs="Times New Roman"/>
          <w:color w:val="262626"/>
        </w:rPr>
        <w:t>circumventing</w:t>
      </w:r>
      <w:r>
        <w:rPr>
          <w:rFonts w:ascii="Calibri" w:eastAsia="Calibri" w:hAnsi="Calibri" w:cs="Times New Roman"/>
          <w:color w:val="262626"/>
        </w:rPr>
        <w:t xml:space="preserve"> the restrictions of th</w:t>
      </w:r>
      <w:r w:rsidR="00D30CCA">
        <w:rPr>
          <w:rFonts w:ascii="Calibri" w:eastAsia="Calibri" w:hAnsi="Calibri" w:cs="Times New Roman"/>
          <w:color w:val="262626"/>
        </w:rPr>
        <w:t xml:space="preserve">e programs and </w:t>
      </w:r>
      <w:r w:rsidR="009C03F5">
        <w:rPr>
          <w:rFonts w:ascii="Calibri" w:eastAsia="Calibri" w:hAnsi="Calibri" w:cs="Times New Roman"/>
          <w:color w:val="262626"/>
        </w:rPr>
        <w:t xml:space="preserve">perceived </w:t>
      </w:r>
      <w:r w:rsidR="00D30CCA">
        <w:rPr>
          <w:rFonts w:ascii="Calibri" w:eastAsia="Calibri" w:hAnsi="Calibri" w:cs="Times New Roman"/>
          <w:color w:val="262626"/>
        </w:rPr>
        <w:t>stigma.</w:t>
      </w:r>
    </w:p>
    <w:p w14:paraId="4A94271D" w14:textId="77777777" w:rsidR="003E48A5" w:rsidRPr="005C7470" w:rsidRDefault="003E48A5" w:rsidP="003E48A5">
      <w:pPr>
        <w:spacing w:before="120" w:after="180" w:line="276" w:lineRule="auto"/>
        <w:rPr>
          <w:rFonts w:ascii="Calibri" w:eastAsia="Calibri" w:hAnsi="Calibri" w:cs="Calibri"/>
          <w:b/>
          <w:color w:val="262626"/>
          <w:spacing w:val="4"/>
          <w:lang w:eastAsia="en-AU"/>
        </w:rPr>
      </w:pPr>
      <w:r w:rsidRPr="005C7470">
        <w:rPr>
          <w:rFonts w:ascii="Calibri" w:eastAsia="Calibri" w:hAnsi="Calibri" w:cs="Calibri"/>
          <w:b/>
          <w:color w:val="262626"/>
          <w:spacing w:val="4"/>
          <w:lang w:eastAsia="en-AU"/>
        </w:rPr>
        <w:t>Benefits</w:t>
      </w:r>
    </w:p>
    <w:p w14:paraId="30AD549C" w14:textId="77777777" w:rsidR="00AA3D0F" w:rsidRPr="002F19FE" w:rsidRDefault="00AA3D0F" w:rsidP="000A025F">
      <w:pPr>
        <w:pStyle w:val="ListParagraph"/>
        <w:numPr>
          <w:ilvl w:val="0"/>
          <w:numId w:val="35"/>
        </w:numPr>
        <w:spacing w:after="0"/>
        <w:ind w:left="643"/>
        <w:rPr>
          <w:rFonts w:ascii="Calibri" w:eastAsia="Calibri" w:hAnsi="Calibri" w:cs="Times New Roman"/>
          <w:b/>
          <w:color w:val="262626"/>
          <w:lang w:eastAsia="en-AU"/>
        </w:rPr>
      </w:pPr>
      <w:r w:rsidRPr="004F6A6A">
        <w:rPr>
          <w:rFonts w:ascii="Calibri" w:eastAsia="Calibri" w:hAnsi="Calibri" w:cs="Times New Roman"/>
          <w:b/>
          <w:color w:val="262626"/>
          <w:lang w:eastAsia="en-AU"/>
        </w:rPr>
        <w:t>Potential social impacts</w:t>
      </w:r>
      <w:r w:rsidRPr="002F19FE">
        <w:rPr>
          <w:rFonts w:ascii="Calibri" w:eastAsia="Calibri" w:hAnsi="Calibri" w:cs="Times New Roman"/>
          <w:b/>
          <w:color w:val="262626"/>
          <w:lang w:eastAsia="en-AU"/>
        </w:rPr>
        <w:t xml:space="preserve">: </w:t>
      </w:r>
      <w:r w:rsidRPr="002F19FE">
        <w:rPr>
          <w:rFonts w:ascii="Calibri" w:eastAsia="Calibri" w:hAnsi="Calibri" w:cs="Times New Roman"/>
          <w:color w:val="262626"/>
          <w:lang w:eastAsia="en-AU"/>
        </w:rPr>
        <w:t>The Second Impact Evaluation found</w:t>
      </w:r>
      <w:r w:rsidR="00637EAF" w:rsidRPr="002F19FE">
        <w:rPr>
          <w:rFonts w:ascii="Calibri" w:eastAsia="Calibri" w:hAnsi="Calibri" w:cs="Times New Roman"/>
          <w:color w:val="262626"/>
          <w:lang w:eastAsia="en-AU"/>
        </w:rPr>
        <w:t xml:space="preserve"> mixed results from the CDC program. There was</w:t>
      </w:r>
      <w:r w:rsidRPr="002F19FE">
        <w:rPr>
          <w:rFonts w:ascii="Calibri" w:eastAsia="Calibri" w:hAnsi="Calibri" w:cs="Times New Roman"/>
          <w:color w:val="262626"/>
          <w:lang w:eastAsia="en-AU"/>
        </w:rPr>
        <w:t xml:space="preserve"> some evidence of reductions in alcohol consumption and gambling, and suggestions of a reduction in the use of illicit drugs. However, the evaluators noted that analysis had been constrained by limitations of available data. The evaluators noted that a range of programs and policies impact on outcomes in CDC regions, making it </w:t>
      </w:r>
      <w:r w:rsidR="009C03F5">
        <w:rPr>
          <w:rFonts w:ascii="Calibri" w:eastAsia="Calibri" w:hAnsi="Calibri" w:cs="Times New Roman"/>
          <w:color w:val="262626"/>
          <w:lang w:eastAsia="en-AU"/>
        </w:rPr>
        <w:t>very</w:t>
      </w:r>
      <w:r w:rsidRPr="002F19FE">
        <w:rPr>
          <w:rFonts w:ascii="Calibri" w:eastAsia="Calibri" w:hAnsi="Calibri" w:cs="Times New Roman"/>
          <w:color w:val="262626"/>
          <w:lang w:eastAsia="en-AU"/>
        </w:rPr>
        <w:t xml:space="preserve"> </w:t>
      </w:r>
      <w:r w:rsidR="00D216A2">
        <w:rPr>
          <w:rFonts w:ascii="Calibri" w:eastAsia="Calibri" w:hAnsi="Calibri" w:cs="Times New Roman"/>
          <w:color w:val="262626"/>
          <w:lang w:eastAsia="en-AU"/>
        </w:rPr>
        <w:t>difficult</w:t>
      </w:r>
      <w:r w:rsidRPr="002F19FE">
        <w:rPr>
          <w:rFonts w:ascii="Calibri" w:eastAsia="Calibri" w:hAnsi="Calibri" w:cs="Times New Roman"/>
          <w:color w:val="262626"/>
          <w:lang w:eastAsia="en-AU"/>
        </w:rPr>
        <w:t xml:space="preserve"> to attribute impacts to the CDC</w:t>
      </w:r>
      <w:r w:rsidR="00FD2793">
        <w:rPr>
          <w:rFonts w:ascii="Calibri" w:eastAsia="Calibri" w:hAnsi="Calibri" w:cs="Times New Roman"/>
          <w:color w:val="262626"/>
          <w:lang w:eastAsia="en-AU"/>
        </w:rPr>
        <w:t>.</w:t>
      </w:r>
      <w:r w:rsidR="009C03F5">
        <w:rPr>
          <w:rFonts w:ascii="Calibri" w:eastAsia="Calibri" w:hAnsi="Calibri" w:cs="Times New Roman"/>
          <w:color w:val="262626"/>
          <w:lang w:eastAsia="en-AU"/>
        </w:rPr>
        <w:t xml:space="preserve"> </w:t>
      </w:r>
      <w:r w:rsidR="002F19FE" w:rsidRPr="00A1225C">
        <w:rPr>
          <w:rFonts w:ascii="Calibri" w:eastAsia="Calibri" w:hAnsi="Calibri" w:cs="Times New Roman"/>
          <w:color w:val="262626"/>
          <w:lang w:eastAsia="en-AU"/>
        </w:rPr>
        <w:t xml:space="preserve">However, </w:t>
      </w:r>
      <w:r w:rsidR="00D82E43" w:rsidRPr="00A1225C">
        <w:rPr>
          <w:rFonts w:ascii="Calibri" w:eastAsia="Calibri" w:hAnsi="Calibri" w:cs="Times New Roman"/>
          <w:color w:val="262626"/>
          <w:lang w:eastAsia="en-AU"/>
        </w:rPr>
        <w:t>t</w:t>
      </w:r>
      <w:r w:rsidR="002F19FE" w:rsidRPr="00A1225C">
        <w:rPr>
          <w:rFonts w:ascii="Calibri" w:eastAsia="Calibri" w:hAnsi="Calibri" w:cs="Times New Roman"/>
          <w:color w:val="262626"/>
          <w:lang w:eastAsia="en-AU"/>
        </w:rPr>
        <w:t>he Process and Short Term Outcomes Report</w:t>
      </w:r>
      <w:r w:rsidR="00085855" w:rsidRPr="00A1225C">
        <w:rPr>
          <w:rStyle w:val="FootnoteReference"/>
          <w:rFonts w:ascii="Calibri" w:eastAsia="Calibri" w:hAnsi="Calibri" w:cs="Times New Roman"/>
          <w:color w:val="262626"/>
          <w:lang w:eastAsia="en-AU"/>
        </w:rPr>
        <w:footnoteReference w:id="21"/>
      </w:r>
      <w:r w:rsidR="002F19FE" w:rsidRPr="00A1225C">
        <w:rPr>
          <w:rFonts w:ascii="Calibri" w:eastAsia="Calibri" w:hAnsi="Calibri" w:cs="Times New Roman"/>
          <w:color w:val="262626"/>
          <w:lang w:eastAsia="en-AU"/>
        </w:rPr>
        <w:t xml:space="preserve"> shows that some people who volunteer for </w:t>
      </w:r>
      <w:r w:rsidR="00085855" w:rsidRPr="00A1225C">
        <w:rPr>
          <w:rFonts w:ascii="Calibri" w:eastAsia="Calibri" w:hAnsi="Calibri" w:cs="Times New Roman"/>
          <w:color w:val="262626"/>
          <w:lang w:eastAsia="en-AU"/>
        </w:rPr>
        <w:t>IM</w:t>
      </w:r>
      <w:r w:rsidR="002F19FE" w:rsidRPr="00A1225C">
        <w:rPr>
          <w:rFonts w:ascii="Calibri" w:eastAsia="Calibri" w:hAnsi="Calibri" w:cs="Times New Roman"/>
          <w:color w:val="262626"/>
          <w:lang w:eastAsia="en-AU"/>
        </w:rPr>
        <w:t xml:space="preserve"> have improved their ability to manage their money and are now less likely to run out of money for food, rent or mortgage payments</w:t>
      </w:r>
      <w:r w:rsidR="002F19FE" w:rsidRPr="00A1225C">
        <w:rPr>
          <w:rFonts w:ascii="Calibri" w:eastAsia="Calibri" w:hAnsi="Calibri" w:cs="Times New Roman"/>
          <w:b/>
          <w:color w:val="262626"/>
          <w:lang w:eastAsia="en-AU"/>
        </w:rPr>
        <w:t>.</w:t>
      </w:r>
    </w:p>
    <w:p w14:paraId="0493ACAF" w14:textId="77777777" w:rsidR="00AA3D0F" w:rsidRPr="004F6A6A" w:rsidRDefault="00AA3D0F" w:rsidP="000A025F">
      <w:pPr>
        <w:pStyle w:val="ListParagraph"/>
        <w:numPr>
          <w:ilvl w:val="0"/>
          <w:numId w:val="35"/>
        </w:numPr>
        <w:spacing w:after="0"/>
        <w:ind w:left="643"/>
        <w:rPr>
          <w:rFonts w:ascii="Calibri" w:eastAsia="Calibri" w:hAnsi="Calibri" w:cs="Times New Roman"/>
          <w:color w:val="262626"/>
          <w:lang w:eastAsia="en-AU"/>
        </w:rPr>
      </w:pPr>
      <w:r w:rsidRPr="004F6A6A">
        <w:rPr>
          <w:rFonts w:ascii="Calibri" w:eastAsia="Calibri" w:hAnsi="Calibri" w:cs="Times New Roman"/>
          <w:b/>
          <w:color w:val="262626"/>
          <w:lang w:eastAsia="en-AU"/>
        </w:rPr>
        <w:t>CDC cohort will continue to benefit from technological improvements with easy access to goods and online banking</w:t>
      </w:r>
      <w:r w:rsidRPr="004F6A6A">
        <w:rPr>
          <w:rFonts w:ascii="Calibri" w:eastAsia="Calibri" w:hAnsi="Calibri" w:cs="Times New Roman"/>
          <w:color w:val="262626"/>
          <w:lang w:eastAsia="en-AU"/>
        </w:rPr>
        <w:t>: CDC participants have acces</w:t>
      </w:r>
      <w:r w:rsidR="005A75DB">
        <w:rPr>
          <w:rFonts w:ascii="Calibri" w:eastAsia="Calibri" w:hAnsi="Calibri" w:cs="Times New Roman"/>
          <w:color w:val="262626"/>
          <w:lang w:eastAsia="en-AU"/>
        </w:rPr>
        <w:t xml:space="preserve">s to more than </w:t>
      </w:r>
      <w:r w:rsidR="009C03F5">
        <w:rPr>
          <w:rFonts w:ascii="Calibri" w:eastAsia="Calibri" w:hAnsi="Calibri" w:cs="Times New Roman"/>
          <w:color w:val="262626"/>
          <w:lang w:eastAsia="en-AU"/>
        </w:rPr>
        <w:t>1 million</w:t>
      </w:r>
      <w:r w:rsidR="005A75DB">
        <w:rPr>
          <w:rFonts w:ascii="Calibri" w:eastAsia="Calibri" w:hAnsi="Calibri" w:cs="Times New Roman"/>
          <w:color w:val="262626"/>
          <w:lang w:eastAsia="en-AU"/>
        </w:rPr>
        <w:t xml:space="preserve"> merchants</w:t>
      </w:r>
      <w:r w:rsidRPr="004F6A6A">
        <w:rPr>
          <w:rFonts w:ascii="Calibri" w:eastAsia="Calibri" w:hAnsi="Calibri" w:cs="Times New Roman"/>
          <w:color w:val="262626"/>
          <w:lang w:eastAsia="en-AU"/>
        </w:rPr>
        <w:t xml:space="preserve"> in Australia and overseas. </w:t>
      </w:r>
      <w:r w:rsidR="00637EAF">
        <w:rPr>
          <w:rFonts w:ascii="Calibri" w:eastAsia="Calibri" w:hAnsi="Calibri" w:cs="Times New Roman"/>
          <w:color w:val="262626"/>
          <w:lang w:eastAsia="en-AU"/>
        </w:rPr>
        <w:t xml:space="preserve">The BasicsCard will retain </w:t>
      </w:r>
      <w:r w:rsidR="006822DE">
        <w:rPr>
          <w:rFonts w:ascii="Calibri" w:eastAsia="Calibri" w:hAnsi="Calibri" w:cs="Times New Roman"/>
          <w:color w:val="262626"/>
          <w:lang w:eastAsia="en-AU"/>
        </w:rPr>
        <w:t>its</w:t>
      </w:r>
      <w:r w:rsidR="00637EAF">
        <w:rPr>
          <w:rFonts w:ascii="Calibri" w:eastAsia="Calibri" w:hAnsi="Calibri" w:cs="Times New Roman"/>
          <w:color w:val="262626"/>
          <w:lang w:eastAsia="en-AU"/>
        </w:rPr>
        <w:t xml:space="preserve"> current functionality and a restricted number of merchant</w:t>
      </w:r>
      <w:r w:rsidR="00E7007C">
        <w:rPr>
          <w:rFonts w:ascii="Calibri" w:eastAsia="Calibri" w:hAnsi="Calibri" w:cs="Times New Roman"/>
          <w:color w:val="262626"/>
          <w:lang w:eastAsia="en-AU"/>
        </w:rPr>
        <w:t xml:space="preserve">s </w:t>
      </w:r>
      <w:r w:rsidR="007109F8">
        <w:rPr>
          <w:rFonts w:ascii="Calibri" w:eastAsia="Calibri" w:hAnsi="Calibri" w:cs="Times New Roman"/>
          <w:color w:val="262626"/>
          <w:lang w:eastAsia="en-AU"/>
        </w:rPr>
        <w:t xml:space="preserve">from whom </w:t>
      </w:r>
      <w:r w:rsidR="00E7007C">
        <w:rPr>
          <w:rFonts w:ascii="Calibri" w:eastAsia="Calibri" w:hAnsi="Calibri" w:cs="Times New Roman"/>
          <w:color w:val="262626"/>
          <w:lang w:eastAsia="en-AU"/>
        </w:rPr>
        <w:t>they can purchase goods.</w:t>
      </w:r>
    </w:p>
    <w:p w14:paraId="3054580B" w14:textId="77777777" w:rsidR="00AA3D0F" w:rsidRPr="00920AC1" w:rsidRDefault="00AA3D0F" w:rsidP="000A025F">
      <w:pPr>
        <w:pStyle w:val="ListParagraph"/>
        <w:numPr>
          <w:ilvl w:val="0"/>
          <w:numId w:val="35"/>
        </w:numPr>
        <w:spacing w:after="0"/>
        <w:ind w:left="643"/>
        <w:rPr>
          <w:rFonts w:ascii="Calibri" w:eastAsia="Calibri" w:hAnsi="Calibri" w:cs="Times New Roman"/>
          <w:color w:val="262626"/>
          <w:lang w:eastAsia="en-AU"/>
        </w:rPr>
      </w:pPr>
      <w:r w:rsidRPr="004F6A6A">
        <w:rPr>
          <w:rFonts w:ascii="Calibri" w:eastAsia="Calibri" w:hAnsi="Calibri" w:cs="Times New Roman"/>
          <w:b/>
          <w:color w:val="262626"/>
          <w:lang w:eastAsia="en-AU"/>
        </w:rPr>
        <w:t xml:space="preserve">Participants can stay on a </w:t>
      </w:r>
      <w:r>
        <w:rPr>
          <w:rFonts w:ascii="Calibri" w:eastAsia="Calibri" w:hAnsi="Calibri" w:cs="Times New Roman"/>
          <w:b/>
          <w:color w:val="262626"/>
          <w:lang w:eastAsia="en-AU"/>
        </w:rPr>
        <w:t xml:space="preserve">familiar </w:t>
      </w:r>
      <w:r w:rsidRPr="004F6A6A">
        <w:rPr>
          <w:rFonts w:ascii="Calibri" w:eastAsia="Calibri" w:hAnsi="Calibri" w:cs="Times New Roman"/>
          <w:b/>
          <w:color w:val="262626"/>
          <w:lang w:eastAsia="en-AU"/>
        </w:rPr>
        <w:t>program</w:t>
      </w:r>
      <w:r w:rsidRPr="004F6A6A">
        <w:rPr>
          <w:rFonts w:ascii="Calibri" w:eastAsia="Calibri" w:hAnsi="Calibri" w:cs="Times New Roman"/>
          <w:color w:val="262626"/>
          <w:lang w:eastAsia="en-AU"/>
        </w:rPr>
        <w:t xml:space="preserve">: </w:t>
      </w:r>
      <w:r w:rsidR="009C03F5">
        <w:rPr>
          <w:rFonts w:ascii="Calibri" w:eastAsia="Calibri" w:hAnsi="Calibri" w:cs="Times New Roman"/>
          <w:color w:val="262626"/>
          <w:lang w:eastAsia="en-AU"/>
        </w:rPr>
        <w:t>C</w:t>
      </w:r>
      <w:r>
        <w:rPr>
          <w:rFonts w:ascii="Calibri" w:eastAsia="Calibri" w:hAnsi="Calibri" w:cs="Times New Roman"/>
          <w:color w:val="262626"/>
          <w:lang w:eastAsia="en-AU"/>
        </w:rPr>
        <w:t>ontinuing b</w:t>
      </w:r>
      <w:r w:rsidRPr="004F6A6A">
        <w:rPr>
          <w:rFonts w:ascii="Calibri" w:eastAsia="Calibri" w:hAnsi="Calibri" w:cs="Times New Roman"/>
          <w:color w:val="262626"/>
          <w:lang w:eastAsia="en-AU"/>
        </w:rPr>
        <w:t xml:space="preserve">oth </w:t>
      </w:r>
      <w:r w:rsidR="009C03F5">
        <w:rPr>
          <w:rFonts w:ascii="Calibri" w:eastAsia="Calibri" w:hAnsi="Calibri" w:cs="Times New Roman"/>
          <w:color w:val="262626"/>
          <w:lang w:eastAsia="en-AU"/>
        </w:rPr>
        <w:t>programs</w:t>
      </w:r>
      <w:r w:rsidRPr="004F6A6A">
        <w:rPr>
          <w:rFonts w:ascii="Calibri" w:eastAsia="Calibri" w:hAnsi="Calibri" w:cs="Times New Roman"/>
          <w:color w:val="262626"/>
          <w:lang w:eastAsia="en-AU"/>
        </w:rPr>
        <w:t xml:space="preserve"> would not require </w:t>
      </w:r>
      <w:r>
        <w:rPr>
          <w:rFonts w:ascii="Calibri" w:eastAsia="Calibri" w:hAnsi="Calibri" w:cs="Times New Roman"/>
          <w:color w:val="262626"/>
          <w:lang w:eastAsia="en-AU"/>
        </w:rPr>
        <w:t xml:space="preserve">participants </w:t>
      </w:r>
      <w:r w:rsidRPr="004F6A6A">
        <w:rPr>
          <w:rFonts w:ascii="Calibri" w:eastAsia="Calibri" w:hAnsi="Calibri" w:cs="Times New Roman"/>
          <w:color w:val="262626"/>
          <w:lang w:eastAsia="en-AU"/>
        </w:rPr>
        <w:t xml:space="preserve">to engage with transitioning from </w:t>
      </w:r>
      <w:r>
        <w:rPr>
          <w:rFonts w:ascii="Calibri" w:eastAsia="Calibri" w:hAnsi="Calibri" w:cs="Times New Roman"/>
          <w:color w:val="262626"/>
          <w:lang w:eastAsia="en-AU"/>
        </w:rPr>
        <w:t xml:space="preserve">one program to another </w:t>
      </w:r>
      <w:r w:rsidRPr="004F6A6A">
        <w:rPr>
          <w:rFonts w:ascii="Calibri" w:eastAsia="Calibri" w:hAnsi="Calibri" w:cs="Times New Roman"/>
          <w:color w:val="262626"/>
          <w:lang w:eastAsia="en-AU"/>
        </w:rPr>
        <w:t>or to a new service</w:t>
      </w:r>
      <w:r>
        <w:rPr>
          <w:rFonts w:ascii="Calibri" w:eastAsia="Calibri" w:hAnsi="Calibri" w:cs="Times New Roman"/>
          <w:color w:val="262626"/>
          <w:lang w:eastAsia="en-AU"/>
        </w:rPr>
        <w:t xml:space="preserve">. This means </w:t>
      </w:r>
      <w:r w:rsidRPr="004F6A6A">
        <w:rPr>
          <w:rFonts w:ascii="Calibri" w:eastAsia="Calibri" w:hAnsi="Calibri" w:cs="Times New Roman"/>
          <w:color w:val="262626"/>
          <w:lang w:eastAsia="en-AU"/>
        </w:rPr>
        <w:t>there will be no time cost associated with these types of activities for option 1.</w:t>
      </w:r>
      <w:r>
        <w:rPr>
          <w:rFonts w:ascii="Calibri" w:eastAsia="Calibri" w:hAnsi="Calibri" w:cs="Times New Roman"/>
          <w:color w:val="262626"/>
          <w:lang w:eastAsia="en-AU"/>
        </w:rPr>
        <w:t xml:space="preserve"> </w:t>
      </w:r>
      <w:r w:rsidR="007109F8">
        <w:rPr>
          <w:rFonts w:ascii="Calibri" w:eastAsia="Calibri" w:hAnsi="Calibri" w:cs="Times New Roman"/>
          <w:color w:val="262626"/>
          <w:lang w:eastAsia="en-AU"/>
        </w:rPr>
        <w:t>C</w:t>
      </w:r>
      <w:r w:rsidRPr="004F6A6A">
        <w:rPr>
          <w:rFonts w:ascii="Calibri" w:eastAsia="Calibri" w:hAnsi="Calibri" w:cs="Times New Roman"/>
          <w:color w:val="262626"/>
          <w:lang w:eastAsia="en-AU"/>
        </w:rPr>
        <w:t xml:space="preserve">urrent </w:t>
      </w:r>
      <w:r w:rsidRPr="00920AC1">
        <w:rPr>
          <w:rFonts w:ascii="Calibri" w:eastAsia="Calibri" w:hAnsi="Calibri" w:cs="Times New Roman"/>
          <w:color w:val="262626"/>
          <w:lang w:eastAsia="en-AU"/>
        </w:rPr>
        <w:t xml:space="preserve">consultations </w:t>
      </w:r>
      <w:r w:rsidR="0059021D" w:rsidRPr="00920AC1">
        <w:rPr>
          <w:rFonts w:ascii="Calibri" w:eastAsia="Calibri" w:hAnsi="Calibri" w:cs="Times New Roman"/>
          <w:color w:val="262626"/>
          <w:lang w:eastAsia="en-AU"/>
        </w:rPr>
        <w:t xml:space="preserve">have indicated </w:t>
      </w:r>
      <w:r w:rsidR="007109F8">
        <w:rPr>
          <w:rFonts w:ascii="Calibri" w:eastAsia="Calibri" w:hAnsi="Calibri" w:cs="Times New Roman"/>
          <w:color w:val="262626"/>
          <w:lang w:eastAsia="en-AU"/>
        </w:rPr>
        <w:t>that the majority of participants do</w:t>
      </w:r>
      <w:r w:rsidRPr="00920AC1">
        <w:rPr>
          <w:rFonts w:ascii="Calibri" w:eastAsia="Calibri" w:hAnsi="Calibri" w:cs="Times New Roman"/>
          <w:color w:val="262626"/>
          <w:lang w:eastAsia="en-AU"/>
        </w:rPr>
        <w:t xml:space="preserve"> not want to be on the CDC program and </w:t>
      </w:r>
      <w:r w:rsidR="007109F8">
        <w:rPr>
          <w:rFonts w:ascii="Calibri" w:eastAsia="Calibri" w:hAnsi="Calibri" w:cs="Times New Roman"/>
          <w:color w:val="262626"/>
          <w:lang w:eastAsia="en-AU"/>
        </w:rPr>
        <w:t>those who may wish to retain some form of income management would like some choice as to the type of card and program they engage with.</w:t>
      </w:r>
    </w:p>
    <w:p w14:paraId="2EC266C1" w14:textId="77777777" w:rsidR="003E48A5" w:rsidRPr="00D73AA9" w:rsidRDefault="003E48A5" w:rsidP="003E48A5">
      <w:pPr>
        <w:spacing w:before="120" w:after="180" w:line="276" w:lineRule="auto"/>
        <w:rPr>
          <w:rFonts w:ascii="Calibri" w:eastAsia="Calibri" w:hAnsi="Calibri" w:cs="Calibri"/>
          <w:b/>
          <w:color w:val="262626"/>
          <w:spacing w:val="4"/>
          <w:lang w:eastAsia="en-AU"/>
        </w:rPr>
      </w:pPr>
      <w:r w:rsidRPr="00D73AA9">
        <w:rPr>
          <w:rFonts w:ascii="Calibri" w:eastAsia="Calibri" w:hAnsi="Calibri" w:cs="Calibri"/>
          <w:b/>
          <w:color w:val="262626"/>
          <w:spacing w:val="4"/>
          <w:lang w:eastAsia="en-AU"/>
        </w:rPr>
        <w:t>Costs</w:t>
      </w:r>
    </w:p>
    <w:p w14:paraId="72ECBBE6" w14:textId="77777777" w:rsidR="00AA3D0F" w:rsidRPr="00104B38" w:rsidRDefault="007109F8" w:rsidP="00104B38">
      <w:pPr>
        <w:pStyle w:val="ListParagraph"/>
        <w:numPr>
          <w:ilvl w:val="0"/>
          <w:numId w:val="35"/>
        </w:numPr>
        <w:spacing w:after="0"/>
        <w:ind w:left="643"/>
        <w:rPr>
          <w:rFonts w:ascii="Calibri" w:eastAsia="Calibri" w:hAnsi="Calibri" w:cs="Times New Roman"/>
          <w:b/>
          <w:color w:val="262626"/>
          <w:lang w:eastAsia="en-AU"/>
        </w:rPr>
      </w:pPr>
      <w:r>
        <w:rPr>
          <w:rFonts w:ascii="Calibri" w:eastAsia="Calibri" w:hAnsi="Calibri" w:cs="Times New Roman"/>
          <w:b/>
          <w:color w:val="262626"/>
          <w:lang w:eastAsia="en-AU"/>
        </w:rPr>
        <w:t>Negative perception</w:t>
      </w:r>
      <w:r w:rsidR="00AA3D0F" w:rsidRPr="00137038">
        <w:rPr>
          <w:rFonts w:ascii="Calibri" w:eastAsia="Calibri" w:hAnsi="Calibri" w:cs="Times New Roman"/>
          <w:b/>
          <w:color w:val="262626"/>
          <w:lang w:eastAsia="en-AU"/>
        </w:rPr>
        <w:t xml:space="preserve"> and stigma</w:t>
      </w:r>
      <w:r w:rsidR="00AA3D0F" w:rsidRPr="00104B38">
        <w:rPr>
          <w:rFonts w:ascii="Calibri" w:eastAsia="Calibri" w:hAnsi="Calibri" w:cs="Times New Roman"/>
          <w:b/>
          <w:color w:val="262626"/>
          <w:lang w:eastAsia="en-AU"/>
        </w:rPr>
        <w:t xml:space="preserve">: </w:t>
      </w:r>
      <w:r w:rsidR="00AA3D0F" w:rsidRPr="00104B38">
        <w:rPr>
          <w:rFonts w:ascii="Calibri" w:eastAsia="Calibri" w:hAnsi="Calibri" w:cs="Times New Roman"/>
          <w:color w:val="262626"/>
          <w:lang w:eastAsia="en-AU"/>
        </w:rPr>
        <w:t xml:space="preserve">Many participants do not want to be </w:t>
      </w:r>
      <w:r w:rsidR="00957567" w:rsidRPr="00104B38">
        <w:rPr>
          <w:rFonts w:ascii="Calibri" w:eastAsia="Calibri" w:hAnsi="Calibri" w:cs="Times New Roman"/>
          <w:color w:val="262626"/>
          <w:lang w:eastAsia="en-AU"/>
        </w:rPr>
        <w:t xml:space="preserve">on the </w:t>
      </w:r>
      <w:r w:rsidR="00AA3D0F" w:rsidRPr="00104B38">
        <w:rPr>
          <w:rFonts w:ascii="Calibri" w:eastAsia="Calibri" w:hAnsi="Calibri" w:cs="Times New Roman"/>
          <w:color w:val="262626"/>
          <w:lang w:eastAsia="en-AU"/>
        </w:rPr>
        <w:t>program</w:t>
      </w:r>
      <w:r w:rsidR="00957567" w:rsidRPr="00104B38">
        <w:rPr>
          <w:rFonts w:ascii="Calibri" w:eastAsia="Calibri" w:hAnsi="Calibri" w:cs="Times New Roman"/>
          <w:color w:val="262626"/>
          <w:lang w:eastAsia="en-AU"/>
        </w:rPr>
        <w:t>s</w:t>
      </w:r>
      <w:r w:rsidR="00AA3D0F" w:rsidRPr="00104B38">
        <w:rPr>
          <w:rFonts w:ascii="Calibri" w:eastAsia="Calibri" w:hAnsi="Calibri" w:cs="Times New Roman"/>
          <w:color w:val="262626"/>
          <w:lang w:eastAsia="en-AU"/>
        </w:rPr>
        <w:t xml:space="preserve"> and report feelings of discrimination and a lack of autonomy. The CDC program has widely been criticised that it ‘paints everyone with the same brush’ because of the compulsory nature and eligibility is at a </w:t>
      </w:r>
      <w:r>
        <w:rPr>
          <w:rFonts w:ascii="Calibri" w:eastAsia="Calibri" w:hAnsi="Calibri" w:cs="Times New Roman"/>
          <w:color w:val="262626"/>
          <w:lang w:eastAsia="en-AU"/>
        </w:rPr>
        <w:t xml:space="preserve">geographical level </w:t>
      </w:r>
      <w:r w:rsidR="00AA3D0F" w:rsidRPr="00104B38">
        <w:rPr>
          <w:rFonts w:ascii="Calibri" w:eastAsia="Calibri" w:hAnsi="Calibri" w:cs="Times New Roman"/>
          <w:color w:val="262626"/>
          <w:lang w:eastAsia="en-AU"/>
        </w:rPr>
        <w:t xml:space="preserve">and not </w:t>
      </w:r>
      <w:r>
        <w:rPr>
          <w:rFonts w:ascii="Calibri" w:eastAsia="Calibri" w:hAnsi="Calibri" w:cs="Times New Roman"/>
          <w:color w:val="262626"/>
          <w:lang w:eastAsia="en-AU"/>
        </w:rPr>
        <w:t xml:space="preserve">based on </w:t>
      </w:r>
      <w:r w:rsidR="00AA3D0F" w:rsidRPr="00104B38">
        <w:rPr>
          <w:rFonts w:ascii="Calibri" w:eastAsia="Calibri" w:hAnsi="Calibri" w:cs="Times New Roman"/>
          <w:color w:val="262626"/>
          <w:lang w:eastAsia="en-AU"/>
        </w:rPr>
        <w:t>individual personal circumstances</w:t>
      </w:r>
      <w:r>
        <w:rPr>
          <w:rFonts w:ascii="Calibri" w:eastAsia="Calibri" w:hAnsi="Calibri" w:cs="Times New Roman"/>
          <w:color w:val="262626"/>
          <w:lang w:eastAsia="en-AU"/>
        </w:rPr>
        <w:t xml:space="preserve"> or need</w:t>
      </w:r>
      <w:r w:rsidR="00AA3D0F" w:rsidRPr="00104B38">
        <w:rPr>
          <w:rFonts w:ascii="Calibri" w:eastAsia="Calibri" w:hAnsi="Calibri" w:cs="Times New Roman"/>
          <w:color w:val="262626"/>
          <w:lang w:eastAsia="en-AU"/>
        </w:rPr>
        <w:t xml:space="preserve">. </w:t>
      </w:r>
      <w:r w:rsidR="004D55DC" w:rsidRPr="00104B38">
        <w:rPr>
          <w:rFonts w:ascii="Calibri" w:eastAsia="Calibri" w:hAnsi="Calibri" w:cs="Times New Roman"/>
          <w:color w:val="262626"/>
          <w:lang w:eastAsia="en-AU"/>
        </w:rPr>
        <w:t xml:space="preserve">Current consultation also reported that </w:t>
      </w:r>
      <w:r w:rsidR="00D30CCA" w:rsidRPr="00104B38">
        <w:rPr>
          <w:rFonts w:ascii="Calibri" w:eastAsia="Calibri" w:hAnsi="Calibri" w:cs="Times New Roman"/>
          <w:color w:val="262626"/>
          <w:lang w:eastAsia="en-AU"/>
        </w:rPr>
        <w:t xml:space="preserve">people felt </w:t>
      </w:r>
      <w:r w:rsidR="004D55DC" w:rsidRPr="00104B38">
        <w:rPr>
          <w:rFonts w:ascii="Calibri" w:eastAsia="Calibri" w:hAnsi="Calibri" w:cs="Times New Roman"/>
          <w:color w:val="262626"/>
          <w:lang w:eastAsia="en-AU"/>
        </w:rPr>
        <w:t xml:space="preserve">the use of the card </w:t>
      </w:r>
      <w:r w:rsidR="00D30CCA" w:rsidRPr="00104B38">
        <w:rPr>
          <w:rFonts w:ascii="Calibri" w:eastAsia="Calibri" w:hAnsi="Calibri" w:cs="Times New Roman"/>
          <w:color w:val="262626"/>
          <w:lang w:eastAsia="en-AU"/>
        </w:rPr>
        <w:t xml:space="preserve">led to </w:t>
      </w:r>
      <w:r w:rsidR="00957567" w:rsidRPr="00104B38">
        <w:rPr>
          <w:rFonts w:ascii="Calibri" w:eastAsia="Calibri" w:hAnsi="Calibri" w:cs="Times New Roman"/>
          <w:color w:val="262626"/>
          <w:lang w:eastAsia="en-AU"/>
        </w:rPr>
        <w:t>negative perceptions of their willingness to work</w:t>
      </w:r>
      <w:r>
        <w:rPr>
          <w:rFonts w:ascii="Calibri" w:eastAsia="Calibri" w:hAnsi="Calibri" w:cs="Times New Roman"/>
          <w:color w:val="262626"/>
          <w:lang w:eastAsia="en-AU"/>
        </w:rPr>
        <w:t>, and assumptions that they were at</w:t>
      </w:r>
      <w:r w:rsidR="00FD2793">
        <w:rPr>
          <w:rFonts w:ascii="Calibri" w:eastAsia="Calibri" w:hAnsi="Calibri" w:cs="Times New Roman"/>
          <w:color w:val="262626"/>
          <w:lang w:eastAsia="en-AU"/>
        </w:rPr>
        <w:t xml:space="preserve"> risk of antisocial behaviour. </w:t>
      </w:r>
      <w:r w:rsidR="00D82E43" w:rsidRPr="00104B38">
        <w:rPr>
          <w:rFonts w:ascii="Calibri" w:eastAsia="Calibri" w:hAnsi="Calibri" w:cs="Times New Roman"/>
          <w:color w:val="262626"/>
          <w:lang w:eastAsia="en-AU"/>
        </w:rPr>
        <w:t>IM evaluations show that compulsory participants</w:t>
      </w:r>
      <w:r w:rsidR="004A361B" w:rsidRPr="00104B38">
        <w:rPr>
          <w:rFonts w:ascii="Calibri" w:eastAsia="Calibri" w:hAnsi="Calibri" w:cs="Times New Roman"/>
          <w:color w:val="262626"/>
          <w:lang w:eastAsia="en-AU"/>
        </w:rPr>
        <w:t xml:space="preserve"> were more likely to report that they felt embarrassed and judged when using the BasicsCard compared with voluntary IM participants.</w:t>
      </w:r>
    </w:p>
    <w:p w14:paraId="7EF152D3" w14:textId="77777777" w:rsidR="00AA3D0F" w:rsidRDefault="00AA3D0F" w:rsidP="000A025F">
      <w:pPr>
        <w:pStyle w:val="ListParagraph"/>
        <w:numPr>
          <w:ilvl w:val="0"/>
          <w:numId w:val="36"/>
        </w:numPr>
        <w:spacing w:after="0"/>
        <w:ind w:left="643"/>
        <w:rPr>
          <w:rFonts w:ascii="Calibri" w:eastAsia="Calibri" w:hAnsi="Calibri" w:cs="Times New Roman"/>
          <w:color w:val="262626"/>
          <w:lang w:eastAsia="en-AU"/>
        </w:rPr>
      </w:pPr>
      <w:r w:rsidRPr="004F6A6A">
        <w:rPr>
          <w:rFonts w:ascii="Calibri" w:eastAsia="Calibri" w:hAnsi="Calibri" w:cs="Times New Roman"/>
          <w:b/>
          <w:color w:val="262626"/>
          <w:lang w:eastAsia="en-AU"/>
        </w:rPr>
        <w:t>Time cost for</w:t>
      </w:r>
      <w:r w:rsidR="00CF0290">
        <w:rPr>
          <w:rFonts w:ascii="Calibri" w:eastAsia="Calibri" w:hAnsi="Calibri" w:cs="Times New Roman"/>
          <w:b/>
          <w:color w:val="262626"/>
          <w:lang w:eastAsia="en-AU"/>
        </w:rPr>
        <w:t xml:space="preserve"> </w:t>
      </w:r>
      <w:r w:rsidRPr="004F6A6A">
        <w:rPr>
          <w:rFonts w:ascii="Calibri" w:eastAsia="Calibri" w:hAnsi="Calibri" w:cs="Times New Roman"/>
          <w:b/>
          <w:color w:val="262626"/>
          <w:lang w:eastAsia="en-AU"/>
        </w:rPr>
        <w:t>participants</w:t>
      </w:r>
      <w:r w:rsidR="00CF0290">
        <w:rPr>
          <w:rFonts w:ascii="Calibri" w:eastAsia="Calibri" w:hAnsi="Calibri" w:cs="Times New Roman"/>
          <w:b/>
          <w:color w:val="262626"/>
          <w:lang w:eastAsia="en-AU"/>
        </w:rPr>
        <w:t xml:space="preserve"> joining </w:t>
      </w:r>
      <w:r w:rsidR="004A361B">
        <w:rPr>
          <w:rFonts w:ascii="Calibri" w:eastAsia="Calibri" w:hAnsi="Calibri" w:cs="Times New Roman"/>
          <w:b/>
          <w:color w:val="262626"/>
          <w:lang w:eastAsia="en-AU"/>
        </w:rPr>
        <w:t>the existing programs</w:t>
      </w:r>
      <w:r w:rsidRPr="004F6A6A">
        <w:rPr>
          <w:rFonts w:ascii="Calibri" w:eastAsia="Calibri" w:hAnsi="Calibri" w:cs="Times New Roman"/>
          <w:color w:val="262626"/>
          <w:lang w:eastAsia="en-AU"/>
        </w:rPr>
        <w:t>: there will be a cost associated for new participants to adjust to making purchases by cash and card. People who need access to cash would have to ensure they use the card for the purchase of unrestricted goods. That is, everything except alcohol, gambling products and cash like products such as unrestricted gift cards. This will free up the maximum amount of cash available to spend each fortnight. For some people this may be easier</w:t>
      </w:r>
      <w:r>
        <w:rPr>
          <w:rFonts w:ascii="Calibri" w:eastAsia="Calibri" w:hAnsi="Calibri" w:cs="Times New Roman"/>
          <w:color w:val="262626"/>
          <w:lang w:eastAsia="en-AU"/>
        </w:rPr>
        <w:t xml:space="preserve"> than others </w:t>
      </w:r>
      <w:r w:rsidRPr="004F6A6A">
        <w:rPr>
          <w:rFonts w:ascii="Calibri" w:eastAsia="Calibri" w:hAnsi="Calibri" w:cs="Times New Roman"/>
          <w:color w:val="262626"/>
          <w:lang w:eastAsia="en-AU"/>
        </w:rPr>
        <w:t xml:space="preserve">particularly </w:t>
      </w:r>
      <w:r>
        <w:rPr>
          <w:rFonts w:ascii="Calibri" w:eastAsia="Calibri" w:hAnsi="Calibri" w:cs="Times New Roman"/>
          <w:color w:val="262626"/>
          <w:lang w:eastAsia="en-AU"/>
        </w:rPr>
        <w:t xml:space="preserve">those </w:t>
      </w:r>
      <w:r w:rsidRPr="004F6A6A">
        <w:rPr>
          <w:rFonts w:ascii="Calibri" w:eastAsia="Calibri" w:hAnsi="Calibri" w:cs="Times New Roman"/>
          <w:color w:val="262626"/>
          <w:lang w:eastAsia="en-AU"/>
        </w:rPr>
        <w:t>younger cohorts.</w:t>
      </w:r>
    </w:p>
    <w:p w14:paraId="0B0354A1" w14:textId="77777777" w:rsidR="00AA3D0F" w:rsidRPr="00653514" w:rsidRDefault="00AA3D0F" w:rsidP="000A025F">
      <w:pPr>
        <w:pStyle w:val="ListParagraph"/>
        <w:numPr>
          <w:ilvl w:val="0"/>
          <w:numId w:val="36"/>
        </w:numPr>
        <w:spacing w:after="0"/>
        <w:ind w:left="643"/>
        <w:rPr>
          <w:rFonts w:ascii="Calibri" w:eastAsia="Calibri" w:hAnsi="Calibri" w:cs="Times New Roman"/>
          <w:color w:val="262626"/>
          <w:lang w:eastAsia="en-AU"/>
        </w:rPr>
      </w:pPr>
      <w:r w:rsidRPr="00653514">
        <w:rPr>
          <w:rFonts w:ascii="Calibri" w:eastAsia="Calibri" w:hAnsi="Calibri" w:cs="Times New Roman"/>
          <w:b/>
          <w:color w:val="262626"/>
          <w:lang w:eastAsia="en-AU"/>
        </w:rPr>
        <w:t>The BasicsCard technology is not user friendly</w:t>
      </w:r>
      <w:r w:rsidRPr="00653514">
        <w:rPr>
          <w:rFonts w:ascii="Calibri" w:eastAsia="Calibri" w:hAnsi="Calibri" w:cs="Times New Roman"/>
          <w:color w:val="262626"/>
          <w:lang w:eastAsia="en-AU"/>
        </w:rPr>
        <w:t xml:space="preserve">: </w:t>
      </w:r>
      <w:r w:rsidR="00957567" w:rsidRPr="00653514">
        <w:rPr>
          <w:rFonts w:ascii="Calibri" w:eastAsia="Calibri" w:hAnsi="Calibri" w:cs="Times New Roman"/>
          <w:color w:val="262626"/>
          <w:lang w:eastAsia="en-AU"/>
        </w:rPr>
        <w:t xml:space="preserve">BasicsCard </w:t>
      </w:r>
      <w:r w:rsidRPr="00653514">
        <w:rPr>
          <w:rFonts w:ascii="Calibri" w:eastAsia="Calibri" w:hAnsi="Calibri" w:cs="Times New Roman"/>
          <w:color w:val="262626"/>
          <w:lang w:eastAsia="en-AU"/>
        </w:rPr>
        <w:t>technology has not kept up with the significant advancements in</w:t>
      </w:r>
      <w:r w:rsidR="00957567">
        <w:rPr>
          <w:rFonts w:ascii="Calibri" w:eastAsia="Calibri" w:hAnsi="Calibri" w:cs="Times New Roman"/>
          <w:color w:val="262626"/>
          <w:lang w:eastAsia="en-AU"/>
        </w:rPr>
        <w:t xml:space="preserve"> card </w:t>
      </w:r>
      <w:r w:rsidRPr="00653514">
        <w:rPr>
          <w:rFonts w:ascii="Calibri" w:eastAsia="Calibri" w:hAnsi="Calibri" w:cs="Times New Roman"/>
          <w:color w:val="262626"/>
          <w:lang w:eastAsia="en-AU"/>
        </w:rPr>
        <w:t>functionality. IM participants do not have access to a range of mainstream banking functions</w:t>
      </w:r>
      <w:r w:rsidR="00957567">
        <w:rPr>
          <w:rFonts w:ascii="Calibri" w:eastAsia="Calibri" w:hAnsi="Calibri" w:cs="Times New Roman"/>
          <w:color w:val="262626"/>
          <w:lang w:eastAsia="en-AU"/>
        </w:rPr>
        <w:t xml:space="preserve"> such as real time account balances, internet shopping or use of </w:t>
      </w:r>
      <w:r w:rsidR="002125F9">
        <w:rPr>
          <w:rFonts w:ascii="Calibri" w:eastAsia="Calibri" w:hAnsi="Calibri" w:cs="Times New Roman"/>
          <w:color w:val="262626"/>
          <w:lang w:eastAsia="en-AU"/>
        </w:rPr>
        <w:t>BPAY</w:t>
      </w:r>
      <w:r w:rsidR="00957567">
        <w:rPr>
          <w:rFonts w:ascii="Calibri" w:eastAsia="Calibri" w:hAnsi="Calibri" w:cs="Times New Roman"/>
          <w:color w:val="262626"/>
          <w:lang w:eastAsia="en-AU"/>
        </w:rPr>
        <w:t>. Participants are also only able to purchase</w:t>
      </w:r>
      <w:r w:rsidR="00104B38">
        <w:rPr>
          <w:rFonts w:ascii="Calibri" w:eastAsia="Calibri" w:hAnsi="Calibri" w:cs="Times New Roman"/>
          <w:color w:val="262626"/>
          <w:lang w:eastAsia="en-AU"/>
        </w:rPr>
        <w:t xml:space="preserve"> goods from approved merchants.</w:t>
      </w:r>
    </w:p>
    <w:p w14:paraId="19D24E3A" w14:textId="77777777" w:rsidR="00AA3D0F" w:rsidRPr="004F6A6A" w:rsidRDefault="00AA3D0F" w:rsidP="000A025F">
      <w:pPr>
        <w:pStyle w:val="ListParagraph"/>
        <w:numPr>
          <w:ilvl w:val="0"/>
          <w:numId w:val="36"/>
        </w:numPr>
        <w:spacing w:after="0"/>
        <w:ind w:left="643"/>
        <w:rPr>
          <w:rFonts w:ascii="Calibri" w:eastAsia="Calibri" w:hAnsi="Calibri" w:cs="Times New Roman"/>
          <w:color w:val="262626"/>
          <w:lang w:eastAsia="en-AU"/>
        </w:rPr>
      </w:pPr>
      <w:r w:rsidRPr="004F6A6A">
        <w:rPr>
          <w:rFonts w:ascii="Calibri" w:eastAsia="Calibri" w:hAnsi="Calibri" w:cs="Times New Roman"/>
          <w:b/>
          <w:color w:val="262626"/>
          <w:lang w:eastAsia="en-AU"/>
        </w:rPr>
        <w:t>Women are over represented</w:t>
      </w:r>
      <w:r>
        <w:rPr>
          <w:rFonts w:ascii="Calibri" w:eastAsia="Calibri" w:hAnsi="Calibri" w:cs="Times New Roman"/>
          <w:color w:val="262626"/>
          <w:lang w:eastAsia="en-AU"/>
        </w:rPr>
        <w:t xml:space="preserve">: </w:t>
      </w:r>
      <w:r w:rsidR="007307E5" w:rsidRPr="004F6A6A">
        <w:rPr>
          <w:rFonts w:ascii="Calibri" w:eastAsia="Calibri" w:hAnsi="Calibri" w:cs="Times New Roman"/>
          <w:color w:val="262626"/>
          <w:lang w:eastAsia="en-AU"/>
        </w:rPr>
        <w:t>As at 27 May 2022, 60 per</w:t>
      </w:r>
      <w:r w:rsidR="007307E5">
        <w:rPr>
          <w:rFonts w:ascii="Calibri" w:eastAsia="Calibri" w:hAnsi="Calibri" w:cs="Times New Roman"/>
          <w:color w:val="262626"/>
          <w:lang w:eastAsia="en-AU"/>
        </w:rPr>
        <w:t xml:space="preserve"> </w:t>
      </w:r>
      <w:r w:rsidR="007307E5" w:rsidRPr="004F6A6A">
        <w:rPr>
          <w:rFonts w:ascii="Calibri" w:eastAsia="Calibri" w:hAnsi="Calibri" w:cs="Times New Roman"/>
          <w:color w:val="262626"/>
          <w:lang w:eastAsia="en-AU"/>
        </w:rPr>
        <w:t>cent of CDC participants</w:t>
      </w:r>
      <w:r w:rsidR="007307E5">
        <w:rPr>
          <w:rFonts w:ascii="Calibri" w:eastAsia="Calibri" w:hAnsi="Calibri" w:cs="Times New Roman"/>
          <w:color w:val="262626"/>
          <w:lang w:eastAsia="en-AU"/>
        </w:rPr>
        <w:t xml:space="preserve"> and 55 per cent of IM participants</w:t>
      </w:r>
      <w:r w:rsidR="007307E5" w:rsidRPr="004F6A6A">
        <w:rPr>
          <w:rFonts w:ascii="Calibri" w:eastAsia="Calibri" w:hAnsi="Calibri" w:cs="Times New Roman"/>
          <w:color w:val="262626"/>
          <w:lang w:eastAsia="en-AU"/>
        </w:rPr>
        <w:t xml:space="preserve"> were women. </w:t>
      </w:r>
      <w:r w:rsidR="007307E5">
        <w:rPr>
          <w:rFonts w:ascii="Calibri" w:eastAsia="Calibri" w:hAnsi="Calibri" w:cs="Times New Roman"/>
          <w:color w:val="262626"/>
          <w:lang w:eastAsia="en-AU"/>
        </w:rPr>
        <w:t xml:space="preserve">This percentage is higher for women IM participants in Western Australia (69 per cent) and South Australia (62 per cent). This reflects the fact that </w:t>
      </w:r>
      <w:r>
        <w:rPr>
          <w:rFonts w:ascii="Calibri" w:eastAsia="Calibri" w:hAnsi="Calibri" w:cs="Times New Roman"/>
          <w:color w:val="262626"/>
          <w:lang w:eastAsia="en-AU"/>
        </w:rPr>
        <w:t xml:space="preserve">women are over represented as </w:t>
      </w:r>
      <w:r w:rsidRPr="004F6A6A">
        <w:rPr>
          <w:rFonts w:ascii="Calibri" w:eastAsia="Calibri" w:hAnsi="Calibri" w:cs="Times New Roman"/>
          <w:color w:val="262626"/>
          <w:lang w:eastAsia="en-AU"/>
        </w:rPr>
        <w:t>income support recipients</w:t>
      </w:r>
      <w:r w:rsidR="007307E5">
        <w:rPr>
          <w:rFonts w:ascii="Calibri" w:eastAsia="Calibri" w:hAnsi="Calibri" w:cs="Times New Roman"/>
          <w:color w:val="262626"/>
          <w:lang w:eastAsia="en-AU"/>
        </w:rPr>
        <w:t>.</w:t>
      </w:r>
      <w:r w:rsidR="00671FFF">
        <w:rPr>
          <w:rFonts w:ascii="Calibri" w:eastAsia="Calibri" w:hAnsi="Calibri" w:cs="Times New Roman"/>
          <w:color w:val="262626"/>
          <w:lang w:eastAsia="en-AU"/>
        </w:rPr>
        <w:t xml:space="preserve"> </w:t>
      </w:r>
      <w:r w:rsidRPr="004F6A6A">
        <w:rPr>
          <w:rFonts w:ascii="Calibri" w:eastAsia="Calibri" w:hAnsi="Calibri" w:cs="Times New Roman"/>
          <w:color w:val="262626"/>
          <w:lang w:eastAsia="en-AU"/>
        </w:rPr>
        <w:t xml:space="preserve">One of the CDC trigger payments is Parenting Payment in which </w:t>
      </w:r>
      <w:r>
        <w:rPr>
          <w:rFonts w:ascii="Calibri" w:eastAsia="Calibri" w:hAnsi="Calibri" w:cs="Times New Roman"/>
          <w:color w:val="262626"/>
          <w:lang w:eastAsia="en-AU"/>
        </w:rPr>
        <w:t>women</w:t>
      </w:r>
      <w:r w:rsidRPr="004F6A6A">
        <w:rPr>
          <w:rFonts w:ascii="Calibri" w:eastAsia="Calibri" w:hAnsi="Calibri" w:cs="Times New Roman"/>
          <w:color w:val="262626"/>
          <w:lang w:eastAsia="en-AU"/>
        </w:rPr>
        <w:t xml:space="preserve"> have a higher </w:t>
      </w:r>
      <w:r w:rsidR="00957567">
        <w:rPr>
          <w:rFonts w:ascii="Calibri" w:eastAsia="Calibri" w:hAnsi="Calibri" w:cs="Times New Roman"/>
          <w:color w:val="262626"/>
          <w:lang w:eastAsia="en-AU"/>
        </w:rPr>
        <w:t>re</w:t>
      </w:r>
      <w:r w:rsidRPr="004F6A6A">
        <w:rPr>
          <w:rFonts w:ascii="Calibri" w:eastAsia="Calibri" w:hAnsi="Calibri" w:cs="Times New Roman"/>
          <w:color w:val="262626"/>
          <w:lang w:eastAsia="en-AU"/>
        </w:rPr>
        <w:t xml:space="preserve">presentation </w:t>
      </w:r>
      <w:r w:rsidR="007307E5">
        <w:rPr>
          <w:rFonts w:ascii="Calibri" w:eastAsia="Calibri" w:hAnsi="Calibri" w:cs="Times New Roman"/>
          <w:color w:val="262626"/>
          <w:lang w:eastAsia="en-AU"/>
        </w:rPr>
        <w:t xml:space="preserve">as they </w:t>
      </w:r>
      <w:r w:rsidRPr="004F6A6A">
        <w:rPr>
          <w:rFonts w:ascii="Calibri" w:eastAsia="Calibri" w:hAnsi="Calibri" w:cs="Times New Roman"/>
          <w:color w:val="262626"/>
          <w:lang w:eastAsia="en-AU"/>
        </w:rPr>
        <w:t>are more likely to be primary carers for children.</w:t>
      </w:r>
      <w:r w:rsidR="007307E5">
        <w:rPr>
          <w:rFonts w:ascii="Calibri" w:eastAsia="Calibri" w:hAnsi="Calibri" w:cs="Times New Roman"/>
          <w:color w:val="262626"/>
          <w:lang w:eastAsia="en-AU"/>
        </w:rPr>
        <w:t xml:space="preserve"> Concerns have also been raised that the lack of cash makes it more difficult for a woman to</w:t>
      </w:r>
      <w:r w:rsidR="00C322AF">
        <w:rPr>
          <w:rFonts w:ascii="Calibri" w:eastAsia="Calibri" w:hAnsi="Calibri" w:cs="Times New Roman"/>
          <w:color w:val="262626"/>
          <w:lang w:eastAsia="en-AU"/>
        </w:rPr>
        <w:t xml:space="preserve"> leave an abusive relationship.</w:t>
      </w:r>
    </w:p>
    <w:p w14:paraId="340FC137" w14:textId="77777777" w:rsidR="00AA3D0F" w:rsidRPr="004F6A6A" w:rsidRDefault="00AA3D0F" w:rsidP="000A025F">
      <w:pPr>
        <w:pStyle w:val="ListParagraph"/>
        <w:numPr>
          <w:ilvl w:val="0"/>
          <w:numId w:val="36"/>
        </w:numPr>
        <w:spacing w:after="0"/>
        <w:ind w:left="643"/>
        <w:rPr>
          <w:rFonts w:ascii="Calibri" w:eastAsia="Calibri" w:hAnsi="Calibri" w:cs="Times New Roman"/>
          <w:color w:val="262626"/>
          <w:lang w:eastAsia="en-AU"/>
        </w:rPr>
      </w:pPr>
      <w:r w:rsidRPr="004F6A6A">
        <w:rPr>
          <w:rFonts w:ascii="Calibri" w:eastAsia="Calibri" w:hAnsi="Calibri" w:cs="Times New Roman"/>
          <w:b/>
          <w:color w:val="262626"/>
          <w:lang w:eastAsia="en-AU"/>
        </w:rPr>
        <w:t>Social exclusion</w:t>
      </w:r>
      <w:r w:rsidRPr="004F6A6A">
        <w:rPr>
          <w:rFonts w:ascii="Calibri" w:eastAsia="Calibri" w:hAnsi="Calibri" w:cs="Times New Roman"/>
          <w:color w:val="262626"/>
          <w:lang w:eastAsia="en-AU"/>
        </w:rPr>
        <w:t>: many activities, goods and services in the community, especially in regional areas</w:t>
      </w:r>
      <w:r w:rsidRPr="004F6A6A">
        <w:rPr>
          <w:vertAlign w:val="superscript"/>
          <w:lang w:eastAsia="en-AU"/>
        </w:rPr>
        <w:footnoteReference w:id="22"/>
      </w:r>
      <w:r w:rsidRPr="004F6A6A">
        <w:rPr>
          <w:rFonts w:ascii="Calibri" w:eastAsia="Calibri" w:hAnsi="Calibri" w:cs="Times New Roman"/>
          <w:color w:val="262626"/>
          <w:lang w:eastAsia="en-AU"/>
        </w:rPr>
        <w:t>, still operate on a cash basis</w:t>
      </w:r>
      <w:r w:rsidR="007307E5">
        <w:rPr>
          <w:rFonts w:ascii="Calibri" w:eastAsia="Calibri" w:hAnsi="Calibri" w:cs="Times New Roman"/>
          <w:color w:val="262626"/>
          <w:lang w:eastAsia="en-AU"/>
        </w:rPr>
        <w:t xml:space="preserve">. Restricting access to cash </w:t>
      </w:r>
      <w:r w:rsidRPr="004F6A6A">
        <w:rPr>
          <w:rFonts w:ascii="Calibri" w:eastAsia="Calibri" w:hAnsi="Calibri" w:cs="Times New Roman"/>
          <w:color w:val="262626"/>
          <w:lang w:eastAsia="en-AU"/>
        </w:rPr>
        <w:t>restrict</w:t>
      </w:r>
      <w:r>
        <w:rPr>
          <w:rFonts w:ascii="Calibri" w:eastAsia="Calibri" w:hAnsi="Calibri" w:cs="Times New Roman"/>
          <w:color w:val="262626"/>
          <w:lang w:eastAsia="en-AU"/>
        </w:rPr>
        <w:t xml:space="preserve">s </w:t>
      </w:r>
      <w:r w:rsidRPr="004F6A6A">
        <w:rPr>
          <w:rFonts w:ascii="Calibri" w:eastAsia="Calibri" w:hAnsi="Calibri" w:cs="Times New Roman"/>
          <w:color w:val="262626"/>
          <w:lang w:eastAsia="en-AU"/>
        </w:rPr>
        <w:t xml:space="preserve">access to </w:t>
      </w:r>
      <w:r>
        <w:rPr>
          <w:rFonts w:ascii="Calibri" w:eastAsia="Calibri" w:hAnsi="Calibri" w:cs="Times New Roman"/>
          <w:color w:val="262626"/>
          <w:lang w:eastAsia="en-AU"/>
        </w:rPr>
        <w:t xml:space="preserve">these </w:t>
      </w:r>
      <w:r w:rsidRPr="004F6A6A">
        <w:rPr>
          <w:rFonts w:ascii="Calibri" w:eastAsia="Calibri" w:hAnsi="Calibri" w:cs="Times New Roman"/>
          <w:color w:val="262626"/>
          <w:lang w:eastAsia="en-AU"/>
        </w:rPr>
        <w:t>markets. As a result</w:t>
      </w:r>
      <w:r>
        <w:rPr>
          <w:rFonts w:ascii="Calibri" w:eastAsia="Calibri" w:hAnsi="Calibri" w:cs="Times New Roman"/>
          <w:color w:val="262626"/>
          <w:lang w:eastAsia="en-AU"/>
        </w:rPr>
        <w:t>, some participants have reported</w:t>
      </w:r>
      <w:r w:rsidRPr="004F6A6A">
        <w:rPr>
          <w:rFonts w:ascii="Calibri" w:eastAsia="Calibri" w:hAnsi="Calibri" w:cs="Times New Roman"/>
          <w:color w:val="262626"/>
          <w:lang w:eastAsia="en-AU"/>
        </w:rPr>
        <w:t xml:space="preserve"> feeling social</w:t>
      </w:r>
      <w:r>
        <w:rPr>
          <w:rFonts w:ascii="Calibri" w:eastAsia="Calibri" w:hAnsi="Calibri" w:cs="Times New Roman"/>
          <w:color w:val="262626"/>
          <w:lang w:eastAsia="en-AU"/>
        </w:rPr>
        <w:t>ly</w:t>
      </w:r>
      <w:r w:rsidRPr="004F6A6A">
        <w:rPr>
          <w:rFonts w:ascii="Calibri" w:eastAsia="Calibri" w:hAnsi="Calibri" w:cs="Times New Roman"/>
          <w:color w:val="262626"/>
          <w:lang w:eastAsia="en-AU"/>
        </w:rPr>
        <w:t xml:space="preserve"> excluded</w:t>
      </w:r>
      <w:r w:rsidR="00D30CCA">
        <w:rPr>
          <w:rFonts w:ascii="Calibri" w:eastAsia="Calibri" w:hAnsi="Calibri" w:cs="Times New Roman"/>
          <w:color w:val="262626"/>
          <w:lang w:eastAsia="en-AU"/>
        </w:rPr>
        <w:t>, particularly</w:t>
      </w:r>
      <w:r w:rsidRPr="004F6A6A">
        <w:rPr>
          <w:rFonts w:ascii="Calibri" w:eastAsia="Calibri" w:hAnsi="Calibri" w:cs="Times New Roman"/>
          <w:color w:val="262626"/>
          <w:lang w:eastAsia="en-AU"/>
        </w:rPr>
        <w:t xml:space="preserve"> </w:t>
      </w:r>
      <w:r w:rsidR="00D30CCA">
        <w:rPr>
          <w:rFonts w:ascii="Calibri" w:eastAsia="Calibri" w:hAnsi="Calibri" w:cs="Times New Roman"/>
          <w:color w:val="262626"/>
          <w:lang w:eastAsia="en-AU"/>
        </w:rPr>
        <w:t xml:space="preserve">as </w:t>
      </w:r>
      <w:r w:rsidRPr="004F6A6A">
        <w:rPr>
          <w:rFonts w:ascii="Calibri" w:eastAsia="Calibri" w:hAnsi="Calibri" w:cs="Times New Roman"/>
          <w:color w:val="262626"/>
          <w:lang w:eastAsia="en-AU"/>
        </w:rPr>
        <w:t>parent</w:t>
      </w:r>
      <w:r w:rsidR="00D30CCA">
        <w:rPr>
          <w:rFonts w:ascii="Calibri" w:eastAsia="Calibri" w:hAnsi="Calibri" w:cs="Times New Roman"/>
          <w:color w:val="262626"/>
          <w:lang w:eastAsia="en-AU"/>
        </w:rPr>
        <w:t>s</w:t>
      </w:r>
      <w:r w:rsidRPr="004F6A6A">
        <w:rPr>
          <w:rFonts w:ascii="Calibri" w:eastAsia="Calibri" w:hAnsi="Calibri" w:cs="Times New Roman"/>
          <w:color w:val="262626"/>
          <w:lang w:eastAsia="en-AU"/>
        </w:rPr>
        <w:t xml:space="preserve"> not being able to provide </w:t>
      </w:r>
      <w:r w:rsidR="007307E5">
        <w:rPr>
          <w:rFonts w:ascii="Calibri" w:eastAsia="Calibri" w:hAnsi="Calibri" w:cs="Times New Roman"/>
          <w:color w:val="262626"/>
          <w:lang w:eastAsia="en-AU"/>
        </w:rPr>
        <w:t xml:space="preserve">cash for their children to attend </w:t>
      </w:r>
      <w:r>
        <w:rPr>
          <w:rFonts w:ascii="Calibri" w:eastAsia="Calibri" w:hAnsi="Calibri" w:cs="Times New Roman"/>
          <w:color w:val="262626"/>
          <w:lang w:eastAsia="en-AU"/>
        </w:rPr>
        <w:t xml:space="preserve">such </w:t>
      </w:r>
      <w:r w:rsidR="007307E5">
        <w:rPr>
          <w:rFonts w:ascii="Calibri" w:eastAsia="Calibri" w:hAnsi="Calibri" w:cs="Times New Roman"/>
          <w:color w:val="262626"/>
          <w:lang w:eastAsia="en-AU"/>
        </w:rPr>
        <w:t xml:space="preserve">things </w:t>
      </w:r>
      <w:r>
        <w:rPr>
          <w:rFonts w:ascii="Calibri" w:eastAsia="Calibri" w:hAnsi="Calibri" w:cs="Times New Roman"/>
          <w:color w:val="262626"/>
          <w:lang w:eastAsia="en-AU"/>
        </w:rPr>
        <w:t>as sc</w:t>
      </w:r>
      <w:r w:rsidR="00104B38">
        <w:rPr>
          <w:rFonts w:ascii="Calibri" w:eastAsia="Calibri" w:hAnsi="Calibri" w:cs="Times New Roman"/>
          <w:color w:val="262626"/>
          <w:lang w:eastAsia="en-AU"/>
        </w:rPr>
        <w:t>hool fairs and sporting events.</w:t>
      </w:r>
      <w:r w:rsidR="00FF78D6">
        <w:rPr>
          <w:rFonts w:ascii="Calibri" w:eastAsia="Calibri" w:hAnsi="Calibri" w:cs="Times New Roman"/>
          <w:color w:val="262626"/>
          <w:lang w:eastAsia="en-AU"/>
        </w:rPr>
        <w:t xml:space="preserve"> Not being able to transact in cash also limits the ability for participants to buy second hand goods, therefore limiting their purchasing power</w:t>
      </w:r>
      <w:r w:rsidR="00C322AF">
        <w:rPr>
          <w:rFonts w:ascii="Calibri" w:eastAsia="Calibri" w:hAnsi="Calibri" w:cs="Times New Roman"/>
          <w:color w:val="262626"/>
          <w:lang w:eastAsia="en-AU"/>
        </w:rPr>
        <w:t xml:space="preserve"> and managing their budget.</w:t>
      </w:r>
    </w:p>
    <w:p w14:paraId="5B743305" w14:textId="2D5B9A22" w:rsidR="00820433" w:rsidRPr="00820433" w:rsidRDefault="00AC1E8E" w:rsidP="00820433">
      <w:pPr>
        <w:spacing w:before="120" w:after="180" w:line="276" w:lineRule="auto"/>
        <w:rPr>
          <w:rFonts w:ascii="Calibri" w:eastAsia="Calibri" w:hAnsi="Calibri" w:cs="Calibri"/>
          <w:b/>
          <w:color w:val="262626"/>
          <w:spacing w:val="4"/>
          <w:lang w:eastAsia="en-AU"/>
        </w:rPr>
      </w:pPr>
      <w:r>
        <w:rPr>
          <w:rFonts w:ascii="Calibri" w:eastAsia="Calibri" w:hAnsi="Calibri" w:cs="Calibri"/>
          <w:b/>
          <w:color w:val="262626"/>
          <w:spacing w:val="4"/>
          <w:lang w:eastAsia="en-AU"/>
        </w:rPr>
        <w:t>Regulatory c</w:t>
      </w:r>
      <w:r w:rsidR="0093639B">
        <w:rPr>
          <w:rFonts w:ascii="Calibri" w:eastAsia="Calibri" w:hAnsi="Calibri" w:cs="Calibri"/>
          <w:b/>
          <w:color w:val="262626"/>
          <w:spacing w:val="4"/>
          <w:lang w:eastAsia="en-AU"/>
        </w:rPr>
        <w:t>ost to individuals</w:t>
      </w:r>
    </w:p>
    <w:p w14:paraId="13D63111" w14:textId="77777777" w:rsidR="00E60863" w:rsidRPr="0023537B" w:rsidRDefault="00820433" w:rsidP="0023537B">
      <w:pPr>
        <w:spacing w:after="160" w:line="259" w:lineRule="auto"/>
      </w:pPr>
      <w:r w:rsidRPr="001F7CF3">
        <w:t xml:space="preserve">Approximately 8,500 people </w:t>
      </w:r>
      <w:r w:rsidR="0059021D" w:rsidRPr="001F7CF3">
        <w:t>are placed</w:t>
      </w:r>
      <w:r w:rsidR="00AF17E8" w:rsidRPr="001F7CF3">
        <w:t xml:space="preserve"> </w:t>
      </w:r>
      <w:r w:rsidRPr="001F7CF3">
        <w:t>on the CDC program each year</w:t>
      </w:r>
      <w:r w:rsidR="00D30CCA" w:rsidRPr="001F7CF3">
        <w:t>.</w:t>
      </w:r>
      <w:r w:rsidRPr="001F7CF3">
        <w:t xml:space="preserve"> </w:t>
      </w:r>
      <w:r w:rsidR="00D30CCA" w:rsidRPr="001F7CF3">
        <w:t>T</w:t>
      </w:r>
      <w:r w:rsidRPr="001F7CF3">
        <w:t xml:space="preserve">his is mostly offset by </w:t>
      </w:r>
      <w:r w:rsidR="00FF78D6">
        <w:t xml:space="preserve">a similar number of </w:t>
      </w:r>
      <w:r w:rsidRPr="001F7CF3">
        <w:t>people who leave the program for various reasons</w:t>
      </w:r>
      <w:r w:rsidR="001F7CF3" w:rsidRPr="001F7CF3">
        <w:t>.</w:t>
      </w:r>
      <w:r w:rsidRPr="001F7CF3">
        <w:t xml:space="preserve"> When a person starts on the </w:t>
      </w:r>
      <w:r w:rsidR="00FF78D6" w:rsidRPr="001F7CF3">
        <w:t>program,</w:t>
      </w:r>
      <w:r w:rsidRPr="001F7CF3">
        <w:t xml:space="preserve"> they must learn how to use the card and adjust the way they shop</w:t>
      </w:r>
      <w:r w:rsidR="00FF78D6">
        <w:t xml:space="preserve"> and take </w:t>
      </w:r>
      <w:r w:rsidR="00C05618">
        <w:t>c</w:t>
      </w:r>
      <w:r w:rsidR="00FF78D6">
        <w:t>are of bills and other dispersements</w:t>
      </w:r>
      <w:r w:rsidRPr="001F7CF3">
        <w:t>. Of those</w:t>
      </w:r>
      <w:r w:rsidR="0059021D" w:rsidRPr="001F7CF3">
        <w:t xml:space="preserve"> newly placed on the CDC program,</w:t>
      </w:r>
      <w:r w:rsidRPr="001F7CF3">
        <w:t xml:space="preserve"> around 15 per cent </w:t>
      </w:r>
      <w:r w:rsidR="0059021D" w:rsidRPr="001F7CF3">
        <w:t>(1</w:t>
      </w:r>
      <w:r w:rsidR="00D216A2">
        <w:t>,</w:t>
      </w:r>
      <w:r w:rsidR="0059021D" w:rsidRPr="001F7CF3">
        <w:t xml:space="preserve">275) </w:t>
      </w:r>
      <w:r w:rsidR="000B1350" w:rsidRPr="001F7CF3">
        <w:t xml:space="preserve">of </w:t>
      </w:r>
      <w:r w:rsidR="0059021D" w:rsidRPr="001F7CF3">
        <w:t>them</w:t>
      </w:r>
      <w:r w:rsidR="000B1350" w:rsidRPr="001F7CF3">
        <w:t xml:space="preserve"> </w:t>
      </w:r>
      <w:r w:rsidRPr="001F7CF3">
        <w:t xml:space="preserve">will </w:t>
      </w:r>
      <w:r w:rsidR="0059021D" w:rsidRPr="001F7CF3">
        <w:t xml:space="preserve">seek </w:t>
      </w:r>
      <w:r w:rsidRPr="001F7CF3">
        <w:t>to leave the program and of those</w:t>
      </w:r>
      <w:r w:rsidR="0059021D" w:rsidRPr="001F7CF3">
        <w:t>,</w:t>
      </w:r>
      <w:r w:rsidRPr="001F7CF3">
        <w:t xml:space="preserve"> 50 per cent </w:t>
      </w:r>
      <w:r w:rsidR="0059021D" w:rsidRPr="001F7CF3">
        <w:t xml:space="preserve">(637) </w:t>
      </w:r>
      <w:r w:rsidRPr="001F7CF3">
        <w:t>will have an exit interview</w:t>
      </w:r>
      <w:r w:rsidR="0059021D" w:rsidRPr="001F7CF3">
        <w:t xml:space="preserve"> to assess whether they meet the criteria to exit the CDC progr</w:t>
      </w:r>
      <w:r w:rsidR="001F7CF3" w:rsidRPr="001F7CF3">
        <w:t xml:space="preserve">am. </w:t>
      </w:r>
      <w:r w:rsidR="00D96A49" w:rsidRPr="001F7CF3">
        <w:t>There are 4,206 people who join the IM program with no previous interaction with the program.</w:t>
      </w:r>
      <w:r w:rsidR="00694A35" w:rsidRPr="001F7CF3">
        <w:t xml:space="preserve"> There is no </w:t>
      </w:r>
      <w:r w:rsidR="001F7CF3" w:rsidRPr="001F7CF3">
        <w:t xml:space="preserve">similar application process </w:t>
      </w:r>
      <w:r w:rsidR="00694A35" w:rsidRPr="001F7CF3">
        <w:t>for those who want to exit IM</w:t>
      </w:r>
      <w:r w:rsidR="001F7CF3" w:rsidRPr="001F7CF3">
        <w:t xml:space="preserve"> as most are placed onto the program for a set time. </w:t>
      </w:r>
      <w:r w:rsidR="00FF78D6" w:rsidRPr="001F7CF3">
        <w:t>Therefore,</w:t>
      </w:r>
      <w:r w:rsidR="001F7CF3" w:rsidRPr="001F7CF3">
        <w:t xml:space="preserve"> t</w:t>
      </w:r>
      <w:r w:rsidR="00694A35" w:rsidRPr="001F7CF3">
        <w:t>here</w:t>
      </w:r>
      <w:r w:rsidR="001F7CF3" w:rsidRPr="001F7CF3">
        <w:t xml:space="preserve"> is no equivalent </w:t>
      </w:r>
      <w:r w:rsidR="00694A35" w:rsidRPr="001F7CF3">
        <w:t>regulatory impact.</w:t>
      </w:r>
    </w:p>
    <w:p w14:paraId="1B252262" w14:textId="77777777" w:rsidR="00820433" w:rsidRPr="00F37486" w:rsidRDefault="00820433" w:rsidP="00820433">
      <w:pPr>
        <w:pStyle w:val="BodyText"/>
        <w:spacing w:before="120" w:after="180"/>
        <w:rPr>
          <w:b/>
        </w:rPr>
      </w:pPr>
      <w:r>
        <w:rPr>
          <w:b/>
        </w:rPr>
        <w:t xml:space="preserve">New Program participants </w:t>
      </w:r>
      <w:r w:rsidRPr="00F37486">
        <w:rPr>
          <w:b/>
        </w:rPr>
        <w:t>–</w:t>
      </w:r>
      <w:r w:rsidR="002F0AE6">
        <w:rPr>
          <w:b/>
        </w:rPr>
        <w:t xml:space="preserve"> </w:t>
      </w:r>
      <w:r w:rsidRPr="00F37486">
        <w:rPr>
          <w:b/>
        </w:rPr>
        <w:t xml:space="preserve">new participants (8,500 CDC </w:t>
      </w:r>
      <w:r w:rsidR="000162B5">
        <w:rPr>
          <w:b/>
        </w:rPr>
        <w:t>and 4206 IM</w:t>
      </w:r>
      <w:r w:rsidRPr="00F37486">
        <w:rPr>
          <w:b/>
        </w:rPr>
        <w:t xml:space="preserve"> </w:t>
      </w:r>
      <w:r w:rsidR="000162B5" w:rsidRPr="00F37486">
        <w:rPr>
          <w:b/>
        </w:rPr>
        <w:t xml:space="preserve">participants </w:t>
      </w:r>
      <w:r w:rsidRPr="00F37486">
        <w:rPr>
          <w:b/>
        </w:rPr>
        <w:t>a year)</w:t>
      </w:r>
    </w:p>
    <w:tbl>
      <w:tblPr>
        <w:tblStyle w:val="TableGrid1"/>
        <w:tblW w:w="0" w:type="auto"/>
        <w:tblLook w:val="04A0" w:firstRow="1" w:lastRow="0" w:firstColumn="1" w:lastColumn="0" w:noHBand="0" w:noVBand="1"/>
        <w:tblDescription w:val="New program participants - new participants (8,500 CDC and 4206 IM participants a year)"/>
      </w:tblPr>
      <w:tblGrid>
        <w:gridCol w:w="6903"/>
        <w:gridCol w:w="3291"/>
      </w:tblGrid>
      <w:tr w:rsidR="00820433" w:rsidRPr="00884F2C" w14:paraId="4DE0CDBD" w14:textId="77777777" w:rsidTr="003D2786">
        <w:trPr>
          <w:trHeight w:val="263"/>
          <w:tblHeader/>
        </w:trPr>
        <w:tc>
          <w:tcPr>
            <w:tcW w:w="0" w:type="auto"/>
          </w:tcPr>
          <w:p w14:paraId="7AA4CED5" w14:textId="77777777" w:rsidR="00820433" w:rsidRPr="00884F2C" w:rsidRDefault="00820433" w:rsidP="00820433">
            <w:pPr>
              <w:rPr>
                <w:rFonts w:ascii="Calibri" w:eastAsia="Calibri" w:hAnsi="Calibri" w:cs="Times New Roman"/>
                <w:b/>
                <w:sz w:val="16"/>
                <w:szCs w:val="16"/>
              </w:rPr>
            </w:pPr>
          </w:p>
        </w:tc>
        <w:tc>
          <w:tcPr>
            <w:tcW w:w="3291" w:type="dxa"/>
          </w:tcPr>
          <w:p w14:paraId="1F9FBB4A" w14:textId="77777777" w:rsidR="00820433" w:rsidRPr="00884F2C" w:rsidRDefault="00820433" w:rsidP="00820433">
            <w:pPr>
              <w:rPr>
                <w:rFonts w:ascii="Calibri" w:eastAsia="Calibri" w:hAnsi="Calibri" w:cs="Times New Roman"/>
                <w:b/>
                <w:sz w:val="16"/>
                <w:szCs w:val="16"/>
              </w:rPr>
            </w:pPr>
            <w:r w:rsidRPr="00884F2C">
              <w:rPr>
                <w:rFonts w:ascii="Calibri" w:eastAsia="Calibri" w:hAnsi="Calibri" w:cs="Times New Roman"/>
                <w:b/>
                <w:sz w:val="16"/>
                <w:szCs w:val="16"/>
              </w:rPr>
              <w:t xml:space="preserve">New entrants on IM and CDC </w:t>
            </w:r>
          </w:p>
        </w:tc>
      </w:tr>
      <w:tr w:rsidR="00820433" w:rsidRPr="00884F2C" w14:paraId="7B24450A" w14:textId="77777777" w:rsidTr="003D2786">
        <w:trPr>
          <w:trHeight w:val="596"/>
        </w:trPr>
        <w:tc>
          <w:tcPr>
            <w:tcW w:w="0" w:type="auto"/>
          </w:tcPr>
          <w:p w14:paraId="4441ACEB" w14:textId="77777777" w:rsidR="00820433" w:rsidRPr="00884F2C" w:rsidRDefault="00820433" w:rsidP="00820433">
            <w:pPr>
              <w:rPr>
                <w:rFonts w:ascii="Calibri" w:eastAsia="Calibri" w:hAnsi="Calibri" w:cs="Times New Roman"/>
                <w:b/>
                <w:sz w:val="16"/>
                <w:szCs w:val="16"/>
              </w:rPr>
            </w:pPr>
            <w:r w:rsidRPr="00884F2C">
              <w:rPr>
                <w:rFonts w:ascii="Calibri" w:eastAsia="Calibri" w:hAnsi="Calibri" w:cs="Times New Roman"/>
                <w:b/>
                <w:sz w:val="16"/>
                <w:szCs w:val="16"/>
              </w:rPr>
              <w:t>Learning how to use the card (CDC and IM)</w:t>
            </w:r>
          </w:p>
          <w:p w14:paraId="0449F18E" w14:textId="3E393FA0" w:rsidR="00820433" w:rsidRPr="0093639B" w:rsidRDefault="00820433" w:rsidP="0093639B">
            <w:pPr>
              <w:numPr>
                <w:ilvl w:val="0"/>
                <w:numId w:val="19"/>
              </w:numPr>
              <w:contextualSpacing/>
              <w:rPr>
                <w:rFonts w:ascii="Calibri" w:eastAsia="Calibri" w:hAnsi="Calibri" w:cs="Times New Roman"/>
                <w:sz w:val="16"/>
                <w:szCs w:val="16"/>
              </w:rPr>
            </w:pPr>
            <w:r w:rsidRPr="00884F2C">
              <w:rPr>
                <w:rFonts w:ascii="Calibri" w:eastAsia="Calibri" w:hAnsi="Calibri" w:cs="Times New Roman"/>
                <w:sz w:val="16"/>
                <w:szCs w:val="16"/>
              </w:rPr>
              <w:t>E.g. Looking up approved merchants and changing shopping behaviour, learning the features of the card</w:t>
            </w:r>
          </w:p>
        </w:tc>
        <w:tc>
          <w:tcPr>
            <w:tcW w:w="3291" w:type="dxa"/>
          </w:tcPr>
          <w:p w14:paraId="23C47B2D" w14:textId="77777777" w:rsidR="00820433" w:rsidRPr="001C1778" w:rsidRDefault="00820433"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 xml:space="preserve">1hr </w:t>
            </w:r>
            <w:r w:rsidR="00A40F3A" w:rsidRPr="001C1778">
              <w:rPr>
                <w:rFonts w:ascii="Calibri" w:eastAsia="Calibri" w:hAnsi="Calibri" w:cs="Times New Roman"/>
                <w:i/>
                <w:sz w:val="16"/>
                <w:szCs w:val="16"/>
              </w:rPr>
              <w:t>15</w:t>
            </w:r>
            <w:r w:rsidRPr="001C1778">
              <w:rPr>
                <w:rFonts w:ascii="Calibri" w:eastAsia="Calibri" w:hAnsi="Calibri" w:cs="Times New Roman"/>
                <w:i/>
                <w:sz w:val="16"/>
                <w:szCs w:val="16"/>
              </w:rPr>
              <w:t xml:space="preserve"> mins for new entrants onto the card </w:t>
            </w:r>
          </w:p>
          <w:p w14:paraId="43B635BA" w14:textId="77777777" w:rsidR="00820433" w:rsidRPr="001C1778" w:rsidRDefault="00A40F3A"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1.25 x $36</w:t>
            </w:r>
            <w:r w:rsidR="006A5EAE" w:rsidRPr="001C1778">
              <w:rPr>
                <w:rFonts w:ascii="Calibri" w:eastAsia="Calibri" w:hAnsi="Calibri" w:cs="Times New Roman"/>
                <w:i/>
                <w:sz w:val="16"/>
                <w:szCs w:val="16"/>
              </w:rPr>
              <w:t xml:space="preserve"> = $45.00</w:t>
            </w:r>
            <w:r w:rsidR="00820433" w:rsidRPr="001C1778">
              <w:rPr>
                <w:rFonts w:ascii="Calibri" w:eastAsia="Calibri" w:hAnsi="Calibri" w:cs="Times New Roman"/>
                <w:i/>
                <w:sz w:val="16"/>
                <w:szCs w:val="16"/>
              </w:rPr>
              <w:t xml:space="preserve"> per participant</w:t>
            </w:r>
          </w:p>
          <w:p w14:paraId="40380C3E" w14:textId="77777777" w:rsidR="00820433" w:rsidRPr="001C1778" w:rsidRDefault="00820433" w:rsidP="00820433">
            <w:pPr>
              <w:contextualSpacing/>
              <w:jc w:val="right"/>
              <w:rPr>
                <w:rFonts w:ascii="Calibri" w:eastAsia="Calibri" w:hAnsi="Calibri" w:cs="Times New Roman"/>
                <w:i/>
                <w:sz w:val="16"/>
                <w:szCs w:val="16"/>
              </w:rPr>
            </w:pPr>
          </w:p>
          <w:p w14:paraId="413A8109" w14:textId="77777777" w:rsidR="00820433" w:rsidRPr="001C1778" w:rsidRDefault="006A5EAE"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(CDC) $45.00 x 8,500 = $382,500</w:t>
            </w:r>
          </w:p>
          <w:p w14:paraId="7C75204A" w14:textId="77777777" w:rsidR="00820433" w:rsidRPr="001C1778" w:rsidRDefault="006A5EAE"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(IM) $45.00 x 4206 = $189,270</w:t>
            </w:r>
          </w:p>
          <w:p w14:paraId="3464B7E9" w14:textId="77777777" w:rsidR="00820433" w:rsidRPr="001C1778" w:rsidRDefault="00820433" w:rsidP="00820433">
            <w:pPr>
              <w:contextualSpacing/>
              <w:jc w:val="right"/>
              <w:rPr>
                <w:rFonts w:ascii="Calibri" w:eastAsia="Calibri" w:hAnsi="Calibri" w:cs="Times New Roman"/>
                <w:i/>
                <w:sz w:val="16"/>
                <w:szCs w:val="16"/>
              </w:rPr>
            </w:pPr>
          </w:p>
          <w:p w14:paraId="1889D7B0" w14:textId="76EF9AF2" w:rsidR="00820433" w:rsidRPr="0093639B" w:rsidRDefault="00FD2793" w:rsidP="0093639B">
            <w:pPr>
              <w:contextualSpacing/>
              <w:jc w:val="right"/>
              <w:rPr>
                <w:rFonts w:ascii="Calibri" w:eastAsia="Calibri" w:hAnsi="Calibri" w:cs="Times New Roman"/>
                <w:i/>
                <w:color w:val="auto"/>
                <w:sz w:val="16"/>
                <w:szCs w:val="16"/>
              </w:rPr>
            </w:pPr>
            <w:r>
              <w:rPr>
                <w:rFonts w:ascii="Calibri" w:eastAsia="Calibri" w:hAnsi="Calibri" w:cs="Times New Roman"/>
                <w:i/>
                <w:sz w:val="16"/>
                <w:szCs w:val="16"/>
              </w:rPr>
              <w:t xml:space="preserve">Total </w:t>
            </w:r>
            <w:r w:rsidR="006A5EAE" w:rsidRPr="001C1778">
              <w:rPr>
                <w:rFonts w:ascii="Calibri" w:eastAsia="Calibri" w:hAnsi="Calibri" w:cs="Times New Roman"/>
                <w:i/>
                <w:sz w:val="16"/>
                <w:szCs w:val="16"/>
              </w:rPr>
              <w:t>= $571,770</w:t>
            </w:r>
          </w:p>
        </w:tc>
      </w:tr>
      <w:tr w:rsidR="00820433" w:rsidRPr="00884F2C" w14:paraId="4A0BF22B" w14:textId="77777777" w:rsidTr="003D2786">
        <w:trPr>
          <w:trHeight w:val="596"/>
        </w:trPr>
        <w:tc>
          <w:tcPr>
            <w:tcW w:w="0" w:type="auto"/>
          </w:tcPr>
          <w:p w14:paraId="39798320" w14:textId="521BD45A" w:rsidR="00820433" w:rsidRDefault="00820433" w:rsidP="00820433">
            <w:pPr>
              <w:rPr>
                <w:rFonts w:ascii="Calibri" w:eastAsia="Calibri" w:hAnsi="Calibri" w:cs="Times New Roman"/>
                <w:b/>
                <w:sz w:val="16"/>
                <w:szCs w:val="16"/>
              </w:rPr>
            </w:pPr>
            <w:r w:rsidRPr="00884F2C">
              <w:rPr>
                <w:rFonts w:ascii="Calibri" w:eastAsia="Calibri" w:hAnsi="Calibri" w:cs="Times New Roman"/>
                <w:b/>
                <w:sz w:val="16"/>
                <w:szCs w:val="16"/>
              </w:rPr>
              <w:t>Exit application (CDC)</w:t>
            </w:r>
            <w:r w:rsidR="000162B5" w:rsidRPr="00884F2C">
              <w:rPr>
                <w:rFonts w:ascii="Calibri" w:eastAsia="Calibri" w:hAnsi="Calibri" w:cs="Times New Roman"/>
                <w:b/>
                <w:sz w:val="16"/>
                <w:szCs w:val="16"/>
              </w:rPr>
              <w:t xml:space="preserve"> no Exit applications </w:t>
            </w:r>
            <w:r w:rsidR="00BC4860">
              <w:rPr>
                <w:rFonts w:ascii="Calibri" w:eastAsia="Calibri" w:hAnsi="Calibri" w:cs="Times New Roman"/>
                <w:b/>
                <w:sz w:val="16"/>
                <w:szCs w:val="16"/>
              </w:rPr>
              <w:t xml:space="preserve">required for </w:t>
            </w:r>
            <w:r w:rsidR="000162B5" w:rsidRPr="00884F2C">
              <w:rPr>
                <w:rFonts w:ascii="Calibri" w:eastAsia="Calibri" w:hAnsi="Calibri" w:cs="Times New Roman"/>
                <w:b/>
                <w:sz w:val="16"/>
                <w:szCs w:val="16"/>
              </w:rPr>
              <w:t>IM</w:t>
            </w:r>
          </w:p>
          <w:p w14:paraId="1F8990E9" w14:textId="21456ABB" w:rsidR="00BC4860" w:rsidRPr="0093639B" w:rsidRDefault="00BC4860" w:rsidP="00820433">
            <w:pPr>
              <w:pStyle w:val="ListParagraph"/>
              <w:numPr>
                <w:ilvl w:val="0"/>
                <w:numId w:val="19"/>
              </w:numPr>
              <w:rPr>
                <w:rFonts w:ascii="Calibri" w:eastAsia="Calibri" w:hAnsi="Calibri" w:cs="Times New Roman"/>
                <w:sz w:val="16"/>
                <w:szCs w:val="16"/>
              </w:rPr>
            </w:pPr>
            <w:r>
              <w:rPr>
                <w:rFonts w:ascii="Calibri" w:eastAsia="Calibri" w:hAnsi="Calibri" w:cs="Times New Roman"/>
                <w:sz w:val="16"/>
                <w:szCs w:val="16"/>
              </w:rPr>
              <w:t>Only 15 per cent of the total population will seek an exit appli</w:t>
            </w:r>
            <w:r w:rsidR="0093639B">
              <w:rPr>
                <w:rFonts w:ascii="Calibri" w:eastAsia="Calibri" w:hAnsi="Calibri" w:cs="Times New Roman"/>
                <w:sz w:val="16"/>
                <w:szCs w:val="16"/>
              </w:rPr>
              <w:t>cation based on current trends.</w:t>
            </w:r>
          </w:p>
        </w:tc>
        <w:tc>
          <w:tcPr>
            <w:tcW w:w="3291" w:type="dxa"/>
          </w:tcPr>
          <w:p w14:paraId="7B88EAAC" w14:textId="77777777" w:rsidR="006A5EAE" w:rsidRPr="001C1778" w:rsidRDefault="006A5EAE"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 xml:space="preserve">1,275 = </w:t>
            </w:r>
            <w:r w:rsidR="00820433" w:rsidRPr="001C1778">
              <w:rPr>
                <w:rFonts w:ascii="Calibri" w:eastAsia="Calibri" w:hAnsi="Calibri" w:cs="Times New Roman"/>
                <w:i/>
                <w:sz w:val="16"/>
                <w:szCs w:val="16"/>
              </w:rPr>
              <w:t xml:space="preserve">15% </w:t>
            </w:r>
            <w:r w:rsidRPr="001C1778">
              <w:rPr>
                <w:rFonts w:ascii="Calibri" w:eastAsia="Calibri" w:hAnsi="Calibri" w:cs="Times New Roman"/>
                <w:i/>
                <w:sz w:val="16"/>
                <w:szCs w:val="16"/>
              </w:rPr>
              <w:t xml:space="preserve">of CDC participants </w:t>
            </w:r>
            <w:r w:rsidR="00820433" w:rsidRPr="001C1778">
              <w:rPr>
                <w:rFonts w:ascii="Calibri" w:eastAsia="Calibri" w:hAnsi="Calibri" w:cs="Times New Roman"/>
                <w:i/>
                <w:sz w:val="16"/>
                <w:szCs w:val="16"/>
              </w:rPr>
              <w:t>will app</w:t>
            </w:r>
            <w:r w:rsidRPr="001C1778">
              <w:rPr>
                <w:rFonts w:ascii="Calibri" w:eastAsia="Calibri" w:hAnsi="Calibri" w:cs="Times New Roman"/>
                <w:i/>
                <w:sz w:val="16"/>
                <w:szCs w:val="16"/>
              </w:rPr>
              <w:t xml:space="preserve">ly per year from 2023 </w:t>
            </w:r>
          </w:p>
          <w:p w14:paraId="4E9FB2E2" w14:textId="77777777" w:rsidR="006A5EAE" w:rsidRPr="001C1778" w:rsidRDefault="006A5EAE" w:rsidP="00820433">
            <w:pPr>
              <w:contextualSpacing/>
              <w:jc w:val="right"/>
              <w:rPr>
                <w:rFonts w:ascii="Calibri" w:eastAsia="Calibri" w:hAnsi="Calibri" w:cs="Times New Roman"/>
                <w:i/>
                <w:sz w:val="16"/>
                <w:szCs w:val="16"/>
              </w:rPr>
            </w:pPr>
          </w:p>
          <w:p w14:paraId="5F9E5F3E" w14:textId="77777777" w:rsidR="00820433" w:rsidRPr="001C1778" w:rsidRDefault="006A5EAE" w:rsidP="00820433">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 xml:space="preserve"> 1hr x $36.00=$36.00</w:t>
            </w:r>
          </w:p>
          <w:p w14:paraId="59B8B0E1" w14:textId="77777777" w:rsidR="00820433" w:rsidRPr="001C1778" w:rsidRDefault="00820433" w:rsidP="00820433">
            <w:pPr>
              <w:contextualSpacing/>
              <w:jc w:val="right"/>
              <w:rPr>
                <w:rFonts w:ascii="Calibri" w:eastAsia="Calibri" w:hAnsi="Calibri" w:cs="Times New Roman"/>
                <w:i/>
                <w:sz w:val="16"/>
                <w:szCs w:val="16"/>
              </w:rPr>
            </w:pPr>
          </w:p>
          <w:p w14:paraId="7FB12601" w14:textId="4FC5371C" w:rsidR="006A5EAE" w:rsidRPr="00884F2C" w:rsidRDefault="006A5EAE" w:rsidP="0093639B">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 xml:space="preserve"> $36.00</w:t>
            </w:r>
            <w:r w:rsidR="00820433" w:rsidRPr="001C1778">
              <w:rPr>
                <w:rFonts w:ascii="Calibri" w:eastAsia="Calibri" w:hAnsi="Calibri" w:cs="Times New Roman"/>
                <w:i/>
                <w:sz w:val="16"/>
                <w:szCs w:val="16"/>
              </w:rPr>
              <w:t xml:space="preserve"> x 1,275 = $4</w:t>
            </w:r>
            <w:r w:rsidRPr="001C1778">
              <w:rPr>
                <w:rFonts w:ascii="Calibri" w:eastAsia="Calibri" w:hAnsi="Calibri" w:cs="Times New Roman"/>
                <w:i/>
                <w:sz w:val="16"/>
                <w:szCs w:val="16"/>
              </w:rPr>
              <w:t>5,900</w:t>
            </w:r>
          </w:p>
        </w:tc>
      </w:tr>
      <w:tr w:rsidR="00820433" w:rsidRPr="00884F2C" w14:paraId="2F38E9AA" w14:textId="77777777" w:rsidTr="003D2786">
        <w:trPr>
          <w:trHeight w:val="263"/>
        </w:trPr>
        <w:tc>
          <w:tcPr>
            <w:tcW w:w="0" w:type="auto"/>
          </w:tcPr>
          <w:p w14:paraId="47563490" w14:textId="77777777" w:rsidR="00820433" w:rsidRDefault="00820433" w:rsidP="00820433">
            <w:pPr>
              <w:rPr>
                <w:rFonts w:ascii="Calibri" w:eastAsia="Calibri" w:hAnsi="Calibri" w:cs="Times New Roman"/>
                <w:sz w:val="16"/>
                <w:szCs w:val="16"/>
              </w:rPr>
            </w:pPr>
            <w:r w:rsidRPr="00884F2C">
              <w:rPr>
                <w:rFonts w:ascii="Calibri" w:eastAsia="Calibri" w:hAnsi="Calibri" w:cs="Times New Roman"/>
                <w:b/>
                <w:sz w:val="16"/>
                <w:szCs w:val="16"/>
              </w:rPr>
              <w:t>Exit interview (CDC)</w:t>
            </w:r>
            <w:r w:rsidR="000162B5" w:rsidRPr="00884F2C">
              <w:rPr>
                <w:rFonts w:ascii="Calibri" w:eastAsia="Calibri" w:hAnsi="Calibri" w:cs="Times New Roman"/>
                <w:b/>
                <w:sz w:val="16"/>
                <w:szCs w:val="16"/>
              </w:rPr>
              <w:t xml:space="preserve"> no exit applications for IM</w:t>
            </w:r>
          </w:p>
          <w:p w14:paraId="512B4317" w14:textId="6B55B00C" w:rsidR="00BC4860" w:rsidRPr="00BC4860" w:rsidRDefault="00BC4860" w:rsidP="00BC4860">
            <w:pPr>
              <w:pStyle w:val="ListParagraph"/>
              <w:numPr>
                <w:ilvl w:val="0"/>
                <w:numId w:val="19"/>
              </w:numPr>
              <w:rPr>
                <w:rFonts w:ascii="Calibri" w:eastAsia="Calibri" w:hAnsi="Calibri" w:cs="Times New Roman"/>
                <w:sz w:val="16"/>
                <w:szCs w:val="16"/>
              </w:rPr>
            </w:pPr>
            <w:r>
              <w:rPr>
                <w:rFonts w:ascii="Calibri" w:eastAsia="Calibri" w:hAnsi="Calibri" w:cs="Times New Roman"/>
                <w:sz w:val="16"/>
                <w:szCs w:val="16"/>
              </w:rPr>
              <w:t>Only half of those who seek an exit application will continue the process to exit int</w:t>
            </w:r>
            <w:r w:rsidR="0093639B">
              <w:rPr>
                <w:rFonts w:ascii="Calibri" w:eastAsia="Calibri" w:hAnsi="Calibri" w:cs="Times New Roman"/>
                <w:sz w:val="16"/>
                <w:szCs w:val="16"/>
              </w:rPr>
              <w:t>erview based on current trends.</w:t>
            </w:r>
          </w:p>
        </w:tc>
        <w:tc>
          <w:tcPr>
            <w:tcW w:w="3291" w:type="dxa"/>
          </w:tcPr>
          <w:p w14:paraId="03B9ADD7" w14:textId="77777777" w:rsidR="00820433" w:rsidRPr="001C1778" w:rsidRDefault="006A5EAE" w:rsidP="00820433">
            <w:pPr>
              <w:contextualSpacing/>
              <w:jc w:val="right"/>
              <w:rPr>
                <w:rFonts w:ascii="Calibri" w:eastAsia="Calibri" w:hAnsi="Calibri" w:cs="Times New Roman"/>
                <w:i/>
                <w:color w:val="auto"/>
                <w:sz w:val="16"/>
                <w:szCs w:val="16"/>
              </w:rPr>
            </w:pPr>
            <w:r w:rsidRPr="001C1778">
              <w:rPr>
                <w:rFonts w:ascii="Calibri" w:eastAsia="Calibri" w:hAnsi="Calibri" w:cs="Times New Roman"/>
                <w:i/>
                <w:color w:val="auto"/>
                <w:sz w:val="16"/>
                <w:szCs w:val="16"/>
              </w:rPr>
              <w:t xml:space="preserve">637 = </w:t>
            </w:r>
            <w:r w:rsidR="00820433" w:rsidRPr="001C1778">
              <w:rPr>
                <w:rFonts w:ascii="Calibri" w:eastAsia="Calibri" w:hAnsi="Calibri" w:cs="Times New Roman"/>
                <w:i/>
                <w:color w:val="auto"/>
                <w:sz w:val="16"/>
                <w:szCs w:val="16"/>
              </w:rPr>
              <w:t xml:space="preserve">50% </w:t>
            </w:r>
            <w:r w:rsidRPr="001C1778">
              <w:rPr>
                <w:rFonts w:ascii="Calibri" w:eastAsia="Calibri" w:hAnsi="Calibri" w:cs="Times New Roman"/>
                <w:i/>
                <w:color w:val="auto"/>
                <w:sz w:val="16"/>
                <w:szCs w:val="16"/>
              </w:rPr>
              <w:t>of 1</w:t>
            </w:r>
            <w:r w:rsidR="00A20777">
              <w:rPr>
                <w:rFonts w:ascii="Calibri" w:eastAsia="Calibri" w:hAnsi="Calibri" w:cs="Times New Roman"/>
                <w:i/>
                <w:color w:val="auto"/>
                <w:sz w:val="16"/>
                <w:szCs w:val="16"/>
              </w:rPr>
              <w:t>,</w:t>
            </w:r>
            <w:r w:rsidRPr="001C1778">
              <w:rPr>
                <w:rFonts w:ascii="Calibri" w:eastAsia="Calibri" w:hAnsi="Calibri" w:cs="Times New Roman"/>
                <w:i/>
                <w:color w:val="auto"/>
                <w:sz w:val="16"/>
                <w:szCs w:val="16"/>
              </w:rPr>
              <w:t>275</w:t>
            </w:r>
            <w:r w:rsidR="00820433" w:rsidRPr="001C1778">
              <w:rPr>
                <w:rFonts w:ascii="Calibri" w:eastAsia="Calibri" w:hAnsi="Calibri" w:cs="Times New Roman"/>
                <w:i/>
                <w:color w:val="auto"/>
                <w:sz w:val="16"/>
                <w:szCs w:val="16"/>
              </w:rPr>
              <w:t xml:space="preserve"> will proceed to interview</w:t>
            </w:r>
          </w:p>
          <w:p w14:paraId="054EB47A" w14:textId="77777777" w:rsidR="00820433" w:rsidRPr="001C1778" w:rsidRDefault="006A5EAE" w:rsidP="00820433">
            <w:pPr>
              <w:contextualSpacing/>
              <w:jc w:val="right"/>
              <w:rPr>
                <w:rFonts w:ascii="Calibri" w:eastAsia="Calibri" w:hAnsi="Calibri" w:cs="Times New Roman"/>
                <w:i/>
                <w:color w:val="auto"/>
                <w:sz w:val="16"/>
                <w:szCs w:val="16"/>
              </w:rPr>
            </w:pPr>
            <w:r w:rsidRPr="001C1778">
              <w:rPr>
                <w:rFonts w:ascii="Calibri" w:eastAsia="Calibri" w:hAnsi="Calibri" w:cs="Times New Roman"/>
                <w:i/>
                <w:color w:val="auto"/>
                <w:sz w:val="16"/>
                <w:szCs w:val="16"/>
              </w:rPr>
              <w:t>1.5 x $36</w:t>
            </w:r>
            <w:r w:rsidR="00820433" w:rsidRPr="001C1778">
              <w:rPr>
                <w:rFonts w:ascii="Calibri" w:eastAsia="Calibri" w:hAnsi="Calibri" w:cs="Times New Roman"/>
                <w:i/>
                <w:color w:val="auto"/>
                <w:sz w:val="16"/>
                <w:szCs w:val="16"/>
              </w:rPr>
              <w:t xml:space="preserve"> applications that go through to interview</w:t>
            </w:r>
          </w:p>
          <w:p w14:paraId="376E559B" w14:textId="77777777" w:rsidR="00820433" w:rsidRPr="001C1778" w:rsidRDefault="00820433" w:rsidP="00820433">
            <w:pPr>
              <w:contextualSpacing/>
              <w:jc w:val="right"/>
              <w:rPr>
                <w:rFonts w:ascii="Calibri" w:eastAsia="Calibri" w:hAnsi="Calibri" w:cs="Times New Roman"/>
                <w:i/>
                <w:color w:val="auto"/>
                <w:sz w:val="16"/>
                <w:szCs w:val="16"/>
              </w:rPr>
            </w:pPr>
          </w:p>
          <w:p w14:paraId="1ED6F85F" w14:textId="77777777" w:rsidR="00820433" w:rsidRPr="001C1778" w:rsidRDefault="00BC2F76" w:rsidP="00820433">
            <w:pPr>
              <w:contextualSpacing/>
              <w:jc w:val="right"/>
              <w:rPr>
                <w:rFonts w:ascii="Calibri" w:eastAsia="Calibri" w:hAnsi="Calibri" w:cs="Times New Roman"/>
                <w:i/>
                <w:color w:val="auto"/>
                <w:sz w:val="16"/>
                <w:szCs w:val="16"/>
              </w:rPr>
            </w:pPr>
            <w:r w:rsidRPr="001C1778">
              <w:rPr>
                <w:rFonts w:ascii="Calibri" w:eastAsia="Calibri" w:hAnsi="Calibri" w:cs="Times New Roman"/>
                <w:i/>
                <w:color w:val="auto"/>
                <w:sz w:val="16"/>
                <w:szCs w:val="16"/>
              </w:rPr>
              <w:t>1.5 x $36 = $54</w:t>
            </w:r>
            <w:r w:rsidR="00820433" w:rsidRPr="001C1778">
              <w:rPr>
                <w:rFonts w:ascii="Calibri" w:eastAsia="Calibri" w:hAnsi="Calibri" w:cs="Times New Roman"/>
                <w:i/>
                <w:color w:val="auto"/>
                <w:sz w:val="16"/>
                <w:szCs w:val="16"/>
              </w:rPr>
              <w:t xml:space="preserve"> per participant</w:t>
            </w:r>
          </w:p>
          <w:p w14:paraId="38031EEB" w14:textId="77777777" w:rsidR="00820433" w:rsidRPr="001C1778" w:rsidRDefault="00820433" w:rsidP="00820433">
            <w:pPr>
              <w:contextualSpacing/>
              <w:jc w:val="right"/>
              <w:rPr>
                <w:rFonts w:ascii="Calibri" w:eastAsia="Calibri" w:hAnsi="Calibri" w:cs="Times New Roman"/>
                <w:i/>
                <w:color w:val="auto"/>
                <w:sz w:val="16"/>
                <w:szCs w:val="16"/>
              </w:rPr>
            </w:pPr>
          </w:p>
          <w:p w14:paraId="44092E10" w14:textId="3701270C" w:rsidR="00820433" w:rsidRPr="0093639B" w:rsidRDefault="00BC2F76" w:rsidP="0093639B">
            <w:pPr>
              <w:contextualSpacing/>
              <w:jc w:val="right"/>
              <w:rPr>
                <w:rFonts w:ascii="Calibri" w:eastAsia="Calibri" w:hAnsi="Calibri" w:cs="Times New Roman"/>
                <w:i/>
                <w:color w:val="auto"/>
                <w:sz w:val="16"/>
                <w:szCs w:val="16"/>
              </w:rPr>
            </w:pPr>
            <w:r w:rsidRPr="001C1778">
              <w:rPr>
                <w:rFonts w:ascii="Calibri" w:eastAsia="Calibri" w:hAnsi="Calibri" w:cs="Times New Roman"/>
                <w:i/>
                <w:color w:val="auto"/>
                <w:sz w:val="16"/>
                <w:szCs w:val="16"/>
              </w:rPr>
              <w:t>$54 x 637</w:t>
            </w:r>
            <w:r w:rsidR="00820433" w:rsidRPr="001C1778">
              <w:rPr>
                <w:rFonts w:ascii="Calibri" w:eastAsia="Calibri" w:hAnsi="Calibri" w:cs="Times New Roman"/>
                <w:i/>
                <w:color w:val="auto"/>
                <w:sz w:val="16"/>
                <w:szCs w:val="16"/>
              </w:rPr>
              <w:t xml:space="preserve"> = $</w:t>
            </w:r>
            <w:r w:rsidRPr="001C1778">
              <w:rPr>
                <w:rFonts w:ascii="Calibri" w:eastAsia="Calibri" w:hAnsi="Calibri" w:cs="Times New Roman"/>
                <w:i/>
                <w:color w:val="auto"/>
                <w:sz w:val="16"/>
                <w:szCs w:val="16"/>
              </w:rPr>
              <w:t>34,398</w:t>
            </w:r>
          </w:p>
        </w:tc>
      </w:tr>
      <w:tr w:rsidR="00820433" w:rsidRPr="00884F2C" w14:paraId="081633A9" w14:textId="77777777" w:rsidTr="003D2786">
        <w:trPr>
          <w:trHeight w:val="407"/>
        </w:trPr>
        <w:tc>
          <w:tcPr>
            <w:tcW w:w="0" w:type="auto"/>
          </w:tcPr>
          <w:p w14:paraId="3568EE08" w14:textId="77777777" w:rsidR="00820433" w:rsidRPr="00884F2C" w:rsidRDefault="00820433" w:rsidP="00820433">
            <w:pPr>
              <w:rPr>
                <w:rFonts w:ascii="Calibri" w:eastAsia="Calibri" w:hAnsi="Calibri" w:cs="Times New Roman"/>
                <w:b/>
                <w:sz w:val="16"/>
                <w:szCs w:val="16"/>
              </w:rPr>
            </w:pPr>
            <w:r w:rsidRPr="00884F2C">
              <w:rPr>
                <w:rFonts w:ascii="Calibri" w:eastAsia="Calibri" w:hAnsi="Calibri" w:cs="Times New Roman"/>
                <w:b/>
                <w:sz w:val="16"/>
                <w:szCs w:val="16"/>
              </w:rPr>
              <w:t>Total ($)</w:t>
            </w:r>
          </w:p>
        </w:tc>
        <w:tc>
          <w:tcPr>
            <w:tcW w:w="3291" w:type="dxa"/>
          </w:tcPr>
          <w:p w14:paraId="1580897E" w14:textId="77777777" w:rsidR="00820433" w:rsidRPr="001C1778" w:rsidRDefault="00820433" w:rsidP="00820433">
            <w:pPr>
              <w:jc w:val="right"/>
              <w:rPr>
                <w:rFonts w:ascii="Calibri" w:hAnsi="Calibri" w:cs="Calibri"/>
                <w:b/>
                <w:bCs/>
                <w:color w:val="000000"/>
                <w:sz w:val="16"/>
                <w:szCs w:val="16"/>
              </w:rPr>
            </w:pPr>
            <w:r w:rsidRPr="001C1778">
              <w:rPr>
                <w:rFonts w:ascii="Calibri" w:hAnsi="Calibri" w:cs="Calibri"/>
                <w:b/>
                <w:bCs/>
                <w:color w:val="000000"/>
                <w:sz w:val="16"/>
                <w:szCs w:val="16"/>
              </w:rPr>
              <w:t>Y</w:t>
            </w:r>
            <w:r w:rsidR="00BC2F76" w:rsidRPr="001C1778">
              <w:rPr>
                <w:rFonts w:ascii="Calibri" w:hAnsi="Calibri" w:cs="Calibri"/>
                <w:b/>
                <w:bCs/>
                <w:color w:val="000000"/>
                <w:sz w:val="16"/>
                <w:szCs w:val="16"/>
              </w:rPr>
              <w:t>r1 =</w:t>
            </w:r>
            <w:r w:rsidRPr="001C1778">
              <w:rPr>
                <w:rFonts w:ascii="Calibri" w:hAnsi="Calibri" w:cs="Calibri"/>
                <w:b/>
                <w:bCs/>
                <w:color w:val="000000"/>
                <w:sz w:val="16"/>
                <w:szCs w:val="16"/>
              </w:rPr>
              <w:t xml:space="preserve"> $</w:t>
            </w:r>
            <w:r w:rsidR="00BC2F76" w:rsidRPr="001C1778">
              <w:rPr>
                <w:rFonts w:ascii="Calibri" w:hAnsi="Calibri" w:cs="Calibri"/>
                <w:b/>
                <w:bCs/>
                <w:color w:val="000000"/>
                <w:sz w:val="16"/>
                <w:szCs w:val="16"/>
              </w:rPr>
              <w:t>652,068</w:t>
            </w:r>
            <w:r w:rsidRPr="001C1778">
              <w:rPr>
                <w:rFonts w:ascii="Calibri" w:hAnsi="Calibri" w:cs="Calibri"/>
                <w:b/>
                <w:bCs/>
                <w:color w:val="000000"/>
                <w:sz w:val="16"/>
                <w:szCs w:val="16"/>
              </w:rPr>
              <w:t xml:space="preserve"> per year</w:t>
            </w:r>
          </w:p>
          <w:p w14:paraId="24847200" w14:textId="60586D17" w:rsidR="00820433" w:rsidRPr="0093639B" w:rsidRDefault="00BC2F76" w:rsidP="0093639B">
            <w:pPr>
              <w:jc w:val="right"/>
              <w:rPr>
                <w:rFonts w:ascii="Calibri" w:hAnsi="Calibri" w:cs="Calibri"/>
                <w:b/>
                <w:bCs/>
                <w:color w:val="000000"/>
                <w:sz w:val="16"/>
                <w:szCs w:val="16"/>
              </w:rPr>
            </w:pPr>
            <w:r w:rsidRPr="001C1778">
              <w:rPr>
                <w:rFonts w:ascii="Calibri" w:hAnsi="Calibri" w:cs="Calibri"/>
                <w:b/>
                <w:bCs/>
                <w:color w:val="000000"/>
                <w:sz w:val="16"/>
                <w:szCs w:val="16"/>
              </w:rPr>
              <w:t>10 Years = $6,520,680</w:t>
            </w:r>
          </w:p>
        </w:tc>
      </w:tr>
    </w:tbl>
    <w:p w14:paraId="56C87CB6" w14:textId="77777777" w:rsidR="003E48A5" w:rsidRPr="00E7007C" w:rsidRDefault="003E48A5" w:rsidP="00D94DC3">
      <w:pPr>
        <w:spacing w:before="100" w:beforeAutospacing="1" w:after="180" w:line="276" w:lineRule="auto"/>
        <w:rPr>
          <w:rFonts w:ascii="Calibri" w:eastAsia="Calibri" w:hAnsi="Calibri" w:cs="Times New Roman"/>
          <w:bCs/>
          <w:color w:val="auto"/>
        </w:rPr>
      </w:pPr>
      <w:r w:rsidRPr="00E7007C">
        <w:rPr>
          <w:rFonts w:ascii="Calibri" w:eastAsia="Calibri" w:hAnsi="Calibri" w:cs="Calibri"/>
          <w:b/>
          <w:color w:val="auto"/>
          <w:spacing w:val="4"/>
          <w:lang w:eastAsia="en-AU"/>
        </w:rPr>
        <w:t>Net Benefit</w:t>
      </w:r>
    </w:p>
    <w:p w14:paraId="6465334C" w14:textId="461A51F1" w:rsidR="00E60863" w:rsidRPr="004F6A6A" w:rsidRDefault="00AA3D0F" w:rsidP="00AA3D0F">
      <w:pPr>
        <w:spacing w:before="120" w:after="180"/>
        <w:rPr>
          <w:rFonts w:ascii="Calibri" w:eastAsia="Calibri" w:hAnsi="Calibri" w:cs="Times New Roman"/>
          <w:lang w:eastAsia="en-AU"/>
        </w:rPr>
      </w:pPr>
      <w:bookmarkStart w:id="125" w:name="_Toc108008499"/>
      <w:r w:rsidRPr="00E7007C">
        <w:rPr>
          <w:rFonts w:ascii="Calibri" w:eastAsia="Calibri" w:hAnsi="Calibri" w:cs="Calibri"/>
          <w:color w:val="auto"/>
          <w:spacing w:val="4"/>
          <w:lang w:eastAsia="en-AU"/>
        </w:rPr>
        <w:t xml:space="preserve">The CDC evaluations have not been conclusive in </w:t>
      </w:r>
      <w:r w:rsidR="00E06324" w:rsidRPr="00E7007C">
        <w:rPr>
          <w:rFonts w:ascii="Calibri" w:eastAsia="Calibri" w:hAnsi="Calibri" w:cs="Calibri"/>
          <w:color w:val="auto"/>
          <w:spacing w:val="4"/>
          <w:lang w:eastAsia="en-AU"/>
        </w:rPr>
        <w:t>finding</w:t>
      </w:r>
      <w:r w:rsidRPr="00E7007C">
        <w:rPr>
          <w:rFonts w:ascii="Calibri" w:eastAsia="Calibri" w:hAnsi="Calibri" w:cs="Calibri"/>
          <w:color w:val="auto"/>
          <w:spacing w:val="4"/>
          <w:lang w:eastAsia="en-AU"/>
        </w:rPr>
        <w:t xml:space="preserve"> any observed benefits to individuals such as reduced alcohol or drug consumption in participating communities</w:t>
      </w:r>
      <w:r w:rsidR="00E06324" w:rsidRPr="00E7007C">
        <w:rPr>
          <w:rFonts w:ascii="Calibri" w:eastAsia="Calibri" w:hAnsi="Calibri" w:cs="Calibri"/>
          <w:color w:val="auto"/>
          <w:spacing w:val="4"/>
          <w:lang w:eastAsia="en-AU"/>
        </w:rPr>
        <w:t xml:space="preserve"> due</w:t>
      </w:r>
      <w:r w:rsidRPr="00E7007C">
        <w:rPr>
          <w:rFonts w:ascii="Calibri" w:eastAsia="Calibri" w:hAnsi="Calibri" w:cs="Calibri"/>
          <w:color w:val="auto"/>
          <w:spacing w:val="4"/>
          <w:lang w:eastAsia="en-AU"/>
        </w:rPr>
        <w:t xml:space="preserve"> to the introduction of the CDC program. </w:t>
      </w:r>
      <w:r w:rsidR="00C05618">
        <w:rPr>
          <w:rFonts w:ascii="Calibri" w:eastAsia="Calibri" w:hAnsi="Calibri" w:cs="Calibri"/>
          <w:color w:val="auto"/>
          <w:spacing w:val="4"/>
          <w:lang w:eastAsia="en-AU"/>
        </w:rPr>
        <w:t>F</w:t>
      </w:r>
      <w:r w:rsidRPr="00E7007C">
        <w:rPr>
          <w:rFonts w:ascii="Calibri" w:eastAsia="Calibri" w:hAnsi="Calibri" w:cs="Calibri"/>
          <w:color w:val="auto"/>
          <w:spacing w:val="4"/>
          <w:lang w:eastAsia="en-AU"/>
        </w:rPr>
        <w:t>eedback from recent consultation</w:t>
      </w:r>
      <w:r w:rsidR="00C05618">
        <w:rPr>
          <w:rFonts w:ascii="Calibri" w:eastAsia="Calibri" w:hAnsi="Calibri" w:cs="Calibri"/>
          <w:color w:val="auto"/>
          <w:spacing w:val="4"/>
          <w:lang w:eastAsia="en-AU"/>
        </w:rPr>
        <w:t>s</w:t>
      </w:r>
      <w:r w:rsidRPr="00E7007C">
        <w:rPr>
          <w:rFonts w:ascii="Calibri" w:eastAsia="Calibri" w:hAnsi="Calibri" w:cs="Calibri"/>
          <w:color w:val="auto"/>
          <w:spacing w:val="4"/>
          <w:lang w:eastAsia="en-AU"/>
        </w:rPr>
        <w:t xml:space="preserve"> have found there is evidence that some people are finding ways to get </w:t>
      </w:r>
      <w:r w:rsidR="00E06324" w:rsidRPr="00E7007C">
        <w:rPr>
          <w:rFonts w:ascii="Calibri" w:eastAsia="Calibri" w:hAnsi="Calibri" w:cs="Calibri"/>
          <w:color w:val="auto"/>
          <w:spacing w:val="4"/>
          <w:lang w:eastAsia="en-AU"/>
        </w:rPr>
        <w:t xml:space="preserve">around the restrictions to </w:t>
      </w:r>
      <w:r w:rsidRPr="004F6A6A">
        <w:rPr>
          <w:rFonts w:ascii="Calibri" w:eastAsia="Calibri" w:hAnsi="Calibri" w:cs="Calibri"/>
          <w:color w:val="262626"/>
          <w:spacing w:val="4"/>
          <w:lang w:eastAsia="en-AU"/>
        </w:rPr>
        <w:t xml:space="preserve">purchase </w:t>
      </w:r>
      <w:r w:rsidR="00C05618">
        <w:rPr>
          <w:rFonts w:ascii="Calibri" w:eastAsia="Calibri" w:hAnsi="Calibri" w:cs="Calibri"/>
          <w:color w:val="262626"/>
          <w:spacing w:val="4"/>
          <w:lang w:eastAsia="en-AU"/>
        </w:rPr>
        <w:t>restricted</w:t>
      </w:r>
      <w:r w:rsidRPr="004F6A6A">
        <w:rPr>
          <w:rFonts w:ascii="Calibri" w:eastAsia="Calibri" w:hAnsi="Calibri" w:cs="Calibri"/>
          <w:color w:val="262626"/>
          <w:spacing w:val="4"/>
          <w:lang w:eastAsia="en-AU"/>
        </w:rPr>
        <w:t xml:space="preserve"> goods. </w:t>
      </w:r>
      <w:r w:rsidR="00E06324">
        <w:rPr>
          <w:rFonts w:ascii="Calibri" w:eastAsia="Calibri" w:hAnsi="Calibri" w:cs="Calibri"/>
          <w:color w:val="262626"/>
          <w:spacing w:val="4"/>
          <w:lang w:eastAsia="en-AU"/>
        </w:rPr>
        <w:t>This reduces the effectiveness of the</w:t>
      </w:r>
      <w:r w:rsidR="000F5B3D">
        <w:rPr>
          <w:rFonts w:ascii="Calibri" w:eastAsia="Calibri" w:hAnsi="Calibri" w:cs="Calibri"/>
          <w:color w:val="262626"/>
          <w:spacing w:val="4"/>
          <w:lang w:eastAsia="en-AU"/>
        </w:rPr>
        <w:t xml:space="preserve"> </w:t>
      </w:r>
      <w:r w:rsidR="00E06324">
        <w:rPr>
          <w:rFonts w:ascii="Calibri" w:eastAsia="Calibri" w:hAnsi="Calibri" w:cs="Calibri"/>
          <w:color w:val="262626"/>
          <w:spacing w:val="4"/>
          <w:lang w:eastAsia="en-AU"/>
        </w:rPr>
        <w:t>program</w:t>
      </w:r>
      <w:r w:rsidR="00694A35">
        <w:rPr>
          <w:rFonts w:ascii="Calibri" w:eastAsia="Calibri" w:hAnsi="Calibri" w:cs="Calibri"/>
          <w:color w:val="262626"/>
          <w:spacing w:val="4"/>
          <w:lang w:eastAsia="en-AU"/>
        </w:rPr>
        <w:t>s</w:t>
      </w:r>
      <w:r w:rsidR="00E06324">
        <w:rPr>
          <w:rFonts w:ascii="Calibri" w:eastAsia="Calibri" w:hAnsi="Calibri" w:cs="Calibri"/>
          <w:color w:val="262626"/>
          <w:spacing w:val="4"/>
          <w:lang w:eastAsia="en-AU"/>
        </w:rPr>
        <w:t xml:space="preserve">. </w:t>
      </w:r>
      <w:r w:rsidR="009428C1">
        <w:rPr>
          <w:rFonts w:ascii="Calibri" w:eastAsia="Calibri" w:hAnsi="Calibri" w:cs="Calibri"/>
          <w:color w:val="262626"/>
          <w:spacing w:val="4"/>
          <w:lang w:eastAsia="en-AU"/>
        </w:rPr>
        <w:t>In addition, t</w:t>
      </w:r>
      <w:r w:rsidRPr="004F6A6A">
        <w:rPr>
          <w:rFonts w:ascii="Calibri" w:eastAsia="Calibri" w:hAnsi="Calibri" w:cs="Calibri"/>
          <w:color w:val="262626"/>
          <w:spacing w:val="4"/>
          <w:lang w:eastAsia="en-AU"/>
        </w:rPr>
        <w:t xml:space="preserve">he </w:t>
      </w:r>
      <w:r w:rsidR="00A20777">
        <w:rPr>
          <w:rFonts w:ascii="Calibri" w:eastAsia="Calibri" w:hAnsi="Calibri" w:cs="Calibri"/>
          <w:color w:val="262626"/>
          <w:spacing w:val="4"/>
          <w:lang w:eastAsia="en-AU"/>
        </w:rPr>
        <w:t xml:space="preserve">CDC and IM </w:t>
      </w:r>
      <w:r w:rsidRPr="004F6A6A">
        <w:rPr>
          <w:rFonts w:ascii="Calibri" w:eastAsia="Calibri" w:hAnsi="Calibri" w:cs="Calibri"/>
          <w:color w:val="262626"/>
          <w:spacing w:val="4"/>
          <w:lang w:eastAsia="en-AU"/>
        </w:rPr>
        <w:t xml:space="preserve">evaluations </w:t>
      </w:r>
      <w:r w:rsidR="000F5B3D">
        <w:rPr>
          <w:rFonts w:ascii="Calibri" w:eastAsia="Calibri" w:hAnsi="Calibri" w:cs="Calibri"/>
          <w:color w:val="262626"/>
          <w:spacing w:val="4"/>
          <w:lang w:eastAsia="en-AU"/>
        </w:rPr>
        <w:t xml:space="preserve">and current consultations </w:t>
      </w:r>
      <w:r w:rsidRPr="004F6A6A">
        <w:rPr>
          <w:rFonts w:ascii="Calibri" w:eastAsia="Calibri" w:hAnsi="Calibri" w:cs="Calibri"/>
          <w:color w:val="262626"/>
          <w:spacing w:val="4"/>
          <w:lang w:eastAsia="en-AU"/>
        </w:rPr>
        <w:t>reported stigma</w:t>
      </w:r>
      <w:r w:rsidR="006B475C">
        <w:rPr>
          <w:rFonts w:ascii="Calibri" w:eastAsia="Calibri" w:hAnsi="Calibri" w:cs="Calibri"/>
          <w:color w:val="262626"/>
          <w:spacing w:val="4"/>
          <w:lang w:eastAsia="en-AU"/>
        </w:rPr>
        <w:t xml:space="preserve"> that</w:t>
      </w:r>
      <w:r w:rsidRPr="004F6A6A">
        <w:rPr>
          <w:rFonts w:ascii="Calibri" w:eastAsia="Calibri" w:hAnsi="Calibri" w:cs="Calibri"/>
          <w:color w:val="262626"/>
          <w:spacing w:val="4"/>
          <w:lang w:eastAsia="en-AU"/>
        </w:rPr>
        <w:t xml:space="preserve"> people felt with being on the programs. </w:t>
      </w:r>
      <w:r w:rsidRPr="004F6A6A">
        <w:rPr>
          <w:rFonts w:ascii="Calibri" w:eastAsia="Calibri" w:hAnsi="Calibri" w:cs="Times New Roman"/>
          <w:lang w:eastAsia="en-AU"/>
        </w:rPr>
        <w:t>The arrangements attempt to achieve community wide outcomes but in doing so they impinge upon the individual freedoms of those without identified problems with drugs, alcohol and/or gambling. By focusing on geographical sites, critics claim the CDC perpetuates the stigma faced by minority communities.</w:t>
      </w:r>
      <w:r w:rsidR="000C0868">
        <w:rPr>
          <w:rFonts w:ascii="Calibri" w:eastAsia="Calibri" w:hAnsi="Calibri" w:cs="Times New Roman"/>
          <w:lang w:eastAsia="en-AU"/>
        </w:rPr>
        <w:t xml:space="preserve"> Also, n</w:t>
      </w:r>
      <w:r w:rsidR="00547158">
        <w:rPr>
          <w:rFonts w:ascii="Calibri" w:eastAsia="Calibri" w:hAnsi="Calibri" w:cs="Times New Roman"/>
          <w:color w:val="262626"/>
        </w:rPr>
        <w:t>o</w:t>
      </w:r>
      <w:r w:rsidR="001C129C">
        <w:rPr>
          <w:rFonts w:ascii="Calibri" w:eastAsia="Calibri" w:hAnsi="Calibri" w:cs="Times New Roman"/>
          <w:color w:val="262626"/>
        </w:rPr>
        <w:t xml:space="preserve">t </w:t>
      </w:r>
      <w:r w:rsidR="00547158">
        <w:rPr>
          <w:rFonts w:ascii="Calibri" w:eastAsia="Calibri" w:hAnsi="Calibri" w:cs="Times New Roman"/>
          <w:color w:val="262626"/>
        </w:rPr>
        <w:t>chang</w:t>
      </w:r>
      <w:r w:rsidR="001C129C">
        <w:rPr>
          <w:rFonts w:ascii="Calibri" w:eastAsia="Calibri" w:hAnsi="Calibri" w:cs="Times New Roman"/>
          <w:color w:val="262626"/>
        </w:rPr>
        <w:t>ing</w:t>
      </w:r>
      <w:r w:rsidR="00547158">
        <w:rPr>
          <w:rFonts w:ascii="Calibri" w:eastAsia="Calibri" w:hAnsi="Calibri" w:cs="Times New Roman"/>
          <w:color w:val="262626"/>
        </w:rPr>
        <w:t xml:space="preserve"> the BasicsCard technology will perpetuate the outdated functionality </w:t>
      </w:r>
      <w:r w:rsidR="000C0868">
        <w:rPr>
          <w:rFonts w:ascii="Calibri" w:eastAsia="Calibri" w:hAnsi="Calibri" w:cs="Times New Roman"/>
          <w:color w:val="262626"/>
        </w:rPr>
        <w:t xml:space="preserve">of the card keeping </w:t>
      </w:r>
      <w:r w:rsidR="000C0868" w:rsidRPr="00547158">
        <w:rPr>
          <w:rFonts w:ascii="Calibri" w:eastAsia="Calibri" w:hAnsi="Calibri" w:cs="Times New Roman"/>
          <w:lang w:eastAsia="en-AU"/>
        </w:rPr>
        <w:t xml:space="preserve">IM participants </w:t>
      </w:r>
      <w:r w:rsidR="000C0868">
        <w:rPr>
          <w:rFonts w:ascii="Calibri" w:eastAsia="Calibri" w:hAnsi="Calibri" w:cs="Times New Roman"/>
          <w:lang w:eastAsia="en-AU"/>
        </w:rPr>
        <w:t xml:space="preserve">with limited </w:t>
      </w:r>
      <w:r w:rsidR="000C0868" w:rsidRPr="00547158">
        <w:rPr>
          <w:rFonts w:ascii="Calibri" w:eastAsia="Calibri" w:hAnsi="Calibri" w:cs="Times New Roman"/>
          <w:lang w:eastAsia="en-AU"/>
        </w:rPr>
        <w:t>access to</w:t>
      </w:r>
      <w:r w:rsidR="000C0868">
        <w:rPr>
          <w:rFonts w:ascii="Calibri" w:eastAsia="Calibri" w:hAnsi="Calibri" w:cs="Times New Roman"/>
          <w:lang w:eastAsia="en-AU"/>
        </w:rPr>
        <w:t xml:space="preserve"> merchants and</w:t>
      </w:r>
      <w:r w:rsidR="000C0868" w:rsidRPr="00547158">
        <w:rPr>
          <w:rFonts w:ascii="Calibri" w:eastAsia="Calibri" w:hAnsi="Calibri" w:cs="Times New Roman"/>
          <w:lang w:eastAsia="en-AU"/>
        </w:rPr>
        <w:t xml:space="preserve"> a range of mainstream banking functions, internet shopping or use of </w:t>
      </w:r>
      <w:r w:rsidR="002125F9" w:rsidRPr="00547158">
        <w:rPr>
          <w:rFonts w:ascii="Calibri" w:eastAsia="Calibri" w:hAnsi="Calibri" w:cs="Times New Roman"/>
          <w:lang w:eastAsia="en-AU"/>
        </w:rPr>
        <w:t>BP</w:t>
      </w:r>
      <w:r w:rsidR="002125F9">
        <w:rPr>
          <w:rFonts w:ascii="Calibri" w:eastAsia="Calibri" w:hAnsi="Calibri" w:cs="Times New Roman"/>
          <w:lang w:eastAsia="en-AU"/>
        </w:rPr>
        <w:t>AY</w:t>
      </w:r>
      <w:r w:rsidR="000C0868" w:rsidRPr="00547158">
        <w:rPr>
          <w:rFonts w:ascii="Calibri" w:eastAsia="Calibri" w:hAnsi="Calibri" w:cs="Times New Roman"/>
          <w:lang w:eastAsia="en-AU"/>
        </w:rPr>
        <w:t xml:space="preserve">. </w:t>
      </w:r>
      <w:r w:rsidRPr="004F6A6A">
        <w:rPr>
          <w:rFonts w:ascii="Calibri" w:eastAsia="Calibri" w:hAnsi="Calibri" w:cs="Times New Roman"/>
          <w:lang w:eastAsia="en-AU"/>
        </w:rPr>
        <w:t>In conclusion, the cost of the program</w:t>
      </w:r>
      <w:r w:rsidR="000C0868">
        <w:rPr>
          <w:rFonts w:ascii="Calibri" w:eastAsia="Calibri" w:hAnsi="Calibri" w:cs="Times New Roman"/>
          <w:lang w:eastAsia="en-AU"/>
        </w:rPr>
        <w:t>s</w:t>
      </w:r>
      <w:r w:rsidRPr="004F6A6A">
        <w:rPr>
          <w:rFonts w:ascii="Calibri" w:eastAsia="Calibri" w:hAnsi="Calibri" w:cs="Times New Roman"/>
          <w:lang w:eastAsia="en-AU"/>
        </w:rPr>
        <w:t xml:space="preserve"> outweigh</w:t>
      </w:r>
      <w:r w:rsidR="0093639B">
        <w:rPr>
          <w:rFonts w:ascii="Calibri" w:eastAsia="Calibri" w:hAnsi="Calibri" w:cs="Times New Roman"/>
          <w:lang w:eastAsia="en-AU"/>
        </w:rPr>
        <w:t>s the benefits for individuals.</w:t>
      </w:r>
    </w:p>
    <w:p w14:paraId="196DDB01" w14:textId="77777777" w:rsidR="003E48A5" w:rsidRPr="005C7470" w:rsidRDefault="00FC667A" w:rsidP="00B65911">
      <w:pPr>
        <w:pStyle w:val="Heading4"/>
      </w:pPr>
      <w:r>
        <w:t xml:space="preserve">4.1.1.2 </w:t>
      </w:r>
      <w:r w:rsidR="003E48A5" w:rsidRPr="005C7470">
        <w:t>Merchants</w:t>
      </w:r>
      <w:bookmarkEnd w:id="125"/>
    </w:p>
    <w:p w14:paraId="26777A86" w14:textId="77777777" w:rsidR="003E48A5" w:rsidRPr="005C7470" w:rsidRDefault="003E48A5" w:rsidP="003E48A5">
      <w:pPr>
        <w:spacing w:before="120" w:after="180" w:line="276" w:lineRule="auto"/>
        <w:rPr>
          <w:rFonts w:ascii="Calibri" w:eastAsia="Arial" w:hAnsi="Calibri" w:cs="Arial"/>
          <w:b/>
          <w:color w:val="262626"/>
        </w:rPr>
      </w:pPr>
      <w:r w:rsidRPr="005C7470">
        <w:rPr>
          <w:rFonts w:ascii="Calibri" w:eastAsia="Arial" w:hAnsi="Calibri" w:cs="Arial"/>
          <w:b/>
          <w:color w:val="262626"/>
        </w:rPr>
        <w:t>Benefits</w:t>
      </w:r>
    </w:p>
    <w:p w14:paraId="50A43341" w14:textId="49184F76" w:rsidR="00DD68F3" w:rsidRPr="00AD672F" w:rsidRDefault="00AD672F" w:rsidP="00D73AA9">
      <w:pPr>
        <w:pStyle w:val="BulletedListlvl1"/>
        <w:rPr>
          <w:lang w:eastAsia="en-AU"/>
        </w:rPr>
      </w:pPr>
      <w:r w:rsidRPr="00AD672F">
        <w:rPr>
          <w:b/>
          <w:lang w:eastAsia="en-AU"/>
        </w:rPr>
        <w:t>Impact to t</w:t>
      </w:r>
      <w:r w:rsidR="00DD68F3" w:rsidRPr="00AD672F">
        <w:rPr>
          <w:b/>
          <w:lang w:eastAsia="en-AU"/>
        </w:rPr>
        <w:t xml:space="preserve">he majority of retailers </w:t>
      </w:r>
      <w:r w:rsidRPr="00AD672F">
        <w:rPr>
          <w:b/>
          <w:lang w:eastAsia="en-AU"/>
        </w:rPr>
        <w:t>is minimal</w:t>
      </w:r>
      <w:r>
        <w:rPr>
          <w:lang w:eastAsia="en-AU"/>
        </w:rPr>
        <w:t>. T</w:t>
      </w:r>
      <w:r w:rsidRPr="00644E5E">
        <w:rPr>
          <w:lang w:eastAsia="en-AU"/>
        </w:rPr>
        <w:t xml:space="preserve">he </w:t>
      </w:r>
      <w:r w:rsidRPr="00AD672F">
        <w:rPr>
          <w:lang w:eastAsia="en-AU"/>
        </w:rPr>
        <w:t xml:space="preserve">majority of retailers </w:t>
      </w:r>
      <w:r w:rsidR="00DD68F3" w:rsidRPr="00AD672F">
        <w:rPr>
          <w:lang w:eastAsia="en-AU"/>
        </w:rPr>
        <w:t>do not sell restricted items and will be unaffected by the continuation of the CDC program.</w:t>
      </w:r>
    </w:p>
    <w:p w14:paraId="464F36E1" w14:textId="77777777" w:rsidR="003E48A5" w:rsidRPr="00644E5E" w:rsidRDefault="00AD672F" w:rsidP="00D73AA9">
      <w:pPr>
        <w:pStyle w:val="BulletedListlvl1"/>
        <w:rPr>
          <w:lang w:eastAsia="en-AU"/>
        </w:rPr>
      </w:pPr>
      <w:r w:rsidRPr="00AD672F">
        <w:rPr>
          <w:b/>
          <w:lang w:eastAsia="en-AU"/>
        </w:rPr>
        <w:t>No additional costs of complying with the programs.</w:t>
      </w:r>
      <w:r w:rsidRPr="00AD672F">
        <w:rPr>
          <w:lang w:eastAsia="en-AU"/>
        </w:rPr>
        <w:t xml:space="preserve"> </w:t>
      </w:r>
      <w:r w:rsidR="003E48A5" w:rsidRPr="00AD672F">
        <w:rPr>
          <w:lang w:eastAsia="en-AU"/>
        </w:rPr>
        <w:t xml:space="preserve">As this option offers no change to current program settings for </w:t>
      </w:r>
      <w:r w:rsidR="00334943" w:rsidRPr="00AD672F">
        <w:rPr>
          <w:lang w:eastAsia="en-AU"/>
        </w:rPr>
        <w:t xml:space="preserve">CDC program or </w:t>
      </w:r>
      <w:r w:rsidR="00644E5E" w:rsidRPr="00AD672F">
        <w:rPr>
          <w:lang w:eastAsia="en-AU"/>
        </w:rPr>
        <w:t>IM</w:t>
      </w:r>
      <w:r w:rsidR="003E48A5" w:rsidRPr="00AD672F">
        <w:rPr>
          <w:lang w:eastAsia="en-AU"/>
        </w:rPr>
        <w:t xml:space="preserve">, </w:t>
      </w:r>
      <w:r w:rsidR="008D7B57" w:rsidRPr="00AD672F">
        <w:rPr>
          <w:lang w:eastAsia="en-AU"/>
        </w:rPr>
        <w:t xml:space="preserve">existing </w:t>
      </w:r>
      <w:r w:rsidR="003E48A5" w:rsidRPr="00AD672F">
        <w:rPr>
          <w:lang w:eastAsia="en-AU"/>
        </w:rPr>
        <w:t>merchant</w:t>
      </w:r>
      <w:r w:rsidR="00E06324" w:rsidRPr="00AD672F">
        <w:rPr>
          <w:lang w:eastAsia="en-AU"/>
        </w:rPr>
        <w:t xml:space="preserve">s </w:t>
      </w:r>
      <w:r w:rsidR="008D7B57" w:rsidRPr="00AD672F">
        <w:rPr>
          <w:lang w:eastAsia="en-AU"/>
        </w:rPr>
        <w:t xml:space="preserve">that accept income managed funds </w:t>
      </w:r>
      <w:r w:rsidR="00E06324" w:rsidRPr="00AD672F">
        <w:rPr>
          <w:lang w:eastAsia="en-AU"/>
        </w:rPr>
        <w:t>will not have to incur additional costs</w:t>
      </w:r>
      <w:r w:rsidR="00E06324">
        <w:rPr>
          <w:lang w:eastAsia="en-AU"/>
        </w:rPr>
        <w:t xml:space="preserve"> </w:t>
      </w:r>
      <w:r w:rsidR="00FD2793">
        <w:rPr>
          <w:lang w:eastAsia="en-AU"/>
        </w:rPr>
        <w:t>of complying with the programs.</w:t>
      </w:r>
    </w:p>
    <w:p w14:paraId="67F92FA6" w14:textId="77777777" w:rsidR="003E48A5" w:rsidRPr="005C7470" w:rsidRDefault="003E48A5" w:rsidP="003E48A5">
      <w:pPr>
        <w:spacing w:before="120" w:after="180" w:line="276" w:lineRule="auto"/>
        <w:rPr>
          <w:rFonts w:ascii="Calibri" w:eastAsia="Arial" w:hAnsi="Calibri" w:cs="Arial"/>
          <w:b/>
          <w:color w:val="262626"/>
        </w:rPr>
      </w:pPr>
      <w:r w:rsidRPr="005C7470">
        <w:rPr>
          <w:rFonts w:ascii="Calibri" w:eastAsia="Arial" w:hAnsi="Calibri" w:cs="Arial"/>
          <w:b/>
          <w:color w:val="262626"/>
        </w:rPr>
        <w:t>Costs</w:t>
      </w:r>
    </w:p>
    <w:p w14:paraId="5DA5F24F" w14:textId="77777777" w:rsidR="003E48A5" w:rsidRPr="003C5114" w:rsidRDefault="003E48A5" w:rsidP="00D73AA9">
      <w:pPr>
        <w:pStyle w:val="BulletedListlvl1"/>
        <w:rPr>
          <w:lang w:eastAsia="en-AU"/>
        </w:rPr>
      </w:pPr>
      <w:r w:rsidRPr="00F53D21">
        <w:rPr>
          <w:b/>
          <w:lang w:eastAsia="en-AU"/>
        </w:rPr>
        <w:t>No change to current program</w:t>
      </w:r>
      <w:r w:rsidRPr="003C5114">
        <w:rPr>
          <w:lang w:eastAsia="en-AU"/>
        </w:rPr>
        <w:t xml:space="preserve"> settings means that merchants must maintain dual systems if they are to accept BasicsCard and the CDC.</w:t>
      </w:r>
    </w:p>
    <w:p w14:paraId="424D95F8" w14:textId="77777777" w:rsidR="00A41764" w:rsidRPr="003C5114" w:rsidRDefault="00F53D21" w:rsidP="00D73AA9">
      <w:pPr>
        <w:pStyle w:val="BulletedListlvl1"/>
        <w:rPr>
          <w:lang w:eastAsia="en-AU"/>
        </w:rPr>
      </w:pPr>
      <w:r w:rsidRPr="00274790">
        <w:rPr>
          <w:b/>
        </w:rPr>
        <w:t>Mix</w:t>
      </w:r>
      <w:r w:rsidR="00274790" w:rsidRPr="00274790">
        <w:rPr>
          <w:b/>
        </w:rPr>
        <w:t xml:space="preserve"> Merchant are required to enter into agreement</w:t>
      </w:r>
      <w:r w:rsidR="0090500F">
        <w:rPr>
          <w:b/>
        </w:rPr>
        <w:t>s</w:t>
      </w:r>
      <w:r w:rsidR="00274790">
        <w:t xml:space="preserve">. </w:t>
      </w:r>
      <w:r w:rsidR="0015576D" w:rsidRPr="003C5114">
        <w:t>The D</w:t>
      </w:r>
      <w:r w:rsidR="004E509C" w:rsidRPr="003C5114">
        <w:t xml:space="preserve">epartment engages </w:t>
      </w:r>
      <w:r w:rsidR="00E9115F" w:rsidRPr="003C5114">
        <w:t xml:space="preserve">mainly </w:t>
      </w:r>
      <w:r w:rsidR="004E509C" w:rsidRPr="003C5114">
        <w:t xml:space="preserve">with </w:t>
      </w:r>
      <w:r w:rsidR="00E9115F" w:rsidRPr="003C5114">
        <w:t xml:space="preserve">mixed </w:t>
      </w:r>
      <w:r w:rsidR="004E509C" w:rsidRPr="003C5114">
        <w:t>m</w:t>
      </w:r>
      <w:r w:rsidR="00A41764" w:rsidRPr="003C5114">
        <w:t xml:space="preserve">erchants who </w:t>
      </w:r>
      <w:r w:rsidR="009A2D83" w:rsidRPr="003C5114">
        <w:t xml:space="preserve">sell a </w:t>
      </w:r>
      <w:r w:rsidR="0015576D" w:rsidRPr="003C5114">
        <w:t>combination</w:t>
      </w:r>
      <w:r w:rsidR="00E9115F" w:rsidRPr="003C5114">
        <w:t xml:space="preserve"> of restricted and unrestricted products</w:t>
      </w:r>
      <w:r w:rsidR="009428C1" w:rsidRPr="003C5114">
        <w:t xml:space="preserve"> t</w:t>
      </w:r>
      <w:r w:rsidR="00A41764" w:rsidRPr="003C5114">
        <w:t>o discuss entering into an agreement, which could be either a merchant participant agreement (to implement PLB) or a mixed merchant agreement (not compatible with PLB).</w:t>
      </w:r>
    </w:p>
    <w:p w14:paraId="357F19B2" w14:textId="77777777" w:rsidR="00E06324" w:rsidRPr="003C5114" w:rsidRDefault="00E06324" w:rsidP="00D73AA9">
      <w:pPr>
        <w:pStyle w:val="BulletedListlvl1"/>
        <w:rPr>
          <w:lang w:eastAsia="en-AU"/>
        </w:rPr>
      </w:pPr>
      <w:r w:rsidRPr="00274790">
        <w:rPr>
          <w:b/>
          <w:lang w:eastAsia="en-AU"/>
        </w:rPr>
        <w:t xml:space="preserve">There are costs to merchants that may want to participate in the </w:t>
      </w:r>
      <w:r w:rsidR="006235DE" w:rsidRPr="00274790">
        <w:rPr>
          <w:b/>
          <w:lang w:eastAsia="en-AU"/>
        </w:rPr>
        <w:t xml:space="preserve">CDC </w:t>
      </w:r>
      <w:r w:rsidRPr="00274790">
        <w:rPr>
          <w:b/>
          <w:lang w:eastAsia="en-AU"/>
        </w:rPr>
        <w:t>program</w:t>
      </w:r>
      <w:r w:rsidRPr="003C5114">
        <w:rPr>
          <w:lang w:eastAsia="en-AU"/>
        </w:rPr>
        <w:t>.</w:t>
      </w:r>
    </w:p>
    <w:p w14:paraId="680989E5" w14:textId="774DD467" w:rsidR="00644E5E" w:rsidRPr="001C1778" w:rsidRDefault="003E48A5" w:rsidP="00576978">
      <w:pPr>
        <w:pStyle w:val="BulletedListlvl2"/>
        <w:ind w:left="1443"/>
        <w:rPr>
          <w:lang w:eastAsia="en-AU"/>
        </w:rPr>
      </w:pPr>
      <w:r w:rsidRPr="003C5114">
        <w:rPr>
          <w:lang w:eastAsia="en-AU"/>
        </w:rPr>
        <w:t xml:space="preserve">To benefit from PLB, mixed merchants need to invest in PLB technology. </w:t>
      </w:r>
      <w:r w:rsidR="00E06324" w:rsidRPr="003C5114">
        <w:rPr>
          <w:lang w:eastAsia="en-AU"/>
        </w:rPr>
        <w:t>There are a</w:t>
      </w:r>
      <w:r w:rsidRPr="003C5114">
        <w:rPr>
          <w:lang w:eastAsia="en-AU"/>
        </w:rPr>
        <w:t xml:space="preserve">round </w:t>
      </w:r>
      <w:r w:rsidR="00602770" w:rsidRPr="003C5114">
        <w:rPr>
          <w:lang w:eastAsia="en-AU"/>
        </w:rPr>
        <w:t>400</w:t>
      </w:r>
      <w:r w:rsidRPr="003C5114">
        <w:rPr>
          <w:lang w:eastAsia="en-AU"/>
        </w:rPr>
        <w:t xml:space="preserve"> mixed merchants</w:t>
      </w:r>
      <w:r w:rsidR="005F186B" w:rsidRPr="003C5114">
        <w:rPr>
          <w:lang w:eastAsia="en-AU"/>
        </w:rPr>
        <w:t xml:space="preserve"> in the current CDC sites</w:t>
      </w:r>
      <w:r w:rsidR="005F186B">
        <w:rPr>
          <w:lang w:eastAsia="en-AU"/>
        </w:rPr>
        <w:t xml:space="preserve"> </w:t>
      </w:r>
      <w:r w:rsidR="00E06324">
        <w:rPr>
          <w:lang w:eastAsia="en-AU"/>
        </w:rPr>
        <w:t xml:space="preserve">of which </w:t>
      </w:r>
      <w:r w:rsidR="008E1FDE">
        <w:rPr>
          <w:lang w:eastAsia="en-AU"/>
        </w:rPr>
        <w:t xml:space="preserve">80 </w:t>
      </w:r>
      <w:r w:rsidR="00E06324">
        <w:rPr>
          <w:lang w:eastAsia="en-AU"/>
        </w:rPr>
        <w:t xml:space="preserve">already have PLB in their business. </w:t>
      </w:r>
      <w:r w:rsidR="006B475C">
        <w:rPr>
          <w:lang w:eastAsia="en-AU"/>
        </w:rPr>
        <w:t>The</w:t>
      </w:r>
      <w:r w:rsidR="00274790">
        <w:rPr>
          <w:lang w:eastAsia="en-AU"/>
        </w:rPr>
        <w:t>re are approximately</w:t>
      </w:r>
      <w:r w:rsidR="006235DE">
        <w:rPr>
          <w:lang w:eastAsia="en-AU"/>
        </w:rPr>
        <w:t xml:space="preserve"> </w:t>
      </w:r>
      <w:r w:rsidR="001C51AE" w:rsidRPr="001C129C">
        <w:rPr>
          <w:lang w:eastAsia="en-AU"/>
        </w:rPr>
        <w:t xml:space="preserve">267 </w:t>
      </w:r>
      <w:r w:rsidR="006235DE" w:rsidRPr="001C129C">
        <w:rPr>
          <w:lang w:eastAsia="en-AU"/>
        </w:rPr>
        <w:t xml:space="preserve">merchants </w:t>
      </w:r>
      <w:r w:rsidR="00274790" w:rsidRPr="001C129C">
        <w:rPr>
          <w:lang w:eastAsia="en-AU"/>
        </w:rPr>
        <w:t xml:space="preserve">who </w:t>
      </w:r>
      <w:r w:rsidR="006235DE" w:rsidRPr="001C129C">
        <w:rPr>
          <w:lang w:eastAsia="en-AU"/>
        </w:rPr>
        <w:t>will need to enable the PLB technology on the</w:t>
      </w:r>
      <w:r w:rsidR="0090500F">
        <w:rPr>
          <w:lang w:eastAsia="en-AU"/>
        </w:rPr>
        <w:t>ir</w:t>
      </w:r>
      <w:r w:rsidR="006235DE" w:rsidRPr="001C129C">
        <w:rPr>
          <w:lang w:eastAsia="en-AU"/>
        </w:rPr>
        <w:t xml:space="preserve"> point of sale system, train their staff and update their product listing to identify restricted items. </w:t>
      </w:r>
      <w:r w:rsidR="00AD672F" w:rsidRPr="001C129C">
        <w:rPr>
          <w:lang w:eastAsia="en-AU"/>
        </w:rPr>
        <w:t>We expect by year 5 there will be a further 53 mixed merchants</w:t>
      </w:r>
      <w:r w:rsidR="001C129C">
        <w:rPr>
          <w:lang w:eastAsia="en-AU"/>
        </w:rPr>
        <w:t xml:space="preserve"> who would have upgraded their systems to accept PLB</w:t>
      </w:r>
      <w:r w:rsidR="00AD672F" w:rsidRPr="001C129C">
        <w:rPr>
          <w:lang w:eastAsia="en-AU"/>
        </w:rPr>
        <w:t xml:space="preserve">. </w:t>
      </w:r>
      <w:r w:rsidR="006235DE" w:rsidRPr="001C129C">
        <w:rPr>
          <w:lang w:eastAsia="en-AU"/>
        </w:rPr>
        <w:t>Once</w:t>
      </w:r>
      <w:r w:rsidR="006235DE">
        <w:rPr>
          <w:lang w:eastAsia="en-AU"/>
        </w:rPr>
        <w:t xml:space="preserve"> PLB is enabled there is little difference between using the CDC or any other card. </w:t>
      </w:r>
      <w:r w:rsidRPr="00644E5E">
        <w:rPr>
          <w:lang w:eastAsia="en-AU"/>
        </w:rPr>
        <w:t>Some small ongoing costs exist for compliance monitoring and maintenance of merchants’ PLB hardware and software</w:t>
      </w:r>
      <w:r w:rsidRPr="006478FC">
        <w:rPr>
          <w:lang w:eastAsia="en-AU"/>
        </w:rPr>
        <w:t xml:space="preserve">. </w:t>
      </w:r>
      <w:r w:rsidR="006478FC">
        <w:rPr>
          <w:lang w:eastAsia="en-AU"/>
        </w:rPr>
        <w:t>Most of the bank</w:t>
      </w:r>
      <w:r w:rsidR="009A2D83">
        <w:rPr>
          <w:lang w:eastAsia="en-AU"/>
        </w:rPr>
        <w:t>s</w:t>
      </w:r>
      <w:r w:rsidRPr="006478FC">
        <w:rPr>
          <w:lang w:eastAsia="en-AU"/>
        </w:rPr>
        <w:t xml:space="preserve"> charge a higher card payment terminal renta</w:t>
      </w:r>
      <w:r w:rsidR="00DD68F3" w:rsidRPr="006478FC">
        <w:rPr>
          <w:lang w:eastAsia="en-AU"/>
        </w:rPr>
        <w:t>l fee if a merchant upgrades to an i</w:t>
      </w:r>
      <w:r w:rsidR="00FE64BF">
        <w:rPr>
          <w:lang w:eastAsia="en-AU"/>
        </w:rPr>
        <w:t>ntegrated PIN Pad</w:t>
      </w:r>
      <w:r w:rsidR="00EB5A6A">
        <w:rPr>
          <w:lang w:eastAsia="en-AU"/>
        </w:rPr>
        <w:t>. Given this is merchant technology that is required for any business which accepts credit and debt cards the majority of merchant</w:t>
      </w:r>
      <w:r w:rsidR="004260A4">
        <w:rPr>
          <w:lang w:eastAsia="en-AU"/>
        </w:rPr>
        <w:t>s</w:t>
      </w:r>
      <w:r w:rsidR="00EB5A6A">
        <w:rPr>
          <w:lang w:eastAsia="en-AU"/>
        </w:rPr>
        <w:t xml:space="preserve"> will have the infrastructure in place and the</w:t>
      </w:r>
      <w:r w:rsidR="0090500F">
        <w:rPr>
          <w:lang w:eastAsia="en-AU"/>
        </w:rPr>
        <w:t>re will only be a small number a</w:t>
      </w:r>
      <w:r w:rsidR="00EB5A6A">
        <w:rPr>
          <w:lang w:eastAsia="en-AU"/>
        </w:rPr>
        <w:t>ffected</w:t>
      </w:r>
      <w:r w:rsidR="004260A4">
        <w:rPr>
          <w:lang w:eastAsia="en-AU"/>
        </w:rPr>
        <w:t xml:space="preserve">, if any, </w:t>
      </w:r>
      <w:r w:rsidR="00EB5A6A">
        <w:rPr>
          <w:lang w:eastAsia="en-AU"/>
        </w:rPr>
        <w:t>that would need to purchase new pin pads. Therefore</w:t>
      </w:r>
      <w:r w:rsidR="007140E7">
        <w:rPr>
          <w:lang w:eastAsia="en-AU"/>
        </w:rPr>
        <w:t>,</w:t>
      </w:r>
      <w:r w:rsidR="00EB5A6A">
        <w:rPr>
          <w:lang w:eastAsia="en-AU"/>
        </w:rPr>
        <w:t xml:space="preserve"> we have not costed the regulatory costs as these will be very small and unlikely</w:t>
      </w:r>
      <w:r w:rsidR="008B0B00">
        <w:rPr>
          <w:lang w:eastAsia="en-AU"/>
        </w:rPr>
        <w:t>.</w:t>
      </w:r>
    </w:p>
    <w:p w14:paraId="50FBF3ED" w14:textId="77777777" w:rsidR="00DD68F3" w:rsidRDefault="006901E6" w:rsidP="00576978">
      <w:pPr>
        <w:pStyle w:val="BulletedListlvl2"/>
        <w:ind w:left="1443"/>
        <w:rPr>
          <w:lang w:eastAsia="en-AU"/>
        </w:rPr>
      </w:pPr>
      <w:r>
        <w:rPr>
          <w:lang w:eastAsia="en-AU"/>
        </w:rPr>
        <w:t>M</w:t>
      </w:r>
      <w:r w:rsidR="00D30CCA">
        <w:rPr>
          <w:lang w:eastAsia="en-AU"/>
        </w:rPr>
        <w:t>erchants that do not participate</w:t>
      </w:r>
      <w:r>
        <w:rPr>
          <w:lang w:eastAsia="en-AU"/>
        </w:rPr>
        <w:t xml:space="preserve"> </w:t>
      </w:r>
      <w:r w:rsidR="00D30CCA">
        <w:rPr>
          <w:lang w:eastAsia="en-AU"/>
        </w:rPr>
        <w:t xml:space="preserve">in PLB </w:t>
      </w:r>
      <w:r>
        <w:rPr>
          <w:lang w:eastAsia="en-AU"/>
        </w:rPr>
        <w:t xml:space="preserve">will need to go through a manual </w:t>
      </w:r>
      <w:r w:rsidR="005D5825">
        <w:rPr>
          <w:lang w:eastAsia="en-AU"/>
        </w:rPr>
        <w:t>process</w:t>
      </w:r>
      <w:r>
        <w:rPr>
          <w:lang w:eastAsia="en-AU"/>
        </w:rPr>
        <w:t xml:space="preserve"> of </w:t>
      </w:r>
      <w:r w:rsidR="005D5825">
        <w:rPr>
          <w:lang w:eastAsia="en-AU"/>
        </w:rPr>
        <w:t>identifying</w:t>
      </w:r>
      <w:r>
        <w:rPr>
          <w:lang w:eastAsia="en-AU"/>
        </w:rPr>
        <w:t xml:space="preserve"> product</w:t>
      </w:r>
      <w:r w:rsidR="0090500F">
        <w:rPr>
          <w:lang w:eastAsia="en-AU"/>
        </w:rPr>
        <w:t>s</w:t>
      </w:r>
      <w:r>
        <w:rPr>
          <w:lang w:eastAsia="en-AU"/>
        </w:rPr>
        <w:t xml:space="preserve"> and whether they are restrict</w:t>
      </w:r>
      <w:r w:rsidR="00D30CCA">
        <w:rPr>
          <w:lang w:eastAsia="en-AU"/>
        </w:rPr>
        <w:t>ed</w:t>
      </w:r>
      <w:r>
        <w:rPr>
          <w:lang w:eastAsia="en-AU"/>
        </w:rPr>
        <w:t xml:space="preserve"> at the point of sale. </w:t>
      </w:r>
      <w:r w:rsidR="00D30CCA">
        <w:rPr>
          <w:lang w:eastAsia="en-AU"/>
        </w:rPr>
        <w:t xml:space="preserve">This puts </w:t>
      </w:r>
      <w:r>
        <w:rPr>
          <w:lang w:eastAsia="en-AU"/>
        </w:rPr>
        <w:t xml:space="preserve">the </w:t>
      </w:r>
      <w:r w:rsidR="00D30CCA">
        <w:rPr>
          <w:lang w:eastAsia="en-AU"/>
        </w:rPr>
        <w:t>focus</w:t>
      </w:r>
      <w:r w:rsidR="0090500F">
        <w:rPr>
          <w:lang w:eastAsia="en-AU"/>
        </w:rPr>
        <w:t xml:space="preserve"> and burden</w:t>
      </w:r>
      <w:r w:rsidR="00D30CCA">
        <w:rPr>
          <w:lang w:eastAsia="en-AU"/>
        </w:rPr>
        <w:t xml:space="preserve"> </w:t>
      </w:r>
      <w:r w:rsidR="0090500F">
        <w:rPr>
          <w:lang w:eastAsia="en-AU"/>
        </w:rPr>
        <w:t>of</w:t>
      </w:r>
      <w:r w:rsidR="00AB050B">
        <w:rPr>
          <w:lang w:eastAsia="en-AU"/>
        </w:rPr>
        <w:t xml:space="preserve"> compliance on</w:t>
      </w:r>
      <w:r>
        <w:rPr>
          <w:lang w:eastAsia="en-AU"/>
        </w:rPr>
        <w:t xml:space="preserve"> the merchant rather than rely</w:t>
      </w:r>
      <w:r w:rsidR="00D30CCA">
        <w:rPr>
          <w:lang w:eastAsia="en-AU"/>
        </w:rPr>
        <w:t>ing on the technology available.</w:t>
      </w:r>
      <w:r w:rsidRPr="00644E5E" w:rsidDel="006901E6">
        <w:rPr>
          <w:lang w:eastAsia="en-AU"/>
        </w:rPr>
        <w:t xml:space="preserve"> </w:t>
      </w:r>
      <w:r w:rsidR="00AB050B" w:rsidRPr="00254CCC">
        <w:rPr>
          <w:lang w:eastAsia="en-AU"/>
        </w:rPr>
        <w:t>The re</w:t>
      </w:r>
      <w:r w:rsidR="00DD0FFB" w:rsidRPr="00254CCC">
        <w:rPr>
          <w:lang w:eastAsia="en-AU"/>
        </w:rPr>
        <w:t xml:space="preserve">gulatory costs have not been </w:t>
      </w:r>
      <w:r w:rsidR="0090500F" w:rsidRPr="00254CCC">
        <w:rPr>
          <w:lang w:eastAsia="en-AU"/>
        </w:rPr>
        <w:t>assessed,</w:t>
      </w:r>
      <w:r w:rsidR="00AB050B" w:rsidRPr="00254CCC">
        <w:rPr>
          <w:lang w:eastAsia="en-AU"/>
        </w:rPr>
        <w:t xml:space="preserve"> as there will be a very small number of merchant impact</w:t>
      </w:r>
      <w:r w:rsidR="0012625B" w:rsidRPr="00254CCC">
        <w:rPr>
          <w:lang w:eastAsia="en-AU"/>
        </w:rPr>
        <w:t>ed in</w:t>
      </w:r>
      <w:r w:rsidR="00AB050B" w:rsidRPr="00254CCC">
        <w:rPr>
          <w:lang w:eastAsia="en-AU"/>
        </w:rPr>
        <w:t xml:space="preserve"> this way</w:t>
      </w:r>
      <w:r w:rsidR="00375A7B" w:rsidRPr="00254CCC">
        <w:rPr>
          <w:lang w:eastAsia="en-AU"/>
        </w:rPr>
        <w:t xml:space="preserve">. </w:t>
      </w:r>
      <w:r w:rsidR="00AB050B">
        <w:rPr>
          <w:lang w:eastAsia="en-AU"/>
        </w:rPr>
        <w:t>T</w:t>
      </w:r>
      <w:r w:rsidR="00CA20CA" w:rsidRPr="001C129C">
        <w:rPr>
          <w:lang w:eastAsia="en-AU"/>
        </w:rPr>
        <w:t>here are no merchant costs for exiting.</w:t>
      </w:r>
    </w:p>
    <w:p w14:paraId="6CC9ADDA" w14:textId="77777777" w:rsidR="00505F3E" w:rsidRDefault="00505F3E" w:rsidP="00505F3E">
      <w:pPr>
        <w:pStyle w:val="BulletedListlvl2"/>
        <w:numPr>
          <w:ilvl w:val="0"/>
          <w:numId w:val="0"/>
        </w:numPr>
        <w:ind w:left="1458" w:hanging="360"/>
        <w:rPr>
          <w:lang w:eastAsia="en-AU"/>
        </w:rPr>
      </w:pPr>
    </w:p>
    <w:p w14:paraId="101F6D79" w14:textId="77777777" w:rsidR="00917F01" w:rsidRDefault="00125E4F" w:rsidP="001D320C">
      <w:pPr>
        <w:pStyle w:val="BulletedListlvl1"/>
        <w:spacing w:after="120"/>
        <w:rPr>
          <w:lang w:eastAsia="en-AU"/>
        </w:rPr>
      </w:pPr>
      <w:r w:rsidRPr="00274790">
        <w:rPr>
          <w:b/>
          <w:lang w:eastAsia="en-AU"/>
        </w:rPr>
        <w:t>The cost of being on IM</w:t>
      </w:r>
      <w:r w:rsidR="00917F01">
        <w:rPr>
          <w:lang w:eastAsia="en-AU"/>
        </w:rPr>
        <w:t>.</w:t>
      </w:r>
    </w:p>
    <w:p w14:paraId="20B77661" w14:textId="0EB2B04B" w:rsidR="00270F75" w:rsidRDefault="006235DE" w:rsidP="006901E6">
      <w:pPr>
        <w:pStyle w:val="BulletedListlvl2"/>
        <w:ind w:left="1443"/>
        <w:rPr>
          <w:color w:val="auto"/>
          <w:lang w:eastAsia="en-AU"/>
        </w:rPr>
      </w:pPr>
      <w:r w:rsidRPr="007E55EA">
        <w:rPr>
          <w:color w:val="auto"/>
          <w:lang w:eastAsia="en-AU"/>
        </w:rPr>
        <w:t>The costs to a merchant who wants to participate in the IM program are very different</w:t>
      </w:r>
      <w:r w:rsidR="00270F75">
        <w:rPr>
          <w:color w:val="auto"/>
          <w:lang w:eastAsia="en-AU"/>
        </w:rPr>
        <w:t xml:space="preserve"> to the CDC program</w:t>
      </w:r>
      <w:r w:rsidRPr="007E55EA">
        <w:rPr>
          <w:color w:val="auto"/>
          <w:lang w:eastAsia="en-AU"/>
        </w:rPr>
        <w:t xml:space="preserve">. They must be approved by Services Australia </w:t>
      </w:r>
      <w:r w:rsidR="0031291E" w:rsidRPr="007E55EA">
        <w:rPr>
          <w:color w:val="auto"/>
          <w:lang w:eastAsia="en-AU"/>
        </w:rPr>
        <w:t>to be a merch</w:t>
      </w:r>
      <w:r w:rsidR="00270F75">
        <w:rPr>
          <w:color w:val="auto"/>
          <w:lang w:eastAsia="en-AU"/>
        </w:rPr>
        <w:t>ant. There is a higher burden on</w:t>
      </w:r>
      <w:r w:rsidR="0031291E" w:rsidRPr="007E55EA">
        <w:rPr>
          <w:color w:val="auto"/>
          <w:lang w:eastAsia="en-AU"/>
        </w:rPr>
        <w:t xml:space="preserve"> their staff to identify restricted goods and </w:t>
      </w:r>
      <w:r w:rsidR="0090500F">
        <w:rPr>
          <w:color w:val="auto"/>
          <w:lang w:eastAsia="en-AU"/>
        </w:rPr>
        <w:t xml:space="preserve">identify </w:t>
      </w:r>
      <w:r w:rsidR="0031291E" w:rsidRPr="007E55EA">
        <w:rPr>
          <w:color w:val="auto"/>
          <w:lang w:eastAsia="en-AU"/>
        </w:rPr>
        <w:t xml:space="preserve">people on the </w:t>
      </w:r>
      <w:r w:rsidR="00270F75">
        <w:rPr>
          <w:color w:val="auto"/>
          <w:lang w:eastAsia="en-AU"/>
        </w:rPr>
        <w:t xml:space="preserve">IM </w:t>
      </w:r>
      <w:r w:rsidR="0031291E" w:rsidRPr="007E55EA">
        <w:rPr>
          <w:color w:val="auto"/>
          <w:lang w:eastAsia="en-AU"/>
        </w:rPr>
        <w:t>program so they d</w:t>
      </w:r>
      <w:r w:rsidR="0093639B">
        <w:rPr>
          <w:color w:val="auto"/>
          <w:lang w:eastAsia="en-AU"/>
        </w:rPr>
        <w:t>o not sell these goods to them.</w:t>
      </w:r>
    </w:p>
    <w:p w14:paraId="39451C4A" w14:textId="77777777" w:rsidR="006235DE" w:rsidRPr="001C1778" w:rsidRDefault="0031291E" w:rsidP="00505F3E">
      <w:pPr>
        <w:pStyle w:val="BulletedListlvl2"/>
        <w:spacing w:after="120"/>
        <w:ind w:left="1440" w:hanging="357"/>
        <w:rPr>
          <w:color w:val="auto"/>
          <w:lang w:eastAsia="en-AU"/>
        </w:rPr>
      </w:pPr>
      <w:r w:rsidRPr="007E55EA">
        <w:rPr>
          <w:color w:val="auto"/>
          <w:lang w:eastAsia="en-AU"/>
        </w:rPr>
        <w:t>Some merchants also retain separate pin pads for BasicsCard purchases or maintain separate counters where restri</w:t>
      </w:r>
      <w:r w:rsidR="00137038">
        <w:rPr>
          <w:color w:val="auto"/>
          <w:lang w:eastAsia="en-AU"/>
        </w:rPr>
        <w:t>cted items cannot be purchased.</w:t>
      </w:r>
    </w:p>
    <w:p w14:paraId="2B5B0D70" w14:textId="77777777" w:rsidR="00060B11" w:rsidRPr="001C1778" w:rsidRDefault="00060B11" w:rsidP="00060B11">
      <w:pPr>
        <w:rPr>
          <w:b/>
        </w:rPr>
      </w:pPr>
      <w:r w:rsidRPr="001C1778">
        <w:rPr>
          <w:b/>
        </w:rPr>
        <w:t xml:space="preserve">Cost to CDC merchants over 10 years for </w:t>
      </w:r>
      <w:r w:rsidR="00D30CCA" w:rsidRPr="001C1778">
        <w:rPr>
          <w:b/>
        </w:rPr>
        <w:t>program</w:t>
      </w:r>
    </w:p>
    <w:tbl>
      <w:tblPr>
        <w:tblStyle w:val="TableGrid1"/>
        <w:tblpPr w:leftFromText="180" w:rightFromText="180" w:vertAnchor="text" w:horzAnchor="margin" w:tblpY="61"/>
        <w:tblW w:w="10627" w:type="dxa"/>
        <w:tblLayout w:type="fixed"/>
        <w:tblLook w:val="04A0" w:firstRow="1" w:lastRow="0" w:firstColumn="1" w:lastColumn="0" w:noHBand="0" w:noVBand="1"/>
        <w:tblDescription w:val="Cost to CDC merchants over 10 years for program"/>
      </w:tblPr>
      <w:tblGrid>
        <w:gridCol w:w="1124"/>
        <w:gridCol w:w="865"/>
        <w:gridCol w:w="854"/>
        <w:gridCol w:w="855"/>
        <w:gridCol w:w="854"/>
        <w:gridCol w:w="855"/>
        <w:gridCol w:w="854"/>
        <w:gridCol w:w="855"/>
        <w:gridCol w:w="854"/>
        <w:gridCol w:w="855"/>
        <w:gridCol w:w="838"/>
        <w:gridCol w:w="964"/>
      </w:tblGrid>
      <w:tr w:rsidR="00060B11" w:rsidRPr="00E83ED2" w:rsidDel="00684813" w14:paraId="1740B724" w14:textId="77777777" w:rsidTr="00691643">
        <w:trPr>
          <w:trHeight w:val="699"/>
          <w:tblHeader/>
        </w:trPr>
        <w:tc>
          <w:tcPr>
            <w:tcW w:w="1124" w:type="dxa"/>
          </w:tcPr>
          <w:p w14:paraId="5F1F5143"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Cost to merchants ($m)</w:t>
            </w:r>
          </w:p>
        </w:tc>
        <w:tc>
          <w:tcPr>
            <w:tcW w:w="865" w:type="dxa"/>
          </w:tcPr>
          <w:p w14:paraId="4F7D4D6F"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Y1</w:t>
            </w:r>
          </w:p>
        </w:tc>
        <w:tc>
          <w:tcPr>
            <w:tcW w:w="854" w:type="dxa"/>
          </w:tcPr>
          <w:p w14:paraId="151069DA"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Y2</w:t>
            </w:r>
          </w:p>
        </w:tc>
        <w:tc>
          <w:tcPr>
            <w:tcW w:w="855" w:type="dxa"/>
          </w:tcPr>
          <w:p w14:paraId="31B99176"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Y3</w:t>
            </w:r>
          </w:p>
        </w:tc>
        <w:tc>
          <w:tcPr>
            <w:tcW w:w="854" w:type="dxa"/>
          </w:tcPr>
          <w:p w14:paraId="370E175C"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Y4</w:t>
            </w:r>
          </w:p>
        </w:tc>
        <w:tc>
          <w:tcPr>
            <w:tcW w:w="855" w:type="dxa"/>
          </w:tcPr>
          <w:p w14:paraId="32A306CE"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Y5</w:t>
            </w:r>
          </w:p>
        </w:tc>
        <w:tc>
          <w:tcPr>
            <w:tcW w:w="854" w:type="dxa"/>
          </w:tcPr>
          <w:p w14:paraId="3348D345"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Y6</w:t>
            </w:r>
          </w:p>
        </w:tc>
        <w:tc>
          <w:tcPr>
            <w:tcW w:w="855" w:type="dxa"/>
          </w:tcPr>
          <w:p w14:paraId="0BDDCE05"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Y7</w:t>
            </w:r>
          </w:p>
        </w:tc>
        <w:tc>
          <w:tcPr>
            <w:tcW w:w="854" w:type="dxa"/>
          </w:tcPr>
          <w:p w14:paraId="57354206"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Y8</w:t>
            </w:r>
          </w:p>
        </w:tc>
        <w:tc>
          <w:tcPr>
            <w:tcW w:w="855" w:type="dxa"/>
          </w:tcPr>
          <w:p w14:paraId="3132C077"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Y9</w:t>
            </w:r>
          </w:p>
        </w:tc>
        <w:tc>
          <w:tcPr>
            <w:tcW w:w="838" w:type="dxa"/>
          </w:tcPr>
          <w:p w14:paraId="030E585F"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Y10</w:t>
            </w:r>
          </w:p>
        </w:tc>
        <w:tc>
          <w:tcPr>
            <w:tcW w:w="964" w:type="dxa"/>
          </w:tcPr>
          <w:p w14:paraId="5860DE65" w14:textId="77777777" w:rsidR="00060B11" w:rsidRPr="00E83ED2" w:rsidDel="00684813" w:rsidRDefault="00060B11" w:rsidP="00820433">
            <w:pPr>
              <w:rPr>
                <w:rFonts w:ascii="Calibri" w:eastAsia="Calibri" w:hAnsi="Calibri" w:cs="Times New Roman"/>
                <w:b/>
                <w:sz w:val="16"/>
                <w:szCs w:val="16"/>
              </w:rPr>
            </w:pPr>
            <w:r w:rsidRPr="00E83ED2" w:rsidDel="00684813">
              <w:rPr>
                <w:rFonts w:ascii="Calibri" w:eastAsia="Calibri" w:hAnsi="Calibri" w:cs="Times New Roman"/>
                <w:b/>
                <w:sz w:val="16"/>
                <w:szCs w:val="16"/>
              </w:rPr>
              <w:t>TOTAL</w:t>
            </w:r>
          </w:p>
        </w:tc>
      </w:tr>
      <w:tr w:rsidR="00BA23B7" w:rsidRPr="00E83ED2" w:rsidDel="00684813" w14:paraId="3FBC5C54" w14:textId="77777777" w:rsidTr="0037411D">
        <w:trPr>
          <w:trHeight w:val="695"/>
        </w:trPr>
        <w:tc>
          <w:tcPr>
            <w:tcW w:w="1124" w:type="dxa"/>
          </w:tcPr>
          <w:p w14:paraId="28BEA085" w14:textId="77777777" w:rsidR="00BA23B7" w:rsidRPr="00E83ED2" w:rsidDel="00684813" w:rsidRDefault="00BA23B7" w:rsidP="00BA23B7">
            <w:pPr>
              <w:rPr>
                <w:rFonts w:ascii="Calibri" w:eastAsia="Calibri" w:hAnsi="Calibri" w:cs="Times New Roman"/>
                <w:b/>
                <w:sz w:val="16"/>
                <w:szCs w:val="16"/>
              </w:rPr>
            </w:pPr>
            <w:r w:rsidRPr="00E83ED2">
              <w:rPr>
                <w:rFonts w:ascii="Calibri" w:eastAsia="Calibri" w:hAnsi="Calibri" w:cs="Times New Roman"/>
                <w:b/>
                <w:sz w:val="16"/>
                <w:szCs w:val="16"/>
              </w:rPr>
              <w:t>W</w:t>
            </w:r>
            <w:r w:rsidRPr="00E83ED2" w:rsidDel="00684813">
              <w:rPr>
                <w:rFonts w:ascii="Calibri" w:eastAsia="Calibri" w:hAnsi="Calibri" w:cs="Times New Roman"/>
                <w:b/>
                <w:sz w:val="16"/>
                <w:szCs w:val="16"/>
              </w:rPr>
              <w:t>ithout</w:t>
            </w:r>
            <w:r w:rsidRPr="00E83ED2" w:rsidDel="00684813">
              <w:rPr>
                <w:rFonts w:ascii="Calibri" w:eastAsia="Calibri" w:hAnsi="Calibri" w:cs="Times New Roman"/>
                <w:sz w:val="16"/>
                <w:szCs w:val="16"/>
              </w:rPr>
              <w:t xml:space="preserve"> PLB technology roll out)</w:t>
            </w:r>
          </w:p>
        </w:tc>
        <w:tc>
          <w:tcPr>
            <w:tcW w:w="865" w:type="dxa"/>
            <w:vAlign w:val="center"/>
          </w:tcPr>
          <w:p w14:paraId="3420C9E3" w14:textId="77777777" w:rsidR="00BA23B7" w:rsidRPr="00E83ED2" w:rsidDel="00684813" w:rsidRDefault="0037411D" w:rsidP="00BA23B7">
            <w:pPr>
              <w:jc w:val="right"/>
              <w:rPr>
                <w:rFonts w:ascii="Calibri" w:eastAsia="Calibri" w:hAnsi="Calibri" w:cs="Times New Roman"/>
                <w:b/>
                <w:i/>
                <w:color w:val="FF0000"/>
                <w:sz w:val="16"/>
                <w:szCs w:val="16"/>
              </w:rPr>
            </w:pPr>
            <w:r w:rsidRPr="00E83ED2">
              <w:rPr>
                <w:color w:val="000000"/>
                <w:sz w:val="16"/>
                <w:szCs w:val="16"/>
                <w:lang w:eastAsia="en-AU"/>
              </w:rPr>
              <w:t>$</w:t>
            </w:r>
            <w:r w:rsidR="00BA23B7" w:rsidRPr="00E83ED2">
              <w:rPr>
                <w:color w:val="000000"/>
                <w:sz w:val="16"/>
                <w:szCs w:val="16"/>
                <w:lang w:eastAsia="en-AU"/>
              </w:rPr>
              <w:t>2,070</w:t>
            </w:r>
          </w:p>
        </w:tc>
        <w:tc>
          <w:tcPr>
            <w:tcW w:w="854" w:type="dxa"/>
            <w:vAlign w:val="center"/>
          </w:tcPr>
          <w:p w14:paraId="68EDCC73"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 $1,59</w:t>
            </w:r>
            <w:r w:rsidR="00524532" w:rsidRPr="00E83ED2">
              <w:rPr>
                <w:color w:val="000000"/>
                <w:sz w:val="16"/>
                <w:szCs w:val="16"/>
                <w:lang w:eastAsia="en-AU"/>
              </w:rPr>
              <w:t>3</w:t>
            </w:r>
          </w:p>
        </w:tc>
        <w:tc>
          <w:tcPr>
            <w:tcW w:w="855" w:type="dxa"/>
            <w:vAlign w:val="center"/>
          </w:tcPr>
          <w:p w14:paraId="05C94075"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 </w:t>
            </w:r>
            <w:r w:rsidR="00886606" w:rsidRPr="00E83ED2">
              <w:rPr>
                <w:color w:val="000000"/>
                <w:sz w:val="16"/>
                <w:szCs w:val="16"/>
                <w:lang w:eastAsia="en-AU"/>
              </w:rPr>
              <w:t>$</w:t>
            </w:r>
            <w:r w:rsidRPr="00E83ED2">
              <w:rPr>
                <w:color w:val="000000"/>
                <w:sz w:val="16"/>
                <w:szCs w:val="16"/>
                <w:lang w:eastAsia="en-AU"/>
              </w:rPr>
              <w:t>1,593</w:t>
            </w:r>
          </w:p>
        </w:tc>
        <w:tc>
          <w:tcPr>
            <w:tcW w:w="854" w:type="dxa"/>
            <w:vAlign w:val="center"/>
          </w:tcPr>
          <w:p w14:paraId="14BA7277" w14:textId="77777777" w:rsidR="00BA23B7" w:rsidRPr="00E83ED2" w:rsidDel="00684813" w:rsidRDefault="00886606" w:rsidP="00BA23B7">
            <w:pPr>
              <w:jc w:val="right"/>
              <w:rPr>
                <w:rFonts w:ascii="Calibri" w:eastAsia="Calibri" w:hAnsi="Calibri" w:cs="Times New Roman"/>
                <w:b/>
                <w:sz w:val="16"/>
                <w:szCs w:val="16"/>
              </w:rPr>
            </w:pPr>
            <w:r w:rsidRPr="00E83ED2">
              <w:rPr>
                <w:color w:val="000000"/>
                <w:sz w:val="16"/>
                <w:szCs w:val="16"/>
                <w:lang w:eastAsia="en-AU"/>
              </w:rPr>
              <w:t> $</w:t>
            </w:r>
            <w:r w:rsidR="00BA23B7" w:rsidRPr="00E83ED2">
              <w:rPr>
                <w:color w:val="000000"/>
                <w:sz w:val="16"/>
                <w:szCs w:val="16"/>
                <w:lang w:eastAsia="en-AU"/>
              </w:rPr>
              <w:t>1,593</w:t>
            </w:r>
          </w:p>
        </w:tc>
        <w:tc>
          <w:tcPr>
            <w:tcW w:w="855" w:type="dxa"/>
            <w:vAlign w:val="center"/>
          </w:tcPr>
          <w:p w14:paraId="4FC60E47" w14:textId="77777777" w:rsidR="00BA23B7" w:rsidRPr="00E83ED2" w:rsidDel="00684813" w:rsidRDefault="00886606" w:rsidP="00BA23B7">
            <w:pPr>
              <w:jc w:val="right"/>
              <w:rPr>
                <w:rFonts w:ascii="Calibri" w:eastAsia="Calibri" w:hAnsi="Calibri" w:cs="Times New Roman"/>
                <w:b/>
                <w:sz w:val="16"/>
                <w:szCs w:val="16"/>
              </w:rPr>
            </w:pPr>
            <w:r w:rsidRPr="00E83ED2">
              <w:rPr>
                <w:color w:val="000000"/>
                <w:sz w:val="16"/>
                <w:szCs w:val="16"/>
                <w:lang w:eastAsia="en-AU"/>
              </w:rPr>
              <w:t> $</w:t>
            </w:r>
            <w:r w:rsidR="00BA23B7" w:rsidRPr="00E83ED2">
              <w:rPr>
                <w:color w:val="000000"/>
                <w:sz w:val="16"/>
                <w:szCs w:val="16"/>
                <w:lang w:eastAsia="en-AU"/>
              </w:rPr>
              <w:t>1,593</w:t>
            </w:r>
          </w:p>
        </w:tc>
        <w:tc>
          <w:tcPr>
            <w:tcW w:w="854" w:type="dxa"/>
            <w:vAlign w:val="center"/>
          </w:tcPr>
          <w:p w14:paraId="7C1EABD5"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0</w:t>
            </w:r>
          </w:p>
        </w:tc>
        <w:tc>
          <w:tcPr>
            <w:tcW w:w="855" w:type="dxa"/>
            <w:vAlign w:val="center"/>
          </w:tcPr>
          <w:p w14:paraId="3FB2F5C0"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0</w:t>
            </w:r>
          </w:p>
        </w:tc>
        <w:tc>
          <w:tcPr>
            <w:tcW w:w="854" w:type="dxa"/>
            <w:vAlign w:val="center"/>
          </w:tcPr>
          <w:p w14:paraId="4F8AABD4"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0</w:t>
            </w:r>
          </w:p>
        </w:tc>
        <w:tc>
          <w:tcPr>
            <w:tcW w:w="855" w:type="dxa"/>
            <w:vAlign w:val="center"/>
          </w:tcPr>
          <w:p w14:paraId="15EEBF22"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0</w:t>
            </w:r>
          </w:p>
        </w:tc>
        <w:tc>
          <w:tcPr>
            <w:tcW w:w="838" w:type="dxa"/>
            <w:vAlign w:val="center"/>
          </w:tcPr>
          <w:p w14:paraId="03272A09" w14:textId="77777777" w:rsidR="00BA23B7" w:rsidRPr="00E83ED2" w:rsidDel="00684813" w:rsidRDefault="00BA23B7" w:rsidP="00BA23B7">
            <w:pPr>
              <w:jc w:val="right"/>
              <w:rPr>
                <w:rFonts w:ascii="Calibri" w:eastAsia="Calibri" w:hAnsi="Calibri" w:cs="Times New Roman"/>
                <w:b/>
                <w:sz w:val="16"/>
                <w:szCs w:val="16"/>
              </w:rPr>
            </w:pPr>
            <w:r w:rsidRPr="00E83ED2">
              <w:rPr>
                <w:color w:val="000000"/>
                <w:sz w:val="16"/>
                <w:szCs w:val="16"/>
                <w:lang w:eastAsia="en-AU"/>
              </w:rPr>
              <w:t>0</w:t>
            </w:r>
          </w:p>
        </w:tc>
        <w:tc>
          <w:tcPr>
            <w:tcW w:w="964" w:type="dxa"/>
            <w:vAlign w:val="center"/>
          </w:tcPr>
          <w:p w14:paraId="108454F8" w14:textId="77777777" w:rsidR="00BA23B7" w:rsidRPr="00E83ED2" w:rsidDel="00684813" w:rsidRDefault="00886606" w:rsidP="00BA23B7">
            <w:pPr>
              <w:jc w:val="right"/>
              <w:rPr>
                <w:rFonts w:ascii="Calibri" w:eastAsia="Calibri" w:hAnsi="Calibri" w:cs="Times New Roman"/>
                <w:b/>
                <w:sz w:val="16"/>
                <w:szCs w:val="16"/>
              </w:rPr>
            </w:pPr>
            <w:r w:rsidRPr="00E83ED2">
              <w:rPr>
                <w:color w:val="000000"/>
                <w:sz w:val="16"/>
                <w:szCs w:val="16"/>
                <w:lang w:eastAsia="en-AU"/>
              </w:rPr>
              <w:t>$</w:t>
            </w:r>
            <w:r w:rsidR="00BA23B7" w:rsidRPr="00E83ED2">
              <w:rPr>
                <w:color w:val="000000"/>
                <w:sz w:val="16"/>
                <w:szCs w:val="16"/>
                <w:lang w:eastAsia="en-AU"/>
              </w:rPr>
              <w:t>8,441</w:t>
            </w:r>
          </w:p>
        </w:tc>
      </w:tr>
      <w:tr w:rsidR="0058019E" w:rsidRPr="00E83ED2" w:rsidDel="00684813" w14:paraId="7AA46D16" w14:textId="77777777" w:rsidTr="0037411D">
        <w:trPr>
          <w:trHeight w:val="493"/>
        </w:trPr>
        <w:tc>
          <w:tcPr>
            <w:tcW w:w="1124" w:type="dxa"/>
          </w:tcPr>
          <w:p w14:paraId="382ECFC4" w14:textId="77777777" w:rsidR="0058019E" w:rsidRPr="00E83ED2" w:rsidDel="00684813" w:rsidRDefault="0058019E" w:rsidP="0058019E">
            <w:pPr>
              <w:rPr>
                <w:rFonts w:ascii="Calibri" w:eastAsia="Calibri" w:hAnsi="Calibri" w:cs="Times New Roman"/>
                <w:b/>
                <w:sz w:val="16"/>
                <w:szCs w:val="16"/>
              </w:rPr>
            </w:pPr>
            <w:r w:rsidRPr="00E83ED2">
              <w:rPr>
                <w:rFonts w:ascii="Calibri" w:eastAsia="Calibri" w:hAnsi="Calibri" w:cs="Times New Roman"/>
                <w:b/>
                <w:sz w:val="16"/>
                <w:szCs w:val="16"/>
              </w:rPr>
              <w:t>A</w:t>
            </w:r>
            <w:r w:rsidRPr="00E83ED2" w:rsidDel="00684813">
              <w:rPr>
                <w:rFonts w:ascii="Calibri" w:eastAsia="Calibri" w:hAnsi="Calibri" w:cs="Times New Roman"/>
                <w:b/>
                <w:sz w:val="16"/>
                <w:szCs w:val="16"/>
              </w:rPr>
              <w:t>fter</w:t>
            </w:r>
            <w:r w:rsidRPr="00E83ED2" w:rsidDel="00684813">
              <w:rPr>
                <w:rFonts w:ascii="Calibri" w:eastAsia="Calibri" w:hAnsi="Calibri" w:cs="Times New Roman"/>
                <w:sz w:val="16"/>
                <w:szCs w:val="16"/>
              </w:rPr>
              <w:t xml:space="preserve"> PLB technology roll out)</w:t>
            </w:r>
          </w:p>
        </w:tc>
        <w:tc>
          <w:tcPr>
            <w:tcW w:w="865" w:type="dxa"/>
            <w:vAlign w:val="center"/>
          </w:tcPr>
          <w:p w14:paraId="76E57674" w14:textId="77777777" w:rsidR="0058019E" w:rsidRPr="00E83ED2" w:rsidDel="00684813" w:rsidRDefault="00D37D84" w:rsidP="00596C8A">
            <w:pPr>
              <w:jc w:val="right"/>
              <w:rPr>
                <w:rFonts w:ascii="Calibri" w:eastAsia="Calibri" w:hAnsi="Calibri" w:cs="Arial"/>
                <w:i/>
                <w:color w:val="FF0000"/>
                <w:sz w:val="16"/>
                <w:szCs w:val="16"/>
              </w:rPr>
            </w:pPr>
            <w:r>
              <w:rPr>
                <w:sz w:val="16"/>
                <w:szCs w:val="16"/>
              </w:rPr>
              <w:t>$2,166</w:t>
            </w:r>
          </w:p>
        </w:tc>
        <w:tc>
          <w:tcPr>
            <w:tcW w:w="854" w:type="dxa"/>
            <w:vAlign w:val="center"/>
          </w:tcPr>
          <w:p w14:paraId="5BFE41B1" w14:textId="77777777" w:rsidR="0058019E" w:rsidRPr="00E83ED2" w:rsidDel="00684813" w:rsidRDefault="00D37D84" w:rsidP="00596C8A">
            <w:pPr>
              <w:jc w:val="right"/>
              <w:rPr>
                <w:rFonts w:ascii="Calibri" w:eastAsia="Calibri" w:hAnsi="Calibri" w:cs="Times New Roman"/>
                <w:b/>
                <w:sz w:val="16"/>
                <w:szCs w:val="16"/>
              </w:rPr>
            </w:pPr>
            <w:r>
              <w:rPr>
                <w:sz w:val="16"/>
                <w:szCs w:val="16"/>
              </w:rPr>
              <w:t>$4,332</w:t>
            </w:r>
          </w:p>
        </w:tc>
        <w:tc>
          <w:tcPr>
            <w:tcW w:w="855" w:type="dxa"/>
            <w:vAlign w:val="center"/>
          </w:tcPr>
          <w:p w14:paraId="442AFF63" w14:textId="77777777" w:rsidR="0058019E" w:rsidRPr="00E83ED2" w:rsidDel="00684813" w:rsidRDefault="00D37D84" w:rsidP="00596C8A">
            <w:pPr>
              <w:jc w:val="right"/>
              <w:rPr>
                <w:rFonts w:ascii="Calibri" w:eastAsia="Calibri" w:hAnsi="Calibri" w:cs="Times New Roman"/>
                <w:b/>
                <w:sz w:val="16"/>
                <w:szCs w:val="16"/>
              </w:rPr>
            </w:pPr>
            <w:r>
              <w:rPr>
                <w:sz w:val="16"/>
                <w:szCs w:val="16"/>
              </w:rPr>
              <w:t>$6,498</w:t>
            </w:r>
          </w:p>
        </w:tc>
        <w:tc>
          <w:tcPr>
            <w:tcW w:w="854" w:type="dxa"/>
            <w:vAlign w:val="center"/>
          </w:tcPr>
          <w:p w14:paraId="40945BDF" w14:textId="77777777" w:rsidR="0058019E" w:rsidRPr="00E83ED2" w:rsidDel="00684813" w:rsidRDefault="00D37D84" w:rsidP="00C10F3A">
            <w:pPr>
              <w:jc w:val="center"/>
              <w:rPr>
                <w:rFonts w:ascii="Calibri" w:eastAsia="Calibri" w:hAnsi="Calibri" w:cs="Times New Roman"/>
                <w:b/>
                <w:sz w:val="16"/>
                <w:szCs w:val="16"/>
              </w:rPr>
            </w:pPr>
            <w:r>
              <w:rPr>
                <w:sz w:val="16"/>
                <w:szCs w:val="16"/>
              </w:rPr>
              <w:t>$8,664</w:t>
            </w:r>
          </w:p>
        </w:tc>
        <w:tc>
          <w:tcPr>
            <w:tcW w:w="855" w:type="dxa"/>
            <w:vAlign w:val="center"/>
          </w:tcPr>
          <w:p w14:paraId="16954ADD" w14:textId="77777777" w:rsidR="0058019E" w:rsidRPr="00E83ED2" w:rsidDel="00684813" w:rsidRDefault="00D37D84" w:rsidP="00ED30C0">
            <w:pPr>
              <w:jc w:val="right"/>
              <w:rPr>
                <w:rFonts w:ascii="Calibri" w:eastAsia="Calibri" w:hAnsi="Calibri" w:cs="Times New Roman"/>
                <w:b/>
                <w:sz w:val="16"/>
                <w:szCs w:val="16"/>
              </w:rPr>
            </w:pPr>
            <w:r>
              <w:rPr>
                <w:sz w:val="16"/>
                <w:szCs w:val="16"/>
              </w:rPr>
              <w:t>$9,395</w:t>
            </w:r>
          </w:p>
        </w:tc>
        <w:tc>
          <w:tcPr>
            <w:tcW w:w="854" w:type="dxa"/>
            <w:vAlign w:val="center"/>
          </w:tcPr>
          <w:p w14:paraId="7865B362" w14:textId="77777777" w:rsidR="0058019E" w:rsidRPr="00E83ED2" w:rsidDel="00684813" w:rsidRDefault="00D37D84" w:rsidP="00427306">
            <w:pPr>
              <w:jc w:val="right"/>
              <w:rPr>
                <w:rFonts w:ascii="Calibri" w:eastAsia="Calibri" w:hAnsi="Calibri" w:cs="Times New Roman"/>
                <w:b/>
                <w:sz w:val="16"/>
                <w:szCs w:val="16"/>
              </w:rPr>
            </w:pPr>
            <w:r>
              <w:rPr>
                <w:sz w:val="16"/>
                <w:szCs w:val="16"/>
              </w:rPr>
              <w:t>$9,395</w:t>
            </w:r>
          </w:p>
        </w:tc>
        <w:tc>
          <w:tcPr>
            <w:tcW w:w="855" w:type="dxa"/>
            <w:vAlign w:val="center"/>
          </w:tcPr>
          <w:p w14:paraId="709FB228" w14:textId="77777777" w:rsidR="0058019E" w:rsidRPr="00E83ED2" w:rsidDel="00684813" w:rsidRDefault="00D37D84" w:rsidP="00427306">
            <w:pPr>
              <w:jc w:val="right"/>
              <w:rPr>
                <w:rFonts w:ascii="Calibri" w:eastAsia="Calibri" w:hAnsi="Calibri" w:cs="Times New Roman"/>
                <w:b/>
                <w:sz w:val="16"/>
                <w:szCs w:val="16"/>
              </w:rPr>
            </w:pPr>
            <w:r>
              <w:rPr>
                <w:sz w:val="16"/>
                <w:szCs w:val="16"/>
              </w:rPr>
              <w:t>$9,395</w:t>
            </w:r>
          </w:p>
        </w:tc>
        <w:tc>
          <w:tcPr>
            <w:tcW w:w="854" w:type="dxa"/>
            <w:vAlign w:val="center"/>
          </w:tcPr>
          <w:p w14:paraId="3982969A" w14:textId="77777777" w:rsidR="0058019E" w:rsidRPr="00E83ED2" w:rsidDel="00684813" w:rsidRDefault="00D37D84" w:rsidP="00427306">
            <w:pPr>
              <w:jc w:val="right"/>
              <w:rPr>
                <w:rFonts w:ascii="Calibri" w:eastAsia="Calibri" w:hAnsi="Calibri" w:cs="Times New Roman"/>
                <w:b/>
                <w:sz w:val="16"/>
                <w:szCs w:val="16"/>
              </w:rPr>
            </w:pPr>
            <w:r>
              <w:rPr>
                <w:sz w:val="16"/>
                <w:szCs w:val="16"/>
              </w:rPr>
              <w:t>$9,395</w:t>
            </w:r>
          </w:p>
        </w:tc>
        <w:tc>
          <w:tcPr>
            <w:tcW w:w="855" w:type="dxa"/>
            <w:vAlign w:val="center"/>
          </w:tcPr>
          <w:p w14:paraId="61D86557" w14:textId="77777777" w:rsidR="0058019E" w:rsidRPr="00E83ED2" w:rsidDel="00684813" w:rsidRDefault="00D37D84" w:rsidP="00427306">
            <w:pPr>
              <w:jc w:val="right"/>
              <w:rPr>
                <w:rFonts w:ascii="Calibri" w:eastAsia="Calibri" w:hAnsi="Calibri" w:cs="Times New Roman"/>
                <w:b/>
                <w:sz w:val="16"/>
                <w:szCs w:val="16"/>
              </w:rPr>
            </w:pPr>
            <w:r>
              <w:rPr>
                <w:sz w:val="16"/>
                <w:szCs w:val="16"/>
              </w:rPr>
              <w:t>$9,395</w:t>
            </w:r>
          </w:p>
        </w:tc>
        <w:tc>
          <w:tcPr>
            <w:tcW w:w="838" w:type="dxa"/>
            <w:vAlign w:val="center"/>
          </w:tcPr>
          <w:p w14:paraId="45B49AD0" w14:textId="77777777" w:rsidR="0058019E" w:rsidRPr="00E83ED2" w:rsidDel="00684813" w:rsidRDefault="00D37D84" w:rsidP="00427306">
            <w:pPr>
              <w:jc w:val="right"/>
              <w:rPr>
                <w:rFonts w:ascii="Calibri" w:eastAsia="Calibri" w:hAnsi="Calibri" w:cs="Times New Roman"/>
                <w:b/>
                <w:sz w:val="16"/>
                <w:szCs w:val="16"/>
              </w:rPr>
            </w:pPr>
            <w:r>
              <w:rPr>
                <w:sz w:val="16"/>
                <w:szCs w:val="16"/>
              </w:rPr>
              <w:t>$9,395</w:t>
            </w:r>
          </w:p>
        </w:tc>
        <w:tc>
          <w:tcPr>
            <w:tcW w:w="964" w:type="dxa"/>
            <w:vAlign w:val="center"/>
          </w:tcPr>
          <w:p w14:paraId="3CA40018" w14:textId="77777777" w:rsidR="0058019E" w:rsidRPr="00E83ED2" w:rsidDel="00684813" w:rsidRDefault="00D37D84" w:rsidP="002154DD">
            <w:pPr>
              <w:jc w:val="right"/>
              <w:rPr>
                <w:sz w:val="16"/>
                <w:szCs w:val="16"/>
              </w:rPr>
            </w:pPr>
            <w:r>
              <w:rPr>
                <w:sz w:val="16"/>
                <w:szCs w:val="16"/>
              </w:rPr>
              <w:t>$78,028</w:t>
            </w:r>
          </w:p>
        </w:tc>
      </w:tr>
      <w:tr w:rsidR="002154DD" w:rsidRPr="00471031" w:rsidDel="00684813" w14:paraId="5051F0CF" w14:textId="77777777" w:rsidTr="00ED30C0">
        <w:trPr>
          <w:trHeight w:val="306"/>
        </w:trPr>
        <w:tc>
          <w:tcPr>
            <w:tcW w:w="1124" w:type="dxa"/>
            <w:vAlign w:val="center"/>
          </w:tcPr>
          <w:p w14:paraId="10F9D311" w14:textId="77777777" w:rsidR="002154DD" w:rsidRPr="00E83ED2" w:rsidDel="00684813" w:rsidRDefault="002154DD" w:rsidP="002154DD">
            <w:pPr>
              <w:rPr>
                <w:rFonts w:ascii="Calibri" w:eastAsia="Calibri" w:hAnsi="Calibri" w:cs="Times New Roman"/>
                <w:b/>
                <w:sz w:val="16"/>
                <w:szCs w:val="16"/>
              </w:rPr>
            </w:pPr>
            <w:r w:rsidRPr="00E83ED2" w:rsidDel="00684813">
              <w:rPr>
                <w:rFonts w:ascii="Calibri" w:eastAsia="Calibri" w:hAnsi="Calibri" w:cs="Times New Roman"/>
                <w:b/>
                <w:sz w:val="16"/>
                <w:szCs w:val="16"/>
              </w:rPr>
              <w:t>TOTAL ($)</w:t>
            </w:r>
          </w:p>
        </w:tc>
        <w:tc>
          <w:tcPr>
            <w:tcW w:w="865" w:type="dxa"/>
            <w:vAlign w:val="center"/>
          </w:tcPr>
          <w:p w14:paraId="5B22E035" w14:textId="77777777" w:rsidR="002154DD" w:rsidRPr="00E83ED2" w:rsidDel="00684813" w:rsidRDefault="00D37D84" w:rsidP="002154DD">
            <w:pPr>
              <w:jc w:val="right"/>
              <w:rPr>
                <w:rFonts w:ascii="Calibri" w:eastAsia="Calibri" w:hAnsi="Calibri" w:cs="Times New Roman"/>
                <w:sz w:val="16"/>
                <w:szCs w:val="16"/>
              </w:rPr>
            </w:pPr>
            <w:r>
              <w:rPr>
                <w:rFonts w:ascii="Calibri" w:hAnsi="Calibri" w:cs="Calibri"/>
                <w:bCs/>
                <w:sz w:val="16"/>
                <w:szCs w:val="16"/>
              </w:rPr>
              <w:t>$4,236</w:t>
            </w:r>
          </w:p>
        </w:tc>
        <w:tc>
          <w:tcPr>
            <w:tcW w:w="854" w:type="dxa"/>
            <w:vAlign w:val="center"/>
          </w:tcPr>
          <w:p w14:paraId="64003176" w14:textId="77777777" w:rsidR="002154DD" w:rsidRPr="00E83ED2" w:rsidDel="00684813" w:rsidRDefault="00D37D84" w:rsidP="002154DD">
            <w:pPr>
              <w:jc w:val="right"/>
              <w:rPr>
                <w:rFonts w:ascii="Calibri" w:eastAsia="Calibri" w:hAnsi="Calibri" w:cs="Times New Roman"/>
                <w:sz w:val="16"/>
                <w:szCs w:val="16"/>
              </w:rPr>
            </w:pPr>
            <w:r>
              <w:rPr>
                <w:rFonts w:ascii="Calibri" w:hAnsi="Calibri" w:cs="Calibri"/>
                <w:bCs/>
                <w:sz w:val="16"/>
                <w:szCs w:val="16"/>
              </w:rPr>
              <w:t>$5,924</w:t>
            </w:r>
          </w:p>
        </w:tc>
        <w:tc>
          <w:tcPr>
            <w:tcW w:w="855" w:type="dxa"/>
            <w:vAlign w:val="center"/>
          </w:tcPr>
          <w:p w14:paraId="76765E65" w14:textId="77777777" w:rsidR="002154DD" w:rsidRPr="00E83ED2" w:rsidDel="00684813" w:rsidRDefault="00D37D84" w:rsidP="002154DD">
            <w:pPr>
              <w:jc w:val="right"/>
              <w:rPr>
                <w:rFonts w:ascii="Calibri" w:eastAsia="Calibri" w:hAnsi="Calibri" w:cs="Times New Roman"/>
                <w:sz w:val="16"/>
                <w:szCs w:val="16"/>
              </w:rPr>
            </w:pPr>
            <w:r>
              <w:rPr>
                <w:rFonts w:ascii="Calibri" w:hAnsi="Calibri" w:cs="Calibri"/>
                <w:bCs/>
                <w:sz w:val="16"/>
                <w:szCs w:val="16"/>
              </w:rPr>
              <w:t>$8,090</w:t>
            </w:r>
          </w:p>
        </w:tc>
        <w:tc>
          <w:tcPr>
            <w:tcW w:w="854" w:type="dxa"/>
            <w:vAlign w:val="center"/>
          </w:tcPr>
          <w:p w14:paraId="3610436D" w14:textId="77777777" w:rsidR="002154DD" w:rsidRPr="00E83ED2" w:rsidDel="00684813" w:rsidRDefault="00D37D84" w:rsidP="002154DD">
            <w:pPr>
              <w:jc w:val="right"/>
              <w:rPr>
                <w:rFonts w:ascii="Calibri" w:eastAsia="Calibri" w:hAnsi="Calibri" w:cs="Times New Roman"/>
                <w:sz w:val="16"/>
                <w:szCs w:val="16"/>
              </w:rPr>
            </w:pPr>
            <w:r>
              <w:rPr>
                <w:rFonts w:ascii="Calibri" w:hAnsi="Calibri" w:cs="Calibri"/>
                <w:bCs/>
                <w:sz w:val="16"/>
                <w:szCs w:val="16"/>
              </w:rPr>
              <w:t>$10,256</w:t>
            </w:r>
          </w:p>
        </w:tc>
        <w:tc>
          <w:tcPr>
            <w:tcW w:w="855" w:type="dxa"/>
            <w:vAlign w:val="center"/>
          </w:tcPr>
          <w:p w14:paraId="28F77475" w14:textId="77777777" w:rsidR="002154DD" w:rsidRPr="00E83ED2" w:rsidDel="00684813" w:rsidRDefault="00D37D84" w:rsidP="002154DD">
            <w:pPr>
              <w:jc w:val="right"/>
              <w:rPr>
                <w:rFonts w:ascii="Calibri" w:eastAsia="Calibri" w:hAnsi="Calibri" w:cs="Times New Roman"/>
                <w:sz w:val="16"/>
                <w:szCs w:val="16"/>
              </w:rPr>
            </w:pPr>
            <w:r>
              <w:rPr>
                <w:rFonts w:ascii="Calibri" w:hAnsi="Calibri" w:cs="Calibri"/>
                <w:bCs/>
                <w:sz w:val="16"/>
                <w:szCs w:val="16"/>
              </w:rPr>
              <w:t>$10,987</w:t>
            </w:r>
          </w:p>
        </w:tc>
        <w:tc>
          <w:tcPr>
            <w:tcW w:w="854" w:type="dxa"/>
            <w:vAlign w:val="center"/>
          </w:tcPr>
          <w:p w14:paraId="383B6766" w14:textId="77777777" w:rsidR="002154DD" w:rsidRPr="00E83ED2" w:rsidDel="00684813" w:rsidRDefault="00D37D84" w:rsidP="002154DD">
            <w:pPr>
              <w:jc w:val="right"/>
              <w:rPr>
                <w:rFonts w:ascii="Calibri" w:eastAsia="Calibri" w:hAnsi="Calibri" w:cs="Times New Roman"/>
                <w:b/>
                <w:sz w:val="16"/>
                <w:szCs w:val="16"/>
              </w:rPr>
            </w:pPr>
            <w:r>
              <w:rPr>
                <w:sz w:val="16"/>
                <w:szCs w:val="16"/>
              </w:rPr>
              <w:t>$9,395</w:t>
            </w:r>
          </w:p>
        </w:tc>
        <w:tc>
          <w:tcPr>
            <w:tcW w:w="855" w:type="dxa"/>
            <w:vAlign w:val="center"/>
          </w:tcPr>
          <w:p w14:paraId="59FA850D" w14:textId="77777777" w:rsidR="002154DD" w:rsidRPr="00E83ED2" w:rsidDel="00684813" w:rsidRDefault="00D37D84" w:rsidP="002154DD">
            <w:pPr>
              <w:jc w:val="right"/>
              <w:rPr>
                <w:rFonts w:ascii="Calibri" w:eastAsia="Calibri" w:hAnsi="Calibri" w:cs="Times New Roman"/>
                <w:b/>
                <w:sz w:val="16"/>
                <w:szCs w:val="16"/>
              </w:rPr>
            </w:pPr>
            <w:r>
              <w:rPr>
                <w:sz w:val="16"/>
                <w:szCs w:val="16"/>
              </w:rPr>
              <w:t>$9,395</w:t>
            </w:r>
          </w:p>
        </w:tc>
        <w:tc>
          <w:tcPr>
            <w:tcW w:w="854" w:type="dxa"/>
            <w:vAlign w:val="center"/>
          </w:tcPr>
          <w:p w14:paraId="7ACF2B1F" w14:textId="77777777" w:rsidR="002154DD" w:rsidRPr="00E83ED2" w:rsidDel="00684813" w:rsidRDefault="00D37D84" w:rsidP="002154DD">
            <w:pPr>
              <w:jc w:val="right"/>
              <w:rPr>
                <w:rFonts w:ascii="Calibri" w:eastAsia="Calibri" w:hAnsi="Calibri" w:cs="Times New Roman"/>
                <w:b/>
                <w:sz w:val="16"/>
                <w:szCs w:val="16"/>
              </w:rPr>
            </w:pPr>
            <w:r>
              <w:rPr>
                <w:sz w:val="16"/>
                <w:szCs w:val="16"/>
              </w:rPr>
              <w:t>$9,395</w:t>
            </w:r>
          </w:p>
        </w:tc>
        <w:tc>
          <w:tcPr>
            <w:tcW w:w="855" w:type="dxa"/>
            <w:vAlign w:val="center"/>
          </w:tcPr>
          <w:p w14:paraId="78B63793" w14:textId="77777777" w:rsidR="002154DD" w:rsidRPr="00E83ED2" w:rsidDel="00684813" w:rsidRDefault="00D37D84" w:rsidP="002154DD">
            <w:pPr>
              <w:jc w:val="right"/>
              <w:rPr>
                <w:rFonts w:ascii="Calibri" w:eastAsia="Calibri" w:hAnsi="Calibri" w:cs="Times New Roman"/>
                <w:b/>
                <w:sz w:val="16"/>
                <w:szCs w:val="16"/>
              </w:rPr>
            </w:pPr>
            <w:r>
              <w:rPr>
                <w:sz w:val="16"/>
                <w:szCs w:val="16"/>
              </w:rPr>
              <w:t>$9,395</w:t>
            </w:r>
          </w:p>
        </w:tc>
        <w:tc>
          <w:tcPr>
            <w:tcW w:w="838" w:type="dxa"/>
            <w:vAlign w:val="center"/>
          </w:tcPr>
          <w:p w14:paraId="017EF13A" w14:textId="77777777" w:rsidR="002154DD" w:rsidRPr="00E83ED2" w:rsidDel="00684813" w:rsidRDefault="00D37D84" w:rsidP="002154DD">
            <w:pPr>
              <w:jc w:val="right"/>
              <w:rPr>
                <w:rFonts w:ascii="Calibri" w:eastAsia="Calibri" w:hAnsi="Calibri" w:cs="Times New Roman"/>
                <w:b/>
                <w:sz w:val="16"/>
                <w:szCs w:val="16"/>
              </w:rPr>
            </w:pPr>
            <w:r>
              <w:rPr>
                <w:sz w:val="16"/>
                <w:szCs w:val="16"/>
              </w:rPr>
              <w:t>$9,395</w:t>
            </w:r>
          </w:p>
        </w:tc>
        <w:tc>
          <w:tcPr>
            <w:tcW w:w="964" w:type="dxa"/>
            <w:vAlign w:val="center"/>
          </w:tcPr>
          <w:p w14:paraId="7DF8E40E" w14:textId="77777777" w:rsidR="002154DD" w:rsidRPr="00E83ED2" w:rsidDel="00684813" w:rsidRDefault="00D37D84" w:rsidP="002154DD">
            <w:pPr>
              <w:jc w:val="right"/>
              <w:rPr>
                <w:rFonts w:ascii="Calibri" w:eastAsia="Calibri" w:hAnsi="Calibri" w:cs="Times New Roman"/>
                <w:b/>
                <w:sz w:val="16"/>
                <w:szCs w:val="16"/>
              </w:rPr>
            </w:pPr>
            <w:r>
              <w:rPr>
                <w:rFonts w:ascii="Calibri" w:hAnsi="Calibri" w:cs="Calibri"/>
                <w:b/>
                <w:bCs/>
                <w:sz w:val="16"/>
                <w:szCs w:val="16"/>
              </w:rPr>
              <w:t>$86,469</w:t>
            </w:r>
          </w:p>
        </w:tc>
      </w:tr>
    </w:tbl>
    <w:p w14:paraId="72902703" w14:textId="77777777" w:rsidR="00060B11" w:rsidRDefault="00060B11" w:rsidP="00867A60">
      <w:pPr>
        <w:pStyle w:val="BodyText"/>
        <w:spacing w:after="180"/>
        <w:rPr>
          <w:sz w:val="16"/>
          <w:szCs w:val="16"/>
        </w:rPr>
      </w:pPr>
      <w:r>
        <w:rPr>
          <w:sz w:val="16"/>
          <w:szCs w:val="16"/>
        </w:rPr>
        <w:t>Note, it is expected that the 53 merchants without PLB technolo</w:t>
      </w:r>
      <w:r w:rsidR="006B475C">
        <w:rPr>
          <w:sz w:val="16"/>
          <w:szCs w:val="16"/>
        </w:rPr>
        <w:t>gy will transition to PLB over 5</w:t>
      </w:r>
      <w:r>
        <w:rPr>
          <w:sz w:val="16"/>
          <w:szCs w:val="16"/>
        </w:rPr>
        <w:t xml:space="preserve"> years.</w:t>
      </w:r>
    </w:p>
    <w:p w14:paraId="1F359AEC" w14:textId="77777777" w:rsidR="005B717B" w:rsidRDefault="000E23DE" w:rsidP="00060B11">
      <w:pPr>
        <w:pStyle w:val="BodyText"/>
        <w:spacing w:before="240" w:after="180"/>
        <w:rPr>
          <w:b/>
        </w:rPr>
      </w:pPr>
      <w:r>
        <w:rPr>
          <w:b/>
        </w:rPr>
        <w:t xml:space="preserve">CDC </w:t>
      </w:r>
      <w:r w:rsidRPr="00F37486">
        <w:rPr>
          <w:b/>
        </w:rPr>
        <w:t>Merchants (Program expansion: without PLB tech</w:t>
      </w:r>
      <w:r>
        <w:rPr>
          <w:b/>
        </w:rPr>
        <w:t>nology roll out) – 53 merchants</w:t>
      </w:r>
      <w:r w:rsidR="005B717B">
        <w:rPr>
          <w:b/>
        </w:rPr>
        <w:t xml:space="preserve"> total </w:t>
      </w:r>
      <w:r w:rsidR="005B717B" w:rsidRPr="001C1778">
        <w:rPr>
          <w:b/>
        </w:rPr>
        <w:t>cost is $</w:t>
      </w:r>
      <w:r w:rsidR="005413E4" w:rsidRPr="001C1778">
        <w:rPr>
          <w:b/>
        </w:rPr>
        <w:t>8</w:t>
      </w:r>
      <w:r w:rsidR="00DF0C74">
        <w:rPr>
          <w:b/>
        </w:rPr>
        <w:t>,</w:t>
      </w:r>
      <w:r w:rsidR="005413E4" w:rsidRPr="001C1778">
        <w:rPr>
          <w:b/>
        </w:rPr>
        <w:t>441</w:t>
      </w:r>
    </w:p>
    <w:p w14:paraId="66851AE3" w14:textId="1F20419B" w:rsidR="005B717B" w:rsidRPr="00867A60" w:rsidRDefault="005B717B">
      <w:pPr>
        <w:rPr>
          <w:b/>
          <w:sz w:val="18"/>
          <w:szCs w:val="18"/>
        </w:rPr>
      </w:pPr>
      <w:r w:rsidRPr="00867A60">
        <w:rPr>
          <w:b/>
          <w:sz w:val="18"/>
          <w:szCs w:val="18"/>
        </w:rPr>
        <w:t>Applic</w:t>
      </w:r>
      <w:r w:rsidR="0093639B">
        <w:rPr>
          <w:b/>
          <w:sz w:val="18"/>
          <w:szCs w:val="18"/>
        </w:rPr>
        <w:t>ation one off cost calculations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pplication one off cost calculations"/>
      </w:tblPr>
      <w:tblGrid>
        <w:gridCol w:w="2758"/>
        <w:gridCol w:w="1282"/>
        <w:gridCol w:w="1089"/>
        <w:gridCol w:w="2236"/>
        <w:gridCol w:w="695"/>
        <w:gridCol w:w="723"/>
        <w:gridCol w:w="846"/>
      </w:tblGrid>
      <w:tr w:rsidR="005B717B" w:rsidRPr="001C1778" w14:paraId="621774D4" w14:textId="77777777" w:rsidTr="008D4B16">
        <w:trPr>
          <w:trHeight w:val="56"/>
          <w:jc w:val="center"/>
        </w:trPr>
        <w:tc>
          <w:tcPr>
            <w:tcW w:w="2758" w:type="dxa"/>
            <w:vMerge w:val="restart"/>
            <w:noWrap/>
            <w:tcMar>
              <w:top w:w="0" w:type="dxa"/>
              <w:left w:w="108" w:type="dxa"/>
              <w:bottom w:w="0" w:type="dxa"/>
              <w:right w:w="108" w:type="dxa"/>
            </w:tcMar>
            <w:vAlign w:val="bottom"/>
            <w:hideMark/>
          </w:tcPr>
          <w:p w14:paraId="1B65576D" w14:textId="77777777" w:rsidR="005B717B" w:rsidRPr="00884F2C" w:rsidRDefault="005B717B">
            <w:pPr>
              <w:jc w:val="center"/>
              <w:rPr>
                <w:color w:val="000000"/>
                <w:sz w:val="16"/>
                <w:szCs w:val="16"/>
                <w:lang w:eastAsia="en-AU"/>
              </w:rPr>
            </w:pPr>
            <w:r w:rsidRPr="00884F2C">
              <w:rPr>
                <w:color w:val="000000"/>
                <w:sz w:val="16"/>
                <w:szCs w:val="16"/>
                <w:lang w:eastAsia="en-AU"/>
              </w:rPr>
              <w:t> </w:t>
            </w:r>
          </w:p>
        </w:tc>
        <w:tc>
          <w:tcPr>
            <w:tcW w:w="1282" w:type="dxa"/>
            <w:vMerge w:val="restart"/>
            <w:noWrap/>
            <w:tcMar>
              <w:top w:w="0" w:type="dxa"/>
              <w:left w:w="108" w:type="dxa"/>
              <w:bottom w:w="0" w:type="dxa"/>
              <w:right w:w="108" w:type="dxa"/>
            </w:tcMar>
            <w:vAlign w:val="bottom"/>
            <w:hideMark/>
          </w:tcPr>
          <w:p w14:paraId="19D7A5B9" w14:textId="77777777" w:rsidR="005B717B" w:rsidRPr="001C1778" w:rsidRDefault="005B717B">
            <w:pPr>
              <w:jc w:val="center"/>
              <w:rPr>
                <w:color w:val="000000"/>
                <w:sz w:val="16"/>
                <w:szCs w:val="16"/>
                <w:lang w:eastAsia="en-AU"/>
              </w:rPr>
            </w:pPr>
            <w:r w:rsidRPr="001C1778">
              <w:rPr>
                <w:color w:val="000000"/>
                <w:sz w:val="16"/>
                <w:szCs w:val="16"/>
                <w:lang w:eastAsia="en-AU"/>
              </w:rPr>
              <w:t>Unrestricted</w:t>
            </w:r>
          </w:p>
        </w:tc>
        <w:tc>
          <w:tcPr>
            <w:tcW w:w="1089" w:type="dxa"/>
            <w:vMerge w:val="restart"/>
            <w:noWrap/>
            <w:tcMar>
              <w:top w:w="0" w:type="dxa"/>
              <w:left w:w="108" w:type="dxa"/>
              <w:bottom w:w="0" w:type="dxa"/>
              <w:right w:w="108" w:type="dxa"/>
            </w:tcMar>
            <w:vAlign w:val="bottom"/>
            <w:hideMark/>
          </w:tcPr>
          <w:p w14:paraId="00FD7BBC" w14:textId="77777777" w:rsidR="005B717B" w:rsidRPr="001C1778" w:rsidRDefault="005B717B">
            <w:pPr>
              <w:jc w:val="center"/>
              <w:rPr>
                <w:color w:val="000000"/>
                <w:sz w:val="16"/>
                <w:szCs w:val="16"/>
                <w:lang w:eastAsia="en-AU"/>
              </w:rPr>
            </w:pPr>
            <w:r w:rsidRPr="001C1778">
              <w:rPr>
                <w:color w:val="000000"/>
                <w:sz w:val="16"/>
                <w:szCs w:val="16"/>
                <w:lang w:eastAsia="en-AU"/>
              </w:rPr>
              <w:t>Restricted</w:t>
            </w:r>
          </w:p>
        </w:tc>
        <w:tc>
          <w:tcPr>
            <w:tcW w:w="3654" w:type="dxa"/>
            <w:gridSpan w:val="3"/>
            <w:tcMar>
              <w:top w:w="0" w:type="dxa"/>
              <w:left w:w="108" w:type="dxa"/>
              <w:bottom w:w="0" w:type="dxa"/>
              <w:right w:w="108" w:type="dxa"/>
            </w:tcMar>
            <w:vAlign w:val="bottom"/>
            <w:hideMark/>
          </w:tcPr>
          <w:p w14:paraId="17808064" w14:textId="77777777" w:rsidR="005B717B" w:rsidRPr="001C1778" w:rsidRDefault="005B717B">
            <w:pPr>
              <w:jc w:val="center"/>
              <w:rPr>
                <w:color w:val="000000"/>
                <w:sz w:val="16"/>
                <w:szCs w:val="16"/>
                <w:lang w:eastAsia="en-AU"/>
              </w:rPr>
            </w:pPr>
            <w:r w:rsidRPr="001C1778">
              <w:rPr>
                <w:color w:val="000000"/>
                <w:sz w:val="16"/>
                <w:szCs w:val="16"/>
                <w:lang w:eastAsia="en-AU"/>
              </w:rPr>
              <w:t>Mixed</w:t>
            </w:r>
          </w:p>
        </w:tc>
        <w:tc>
          <w:tcPr>
            <w:tcW w:w="846" w:type="dxa"/>
            <w:vMerge w:val="restart"/>
            <w:noWrap/>
            <w:tcMar>
              <w:top w:w="0" w:type="dxa"/>
              <w:left w:w="108" w:type="dxa"/>
              <w:bottom w:w="0" w:type="dxa"/>
              <w:right w:w="108" w:type="dxa"/>
            </w:tcMar>
            <w:vAlign w:val="bottom"/>
            <w:hideMark/>
          </w:tcPr>
          <w:p w14:paraId="37CA2C6F" w14:textId="77777777" w:rsidR="005B717B" w:rsidRPr="001C1778" w:rsidRDefault="005B717B">
            <w:pPr>
              <w:jc w:val="center"/>
              <w:rPr>
                <w:color w:val="000000"/>
                <w:sz w:val="16"/>
                <w:szCs w:val="16"/>
                <w:lang w:eastAsia="en-AU"/>
              </w:rPr>
            </w:pPr>
            <w:r w:rsidRPr="001C1778">
              <w:rPr>
                <w:color w:val="000000"/>
                <w:sz w:val="16"/>
                <w:szCs w:val="16"/>
                <w:lang w:eastAsia="en-AU"/>
              </w:rPr>
              <w:t>total</w:t>
            </w:r>
          </w:p>
        </w:tc>
      </w:tr>
      <w:tr w:rsidR="005B717B" w:rsidRPr="001C1778" w14:paraId="02BAAA3E" w14:textId="77777777" w:rsidTr="008D4B16">
        <w:trPr>
          <w:trHeight w:val="56"/>
          <w:jc w:val="center"/>
        </w:trPr>
        <w:tc>
          <w:tcPr>
            <w:tcW w:w="0" w:type="auto"/>
            <w:vMerge/>
            <w:vAlign w:val="center"/>
            <w:hideMark/>
          </w:tcPr>
          <w:p w14:paraId="38E9CAB9" w14:textId="77777777" w:rsidR="005B717B" w:rsidRPr="001C1778" w:rsidRDefault="005B717B">
            <w:pPr>
              <w:rPr>
                <w:rFonts w:ascii="Calibri" w:hAnsi="Calibri" w:cs="Calibri"/>
                <w:color w:val="000000"/>
                <w:sz w:val="16"/>
                <w:szCs w:val="16"/>
                <w:lang w:eastAsia="en-AU"/>
              </w:rPr>
            </w:pPr>
          </w:p>
        </w:tc>
        <w:tc>
          <w:tcPr>
            <w:tcW w:w="0" w:type="auto"/>
            <w:vMerge/>
            <w:vAlign w:val="center"/>
            <w:hideMark/>
          </w:tcPr>
          <w:p w14:paraId="7C12EFA6" w14:textId="77777777" w:rsidR="005B717B" w:rsidRPr="001C1778" w:rsidRDefault="005B717B">
            <w:pPr>
              <w:rPr>
                <w:rFonts w:ascii="Calibri" w:hAnsi="Calibri" w:cs="Calibri"/>
                <w:color w:val="000000"/>
                <w:sz w:val="16"/>
                <w:szCs w:val="16"/>
                <w:lang w:eastAsia="en-AU"/>
              </w:rPr>
            </w:pPr>
          </w:p>
        </w:tc>
        <w:tc>
          <w:tcPr>
            <w:tcW w:w="0" w:type="auto"/>
            <w:vMerge/>
            <w:vAlign w:val="center"/>
            <w:hideMark/>
          </w:tcPr>
          <w:p w14:paraId="7D80A857" w14:textId="77777777" w:rsidR="005B717B" w:rsidRPr="001C1778" w:rsidRDefault="005B717B">
            <w:pPr>
              <w:rPr>
                <w:rFonts w:ascii="Calibri" w:hAnsi="Calibri" w:cs="Calibri"/>
                <w:color w:val="000000"/>
                <w:sz w:val="16"/>
                <w:szCs w:val="16"/>
                <w:lang w:eastAsia="en-AU"/>
              </w:rPr>
            </w:pPr>
          </w:p>
        </w:tc>
        <w:tc>
          <w:tcPr>
            <w:tcW w:w="2236" w:type="dxa"/>
            <w:noWrap/>
            <w:tcMar>
              <w:top w:w="0" w:type="dxa"/>
              <w:left w:w="108" w:type="dxa"/>
              <w:bottom w:w="0" w:type="dxa"/>
              <w:right w:w="108" w:type="dxa"/>
            </w:tcMar>
            <w:vAlign w:val="bottom"/>
            <w:hideMark/>
          </w:tcPr>
          <w:p w14:paraId="4BC70751" w14:textId="77777777" w:rsidR="005B717B" w:rsidRPr="001C1778" w:rsidRDefault="005B717B">
            <w:pPr>
              <w:rPr>
                <w:color w:val="000000"/>
                <w:sz w:val="16"/>
                <w:szCs w:val="16"/>
                <w:lang w:eastAsia="en-AU"/>
              </w:rPr>
            </w:pPr>
            <w:r w:rsidRPr="001C1778">
              <w:rPr>
                <w:color w:val="000000"/>
                <w:sz w:val="16"/>
                <w:szCs w:val="16"/>
                <w:lang w:eastAsia="en-AU"/>
              </w:rPr>
              <w:t>population</w:t>
            </w:r>
          </w:p>
        </w:tc>
        <w:tc>
          <w:tcPr>
            <w:tcW w:w="695" w:type="dxa"/>
            <w:noWrap/>
            <w:tcMar>
              <w:top w:w="0" w:type="dxa"/>
              <w:left w:w="108" w:type="dxa"/>
              <w:bottom w:w="0" w:type="dxa"/>
              <w:right w:w="108" w:type="dxa"/>
            </w:tcMar>
            <w:vAlign w:val="bottom"/>
            <w:hideMark/>
          </w:tcPr>
          <w:p w14:paraId="2D70960E" w14:textId="77777777" w:rsidR="005B717B" w:rsidRPr="001C1778" w:rsidRDefault="005B717B">
            <w:pPr>
              <w:rPr>
                <w:color w:val="000000"/>
                <w:sz w:val="16"/>
                <w:szCs w:val="16"/>
                <w:lang w:eastAsia="en-AU"/>
              </w:rPr>
            </w:pPr>
            <w:r w:rsidRPr="001C1778">
              <w:rPr>
                <w:color w:val="000000"/>
                <w:sz w:val="16"/>
                <w:szCs w:val="16"/>
                <w:lang w:eastAsia="en-AU"/>
              </w:rPr>
              <w:t>time</w:t>
            </w:r>
          </w:p>
        </w:tc>
        <w:tc>
          <w:tcPr>
            <w:tcW w:w="723" w:type="dxa"/>
            <w:noWrap/>
            <w:tcMar>
              <w:top w:w="0" w:type="dxa"/>
              <w:left w:w="108" w:type="dxa"/>
              <w:bottom w:w="0" w:type="dxa"/>
              <w:right w:w="108" w:type="dxa"/>
            </w:tcMar>
            <w:vAlign w:val="bottom"/>
            <w:hideMark/>
          </w:tcPr>
          <w:p w14:paraId="53395294" w14:textId="77777777" w:rsidR="005B717B" w:rsidRPr="001C1778" w:rsidRDefault="005B717B">
            <w:pPr>
              <w:rPr>
                <w:color w:val="000000"/>
                <w:sz w:val="16"/>
                <w:szCs w:val="16"/>
                <w:lang w:eastAsia="en-AU"/>
              </w:rPr>
            </w:pPr>
            <w:r w:rsidRPr="001C1778">
              <w:rPr>
                <w:color w:val="000000"/>
                <w:sz w:val="16"/>
                <w:szCs w:val="16"/>
                <w:lang w:eastAsia="en-AU"/>
              </w:rPr>
              <w:t>cost</w:t>
            </w:r>
          </w:p>
        </w:tc>
        <w:tc>
          <w:tcPr>
            <w:tcW w:w="846" w:type="dxa"/>
            <w:vMerge/>
            <w:vAlign w:val="center"/>
            <w:hideMark/>
          </w:tcPr>
          <w:p w14:paraId="5921DA25" w14:textId="77777777" w:rsidR="005B717B" w:rsidRPr="001C1778" w:rsidRDefault="005B717B">
            <w:pPr>
              <w:rPr>
                <w:rFonts w:ascii="Calibri" w:hAnsi="Calibri" w:cs="Calibri"/>
                <w:color w:val="000000"/>
                <w:sz w:val="16"/>
                <w:szCs w:val="16"/>
                <w:lang w:eastAsia="en-AU"/>
              </w:rPr>
            </w:pPr>
          </w:p>
        </w:tc>
      </w:tr>
      <w:tr w:rsidR="00AE37F8" w:rsidRPr="001C1778" w14:paraId="4ECE5009" w14:textId="77777777" w:rsidTr="002279DD">
        <w:trPr>
          <w:trHeight w:val="292"/>
          <w:jc w:val="center"/>
        </w:trPr>
        <w:tc>
          <w:tcPr>
            <w:tcW w:w="2758" w:type="dxa"/>
            <w:noWrap/>
            <w:tcMar>
              <w:top w:w="0" w:type="dxa"/>
              <w:left w:w="108" w:type="dxa"/>
              <w:bottom w:w="0" w:type="dxa"/>
              <w:right w:w="108" w:type="dxa"/>
            </w:tcMar>
            <w:vAlign w:val="bottom"/>
            <w:hideMark/>
          </w:tcPr>
          <w:p w14:paraId="4E21B61C" w14:textId="77777777" w:rsidR="00AE37F8" w:rsidRPr="001C1778" w:rsidRDefault="00AE37F8" w:rsidP="00AE37F8">
            <w:pPr>
              <w:rPr>
                <w:color w:val="000000"/>
                <w:sz w:val="16"/>
                <w:szCs w:val="16"/>
                <w:lang w:eastAsia="en-AU"/>
              </w:rPr>
            </w:pPr>
            <w:r w:rsidRPr="001C1778">
              <w:rPr>
                <w:color w:val="000000"/>
                <w:sz w:val="16"/>
                <w:szCs w:val="16"/>
                <w:lang w:eastAsia="en-AU"/>
              </w:rPr>
              <w:t>Year 1</w:t>
            </w:r>
          </w:p>
        </w:tc>
        <w:tc>
          <w:tcPr>
            <w:tcW w:w="1282" w:type="dxa"/>
            <w:noWrap/>
            <w:tcMar>
              <w:top w:w="0" w:type="dxa"/>
              <w:left w:w="108" w:type="dxa"/>
              <w:bottom w:w="0" w:type="dxa"/>
              <w:right w:w="108" w:type="dxa"/>
            </w:tcMar>
            <w:vAlign w:val="bottom"/>
            <w:hideMark/>
          </w:tcPr>
          <w:p w14:paraId="7E5422BE"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7CC5CA4E"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4AEF1922" w14:textId="77777777" w:rsidR="00AE37F8" w:rsidRPr="001C1778" w:rsidRDefault="00AE37F8" w:rsidP="00AE37F8">
            <w:pPr>
              <w:jc w:val="right"/>
              <w:rPr>
                <w:color w:val="000000"/>
                <w:sz w:val="16"/>
                <w:szCs w:val="16"/>
                <w:lang w:eastAsia="en-AU"/>
              </w:rPr>
            </w:pPr>
            <w:r w:rsidRPr="001C1778">
              <w:rPr>
                <w:color w:val="000000"/>
                <w:sz w:val="16"/>
                <w:szCs w:val="16"/>
                <w:lang w:eastAsia="en-AU"/>
              </w:rPr>
              <w:t>13</w:t>
            </w:r>
          </w:p>
        </w:tc>
        <w:tc>
          <w:tcPr>
            <w:tcW w:w="695" w:type="dxa"/>
            <w:noWrap/>
            <w:tcMar>
              <w:top w:w="0" w:type="dxa"/>
              <w:left w:w="108" w:type="dxa"/>
              <w:bottom w:w="0" w:type="dxa"/>
              <w:right w:w="108" w:type="dxa"/>
            </w:tcMar>
            <w:vAlign w:val="bottom"/>
            <w:hideMark/>
          </w:tcPr>
          <w:p w14:paraId="51A3FE80" w14:textId="77777777" w:rsidR="00AE37F8" w:rsidRPr="001C1778" w:rsidRDefault="00AE37F8" w:rsidP="00AE37F8">
            <w:pPr>
              <w:jc w:val="right"/>
              <w:rPr>
                <w:color w:val="000000"/>
                <w:sz w:val="16"/>
                <w:szCs w:val="16"/>
                <w:lang w:eastAsia="en-AU"/>
              </w:rPr>
            </w:pPr>
            <w:r w:rsidRPr="001C1778">
              <w:rPr>
                <w:color w:val="000000"/>
                <w:sz w:val="16"/>
                <w:szCs w:val="16"/>
                <w:lang w:eastAsia="en-AU"/>
              </w:rPr>
              <w:t>0.5</w:t>
            </w:r>
          </w:p>
        </w:tc>
        <w:tc>
          <w:tcPr>
            <w:tcW w:w="723" w:type="dxa"/>
            <w:noWrap/>
            <w:tcMar>
              <w:top w:w="0" w:type="dxa"/>
              <w:left w:w="108" w:type="dxa"/>
              <w:bottom w:w="0" w:type="dxa"/>
              <w:right w:w="108" w:type="dxa"/>
            </w:tcMar>
            <w:vAlign w:val="bottom"/>
            <w:hideMark/>
          </w:tcPr>
          <w:p w14:paraId="1B67437A"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846" w:type="dxa"/>
            <w:noWrap/>
            <w:tcMar>
              <w:top w:w="0" w:type="dxa"/>
              <w:left w:w="108" w:type="dxa"/>
              <w:bottom w:w="0" w:type="dxa"/>
              <w:right w:w="108" w:type="dxa"/>
            </w:tcMar>
            <w:vAlign w:val="bottom"/>
            <w:hideMark/>
          </w:tcPr>
          <w:p w14:paraId="63946407" w14:textId="77777777" w:rsidR="00AE37F8" w:rsidRPr="001C1778" w:rsidRDefault="00AE37F8" w:rsidP="00AE37F8">
            <w:pPr>
              <w:rPr>
                <w:color w:val="000000"/>
                <w:sz w:val="16"/>
                <w:szCs w:val="16"/>
                <w:lang w:eastAsia="en-AU"/>
              </w:rPr>
            </w:pPr>
            <w:r w:rsidRPr="001C1778">
              <w:rPr>
                <w:color w:val="000000"/>
                <w:sz w:val="16"/>
                <w:szCs w:val="16"/>
                <w:lang w:eastAsia="en-AU"/>
              </w:rPr>
              <w:t xml:space="preserve">$517.60 </w:t>
            </w:r>
          </w:p>
        </w:tc>
      </w:tr>
      <w:tr w:rsidR="00AE37F8" w:rsidRPr="001C1778" w14:paraId="33DEBF34" w14:textId="77777777" w:rsidTr="002279DD">
        <w:trPr>
          <w:trHeight w:val="292"/>
          <w:jc w:val="center"/>
        </w:trPr>
        <w:tc>
          <w:tcPr>
            <w:tcW w:w="2758" w:type="dxa"/>
            <w:noWrap/>
            <w:tcMar>
              <w:top w:w="0" w:type="dxa"/>
              <w:left w:w="108" w:type="dxa"/>
              <w:bottom w:w="0" w:type="dxa"/>
              <w:right w:w="108" w:type="dxa"/>
            </w:tcMar>
            <w:vAlign w:val="bottom"/>
            <w:hideMark/>
          </w:tcPr>
          <w:p w14:paraId="5BE14DE6" w14:textId="77777777" w:rsidR="00AE37F8" w:rsidRPr="001C1778" w:rsidRDefault="00AE37F8" w:rsidP="00AE37F8">
            <w:pPr>
              <w:rPr>
                <w:color w:val="000000"/>
                <w:sz w:val="16"/>
                <w:szCs w:val="16"/>
                <w:lang w:eastAsia="en-AU"/>
              </w:rPr>
            </w:pPr>
            <w:r w:rsidRPr="001C1778">
              <w:rPr>
                <w:color w:val="000000"/>
                <w:sz w:val="16"/>
                <w:szCs w:val="16"/>
                <w:lang w:eastAsia="en-AU"/>
              </w:rPr>
              <w:t>Year 2</w:t>
            </w:r>
          </w:p>
        </w:tc>
        <w:tc>
          <w:tcPr>
            <w:tcW w:w="1282" w:type="dxa"/>
            <w:noWrap/>
            <w:tcMar>
              <w:top w:w="0" w:type="dxa"/>
              <w:left w:w="108" w:type="dxa"/>
              <w:bottom w:w="0" w:type="dxa"/>
              <w:right w:w="108" w:type="dxa"/>
            </w:tcMar>
            <w:vAlign w:val="bottom"/>
            <w:hideMark/>
          </w:tcPr>
          <w:p w14:paraId="6D764838"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6DBD7A1C"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1902886C"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695" w:type="dxa"/>
            <w:noWrap/>
            <w:tcMar>
              <w:top w:w="0" w:type="dxa"/>
              <w:left w:w="108" w:type="dxa"/>
              <w:bottom w:w="0" w:type="dxa"/>
              <w:right w:w="108" w:type="dxa"/>
            </w:tcMar>
            <w:vAlign w:val="bottom"/>
            <w:hideMark/>
          </w:tcPr>
          <w:p w14:paraId="113861A4" w14:textId="77777777" w:rsidR="00AE37F8" w:rsidRPr="001C1778" w:rsidRDefault="00AE37F8" w:rsidP="00AE37F8">
            <w:pPr>
              <w:jc w:val="right"/>
              <w:rPr>
                <w:color w:val="000000"/>
                <w:sz w:val="16"/>
                <w:szCs w:val="16"/>
                <w:lang w:eastAsia="en-AU"/>
              </w:rPr>
            </w:pPr>
            <w:r w:rsidRPr="001C1778">
              <w:rPr>
                <w:color w:val="000000"/>
                <w:sz w:val="16"/>
                <w:szCs w:val="16"/>
                <w:lang w:eastAsia="en-AU"/>
              </w:rPr>
              <w:t>0.5</w:t>
            </w:r>
          </w:p>
        </w:tc>
        <w:tc>
          <w:tcPr>
            <w:tcW w:w="723" w:type="dxa"/>
            <w:noWrap/>
            <w:tcMar>
              <w:top w:w="0" w:type="dxa"/>
              <w:left w:w="108" w:type="dxa"/>
              <w:bottom w:w="0" w:type="dxa"/>
              <w:right w:w="108" w:type="dxa"/>
            </w:tcMar>
            <w:vAlign w:val="bottom"/>
            <w:hideMark/>
          </w:tcPr>
          <w:p w14:paraId="3B069237"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846" w:type="dxa"/>
            <w:noWrap/>
            <w:tcMar>
              <w:top w:w="0" w:type="dxa"/>
              <w:left w:w="108" w:type="dxa"/>
              <w:bottom w:w="0" w:type="dxa"/>
              <w:right w:w="108" w:type="dxa"/>
            </w:tcMar>
            <w:vAlign w:val="bottom"/>
            <w:hideMark/>
          </w:tcPr>
          <w:p w14:paraId="06242652" w14:textId="77777777" w:rsidR="00AE37F8" w:rsidRPr="001C1778" w:rsidRDefault="00AE37F8" w:rsidP="00AE37F8">
            <w:pPr>
              <w:rPr>
                <w:color w:val="000000"/>
                <w:sz w:val="16"/>
                <w:szCs w:val="16"/>
                <w:lang w:eastAsia="en-AU"/>
              </w:rPr>
            </w:pPr>
            <w:r w:rsidRPr="001C1778">
              <w:rPr>
                <w:color w:val="000000"/>
                <w:sz w:val="16"/>
                <w:szCs w:val="16"/>
                <w:lang w:eastAsia="en-AU"/>
              </w:rPr>
              <w:t xml:space="preserve">$398.15 </w:t>
            </w:r>
          </w:p>
        </w:tc>
      </w:tr>
      <w:tr w:rsidR="00AE37F8" w:rsidRPr="001C1778" w14:paraId="1CE174BE" w14:textId="77777777" w:rsidTr="002279DD">
        <w:trPr>
          <w:trHeight w:val="292"/>
          <w:jc w:val="center"/>
        </w:trPr>
        <w:tc>
          <w:tcPr>
            <w:tcW w:w="2758" w:type="dxa"/>
            <w:noWrap/>
            <w:tcMar>
              <w:top w:w="0" w:type="dxa"/>
              <w:left w:w="108" w:type="dxa"/>
              <w:bottom w:w="0" w:type="dxa"/>
              <w:right w:w="108" w:type="dxa"/>
            </w:tcMar>
            <w:vAlign w:val="bottom"/>
            <w:hideMark/>
          </w:tcPr>
          <w:p w14:paraId="0359F633" w14:textId="77777777" w:rsidR="00AE37F8" w:rsidRPr="001C1778" w:rsidRDefault="00AE37F8" w:rsidP="00AE37F8">
            <w:pPr>
              <w:rPr>
                <w:color w:val="000000"/>
                <w:sz w:val="16"/>
                <w:szCs w:val="16"/>
                <w:lang w:eastAsia="en-AU"/>
              </w:rPr>
            </w:pPr>
            <w:r w:rsidRPr="001C1778">
              <w:rPr>
                <w:color w:val="000000"/>
                <w:sz w:val="16"/>
                <w:szCs w:val="16"/>
                <w:lang w:eastAsia="en-AU"/>
              </w:rPr>
              <w:t>Year 3</w:t>
            </w:r>
          </w:p>
        </w:tc>
        <w:tc>
          <w:tcPr>
            <w:tcW w:w="1282" w:type="dxa"/>
            <w:noWrap/>
            <w:tcMar>
              <w:top w:w="0" w:type="dxa"/>
              <w:left w:w="108" w:type="dxa"/>
              <w:bottom w:w="0" w:type="dxa"/>
              <w:right w:w="108" w:type="dxa"/>
            </w:tcMar>
            <w:vAlign w:val="bottom"/>
            <w:hideMark/>
          </w:tcPr>
          <w:p w14:paraId="2D46C0DF"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0E61E349"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5C592ACE"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695" w:type="dxa"/>
            <w:noWrap/>
            <w:tcMar>
              <w:top w:w="0" w:type="dxa"/>
              <w:left w:w="108" w:type="dxa"/>
              <w:bottom w:w="0" w:type="dxa"/>
              <w:right w:w="108" w:type="dxa"/>
            </w:tcMar>
            <w:vAlign w:val="bottom"/>
            <w:hideMark/>
          </w:tcPr>
          <w:p w14:paraId="63CBFF05" w14:textId="77777777" w:rsidR="00AE37F8" w:rsidRPr="001C1778" w:rsidRDefault="00AE37F8" w:rsidP="00AE37F8">
            <w:pPr>
              <w:jc w:val="right"/>
              <w:rPr>
                <w:color w:val="000000"/>
                <w:sz w:val="16"/>
                <w:szCs w:val="16"/>
                <w:lang w:eastAsia="en-AU"/>
              </w:rPr>
            </w:pPr>
            <w:r w:rsidRPr="001C1778">
              <w:rPr>
                <w:color w:val="000000"/>
                <w:sz w:val="16"/>
                <w:szCs w:val="16"/>
                <w:lang w:eastAsia="en-AU"/>
              </w:rPr>
              <w:t>0.5</w:t>
            </w:r>
          </w:p>
        </w:tc>
        <w:tc>
          <w:tcPr>
            <w:tcW w:w="723" w:type="dxa"/>
            <w:noWrap/>
            <w:tcMar>
              <w:top w:w="0" w:type="dxa"/>
              <w:left w:w="108" w:type="dxa"/>
              <w:bottom w:w="0" w:type="dxa"/>
              <w:right w:w="108" w:type="dxa"/>
            </w:tcMar>
            <w:vAlign w:val="bottom"/>
            <w:hideMark/>
          </w:tcPr>
          <w:p w14:paraId="24034905"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846" w:type="dxa"/>
            <w:noWrap/>
            <w:tcMar>
              <w:top w:w="0" w:type="dxa"/>
              <w:left w:w="108" w:type="dxa"/>
              <w:bottom w:w="0" w:type="dxa"/>
              <w:right w:w="108" w:type="dxa"/>
            </w:tcMar>
            <w:vAlign w:val="bottom"/>
            <w:hideMark/>
          </w:tcPr>
          <w:p w14:paraId="2D15155E" w14:textId="77777777" w:rsidR="00AE37F8" w:rsidRPr="001C1778" w:rsidRDefault="00AE37F8" w:rsidP="00AE37F8">
            <w:pPr>
              <w:rPr>
                <w:color w:val="000000"/>
                <w:sz w:val="16"/>
                <w:szCs w:val="16"/>
                <w:lang w:eastAsia="en-AU"/>
              </w:rPr>
            </w:pPr>
            <w:r w:rsidRPr="001C1778">
              <w:rPr>
                <w:color w:val="000000"/>
                <w:sz w:val="16"/>
                <w:szCs w:val="16"/>
                <w:lang w:eastAsia="en-AU"/>
              </w:rPr>
              <w:t xml:space="preserve">$398.15 </w:t>
            </w:r>
          </w:p>
        </w:tc>
      </w:tr>
      <w:tr w:rsidR="00AE37F8" w:rsidRPr="001C1778" w14:paraId="146301D6" w14:textId="77777777" w:rsidTr="002279DD">
        <w:trPr>
          <w:trHeight w:val="292"/>
          <w:jc w:val="center"/>
        </w:trPr>
        <w:tc>
          <w:tcPr>
            <w:tcW w:w="2758" w:type="dxa"/>
            <w:noWrap/>
            <w:tcMar>
              <w:top w:w="0" w:type="dxa"/>
              <w:left w:w="108" w:type="dxa"/>
              <w:bottom w:w="0" w:type="dxa"/>
              <w:right w:w="108" w:type="dxa"/>
            </w:tcMar>
            <w:vAlign w:val="bottom"/>
            <w:hideMark/>
          </w:tcPr>
          <w:p w14:paraId="10485C57" w14:textId="77777777" w:rsidR="00AE37F8" w:rsidRPr="001C1778" w:rsidRDefault="00AE37F8" w:rsidP="00AE37F8">
            <w:pPr>
              <w:rPr>
                <w:color w:val="000000"/>
                <w:sz w:val="16"/>
                <w:szCs w:val="16"/>
                <w:lang w:eastAsia="en-AU"/>
              </w:rPr>
            </w:pPr>
            <w:r w:rsidRPr="001C1778">
              <w:rPr>
                <w:color w:val="000000"/>
                <w:sz w:val="16"/>
                <w:szCs w:val="16"/>
                <w:lang w:eastAsia="en-AU"/>
              </w:rPr>
              <w:t>Year 4</w:t>
            </w:r>
          </w:p>
        </w:tc>
        <w:tc>
          <w:tcPr>
            <w:tcW w:w="1282" w:type="dxa"/>
            <w:noWrap/>
            <w:tcMar>
              <w:top w:w="0" w:type="dxa"/>
              <w:left w:w="108" w:type="dxa"/>
              <w:bottom w:w="0" w:type="dxa"/>
              <w:right w:w="108" w:type="dxa"/>
            </w:tcMar>
            <w:vAlign w:val="bottom"/>
            <w:hideMark/>
          </w:tcPr>
          <w:p w14:paraId="430B3BBD"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20FF9C1A"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09144E24"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695" w:type="dxa"/>
            <w:noWrap/>
            <w:tcMar>
              <w:top w:w="0" w:type="dxa"/>
              <w:left w:w="108" w:type="dxa"/>
              <w:bottom w:w="0" w:type="dxa"/>
              <w:right w:w="108" w:type="dxa"/>
            </w:tcMar>
            <w:vAlign w:val="bottom"/>
            <w:hideMark/>
          </w:tcPr>
          <w:p w14:paraId="6B06737F" w14:textId="77777777" w:rsidR="00AE37F8" w:rsidRPr="001C1778" w:rsidRDefault="00AE37F8" w:rsidP="00AE37F8">
            <w:pPr>
              <w:jc w:val="right"/>
              <w:rPr>
                <w:color w:val="000000"/>
                <w:sz w:val="16"/>
                <w:szCs w:val="16"/>
                <w:lang w:eastAsia="en-AU"/>
              </w:rPr>
            </w:pPr>
            <w:r w:rsidRPr="001C1778">
              <w:rPr>
                <w:color w:val="000000"/>
                <w:sz w:val="16"/>
                <w:szCs w:val="16"/>
                <w:lang w:eastAsia="en-AU"/>
              </w:rPr>
              <w:t>0.5</w:t>
            </w:r>
          </w:p>
        </w:tc>
        <w:tc>
          <w:tcPr>
            <w:tcW w:w="723" w:type="dxa"/>
            <w:noWrap/>
            <w:tcMar>
              <w:top w:w="0" w:type="dxa"/>
              <w:left w:w="108" w:type="dxa"/>
              <w:bottom w:w="0" w:type="dxa"/>
              <w:right w:w="108" w:type="dxa"/>
            </w:tcMar>
            <w:vAlign w:val="bottom"/>
            <w:hideMark/>
          </w:tcPr>
          <w:p w14:paraId="7189C6B8"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846" w:type="dxa"/>
            <w:noWrap/>
            <w:tcMar>
              <w:top w:w="0" w:type="dxa"/>
              <w:left w:w="108" w:type="dxa"/>
              <w:bottom w:w="0" w:type="dxa"/>
              <w:right w:w="108" w:type="dxa"/>
            </w:tcMar>
            <w:vAlign w:val="bottom"/>
            <w:hideMark/>
          </w:tcPr>
          <w:p w14:paraId="4D997D26" w14:textId="77777777" w:rsidR="00AE37F8" w:rsidRPr="001C1778" w:rsidRDefault="00AE37F8" w:rsidP="00AE37F8">
            <w:pPr>
              <w:rPr>
                <w:color w:val="000000"/>
                <w:sz w:val="16"/>
                <w:szCs w:val="16"/>
                <w:lang w:eastAsia="en-AU"/>
              </w:rPr>
            </w:pPr>
            <w:r w:rsidRPr="001C1778">
              <w:rPr>
                <w:color w:val="000000"/>
                <w:sz w:val="16"/>
                <w:szCs w:val="16"/>
                <w:lang w:eastAsia="en-AU"/>
              </w:rPr>
              <w:t xml:space="preserve">$398.15 </w:t>
            </w:r>
          </w:p>
        </w:tc>
      </w:tr>
      <w:tr w:rsidR="00AE37F8" w:rsidRPr="001C1778" w14:paraId="0A5F4CEA" w14:textId="77777777" w:rsidTr="002279DD">
        <w:trPr>
          <w:trHeight w:val="292"/>
          <w:jc w:val="center"/>
        </w:trPr>
        <w:tc>
          <w:tcPr>
            <w:tcW w:w="2758" w:type="dxa"/>
            <w:noWrap/>
            <w:tcMar>
              <w:top w:w="0" w:type="dxa"/>
              <w:left w:w="108" w:type="dxa"/>
              <w:bottom w:w="0" w:type="dxa"/>
              <w:right w:w="108" w:type="dxa"/>
            </w:tcMar>
            <w:vAlign w:val="bottom"/>
            <w:hideMark/>
          </w:tcPr>
          <w:p w14:paraId="354A18DA" w14:textId="77777777" w:rsidR="00AE37F8" w:rsidRPr="001C1778" w:rsidRDefault="00AE37F8" w:rsidP="00AE37F8">
            <w:pPr>
              <w:rPr>
                <w:color w:val="000000"/>
                <w:sz w:val="16"/>
                <w:szCs w:val="16"/>
                <w:lang w:eastAsia="en-AU"/>
              </w:rPr>
            </w:pPr>
            <w:r w:rsidRPr="001C1778">
              <w:rPr>
                <w:color w:val="000000"/>
                <w:sz w:val="16"/>
                <w:szCs w:val="16"/>
                <w:lang w:eastAsia="en-AU"/>
              </w:rPr>
              <w:t>Year 5</w:t>
            </w:r>
          </w:p>
        </w:tc>
        <w:tc>
          <w:tcPr>
            <w:tcW w:w="1282" w:type="dxa"/>
            <w:noWrap/>
            <w:tcMar>
              <w:top w:w="0" w:type="dxa"/>
              <w:left w:w="108" w:type="dxa"/>
              <w:bottom w:w="0" w:type="dxa"/>
              <w:right w:w="108" w:type="dxa"/>
            </w:tcMar>
            <w:vAlign w:val="bottom"/>
            <w:hideMark/>
          </w:tcPr>
          <w:p w14:paraId="76A8402E"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2FB30E83"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03407D5A"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695" w:type="dxa"/>
            <w:noWrap/>
            <w:tcMar>
              <w:top w:w="0" w:type="dxa"/>
              <w:left w:w="108" w:type="dxa"/>
              <w:bottom w:w="0" w:type="dxa"/>
              <w:right w:w="108" w:type="dxa"/>
            </w:tcMar>
            <w:vAlign w:val="bottom"/>
            <w:hideMark/>
          </w:tcPr>
          <w:p w14:paraId="5C159D4A" w14:textId="77777777" w:rsidR="00AE37F8" w:rsidRPr="001C1778" w:rsidRDefault="00AE37F8" w:rsidP="00AE37F8">
            <w:pPr>
              <w:jc w:val="right"/>
              <w:rPr>
                <w:color w:val="000000"/>
                <w:sz w:val="16"/>
                <w:szCs w:val="16"/>
                <w:lang w:eastAsia="en-AU"/>
              </w:rPr>
            </w:pPr>
            <w:r w:rsidRPr="001C1778">
              <w:rPr>
                <w:color w:val="000000"/>
                <w:sz w:val="16"/>
                <w:szCs w:val="16"/>
                <w:lang w:eastAsia="en-AU"/>
              </w:rPr>
              <w:t>0.5</w:t>
            </w:r>
          </w:p>
        </w:tc>
        <w:tc>
          <w:tcPr>
            <w:tcW w:w="723" w:type="dxa"/>
            <w:noWrap/>
            <w:tcMar>
              <w:top w:w="0" w:type="dxa"/>
              <w:left w:w="108" w:type="dxa"/>
              <w:bottom w:w="0" w:type="dxa"/>
              <w:right w:w="108" w:type="dxa"/>
            </w:tcMar>
            <w:vAlign w:val="bottom"/>
            <w:hideMark/>
          </w:tcPr>
          <w:p w14:paraId="4440178C"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846" w:type="dxa"/>
            <w:noWrap/>
            <w:tcMar>
              <w:top w:w="0" w:type="dxa"/>
              <w:left w:w="108" w:type="dxa"/>
              <w:bottom w:w="0" w:type="dxa"/>
              <w:right w:w="108" w:type="dxa"/>
            </w:tcMar>
            <w:vAlign w:val="bottom"/>
            <w:hideMark/>
          </w:tcPr>
          <w:p w14:paraId="69D42368" w14:textId="77777777" w:rsidR="00AE37F8" w:rsidRPr="001C1778" w:rsidRDefault="00AE37F8" w:rsidP="00AE37F8">
            <w:pPr>
              <w:rPr>
                <w:color w:val="000000"/>
                <w:sz w:val="16"/>
                <w:szCs w:val="16"/>
                <w:lang w:eastAsia="en-AU"/>
              </w:rPr>
            </w:pPr>
            <w:r w:rsidRPr="001C1778">
              <w:rPr>
                <w:color w:val="000000"/>
                <w:sz w:val="16"/>
                <w:szCs w:val="16"/>
                <w:lang w:eastAsia="en-AU"/>
              </w:rPr>
              <w:t xml:space="preserve">$398.15 </w:t>
            </w:r>
          </w:p>
        </w:tc>
      </w:tr>
      <w:tr w:rsidR="005B717B" w:rsidRPr="001C1778" w14:paraId="0C2DE930" w14:textId="77777777" w:rsidTr="002279DD">
        <w:trPr>
          <w:trHeight w:val="292"/>
          <w:jc w:val="center"/>
        </w:trPr>
        <w:tc>
          <w:tcPr>
            <w:tcW w:w="2758" w:type="dxa"/>
            <w:noWrap/>
            <w:tcMar>
              <w:top w:w="0" w:type="dxa"/>
              <w:left w:w="108" w:type="dxa"/>
              <w:bottom w:w="0" w:type="dxa"/>
              <w:right w:w="108" w:type="dxa"/>
            </w:tcMar>
            <w:vAlign w:val="bottom"/>
            <w:hideMark/>
          </w:tcPr>
          <w:p w14:paraId="0516515A" w14:textId="77777777" w:rsidR="005B717B" w:rsidRPr="001C1778" w:rsidRDefault="005B717B">
            <w:pPr>
              <w:rPr>
                <w:color w:val="000000"/>
                <w:sz w:val="16"/>
                <w:szCs w:val="16"/>
                <w:lang w:eastAsia="en-AU"/>
              </w:rPr>
            </w:pPr>
            <w:r w:rsidRPr="001C1778">
              <w:rPr>
                <w:color w:val="000000"/>
                <w:sz w:val="16"/>
                <w:szCs w:val="16"/>
                <w:lang w:eastAsia="en-AU"/>
              </w:rPr>
              <w:t>Year 6</w:t>
            </w:r>
          </w:p>
        </w:tc>
        <w:tc>
          <w:tcPr>
            <w:tcW w:w="1282" w:type="dxa"/>
            <w:noWrap/>
            <w:tcMar>
              <w:top w:w="0" w:type="dxa"/>
              <w:left w:w="108" w:type="dxa"/>
              <w:bottom w:w="0" w:type="dxa"/>
              <w:right w:w="108" w:type="dxa"/>
            </w:tcMar>
            <w:vAlign w:val="bottom"/>
            <w:hideMark/>
          </w:tcPr>
          <w:p w14:paraId="443BA0D8"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3E964C52"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26FAB511"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695" w:type="dxa"/>
            <w:noWrap/>
            <w:tcMar>
              <w:top w:w="0" w:type="dxa"/>
              <w:left w:w="108" w:type="dxa"/>
              <w:bottom w:w="0" w:type="dxa"/>
              <w:right w:w="108" w:type="dxa"/>
            </w:tcMar>
            <w:vAlign w:val="bottom"/>
            <w:hideMark/>
          </w:tcPr>
          <w:p w14:paraId="7B010764"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723" w:type="dxa"/>
            <w:noWrap/>
            <w:tcMar>
              <w:top w:w="0" w:type="dxa"/>
              <w:left w:w="108" w:type="dxa"/>
              <w:bottom w:w="0" w:type="dxa"/>
              <w:right w:w="108" w:type="dxa"/>
            </w:tcMar>
            <w:vAlign w:val="bottom"/>
            <w:hideMark/>
          </w:tcPr>
          <w:p w14:paraId="71858CB3"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846" w:type="dxa"/>
            <w:noWrap/>
            <w:tcMar>
              <w:top w:w="0" w:type="dxa"/>
              <w:left w:w="108" w:type="dxa"/>
              <w:bottom w:w="0" w:type="dxa"/>
              <w:right w:w="108" w:type="dxa"/>
            </w:tcMar>
            <w:vAlign w:val="bottom"/>
            <w:hideMark/>
          </w:tcPr>
          <w:p w14:paraId="2B739528" w14:textId="77777777" w:rsidR="005B717B" w:rsidRPr="001C1778" w:rsidRDefault="005B717B" w:rsidP="00FD2793">
            <w:pPr>
              <w:rPr>
                <w:color w:val="000000"/>
                <w:sz w:val="16"/>
                <w:szCs w:val="16"/>
                <w:lang w:eastAsia="en-AU"/>
              </w:rPr>
            </w:pPr>
            <w:r w:rsidRPr="001C1778">
              <w:rPr>
                <w:color w:val="000000"/>
                <w:sz w:val="16"/>
                <w:szCs w:val="16"/>
                <w:lang w:eastAsia="en-AU"/>
              </w:rPr>
              <w:t>$</w:t>
            </w:r>
            <w:r w:rsidR="00AE37F8" w:rsidRPr="001C1778">
              <w:rPr>
                <w:color w:val="000000"/>
                <w:sz w:val="16"/>
                <w:szCs w:val="16"/>
                <w:lang w:eastAsia="en-AU"/>
              </w:rPr>
              <w:t xml:space="preserve"> </w:t>
            </w:r>
            <w:r w:rsidRPr="001C1778">
              <w:rPr>
                <w:color w:val="000000"/>
                <w:sz w:val="16"/>
                <w:szCs w:val="16"/>
                <w:lang w:eastAsia="en-AU"/>
              </w:rPr>
              <w:t>-</w:t>
            </w:r>
          </w:p>
        </w:tc>
      </w:tr>
      <w:tr w:rsidR="00AE37F8" w:rsidRPr="001C1778" w14:paraId="0604BCB7" w14:textId="77777777" w:rsidTr="002279DD">
        <w:trPr>
          <w:trHeight w:val="50"/>
          <w:jc w:val="center"/>
        </w:trPr>
        <w:tc>
          <w:tcPr>
            <w:tcW w:w="2758" w:type="dxa"/>
            <w:noWrap/>
            <w:tcMar>
              <w:top w:w="0" w:type="dxa"/>
              <w:left w:w="108" w:type="dxa"/>
              <w:bottom w:w="0" w:type="dxa"/>
              <w:right w:w="108" w:type="dxa"/>
            </w:tcMar>
            <w:vAlign w:val="bottom"/>
            <w:hideMark/>
          </w:tcPr>
          <w:p w14:paraId="58579F1E" w14:textId="77777777" w:rsidR="00AE37F8" w:rsidRPr="001C1778" w:rsidRDefault="00AE37F8" w:rsidP="00AE37F8">
            <w:pPr>
              <w:rPr>
                <w:color w:val="000000"/>
                <w:sz w:val="16"/>
                <w:szCs w:val="16"/>
                <w:lang w:eastAsia="en-AU"/>
              </w:rPr>
            </w:pPr>
            <w:r w:rsidRPr="001C1778">
              <w:rPr>
                <w:color w:val="000000"/>
                <w:sz w:val="16"/>
                <w:szCs w:val="16"/>
                <w:lang w:eastAsia="en-AU"/>
              </w:rPr>
              <w:t>Year 7</w:t>
            </w:r>
          </w:p>
        </w:tc>
        <w:tc>
          <w:tcPr>
            <w:tcW w:w="1282" w:type="dxa"/>
            <w:noWrap/>
            <w:tcMar>
              <w:top w:w="0" w:type="dxa"/>
              <w:left w:w="108" w:type="dxa"/>
              <w:bottom w:w="0" w:type="dxa"/>
              <w:right w:w="108" w:type="dxa"/>
            </w:tcMar>
            <w:vAlign w:val="bottom"/>
            <w:hideMark/>
          </w:tcPr>
          <w:p w14:paraId="34802315"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32CEA6A9"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3CDC668E"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695" w:type="dxa"/>
            <w:noWrap/>
            <w:tcMar>
              <w:top w:w="0" w:type="dxa"/>
              <w:left w:w="108" w:type="dxa"/>
              <w:bottom w:w="0" w:type="dxa"/>
              <w:right w:w="108" w:type="dxa"/>
            </w:tcMar>
            <w:vAlign w:val="bottom"/>
            <w:hideMark/>
          </w:tcPr>
          <w:p w14:paraId="6E572229"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723" w:type="dxa"/>
            <w:noWrap/>
            <w:tcMar>
              <w:top w:w="0" w:type="dxa"/>
              <w:left w:w="108" w:type="dxa"/>
              <w:bottom w:w="0" w:type="dxa"/>
              <w:right w:w="108" w:type="dxa"/>
            </w:tcMar>
            <w:vAlign w:val="bottom"/>
            <w:hideMark/>
          </w:tcPr>
          <w:p w14:paraId="1FC6712A"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846" w:type="dxa"/>
            <w:noWrap/>
            <w:tcMar>
              <w:top w:w="0" w:type="dxa"/>
              <w:left w:w="108" w:type="dxa"/>
              <w:bottom w:w="0" w:type="dxa"/>
              <w:right w:w="108" w:type="dxa"/>
            </w:tcMar>
            <w:vAlign w:val="bottom"/>
            <w:hideMark/>
          </w:tcPr>
          <w:p w14:paraId="1AF00BE3" w14:textId="77777777" w:rsidR="00AE37F8" w:rsidRPr="001C1778" w:rsidRDefault="00FD2793" w:rsidP="00AE37F8">
            <w:pPr>
              <w:rPr>
                <w:color w:val="000000"/>
                <w:sz w:val="16"/>
                <w:szCs w:val="16"/>
                <w:lang w:eastAsia="en-AU"/>
              </w:rPr>
            </w:pPr>
            <w:r>
              <w:rPr>
                <w:color w:val="000000"/>
                <w:sz w:val="16"/>
                <w:szCs w:val="16"/>
                <w:lang w:eastAsia="en-AU"/>
              </w:rPr>
              <w:t>$ -</w:t>
            </w:r>
          </w:p>
        </w:tc>
      </w:tr>
      <w:tr w:rsidR="00AE37F8" w:rsidRPr="001C1778" w14:paraId="5EE3CE3C" w14:textId="77777777" w:rsidTr="002279DD">
        <w:trPr>
          <w:trHeight w:val="292"/>
          <w:jc w:val="center"/>
        </w:trPr>
        <w:tc>
          <w:tcPr>
            <w:tcW w:w="2758" w:type="dxa"/>
            <w:noWrap/>
            <w:tcMar>
              <w:top w:w="0" w:type="dxa"/>
              <w:left w:w="108" w:type="dxa"/>
              <w:bottom w:w="0" w:type="dxa"/>
              <w:right w:w="108" w:type="dxa"/>
            </w:tcMar>
            <w:vAlign w:val="bottom"/>
            <w:hideMark/>
          </w:tcPr>
          <w:p w14:paraId="7EC86343" w14:textId="77777777" w:rsidR="00AE37F8" w:rsidRPr="001C1778" w:rsidRDefault="00AE37F8" w:rsidP="00AE37F8">
            <w:pPr>
              <w:rPr>
                <w:color w:val="000000"/>
                <w:sz w:val="16"/>
                <w:szCs w:val="16"/>
                <w:lang w:eastAsia="en-AU"/>
              </w:rPr>
            </w:pPr>
            <w:r w:rsidRPr="001C1778">
              <w:rPr>
                <w:color w:val="000000"/>
                <w:sz w:val="16"/>
                <w:szCs w:val="16"/>
                <w:lang w:eastAsia="en-AU"/>
              </w:rPr>
              <w:t>Year 8</w:t>
            </w:r>
          </w:p>
        </w:tc>
        <w:tc>
          <w:tcPr>
            <w:tcW w:w="1282" w:type="dxa"/>
            <w:noWrap/>
            <w:tcMar>
              <w:top w:w="0" w:type="dxa"/>
              <w:left w:w="108" w:type="dxa"/>
              <w:bottom w:w="0" w:type="dxa"/>
              <w:right w:w="108" w:type="dxa"/>
            </w:tcMar>
            <w:vAlign w:val="bottom"/>
            <w:hideMark/>
          </w:tcPr>
          <w:p w14:paraId="6894F6AD"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35C83612"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5CCF279B"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695" w:type="dxa"/>
            <w:noWrap/>
            <w:tcMar>
              <w:top w:w="0" w:type="dxa"/>
              <w:left w:w="108" w:type="dxa"/>
              <w:bottom w:w="0" w:type="dxa"/>
              <w:right w:w="108" w:type="dxa"/>
            </w:tcMar>
            <w:vAlign w:val="bottom"/>
            <w:hideMark/>
          </w:tcPr>
          <w:p w14:paraId="122F41B3"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723" w:type="dxa"/>
            <w:noWrap/>
            <w:tcMar>
              <w:top w:w="0" w:type="dxa"/>
              <w:left w:w="108" w:type="dxa"/>
              <w:bottom w:w="0" w:type="dxa"/>
              <w:right w:w="108" w:type="dxa"/>
            </w:tcMar>
            <w:vAlign w:val="bottom"/>
            <w:hideMark/>
          </w:tcPr>
          <w:p w14:paraId="39F82215"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846" w:type="dxa"/>
            <w:noWrap/>
            <w:tcMar>
              <w:top w:w="0" w:type="dxa"/>
              <w:left w:w="108" w:type="dxa"/>
              <w:bottom w:w="0" w:type="dxa"/>
              <w:right w:w="108" w:type="dxa"/>
            </w:tcMar>
            <w:vAlign w:val="bottom"/>
            <w:hideMark/>
          </w:tcPr>
          <w:p w14:paraId="7F403FFD" w14:textId="77777777" w:rsidR="00AE37F8" w:rsidRPr="001C1778" w:rsidRDefault="00FD2793" w:rsidP="00AE37F8">
            <w:pPr>
              <w:rPr>
                <w:color w:val="000000"/>
                <w:sz w:val="16"/>
                <w:szCs w:val="16"/>
                <w:lang w:eastAsia="en-AU"/>
              </w:rPr>
            </w:pPr>
            <w:r>
              <w:rPr>
                <w:color w:val="000000"/>
                <w:sz w:val="16"/>
                <w:szCs w:val="16"/>
                <w:lang w:eastAsia="en-AU"/>
              </w:rPr>
              <w:t>$ -</w:t>
            </w:r>
          </w:p>
        </w:tc>
      </w:tr>
      <w:tr w:rsidR="00AE37F8" w:rsidRPr="001C1778" w14:paraId="26050C8E" w14:textId="77777777" w:rsidTr="002279DD">
        <w:trPr>
          <w:trHeight w:val="292"/>
          <w:jc w:val="center"/>
        </w:trPr>
        <w:tc>
          <w:tcPr>
            <w:tcW w:w="2758" w:type="dxa"/>
            <w:noWrap/>
            <w:tcMar>
              <w:top w:w="0" w:type="dxa"/>
              <w:left w:w="108" w:type="dxa"/>
              <w:bottom w:w="0" w:type="dxa"/>
              <w:right w:w="108" w:type="dxa"/>
            </w:tcMar>
            <w:vAlign w:val="bottom"/>
            <w:hideMark/>
          </w:tcPr>
          <w:p w14:paraId="646BC16A" w14:textId="77777777" w:rsidR="00AE37F8" w:rsidRPr="001C1778" w:rsidRDefault="00AE37F8" w:rsidP="00AE37F8">
            <w:pPr>
              <w:rPr>
                <w:color w:val="000000"/>
                <w:sz w:val="16"/>
                <w:szCs w:val="16"/>
                <w:lang w:eastAsia="en-AU"/>
              </w:rPr>
            </w:pPr>
            <w:r w:rsidRPr="001C1778">
              <w:rPr>
                <w:color w:val="000000"/>
                <w:sz w:val="16"/>
                <w:szCs w:val="16"/>
                <w:lang w:eastAsia="en-AU"/>
              </w:rPr>
              <w:t>Year 9</w:t>
            </w:r>
          </w:p>
        </w:tc>
        <w:tc>
          <w:tcPr>
            <w:tcW w:w="1282" w:type="dxa"/>
            <w:noWrap/>
            <w:tcMar>
              <w:top w:w="0" w:type="dxa"/>
              <w:left w:w="108" w:type="dxa"/>
              <w:bottom w:w="0" w:type="dxa"/>
              <w:right w:w="108" w:type="dxa"/>
            </w:tcMar>
            <w:vAlign w:val="bottom"/>
            <w:hideMark/>
          </w:tcPr>
          <w:p w14:paraId="14E7F5BF"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21CB6BFE"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13FAAD51"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695" w:type="dxa"/>
            <w:noWrap/>
            <w:tcMar>
              <w:top w:w="0" w:type="dxa"/>
              <w:left w:w="108" w:type="dxa"/>
              <w:bottom w:w="0" w:type="dxa"/>
              <w:right w:w="108" w:type="dxa"/>
            </w:tcMar>
            <w:vAlign w:val="bottom"/>
            <w:hideMark/>
          </w:tcPr>
          <w:p w14:paraId="12D7BF31"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723" w:type="dxa"/>
            <w:noWrap/>
            <w:tcMar>
              <w:top w:w="0" w:type="dxa"/>
              <w:left w:w="108" w:type="dxa"/>
              <w:bottom w:w="0" w:type="dxa"/>
              <w:right w:w="108" w:type="dxa"/>
            </w:tcMar>
            <w:vAlign w:val="bottom"/>
            <w:hideMark/>
          </w:tcPr>
          <w:p w14:paraId="79CE6834"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846" w:type="dxa"/>
            <w:noWrap/>
            <w:tcMar>
              <w:top w:w="0" w:type="dxa"/>
              <w:left w:w="108" w:type="dxa"/>
              <w:bottom w:w="0" w:type="dxa"/>
              <w:right w:w="108" w:type="dxa"/>
            </w:tcMar>
            <w:vAlign w:val="bottom"/>
            <w:hideMark/>
          </w:tcPr>
          <w:p w14:paraId="7E8095F0" w14:textId="77777777" w:rsidR="00AE37F8" w:rsidRPr="001C1778" w:rsidRDefault="00FD2793" w:rsidP="00AE37F8">
            <w:pPr>
              <w:rPr>
                <w:color w:val="000000"/>
                <w:sz w:val="16"/>
                <w:szCs w:val="16"/>
                <w:lang w:eastAsia="en-AU"/>
              </w:rPr>
            </w:pPr>
            <w:r>
              <w:rPr>
                <w:color w:val="000000"/>
                <w:sz w:val="16"/>
                <w:szCs w:val="16"/>
                <w:lang w:eastAsia="en-AU"/>
              </w:rPr>
              <w:t>$ -</w:t>
            </w:r>
          </w:p>
        </w:tc>
      </w:tr>
      <w:tr w:rsidR="00AE37F8" w:rsidRPr="001C1778" w14:paraId="7C51542D" w14:textId="77777777" w:rsidTr="002279DD">
        <w:trPr>
          <w:trHeight w:val="292"/>
          <w:jc w:val="center"/>
        </w:trPr>
        <w:tc>
          <w:tcPr>
            <w:tcW w:w="2758" w:type="dxa"/>
            <w:noWrap/>
            <w:tcMar>
              <w:top w:w="0" w:type="dxa"/>
              <w:left w:w="108" w:type="dxa"/>
              <w:bottom w:w="0" w:type="dxa"/>
              <w:right w:w="108" w:type="dxa"/>
            </w:tcMar>
            <w:vAlign w:val="bottom"/>
            <w:hideMark/>
          </w:tcPr>
          <w:p w14:paraId="2ABF5A83" w14:textId="77777777" w:rsidR="00AE37F8" w:rsidRPr="001C1778" w:rsidRDefault="00AE37F8" w:rsidP="00AE37F8">
            <w:pPr>
              <w:rPr>
                <w:color w:val="000000"/>
                <w:sz w:val="16"/>
                <w:szCs w:val="16"/>
                <w:lang w:eastAsia="en-AU"/>
              </w:rPr>
            </w:pPr>
            <w:r w:rsidRPr="001C1778">
              <w:rPr>
                <w:color w:val="000000"/>
                <w:sz w:val="16"/>
                <w:szCs w:val="16"/>
                <w:lang w:eastAsia="en-AU"/>
              </w:rPr>
              <w:t>Year 10</w:t>
            </w:r>
          </w:p>
        </w:tc>
        <w:tc>
          <w:tcPr>
            <w:tcW w:w="1282" w:type="dxa"/>
            <w:noWrap/>
            <w:tcMar>
              <w:top w:w="0" w:type="dxa"/>
              <w:left w:w="108" w:type="dxa"/>
              <w:bottom w:w="0" w:type="dxa"/>
              <w:right w:w="108" w:type="dxa"/>
            </w:tcMar>
            <w:vAlign w:val="bottom"/>
            <w:hideMark/>
          </w:tcPr>
          <w:p w14:paraId="0A000C8A"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089" w:type="dxa"/>
            <w:noWrap/>
            <w:tcMar>
              <w:top w:w="0" w:type="dxa"/>
              <w:left w:w="108" w:type="dxa"/>
              <w:bottom w:w="0" w:type="dxa"/>
              <w:right w:w="108" w:type="dxa"/>
            </w:tcMar>
            <w:vAlign w:val="bottom"/>
            <w:hideMark/>
          </w:tcPr>
          <w:p w14:paraId="3EEDBF68"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2236" w:type="dxa"/>
            <w:noWrap/>
            <w:tcMar>
              <w:top w:w="0" w:type="dxa"/>
              <w:left w:w="108" w:type="dxa"/>
              <w:bottom w:w="0" w:type="dxa"/>
              <w:right w:w="108" w:type="dxa"/>
            </w:tcMar>
            <w:vAlign w:val="bottom"/>
            <w:hideMark/>
          </w:tcPr>
          <w:p w14:paraId="41D4D83D"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695" w:type="dxa"/>
            <w:noWrap/>
            <w:tcMar>
              <w:top w:w="0" w:type="dxa"/>
              <w:left w:w="108" w:type="dxa"/>
              <w:bottom w:w="0" w:type="dxa"/>
              <w:right w:w="108" w:type="dxa"/>
            </w:tcMar>
            <w:vAlign w:val="bottom"/>
            <w:hideMark/>
          </w:tcPr>
          <w:p w14:paraId="1D7885BD"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723" w:type="dxa"/>
            <w:noWrap/>
            <w:tcMar>
              <w:top w:w="0" w:type="dxa"/>
              <w:left w:w="108" w:type="dxa"/>
              <w:bottom w:w="0" w:type="dxa"/>
              <w:right w:w="108" w:type="dxa"/>
            </w:tcMar>
            <w:vAlign w:val="bottom"/>
            <w:hideMark/>
          </w:tcPr>
          <w:p w14:paraId="33AF5484"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846" w:type="dxa"/>
            <w:noWrap/>
            <w:tcMar>
              <w:top w:w="0" w:type="dxa"/>
              <w:left w:w="108" w:type="dxa"/>
              <w:bottom w:w="0" w:type="dxa"/>
              <w:right w:w="108" w:type="dxa"/>
            </w:tcMar>
            <w:vAlign w:val="bottom"/>
            <w:hideMark/>
          </w:tcPr>
          <w:p w14:paraId="684A0FE9" w14:textId="77777777" w:rsidR="00AE37F8" w:rsidRPr="001C1778" w:rsidRDefault="00FD2793" w:rsidP="00AE37F8">
            <w:pPr>
              <w:rPr>
                <w:color w:val="000000"/>
                <w:sz w:val="16"/>
                <w:szCs w:val="16"/>
                <w:lang w:eastAsia="en-AU"/>
              </w:rPr>
            </w:pPr>
            <w:r>
              <w:rPr>
                <w:color w:val="000000"/>
                <w:sz w:val="16"/>
                <w:szCs w:val="16"/>
                <w:lang w:eastAsia="en-AU"/>
              </w:rPr>
              <w:t>$ -</w:t>
            </w:r>
          </w:p>
        </w:tc>
      </w:tr>
      <w:tr w:rsidR="005B717B" w:rsidRPr="00884F2C" w14:paraId="3CA8A9EA" w14:textId="77777777" w:rsidTr="002279DD">
        <w:trPr>
          <w:trHeight w:val="292"/>
          <w:jc w:val="center"/>
        </w:trPr>
        <w:tc>
          <w:tcPr>
            <w:tcW w:w="2758" w:type="dxa"/>
            <w:noWrap/>
            <w:tcMar>
              <w:top w:w="0" w:type="dxa"/>
              <w:left w:w="108" w:type="dxa"/>
              <w:bottom w:w="0" w:type="dxa"/>
              <w:right w:w="108" w:type="dxa"/>
            </w:tcMar>
            <w:vAlign w:val="bottom"/>
            <w:hideMark/>
          </w:tcPr>
          <w:p w14:paraId="57175030"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1282" w:type="dxa"/>
            <w:noWrap/>
            <w:tcMar>
              <w:top w:w="0" w:type="dxa"/>
              <w:left w:w="108" w:type="dxa"/>
              <w:bottom w:w="0" w:type="dxa"/>
              <w:right w:w="108" w:type="dxa"/>
            </w:tcMar>
            <w:vAlign w:val="bottom"/>
            <w:hideMark/>
          </w:tcPr>
          <w:p w14:paraId="346C156F"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1089" w:type="dxa"/>
            <w:noWrap/>
            <w:tcMar>
              <w:top w:w="0" w:type="dxa"/>
              <w:left w:w="108" w:type="dxa"/>
              <w:bottom w:w="0" w:type="dxa"/>
              <w:right w:w="108" w:type="dxa"/>
            </w:tcMar>
            <w:vAlign w:val="bottom"/>
            <w:hideMark/>
          </w:tcPr>
          <w:p w14:paraId="317F0E8E"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2236" w:type="dxa"/>
            <w:noWrap/>
            <w:tcMar>
              <w:top w:w="0" w:type="dxa"/>
              <w:left w:w="108" w:type="dxa"/>
              <w:bottom w:w="0" w:type="dxa"/>
              <w:right w:w="108" w:type="dxa"/>
            </w:tcMar>
            <w:vAlign w:val="bottom"/>
            <w:hideMark/>
          </w:tcPr>
          <w:p w14:paraId="725E1F25"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695" w:type="dxa"/>
            <w:noWrap/>
            <w:tcMar>
              <w:top w:w="0" w:type="dxa"/>
              <w:left w:w="108" w:type="dxa"/>
              <w:bottom w:w="0" w:type="dxa"/>
              <w:right w:w="108" w:type="dxa"/>
            </w:tcMar>
            <w:vAlign w:val="bottom"/>
            <w:hideMark/>
          </w:tcPr>
          <w:p w14:paraId="1FDDCC2C"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723" w:type="dxa"/>
            <w:noWrap/>
            <w:tcMar>
              <w:top w:w="0" w:type="dxa"/>
              <w:left w:w="108" w:type="dxa"/>
              <w:bottom w:w="0" w:type="dxa"/>
              <w:right w:w="108" w:type="dxa"/>
            </w:tcMar>
            <w:vAlign w:val="bottom"/>
            <w:hideMark/>
          </w:tcPr>
          <w:p w14:paraId="1AEE8609" w14:textId="77777777" w:rsidR="005B717B" w:rsidRPr="001C1778" w:rsidRDefault="005B717B">
            <w:pPr>
              <w:rPr>
                <w:color w:val="000000"/>
                <w:sz w:val="16"/>
                <w:szCs w:val="16"/>
                <w:lang w:eastAsia="en-AU"/>
              </w:rPr>
            </w:pPr>
            <w:r w:rsidRPr="001C1778">
              <w:rPr>
                <w:color w:val="000000"/>
                <w:sz w:val="16"/>
                <w:szCs w:val="16"/>
                <w:lang w:eastAsia="en-AU"/>
              </w:rPr>
              <w:t>total</w:t>
            </w:r>
          </w:p>
        </w:tc>
        <w:tc>
          <w:tcPr>
            <w:tcW w:w="846" w:type="dxa"/>
            <w:noWrap/>
            <w:tcMar>
              <w:top w:w="0" w:type="dxa"/>
              <w:left w:w="108" w:type="dxa"/>
              <w:bottom w:w="0" w:type="dxa"/>
              <w:right w:w="108" w:type="dxa"/>
            </w:tcMar>
            <w:vAlign w:val="bottom"/>
            <w:hideMark/>
          </w:tcPr>
          <w:p w14:paraId="4B98B6C6" w14:textId="77777777" w:rsidR="005B717B" w:rsidRPr="00884F2C" w:rsidRDefault="00ED30C0" w:rsidP="00AE37F8">
            <w:pPr>
              <w:rPr>
                <w:color w:val="000000"/>
                <w:sz w:val="16"/>
                <w:szCs w:val="16"/>
                <w:lang w:eastAsia="en-AU"/>
              </w:rPr>
            </w:pPr>
            <w:r w:rsidRPr="001C1778">
              <w:rPr>
                <w:color w:val="000000"/>
                <w:sz w:val="16"/>
                <w:szCs w:val="16"/>
                <w:lang w:eastAsia="en-AU"/>
              </w:rPr>
              <w:t>$2,110</w:t>
            </w:r>
            <w:r w:rsidR="005B717B" w:rsidRPr="00884F2C">
              <w:rPr>
                <w:color w:val="000000"/>
                <w:sz w:val="16"/>
                <w:szCs w:val="16"/>
                <w:lang w:eastAsia="en-AU"/>
              </w:rPr>
              <w:t xml:space="preserve"> </w:t>
            </w:r>
          </w:p>
        </w:tc>
      </w:tr>
    </w:tbl>
    <w:p w14:paraId="482C5D20" w14:textId="77777777" w:rsidR="004A6F5F" w:rsidRDefault="004A6F5F">
      <w:pPr>
        <w:rPr>
          <w:b/>
        </w:rPr>
      </w:pPr>
      <w:r>
        <w:rPr>
          <w:b/>
        </w:rPr>
        <w:br w:type="page"/>
      </w:r>
    </w:p>
    <w:p w14:paraId="6367ACB6" w14:textId="47589BB3" w:rsidR="005B717B" w:rsidRPr="005C002E" w:rsidRDefault="005B717B">
      <w:pPr>
        <w:rPr>
          <w:b/>
        </w:rPr>
      </w:pPr>
      <w:r w:rsidRPr="00867A60">
        <w:rPr>
          <w:b/>
          <w:sz w:val="18"/>
          <w:szCs w:val="18"/>
        </w:rPr>
        <w:t>Initial set up calculations</w:t>
      </w:r>
      <w:r w:rsidR="00427306" w:rsidRPr="00867A60">
        <w:rPr>
          <w:b/>
          <w:sz w:val="18"/>
          <w:szCs w:val="18"/>
        </w:rPr>
        <w:t xml:space="preserve"> (hardware, software and staff training)</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Initial set up calculations (hardware, software and staff training)"/>
      </w:tblPr>
      <w:tblGrid>
        <w:gridCol w:w="935"/>
        <w:gridCol w:w="1713"/>
        <w:gridCol w:w="1456"/>
        <w:gridCol w:w="1535"/>
        <w:gridCol w:w="928"/>
        <w:gridCol w:w="968"/>
        <w:gridCol w:w="2094"/>
      </w:tblGrid>
      <w:tr w:rsidR="005B717B" w:rsidRPr="001C1778" w14:paraId="59B859D7" w14:textId="77777777" w:rsidTr="002279DD">
        <w:trPr>
          <w:trHeight w:val="177"/>
          <w:jc w:val="center"/>
        </w:trPr>
        <w:tc>
          <w:tcPr>
            <w:tcW w:w="935" w:type="dxa"/>
            <w:vMerge w:val="restart"/>
            <w:noWrap/>
            <w:tcMar>
              <w:top w:w="0" w:type="dxa"/>
              <w:left w:w="108" w:type="dxa"/>
              <w:bottom w:w="0" w:type="dxa"/>
              <w:right w:w="108" w:type="dxa"/>
            </w:tcMar>
            <w:vAlign w:val="bottom"/>
            <w:hideMark/>
          </w:tcPr>
          <w:p w14:paraId="1B59A327" w14:textId="77777777" w:rsidR="005B717B" w:rsidRPr="00884F2C" w:rsidRDefault="005B717B">
            <w:pPr>
              <w:jc w:val="center"/>
              <w:rPr>
                <w:color w:val="000000"/>
                <w:sz w:val="16"/>
                <w:szCs w:val="16"/>
                <w:lang w:eastAsia="en-AU"/>
              </w:rPr>
            </w:pPr>
            <w:r w:rsidRPr="00884F2C">
              <w:rPr>
                <w:color w:val="000000"/>
                <w:sz w:val="16"/>
                <w:szCs w:val="16"/>
                <w:lang w:eastAsia="en-AU"/>
              </w:rPr>
              <w:t> </w:t>
            </w:r>
          </w:p>
        </w:tc>
        <w:tc>
          <w:tcPr>
            <w:tcW w:w="1713" w:type="dxa"/>
            <w:vMerge w:val="restart"/>
            <w:noWrap/>
            <w:tcMar>
              <w:top w:w="0" w:type="dxa"/>
              <w:left w:w="108" w:type="dxa"/>
              <w:bottom w:w="0" w:type="dxa"/>
              <w:right w:w="108" w:type="dxa"/>
            </w:tcMar>
            <w:vAlign w:val="bottom"/>
            <w:hideMark/>
          </w:tcPr>
          <w:p w14:paraId="58D4CB42" w14:textId="77777777" w:rsidR="005B717B" w:rsidRPr="001C1778" w:rsidRDefault="005B717B">
            <w:pPr>
              <w:jc w:val="center"/>
              <w:rPr>
                <w:color w:val="000000"/>
                <w:sz w:val="16"/>
                <w:szCs w:val="16"/>
                <w:lang w:eastAsia="en-AU"/>
              </w:rPr>
            </w:pPr>
            <w:r w:rsidRPr="001C1778">
              <w:rPr>
                <w:color w:val="000000"/>
                <w:sz w:val="16"/>
                <w:szCs w:val="16"/>
                <w:lang w:eastAsia="en-AU"/>
              </w:rPr>
              <w:t>Unrestricted</w:t>
            </w:r>
          </w:p>
        </w:tc>
        <w:tc>
          <w:tcPr>
            <w:tcW w:w="1456" w:type="dxa"/>
            <w:vMerge w:val="restart"/>
            <w:noWrap/>
            <w:tcMar>
              <w:top w:w="0" w:type="dxa"/>
              <w:left w:w="108" w:type="dxa"/>
              <w:bottom w:w="0" w:type="dxa"/>
              <w:right w:w="108" w:type="dxa"/>
            </w:tcMar>
            <w:vAlign w:val="bottom"/>
            <w:hideMark/>
          </w:tcPr>
          <w:p w14:paraId="768696BD" w14:textId="77777777" w:rsidR="005B717B" w:rsidRPr="001C1778" w:rsidRDefault="005B717B">
            <w:pPr>
              <w:jc w:val="center"/>
              <w:rPr>
                <w:color w:val="000000"/>
                <w:sz w:val="16"/>
                <w:szCs w:val="16"/>
                <w:lang w:eastAsia="en-AU"/>
              </w:rPr>
            </w:pPr>
            <w:r w:rsidRPr="001C1778">
              <w:rPr>
                <w:color w:val="000000"/>
                <w:sz w:val="16"/>
                <w:szCs w:val="16"/>
                <w:lang w:eastAsia="en-AU"/>
              </w:rPr>
              <w:t>Restricted</w:t>
            </w:r>
          </w:p>
        </w:tc>
        <w:tc>
          <w:tcPr>
            <w:tcW w:w="3431" w:type="dxa"/>
            <w:gridSpan w:val="3"/>
            <w:tcMar>
              <w:top w:w="0" w:type="dxa"/>
              <w:left w:w="108" w:type="dxa"/>
              <w:bottom w:w="0" w:type="dxa"/>
              <w:right w:w="108" w:type="dxa"/>
            </w:tcMar>
            <w:vAlign w:val="bottom"/>
            <w:hideMark/>
          </w:tcPr>
          <w:p w14:paraId="2451C2DA" w14:textId="77777777" w:rsidR="005B717B" w:rsidRPr="001C1778" w:rsidRDefault="005B717B">
            <w:pPr>
              <w:jc w:val="center"/>
              <w:rPr>
                <w:color w:val="000000"/>
                <w:sz w:val="16"/>
                <w:szCs w:val="16"/>
                <w:lang w:eastAsia="en-AU"/>
              </w:rPr>
            </w:pPr>
            <w:r w:rsidRPr="001C1778">
              <w:rPr>
                <w:color w:val="000000"/>
                <w:sz w:val="16"/>
                <w:szCs w:val="16"/>
                <w:lang w:eastAsia="en-AU"/>
              </w:rPr>
              <w:t>Mixed</w:t>
            </w:r>
          </w:p>
        </w:tc>
        <w:tc>
          <w:tcPr>
            <w:tcW w:w="2094" w:type="dxa"/>
            <w:vMerge w:val="restart"/>
            <w:noWrap/>
            <w:tcMar>
              <w:top w:w="0" w:type="dxa"/>
              <w:left w:w="108" w:type="dxa"/>
              <w:bottom w:w="0" w:type="dxa"/>
              <w:right w:w="108" w:type="dxa"/>
            </w:tcMar>
            <w:vAlign w:val="bottom"/>
            <w:hideMark/>
          </w:tcPr>
          <w:p w14:paraId="6FACF823" w14:textId="77777777" w:rsidR="005B717B" w:rsidRPr="001C1778" w:rsidRDefault="005B717B">
            <w:pPr>
              <w:jc w:val="center"/>
              <w:rPr>
                <w:color w:val="000000"/>
                <w:sz w:val="16"/>
                <w:szCs w:val="16"/>
                <w:lang w:eastAsia="en-AU"/>
              </w:rPr>
            </w:pPr>
            <w:r w:rsidRPr="001C1778">
              <w:rPr>
                <w:color w:val="000000"/>
                <w:sz w:val="16"/>
                <w:szCs w:val="16"/>
                <w:lang w:eastAsia="en-AU"/>
              </w:rPr>
              <w:t>total</w:t>
            </w:r>
          </w:p>
        </w:tc>
      </w:tr>
      <w:tr w:rsidR="005B717B" w:rsidRPr="001C1778" w14:paraId="4B8F7C38" w14:textId="77777777" w:rsidTr="002279DD">
        <w:trPr>
          <w:trHeight w:val="111"/>
          <w:jc w:val="center"/>
        </w:trPr>
        <w:tc>
          <w:tcPr>
            <w:tcW w:w="0" w:type="auto"/>
            <w:vMerge/>
            <w:vAlign w:val="center"/>
            <w:hideMark/>
          </w:tcPr>
          <w:p w14:paraId="105B6227" w14:textId="77777777" w:rsidR="005B717B" w:rsidRPr="001C1778" w:rsidRDefault="005B717B">
            <w:pPr>
              <w:rPr>
                <w:rFonts w:ascii="Calibri" w:hAnsi="Calibri" w:cs="Calibri"/>
                <w:color w:val="000000"/>
                <w:sz w:val="16"/>
                <w:szCs w:val="16"/>
                <w:lang w:eastAsia="en-AU"/>
              </w:rPr>
            </w:pPr>
          </w:p>
        </w:tc>
        <w:tc>
          <w:tcPr>
            <w:tcW w:w="0" w:type="auto"/>
            <w:vMerge/>
            <w:vAlign w:val="center"/>
            <w:hideMark/>
          </w:tcPr>
          <w:p w14:paraId="1CD12BDD" w14:textId="77777777" w:rsidR="005B717B" w:rsidRPr="001C1778" w:rsidRDefault="005B717B">
            <w:pPr>
              <w:rPr>
                <w:rFonts w:ascii="Calibri" w:hAnsi="Calibri" w:cs="Calibri"/>
                <w:color w:val="000000"/>
                <w:sz w:val="16"/>
                <w:szCs w:val="16"/>
                <w:lang w:eastAsia="en-AU"/>
              </w:rPr>
            </w:pPr>
          </w:p>
        </w:tc>
        <w:tc>
          <w:tcPr>
            <w:tcW w:w="0" w:type="auto"/>
            <w:vMerge/>
            <w:vAlign w:val="center"/>
            <w:hideMark/>
          </w:tcPr>
          <w:p w14:paraId="1F8C91E2" w14:textId="77777777" w:rsidR="005B717B" w:rsidRPr="001C1778" w:rsidRDefault="005B717B">
            <w:pPr>
              <w:rPr>
                <w:rFonts w:ascii="Calibri" w:hAnsi="Calibri" w:cs="Calibri"/>
                <w:color w:val="000000"/>
                <w:sz w:val="16"/>
                <w:szCs w:val="16"/>
                <w:lang w:eastAsia="en-AU"/>
              </w:rPr>
            </w:pPr>
          </w:p>
        </w:tc>
        <w:tc>
          <w:tcPr>
            <w:tcW w:w="1535" w:type="dxa"/>
            <w:noWrap/>
            <w:tcMar>
              <w:top w:w="0" w:type="dxa"/>
              <w:left w:w="108" w:type="dxa"/>
              <w:bottom w:w="0" w:type="dxa"/>
              <w:right w:w="108" w:type="dxa"/>
            </w:tcMar>
            <w:vAlign w:val="bottom"/>
            <w:hideMark/>
          </w:tcPr>
          <w:p w14:paraId="6EC54159" w14:textId="77777777" w:rsidR="005B717B" w:rsidRPr="001C1778" w:rsidRDefault="005B717B">
            <w:pPr>
              <w:rPr>
                <w:color w:val="000000"/>
                <w:sz w:val="16"/>
                <w:szCs w:val="16"/>
                <w:lang w:eastAsia="en-AU"/>
              </w:rPr>
            </w:pPr>
            <w:r w:rsidRPr="001C1778">
              <w:rPr>
                <w:color w:val="000000"/>
                <w:sz w:val="16"/>
                <w:szCs w:val="16"/>
                <w:lang w:eastAsia="en-AU"/>
              </w:rPr>
              <w:t>population</w:t>
            </w:r>
          </w:p>
        </w:tc>
        <w:tc>
          <w:tcPr>
            <w:tcW w:w="928" w:type="dxa"/>
            <w:noWrap/>
            <w:tcMar>
              <w:top w:w="0" w:type="dxa"/>
              <w:left w:w="108" w:type="dxa"/>
              <w:bottom w:w="0" w:type="dxa"/>
              <w:right w:w="108" w:type="dxa"/>
            </w:tcMar>
            <w:vAlign w:val="bottom"/>
            <w:hideMark/>
          </w:tcPr>
          <w:p w14:paraId="2068E0A8" w14:textId="77777777" w:rsidR="005B717B" w:rsidRPr="001C1778" w:rsidRDefault="005B717B">
            <w:pPr>
              <w:rPr>
                <w:color w:val="000000"/>
                <w:sz w:val="16"/>
                <w:szCs w:val="16"/>
                <w:lang w:eastAsia="en-AU"/>
              </w:rPr>
            </w:pPr>
            <w:r w:rsidRPr="001C1778">
              <w:rPr>
                <w:color w:val="000000"/>
                <w:sz w:val="16"/>
                <w:szCs w:val="16"/>
                <w:lang w:eastAsia="en-AU"/>
              </w:rPr>
              <w:t>time</w:t>
            </w:r>
          </w:p>
        </w:tc>
        <w:tc>
          <w:tcPr>
            <w:tcW w:w="968" w:type="dxa"/>
            <w:noWrap/>
            <w:tcMar>
              <w:top w:w="0" w:type="dxa"/>
              <w:left w:w="108" w:type="dxa"/>
              <w:bottom w:w="0" w:type="dxa"/>
              <w:right w:w="108" w:type="dxa"/>
            </w:tcMar>
            <w:vAlign w:val="bottom"/>
            <w:hideMark/>
          </w:tcPr>
          <w:p w14:paraId="727F411B" w14:textId="77777777" w:rsidR="005B717B" w:rsidRPr="001C1778" w:rsidRDefault="005B717B">
            <w:pPr>
              <w:rPr>
                <w:color w:val="000000"/>
                <w:sz w:val="16"/>
                <w:szCs w:val="16"/>
                <w:lang w:eastAsia="en-AU"/>
              </w:rPr>
            </w:pPr>
            <w:r w:rsidRPr="001C1778">
              <w:rPr>
                <w:color w:val="000000"/>
                <w:sz w:val="16"/>
                <w:szCs w:val="16"/>
                <w:lang w:eastAsia="en-AU"/>
              </w:rPr>
              <w:t>cost</w:t>
            </w:r>
          </w:p>
        </w:tc>
        <w:tc>
          <w:tcPr>
            <w:tcW w:w="2094" w:type="dxa"/>
            <w:vMerge/>
            <w:vAlign w:val="center"/>
            <w:hideMark/>
          </w:tcPr>
          <w:p w14:paraId="16F18BDE" w14:textId="77777777" w:rsidR="005B717B" w:rsidRPr="001C1778" w:rsidRDefault="005B717B">
            <w:pPr>
              <w:rPr>
                <w:rFonts w:ascii="Calibri" w:hAnsi="Calibri" w:cs="Calibri"/>
                <w:color w:val="000000"/>
                <w:sz w:val="16"/>
                <w:szCs w:val="16"/>
                <w:lang w:eastAsia="en-AU"/>
              </w:rPr>
            </w:pPr>
          </w:p>
        </w:tc>
      </w:tr>
      <w:tr w:rsidR="00AE37F8" w:rsidRPr="001C1778" w14:paraId="45E6C9BF" w14:textId="77777777" w:rsidTr="002279DD">
        <w:trPr>
          <w:trHeight w:val="317"/>
          <w:jc w:val="center"/>
        </w:trPr>
        <w:tc>
          <w:tcPr>
            <w:tcW w:w="935" w:type="dxa"/>
            <w:noWrap/>
            <w:tcMar>
              <w:top w:w="0" w:type="dxa"/>
              <w:left w:w="108" w:type="dxa"/>
              <w:bottom w:w="0" w:type="dxa"/>
              <w:right w:w="108" w:type="dxa"/>
            </w:tcMar>
            <w:vAlign w:val="bottom"/>
            <w:hideMark/>
          </w:tcPr>
          <w:p w14:paraId="5A9D4F80" w14:textId="77777777" w:rsidR="00AE37F8" w:rsidRPr="001C1778" w:rsidRDefault="00AE37F8" w:rsidP="00AE37F8">
            <w:pPr>
              <w:rPr>
                <w:color w:val="000000"/>
                <w:sz w:val="16"/>
                <w:szCs w:val="16"/>
                <w:lang w:eastAsia="en-AU"/>
              </w:rPr>
            </w:pPr>
            <w:r w:rsidRPr="001C1778">
              <w:rPr>
                <w:color w:val="000000"/>
                <w:sz w:val="16"/>
                <w:szCs w:val="16"/>
                <w:lang w:eastAsia="en-AU"/>
              </w:rPr>
              <w:t>Year 1</w:t>
            </w:r>
          </w:p>
        </w:tc>
        <w:tc>
          <w:tcPr>
            <w:tcW w:w="1713" w:type="dxa"/>
            <w:noWrap/>
            <w:tcMar>
              <w:top w:w="0" w:type="dxa"/>
              <w:left w:w="108" w:type="dxa"/>
              <w:bottom w:w="0" w:type="dxa"/>
              <w:right w:w="108" w:type="dxa"/>
            </w:tcMar>
            <w:vAlign w:val="bottom"/>
            <w:hideMark/>
          </w:tcPr>
          <w:p w14:paraId="5FFFD590"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74B0DD03"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401BA4EA" w14:textId="77777777" w:rsidR="00AE37F8" w:rsidRPr="001C1778" w:rsidRDefault="00AE37F8" w:rsidP="00AE37F8">
            <w:pPr>
              <w:jc w:val="right"/>
              <w:rPr>
                <w:color w:val="000000"/>
                <w:sz w:val="16"/>
                <w:szCs w:val="16"/>
                <w:lang w:eastAsia="en-AU"/>
              </w:rPr>
            </w:pPr>
            <w:r w:rsidRPr="001C1778">
              <w:rPr>
                <w:color w:val="000000"/>
                <w:sz w:val="16"/>
                <w:szCs w:val="16"/>
                <w:lang w:eastAsia="en-AU"/>
              </w:rPr>
              <w:t>13</w:t>
            </w:r>
          </w:p>
        </w:tc>
        <w:tc>
          <w:tcPr>
            <w:tcW w:w="928" w:type="dxa"/>
            <w:noWrap/>
            <w:tcMar>
              <w:top w:w="0" w:type="dxa"/>
              <w:left w:w="108" w:type="dxa"/>
              <w:bottom w:w="0" w:type="dxa"/>
              <w:right w:w="108" w:type="dxa"/>
            </w:tcMar>
            <w:vAlign w:val="bottom"/>
            <w:hideMark/>
          </w:tcPr>
          <w:p w14:paraId="7F928357" w14:textId="77777777" w:rsidR="00AE37F8" w:rsidRPr="001C1778" w:rsidRDefault="00AE37F8" w:rsidP="00AE37F8">
            <w:pPr>
              <w:jc w:val="right"/>
              <w:rPr>
                <w:color w:val="000000"/>
                <w:sz w:val="16"/>
                <w:szCs w:val="16"/>
                <w:lang w:eastAsia="en-AU"/>
              </w:rPr>
            </w:pPr>
            <w:r w:rsidRPr="001C1778">
              <w:rPr>
                <w:color w:val="000000"/>
                <w:sz w:val="16"/>
                <w:szCs w:val="16"/>
                <w:lang w:eastAsia="en-AU"/>
              </w:rPr>
              <w:t>1.5</w:t>
            </w:r>
          </w:p>
        </w:tc>
        <w:tc>
          <w:tcPr>
            <w:tcW w:w="968" w:type="dxa"/>
            <w:noWrap/>
            <w:tcMar>
              <w:top w:w="0" w:type="dxa"/>
              <w:left w:w="108" w:type="dxa"/>
              <w:bottom w:w="0" w:type="dxa"/>
              <w:right w:w="108" w:type="dxa"/>
            </w:tcMar>
            <w:vAlign w:val="bottom"/>
            <w:hideMark/>
          </w:tcPr>
          <w:p w14:paraId="32C594BF"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2094" w:type="dxa"/>
            <w:noWrap/>
            <w:tcMar>
              <w:top w:w="0" w:type="dxa"/>
              <w:left w:w="108" w:type="dxa"/>
              <w:bottom w:w="0" w:type="dxa"/>
              <w:right w:w="108" w:type="dxa"/>
            </w:tcMar>
            <w:vAlign w:val="bottom"/>
            <w:hideMark/>
          </w:tcPr>
          <w:p w14:paraId="60E82BD7" w14:textId="77777777" w:rsidR="00AE37F8" w:rsidRPr="001C1778" w:rsidRDefault="00AE37F8" w:rsidP="004C2D55">
            <w:pPr>
              <w:jc w:val="right"/>
              <w:rPr>
                <w:color w:val="000000"/>
                <w:sz w:val="16"/>
                <w:szCs w:val="16"/>
                <w:lang w:eastAsia="en-AU"/>
              </w:rPr>
            </w:pPr>
            <w:r w:rsidRPr="001C1778">
              <w:rPr>
                <w:color w:val="000000"/>
                <w:sz w:val="16"/>
                <w:szCs w:val="16"/>
                <w:lang w:eastAsia="en-AU"/>
              </w:rPr>
              <w:t xml:space="preserve">$1,552.79 </w:t>
            </w:r>
          </w:p>
        </w:tc>
      </w:tr>
      <w:tr w:rsidR="00AE37F8" w:rsidRPr="001C1778" w14:paraId="5BAB5BB3" w14:textId="77777777" w:rsidTr="002279DD">
        <w:trPr>
          <w:trHeight w:val="317"/>
          <w:jc w:val="center"/>
        </w:trPr>
        <w:tc>
          <w:tcPr>
            <w:tcW w:w="935" w:type="dxa"/>
            <w:noWrap/>
            <w:tcMar>
              <w:top w:w="0" w:type="dxa"/>
              <w:left w:w="108" w:type="dxa"/>
              <w:bottom w:w="0" w:type="dxa"/>
              <w:right w:w="108" w:type="dxa"/>
            </w:tcMar>
            <w:vAlign w:val="bottom"/>
            <w:hideMark/>
          </w:tcPr>
          <w:p w14:paraId="41D67AC7" w14:textId="77777777" w:rsidR="00AE37F8" w:rsidRPr="001C1778" w:rsidRDefault="00AE37F8" w:rsidP="00AE37F8">
            <w:pPr>
              <w:rPr>
                <w:color w:val="000000"/>
                <w:sz w:val="16"/>
                <w:szCs w:val="16"/>
                <w:lang w:eastAsia="en-AU"/>
              </w:rPr>
            </w:pPr>
            <w:r w:rsidRPr="001C1778">
              <w:rPr>
                <w:color w:val="000000"/>
                <w:sz w:val="16"/>
                <w:szCs w:val="16"/>
                <w:lang w:eastAsia="en-AU"/>
              </w:rPr>
              <w:t>Year 2</w:t>
            </w:r>
          </w:p>
        </w:tc>
        <w:tc>
          <w:tcPr>
            <w:tcW w:w="1713" w:type="dxa"/>
            <w:noWrap/>
            <w:tcMar>
              <w:top w:w="0" w:type="dxa"/>
              <w:left w:w="108" w:type="dxa"/>
              <w:bottom w:w="0" w:type="dxa"/>
              <w:right w:w="108" w:type="dxa"/>
            </w:tcMar>
            <w:vAlign w:val="bottom"/>
            <w:hideMark/>
          </w:tcPr>
          <w:p w14:paraId="5C310EB1"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610D7371"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5C129968"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928" w:type="dxa"/>
            <w:noWrap/>
            <w:tcMar>
              <w:top w:w="0" w:type="dxa"/>
              <w:left w:w="108" w:type="dxa"/>
              <w:bottom w:w="0" w:type="dxa"/>
              <w:right w:w="108" w:type="dxa"/>
            </w:tcMar>
            <w:vAlign w:val="bottom"/>
            <w:hideMark/>
          </w:tcPr>
          <w:p w14:paraId="5093FF13" w14:textId="77777777" w:rsidR="00AE37F8" w:rsidRPr="001C1778" w:rsidRDefault="00AE37F8" w:rsidP="00AE37F8">
            <w:pPr>
              <w:jc w:val="right"/>
              <w:rPr>
                <w:color w:val="000000"/>
                <w:sz w:val="16"/>
                <w:szCs w:val="16"/>
                <w:lang w:eastAsia="en-AU"/>
              </w:rPr>
            </w:pPr>
            <w:r w:rsidRPr="001C1778">
              <w:rPr>
                <w:color w:val="000000"/>
                <w:sz w:val="16"/>
                <w:szCs w:val="16"/>
                <w:lang w:eastAsia="en-AU"/>
              </w:rPr>
              <w:t>1.5</w:t>
            </w:r>
          </w:p>
        </w:tc>
        <w:tc>
          <w:tcPr>
            <w:tcW w:w="968" w:type="dxa"/>
            <w:noWrap/>
            <w:tcMar>
              <w:top w:w="0" w:type="dxa"/>
              <w:left w:w="108" w:type="dxa"/>
              <w:bottom w:w="0" w:type="dxa"/>
              <w:right w:w="108" w:type="dxa"/>
            </w:tcMar>
            <w:vAlign w:val="bottom"/>
            <w:hideMark/>
          </w:tcPr>
          <w:p w14:paraId="58AD6301"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2094" w:type="dxa"/>
            <w:noWrap/>
            <w:tcMar>
              <w:top w:w="0" w:type="dxa"/>
              <w:left w:w="108" w:type="dxa"/>
              <w:bottom w:w="0" w:type="dxa"/>
              <w:right w:w="108" w:type="dxa"/>
            </w:tcMar>
            <w:vAlign w:val="bottom"/>
            <w:hideMark/>
          </w:tcPr>
          <w:p w14:paraId="0EBBF4CF" w14:textId="77777777" w:rsidR="00AE37F8" w:rsidRPr="001C1778" w:rsidRDefault="00AE37F8" w:rsidP="004C2D55">
            <w:pPr>
              <w:jc w:val="right"/>
              <w:rPr>
                <w:color w:val="000000"/>
                <w:sz w:val="16"/>
                <w:szCs w:val="16"/>
                <w:lang w:eastAsia="en-AU"/>
              </w:rPr>
            </w:pPr>
            <w:r w:rsidRPr="001C1778">
              <w:rPr>
                <w:color w:val="000000"/>
                <w:sz w:val="16"/>
                <w:szCs w:val="16"/>
                <w:lang w:eastAsia="en-AU"/>
              </w:rPr>
              <w:t xml:space="preserve">$1,194.45 </w:t>
            </w:r>
          </w:p>
        </w:tc>
      </w:tr>
      <w:tr w:rsidR="00AE37F8" w:rsidRPr="001C1778" w14:paraId="196F59DB" w14:textId="77777777" w:rsidTr="002279DD">
        <w:trPr>
          <w:trHeight w:val="317"/>
          <w:jc w:val="center"/>
        </w:trPr>
        <w:tc>
          <w:tcPr>
            <w:tcW w:w="935" w:type="dxa"/>
            <w:noWrap/>
            <w:tcMar>
              <w:top w:w="0" w:type="dxa"/>
              <w:left w:w="108" w:type="dxa"/>
              <w:bottom w:w="0" w:type="dxa"/>
              <w:right w:w="108" w:type="dxa"/>
            </w:tcMar>
            <w:vAlign w:val="bottom"/>
            <w:hideMark/>
          </w:tcPr>
          <w:p w14:paraId="57E9CC33" w14:textId="77777777" w:rsidR="00AE37F8" w:rsidRPr="001C1778" w:rsidRDefault="00AE37F8" w:rsidP="00AE37F8">
            <w:pPr>
              <w:rPr>
                <w:color w:val="000000"/>
                <w:sz w:val="16"/>
                <w:szCs w:val="16"/>
                <w:lang w:eastAsia="en-AU"/>
              </w:rPr>
            </w:pPr>
            <w:r w:rsidRPr="001C1778">
              <w:rPr>
                <w:color w:val="000000"/>
                <w:sz w:val="16"/>
                <w:szCs w:val="16"/>
                <w:lang w:eastAsia="en-AU"/>
              </w:rPr>
              <w:t>Year 3</w:t>
            </w:r>
          </w:p>
        </w:tc>
        <w:tc>
          <w:tcPr>
            <w:tcW w:w="1713" w:type="dxa"/>
            <w:noWrap/>
            <w:tcMar>
              <w:top w:w="0" w:type="dxa"/>
              <w:left w:w="108" w:type="dxa"/>
              <w:bottom w:w="0" w:type="dxa"/>
              <w:right w:w="108" w:type="dxa"/>
            </w:tcMar>
            <w:vAlign w:val="bottom"/>
            <w:hideMark/>
          </w:tcPr>
          <w:p w14:paraId="3F4BA921"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54A42058"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3779A324"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928" w:type="dxa"/>
            <w:noWrap/>
            <w:tcMar>
              <w:top w:w="0" w:type="dxa"/>
              <w:left w:w="108" w:type="dxa"/>
              <w:bottom w:w="0" w:type="dxa"/>
              <w:right w:w="108" w:type="dxa"/>
            </w:tcMar>
            <w:vAlign w:val="bottom"/>
            <w:hideMark/>
          </w:tcPr>
          <w:p w14:paraId="50746761" w14:textId="77777777" w:rsidR="00AE37F8" w:rsidRPr="001C1778" w:rsidRDefault="00AE37F8" w:rsidP="00AE37F8">
            <w:pPr>
              <w:jc w:val="right"/>
              <w:rPr>
                <w:color w:val="000000"/>
                <w:sz w:val="16"/>
                <w:szCs w:val="16"/>
                <w:lang w:eastAsia="en-AU"/>
              </w:rPr>
            </w:pPr>
            <w:r w:rsidRPr="001C1778">
              <w:rPr>
                <w:color w:val="000000"/>
                <w:sz w:val="16"/>
                <w:szCs w:val="16"/>
                <w:lang w:eastAsia="en-AU"/>
              </w:rPr>
              <w:t>1.5</w:t>
            </w:r>
          </w:p>
        </w:tc>
        <w:tc>
          <w:tcPr>
            <w:tcW w:w="968" w:type="dxa"/>
            <w:noWrap/>
            <w:tcMar>
              <w:top w:w="0" w:type="dxa"/>
              <w:left w:w="108" w:type="dxa"/>
              <w:bottom w:w="0" w:type="dxa"/>
              <w:right w:w="108" w:type="dxa"/>
            </w:tcMar>
            <w:vAlign w:val="bottom"/>
            <w:hideMark/>
          </w:tcPr>
          <w:p w14:paraId="1CAEE322"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2094" w:type="dxa"/>
            <w:noWrap/>
            <w:tcMar>
              <w:top w:w="0" w:type="dxa"/>
              <w:left w:w="108" w:type="dxa"/>
              <w:bottom w:w="0" w:type="dxa"/>
              <w:right w:w="108" w:type="dxa"/>
            </w:tcMar>
            <w:vAlign w:val="bottom"/>
            <w:hideMark/>
          </w:tcPr>
          <w:p w14:paraId="7C4C6298" w14:textId="77777777" w:rsidR="00AE37F8" w:rsidRPr="001C1778" w:rsidRDefault="00AE37F8" w:rsidP="004C2D55">
            <w:pPr>
              <w:jc w:val="right"/>
              <w:rPr>
                <w:color w:val="000000"/>
                <w:sz w:val="16"/>
                <w:szCs w:val="16"/>
                <w:lang w:eastAsia="en-AU"/>
              </w:rPr>
            </w:pPr>
            <w:r w:rsidRPr="001C1778">
              <w:rPr>
                <w:color w:val="000000"/>
                <w:sz w:val="16"/>
                <w:szCs w:val="16"/>
                <w:lang w:eastAsia="en-AU"/>
              </w:rPr>
              <w:t xml:space="preserve">$1,194.45 </w:t>
            </w:r>
          </w:p>
        </w:tc>
      </w:tr>
      <w:tr w:rsidR="00AE37F8" w:rsidRPr="001C1778" w14:paraId="534ED99C" w14:textId="77777777" w:rsidTr="002279DD">
        <w:trPr>
          <w:trHeight w:val="317"/>
          <w:jc w:val="center"/>
        </w:trPr>
        <w:tc>
          <w:tcPr>
            <w:tcW w:w="935" w:type="dxa"/>
            <w:noWrap/>
            <w:tcMar>
              <w:top w:w="0" w:type="dxa"/>
              <w:left w:w="108" w:type="dxa"/>
              <w:bottom w:w="0" w:type="dxa"/>
              <w:right w:w="108" w:type="dxa"/>
            </w:tcMar>
            <w:vAlign w:val="bottom"/>
            <w:hideMark/>
          </w:tcPr>
          <w:p w14:paraId="5FD6EB1E" w14:textId="77777777" w:rsidR="00AE37F8" w:rsidRPr="001C1778" w:rsidRDefault="00AE37F8" w:rsidP="00AE37F8">
            <w:pPr>
              <w:rPr>
                <w:color w:val="000000"/>
                <w:sz w:val="16"/>
                <w:szCs w:val="16"/>
                <w:lang w:eastAsia="en-AU"/>
              </w:rPr>
            </w:pPr>
            <w:r w:rsidRPr="001C1778">
              <w:rPr>
                <w:color w:val="000000"/>
                <w:sz w:val="16"/>
                <w:szCs w:val="16"/>
                <w:lang w:eastAsia="en-AU"/>
              </w:rPr>
              <w:t>Year 4</w:t>
            </w:r>
          </w:p>
        </w:tc>
        <w:tc>
          <w:tcPr>
            <w:tcW w:w="1713" w:type="dxa"/>
            <w:noWrap/>
            <w:tcMar>
              <w:top w:w="0" w:type="dxa"/>
              <w:left w:w="108" w:type="dxa"/>
              <w:bottom w:w="0" w:type="dxa"/>
              <w:right w:w="108" w:type="dxa"/>
            </w:tcMar>
            <w:vAlign w:val="bottom"/>
            <w:hideMark/>
          </w:tcPr>
          <w:p w14:paraId="5306BF74"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44EBB203"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2118F402"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928" w:type="dxa"/>
            <w:noWrap/>
            <w:tcMar>
              <w:top w:w="0" w:type="dxa"/>
              <w:left w:w="108" w:type="dxa"/>
              <w:bottom w:w="0" w:type="dxa"/>
              <w:right w:w="108" w:type="dxa"/>
            </w:tcMar>
            <w:vAlign w:val="bottom"/>
            <w:hideMark/>
          </w:tcPr>
          <w:p w14:paraId="5555BF2D" w14:textId="77777777" w:rsidR="00AE37F8" w:rsidRPr="001C1778" w:rsidRDefault="00AE37F8" w:rsidP="00AE37F8">
            <w:pPr>
              <w:jc w:val="right"/>
              <w:rPr>
                <w:color w:val="000000"/>
                <w:sz w:val="16"/>
                <w:szCs w:val="16"/>
                <w:lang w:eastAsia="en-AU"/>
              </w:rPr>
            </w:pPr>
            <w:r w:rsidRPr="001C1778">
              <w:rPr>
                <w:color w:val="000000"/>
                <w:sz w:val="16"/>
                <w:szCs w:val="16"/>
                <w:lang w:eastAsia="en-AU"/>
              </w:rPr>
              <w:t>1.5</w:t>
            </w:r>
          </w:p>
        </w:tc>
        <w:tc>
          <w:tcPr>
            <w:tcW w:w="968" w:type="dxa"/>
            <w:noWrap/>
            <w:tcMar>
              <w:top w:w="0" w:type="dxa"/>
              <w:left w:w="108" w:type="dxa"/>
              <w:bottom w:w="0" w:type="dxa"/>
              <w:right w:w="108" w:type="dxa"/>
            </w:tcMar>
            <w:vAlign w:val="bottom"/>
            <w:hideMark/>
          </w:tcPr>
          <w:p w14:paraId="55940201"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2094" w:type="dxa"/>
            <w:noWrap/>
            <w:tcMar>
              <w:top w:w="0" w:type="dxa"/>
              <w:left w:w="108" w:type="dxa"/>
              <w:bottom w:w="0" w:type="dxa"/>
              <w:right w:w="108" w:type="dxa"/>
            </w:tcMar>
            <w:vAlign w:val="bottom"/>
            <w:hideMark/>
          </w:tcPr>
          <w:p w14:paraId="2A1DC658" w14:textId="77777777" w:rsidR="00AE37F8" w:rsidRPr="001C1778" w:rsidRDefault="00AE37F8" w:rsidP="004C2D55">
            <w:pPr>
              <w:jc w:val="right"/>
              <w:rPr>
                <w:color w:val="000000"/>
                <w:sz w:val="16"/>
                <w:szCs w:val="16"/>
                <w:lang w:eastAsia="en-AU"/>
              </w:rPr>
            </w:pPr>
            <w:r w:rsidRPr="001C1778">
              <w:rPr>
                <w:color w:val="000000"/>
                <w:sz w:val="16"/>
                <w:szCs w:val="16"/>
                <w:lang w:eastAsia="en-AU"/>
              </w:rPr>
              <w:t xml:space="preserve">$1,194.45 </w:t>
            </w:r>
          </w:p>
        </w:tc>
      </w:tr>
      <w:tr w:rsidR="00AE37F8" w:rsidRPr="001C1778" w14:paraId="51849378" w14:textId="77777777" w:rsidTr="002279DD">
        <w:trPr>
          <w:trHeight w:val="317"/>
          <w:jc w:val="center"/>
        </w:trPr>
        <w:tc>
          <w:tcPr>
            <w:tcW w:w="935" w:type="dxa"/>
            <w:noWrap/>
            <w:tcMar>
              <w:top w:w="0" w:type="dxa"/>
              <w:left w:w="108" w:type="dxa"/>
              <w:bottom w:w="0" w:type="dxa"/>
              <w:right w:w="108" w:type="dxa"/>
            </w:tcMar>
            <w:vAlign w:val="bottom"/>
            <w:hideMark/>
          </w:tcPr>
          <w:p w14:paraId="12FF25FE" w14:textId="77777777" w:rsidR="00AE37F8" w:rsidRPr="001C1778" w:rsidRDefault="00AE37F8" w:rsidP="00AE37F8">
            <w:pPr>
              <w:rPr>
                <w:color w:val="000000"/>
                <w:sz w:val="16"/>
                <w:szCs w:val="16"/>
                <w:lang w:eastAsia="en-AU"/>
              </w:rPr>
            </w:pPr>
            <w:r w:rsidRPr="001C1778">
              <w:rPr>
                <w:color w:val="000000"/>
                <w:sz w:val="16"/>
                <w:szCs w:val="16"/>
                <w:lang w:eastAsia="en-AU"/>
              </w:rPr>
              <w:t>Year 5</w:t>
            </w:r>
          </w:p>
        </w:tc>
        <w:tc>
          <w:tcPr>
            <w:tcW w:w="1713" w:type="dxa"/>
            <w:noWrap/>
            <w:tcMar>
              <w:top w:w="0" w:type="dxa"/>
              <w:left w:w="108" w:type="dxa"/>
              <w:bottom w:w="0" w:type="dxa"/>
              <w:right w:w="108" w:type="dxa"/>
            </w:tcMar>
            <w:vAlign w:val="bottom"/>
            <w:hideMark/>
          </w:tcPr>
          <w:p w14:paraId="61613F76"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6ACC88ED" w14:textId="77777777" w:rsidR="00AE37F8" w:rsidRPr="001C1778" w:rsidRDefault="00AE37F8" w:rsidP="00AE37F8">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43ADDDFD" w14:textId="77777777" w:rsidR="00AE37F8" w:rsidRPr="001C1778" w:rsidRDefault="00AE37F8" w:rsidP="00AE37F8">
            <w:pPr>
              <w:jc w:val="right"/>
              <w:rPr>
                <w:color w:val="000000"/>
                <w:sz w:val="16"/>
                <w:szCs w:val="16"/>
                <w:lang w:eastAsia="en-AU"/>
              </w:rPr>
            </w:pPr>
            <w:r w:rsidRPr="001C1778">
              <w:rPr>
                <w:color w:val="000000"/>
                <w:sz w:val="16"/>
                <w:szCs w:val="16"/>
                <w:lang w:eastAsia="en-AU"/>
              </w:rPr>
              <w:t>10</w:t>
            </w:r>
          </w:p>
        </w:tc>
        <w:tc>
          <w:tcPr>
            <w:tcW w:w="928" w:type="dxa"/>
            <w:noWrap/>
            <w:tcMar>
              <w:top w:w="0" w:type="dxa"/>
              <w:left w:w="108" w:type="dxa"/>
              <w:bottom w:w="0" w:type="dxa"/>
              <w:right w:w="108" w:type="dxa"/>
            </w:tcMar>
            <w:vAlign w:val="bottom"/>
            <w:hideMark/>
          </w:tcPr>
          <w:p w14:paraId="002A105A" w14:textId="77777777" w:rsidR="00AE37F8" w:rsidRPr="001C1778" w:rsidRDefault="00AE37F8" w:rsidP="00AE37F8">
            <w:pPr>
              <w:jc w:val="right"/>
              <w:rPr>
                <w:color w:val="000000"/>
                <w:sz w:val="16"/>
                <w:szCs w:val="16"/>
                <w:lang w:eastAsia="en-AU"/>
              </w:rPr>
            </w:pPr>
            <w:r w:rsidRPr="001C1778">
              <w:rPr>
                <w:color w:val="000000"/>
                <w:sz w:val="16"/>
                <w:szCs w:val="16"/>
                <w:lang w:eastAsia="en-AU"/>
              </w:rPr>
              <w:t>1.5</w:t>
            </w:r>
          </w:p>
        </w:tc>
        <w:tc>
          <w:tcPr>
            <w:tcW w:w="968" w:type="dxa"/>
            <w:noWrap/>
            <w:tcMar>
              <w:top w:w="0" w:type="dxa"/>
              <w:left w:w="108" w:type="dxa"/>
              <w:bottom w:w="0" w:type="dxa"/>
              <w:right w:w="108" w:type="dxa"/>
            </w:tcMar>
            <w:vAlign w:val="bottom"/>
            <w:hideMark/>
          </w:tcPr>
          <w:p w14:paraId="68C1ED36" w14:textId="77777777" w:rsidR="00AE37F8" w:rsidRPr="001C1778" w:rsidRDefault="00AE37F8" w:rsidP="00AE37F8">
            <w:pPr>
              <w:jc w:val="right"/>
              <w:rPr>
                <w:color w:val="000000"/>
                <w:sz w:val="16"/>
                <w:szCs w:val="16"/>
                <w:lang w:eastAsia="en-AU"/>
              </w:rPr>
            </w:pPr>
            <w:r w:rsidRPr="001C1778">
              <w:rPr>
                <w:color w:val="000000"/>
                <w:sz w:val="16"/>
                <w:szCs w:val="16"/>
                <w:lang w:eastAsia="en-AU"/>
              </w:rPr>
              <w:t>$79.63</w:t>
            </w:r>
          </w:p>
        </w:tc>
        <w:tc>
          <w:tcPr>
            <w:tcW w:w="2094" w:type="dxa"/>
            <w:noWrap/>
            <w:tcMar>
              <w:top w:w="0" w:type="dxa"/>
              <w:left w:w="108" w:type="dxa"/>
              <w:bottom w:w="0" w:type="dxa"/>
              <w:right w:w="108" w:type="dxa"/>
            </w:tcMar>
            <w:vAlign w:val="bottom"/>
            <w:hideMark/>
          </w:tcPr>
          <w:p w14:paraId="72B62A60" w14:textId="77777777" w:rsidR="00AE37F8" w:rsidRPr="001C1778" w:rsidRDefault="00AE37F8" w:rsidP="004C2D55">
            <w:pPr>
              <w:jc w:val="right"/>
              <w:rPr>
                <w:color w:val="000000"/>
                <w:sz w:val="16"/>
                <w:szCs w:val="16"/>
                <w:lang w:eastAsia="en-AU"/>
              </w:rPr>
            </w:pPr>
            <w:r w:rsidRPr="001C1778">
              <w:rPr>
                <w:color w:val="000000"/>
                <w:sz w:val="16"/>
                <w:szCs w:val="16"/>
                <w:lang w:eastAsia="en-AU"/>
              </w:rPr>
              <w:t xml:space="preserve">$1,194.45 </w:t>
            </w:r>
          </w:p>
        </w:tc>
      </w:tr>
      <w:tr w:rsidR="005B717B" w:rsidRPr="001C1778" w14:paraId="13DEFBD0" w14:textId="77777777" w:rsidTr="002279DD">
        <w:trPr>
          <w:trHeight w:val="317"/>
          <w:jc w:val="center"/>
        </w:trPr>
        <w:tc>
          <w:tcPr>
            <w:tcW w:w="935" w:type="dxa"/>
            <w:noWrap/>
            <w:tcMar>
              <w:top w:w="0" w:type="dxa"/>
              <w:left w:w="108" w:type="dxa"/>
              <w:bottom w:w="0" w:type="dxa"/>
              <w:right w:w="108" w:type="dxa"/>
            </w:tcMar>
            <w:vAlign w:val="bottom"/>
            <w:hideMark/>
          </w:tcPr>
          <w:p w14:paraId="661A4054" w14:textId="77777777" w:rsidR="005B717B" w:rsidRPr="001C1778" w:rsidRDefault="005B717B">
            <w:pPr>
              <w:rPr>
                <w:color w:val="000000"/>
                <w:sz w:val="16"/>
                <w:szCs w:val="16"/>
                <w:lang w:eastAsia="en-AU"/>
              </w:rPr>
            </w:pPr>
            <w:r w:rsidRPr="001C1778">
              <w:rPr>
                <w:color w:val="000000"/>
                <w:sz w:val="16"/>
                <w:szCs w:val="16"/>
                <w:lang w:eastAsia="en-AU"/>
              </w:rPr>
              <w:t>Year 6</w:t>
            </w:r>
          </w:p>
        </w:tc>
        <w:tc>
          <w:tcPr>
            <w:tcW w:w="1713" w:type="dxa"/>
            <w:noWrap/>
            <w:tcMar>
              <w:top w:w="0" w:type="dxa"/>
              <w:left w:w="108" w:type="dxa"/>
              <w:bottom w:w="0" w:type="dxa"/>
              <w:right w:w="108" w:type="dxa"/>
            </w:tcMar>
            <w:vAlign w:val="bottom"/>
            <w:hideMark/>
          </w:tcPr>
          <w:p w14:paraId="1822B946"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072A7558"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02E46C51"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28" w:type="dxa"/>
            <w:noWrap/>
            <w:tcMar>
              <w:top w:w="0" w:type="dxa"/>
              <w:left w:w="108" w:type="dxa"/>
              <w:bottom w:w="0" w:type="dxa"/>
              <w:right w:w="108" w:type="dxa"/>
            </w:tcMar>
            <w:vAlign w:val="bottom"/>
            <w:hideMark/>
          </w:tcPr>
          <w:p w14:paraId="101C0D83"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68" w:type="dxa"/>
            <w:noWrap/>
            <w:tcMar>
              <w:top w:w="0" w:type="dxa"/>
              <w:left w:w="108" w:type="dxa"/>
              <w:bottom w:w="0" w:type="dxa"/>
              <w:right w:w="108" w:type="dxa"/>
            </w:tcMar>
            <w:vAlign w:val="bottom"/>
            <w:hideMark/>
          </w:tcPr>
          <w:p w14:paraId="1F3F02E8"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094" w:type="dxa"/>
            <w:noWrap/>
            <w:tcMar>
              <w:top w:w="0" w:type="dxa"/>
              <w:left w:w="108" w:type="dxa"/>
              <w:bottom w:w="0" w:type="dxa"/>
              <w:right w:w="108" w:type="dxa"/>
            </w:tcMar>
            <w:vAlign w:val="bottom"/>
            <w:hideMark/>
          </w:tcPr>
          <w:p w14:paraId="4F5F3E1F" w14:textId="77777777" w:rsidR="005B717B" w:rsidRPr="001C1778" w:rsidRDefault="005B717B" w:rsidP="004C2D55">
            <w:pPr>
              <w:jc w:val="right"/>
              <w:rPr>
                <w:color w:val="000000"/>
                <w:sz w:val="16"/>
                <w:szCs w:val="16"/>
                <w:lang w:eastAsia="en-AU"/>
              </w:rPr>
            </w:pPr>
            <w:r w:rsidRPr="001C1778">
              <w:rPr>
                <w:color w:val="000000"/>
                <w:sz w:val="16"/>
                <w:szCs w:val="16"/>
                <w:lang w:eastAsia="en-AU"/>
              </w:rPr>
              <w:t>$</w:t>
            </w:r>
            <w:r w:rsidR="00AE37F8" w:rsidRPr="001C1778">
              <w:rPr>
                <w:color w:val="000000"/>
                <w:sz w:val="16"/>
                <w:szCs w:val="16"/>
                <w:lang w:eastAsia="en-AU"/>
              </w:rPr>
              <w:t xml:space="preserve"> </w:t>
            </w:r>
            <w:r w:rsidR="00FD2793">
              <w:rPr>
                <w:color w:val="000000"/>
                <w:sz w:val="16"/>
                <w:szCs w:val="16"/>
                <w:lang w:eastAsia="en-AU"/>
              </w:rPr>
              <w:t>-</w:t>
            </w:r>
            <w:r w:rsidRPr="001C1778">
              <w:rPr>
                <w:color w:val="000000"/>
                <w:sz w:val="16"/>
                <w:szCs w:val="16"/>
                <w:lang w:eastAsia="en-AU"/>
              </w:rPr>
              <w:t xml:space="preserve"> </w:t>
            </w:r>
          </w:p>
        </w:tc>
      </w:tr>
      <w:tr w:rsidR="005B717B" w:rsidRPr="001C1778" w14:paraId="07AF94FF" w14:textId="77777777" w:rsidTr="002279DD">
        <w:trPr>
          <w:trHeight w:val="317"/>
          <w:jc w:val="center"/>
        </w:trPr>
        <w:tc>
          <w:tcPr>
            <w:tcW w:w="935" w:type="dxa"/>
            <w:noWrap/>
            <w:tcMar>
              <w:top w:w="0" w:type="dxa"/>
              <w:left w:w="108" w:type="dxa"/>
              <w:bottom w:w="0" w:type="dxa"/>
              <w:right w:w="108" w:type="dxa"/>
            </w:tcMar>
            <w:vAlign w:val="bottom"/>
            <w:hideMark/>
          </w:tcPr>
          <w:p w14:paraId="6C6F1827" w14:textId="77777777" w:rsidR="005B717B" w:rsidRPr="001C1778" w:rsidRDefault="005B717B">
            <w:pPr>
              <w:rPr>
                <w:color w:val="000000"/>
                <w:sz w:val="16"/>
                <w:szCs w:val="16"/>
                <w:lang w:eastAsia="en-AU"/>
              </w:rPr>
            </w:pPr>
            <w:r w:rsidRPr="001C1778">
              <w:rPr>
                <w:color w:val="000000"/>
                <w:sz w:val="16"/>
                <w:szCs w:val="16"/>
                <w:lang w:eastAsia="en-AU"/>
              </w:rPr>
              <w:t>Year 7</w:t>
            </w:r>
          </w:p>
        </w:tc>
        <w:tc>
          <w:tcPr>
            <w:tcW w:w="1713" w:type="dxa"/>
            <w:noWrap/>
            <w:tcMar>
              <w:top w:w="0" w:type="dxa"/>
              <w:left w:w="108" w:type="dxa"/>
              <w:bottom w:w="0" w:type="dxa"/>
              <w:right w:w="108" w:type="dxa"/>
            </w:tcMar>
            <w:vAlign w:val="bottom"/>
            <w:hideMark/>
          </w:tcPr>
          <w:p w14:paraId="7CFE75D8"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48FBCC0A"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7ECF7D1C"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28" w:type="dxa"/>
            <w:noWrap/>
            <w:tcMar>
              <w:top w:w="0" w:type="dxa"/>
              <w:left w:w="108" w:type="dxa"/>
              <w:bottom w:w="0" w:type="dxa"/>
              <w:right w:w="108" w:type="dxa"/>
            </w:tcMar>
            <w:vAlign w:val="bottom"/>
            <w:hideMark/>
          </w:tcPr>
          <w:p w14:paraId="78FFA76F"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68" w:type="dxa"/>
            <w:noWrap/>
            <w:tcMar>
              <w:top w:w="0" w:type="dxa"/>
              <w:left w:w="108" w:type="dxa"/>
              <w:bottom w:w="0" w:type="dxa"/>
              <w:right w:w="108" w:type="dxa"/>
            </w:tcMar>
            <w:vAlign w:val="bottom"/>
            <w:hideMark/>
          </w:tcPr>
          <w:p w14:paraId="02C74EBB"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094" w:type="dxa"/>
            <w:noWrap/>
            <w:tcMar>
              <w:top w:w="0" w:type="dxa"/>
              <w:left w:w="108" w:type="dxa"/>
              <w:bottom w:w="0" w:type="dxa"/>
              <w:right w:w="108" w:type="dxa"/>
            </w:tcMar>
            <w:vAlign w:val="bottom"/>
            <w:hideMark/>
          </w:tcPr>
          <w:p w14:paraId="332403B9" w14:textId="77777777" w:rsidR="005B717B" w:rsidRPr="001C1778" w:rsidRDefault="00FD2793" w:rsidP="004C2D55">
            <w:pPr>
              <w:jc w:val="right"/>
              <w:rPr>
                <w:color w:val="000000"/>
                <w:sz w:val="16"/>
                <w:szCs w:val="16"/>
                <w:lang w:eastAsia="en-AU"/>
              </w:rPr>
            </w:pPr>
            <w:r>
              <w:rPr>
                <w:color w:val="000000"/>
                <w:sz w:val="16"/>
                <w:szCs w:val="16"/>
                <w:lang w:eastAsia="en-AU"/>
              </w:rPr>
              <w:t>$ - </w:t>
            </w:r>
          </w:p>
        </w:tc>
      </w:tr>
      <w:tr w:rsidR="005B717B" w:rsidRPr="001C1778" w14:paraId="1B653B15" w14:textId="77777777" w:rsidTr="002279DD">
        <w:trPr>
          <w:trHeight w:val="317"/>
          <w:jc w:val="center"/>
        </w:trPr>
        <w:tc>
          <w:tcPr>
            <w:tcW w:w="935" w:type="dxa"/>
            <w:noWrap/>
            <w:tcMar>
              <w:top w:w="0" w:type="dxa"/>
              <w:left w:w="108" w:type="dxa"/>
              <w:bottom w:w="0" w:type="dxa"/>
              <w:right w:w="108" w:type="dxa"/>
            </w:tcMar>
            <w:vAlign w:val="bottom"/>
            <w:hideMark/>
          </w:tcPr>
          <w:p w14:paraId="75F3BB5F" w14:textId="77777777" w:rsidR="005B717B" w:rsidRPr="001C1778" w:rsidRDefault="005B717B">
            <w:pPr>
              <w:rPr>
                <w:color w:val="000000"/>
                <w:sz w:val="16"/>
                <w:szCs w:val="16"/>
                <w:lang w:eastAsia="en-AU"/>
              </w:rPr>
            </w:pPr>
            <w:r w:rsidRPr="001C1778">
              <w:rPr>
                <w:color w:val="000000"/>
                <w:sz w:val="16"/>
                <w:szCs w:val="16"/>
                <w:lang w:eastAsia="en-AU"/>
              </w:rPr>
              <w:t>Year 8</w:t>
            </w:r>
          </w:p>
        </w:tc>
        <w:tc>
          <w:tcPr>
            <w:tcW w:w="1713" w:type="dxa"/>
            <w:noWrap/>
            <w:tcMar>
              <w:top w:w="0" w:type="dxa"/>
              <w:left w:w="108" w:type="dxa"/>
              <w:bottom w:w="0" w:type="dxa"/>
              <w:right w:w="108" w:type="dxa"/>
            </w:tcMar>
            <w:vAlign w:val="bottom"/>
            <w:hideMark/>
          </w:tcPr>
          <w:p w14:paraId="22682952"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1105E15E"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29A39DEE"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28" w:type="dxa"/>
            <w:noWrap/>
            <w:tcMar>
              <w:top w:w="0" w:type="dxa"/>
              <w:left w:w="108" w:type="dxa"/>
              <w:bottom w:w="0" w:type="dxa"/>
              <w:right w:w="108" w:type="dxa"/>
            </w:tcMar>
            <w:vAlign w:val="bottom"/>
            <w:hideMark/>
          </w:tcPr>
          <w:p w14:paraId="04EE7195"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68" w:type="dxa"/>
            <w:noWrap/>
            <w:tcMar>
              <w:top w:w="0" w:type="dxa"/>
              <w:left w:w="108" w:type="dxa"/>
              <w:bottom w:w="0" w:type="dxa"/>
              <w:right w:w="108" w:type="dxa"/>
            </w:tcMar>
            <w:vAlign w:val="bottom"/>
            <w:hideMark/>
          </w:tcPr>
          <w:p w14:paraId="4A88047F"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094" w:type="dxa"/>
            <w:noWrap/>
            <w:tcMar>
              <w:top w:w="0" w:type="dxa"/>
              <w:left w:w="108" w:type="dxa"/>
              <w:bottom w:w="0" w:type="dxa"/>
              <w:right w:w="108" w:type="dxa"/>
            </w:tcMar>
            <w:vAlign w:val="bottom"/>
            <w:hideMark/>
          </w:tcPr>
          <w:p w14:paraId="5F214BC9" w14:textId="77777777" w:rsidR="005B717B" w:rsidRPr="001C1778" w:rsidRDefault="005B717B" w:rsidP="004C2D55">
            <w:pPr>
              <w:jc w:val="right"/>
              <w:rPr>
                <w:color w:val="000000"/>
                <w:sz w:val="16"/>
                <w:szCs w:val="16"/>
                <w:lang w:eastAsia="en-AU"/>
              </w:rPr>
            </w:pPr>
            <w:r w:rsidRPr="001C1778">
              <w:rPr>
                <w:color w:val="000000"/>
                <w:sz w:val="16"/>
                <w:szCs w:val="16"/>
                <w:lang w:eastAsia="en-AU"/>
              </w:rPr>
              <w:t> </w:t>
            </w:r>
            <w:r w:rsidR="00BA23B7" w:rsidRPr="001C1778">
              <w:rPr>
                <w:color w:val="000000"/>
                <w:sz w:val="16"/>
                <w:szCs w:val="16"/>
                <w:lang w:eastAsia="en-AU"/>
              </w:rPr>
              <w:t>$</w:t>
            </w:r>
            <w:r w:rsidR="00AE37F8" w:rsidRPr="001C1778">
              <w:rPr>
                <w:color w:val="000000"/>
                <w:sz w:val="16"/>
                <w:szCs w:val="16"/>
                <w:lang w:eastAsia="en-AU"/>
              </w:rPr>
              <w:t xml:space="preserve"> </w:t>
            </w:r>
            <w:r w:rsidR="00FD2793">
              <w:rPr>
                <w:color w:val="000000"/>
                <w:sz w:val="16"/>
                <w:szCs w:val="16"/>
                <w:lang w:eastAsia="en-AU"/>
              </w:rPr>
              <w:t>-</w:t>
            </w:r>
          </w:p>
        </w:tc>
      </w:tr>
      <w:tr w:rsidR="005B717B" w:rsidRPr="001C1778" w14:paraId="36EB1F17" w14:textId="77777777" w:rsidTr="002279DD">
        <w:trPr>
          <w:trHeight w:val="317"/>
          <w:jc w:val="center"/>
        </w:trPr>
        <w:tc>
          <w:tcPr>
            <w:tcW w:w="935" w:type="dxa"/>
            <w:noWrap/>
            <w:tcMar>
              <w:top w:w="0" w:type="dxa"/>
              <w:left w:w="108" w:type="dxa"/>
              <w:bottom w:w="0" w:type="dxa"/>
              <w:right w:w="108" w:type="dxa"/>
            </w:tcMar>
            <w:vAlign w:val="bottom"/>
            <w:hideMark/>
          </w:tcPr>
          <w:p w14:paraId="15985F09" w14:textId="77777777" w:rsidR="005B717B" w:rsidRPr="001C1778" w:rsidRDefault="005B717B">
            <w:pPr>
              <w:rPr>
                <w:color w:val="000000"/>
                <w:sz w:val="16"/>
                <w:szCs w:val="16"/>
                <w:lang w:eastAsia="en-AU"/>
              </w:rPr>
            </w:pPr>
            <w:r w:rsidRPr="001C1778">
              <w:rPr>
                <w:color w:val="000000"/>
                <w:sz w:val="16"/>
                <w:szCs w:val="16"/>
                <w:lang w:eastAsia="en-AU"/>
              </w:rPr>
              <w:t>Year 9</w:t>
            </w:r>
          </w:p>
        </w:tc>
        <w:tc>
          <w:tcPr>
            <w:tcW w:w="1713" w:type="dxa"/>
            <w:noWrap/>
            <w:tcMar>
              <w:top w:w="0" w:type="dxa"/>
              <w:left w:w="108" w:type="dxa"/>
              <w:bottom w:w="0" w:type="dxa"/>
              <w:right w:w="108" w:type="dxa"/>
            </w:tcMar>
            <w:vAlign w:val="bottom"/>
            <w:hideMark/>
          </w:tcPr>
          <w:p w14:paraId="11829DE9"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5AF0AB9D"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5DF49A2C"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28" w:type="dxa"/>
            <w:noWrap/>
            <w:tcMar>
              <w:top w:w="0" w:type="dxa"/>
              <w:left w:w="108" w:type="dxa"/>
              <w:bottom w:w="0" w:type="dxa"/>
              <w:right w:w="108" w:type="dxa"/>
            </w:tcMar>
            <w:vAlign w:val="bottom"/>
            <w:hideMark/>
          </w:tcPr>
          <w:p w14:paraId="0BCB78A8"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68" w:type="dxa"/>
            <w:noWrap/>
            <w:tcMar>
              <w:top w:w="0" w:type="dxa"/>
              <w:left w:w="108" w:type="dxa"/>
              <w:bottom w:w="0" w:type="dxa"/>
              <w:right w:w="108" w:type="dxa"/>
            </w:tcMar>
            <w:vAlign w:val="bottom"/>
            <w:hideMark/>
          </w:tcPr>
          <w:p w14:paraId="17E08360"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094" w:type="dxa"/>
            <w:noWrap/>
            <w:tcMar>
              <w:top w:w="0" w:type="dxa"/>
              <w:left w:w="108" w:type="dxa"/>
              <w:bottom w:w="0" w:type="dxa"/>
              <w:right w:w="108" w:type="dxa"/>
            </w:tcMar>
            <w:vAlign w:val="bottom"/>
            <w:hideMark/>
          </w:tcPr>
          <w:p w14:paraId="1B1CB226" w14:textId="77777777" w:rsidR="005B717B" w:rsidRPr="001C1778" w:rsidRDefault="005B717B" w:rsidP="004C2D55">
            <w:pPr>
              <w:jc w:val="right"/>
              <w:rPr>
                <w:color w:val="000000"/>
                <w:sz w:val="16"/>
                <w:szCs w:val="16"/>
                <w:lang w:eastAsia="en-AU"/>
              </w:rPr>
            </w:pPr>
            <w:r w:rsidRPr="001C1778">
              <w:rPr>
                <w:color w:val="000000"/>
                <w:sz w:val="16"/>
                <w:szCs w:val="16"/>
                <w:lang w:eastAsia="en-AU"/>
              </w:rPr>
              <w:t> $</w:t>
            </w:r>
            <w:r w:rsidR="00AE37F8" w:rsidRPr="001C1778">
              <w:rPr>
                <w:color w:val="000000"/>
                <w:sz w:val="16"/>
                <w:szCs w:val="16"/>
                <w:lang w:eastAsia="en-AU"/>
              </w:rPr>
              <w:t xml:space="preserve"> </w:t>
            </w:r>
            <w:r w:rsidR="00FD2793">
              <w:rPr>
                <w:color w:val="000000"/>
                <w:sz w:val="16"/>
                <w:szCs w:val="16"/>
                <w:lang w:eastAsia="en-AU"/>
              </w:rPr>
              <w:t>-</w:t>
            </w:r>
          </w:p>
        </w:tc>
      </w:tr>
      <w:tr w:rsidR="005B717B" w:rsidRPr="001C1778" w14:paraId="695D880C" w14:textId="77777777" w:rsidTr="002279DD">
        <w:trPr>
          <w:trHeight w:val="317"/>
          <w:jc w:val="center"/>
        </w:trPr>
        <w:tc>
          <w:tcPr>
            <w:tcW w:w="935" w:type="dxa"/>
            <w:noWrap/>
            <w:tcMar>
              <w:top w:w="0" w:type="dxa"/>
              <w:left w:w="108" w:type="dxa"/>
              <w:bottom w:w="0" w:type="dxa"/>
              <w:right w:w="108" w:type="dxa"/>
            </w:tcMar>
            <w:vAlign w:val="bottom"/>
            <w:hideMark/>
          </w:tcPr>
          <w:p w14:paraId="7514938A" w14:textId="77777777" w:rsidR="005B717B" w:rsidRPr="001C1778" w:rsidRDefault="005B717B">
            <w:pPr>
              <w:rPr>
                <w:color w:val="000000"/>
                <w:sz w:val="16"/>
                <w:szCs w:val="16"/>
                <w:lang w:eastAsia="en-AU"/>
              </w:rPr>
            </w:pPr>
            <w:r w:rsidRPr="001C1778">
              <w:rPr>
                <w:color w:val="000000"/>
                <w:sz w:val="16"/>
                <w:szCs w:val="16"/>
                <w:lang w:eastAsia="en-AU"/>
              </w:rPr>
              <w:t>Year 10</w:t>
            </w:r>
          </w:p>
        </w:tc>
        <w:tc>
          <w:tcPr>
            <w:tcW w:w="1713" w:type="dxa"/>
            <w:noWrap/>
            <w:tcMar>
              <w:top w:w="0" w:type="dxa"/>
              <w:left w:w="108" w:type="dxa"/>
              <w:bottom w:w="0" w:type="dxa"/>
              <w:right w:w="108" w:type="dxa"/>
            </w:tcMar>
            <w:vAlign w:val="bottom"/>
            <w:hideMark/>
          </w:tcPr>
          <w:p w14:paraId="316CFB56"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456" w:type="dxa"/>
            <w:noWrap/>
            <w:tcMar>
              <w:top w:w="0" w:type="dxa"/>
              <w:left w:w="108" w:type="dxa"/>
              <w:bottom w:w="0" w:type="dxa"/>
              <w:right w:w="108" w:type="dxa"/>
            </w:tcMar>
            <w:vAlign w:val="bottom"/>
            <w:hideMark/>
          </w:tcPr>
          <w:p w14:paraId="3CF2E2CA"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1535" w:type="dxa"/>
            <w:noWrap/>
            <w:tcMar>
              <w:top w:w="0" w:type="dxa"/>
              <w:left w:w="108" w:type="dxa"/>
              <w:bottom w:w="0" w:type="dxa"/>
              <w:right w:w="108" w:type="dxa"/>
            </w:tcMar>
            <w:vAlign w:val="bottom"/>
            <w:hideMark/>
          </w:tcPr>
          <w:p w14:paraId="4CF34356"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28" w:type="dxa"/>
            <w:noWrap/>
            <w:tcMar>
              <w:top w:w="0" w:type="dxa"/>
              <w:left w:w="108" w:type="dxa"/>
              <w:bottom w:w="0" w:type="dxa"/>
              <w:right w:w="108" w:type="dxa"/>
            </w:tcMar>
            <w:vAlign w:val="bottom"/>
            <w:hideMark/>
          </w:tcPr>
          <w:p w14:paraId="2B6B1FEC"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968" w:type="dxa"/>
            <w:noWrap/>
            <w:tcMar>
              <w:top w:w="0" w:type="dxa"/>
              <w:left w:w="108" w:type="dxa"/>
              <w:bottom w:w="0" w:type="dxa"/>
              <w:right w:w="108" w:type="dxa"/>
            </w:tcMar>
            <w:vAlign w:val="bottom"/>
            <w:hideMark/>
          </w:tcPr>
          <w:p w14:paraId="47B466DE" w14:textId="77777777" w:rsidR="005B717B" w:rsidRPr="001C1778" w:rsidRDefault="005B717B">
            <w:pPr>
              <w:jc w:val="right"/>
              <w:rPr>
                <w:color w:val="000000"/>
                <w:sz w:val="16"/>
                <w:szCs w:val="16"/>
                <w:lang w:eastAsia="en-AU"/>
              </w:rPr>
            </w:pPr>
            <w:r w:rsidRPr="001C1778">
              <w:rPr>
                <w:color w:val="000000"/>
                <w:sz w:val="16"/>
                <w:szCs w:val="16"/>
                <w:lang w:eastAsia="en-AU"/>
              </w:rPr>
              <w:t>0</w:t>
            </w:r>
          </w:p>
        </w:tc>
        <w:tc>
          <w:tcPr>
            <w:tcW w:w="2094" w:type="dxa"/>
            <w:noWrap/>
            <w:tcMar>
              <w:top w:w="0" w:type="dxa"/>
              <w:left w:w="108" w:type="dxa"/>
              <w:bottom w:w="0" w:type="dxa"/>
              <w:right w:w="108" w:type="dxa"/>
            </w:tcMar>
            <w:vAlign w:val="bottom"/>
            <w:hideMark/>
          </w:tcPr>
          <w:p w14:paraId="6EDB2D16" w14:textId="77777777" w:rsidR="005B717B" w:rsidRPr="001C1778" w:rsidRDefault="00FD2793" w:rsidP="004C2D55">
            <w:pPr>
              <w:jc w:val="right"/>
              <w:rPr>
                <w:color w:val="000000"/>
                <w:sz w:val="16"/>
                <w:szCs w:val="16"/>
                <w:lang w:eastAsia="en-AU"/>
              </w:rPr>
            </w:pPr>
            <w:r>
              <w:rPr>
                <w:color w:val="000000"/>
                <w:sz w:val="16"/>
                <w:szCs w:val="16"/>
                <w:lang w:eastAsia="en-AU"/>
              </w:rPr>
              <w:t>$ -</w:t>
            </w:r>
          </w:p>
        </w:tc>
      </w:tr>
      <w:tr w:rsidR="005B717B" w:rsidRPr="00884F2C" w14:paraId="42AA035C" w14:textId="77777777" w:rsidTr="002279DD">
        <w:trPr>
          <w:trHeight w:val="317"/>
          <w:jc w:val="center"/>
        </w:trPr>
        <w:tc>
          <w:tcPr>
            <w:tcW w:w="935" w:type="dxa"/>
            <w:noWrap/>
            <w:tcMar>
              <w:top w:w="0" w:type="dxa"/>
              <w:left w:w="108" w:type="dxa"/>
              <w:bottom w:w="0" w:type="dxa"/>
              <w:right w:w="108" w:type="dxa"/>
            </w:tcMar>
            <w:vAlign w:val="bottom"/>
            <w:hideMark/>
          </w:tcPr>
          <w:p w14:paraId="4439134B"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1713" w:type="dxa"/>
            <w:noWrap/>
            <w:tcMar>
              <w:top w:w="0" w:type="dxa"/>
              <w:left w:w="108" w:type="dxa"/>
              <w:bottom w:w="0" w:type="dxa"/>
              <w:right w:w="108" w:type="dxa"/>
            </w:tcMar>
            <w:vAlign w:val="bottom"/>
            <w:hideMark/>
          </w:tcPr>
          <w:p w14:paraId="5CA60367"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1456" w:type="dxa"/>
            <w:noWrap/>
            <w:tcMar>
              <w:top w:w="0" w:type="dxa"/>
              <w:left w:w="108" w:type="dxa"/>
              <w:bottom w:w="0" w:type="dxa"/>
              <w:right w:w="108" w:type="dxa"/>
            </w:tcMar>
            <w:vAlign w:val="bottom"/>
            <w:hideMark/>
          </w:tcPr>
          <w:p w14:paraId="67DD7A7B"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1535" w:type="dxa"/>
            <w:noWrap/>
            <w:tcMar>
              <w:top w:w="0" w:type="dxa"/>
              <w:left w:w="108" w:type="dxa"/>
              <w:bottom w:w="0" w:type="dxa"/>
              <w:right w:w="108" w:type="dxa"/>
            </w:tcMar>
            <w:vAlign w:val="bottom"/>
            <w:hideMark/>
          </w:tcPr>
          <w:p w14:paraId="36B0A863"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928" w:type="dxa"/>
            <w:noWrap/>
            <w:tcMar>
              <w:top w:w="0" w:type="dxa"/>
              <w:left w:w="108" w:type="dxa"/>
              <w:bottom w:w="0" w:type="dxa"/>
              <w:right w:w="108" w:type="dxa"/>
            </w:tcMar>
            <w:vAlign w:val="bottom"/>
            <w:hideMark/>
          </w:tcPr>
          <w:p w14:paraId="3238A06D" w14:textId="77777777" w:rsidR="005B717B" w:rsidRPr="001C1778" w:rsidRDefault="005B717B">
            <w:pPr>
              <w:rPr>
                <w:color w:val="000000"/>
                <w:sz w:val="16"/>
                <w:szCs w:val="16"/>
                <w:lang w:eastAsia="en-AU"/>
              </w:rPr>
            </w:pPr>
            <w:r w:rsidRPr="001C1778">
              <w:rPr>
                <w:color w:val="000000"/>
                <w:sz w:val="16"/>
                <w:szCs w:val="16"/>
                <w:lang w:eastAsia="en-AU"/>
              </w:rPr>
              <w:t> </w:t>
            </w:r>
          </w:p>
        </w:tc>
        <w:tc>
          <w:tcPr>
            <w:tcW w:w="968" w:type="dxa"/>
            <w:noWrap/>
            <w:tcMar>
              <w:top w:w="0" w:type="dxa"/>
              <w:left w:w="108" w:type="dxa"/>
              <w:bottom w:w="0" w:type="dxa"/>
              <w:right w:w="108" w:type="dxa"/>
            </w:tcMar>
            <w:vAlign w:val="bottom"/>
            <w:hideMark/>
          </w:tcPr>
          <w:p w14:paraId="416F53DC" w14:textId="77777777" w:rsidR="005B717B" w:rsidRPr="001C1778" w:rsidRDefault="005B717B">
            <w:pPr>
              <w:rPr>
                <w:color w:val="000000"/>
                <w:sz w:val="16"/>
                <w:szCs w:val="16"/>
                <w:lang w:eastAsia="en-AU"/>
              </w:rPr>
            </w:pPr>
            <w:r w:rsidRPr="001C1778">
              <w:rPr>
                <w:color w:val="000000"/>
                <w:sz w:val="16"/>
                <w:szCs w:val="16"/>
                <w:lang w:eastAsia="en-AU"/>
              </w:rPr>
              <w:t>total</w:t>
            </w:r>
          </w:p>
        </w:tc>
        <w:tc>
          <w:tcPr>
            <w:tcW w:w="2094" w:type="dxa"/>
            <w:noWrap/>
            <w:tcMar>
              <w:top w:w="0" w:type="dxa"/>
              <w:left w:w="108" w:type="dxa"/>
              <w:bottom w:w="0" w:type="dxa"/>
              <w:right w:w="108" w:type="dxa"/>
            </w:tcMar>
            <w:vAlign w:val="bottom"/>
            <w:hideMark/>
          </w:tcPr>
          <w:p w14:paraId="66F0E5BA" w14:textId="77777777" w:rsidR="005B717B" w:rsidRPr="00884F2C" w:rsidRDefault="00AE37F8" w:rsidP="004C2D55">
            <w:pPr>
              <w:jc w:val="right"/>
              <w:rPr>
                <w:color w:val="000000"/>
                <w:sz w:val="16"/>
                <w:szCs w:val="16"/>
                <w:lang w:eastAsia="en-AU"/>
              </w:rPr>
            </w:pPr>
            <w:r w:rsidRPr="001C1778">
              <w:rPr>
                <w:color w:val="000000"/>
                <w:sz w:val="16"/>
                <w:szCs w:val="16"/>
                <w:lang w:eastAsia="en-AU"/>
              </w:rPr>
              <w:t>$</w:t>
            </w:r>
            <w:r w:rsidR="00ED30C0" w:rsidRPr="001C1778">
              <w:rPr>
                <w:color w:val="000000"/>
                <w:sz w:val="16"/>
                <w:szCs w:val="16"/>
                <w:lang w:eastAsia="en-AU"/>
              </w:rPr>
              <w:t>6,331</w:t>
            </w:r>
            <w:r w:rsidR="005B717B" w:rsidRPr="00884F2C">
              <w:rPr>
                <w:color w:val="000000"/>
                <w:sz w:val="16"/>
                <w:szCs w:val="16"/>
                <w:lang w:eastAsia="en-AU"/>
              </w:rPr>
              <w:t xml:space="preserve"> </w:t>
            </w:r>
          </w:p>
        </w:tc>
      </w:tr>
    </w:tbl>
    <w:p w14:paraId="0F4FC4C1" w14:textId="77777777" w:rsidR="00407B7F" w:rsidRDefault="00060B11" w:rsidP="00060B11">
      <w:pPr>
        <w:spacing w:before="240"/>
        <w:rPr>
          <w:rFonts w:ascii="Calibri" w:eastAsia="Calibri" w:hAnsi="Calibri" w:cs="Times New Roman"/>
          <w:color w:val="262626"/>
        </w:rPr>
      </w:pPr>
      <w:r w:rsidRPr="005F26DA">
        <w:rPr>
          <w:rFonts w:ascii="Calibri" w:eastAsia="Calibri" w:hAnsi="Calibri" w:cs="Times New Roman"/>
          <w:color w:val="262626"/>
        </w:rPr>
        <w:t>It is estimated there are around 400 mixed merchants in the current CDC sites. Of these</w:t>
      </w:r>
      <w:r>
        <w:rPr>
          <w:rFonts w:ascii="Calibri" w:eastAsia="Calibri" w:hAnsi="Calibri" w:cs="Times New Roman"/>
          <w:color w:val="262626"/>
        </w:rPr>
        <w:t>,</w:t>
      </w:r>
      <w:r w:rsidRPr="005F26DA">
        <w:rPr>
          <w:rFonts w:ascii="Calibri" w:eastAsia="Calibri" w:hAnsi="Calibri" w:cs="Times New Roman"/>
          <w:color w:val="262626"/>
        </w:rPr>
        <w:t xml:space="preserve"> </w:t>
      </w:r>
      <w:r>
        <w:rPr>
          <w:rFonts w:ascii="Calibri" w:eastAsia="Calibri" w:hAnsi="Calibri" w:cs="Times New Roman"/>
          <w:color w:val="262626"/>
        </w:rPr>
        <w:t>80</w:t>
      </w:r>
      <w:r w:rsidRPr="005F26DA">
        <w:rPr>
          <w:rFonts w:ascii="Calibri" w:eastAsia="Calibri" w:hAnsi="Calibri" w:cs="Times New Roman"/>
          <w:color w:val="262626"/>
        </w:rPr>
        <w:t xml:space="preserve"> already have PLB running in their store. The application process is a one off cost for merchants to enter into a mix</w:t>
      </w:r>
      <w:r w:rsidR="0015576D">
        <w:rPr>
          <w:rFonts w:ascii="Calibri" w:eastAsia="Calibri" w:hAnsi="Calibri" w:cs="Times New Roman"/>
          <w:color w:val="262626"/>
        </w:rPr>
        <w:t>ed merchant agreement with the D</w:t>
      </w:r>
      <w:r w:rsidRPr="005F26DA">
        <w:rPr>
          <w:rFonts w:ascii="Calibri" w:eastAsia="Calibri" w:hAnsi="Calibri" w:cs="Times New Roman"/>
          <w:color w:val="262626"/>
        </w:rPr>
        <w:t>epartment. This will take around 30</w:t>
      </w:r>
      <w:r>
        <w:rPr>
          <w:rFonts w:ascii="Calibri" w:eastAsia="Calibri" w:hAnsi="Calibri" w:cs="Times New Roman"/>
          <w:color w:val="262626"/>
        </w:rPr>
        <w:t> </w:t>
      </w:r>
      <w:r w:rsidRPr="005F26DA">
        <w:rPr>
          <w:rFonts w:ascii="Calibri" w:eastAsia="Calibri" w:hAnsi="Calibri" w:cs="Times New Roman"/>
          <w:color w:val="262626"/>
        </w:rPr>
        <w:t>minutes per merchant. Initial set up is also a one off cost and would tak</w:t>
      </w:r>
      <w:r w:rsidR="007A099E">
        <w:rPr>
          <w:rFonts w:ascii="Calibri" w:eastAsia="Calibri" w:hAnsi="Calibri" w:cs="Times New Roman"/>
          <w:color w:val="262626"/>
        </w:rPr>
        <w:t>e around 1.5 hours to complete.</w:t>
      </w:r>
    </w:p>
    <w:p w14:paraId="023BDBE9" w14:textId="77777777" w:rsidR="00060B11" w:rsidRDefault="00060B11" w:rsidP="00060B11">
      <w:pPr>
        <w:spacing w:before="240"/>
        <w:rPr>
          <w:rFonts w:ascii="Calibri" w:eastAsia="Calibri" w:hAnsi="Calibri" w:cs="Times New Roman"/>
          <w:color w:val="262626"/>
        </w:rPr>
      </w:pPr>
      <w:r w:rsidRPr="005F26DA">
        <w:rPr>
          <w:rFonts w:ascii="Calibri" w:eastAsia="Calibri" w:hAnsi="Calibri" w:cs="Times New Roman"/>
          <w:color w:val="262626"/>
        </w:rPr>
        <w:t xml:space="preserve">Annual compliance assumes that a merchant will have to spend around </w:t>
      </w:r>
      <w:r w:rsidR="00314C9C">
        <w:rPr>
          <w:rFonts w:ascii="Calibri" w:eastAsia="Calibri" w:hAnsi="Calibri" w:cs="Times New Roman"/>
          <w:color w:val="262626"/>
        </w:rPr>
        <w:t>1</w:t>
      </w:r>
      <w:r w:rsidRPr="005F26DA">
        <w:rPr>
          <w:rFonts w:ascii="Calibri" w:eastAsia="Calibri" w:hAnsi="Calibri" w:cs="Times New Roman"/>
          <w:color w:val="262626"/>
        </w:rPr>
        <w:t xml:space="preserve"> hour per year to do compliance activities and ongoing maintenance. These costs only apply to mixed merchants as unrestricted merchants do not require PLB and restricted merchants are b</w:t>
      </w:r>
      <w:r>
        <w:rPr>
          <w:rFonts w:ascii="Calibri" w:eastAsia="Calibri" w:hAnsi="Calibri" w:cs="Times New Roman"/>
          <w:color w:val="262626"/>
        </w:rPr>
        <w:t>locked.</w:t>
      </w:r>
    </w:p>
    <w:p w14:paraId="4D702B2C" w14:textId="77777777" w:rsidR="00060B11" w:rsidRDefault="00060B11" w:rsidP="00427306">
      <w:pPr>
        <w:pStyle w:val="BodyText"/>
        <w:spacing w:before="120"/>
        <w:rPr>
          <w:b/>
        </w:rPr>
      </w:pPr>
      <w:r w:rsidRPr="001C1778">
        <w:rPr>
          <w:b/>
        </w:rPr>
        <w:t>CDC Merchants (with PLB technology roll out)</w:t>
      </w:r>
      <w:r w:rsidR="00524532" w:rsidRPr="001C1778">
        <w:rPr>
          <w:b/>
        </w:rPr>
        <w:t>,</w:t>
      </w:r>
      <w:r w:rsidR="00E60863" w:rsidRPr="001C1778">
        <w:rPr>
          <w:b/>
        </w:rPr>
        <w:t xml:space="preserve"> </w:t>
      </w:r>
      <w:r w:rsidR="00E60863" w:rsidRPr="00836FED">
        <w:rPr>
          <w:b/>
        </w:rPr>
        <w:t xml:space="preserve">merchant total cost is </w:t>
      </w:r>
      <w:r w:rsidR="00EE343C" w:rsidRPr="00836FED">
        <w:rPr>
          <w:b/>
        </w:rPr>
        <w:t>$</w:t>
      </w:r>
      <w:r w:rsidR="00D37D84">
        <w:rPr>
          <w:b/>
        </w:rPr>
        <w:t>78,028</w:t>
      </w:r>
    </w:p>
    <w:p w14:paraId="6335134C" w14:textId="4D245050" w:rsidR="00AC2526" w:rsidRPr="001C1778" w:rsidRDefault="009064C1" w:rsidP="00427306">
      <w:pPr>
        <w:spacing w:before="120"/>
        <w:rPr>
          <w:b/>
          <w:sz w:val="18"/>
          <w:szCs w:val="18"/>
        </w:rPr>
      </w:pPr>
      <w:r>
        <w:rPr>
          <w:b/>
          <w:sz w:val="18"/>
          <w:szCs w:val="18"/>
        </w:rPr>
        <w:t>Ongoing maintenance</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Ongoing maintainance"/>
      </w:tblPr>
      <w:tblGrid>
        <w:gridCol w:w="890"/>
        <w:gridCol w:w="1633"/>
        <w:gridCol w:w="1388"/>
        <w:gridCol w:w="2233"/>
        <w:gridCol w:w="887"/>
        <w:gridCol w:w="924"/>
        <w:gridCol w:w="2239"/>
      </w:tblGrid>
      <w:tr w:rsidR="00AC2526" w:rsidRPr="001C1778" w14:paraId="0B9B1E3B" w14:textId="77777777" w:rsidTr="00EE343C">
        <w:trPr>
          <w:trHeight w:val="309"/>
          <w:jc w:val="center"/>
        </w:trPr>
        <w:tc>
          <w:tcPr>
            <w:tcW w:w="890" w:type="dxa"/>
            <w:vMerge w:val="restart"/>
            <w:noWrap/>
            <w:tcMar>
              <w:top w:w="0" w:type="dxa"/>
              <w:left w:w="108" w:type="dxa"/>
              <w:bottom w:w="0" w:type="dxa"/>
              <w:right w:w="108" w:type="dxa"/>
            </w:tcMar>
            <w:vAlign w:val="bottom"/>
            <w:hideMark/>
          </w:tcPr>
          <w:p w14:paraId="06323310" w14:textId="77777777" w:rsidR="00AC2526" w:rsidRPr="001C1778" w:rsidRDefault="00AC2526">
            <w:pPr>
              <w:jc w:val="center"/>
              <w:rPr>
                <w:color w:val="000000"/>
                <w:sz w:val="16"/>
                <w:szCs w:val="16"/>
                <w:lang w:eastAsia="en-AU"/>
              </w:rPr>
            </w:pPr>
            <w:r w:rsidRPr="001C1778">
              <w:rPr>
                <w:color w:val="000000"/>
                <w:sz w:val="16"/>
                <w:szCs w:val="16"/>
                <w:lang w:eastAsia="en-AU"/>
              </w:rPr>
              <w:t> </w:t>
            </w:r>
          </w:p>
        </w:tc>
        <w:tc>
          <w:tcPr>
            <w:tcW w:w="1633" w:type="dxa"/>
            <w:vMerge w:val="restart"/>
            <w:noWrap/>
            <w:tcMar>
              <w:top w:w="0" w:type="dxa"/>
              <w:left w:w="108" w:type="dxa"/>
              <w:bottom w:w="0" w:type="dxa"/>
              <w:right w:w="108" w:type="dxa"/>
            </w:tcMar>
            <w:vAlign w:val="bottom"/>
            <w:hideMark/>
          </w:tcPr>
          <w:p w14:paraId="4EDDA83B" w14:textId="77777777" w:rsidR="00AC2526" w:rsidRPr="001C1778" w:rsidRDefault="00AC2526">
            <w:pPr>
              <w:jc w:val="center"/>
              <w:rPr>
                <w:color w:val="000000"/>
                <w:sz w:val="16"/>
                <w:szCs w:val="16"/>
                <w:lang w:eastAsia="en-AU"/>
              </w:rPr>
            </w:pPr>
            <w:r w:rsidRPr="001C1778">
              <w:rPr>
                <w:color w:val="000000"/>
                <w:sz w:val="16"/>
                <w:szCs w:val="16"/>
                <w:lang w:eastAsia="en-AU"/>
              </w:rPr>
              <w:t>Unrestricted</w:t>
            </w:r>
          </w:p>
        </w:tc>
        <w:tc>
          <w:tcPr>
            <w:tcW w:w="1388" w:type="dxa"/>
            <w:vMerge w:val="restart"/>
            <w:noWrap/>
            <w:tcMar>
              <w:top w:w="0" w:type="dxa"/>
              <w:left w:w="108" w:type="dxa"/>
              <w:bottom w:w="0" w:type="dxa"/>
              <w:right w:w="108" w:type="dxa"/>
            </w:tcMar>
            <w:vAlign w:val="bottom"/>
            <w:hideMark/>
          </w:tcPr>
          <w:p w14:paraId="288BBAD9" w14:textId="77777777" w:rsidR="00AC2526" w:rsidRPr="001C1778" w:rsidRDefault="00AC2526">
            <w:pPr>
              <w:jc w:val="center"/>
              <w:rPr>
                <w:color w:val="000000"/>
                <w:sz w:val="16"/>
                <w:szCs w:val="16"/>
                <w:lang w:eastAsia="en-AU"/>
              </w:rPr>
            </w:pPr>
            <w:r w:rsidRPr="001C1778">
              <w:rPr>
                <w:color w:val="000000"/>
                <w:sz w:val="16"/>
                <w:szCs w:val="16"/>
                <w:lang w:eastAsia="en-AU"/>
              </w:rPr>
              <w:t>Restricted</w:t>
            </w:r>
          </w:p>
        </w:tc>
        <w:tc>
          <w:tcPr>
            <w:tcW w:w="4044" w:type="dxa"/>
            <w:gridSpan w:val="3"/>
            <w:tcMar>
              <w:top w:w="0" w:type="dxa"/>
              <w:left w:w="108" w:type="dxa"/>
              <w:bottom w:w="0" w:type="dxa"/>
              <w:right w:w="108" w:type="dxa"/>
            </w:tcMar>
            <w:vAlign w:val="bottom"/>
            <w:hideMark/>
          </w:tcPr>
          <w:p w14:paraId="138BE164" w14:textId="77777777" w:rsidR="00AC2526" w:rsidRPr="001C1778" w:rsidRDefault="00AC2526">
            <w:pPr>
              <w:jc w:val="center"/>
              <w:rPr>
                <w:color w:val="000000"/>
                <w:sz w:val="16"/>
                <w:szCs w:val="16"/>
                <w:lang w:eastAsia="en-AU"/>
              </w:rPr>
            </w:pPr>
            <w:r w:rsidRPr="001C1778">
              <w:rPr>
                <w:color w:val="000000"/>
                <w:sz w:val="16"/>
                <w:szCs w:val="16"/>
                <w:lang w:eastAsia="en-AU"/>
              </w:rPr>
              <w:t>Mixed</w:t>
            </w:r>
          </w:p>
        </w:tc>
        <w:tc>
          <w:tcPr>
            <w:tcW w:w="2239" w:type="dxa"/>
            <w:vMerge w:val="restart"/>
            <w:noWrap/>
            <w:tcMar>
              <w:top w:w="0" w:type="dxa"/>
              <w:left w:w="108" w:type="dxa"/>
              <w:bottom w:w="0" w:type="dxa"/>
              <w:right w:w="108" w:type="dxa"/>
            </w:tcMar>
            <w:vAlign w:val="bottom"/>
            <w:hideMark/>
          </w:tcPr>
          <w:p w14:paraId="78526289" w14:textId="77777777" w:rsidR="00AC2526" w:rsidRPr="001C1778" w:rsidRDefault="00AC2526">
            <w:pPr>
              <w:jc w:val="center"/>
              <w:rPr>
                <w:color w:val="000000"/>
                <w:sz w:val="16"/>
                <w:szCs w:val="16"/>
                <w:lang w:eastAsia="en-AU"/>
              </w:rPr>
            </w:pPr>
            <w:r w:rsidRPr="001C1778">
              <w:rPr>
                <w:color w:val="000000"/>
                <w:sz w:val="16"/>
                <w:szCs w:val="16"/>
                <w:lang w:eastAsia="en-AU"/>
              </w:rPr>
              <w:t>total</w:t>
            </w:r>
          </w:p>
        </w:tc>
      </w:tr>
      <w:tr w:rsidR="00AC2526" w:rsidRPr="001C1778" w14:paraId="1EC1050E" w14:textId="77777777" w:rsidTr="00EE343C">
        <w:trPr>
          <w:trHeight w:val="309"/>
          <w:jc w:val="center"/>
        </w:trPr>
        <w:tc>
          <w:tcPr>
            <w:tcW w:w="0" w:type="auto"/>
            <w:vMerge/>
            <w:vAlign w:val="center"/>
            <w:hideMark/>
          </w:tcPr>
          <w:p w14:paraId="58E365AB" w14:textId="77777777" w:rsidR="00AC2526" w:rsidRPr="001C1778" w:rsidRDefault="00AC2526">
            <w:pPr>
              <w:rPr>
                <w:rFonts w:ascii="Calibri" w:hAnsi="Calibri" w:cs="Calibri"/>
                <w:color w:val="000000"/>
                <w:sz w:val="16"/>
                <w:szCs w:val="16"/>
                <w:lang w:eastAsia="en-AU"/>
              </w:rPr>
            </w:pPr>
          </w:p>
        </w:tc>
        <w:tc>
          <w:tcPr>
            <w:tcW w:w="0" w:type="auto"/>
            <w:vMerge/>
            <w:vAlign w:val="center"/>
            <w:hideMark/>
          </w:tcPr>
          <w:p w14:paraId="26C03FB8" w14:textId="77777777" w:rsidR="00AC2526" w:rsidRPr="001C1778" w:rsidRDefault="00AC2526">
            <w:pPr>
              <w:rPr>
                <w:rFonts w:ascii="Calibri" w:hAnsi="Calibri" w:cs="Calibri"/>
                <w:color w:val="000000"/>
                <w:sz w:val="16"/>
                <w:szCs w:val="16"/>
                <w:lang w:eastAsia="en-AU"/>
              </w:rPr>
            </w:pPr>
          </w:p>
        </w:tc>
        <w:tc>
          <w:tcPr>
            <w:tcW w:w="0" w:type="auto"/>
            <w:vMerge/>
            <w:vAlign w:val="center"/>
            <w:hideMark/>
          </w:tcPr>
          <w:p w14:paraId="38592D37" w14:textId="77777777" w:rsidR="00AC2526" w:rsidRPr="001C1778" w:rsidRDefault="00AC2526">
            <w:pPr>
              <w:rPr>
                <w:rFonts w:ascii="Calibri" w:hAnsi="Calibri" w:cs="Calibri"/>
                <w:color w:val="000000"/>
                <w:sz w:val="16"/>
                <w:szCs w:val="16"/>
                <w:lang w:eastAsia="en-AU"/>
              </w:rPr>
            </w:pPr>
          </w:p>
        </w:tc>
        <w:tc>
          <w:tcPr>
            <w:tcW w:w="2233" w:type="dxa"/>
            <w:noWrap/>
            <w:tcMar>
              <w:top w:w="0" w:type="dxa"/>
              <w:left w:w="108" w:type="dxa"/>
              <w:bottom w:w="0" w:type="dxa"/>
              <w:right w:w="108" w:type="dxa"/>
            </w:tcMar>
            <w:vAlign w:val="bottom"/>
            <w:hideMark/>
          </w:tcPr>
          <w:p w14:paraId="502879BC" w14:textId="77777777" w:rsidR="00AC2526" w:rsidRPr="001C1778" w:rsidRDefault="00D96372">
            <w:pPr>
              <w:rPr>
                <w:color w:val="000000"/>
                <w:sz w:val="16"/>
                <w:szCs w:val="16"/>
                <w:lang w:eastAsia="en-AU"/>
              </w:rPr>
            </w:pPr>
            <w:r w:rsidRPr="001C1778">
              <w:rPr>
                <w:color w:val="000000"/>
                <w:sz w:val="16"/>
                <w:szCs w:val="16"/>
                <w:lang w:eastAsia="en-AU"/>
              </w:rPr>
              <w:t>P</w:t>
            </w:r>
            <w:r w:rsidR="00AC2526" w:rsidRPr="001C1778">
              <w:rPr>
                <w:color w:val="000000"/>
                <w:sz w:val="16"/>
                <w:szCs w:val="16"/>
                <w:lang w:eastAsia="en-AU"/>
              </w:rPr>
              <w:t>opulation</w:t>
            </w:r>
          </w:p>
        </w:tc>
        <w:tc>
          <w:tcPr>
            <w:tcW w:w="887" w:type="dxa"/>
            <w:noWrap/>
            <w:tcMar>
              <w:top w:w="0" w:type="dxa"/>
              <w:left w:w="108" w:type="dxa"/>
              <w:bottom w:w="0" w:type="dxa"/>
              <w:right w:w="108" w:type="dxa"/>
            </w:tcMar>
            <w:vAlign w:val="bottom"/>
            <w:hideMark/>
          </w:tcPr>
          <w:p w14:paraId="3BD30A92" w14:textId="77777777" w:rsidR="00AC2526" w:rsidRPr="001C1778" w:rsidRDefault="00AC2526">
            <w:pPr>
              <w:rPr>
                <w:color w:val="000000"/>
                <w:sz w:val="16"/>
                <w:szCs w:val="16"/>
                <w:lang w:eastAsia="en-AU"/>
              </w:rPr>
            </w:pPr>
            <w:r w:rsidRPr="001C1778">
              <w:rPr>
                <w:color w:val="000000"/>
                <w:sz w:val="16"/>
                <w:szCs w:val="16"/>
                <w:lang w:eastAsia="en-AU"/>
              </w:rPr>
              <w:t>time</w:t>
            </w:r>
          </w:p>
        </w:tc>
        <w:tc>
          <w:tcPr>
            <w:tcW w:w="924" w:type="dxa"/>
            <w:noWrap/>
            <w:tcMar>
              <w:top w:w="0" w:type="dxa"/>
              <w:left w:w="108" w:type="dxa"/>
              <w:bottom w:w="0" w:type="dxa"/>
              <w:right w:w="108" w:type="dxa"/>
            </w:tcMar>
            <w:vAlign w:val="bottom"/>
            <w:hideMark/>
          </w:tcPr>
          <w:p w14:paraId="2A4964BF" w14:textId="77777777" w:rsidR="00AC2526" w:rsidRPr="001C1778" w:rsidRDefault="00AC2526">
            <w:pPr>
              <w:rPr>
                <w:color w:val="000000"/>
                <w:sz w:val="16"/>
                <w:szCs w:val="16"/>
                <w:lang w:eastAsia="en-AU"/>
              </w:rPr>
            </w:pPr>
            <w:r w:rsidRPr="001C1778">
              <w:rPr>
                <w:color w:val="000000"/>
                <w:sz w:val="16"/>
                <w:szCs w:val="16"/>
                <w:lang w:eastAsia="en-AU"/>
              </w:rPr>
              <w:t>cost</w:t>
            </w:r>
          </w:p>
        </w:tc>
        <w:tc>
          <w:tcPr>
            <w:tcW w:w="0" w:type="auto"/>
            <w:vMerge/>
            <w:vAlign w:val="center"/>
            <w:hideMark/>
          </w:tcPr>
          <w:p w14:paraId="5CAAC7D4" w14:textId="77777777" w:rsidR="00AC2526" w:rsidRPr="001C1778" w:rsidRDefault="00AC2526">
            <w:pPr>
              <w:rPr>
                <w:rFonts w:ascii="Calibri" w:hAnsi="Calibri" w:cs="Calibri"/>
                <w:color w:val="000000"/>
                <w:sz w:val="16"/>
                <w:szCs w:val="16"/>
                <w:lang w:eastAsia="en-AU"/>
              </w:rPr>
            </w:pPr>
          </w:p>
        </w:tc>
      </w:tr>
      <w:tr w:rsidR="00D37D84" w:rsidRPr="00E83ED2" w14:paraId="56D1E1A8" w14:textId="77777777" w:rsidTr="00EE343C">
        <w:trPr>
          <w:trHeight w:val="309"/>
          <w:jc w:val="center"/>
        </w:trPr>
        <w:tc>
          <w:tcPr>
            <w:tcW w:w="890" w:type="dxa"/>
            <w:noWrap/>
            <w:tcMar>
              <w:top w:w="0" w:type="dxa"/>
              <w:left w:w="108" w:type="dxa"/>
              <w:bottom w:w="0" w:type="dxa"/>
              <w:right w:w="108" w:type="dxa"/>
            </w:tcMar>
            <w:vAlign w:val="bottom"/>
            <w:hideMark/>
          </w:tcPr>
          <w:p w14:paraId="6DEBB948" w14:textId="77777777" w:rsidR="00D37D84" w:rsidRPr="00E83ED2" w:rsidRDefault="00D37D84" w:rsidP="00D37D84">
            <w:pPr>
              <w:rPr>
                <w:color w:val="000000"/>
                <w:sz w:val="16"/>
                <w:szCs w:val="16"/>
                <w:lang w:eastAsia="en-AU"/>
              </w:rPr>
            </w:pPr>
            <w:r w:rsidRPr="00E83ED2">
              <w:rPr>
                <w:color w:val="000000"/>
                <w:sz w:val="16"/>
                <w:szCs w:val="16"/>
                <w:lang w:eastAsia="en-AU"/>
              </w:rPr>
              <w:t>Year 1</w:t>
            </w:r>
          </w:p>
        </w:tc>
        <w:tc>
          <w:tcPr>
            <w:tcW w:w="1633" w:type="dxa"/>
            <w:noWrap/>
            <w:tcMar>
              <w:top w:w="0" w:type="dxa"/>
              <w:left w:w="108" w:type="dxa"/>
              <w:bottom w:w="0" w:type="dxa"/>
              <w:right w:w="108" w:type="dxa"/>
            </w:tcMar>
            <w:vAlign w:val="bottom"/>
            <w:hideMark/>
          </w:tcPr>
          <w:p w14:paraId="072FFF23"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575B9E7B"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70DBBA6F" w14:textId="77777777" w:rsidR="00D37D84" w:rsidRPr="00D37D84" w:rsidRDefault="00D37D84" w:rsidP="00D37D84">
            <w:pPr>
              <w:jc w:val="right"/>
              <w:rPr>
                <w:color w:val="000000"/>
                <w:sz w:val="16"/>
                <w:szCs w:val="16"/>
                <w:lang w:eastAsia="en-AU"/>
              </w:rPr>
            </w:pPr>
            <w:r w:rsidRPr="00D37D84">
              <w:rPr>
                <w:sz w:val="16"/>
              </w:rPr>
              <w:t>80</w:t>
            </w:r>
          </w:p>
        </w:tc>
        <w:tc>
          <w:tcPr>
            <w:tcW w:w="887" w:type="dxa"/>
            <w:noWrap/>
            <w:tcMar>
              <w:top w:w="0" w:type="dxa"/>
              <w:left w:w="108" w:type="dxa"/>
              <w:bottom w:w="0" w:type="dxa"/>
              <w:right w:w="108" w:type="dxa"/>
            </w:tcMar>
            <w:vAlign w:val="bottom"/>
            <w:hideMark/>
          </w:tcPr>
          <w:p w14:paraId="388C27CA"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73DF46C6"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tcPr>
          <w:p w14:paraId="57AB0454" w14:textId="77777777" w:rsidR="00D37D84" w:rsidRPr="00D37D84" w:rsidRDefault="00D37D84" w:rsidP="00D37D84">
            <w:pPr>
              <w:jc w:val="right"/>
              <w:rPr>
                <w:color w:val="000000"/>
                <w:sz w:val="16"/>
                <w:szCs w:val="16"/>
                <w:lang w:eastAsia="en-AU"/>
              </w:rPr>
            </w:pPr>
            <w:r w:rsidRPr="00D37D84">
              <w:rPr>
                <w:sz w:val="16"/>
              </w:rPr>
              <w:t xml:space="preserve"> $1,082.97 </w:t>
            </w:r>
          </w:p>
        </w:tc>
      </w:tr>
      <w:tr w:rsidR="00D37D84" w:rsidRPr="00E83ED2" w14:paraId="1C4AD8EF" w14:textId="77777777" w:rsidTr="00EE343C">
        <w:trPr>
          <w:trHeight w:val="309"/>
          <w:jc w:val="center"/>
        </w:trPr>
        <w:tc>
          <w:tcPr>
            <w:tcW w:w="890" w:type="dxa"/>
            <w:noWrap/>
            <w:tcMar>
              <w:top w:w="0" w:type="dxa"/>
              <w:left w:w="108" w:type="dxa"/>
              <w:bottom w:w="0" w:type="dxa"/>
              <w:right w:w="108" w:type="dxa"/>
            </w:tcMar>
            <w:vAlign w:val="bottom"/>
            <w:hideMark/>
          </w:tcPr>
          <w:p w14:paraId="4CCACD63" w14:textId="77777777" w:rsidR="00D37D84" w:rsidRPr="00E83ED2" w:rsidRDefault="00D37D84" w:rsidP="00D37D84">
            <w:pPr>
              <w:rPr>
                <w:color w:val="000000"/>
                <w:sz w:val="16"/>
                <w:szCs w:val="16"/>
                <w:lang w:eastAsia="en-AU"/>
              </w:rPr>
            </w:pPr>
            <w:r w:rsidRPr="00E83ED2">
              <w:rPr>
                <w:color w:val="000000"/>
                <w:sz w:val="16"/>
                <w:szCs w:val="16"/>
                <w:lang w:eastAsia="en-AU"/>
              </w:rPr>
              <w:t>Year 2</w:t>
            </w:r>
          </w:p>
        </w:tc>
        <w:tc>
          <w:tcPr>
            <w:tcW w:w="1633" w:type="dxa"/>
            <w:noWrap/>
            <w:tcMar>
              <w:top w:w="0" w:type="dxa"/>
              <w:left w:w="108" w:type="dxa"/>
              <w:bottom w:w="0" w:type="dxa"/>
              <w:right w:w="108" w:type="dxa"/>
            </w:tcMar>
            <w:vAlign w:val="bottom"/>
            <w:hideMark/>
          </w:tcPr>
          <w:p w14:paraId="1B362343"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06F38215"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46D210B5" w14:textId="77777777" w:rsidR="00D37D84" w:rsidRPr="00D37D84" w:rsidRDefault="00D37D84" w:rsidP="00D37D84">
            <w:pPr>
              <w:jc w:val="right"/>
              <w:rPr>
                <w:color w:val="000000"/>
                <w:sz w:val="16"/>
                <w:szCs w:val="16"/>
                <w:lang w:eastAsia="en-AU"/>
              </w:rPr>
            </w:pPr>
            <w:r w:rsidRPr="00D37D84">
              <w:rPr>
                <w:sz w:val="16"/>
              </w:rPr>
              <w:t>160</w:t>
            </w:r>
          </w:p>
        </w:tc>
        <w:tc>
          <w:tcPr>
            <w:tcW w:w="887" w:type="dxa"/>
            <w:noWrap/>
            <w:tcMar>
              <w:top w:w="0" w:type="dxa"/>
              <w:left w:w="108" w:type="dxa"/>
              <w:bottom w:w="0" w:type="dxa"/>
              <w:right w:w="108" w:type="dxa"/>
            </w:tcMar>
            <w:vAlign w:val="bottom"/>
            <w:hideMark/>
          </w:tcPr>
          <w:p w14:paraId="03D7C89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08383F93"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tcPr>
          <w:p w14:paraId="70EBACA3" w14:textId="77777777" w:rsidR="00D37D84" w:rsidRPr="00D37D84" w:rsidRDefault="00D37D84" w:rsidP="00D37D84">
            <w:pPr>
              <w:jc w:val="right"/>
              <w:rPr>
                <w:color w:val="000000"/>
                <w:sz w:val="16"/>
                <w:szCs w:val="16"/>
                <w:lang w:eastAsia="en-AU"/>
              </w:rPr>
            </w:pPr>
            <w:r w:rsidRPr="00D37D84">
              <w:rPr>
                <w:sz w:val="16"/>
              </w:rPr>
              <w:t xml:space="preserve"> $2,165.94 </w:t>
            </w:r>
          </w:p>
        </w:tc>
      </w:tr>
      <w:tr w:rsidR="00D37D84" w:rsidRPr="00E83ED2" w14:paraId="75538FEE" w14:textId="77777777" w:rsidTr="00EE343C">
        <w:trPr>
          <w:trHeight w:val="309"/>
          <w:jc w:val="center"/>
        </w:trPr>
        <w:tc>
          <w:tcPr>
            <w:tcW w:w="890" w:type="dxa"/>
            <w:noWrap/>
            <w:tcMar>
              <w:top w:w="0" w:type="dxa"/>
              <w:left w:w="108" w:type="dxa"/>
              <w:bottom w:w="0" w:type="dxa"/>
              <w:right w:w="108" w:type="dxa"/>
            </w:tcMar>
            <w:vAlign w:val="bottom"/>
            <w:hideMark/>
          </w:tcPr>
          <w:p w14:paraId="7E711C11" w14:textId="77777777" w:rsidR="00D37D84" w:rsidRPr="00E83ED2" w:rsidRDefault="00D37D84" w:rsidP="00D37D84">
            <w:pPr>
              <w:rPr>
                <w:color w:val="000000"/>
                <w:sz w:val="16"/>
                <w:szCs w:val="16"/>
                <w:lang w:eastAsia="en-AU"/>
              </w:rPr>
            </w:pPr>
            <w:r w:rsidRPr="00E83ED2">
              <w:rPr>
                <w:color w:val="000000"/>
                <w:sz w:val="16"/>
                <w:szCs w:val="16"/>
                <w:lang w:eastAsia="en-AU"/>
              </w:rPr>
              <w:t>Year 3</w:t>
            </w:r>
          </w:p>
        </w:tc>
        <w:tc>
          <w:tcPr>
            <w:tcW w:w="1633" w:type="dxa"/>
            <w:noWrap/>
            <w:tcMar>
              <w:top w:w="0" w:type="dxa"/>
              <w:left w:w="108" w:type="dxa"/>
              <w:bottom w:w="0" w:type="dxa"/>
              <w:right w:w="108" w:type="dxa"/>
            </w:tcMar>
            <w:vAlign w:val="bottom"/>
            <w:hideMark/>
          </w:tcPr>
          <w:p w14:paraId="544EB0C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69E1E01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195FE6D2" w14:textId="77777777" w:rsidR="00D37D84" w:rsidRPr="00D37D84" w:rsidRDefault="00D37D84" w:rsidP="00D37D84">
            <w:pPr>
              <w:jc w:val="right"/>
              <w:rPr>
                <w:color w:val="000000"/>
                <w:sz w:val="16"/>
                <w:szCs w:val="16"/>
                <w:lang w:eastAsia="en-AU"/>
              </w:rPr>
            </w:pPr>
            <w:r w:rsidRPr="00D37D84">
              <w:rPr>
                <w:sz w:val="16"/>
              </w:rPr>
              <w:t>240</w:t>
            </w:r>
          </w:p>
        </w:tc>
        <w:tc>
          <w:tcPr>
            <w:tcW w:w="887" w:type="dxa"/>
            <w:noWrap/>
            <w:tcMar>
              <w:top w:w="0" w:type="dxa"/>
              <w:left w:w="108" w:type="dxa"/>
              <w:bottom w:w="0" w:type="dxa"/>
              <w:right w:w="108" w:type="dxa"/>
            </w:tcMar>
            <w:vAlign w:val="bottom"/>
            <w:hideMark/>
          </w:tcPr>
          <w:p w14:paraId="0F26CCCD"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5E8B8506"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tcPr>
          <w:p w14:paraId="297B2BFF" w14:textId="77777777" w:rsidR="00D37D84" w:rsidRPr="00D37D84" w:rsidRDefault="00D37D84" w:rsidP="00D37D84">
            <w:pPr>
              <w:jc w:val="right"/>
              <w:rPr>
                <w:color w:val="000000"/>
                <w:sz w:val="16"/>
                <w:szCs w:val="16"/>
                <w:lang w:eastAsia="en-AU"/>
              </w:rPr>
            </w:pPr>
            <w:r w:rsidRPr="00D37D84">
              <w:rPr>
                <w:sz w:val="16"/>
              </w:rPr>
              <w:t xml:space="preserve"> $3,248.90 </w:t>
            </w:r>
          </w:p>
        </w:tc>
      </w:tr>
      <w:tr w:rsidR="00D37D84" w:rsidRPr="00E83ED2" w14:paraId="08C037A0" w14:textId="77777777" w:rsidTr="00EE343C">
        <w:trPr>
          <w:trHeight w:val="309"/>
          <w:jc w:val="center"/>
        </w:trPr>
        <w:tc>
          <w:tcPr>
            <w:tcW w:w="890" w:type="dxa"/>
            <w:noWrap/>
            <w:tcMar>
              <w:top w:w="0" w:type="dxa"/>
              <w:left w:w="108" w:type="dxa"/>
              <w:bottom w:w="0" w:type="dxa"/>
              <w:right w:w="108" w:type="dxa"/>
            </w:tcMar>
            <w:vAlign w:val="bottom"/>
            <w:hideMark/>
          </w:tcPr>
          <w:p w14:paraId="21C58371" w14:textId="77777777" w:rsidR="00D37D84" w:rsidRPr="00E83ED2" w:rsidRDefault="00D37D84" w:rsidP="00D37D84">
            <w:pPr>
              <w:rPr>
                <w:color w:val="000000"/>
                <w:sz w:val="16"/>
                <w:szCs w:val="16"/>
                <w:lang w:eastAsia="en-AU"/>
              </w:rPr>
            </w:pPr>
            <w:r w:rsidRPr="00E83ED2">
              <w:rPr>
                <w:color w:val="000000"/>
                <w:sz w:val="16"/>
                <w:szCs w:val="16"/>
                <w:lang w:eastAsia="en-AU"/>
              </w:rPr>
              <w:t>Year 4</w:t>
            </w:r>
          </w:p>
        </w:tc>
        <w:tc>
          <w:tcPr>
            <w:tcW w:w="1633" w:type="dxa"/>
            <w:noWrap/>
            <w:tcMar>
              <w:top w:w="0" w:type="dxa"/>
              <w:left w:w="108" w:type="dxa"/>
              <w:bottom w:w="0" w:type="dxa"/>
              <w:right w:w="108" w:type="dxa"/>
            </w:tcMar>
            <w:vAlign w:val="bottom"/>
            <w:hideMark/>
          </w:tcPr>
          <w:p w14:paraId="315041C5"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6EF7F37D"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3944E2D8" w14:textId="77777777" w:rsidR="00D37D84" w:rsidRPr="00D37D84" w:rsidRDefault="00D37D84" w:rsidP="00D37D84">
            <w:pPr>
              <w:jc w:val="right"/>
              <w:rPr>
                <w:color w:val="000000"/>
                <w:sz w:val="16"/>
                <w:szCs w:val="16"/>
                <w:lang w:eastAsia="en-AU"/>
              </w:rPr>
            </w:pPr>
            <w:r w:rsidRPr="00D37D84">
              <w:rPr>
                <w:sz w:val="16"/>
              </w:rPr>
              <w:t>320</w:t>
            </w:r>
          </w:p>
        </w:tc>
        <w:tc>
          <w:tcPr>
            <w:tcW w:w="887" w:type="dxa"/>
            <w:noWrap/>
            <w:tcMar>
              <w:top w:w="0" w:type="dxa"/>
              <w:left w:w="108" w:type="dxa"/>
              <w:bottom w:w="0" w:type="dxa"/>
              <w:right w:w="108" w:type="dxa"/>
            </w:tcMar>
            <w:vAlign w:val="bottom"/>
            <w:hideMark/>
          </w:tcPr>
          <w:p w14:paraId="22BF499E"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1F780160"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tcPr>
          <w:p w14:paraId="59D98495" w14:textId="77777777" w:rsidR="00D37D84" w:rsidRPr="00D37D84" w:rsidRDefault="00D37D84" w:rsidP="00D37D84">
            <w:pPr>
              <w:jc w:val="right"/>
              <w:rPr>
                <w:color w:val="000000"/>
                <w:sz w:val="16"/>
                <w:szCs w:val="16"/>
                <w:lang w:eastAsia="en-AU"/>
              </w:rPr>
            </w:pPr>
            <w:r w:rsidRPr="00D37D84">
              <w:rPr>
                <w:sz w:val="16"/>
              </w:rPr>
              <w:t xml:space="preserve"> $4,331.87 </w:t>
            </w:r>
          </w:p>
        </w:tc>
      </w:tr>
      <w:tr w:rsidR="00D37D84" w:rsidRPr="00E83ED2" w14:paraId="63A0CCF7" w14:textId="77777777" w:rsidTr="00EE343C">
        <w:trPr>
          <w:trHeight w:val="309"/>
          <w:jc w:val="center"/>
        </w:trPr>
        <w:tc>
          <w:tcPr>
            <w:tcW w:w="890" w:type="dxa"/>
            <w:noWrap/>
            <w:tcMar>
              <w:top w:w="0" w:type="dxa"/>
              <w:left w:w="108" w:type="dxa"/>
              <w:bottom w:w="0" w:type="dxa"/>
              <w:right w:w="108" w:type="dxa"/>
            </w:tcMar>
            <w:vAlign w:val="bottom"/>
            <w:hideMark/>
          </w:tcPr>
          <w:p w14:paraId="5122B364" w14:textId="77777777" w:rsidR="00D37D84" w:rsidRPr="00E83ED2" w:rsidRDefault="00D37D84" w:rsidP="00D37D84">
            <w:pPr>
              <w:rPr>
                <w:color w:val="000000"/>
                <w:sz w:val="16"/>
                <w:szCs w:val="16"/>
                <w:lang w:eastAsia="en-AU"/>
              </w:rPr>
            </w:pPr>
            <w:r w:rsidRPr="00E83ED2">
              <w:rPr>
                <w:color w:val="000000"/>
                <w:sz w:val="16"/>
                <w:szCs w:val="16"/>
                <w:lang w:eastAsia="en-AU"/>
              </w:rPr>
              <w:t>Year 5</w:t>
            </w:r>
          </w:p>
        </w:tc>
        <w:tc>
          <w:tcPr>
            <w:tcW w:w="1633" w:type="dxa"/>
            <w:noWrap/>
            <w:tcMar>
              <w:top w:w="0" w:type="dxa"/>
              <w:left w:w="108" w:type="dxa"/>
              <w:bottom w:w="0" w:type="dxa"/>
              <w:right w:w="108" w:type="dxa"/>
            </w:tcMar>
            <w:vAlign w:val="bottom"/>
            <w:hideMark/>
          </w:tcPr>
          <w:p w14:paraId="3B48DAF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7506300A"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096DF3CF"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5A2F0F8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5A74C61A"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4CE0B587"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1F518F82" w14:textId="77777777" w:rsidTr="00EE343C">
        <w:trPr>
          <w:trHeight w:val="309"/>
          <w:jc w:val="center"/>
        </w:trPr>
        <w:tc>
          <w:tcPr>
            <w:tcW w:w="890" w:type="dxa"/>
            <w:noWrap/>
            <w:tcMar>
              <w:top w:w="0" w:type="dxa"/>
              <w:left w:w="108" w:type="dxa"/>
              <w:bottom w:w="0" w:type="dxa"/>
              <w:right w:w="108" w:type="dxa"/>
            </w:tcMar>
            <w:vAlign w:val="bottom"/>
            <w:hideMark/>
          </w:tcPr>
          <w:p w14:paraId="2AE4002A" w14:textId="77777777" w:rsidR="00D37D84" w:rsidRPr="00E83ED2" w:rsidRDefault="00D37D84" w:rsidP="00D37D84">
            <w:pPr>
              <w:rPr>
                <w:color w:val="000000"/>
                <w:sz w:val="16"/>
                <w:szCs w:val="16"/>
                <w:lang w:eastAsia="en-AU"/>
              </w:rPr>
            </w:pPr>
            <w:r w:rsidRPr="00E83ED2">
              <w:rPr>
                <w:color w:val="000000"/>
                <w:sz w:val="16"/>
                <w:szCs w:val="16"/>
                <w:lang w:eastAsia="en-AU"/>
              </w:rPr>
              <w:t>Year 6</w:t>
            </w:r>
          </w:p>
        </w:tc>
        <w:tc>
          <w:tcPr>
            <w:tcW w:w="1633" w:type="dxa"/>
            <w:noWrap/>
            <w:tcMar>
              <w:top w:w="0" w:type="dxa"/>
              <w:left w:w="108" w:type="dxa"/>
              <w:bottom w:w="0" w:type="dxa"/>
              <w:right w:w="108" w:type="dxa"/>
            </w:tcMar>
            <w:vAlign w:val="bottom"/>
            <w:hideMark/>
          </w:tcPr>
          <w:p w14:paraId="07E71C55"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4836B0E3"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752CBD4B"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5066D55D"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14143903"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66DBF4F7"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52E44783" w14:textId="77777777" w:rsidTr="00EE343C">
        <w:trPr>
          <w:trHeight w:val="309"/>
          <w:jc w:val="center"/>
        </w:trPr>
        <w:tc>
          <w:tcPr>
            <w:tcW w:w="890" w:type="dxa"/>
            <w:noWrap/>
            <w:tcMar>
              <w:top w:w="0" w:type="dxa"/>
              <w:left w:w="108" w:type="dxa"/>
              <w:bottom w:w="0" w:type="dxa"/>
              <w:right w:w="108" w:type="dxa"/>
            </w:tcMar>
            <w:vAlign w:val="bottom"/>
            <w:hideMark/>
          </w:tcPr>
          <w:p w14:paraId="16FB37A9" w14:textId="77777777" w:rsidR="00D37D84" w:rsidRPr="00E83ED2" w:rsidRDefault="00D37D84" w:rsidP="00D37D84">
            <w:pPr>
              <w:rPr>
                <w:color w:val="000000"/>
                <w:sz w:val="16"/>
                <w:szCs w:val="16"/>
                <w:lang w:eastAsia="en-AU"/>
              </w:rPr>
            </w:pPr>
            <w:r w:rsidRPr="00E83ED2">
              <w:rPr>
                <w:color w:val="000000"/>
                <w:sz w:val="16"/>
                <w:szCs w:val="16"/>
                <w:lang w:eastAsia="en-AU"/>
              </w:rPr>
              <w:t>Year 7</w:t>
            </w:r>
          </w:p>
        </w:tc>
        <w:tc>
          <w:tcPr>
            <w:tcW w:w="1633" w:type="dxa"/>
            <w:noWrap/>
            <w:tcMar>
              <w:top w:w="0" w:type="dxa"/>
              <w:left w:w="108" w:type="dxa"/>
              <w:bottom w:w="0" w:type="dxa"/>
              <w:right w:w="108" w:type="dxa"/>
            </w:tcMar>
            <w:vAlign w:val="bottom"/>
            <w:hideMark/>
          </w:tcPr>
          <w:p w14:paraId="3E93022C"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28C7192B"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791D4F86"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7480BDC4"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09FCEC3C"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46FF8028"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78DDF18C" w14:textId="77777777" w:rsidTr="00EE343C">
        <w:trPr>
          <w:trHeight w:val="309"/>
          <w:jc w:val="center"/>
        </w:trPr>
        <w:tc>
          <w:tcPr>
            <w:tcW w:w="890" w:type="dxa"/>
            <w:noWrap/>
            <w:tcMar>
              <w:top w:w="0" w:type="dxa"/>
              <w:left w:w="108" w:type="dxa"/>
              <w:bottom w:w="0" w:type="dxa"/>
              <w:right w:w="108" w:type="dxa"/>
            </w:tcMar>
            <w:vAlign w:val="bottom"/>
            <w:hideMark/>
          </w:tcPr>
          <w:p w14:paraId="1A984349" w14:textId="77777777" w:rsidR="00D37D84" w:rsidRPr="00E83ED2" w:rsidRDefault="00D37D84" w:rsidP="00D37D84">
            <w:pPr>
              <w:rPr>
                <w:color w:val="000000"/>
                <w:sz w:val="16"/>
                <w:szCs w:val="16"/>
                <w:lang w:eastAsia="en-AU"/>
              </w:rPr>
            </w:pPr>
            <w:r w:rsidRPr="00E83ED2">
              <w:rPr>
                <w:color w:val="000000"/>
                <w:sz w:val="16"/>
                <w:szCs w:val="16"/>
                <w:lang w:eastAsia="en-AU"/>
              </w:rPr>
              <w:t>Year 8</w:t>
            </w:r>
          </w:p>
        </w:tc>
        <w:tc>
          <w:tcPr>
            <w:tcW w:w="1633" w:type="dxa"/>
            <w:noWrap/>
            <w:tcMar>
              <w:top w:w="0" w:type="dxa"/>
              <w:left w:w="108" w:type="dxa"/>
              <w:bottom w:w="0" w:type="dxa"/>
              <w:right w:w="108" w:type="dxa"/>
            </w:tcMar>
            <w:vAlign w:val="bottom"/>
            <w:hideMark/>
          </w:tcPr>
          <w:p w14:paraId="5E5A0110"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3DE7AFD5"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7C51633B"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5958BB01"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3C0AF6D8"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0BACA260"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6E12FD01" w14:textId="77777777" w:rsidTr="00EE343C">
        <w:trPr>
          <w:trHeight w:val="309"/>
          <w:jc w:val="center"/>
        </w:trPr>
        <w:tc>
          <w:tcPr>
            <w:tcW w:w="890" w:type="dxa"/>
            <w:noWrap/>
            <w:tcMar>
              <w:top w:w="0" w:type="dxa"/>
              <w:left w:w="108" w:type="dxa"/>
              <w:bottom w:w="0" w:type="dxa"/>
              <w:right w:w="108" w:type="dxa"/>
            </w:tcMar>
            <w:vAlign w:val="bottom"/>
            <w:hideMark/>
          </w:tcPr>
          <w:p w14:paraId="75887C4C" w14:textId="77777777" w:rsidR="00D37D84" w:rsidRPr="00E83ED2" w:rsidRDefault="00D37D84" w:rsidP="00D37D84">
            <w:pPr>
              <w:rPr>
                <w:color w:val="000000"/>
                <w:sz w:val="16"/>
                <w:szCs w:val="16"/>
                <w:lang w:eastAsia="en-AU"/>
              </w:rPr>
            </w:pPr>
            <w:r w:rsidRPr="00E83ED2">
              <w:rPr>
                <w:color w:val="000000"/>
                <w:sz w:val="16"/>
                <w:szCs w:val="16"/>
                <w:lang w:eastAsia="en-AU"/>
              </w:rPr>
              <w:t>Year 9</w:t>
            </w:r>
          </w:p>
        </w:tc>
        <w:tc>
          <w:tcPr>
            <w:tcW w:w="1633" w:type="dxa"/>
            <w:noWrap/>
            <w:tcMar>
              <w:top w:w="0" w:type="dxa"/>
              <w:left w:w="108" w:type="dxa"/>
              <w:bottom w:w="0" w:type="dxa"/>
              <w:right w:w="108" w:type="dxa"/>
            </w:tcMar>
            <w:vAlign w:val="bottom"/>
            <w:hideMark/>
          </w:tcPr>
          <w:p w14:paraId="101553F1"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1D42006C"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0816E7BC"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71C4C91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2564A273"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20B8D6BE"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7D8F8AEC" w14:textId="77777777" w:rsidTr="00EE343C">
        <w:trPr>
          <w:trHeight w:val="309"/>
          <w:jc w:val="center"/>
        </w:trPr>
        <w:tc>
          <w:tcPr>
            <w:tcW w:w="890" w:type="dxa"/>
            <w:noWrap/>
            <w:tcMar>
              <w:top w:w="0" w:type="dxa"/>
              <w:left w:w="108" w:type="dxa"/>
              <w:bottom w:w="0" w:type="dxa"/>
              <w:right w:w="108" w:type="dxa"/>
            </w:tcMar>
            <w:vAlign w:val="bottom"/>
            <w:hideMark/>
          </w:tcPr>
          <w:p w14:paraId="6981023A" w14:textId="77777777" w:rsidR="00D37D84" w:rsidRPr="00E83ED2" w:rsidRDefault="00D37D84" w:rsidP="00D37D84">
            <w:pPr>
              <w:rPr>
                <w:color w:val="000000"/>
                <w:sz w:val="16"/>
                <w:szCs w:val="16"/>
                <w:lang w:eastAsia="en-AU"/>
              </w:rPr>
            </w:pPr>
            <w:r w:rsidRPr="00E83ED2">
              <w:rPr>
                <w:color w:val="000000"/>
                <w:sz w:val="16"/>
                <w:szCs w:val="16"/>
                <w:lang w:eastAsia="en-AU"/>
              </w:rPr>
              <w:t>Year 10</w:t>
            </w:r>
          </w:p>
        </w:tc>
        <w:tc>
          <w:tcPr>
            <w:tcW w:w="1633" w:type="dxa"/>
            <w:noWrap/>
            <w:tcMar>
              <w:top w:w="0" w:type="dxa"/>
              <w:left w:w="108" w:type="dxa"/>
              <w:bottom w:w="0" w:type="dxa"/>
              <w:right w:w="108" w:type="dxa"/>
            </w:tcMar>
            <w:vAlign w:val="bottom"/>
            <w:hideMark/>
          </w:tcPr>
          <w:p w14:paraId="153F5672"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388" w:type="dxa"/>
            <w:noWrap/>
            <w:tcMar>
              <w:top w:w="0" w:type="dxa"/>
              <w:left w:w="108" w:type="dxa"/>
              <w:bottom w:w="0" w:type="dxa"/>
              <w:right w:w="108" w:type="dxa"/>
            </w:tcMar>
            <w:vAlign w:val="bottom"/>
            <w:hideMark/>
          </w:tcPr>
          <w:p w14:paraId="39E4120E"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33" w:type="dxa"/>
            <w:noWrap/>
            <w:tcMar>
              <w:top w:w="0" w:type="dxa"/>
              <w:left w:w="108" w:type="dxa"/>
              <w:bottom w:w="0" w:type="dxa"/>
              <w:right w:w="108" w:type="dxa"/>
            </w:tcMar>
            <w:hideMark/>
          </w:tcPr>
          <w:p w14:paraId="7D95773A" w14:textId="77777777" w:rsidR="00D37D84" w:rsidRPr="00D37D84" w:rsidRDefault="00D37D84" w:rsidP="00D37D84">
            <w:pPr>
              <w:jc w:val="right"/>
              <w:rPr>
                <w:color w:val="000000"/>
                <w:sz w:val="16"/>
                <w:szCs w:val="16"/>
                <w:lang w:eastAsia="en-AU"/>
              </w:rPr>
            </w:pPr>
            <w:r w:rsidRPr="00D37D84">
              <w:rPr>
                <w:sz w:val="16"/>
              </w:rPr>
              <w:t>347</w:t>
            </w:r>
          </w:p>
        </w:tc>
        <w:tc>
          <w:tcPr>
            <w:tcW w:w="887" w:type="dxa"/>
            <w:noWrap/>
            <w:tcMar>
              <w:top w:w="0" w:type="dxa"/>
              <w:left w:w="108" w:type="dxa"/>
              <w:bottom w:w="0" w:type="dxa"/>
              <w:right w:w="108" w:type="dxa"/>
            </w:tcMar>
            <w:vAlign w:val="bottom"/>
            <w:hideMark/>
          </w:tcPr>
          <w:p w14:paraId="6A0BEB99"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924" w:type="dxa"/>
            <w:noWrap/>
            <w:tcMar>
              <w:top w:w="0" w:type="dxa"/>
              <w:left w:w="108" w:type="dxa"/>
              <w:bottom w:w="0" w:type="dxa"/>
              <w:right w:w="108" w:type="dxa"/>
            </w:tcMar>
            <w:vAlign w:val="bottom"/>
            <w:hideMark/>
          </w:tcPr>
          <w:p w14:paraId="665A2C6A"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2239" w:type="dxa"/>
            <w:noWrap/>
            <w:tcMar>
              <w:top w:w="0" w:type="dxa"/>
              <w:left w:w="108" w:type="dxa"/>
              <w:bottom w:w="0" w:type="dxa"/>
              <w:right w:w="108" w:type="dxa"/>
            </w:tcMar>
            <w:hideMark/>
          </w:tcPr>
          <w:p w14:paraId="2C66C490" w14:textId="77777777" w:rsidR="00D37D84" w:rsidRPr="00D37D84" w:rsidRDefault="00D37D84" w:rsidP="00D37D84">
            <w:pPr>
              <w:jc w:val="right"/>
              <w:rPr>
                <w:color w:val="000000"/>
                <w:sz w:val="16"/>
                <w:szCs w:val="16"/>
                <w:lang w:eastAsia="en-AU"/>
              </w:rPr>
            </w:pPr>
            <w:r w:rsidRPr="00D37D84">
              <w:rPr>
                <w:sz w:val="16"/>
              </w:rPr>
              <w:t xml:space="preserve"> $4,697.37 </w:t>
            </w:r>
          </w:p>
        </w:tc>
      </w:tr>
      <w:tr w:rsidR="00D37D84" w:rsidRPr="00E83ED2" w14:paraId="318DB1D4" w14:textId="77777777" w:rsidTr="00EE343C">
        <w:trPr>
          <w:trHeight w:val="309"/>
          <w:jc w:val="center"/>
        </w:trPr>
        <w:tc>
          <w:tcPr>
            <w:tcW w:w="890" w:type="dxa"/>
            <w:noWrap/>
            <w:tcMar>
              <w:top w:w="0" w:type="dxa"/>
              <w:left w:w="108" w:type="dxa"/>
              <w:bottom w:w="0" w:type="dxa"/>
              <w:right w:w="108" w:type="dxa"/>
            </w:tcMar>
            <w:vAlign w:val="bottom"/>
            <w:hideMark/>
          </w:tcPr>
          <w:p w14:paraId="06D16BEF"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1633" w:type="dxa"/>
            <w:noWrap/>
            <w:tcMar>
              <w:top w:w="0" w:type="dxa"/>
              <w:left w:w="108" w:type="dxa"/>
              <w:bottom w:w="0" w:type="dxa"/>
              <w:right w:w="108" w:type="dxa"/>
            </w:tcMar>
            <w:vAlign w:val="bottom"/>
            <w:hideMark/>
          </w:tcPr>
          <w:p w14:paraId="2B266E64"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1388" w:type="dxa"/>
            <w:noWrap/>
            <w:tcMar>
              <w:top w:w="0" w:type="dxa"/>
              <w:left w:w="108" w:type="dxa"/>
              <w:bottom w:w="0" w:type="dxa"/>
              <w:right w:w="108" w:type="dxa"/>
            </w:tcMar>
            <w:vAlign w:val="bottom"/>
            <w:hideMark/>
          </w:tcPr>
          <w:p w14:paraId="7C65BF80"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2233" w:type="dxa"/>
            <w:noWrap/>
            <w:tcMar>
              <w:top w:w="0" w:type="dxa"/>
              <w:left w:w="108" w:type="dxa"/>
              <w:bottom w:w="0" w:type="dxa"/>
              <w:right w:w="108" w:type="dxa"/>
            </w:tcMar>
            <w:vAlign w:val="bottom"/>
            <w:hideMark/>
          </w:tcPr>
          <w:p w14:paraId="66709526"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887" w:type="dxa"/>
            <w:noWrap/>
            <w:tcMar>
              <w:top w:w="0" w:type="dxa"/>
              <w:left w:w="108" w:type="dxa"/>
              <w:bottom w:w="0" w:type="dxa"/>
              <w:right w:w="108" w:type="dxa"/>
            </w:tcMar>
            <w:vAlign w:val="bottom"/>
            <w:hideMark/>
          </w:tcPr>
          <w:p w14:paraId="0816B231"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924" w:type="dxa"/>
            <w:noWrap/>
            <w:tcMar>
              <w:top w:w="0" w:type="dxa"/>
              <w:left w:w="108" w:type="dxa"/>
              <w:bottom w:w="0" w:type="dxa"/>
              <w:right w:w="108" w:type="dxa"/>
            </w:tcMar>
            <w:vAlign w:val="bottom"/>
            <w:hideMark/>
          </w:tcPr>
          <w:p w14:paraId="69BEBE0A" w14:textId="77777777" w:rsidR="00D37D84" w:rsidRPr="00E83ED2" w:rsidRDefault="00D37D84" w:rsidP="00D37D84">
            <w:pPr>
              <w:rPr>
                <w:color w:val="000000"/>
                <w:sz w:val="16"/>
                <w:szCs w:val="16"/>
                <w:lang w:eastAsia="en-AU"/>
              </w:rPr>
            </w:pPr>
            <w:r w:rsidRPr="00E83ED2">
              <w:rPr>
                <w:color w:val="000000"/>
                <w:sz w:val="16"/>
                <w:szCs w:val="16"/>
                <w:lang w:eastAsia="en-AU"/>
              </w:rPr>
              <w:t>total</w:t>
            </w:r>
          </w:p>
        </w:tc>
        <w:tc>
          <w:tcPr>
            <w:tcW w:w="2239" w:type="dxa"/>
            <w:noWrap/>
            <w:tcMar>
              <w:top w:w="0" w:type="dxa"/>
              <w:left w:w="108" w:type="dxa"/>
              <w:bottom w:w="0" w:type="dxa"/>
              <w:right w:w="108" w:type="dxa"/>
            </w:tcMar>
            <w:hideMark/>
          </w:tcPr>
          <w:p w14:paraId="558D8755" w14:textId="77777777" w:rsidR="00D37D84" w:rsidRPr="00D37D84" w:rsidRDefault="001575C1" w:rsidP="00D37D84">
            <w:pPr>
              <w:jc w:val="right"/>
              <w:rPr>
                <w:color w:val="000000"/>
                <w:sz w:val="16"/>
                <w:szCs w:val="16"/>
                <w:lang w:eastAsia="en-AU"/>
              </w:rPr>
            </w:pPr>
            <w:r>
              <w:rPr>
                <w:sz w:val="16"/>
              </w:rPr>
              <w:t xml:space="preserve"> $39,014</w:t>
            </w:r>
            <w:r w:rsidR="00D37D84" w:rsidRPr="00D37D84">
              <w:rPr>
                <w:sz w:val="16"/>
              </w:rPr>
              <w:t xml:space="preserve"> </w:t>
            </w:r>
          </w:p>
        </w:tc>
      </w:tr>
    </w:tbl>
    <w:p w14:paraId="6EC02601" w14:textId="77777777" w:rsidR="004A6F5F" w:rsidRDefault="004A6F5F">
      <w:pPr>
        <w:rPr>
          <w:b/>
          <w:bCs/>
          <w:color w:val="000000"/>
          <w:sz w:val="18"/>
          <w:szCs w:val="18"/>
          <w:lang w:eastAsia="en-AU"/>
        </w:rPr>
      </w:pPr>
      <w:r>
        <w:rPr>
          <w:b/>
          <w:bCs/>
          <w:color w:val="000000"/>
          <w:sz w:val="18"/>
          <w:szCs w:val="18"/>
          <w:lang w:eastAsia="en-AU"/>
        </w:rPr>
        <w:br w:type="page"/>
      </w:r>
    </w:p>
    <w:p w14:paraId="24087FCA" w14:textId="406FCD43" w:rsidR="001F3C27" w:rsidRPr="00E83ED2" w:rsidRDefault="00427306">
      <w:pPr>
        <w:rPr>
          <w:sz w:val="18"/>
          <w:szCs w:val="18"/>
        </w:rPr>
      </w:pPr>
      <w:r w:rsidRPr="00E83ED2">
        <w:rPr>
          <w:b/>
          <w:bCs/>
          <w:color w:val="000000"/>
          <w:sz w:val="18"/>
          <w:szCs w:val="18"/>
          <w:lang w:eastAsia="en-AU"/>
        </w:rPr>
        <w:t>Annual Compliance</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nnual Compliance"/>
      </w:tblPr>
      <w:tblGrid>
        <w:gridCol w:w="997"/>
        <w:gridCol w:w="1837"/>
        <w:gridCol w:w="1560"/>
        <w:gridCol w:w="2240"/>
        <w:gridCol w:w="996"/>
        <w:gridCol w:w="1035"/>
        <w:gridCol w:w="1423"/>
      </w:tblGrid>
      <w:tr w:rsidR="001F3C27" w:rsidRPr="00E83ED2" w14:paraId="4E189603" w14:textId="77777777" w:rsidTr="00EE343C">
        <w:trPr>
          <w:trHeight w:val="305"/>
          <w:tblHeader/>
          <w:jc w:val="center"/>
        </w:trPr>
        <w:tc>
          <w:tcPr>
            <w:tcW w:w="997" w:type="dxa"/>
            <w:vMerge w:val="restart"/>
            <w:noWrap/>
            <w:tcMar>
              <w:top w:w="0" w:type="dxa"/>
              <w:left w:w="108" w:type="dxa"/>
              <w:bottom w:w="0" w:type="dxa"/>
              <w:right w:w="108" w:type="dxa"/>
            </w:tcMar>
            <w:vAlign w:val="bottom"/>
            <w:hideMark/>
          </w:tcPr>
          <w:p w14:paraId="751B3E3F" w14:textId="77777777" w:rsidR="001F3C27" w:rsidRPr="00E83ED2" w:rsidRDefault="001F3C27">
            <w:pPr>
              <w:jc w:val="center"/>
              <w:rPr>
                <w:rFonts w:ascii="Calibri" w:hAnsi="Calibri" w:cs="Calibri"/>
                <w:color w:val="000000"/>
                <w:sz w:val="16"/>
                <w:szCs w:val="16"/>
                <w:lang w:eastAsia="en-AU"/>
              </w:rPr>
            </w:pPr>
            <w:r w:rsidRPr="00E83ED2">
              <w:rPr>
                <w:color w:val="000000"/>
                <w:sz w:val="16"/>
                <w:szCs w:val="16"/>
                <w:lang w:eastAsia="en-AU"/>
              </w:rPr>
              <w:t> </w:t>
            </w:r>
          </w:p>
        </w:tc>
        <w:tc>
          <w:tcPr>
            <w:tcW w:w="1837" w:type="dxa"/>
            <w:vMerge w:val="restart"/>
            <w:noWrap/>
            <w:tcMar>
              <w:top w:w="0" w:type="dxa"/>
              <w:left w:w="108" w:type="dxa"/>
              <w:bottom w:w="0" w:type="dxa"/>
              <w:right w:w="108" w:type="dxa"/>
            </w:tcMar>
            <w:vAlign w:val="bottom"/>
            <w:hideMark/>
          </w:tcPr>
          <w:p w14:paraId="312FFD3C" w14:textId="77777777" w:rsidR="001F3C27" w:rsidRPr="00E83ED2" w:rsidRDefault="001F3C27">
            <w:pPr>
              <w:jc w:val="center"/>
              <w:rPr>
                <w:color w:val="000000"/>
                <w:sz w:val="16"/>
                <w:szCs w:val="16"/>
                <w:lang w:eastAsia="en-AU"/>
              </w:rPr>
            </w:pPr>
            <w:r w:rsidRPr="00E83ED2">
              <w:rPr>
                <w:color w:val="000000"/>
                <w:sz w:val="16"/>
                <w:szCs w:val="16"/>
                <w:lang w:eastAsia="en-AU"/>
              </w:rPr>
              <w:t>Unrestricted</w:t>
            </w:r>
          </w:p>
        </w:tc>
        <w:tc>
          <w:tcPr>
            <w:tcW w:w="1560" w:type="dxa"/>
            <w:vMerge w:val="restart"/>
            <w:noWrap/>
            <w:tcMar>
              <w:top w:w="0" w:type="dxa"/>
              <w:left w:w="108" w:type="dxa"/>
              <w:bottom w:w="0" w:type="dxa"/>
              <w:right w:w="108" w:type="dxa"/>
            </w:tcMar>
            <w:vAlign w:val="bottom"/>
            <w:hideMark/>
          </w:tcPr>
          <w:p w14:paraId="1912B480" w14:textId="77777777" w:rsidR="001F3C27" w:rsidRPr="00E83ED2" w:rsidRDefault="001F3C27">
            <w:pPr>
              <w:jc w:val="center"/>
              <w:rPr>
                <w:color w:val="000000"/>
                <w:sz w:val="16"/>
                <w:szCs w:val="16"/>
                <w:lang w:eastAsia="en-AU"/>
              </w:rPr>
            </w:pPr>
            <w:r w:rsidRPr="00E83ED2">
              <w:rPr>
                <w:color w:val="000000"/>
                <w:sz w:val="16"/>
                <w:szCs w:val="16"/>
                <w:lang w:eastAsia="en-AU"/>
              </w:rPr>
              <w:t>Restricted</w:t>
            </w:r>
          </w:p>
        </w:tc>
        <w:tc>
          <w:tcPr>
            <w:tcW w:w="4271" w:type="dxa"/>
            <w:gridSpan w:val="3"/>
            <w:tcMar>
              <w:top w:w="0" w:type="dxa"/>
              <w:left w:w="108" w:type="dxa"/>
              <w:bottom w:w="0" w:type="dxa"/>
              <w:right w:w="108" w:type="dxa"/>
            </w:tcMar>
            <w:vAlign w:val="bottom"/>
            <w:hideMark/>
          </w:tcPr>
          <w:p w14:paraId="7DA353D6" w14:textId="77777777" w:rsidR="001F3C27" w:rsidRPr="00E83ED2" w:rsidRDefault="001F3C27">
            <w:pPr>
              <w:jc w:val="center"/>
              <w:rPr>
                <w:color w:val="000000"/>
                <w:sz w:val="16"/>
                <w:szCs w:val="16"/>
                <w:lang w:eastAsia="en-AU"/>
              </w:rPr>
            </w:pPr>
            <w:r w:rsidRPr="00E83ED2">
              <w:rPr>
                <w:color w:val="000000"/>
                <w:sz w:val="16"/>
                <w:szCs w:val="16"/>
                <w:lang w:eastAsia="en-AU"/>
              </w:rPr>
              <w:t>Mixed</w:t>
            </w:r>
          </w:p>
        </w:tc>
        <w:tc>
          <w:tcPr>
            <w:tcW w:w="1423" w:type="dxa"/>
            <w:vMerge w:val="restart"/>
            <w:noWrap/>
            <w:tcMar>
              <w:top w:w="0" w:type="dxa"/>
              <w:left w:w="108" w:type="dxa"/>
              <w:bottom w:w="0" w:type="dxa"/>
              <w:right w:w="108" w:type="dxa"/>
            </w:tcMar>
            <w:vAlign w:val="bottom"/>
            <w:hideMark/>
          </w:tcPr>
          <w:p w14:paraId="7DD42190" w14:textId="77777777" w:rsidR="001F3C27" w:rsidRPr="00E83ED2" w:rsidRDefault="001F3C27">
            <w:pPr>
              <w:jc w:val="center"/>
              <w:rPr>
                <w:color w:val="000000"/>
                <w:sz w:val="16"/>
                <w:szCs w:val="16"/>
                <w:lang w:eastAsia="en-AU"/>
              </w:rPr>
            </w:pPr>
            <w:r w:rsidRPr="00E83ED2">
              <w:rPr>
                <w:color w:val="000000"/>
                <w:sz w:val="16"/>
                <w:szCs w:val="16"/>
                <w:lang w:eastAsia="en-AU"/>
              </w:rPr>
              <w:t>total</w:t>
            </w:r>
          </w:p>
        </w:tc>
      </w:tr>
      <w:tr w:rsidR="001F3C27" w:rsidRPr="00E83ED2" w14:paraId="59FF313B" w14:textId="77777777" w:rsidTr="00EE343C">
        <w:trPr>
          <w:trHeight w:val="305"/>
          <w:jc w:val="center"/>
        </w:trPr>
        <w:tc>
          <w:tcPr>
            <w:tcW w:w="0" w:type="auto"/>
            <w:vMerge/>
            <w:vAlign w:val="center"/>
            <w:hideMark/>
          </w:tcPr>
          <w:p w14:paraId="203FBEF1" w14:textId="77777777" w:rsidR="001F3C27" w:rsidRPr="00E83ED2" w:rsidRDefault="001F3C27">
            <w:pPr>
              <w:rPr>
                <w:rFonts w:ascii="Calibri" w:hAnsi="Calibri" w:cs="Calibri"/>
                <w:color w:val="000000"/>
                <w:sz w:val="16"/>
                <w:szCs w:val="16"/>
                <w:lang w:eastAsia="en-AU"/>
              </w:rPr>
            </w:pPr>
          </w:p>
        </w:tc>
        <w:tc>
          <w:tcPr>
            <w:tcW w:w="0" w:type="auto"/>
            <w:vMerge/>
            <w:vAlign w:val="center"/>
            <w:hideMark/>
          </w:tcPr>
          <w:p w14:paraId="488CF2D3" w14:textId="77777777" w:rsidR="001F3C27" w:rsidRPr="00E83ED2" w:rsidRDefault="001F3C27">
            <w:pPr>
              <w:rPr>
                <w:rFonts w:ascii="Calibri" w:hAnsi="Calibri" w:cs="Calibri"/>
                <w:color w:val="000000"/>
                <w:sz w:val="16"/>
                <w:szCs w:val="16"/>
                <w:lang w:eastAsia="en-AU"/>
              </w:rPr>
            </w:pPr>
          </w:p>
        </w:tc>
        <w:tc>
          <w:tcPr>
            <w:tcW w:w="0" w:type="auto"/>
            <w:vMerge/>
            <w:vAlign w:val="center"/>
            <w:hideMark/>
          </w:tcPr>
          <w:p w14:paraId="624C693C" w14:textId="77777777" w:rsidR="001F3C27" w:rsidRPr="00E83ED2" w:rsidRDefault="001F3C27">
            <w:pPr>
              <w:rPr>
                <w:rFonts w:ascii="Calibri" w:hAnsi="Calibri" w:cs="Calibri"/>
                <w:color w:val="000000"/>
                <w:sz w:val="16"/>
                <w:szCs w:val="16"/>
                <w:lang w:eastAsia="en-AU"/>
              </w:rPr>
            </w:pPr>
          </w:p>
        </w:tc>
        <w:tc>
          <w:tcPr>
            <w:tcW w:w="2240" w:type="dxa"/>
            <w:noWrap/>
            <w:tcMar>
              <w:top w:w="0" w:type="dxa"/>
              <w:left w:w="108" w:type="dxa"/>
              <w:bottom w:w="0" w:type="dxa"/>
              <w:right w:w="108" w:type="dxa"/>
            </w:tcMar>
            <w:vAlign w:val="bottom"/>
            <w:hideMark/>
          </w:tcPr>
          <w:p w14:paraId="286E01CF" w14:textId="77777777" w:rsidR="001F3C27" w:rsidRPr="00E83ED2" w:rsidRDefault="0083444D">
            <w:pPr>
              <w:rPr>
                <w:color w:val="000000"/>
                <w:sz w:val="16"/>
                <w:szCs w:val="16"/>
                <w:lang w:eastAsia="en-AU"/>
              </w:rPr>
            </w:pPr>
            <w:r w:rsidRPr="00E83ED2">
              <w:rPr>
                <w:color w:val="000000"/>
                <w:sz w:val="16"/>
                <w:szCs w:val="16"/>
                <w:lang w:eastAsia="en-AU"/>
              </w:rPr>
              <w:t>P</w:t>
            </w:r>
            <w:r w:rsidR="001F3C27" w:rsidRPr="00E83ED2">
              <w:rPr>
                <w:color w:val="000000"/>
                <w:sz w:val="16"/>
                <w:szCs w:val="16"/>
                <w:lang w:eastAsia="en-AU"/>
              </w:rPr>
              <w:t>opulation</w:t>
            </w:r>
          </w:p>
        </w:tc>
        <w:tc>
          <w:tcPr>
            <w:tcW w:w="996" w:type="dxa"/>
            <w:noWrap/>
            <w:tcMar>
              <w:top w:w="0" w:type="dxa"/>
              <w:left w:w="108" w:type="dxa"/>
              <w:bottom w:w="0" w:type="dxa"/>
              <w:right w:w="108" w:type="dxa"/>
            </w:tcMar>
            <w:vAlign w:val="bottom"/>
            <w:hideMark/>
          </w:tcPr>
          <w:p w14:paraId="1F4821F7" w14:textId="77777777" w:rsidR="001F3C27" w:rsidRPr="00E83ED2" w:rsidRDefault="001F3C27">
            <w:pPr>
              <w:rPr>
                <w:color w:val="000000"/>
                <w:sz w:val="16"/>
                <w:szCs w:val="16"/>
                <w:lang w:eastAsia="en-AU"/>
              </w:rPr>
            </w:pPr>
            <w:r w:rsidRPr="00E83ED2">
              <w:rPr>
                <w:color w:val="000000"/>
                <w:sz w:val="16"/>
                <w:szCs w:val="16"/>
                <w:lang w:eastAsia="en-AU"/>
              </w:rPr>
              <w:t>time</w:t>
            </w:r>
          </w:p>
        </w:tc>
        <w:tc>
          <w:tcPr>
            <w:tcW w:w="1035" w:type="dxa"/>
            <w:noWrap/>
            <w:tcMar>
              <w:top w:w="0" w:type="dxa"/>
              <w:left w:w="108" w:type="dxa"/>
              <w:bottom w:w="0" w:type="dxa"/>
              <w:right w:w="108" w:type="dxa"/>
            </w:tcMar>
            <w:vAlign w:val="bottom"/>
            <w:hideMark/>
          </w:tcPr>
          <w:p w14:paraId="2D4BCA50" w14:textId="77777777" w:rsidR="001F3C27" w:rsidRPr="00E83ED2" w:rsidRDefault="001F3C27">
            <w:pPr>
              <w:rPr>
                <w:color w:val="000000"/>
                <w:sz w:val="16"/>
                <w:szCs w:val="16"/>
                <w:lang w:eastAsia="en-AU"/>
              </w:rPr>
            </w:pPr>
            <w:r w:rsidRPr="00E83ED2">
              <w:rPr>
                <w:color w:val="000000"/>
                <w:sz w:val="16"/>
                <w:szCs w:val="16"/>
                <w:lang w:eastAsia="en-AU"/>
              </w:rPr>
              <w:t>cost</w:t>
            </w:r>
          </w:p>
        </w:tc>
        <w:tc>
          <w:tcPr>
            <w:tcW w:w="1423" w:type="dxa"/>
            <w:vMerge/>
            <w:vAlign w:val="center"/>
            <w:hideMark/>
          </w:tcPr>
          <w:p w14:paraId="4F9D20C6" w14:textId="77777777" w:rsidR="001F3C27" w:rsidRPr="00E83ED2" w:rsidRDefault="001F3C27">
            <w:pPr>
              <w:rPr>
                <w:rFonts w:ascii="Calibri" w:hAnsi="Calibri" w:cs="Calibri"/>
                <w:color w:val="000000"/>
                <w:sz w:val="16"/>
                <w:szCs w:val="16"/>
                <w:lang w:eastAsia="en-AU"/>
              </w:rPr>
            </w:pPr>
          </w:p>
        </w:tc>
      </w:tr>
      <w:tr w:rsidR="00D37D84" w:rsidRPr="00E83ED2" w14:paraId="5B621476" w14:textId="77777777" w:rsidTr="007D6069">
        <w:trPr>
          <w:trHeight w:val="305"/>
          <w:jc w:val="center"/>
        </w:trPr>
        <w:tc>
          <w:tcPr>
            <w:tcW w:w="997" w:type="dxa"/>
            <w:noWrap/>
            <w:tcMar>
              <w:top w:w="0" w:type="dxa"/>
              <w:left w:w="108" w:type="dxa"/>
              <w:bottom w:w="0" w:type="dxa"/>
              <w:right w:w="108" w:type="dxa"/>
            </w:tcMar>
            <w:vAlign w:val="bottom"/>
            <w:hideMark/>
          </w:tcPr>
          <w:p w14:paraId="2E109474" w14:textId="77777777" w:rsidR="00D37D84" w:rsidRPr="00E83ED2" w:rsidRDefault="00D37D84" w:rsidP="00D37D84">
            <w:pPr>
              <w:rPr>
                <w:color w:val="000000"/>
                <w:sz w:val="16"/>
                <w:szCs w:val="16"/>
                <w:lang w:eastAsia="en-AU"/>
              </w:rPr>
            </w:pPr>
            <w:r w:rsidRPr="00E83ED2">
              <w:rPr>
                <w:color w:val="000000"/>
                <w:sz w:val="16"/>
                <w:szCs w:val="16"/>
                <w:lang w:eastAsia="en-AU"/>
              </w:rPr>
              <w:t>Year 1</w:t>
            </w:r>
          </w:p>
        </w:tc>
        <w:tc>
          <w:tcPr>
            <w:tcW w:w="1837" w:type="dxa"/>
            <w:noWrap/>
            <w:tcMar>
              <w:top w:w="0" w:type="dxa"/>
              <w:left w:w="108" w:type="dxa"/>
              <w:bottom w:w="0" w:type="dxa"/>
              <w:right w:w="108" w:type="dxa"/>
            </w:tcMar>
            <w:vAlign w:val="bottom"/>
            <w:hideMark/>
          </w:tcPr>
          <w:p w14:paraId="4D1BEED2"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43A5CF79"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4B151EFC" w14:textId="77777777" w:rsidR="00D37D84" w:rsidRPr="00E83ED2" w:rsidRDefault="00D37D84" w:rsidP="00D37D84">
            <w:pPr>
              <w:jc w:val="right"/>
              <w:rPr>
                <w:color w:val="000000"/>
                <w:sz w:val="16"/>
                <w:szCs w:val="16"/>
                <w:lang w:eastAsia="en-AU"/>
              </w:rPr>
            </w:pPr>
            <w:r w:rsidRPr="00D37D84">
              <w:rPr>
                <w:sz w:val="16"/>
              </w:rPr>
              <w:t>80</w:t>
            </w:r>
          </w:p>
        </w:tc>
        <w:tc>
          <w:tcPr>
            <w:tcW w:w="996" w:type="dxa"/>
            <w:noWrap/>
            <w:tcMar>
              <w:top w:w="0" w:type="dxa"/>
              <w:left w:w="108" w:type="dxa"/>
              <w:bottom w:w="0" w:type="dxa"/>
              <w:right w:w="108" w:type="dxa"/>
            </w:tcMar>
            <w:vAlign w:val="bottom"/>
            <w:hideMark/>
          </w:tcPr>
          <w:p w14:paraId="04529513"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6F2DA01D"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44646ACD" w14:textId="77777777" w:rsidR="00D37D84" w:rsidRPr="00E83ED2" w:rsidRDefault="00D37D84" w:rsidP="00D37D84">
            <w:pPr>
              <w:jc w:val="right"/>
              <w:rPr>
                <w:color w:val="000000"/>
                <w:sz w:val="16"/>
                <w:szCs w:val="16"/>
                <w:lang w:eastAsia="en-AU"/>
              </w:rPr>
            </w:pPr>
            <w:r w:rsidRPr="00D37D84">
              <w:rPr>
                <w:sz w:val="16"/>
              </w:rPr>
              <w:t xml:space="preserve"> $1,082.97 </w:t>
            </w:r>
          </w:p>
        </w:tc>
      </w:tr>
      <w:tr w:rsidR="00D37D84" w:rsidRPr="00E83ED2" w14:paraId="1866D656" w14:textId="77777777" w:rsidTr="007D6069">
        <w:trPr>
          <w:trHeight w:val="305"/>
          <w:jc w:val="center"/>
        </w:trPr>
        <w:tc>
          <w:tcPr>
            <w:tcW w:w="997" w:type="dxa"/>
            <w:noWrap/>
            <w:tcMar>
              <w:top w:w="0" w:type="dxa"/>
              <w:left w:w="108" w:type="dxa"/>
              <w:bottom w:w="0" w:type="dxa"/>
              <w:right w:w="108" w:type="dxa"/>
            </w:tcMar>
            <w:vAlign w:val="bottom"/>
            <w:hideMark/>
          </w:tcPr>
          <w:p w14:paraId="5CB7D279" w14:textId="77777777" w:rsidR="00D37D84" w:rsidRPr="00E83ED2" w:rsidRDefault="00D37D84" w:rsidP="00D37D84">
            <w:pPr>
              <w:rPr>
                <w:color w:val="000000"/>
                <w:sz w:val="16"/>
                <w:szCs w:val="16"/>
                <w:lang w:eastAsia="en-AU"/>
              </w:rPr>
            </w:pPr>
            <w:r w:rsidRPr="00E83ED2">
              <w:rPr>
                <w:color w:val="000000"/>
                <w:sz w:val="16"/>
                <w:szCs w:val="16"/>
                <w:lang w:eastAsia="en-AU"/>
              </w:rPr>
              <w:t>Year 2</w:t>
            </w:r>
          </w:p>
        </w:tc>
        <w:tc>
          <w:tcPr>
            <w:tcW w:w="1837" w:type="dxa"/>
            <w:noWrap/>
            <w:tcMar>
              <w:top w:w="0" w:type="dxa"/>
              <w:left w:w="108" w:type="dxa"/>
              <w:bottom w:w="0" w:type="dxa"/>
              <w:right w:w="108" w:type="dxa"/>
            </w:tcMar>
            <w:vAlign w:val="bottom"/>
            <w:hideMark/>
          </w:tcPr>
          <w:p w14:paraId="13126379"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437EC191"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70D4C2BF" w14:textId="77777777" w:rsidR="00D37D84" w:rsidRPr="00E83ED2" w:rsidRDefault="00D37D84" w:rsidP="00D37D84">
            <w:pPr>
              <w:jc w:val="right"/>
              <w:rPr>
                <w:color w:val="000000"/>
                <w:sz w:val="16"/>
                <w:szCs w:val="16"/>
                <w:lang w:eastAsia="en-AU"/>
              </w:rPr>
            </w:pPr>
            <w:r w:rsidRPr="00D37D84">
              <w:rPr>
                <w:sz w:val="16"/>
              </w:rPr>
              <w:t>160</w:t>
            </w:r>
          </w:p>
        </w:tc>
        <w:tc>
          <w:tcPr>
            <w:tcW w:w="996" w:type="dxa"/>
            <w:noWrap/>
            <w:tcMar>
              <w:top w:w="0" w:type="dxa"/>
              <w:left w:w="108" w:type="dxa"/>
              <w:bottom w:w="0" w:type="dxa"/>
              <w:right w:w="108" w:type="dxa"/>
            </w:tcMar>
            <w:vAlign w:val="bottom"/>
            <w:hideMark/>
          </w:tcPr>
          <w:p w14:paraId="2D4008E2"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0CA1845F"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2B5FE1D1" w14:textId="77777777" w:rsidR="00D37D84" w:rsidRPr="00E83ED2" w:rsidRDefault="00D37D84" w:rsidP="00D37D84">
            <w:pPr>
              <w:jc w:val="right"/>
              <w:rPr>
                <w:color w:val="000000"/>
                <w:sz w:val="16"/>
                <w:szCs w:val="16"/>
                <w:lang w:eastAsia="en-AU"/>
              </w:rPr>
            </w:pPr>
            <w:r w:rsidRPr="00D37D84">
              <w:rPr>
                <w:sz w:val="16"/>
              </w:rPr>
              <w:t xml:space="preserve"> $2,165.94 </w:t>
            </w:r>
          </w:p>
        </w:tc>
      </w:tr>
      <w:tr w:rsidR="00D37D84" w:rsidRPr="00E83ED2" w14:paraId="43D917D0" w14:textId="77777777" w:rsidTr="007D6069">
        <w:trPr>
          <w:trHeight w:val="305"/>
          <w:jc w:val="center"/>
        </w:trPr>
        <w:tc>
          <w:tcPr>
            <w:tcW w:w="997" w:type="dxa"/>
            <w:noWrap/>
            <w:tcMar>
              <w:top w:w="0" w:type="dxa"/>
              <w:left w:w="108" w:type="dxa"/>
              <w:bottom w:w="0" w:type="dxa"/>
              <w:right w:w="108" w:type="dxa"/>
            </w:tcMar>
            <w:vAlign w:val="bottom"/>
            <w:hideMark/>
          </w:tcPr>
          <w:p w14:paraId="3C3958B1" w14:textId="77777777" w:rsidR="00D37D84" w:rsidRPr="00E83ED2" w:rsidRDefault="00D37D84" w:rsidP="00D37D84">
            <w:pPr>
              <w:rPr>
                <w:color w:val="000000"/>
                <w:sz w:val="16"/>
                <w:szCs w:val="16"/>
                <w:lang w:eastAsia="en-AU"/>
              </w:rPr>
            </w:pPr>
            <w:r w:rsidRPr="00E83ED2">
              <w:rPr>
                <w:color w:val="000000"/>
                <w:sz w:val="16"/>
                <w:szCs w:val="16"/>
                <w:lang w:eastAsia="en-AU"/>
              </w:rPr>
              <w:t>Year 3</w:t>
            </w:r>
          </w:p>
        </w:tc>
        <w:tc>
          <w:tcPr>
            <w:tcW w:w="1837" w:type="dxa"/>
            <w:noWrap/>
            <w:tcMar>
              <w:top w:w="0" w:type="dxa"/>
              <w:left w:w="108" w:type="dxa"/>
              <w:bottom w:w="0" w:type="dxa"/>
              <w:right w:w="108" w:type="dxa"/>
            </w:tcMar>
            <w:vAlign w:val="bottom"/>
            <w:hideMark/>
          </w:tcPr>
          <w:p w14:paraId="7F0C41A8"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143FD58D"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6FF03E16" w14:textId="77777777" w:rsidR="00D37D84" w:rsidRPr="00E83ED2" w:rsidRDefault="00D37D84" w:rsidP="00D37D84">
            <w:pPr>
              <w:jc w:val="right"/>
              <w:rPr>
                <w:color w:val="000000"/>
                <w:sz w:val="16"/>
                <w:szCs w:val="16"/>
                <w:lang w:eastAsia="en-AU"/>
              </w:rPr>
            </w:pPr>
            <w:r w:rsidRPr="00D37D84">
              <w:rPr>
                <w:sz w:val="16"/>
              </w:rPr>
              <w:t>240</w:t>
            </w:r>
          </w:p>
        </w:tc>
        <w:tc>
          <w:tcPr>
            <w:tcW w:w="996" w:type="dxa"/>
            <w:noWrap/>
            <w:tcMar>
              <w:top w:w="0" w:type="dxa"/>
              <w:left w:w="108" w:type="dxa"/>
              <w:bottom w:w="0" w:type="dxa"/>
              <w:right w:w="108" w:type="dxa"/>
            </w:tcMar>
            <w:vAlign w:val="bottom"/>
            <w:hideMark/>
          </w:tcPr>
          <w:p w14:paraId="6E8AD736"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5F6F3152"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47C3F69F" w14:textId="77777777" w:rsidR="00D37D84" w:rsidRPr="00E83ED2" w:rsidRDefault="00D37D84" w:rsidP="00D37D84">
            <w:pPr>
              <w:jc w:val="right"/>
              <w:rPr>
                <w:color w:val="000000"/>
                <w:sz w:val="16"/>
                <w:szCs w:val="16"/>
                <w:lang w:eastAsia="en-AU"/>
              </w:rPr>
            </w:pPr>
            <w:r w:rsidRPr="00D37D84">
              <w:rPr>
                <w:sz w:val="16"/>
              </w:rPr>
              <w:t xml:space="preserve"> $3,248.90 </w:t>
            </w:r>
          </w:p>
        </w:tc>
      </w:tr>
      <w:tr w:rsidR="00D37D84" w:rsidRPr="00E83ED2" w14:paraId="6D055152" w14:textId="77777777" w:rsidTr="007D6069">
        <w:trPr>
          <w:trHeight w:val="305"/>
          <w:jc w:val="center"/>
        </w:trPr>
        <w:tc>
          <w:tcPr>
            <w:tcW w:w="997" w:type="dxa"/>
            <w:noWrap/>
            <w:tcMar>
              <w:top w:w="0" w:type="dxa"/>
              <w:left w:w="108" w:type="dxa"/>
              <w:bottom w:w="0" w:type="dxa"/>
              <w:right w:w="108" w:type="dxa"/>
            </w:tcMar>
            <w:vAlign w:val="bottom"/>
            <w:hideMark/>
          </w:tcPr>
          <w:p w14:paraId="7A736F89" w14:textId="77777777" w:rsidR="00D37D84" w:rsidRPr="00E83ED2" w:rsidRDefault="00D37D84" w:rsidP="00D37D84">
            <w:pPr>
              <w:rPr>
                <w:color w:val="000000"/>
                <w:sz w:val="16"/>
                <w:szCs w:val="16"/>
                <w:lang w:eastAsia="en-AU"/>
              </w:rPr>
            </w:pPr>
            <w:r w:rsidRPr="00E83ED2">
              <w:rPr>
                <w:color w:val="000000"/>
                <w:sz w:val="16"/>
                <w:szCs w:val="16"/>
                <w:lang w:eastAsia="en-AU"/>
              </w:rPr>
              <w:t>Year 4</w:t>
            </w:r>
          </w:p>
        </w:tc>
        <w:tc>
          <w:tcPr>
            <w:tcW w:w="1837" w:type="dxa"/>
            <w:noWrap/>
            <w:tcMar>
              <w:top w:w="0" w:type="dxa"/>
              <w:left w:w="108" w:type="dxa"/>
              <w:bottom w:w="0" w:type="dxa"/>
              <w:right w:w="108" w:type="dxa"/>
            </w:tcMar>
            <w:vAlign w:val="bottom"/>
            <w:hideMark/>
          </w:tcPr>
          <w:p w14:paraId="398AC6F7"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1BFFD6A9"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40DADE92" w14:textId="77777777" w:rsidR="00D37D84" w:rsidRPr="00E83ED2" w:rsidRDefault="00D37D84" w:rsidP="00D37D84">
            <w:pPr>
              <w:jc w:val="right"/>
              <w:rPr>
                <w:color w:val="000000"/>
                <w:sz w:val="16"/>
                <w:szCs w:val="16"/>
                <w:lang w:eastAsia="en-AU"/>
              </w:rPr>
            </w:pPr>
            <w:r w:rsidRPr="00D37D84">
              <w:rPr>
                <w:sz w:val="16"/>
              </w:rPr>
              <w:t>320</w:t>
            </w:r>
          </w:p>
        </w:tc>
        <w:tc>
          <w:tcPr>
            <w:tcW w:w="996" w:type="dxa"/>
            <w:noWrap/>
            <w:tcMar>
              <w:top w:w="0" w:type="dxa"/>
              <w:left w:w="108" w:type="dxa"/>
              <w:bottom w:w="0" w:type="dxa"/>
              <w:right w:w="108" w:type="dxa"/>
            </w:tcMar>
            <w:vAlign w:val="bottom"/>
            <w:hideMark/>
          </w:tcPr>
          <w:p w14:paraId="27996454"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42AAA376"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274DC182" w14:textId="77777777" w:rsidR="00D37D84" w:rsidRPr="00E83ED2" w:rsidRDefault="00D37D84" w:rsidP="00D37D84">
            <w:pPr>
              <w:jc w:val="right"/>
              <w:rPr>
                <w:color w:val="000000"/>
                <w:sz w:val="16"/>
                <w:szCs w:val="16"/>
                <w:lang w:eastAsia="en-AU"/>
              </w:rPr>
            </w:pPr>
            <w:r w:rsidRPr="00D37D84">
              <w:rPr>
                <w:sz w:val="16"/>
              </w:rPr>
              <w:t xml:space="preserve"> $4,331.87 </w:t>
            </w:r>
          </w:p>
        </w:tc>
      </w:tr>
      <w:tr w:rsidR="00D37D84" w:rsidRPr="00E83ED2" w14:paraId="687870C6" w14:textId="77777777" w:rsidTr="007D6069">
        <w:trPr>
          <w:trHeight w:val="305"/>
          <w:jc w:val="center"/>
        </w:trPr>
        <w:tc>
          <w:tcPr>
            <w:tcW w:w="997" w:type="dxa"/>
            <w:noWrap/>
            <w:tcMar>
              <w:top w:w="0" w:type="dxa"/>
              <w:left w:w="108" w:type="dxa"/>
              <w:bottom w:w="0" w:type="dxa"/>
              <w:right w:w="108" w:type="dxa"/>
            </w:tcMar>
            <w:vAlign w:val="bottom"/>
            <w:hideMark/>
          </w:tcPr>
          <w:p w14:paraId="000DA05E" w14:textId="77777777" w:rsidR="00D37D84" w:rsidRPr="00E83ED2" w:rsidRDefault="00D37D84" w:rsidP="00D37D84">
            <w:pPr>
              <w:rPr>
                <w:color w:val="000000"/>
                <w:sz w:val="16"/>
                <w:szCs w:val="16"/>
                <w:lang w:eastAsia="en-AU"/>
              </w:rPr>
            </w:pPr>
            <w:r w:rsidRPr="00E83ED2">
              <w:rPr>
                <w:color w:val="000000"/>
                <w:sz w:val="16"/>
                <w:szCs w:val="16"/>
                <w:lang w:eastAsia="en-AU"/>
              </w:rPr>
              <w:t>Year 5</w:t>
            </w:r>
          </w:p>
        </w:tc>
        <w:tc>
          <w:tcPr>
            <w:tcW w:w="1837" w:type="dxa"/>
            <w:noWrap/>
            <w:tcMar>
              <w:top w:w="0" w:type="dxa"/>
              <w:left w:w="108" w:type="dxa"/>
              <w:bottom w:w="0" w:type="dxa"/>
              <w:right w:w="108" w:type="dxa"/>
            </w:tcMar>
            <w:vAlign w:val="bottom"/>
            <w:hideMark/>
          </w:tcPr>
          <w:p w14:paraId="25CDE714"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6726B531"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530218DA"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12804D4C"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5F2217E0"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39FAE037"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E83ED2" w14:paraId="33333168" w14:textId="77777777" w:rsidTr="007D6069">
        <w:trPr>
          <w:trHeight w:val="305"/>
          <w:jc w:val="center"/>
        </w:trPr>
        <w:tc>
          <w:tcPr>
            <w:tcW w:w="997" w:type="dxa"/>
            <w:noWrap/>
            <w:tcMar>
              <w:top w:w="0" w:type="dxa"/>
              <w:left w:w="108" w:type="dxa"/>
              <w:bottom w:w="0" w:type="dxa"/>
              <w:right w:w="108" w:type="dxa"/>
            </w:tcMar>
            <w:vAlign w:val="bottom"/>
            <w:hideMark/>
          </w:tcPr>
          <w:p w14:paraId="6F8B511D" w14:textId="77777777" w:rsidR="00D37D84" w:rsidRPr="00E83ED2" w:rsidRDefault="00D37D84" w:rsidP="00D37D84">
            <w:pPr>
              <w:rPr>
                <w:color w:val="000000"/>
                <w:sz w:val="16"/>
                <w:szCs w:val="16"/>
                <w:lang w:eastAsia="en-AU"/>
              </w:rPr>
            </w:pPr>
            <w:r w:rsidRPr="00E83ED2">
              <w:rPr>
                <w:color w:val="000000"/>
                <w:sz w:val="16"/>
                <w:szCs w:val="16"/>
                <w:lang w:eastAsia="en-AU"/>
              </w:rPr>
              <w:t>Year 6</w:t>
            </w:r>
          </w:p>
        </w:tc>
        <w:tc>
          <w:tcPr>
            <w:tcW w:w="1837" w:type="dxa"/>
            <w:noWrap/>
            <w:tcMar>
              <w:top w:w="0" w:type="dxa"/>
              <w:left w:w="108" w:type="dxa"/>
              <w:bottom w:w="0" w:type="dxa"/>
              <w:right w:w="108" w:type="dxa"/>
            </w:tcMar>
            <w:vAlign w:val="bottom"/>
            <w:hideMark/>
          </w:tcPr>
          <w:p w14:paraId="4EB3C909"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62342FB7"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07176A55"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2856F31B"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2AB91D70"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1AAB283B"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E83ED2" w14:paraId="45693915" w14:textId="77777777" w:rsidTr="007D6069">
        <w:trPr>
          <w:trHeight w:val="305"/>
          <w:jc w:val="center"/>
        </w:trPr>
        <w:tc>
          <w:tcPr>
            <w:tcW w:w="997" w:type="dxa"/>
            <w:noWrap/>
            <w:tcMar>
              <w:top w:w="0" w:type="dxa"/>
              <w:left w:w="108" w:type="dxa"/>
              <w:bottom w:w="0" w:type="dxa"/>
              <w:right w:w="108" w:type="dxa"/>
            </w:tcMar>
            <w:vAlign w:val="bottom"/>
            <w:hideMark/>
          </w:tcPr>
          <w:p w14:paraId="4DFB31AE" w14:textId="77777777" w:rsidR="00D37D84" w:rsidRPr="00E83ED2" w:rsidRDefault="00D37D84" w:rsidP="00D37D84">
            <w:pPr>
              <w:rPr>
                <w:color w:val="000000"/>
                <w:sz w:val="16"/>
                <w:szCs w:val="16"/>
                <w:lang w:eastAsia="en-AU"/>
              </w:rPr>
            </w:pPr>
            <w:r w:rsidRPr="00E83ED2">
              <w:rPr>
                <w:color w:val="000000"/>
                <w:sz w:val="16"/>
                <w:szCs w:val="16"/>
                <w:lang w:eastAsia="en-AU"/>
              </w:rPr>
              <w:t>Year 7</w:t>
            </w:r>
          </w:p>
        </w:tc>
        <w:tc>
          <w:tcPr>
            <w:tcW w:w="1837" w:type="dxa"/>
            <w:noWrap/>
            <w:tcMar>
              <w:top w:w="0" w:type="dxa"/>
              <w:left w:w="108" w:type="dxa"/>
              <w:bottom w:w="0" w:type="dxa"/>
              <w:right w:w="108" w:type="dxa"/>
            </w:tcMar>
            <w:vAlign w:val="bottom"/>
            <w:hideMark/>
          </w:tcPr>
          <w:p w14:paraId="38ADC451"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7D5124AC"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2CF8E51A"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6379F1C8"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583D6F9B"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47EF6101"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E83ED2" w14:paraId="48C9490F" w14:textId="77777777" w:rsidTr="007D6069">
        <w:trPr>
          <w:trHeight w:val="305"/>
          <w:jc w:val="center"/>
        </w:trPr>
        <w:tc>
          <w:tcPr>
            <w:tcW w:w="997" w:type="dxa"/>
            <w:noWrap/>
            <w:tcMar>
              <w:top w:w="0" w:type="dxa"/>
              <w:left w:w="108" w:type="dxa"/>
              <w:bottom w:w="0" w:type="dxa"/>
              <w:right w:w="108" w:type="dxa"/>
            </w:tcMar>
            <w:vAlign w:val="bottom"/>
            <w:hideMark/>
          </w:tcPr>
          <w:p w14:paraId="70BFACAC" w14:textId="77777777" w:rsidR="00D37D84" w:rsidRPr="00E83ED2" w:rsidRDefault="00D37D84" w:rsidP="00D37D84">
            <w:pPr>
              <w:rPr>
                <w:color w:val="000000"/>
                <w:sz w:val="16"/>
                <w:szCs w:val="16"/>
                <w:lang w:eastAsia="en-AU"/>
              </w:rPr>
            </w:pPr>
            <w:r w:rsidRPr="00E83ED2">
              <w:rPr>
                <w:color w:val="000000"/>
                <w:sz w:val="16"/>
                <w:szCs w:val="16"/>
                <w:lang w:eastAsia="en-AU"/>
              </w:rPr>
              <w:t>Year 8</w:t>
            </w:r>
          </w:p>
        </w:tc>
        <w:tc>
          <w:tcPr>
            <w:tcW w:w="1837" w:type="dxa"/>
            <w:noWrap/>
            <w:tcMar>
              <w:top w:w="0" w:type="dxa"/>
              <w:left w:w="108" w:type="dxa"/>
              <w:bottom w:w="0" w:type="dxa"/>
              <w:right w:w="108" w:type="dxa"/>
            </w:tcMar>
            <w:vAlign w:val="bottom"/>
            <w:hideMark/>
          </w:tcPr>
          <w:p w14:paraId="04503EB8"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1582D29E"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56D6AC99"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04A84214"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45FB9A3C"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6058C6A3"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E83ED2" w14:paraId="061A9E41" w14:textId="77777777" w:rsidTr="007D6069">
        <w:trPr>
          <w:trHeight w:val="305"/>
          <w:jc w:val="center"/>
        </w:trPr>
        <w:tc>
          <w:tcPr>
            <w:tcW w:w="997" w:type="dxa"/>
            <w:noWrap/>
            <w:tcMar>
              <w:top w:w="0" w:type="dxa"/>
              <w:left w:w="108" w:type="dxa"/>
              <w:bottom w:w="0" w:type="dxa"/>
              <w:right w:w="108" w:type="dxa"/>
            </w:tcMar>
            <w:vAlign w:val="bottom"/>
            <w:hideMark/>
          </w:tcPr>
          <w:p w14:paraId="6D04A93A" w14:textId="77777777" w:rsidR="00D37D84" w:rsidRPr="00E83ED2" w:rsidRDefault="00D37D84" w:rsidP="00D37D84">
            <w:pPr>
              <w:rPr>
                <w:color w:val="000000"/>
                <w:sz w:val="16"/>
                <w:szCs w:val="16"/>
                <w:lang w:eastAsia="en-AU"/>
              </w:rPr>
            </w:pPr>
            <w:r w:rsidRPr="00E83ED2">
              <w:rPr>
                <w:color w:val="000000"/>
                <w:sz w:val="16"/>
                <w:szCs w:val="16"/>
                <w:lang w:eastAsia="en-AU"/>
              </w:rPr>
              <w:t>Year 9</w:t>
            </w:r>
          </w:p>
        </w:tc>
        <w:tc>
          <w:tcPr>
            <w:tcW w:w="1837" w:type="dxa"/>
            <w:noWrap/>
            <w:tcMar>
              <w:top w:w="0" w:type="dxa"/>
              <w:left w:w="108" w:type="dxa"/>
              <w:bottom w:w="0" w:type="dxa"/>
              <w:right w:w="108" w:type="dxa"/>
            </w:tcMar>
            <w:vAlign w:val="bottom"/>
            <w:hideMark/>
          </w:tcPr>
          <w:p w14:paraId="66DCFBAC"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46AFDB03"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6371E0A6"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22C422FD"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597EFFDA"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782A3405"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E83ED2" w14:paraId="221B5EFC" w14:textId="77777777" w:rsidTr="007D6069">
        <w:trPr>
          <w:trHeight w:val="305"/>
          <w:jc w:val="center"/>
        </w:trPr>
        <w:tc>
          <w:tcPr>
            <w:tcW w:w="997" w:type="dxa"/>
            <w:noWrap/>
            <w:tcMar>
              <w:top w:w="0" w:type="dxa"/>
              <w:left w:w="108" w:type="dxa"/>
              <w:bottom w:w="0" w:type="dxa"/>
              <w:right w:w="108" w:type="dxa"/>
            </w:tcMar>
            <w:vAlign w:val="bottom"/>
            <w:hideMark/>
          </w:tcPr>
          <w:p w14:paraId="4635CF99" w14:textId="77777777" w:rsidR="00D37D84" w:rsidRPr="00E83ED2" w:rsidRDefault="00D37D84" w:rsidP="00D37D84">
            <w:pPr>
              <w:rPr>
                <w:color w:val="000000"/>
                <w:sz w:val="16"/>
                <w:szCs w:val="16"/>
                <w:lang w:eastAsia="en-AU"/>
              </w:rPr>
            </w:pPr>
            <w:r w:rsidRPr="00E83ED2">
              <w:rPr>
                <w:color w:val="000000"/>
                <w:sz w:val="16"/>
                <w:szCs w:val="16"/>
                <w:lang w:eastAsia="en-AU"/>
              </w:rPr>
              <w:t>Year 10</w:t>
            </w:r>
          </w:p>
        </w:tc>
        <w:tc>
          <w:tcPr>
            <w:tcW w:w="1837" w:type="dxa"/>
            <w:noWrap/>
            <w:tcMar>
              <w:top w:w="0" w:type="dxa"/>
              <w:left w:w="108" w:type="dxa"/>
              <w:bottom w:w="0" w:type="dxa"/>
              <w:right w:w="108" w:type="dxa"/>
            </w:tcMar>
            <w:vAlign w:val="bottom"/>
            <w:hideMark/>
          </w:tcPr>
          <w:p w14:paraId="1969EBF6"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1560" w:type="dxa"/>
            <w:noWrap/>
            <w:tcMar>
              <w:top w:w="0" w:type="dxa"/>
              <w:left w:w="108" w:type="dxa"/>
              <w:bottom w:w="0" w:type="dxa"/>
              <w:right w:w="108" w:type="dxa"/>
            </w:tcMar>
            <w:vAlign w:val="bottom"/>
            <w:hideMark/>
          </w:tcPr>
          <w:p w14:paraId="0F8E0BDF" w14:textId="77777777" w:rsidR="00D37D84" w:rsidRPr="00E83ED2" w:rsidRDefault="00D37D84" w:rsidP="00D37D84">
            <w:pPr>
              <w:jc w:val="right"/>
              <w:rPr>
                <w:color w:val="000000"/>
                <w:sz w:val="16"/>
                <w:szCs w:val="16"/>
                <w:lang w:eastAsia="en-AU"/>
              </w:rPr>
            </w:pPr>
            <w:r w:rsidRPr="00E83ED2">
              <w:rPr>
                <w:color w:val="000000"/>
                <w:sz w:val="16"/>
                <w:szCs w:val="16"/>
                <w:lang w:eastAsia="en-AU"/>
              </w:rPr>
              <w:t>0</w:t>
            </w:r>
          </w:p>
        </w:tc>
        <w:tc>
          <w:tcPr>
            <w:tcW w:w="2240" w:type="dxa"/>
            <w:noWrap/>
            <w:tcMar>
              <w:top w:w="0" w:type="dxa"/>
              <w:left w:w="108" w:type="dxa"/>
              <w:bottom w:w="0" w:type="dxa"/>
              <w:right w:w="108" w:type="dxa"/>
            </w:tcMar>
            <w:hideMark/>
          </w:tcPr>
          <w:p w14:paraId="576A12C6" w14:textId="77777777" w:rsidR="00D37D84" w:rsidRPr="00E83ED2" w:rsidRDefault="00D37D84" w:rsidP="00D37D84">
            <w:pPr>
              <w:jc w:val="right"/>
              <w:rPr>
                <w:color w:val="000000"/>
                <w:sz w:val="16"/>
                <w:szCs w:val="16"/>
                <w:lang w:eastAsia="en-AU"/>
              </w:rPr>
            </w:pPr>
            <w:r w:rsidRPr="00D37D84">
              <w:rPr>
                <w:sz w:val="16"/>
              </w:rPr>
              <w:t>347</w:t>
            </w:r>
          </w:p>
        </w:tc>
        <w:tc>
          <w:tcPr>
            <w:tcW w:w="996" w:type="dxa"/>
            <w:noWrap/>
            <w:tcMar>
              <w:top w:w="0" w:type="dxa"/>
              <w:left w:w="108" w:type="dxa"/>
              <w:bottom w:w="0" w:type="dxa"/>
              <w:right w:w="108" w:type="dxa"/>
            </w:tcMar>
            <w:vAlign w:val="bottom"/>
            <w:hideMark/>
          </w:tcPr>
          <w:p w14:paraId="1B5F0894" w14:textId="77777777" w:rsidR="00D37D84" w:rsidRPr="00E83ED2" w:rsidRDefault="00D37D84" w:rsidP="00D37D84">
            <w:pPr>
              <w:jc w:val="right"/>
              <w:rPr>
                <w:color w:val="000000"/>
                <w:sz w:val="16"/>
                <w:szCs w:val="16"/>
                <w:lang w:eastAsia="en-AU"/>
              </w:rPr>
            </w:pPr>
            <w:r w:rsidRPr="00E83ED2">
              <w:rPr>
                <w:color w:val="000000"/>
                <w:sz w:val="16"/>
                <w:szCs w:val="16"/>
                <w:lang w:eastAsia="en-AU"/>
              </w:rPr>
              <w:t>0.17</w:t>
            </w:r>
          </w:p>
        </w:tc>
        <w:tc>
          <w:tcPr>
            <w:tcW w:w="1035" w:type="dxa"/>
            <w:noWrap/>
            <w:tcMar>
              <w:top w:w="0" w:type="dxa"/>
              <w:left w:w="108" w:type="dxa"/>
              <w:bottom w:w="0" w:type="dxa"/>
              <w:right w:w="108" w:type="dxa"/>
            </w:tcMar>
            <w:vAlign w:val="bottom"/>
            <w:hideMark/>
          </w:tcPr>
          <w:p w14:paraId="27D8D6A8" w14:textId="77777777" w:rsidR="00D37D84" w:rsidRPr="00E83ED2" w:rsidRDefault="00D37D84" w:rsidP="00D37D84">
            <w:pPr>
              <w:jc w:val="right"/>
              <w:rPr>
                <w:color w:val="000000"/>
                <w:sz w:val="16"/>
                <w:szCs w:val="16"/>
                <w:lang w:eastAsia="en-AU"/>
              </w:rPr>
            </w:pPr>
            <w:r w:rsidRPr="00E83ED2">
              <w:rPr>
                <w:color w:val="000000"/>
                <w:sz w:val="16"/>
                <w:szCs w:val="16"/>
                <w:lang w:eastAsia="en-AU"/>
              </w:rPr>
              <w:t>$79.63</w:t>
            </w:r>
          </w:p>
        </w:tc>
        <w:tc>
          <w:tcPr>
            <w:tcW w:w="1423" w:type="dxa"/>
            <w:noWrap/>
            <w:tcMar>
              <w:top w:w="0" w:type="dxa"/>
              <w:left w:w="108" w:type="dxa"/>
              <w:bottom w:w="0" w:type="dxa"/>
              <w:right w:w="108" w:type="dxa"/>
            </w:tcMar>
            <w:hideMark/>
          </w:tcPr>
          <w:p w14:paraId="44AFAA0C" w14:textId="77777777" w:rsidR="00D37D84" w:rsidRPr="00E83ED2" w:rsidRDefault="00D37D84" w:rsidP="00D37D84">
            <w:pPr>
              <w:jc w:val="right"/>
              <w:rPr>
                <w:color w:val="000000"/>
                <w:sz w:val="16"/>
                <w:szCs w:val="16"/>
                <w:lang w:eastAsia="en-AU"/>
              </w:rPr>
            </w:pPr>
            <w:r w:rsidRPr="00D37D84">
              <w:rPr>
                <w:sz w:val="16"/>
              </w:rPr>
              <w:t xml:space="preserve"> $4,697.37 </w:t>
            </w:r>
          </w:p>
        </w:tc>
      </w:tr>
      <w:tr w:rsidR="00D37D84" w:rsidRPr="00884F2C" w14:paraId="334AEB5E" w14:textId="77777777" w:rsidTr="007D6069">
        <w:trPr>
          <w:trHeight w:val="305"/>
          <w:jc w:val="center"/>
        </w:trPr>
        <w:tc>
          <w:tcPr>
            <w:tcW w:w="997" w:type="dxa"/>
            <w:noWrap/>
            <w:tcMar>
              <w:top w:w="0" w:type="dxa"/>
              <w:left w:w="108" w:type="dxa"/>
              <w:bottom w:w="0" w:type="dxa"/>
              <w:right w:w="108" w:type="dxa"/>
            </w:tcMar>
            <w:vAlign w:val="bottom"/>
            <w:hideMark/>
          </w:tcPr>
          <w:p w14:paraId="0F17AE1C"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1837" w:type="dxa"/>
            <w:noWrap/>
            <w:tcMar>
              <w:top w:w="0" w:type="dxa"/>
              <w:left w:w="108" w:type="dxa"/>
              <w:bottom w:w="0" w:type="dxa"/>
              <w:right w:w="108" w:type="dxa"/>
            </w:tcMar>
            <w:vAlign w:val="bottom"/>
            <w:hideMark/>
          </w:tcPr>
          <w:p w14:paraId="1A7F235E"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1560" w:type="dxa"/>
            <w:noWrap/>
            <w:tcMar>
              <w:top w:w="0" w:type="dxa"/>
              <w:left w:w="108" w:type="dxa"/>
              <w:bottom w:w="0" w:type="dxa"/>
              <w:right w:w="108" w:type="dxa"/>
            </w:tcMar>
            <w:vAlign w:val="bottom"/>
            <w:hideMark/>
          </w:tcPr>
          <w:p w14:paraId="1A7C93A9"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2240" w:type="dxa"/>
            <w:noWrap/>
            <w:tcMar>
              <w:top w:w="0" w:type="dxa"/>
              <w:left w:w="108" w:type="dxa"/>
              <w:bottom w:w="0" w:type="dxa"/>
              <w:right w:w="108" w:type="dxa"/>
            </w:tcMar>
            <w:vAlign w:val="bottom"/>
            <w:hideMark/>
          </w:tcPr>
          <w:p w14:paraId="38396AF3"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996" w:type="dxa"/>
            <w:noWrap/>
            <w:tcMar>
              <w:top w:w="0" w:type="dxa"/>
              <w:left w:w="108" w:type="dxa"/>
              <w:bottom w:w="0" w:type="dxa"/>
              <w:right w:w="108" w:type="dxa"/>
            </w:tcMar>
            <w:vAlign w:val="bottom"/>
            <w:hideMark/>
          </w:tcPr>
          <w:p w14:paraId="0DC8BABB" w14:textId="77777777" w:rsidR="00D37D84" w:rsidRPr="00E83ED2" w:rsidRDefault="00D37D84" w:rsidP="00D37D84">
            <w:pPr>
              <w:rPr>
                <w:color w:val="000000"/>
                <w:sz w:val="16"/>
                <w:szCs w:val="16"/>
                <w:lang w:eastAsia="en-AU"/>
              </w:rPr>
            </w:pPr>
            <w:r w:rsidRPr="00E83ED2">
              <w:rPr>
                <w:color w:val="000000"/>
                <w:sz w:val="16"/>
                <w:szCs w:val="16"/>
                <w:lang w:eastAsia="en-AU"/>
              </w:rPr>
              <w:t> </w:t>
            </w:r>
          </w:p>
        </w:tc>
        <w:tc>
          <w:tcPr>
            <w:tcW w:w="1035" w:type="dxa"/>
            <w:noWrap/>
            <w:tcMar>
              <w:top w:w="0" w:type="dxa"/>
              <w:left w:w="108" w:type="dxa"/>
              <w:bottom w:w="0" w:type="dxa"/>
              <w:right w:w="108" w:type="dxa"/>
            </w:tcMar>
            <w:vAlign w:val="bottom"/>
            <w:hideMark/>
          </w:tcPr>
          <w:p w14:paraId="68B0523A" w14:textId="77777777" w:rsidR="00D37D84" w:rsidRPr="00E83ED2" w:rsidRDefault="00D37D84" w:rsidP="00D37D84">
            <w:pPr>
              <w:rPr>
                <w:color w:val="000000"/>
                <w:sz w:val="16"/>
                <w:szCs w:val="16"/>
                <w:lang w:eastAsia="en-AU"/>
              </w:rPr>
            </w:pPr>
            <w:r w:rsidRPr="00E83ED2">
              <w:rPr>
                <w:color w:val="000000"/>
                <w:sz w:val="16"/>
                <w:szCs w:val="16"/>
                <w:lang w:eastAsia="en-AU"/>
              </w:rPr>
              <w:t>total</w:t>
            </w:r>
          </w:p>
        </w:tc>
        <w:tc>
          <w:tcPr>
            <w:tcW w:w="1423" w:type="dxa"/>
            <w:noWrap/>
            <w:tcMar>
              <w:top w:w="0" w:type="dxa"/>
              <w:left w:w="108" w:type="dxa"/>
              <w:bottom w:w="0" w:type="dxa"/>
              <w:right w:w="108" w:type="dxa"/>
            </w:tcMar>
            <w:hideMark/>
          </w:tcPr>
          <w:p w14:paraId="4F4F610C" w14:textId="77777777" w:rsidR="00D37D84" w:rsidRPr="00884F2C" w:rsidRDefault="001575C1" w:rsidP="00D37D84">
            <w:pPr>
              <w:jc w:val="right"/>
              <w:rPr>
                <w:color w:val="000000"/>
                <w:sz w:val="16"/>
                <w:szCs w:val="16"/>
                <w:lang w:eastAsia="en-AU"/>
              </w:rPr>
            </w:pPr>
            <w:r>
              <w:rPr>
                <w:sz w:val="16"/>
              </w:rPr>
              <w:t xml:space="preserve"> $39,014</w:t>
            </w:r>
          </w:p>
        </w:tc>
      </w:tr>
    </w:tbl>
    <w:p w14:paraId="5C343F1A" w14:textId="52AF73BB" w:rsidR="000F50E0" w:rsidRDefault="0090500F" w:rsidP="00060B11">
      <w:pPr>
        <w:spacing w:before="240"/>
      </w:pPr>
      <w:r>
        <w:t xml:space="preserve">It is assumed </w:t>
      </w:r>
      <w:r w:rsidR="00060B11">
        <w:t xml:space="preserve">that </w:t>
      </w:r>
      <w:r>
        <w:t>a further</w:t>
      </w:r>
      <w:r w:rsidR="00060B11">
        <w:t xml:space="preserve"> 53 merchants will gradually move onto PLB over 5 years. </w:t>
      </w:r>
      <w:r w:rsidR="00060B11" w:rsidRPr="005F26DA">
        <w:t xml:space="preserve">There are no application costs as merchants are engaged with by the </w:t>
      </w:r>
      <w:r w:rsidR="007E6BCB">
        <w:t>D</w:t>
      </w:r>
      <w:r w:rsidR="00060B11" w:rsidRPr="005F26DA">
        <w:t xml:space="preserve">epartment to implement PLB. It is assumed that ongoing maintenance and compliance takes </w:t>
      </w:r>
      <w:r w:rsidR="009064C1">
        <w:t>around 10 minutes per merchant.</w:t>
      </w:r>
    </w:p>
    <w:p w14:paraId="5B65ACFF" w14:textId="77777777" w:rsidR="00407B7F" w:rsidRDefault="00060B11" w:rsidP="00060B11">
      <w:pPr>
        <w:spacing w:before="240"/>
        <w:rPr>
          <w:b/>
        </w:rPr>
      </w:pPr>
      <w:r w:rsidRPr="00AF2E10">
        <w:rPr>
          <w:b/>
        </w:rPr>
        <w:t>IM merchant costs</w:t>
      </w:r>
    </w:p>
    <w:p w14:paraId="66AAA9B2" w14:textId="77777777" w:rsidR="00463E93" w:rsidRDefault="00C04F36" w:rsidP="00060B11">
      <w:pPr>
        <w:spacing w:before="240"/>
        <w:rPr>
          <w:rFonts w:ascii="Calibri" w:eastAsia="Calibri" w:hAnsi="Calibri" w:cs="Times New Roman"/>
          <w:color w:val="262626"/>
        </w:rPr>
      </w:pPr>
      <w:r>
        <w:rPr>
          <w:rFonts w:ascii="Calibri" w:eastAsia="Calibri" w:hAnsi="Calibri" w:cs="Times New Roman"/>
          <w:color w:val="262626"/>
        </w:rPr>
        <w:t xml:space="preserve">There are approximately 18,000 IM merchants. Many of these merchants are large to medium corporate entities which allows </w:t>
      </w:r>
      <w:r w:rsidRPr="00E83ED2">
        <w:rPr>
          <w:rFonts w:ascii="Calibri" w:eastAsia="Calibri" w:hAnsi="Calibri" w:cs="Times New Roman"/>
          <w:color w:val="262626"/>
        </w:rPr>
        <w:t>for</w:t>
      </w:r>
      <w:r w:rsidR="0059082A" w:rsidRPr="00E83ED2">
        <w:rPr>
          <w:rFonts w:ascii="Calibri" w:eastAsia="Calibri" w:hAnsi="Calibri" w:cs="Times New Roman"/>
          <w:color w:val="262626"/>
        </w:rPr>
        <w:t xml:space="preserve"> a</w:t>
      </w:r>
      <w:r w:rsidRPr="00E83ED2">
        <w:rPr>
          <w:rFonts w:ascii="Calibri" w:eastAsia="Calibri" w:hAnsi="Calibri" w:cs="Times New Roman"/>
          <w:color w:val="262626"/>
        </w:rPr>
        <w:t xml:space="preserve"> broad number of business to accept the card. To </w:t>
      </w:r>
      <w:r w:rsidR="00D07B1A" w:rsidRPr="00E83ED2">
        <w:rPr>
          <w:rFonts w:ascii="Calibri" w:eastAsia="Calibri" w:hAnsi="Calibri" w:cs="Times New Roman"/>
          <w:color w:val="262626"/>
        </w:rPr>
        <w:t xml:space="preserve">be a merchant requires about 0.5 hours </w:t>
      </w:r>
      <w:r w:rsidRPr="00E83ED2">
        <w:rPr>
          <w:rFonts w:ascii="Calibri" w:eastAsia="Calibri" w:hAnsi="Calibri" w:cs="Times New Roman"/>
          <w:color w:val="262626"/>
        </w:rPr>
        <w:t xml:space="preserve">to complete </w:t>
      </w:r>
      <w:r w:rsidR="00172800" w:rsidRPr="00E83ED2">
        <w:rPr>
          <w:rFonts w:ascii="Calibri" w:eastAsia="Calibri" w:hAnsi="Calibri" w:cs="Times New Roman"/>
          <w:color w:val="262626"/>
        </w:rPr>
        <w:t xml:space="preserve">an </w:t>
      </w:r>
      <w:r w:rsidRPr="00E83ED2">
        <w:rPr>
          <w:rFonts w:ascii="Calibri" w:eastAsia="Calibri" w:hAnsi="Calibri" w:cs="Times New Roman"/>
          <w:color w:val="262626"/>
        </w:rPr>
        <w:t>application</w:t>
      </w:r>
      <w:r w:rsidR="00E331AC" w:rsidRPr="00E83ED2">
        <w:rPr>
          <w:rFonts w:ascii="Calibri" w:eastAsia="Calibri" w:hAnsi="Calibri" w:cs="Times New Roman"/>
          <w:color w:val="262626"/>
        </w:rPr>
        <w:t>, including signing the agreement</w:t>
      </w:r>
      <w:r w:rsidRPr="00E83ED2">
        <w:rPr>
          <w:rFonts w:ascii="Calibri" w:eastAsia="Calibri" w:hAnsi="Calibri" w:cs="Times New Roman"/>
          <w:color w:val="262626"/>
        </w:rPr>
        <w:t xml:space="preserve"> and </w:t>
      </w:r>
      <w:r w:rsidR="00172800" w:rsidRPr="00E83ED2">
        <w:rPr>
          <w:rFonts w:ascii="Calibri" w:eastAsia="Calibri" w:hAnsi="Calibri" w:cs="Times New Roman"/>
          <w:color w:val="262626"/>
        </w:rPr>
        <w:t xml:space="preserve">1 hour </w:t>
      </w:r>
      <w:r w:rsidRPr="00E83ED2">
        <w:rPr>
          <w:rFonts w:ascii="Calibri" w:eastAsia="Calibri" w:hAnsi="Calibri" w:cs="Times New Roman"/>
          <w:color w:val="262626"/>
        </w:rPr>
        <w:t>in</w:t>
      </w:r>
      <w:r>
        <w:rPr>
          <w:rFonts w:ascii="Calibri" w:eastAsia="Calibri" w:hAnsi="Calibri" w:cs="Times New Roman"/>
          <w:color w:val="262626"/>
        </w:rPr>
        <w:t xml:space="preserve"> set up time</w:t>
      </w:r>
      <w:r w:rsidR="00D07B1A">
        <w:rPr>
          <w:rFonts w:ascii="Calibri" w:eastAsia="Calibri" w:hAnsi="Calibri" w:cs="Times New Roman"/>
          <w:color w:val="262626"/>
        </w:rPr>
        <w:t xml:space="preserve"> for 10 new merchants per year. There is also 0.25 hour in ongoing training </w:t>
      </w:r>
      <w:r w:rsidR="00172800">
        <w:rPr>
          <w:rFonts w:ascii="Calibri" w:eastAsia="Calibri" w:hAnsi="Calibri" w:cs="Times New Roman"/>
          <w:color w:val="262626"/>
        </w:rPr>
        <w:t xml:space="preserve">and </w:t>
      </w:r>
      <w:r>
        <w:rPr>
          <w:rFonts w:ascii="Calibri" w:eastAsia="Calibri" w:hAnsi="Calibri" w:cs="Times New Roman"/>
          <w:color w:val="262626"/>
        </w:rPr>
        <w:t>1</w:t>
      </w:r>
      <w:r w:rsidR="00FD2793">
        <w:rPr>
          <w:rFonts w:ascii="Calibri" w:eastAsia="Calibri" w:hAnsi="Calibri" w:cs="Times New Roman"/>
          <w:color w:val="262626"/>
        </w:rPr>
        <w:t xml:space="preserve"> hour of compliance per year.</w:t>
      </w:r>
    </w:p>
    <w:p w14:paraId="3C3D038E" w14:textId="5DDB408D" w:rsidR="00463E93" w:rsidRDefault="00463E93" w:rsidP="00060B11">
      <w:pPr>
        <w:spacing w:before="240"/>
        <w:rPr>
          <w:rFonts w:ascii="Calibri" w:eastAsia="Calibri" w:hAnsi="Calibri" w:cs="Times New Roman"/>
          <w:color w:val="262626"/>
        </w:rPr>
      </w:pPr>
      <w:r>
        <w:rPr>
          <w:rFonts w:ascii="Calibri" w:eastAsia="Calibri" w:hAnsi="Calibri" w:cs="Times New Roman"/>
          <w:color w:val="262626"/>
        </w:rPr>
        <w:t xml:space="preserve">There is a regulatory total cost </w:t>
      </w:r>
      <w:r w:rsidRPr="00254CCC">
        <w:rPr>
          <w:rFonts w:ascii="Calibri" w:eastAsia="Calibri" w:hAnsi="Calibri" w:cs="Times New Roman"/>
          <w:color w:val="262626"/>
        </w:rPr>
        <w:t>of $</w:t>
      </w:r>
      <w:r w:rsidR="00676B4A" w:rsidRPr="00254CCC">
        <w:rPr>
          <w:rFonts w:ascii="Calibri" w:eastAsia="Calibri" w:hAnsi="Calibri" w:cs="Times New Roman"/>
          <w:color w:val="262626"/>
        </w:rPr>
        <w:t>18,015,163</w:t>
      </w:r>
      <w:r w:rsidRPr="00676B4A">
        <w:rPr>
          <w:rFonts w:ascii="Calibri" w:eastAsia="Calibri" w:hAnsi="Calibri" w:cs="Times New Roman"/>
          <w:color w:val="262626"/>
        </w:rPr>
        <w:t xml:space="preserve"> over 10</w:t>
      </w:r>
      <w:r w:rsidR="009064C1">
        <w:rPr>
          <w:rFonts w:ascii="Calibri" w:eastAsia="Calibri" w:hAnsi="Calibri" w:cs="Times New Roman"/>
          <w:color w:val="262626"/>
        </w:rPr>
        <w:t xml:space="preserve"> years for IM merchants.</w:t>
      </w:r>
    </w:p>
    <w:tbl>
      <w:tblPr>
        <w:tblStyle w:val="TableGrid1"/>
        <w:tblpPr w:leftFromText="180" w:rightFromText="180" w:vertAnchor="text" w:horzAnchor="margin" w:tblpXSpec="center" w:tblpY="61"/>
        <w:tblW w:w="11619" w:type="dxa"/>
        <w:tblLayout w:type="fixed"/>
        <w:tblLook w:val="04A0" w:firstRow="1" w:lastRow="0" w:firstColumn="1" w:lastColumn="0" w:noHBand="0" w:noVBand="1"/>
        <w:tblDescription w:val="IM merchant costs"/>
      </w:tblPr>
      <w:tblGrid>
        <w:gridCol w:w="988"/>
        <w:gridCol w:w="992"/>
        <w:gridCol w:w="992"/>
        <w:gridCol w:w="992"/>
        <w:gridCol w:w="993"/>
        <w:gridCol w:w="992"/>
        <w:gridCol w:w="992"/>
        <w:gridCol w:w="992"/>
        <w:gridCol w:w="899"/>
        <w:gridCol w:w="898"/>
        <w:gridCol w:w="899"/>
        <w:gridCol w:w="990"/>
      </w:tblGrid>
      <w:tr w:rsidR="00EB7496" w:rsidRPr="001C1778" w:rsidDel="00684813" w14:paraId="4A84ED0C" w14:textId="77777777" w:rsidTr="0010383A">
        <w:trPr>
          <w:trHeight w:val="911"/>
          <w:tblHeader/>
        </w:trPr>
        <w:tc>
          <w:tcPr>
            <w:tcW w:w="988" w:type="dxa"/>
            <w:vAlign w:val="center"/>
          </w:tcPr>
          <w:p w14:paraId="0BBE3C06" w14:textId="77777777" w:rsidR="00EB7496" w:rsidRPr="001C1778" w:rsidDel="00684813" w:rsidRDefault="00EB7496" w:rsidP="00C411B7">
            <w:pPr>
              <w:rPr>
                <w:rFonts w:ascii="Calibri" w:eastAsia="Calibri" w:hAnsi="Calibri" w:cs="Times New Roman"/>
                <w:b/>
                <w:sz w:val="16"/>
                <w:szCs w:val="16"/>
              </w:rPr>
            </w:pPr>
            <w:r w:rsidRPr="001C1778">
              <w:rPr>
                <w:rFonts w:ascii="Calibri" w:eastAsia="Calibri" w:hAnsi="Calibri" w:cs="Times New Roman"/>
                <w:b/>
                <w:sz w:val="16"/>
                <w:szCs w:val="16"/>
              </w:rPr>
              <w:t xml:space="preserve">Cost to merchants </w:t>
            </w:r>
          </w:p>
        </w:tc>
        <w:tc>
          <w:tcPr>
            <w:tcW w:w="992" w:type="dxa"/>
            <w:vAlign w:val="center"/>
          </w:tcPr>
          <w:p w14:paraId="1C117910"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Y1</w:t>
            </w:r>
          </w:p>
        </w:tc>
        <w:tc>
          <w:tcPr>
            <w:tcW w:w="992" w:type="dxa"/>
            <w:vAlign w:val="center"/>
          </w:tcPr>
          <w:p w14:paraId="655E2E35"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Y2</w:t>
            </w:r>
          </w:p>
        </w:tc>
        <w:tc>
          <w:tcPr>
            <w:tcW w:w="992" w:type="dxa"/>
            <w:vAlign w:val="center"/>
          </w:tcPr>
          <w:p w14:paraId="691F8776"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Y3</w:t>
            </w:r>
          </w:p>
        </w:tc>
        <w:tc>
          <w:tcPr>
            <w:tcW w:w="993" w:type="dxa"/>
            <w:vAlign w:val="center"/>
          </w:tcPr>
          <w:p w14:paraId="799C9C65"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Y4</w:t>
            </w:r>
          </w:p>
        </w:tc>
        <w:tc>
          <w:tcPr>
            <w:tcW w:w="992" w:type="dxa"/>
            <w:vAlign w:val="center"/>
          </w:tcPr>
          <w:p w14:paraId="0828C96D"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Y5</w:t>
            </w:r>
          </w:p>
        </w:tc>
        <w:tc>
          <w:tcPr>
            <w:tcW w:w="992" w:type="dxa"/>
            <w:vAlign w:val="center"/>
          </w:tcPr>
          <w:p w14:paraId="1FC42275"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Y6</w:t>
            </w:r>
          </w:p>
        </w:tc>
        <w:tc>
          <w:tcPr>
            <w:tcW w:w="992" w:type="dxa"/>
            <w:vAlign w:val="center"/>
          </w:tcPr>
          <w:p w14:paraId="426A9D66"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Y7</w:t>
            </w:r>
          </w:p>
        </w:tc>
        <w:tc>
          <w:tcPr>
            <w:tcW w:w="899" w:type="dxa"/>
            <w:vAlign w:val="center"/>
          </w:tcPr>
          <w:p w14:paraId="0F25230E"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Y8</w:t>
            </w:r>
          </w:p>
        </w:tc>
        <w:tc>
          <w:tcPr>
            <w:tcW w:w="898" w:type="dxa"/>
            <w:vAlign w:val="center"/>
          </w:tcPr>
          <w:p w14:paraId="1EBE9120"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Y9</w:t>
            </w:r>
          </w:p>
        </w:tc>
        <w:tc>
          <w:tcPr>
            <w:tcW w:w="899" w:type="dxa"/>
            <w:vAlign w:val="center"/>
          </w:tcPr>
          <w:p w14:paraId="0FD24594" w14:textId="77777777" w:rsidR="00EB7496" w:rsidRPr="001C1778" w:rsidDel="00684813"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Y10</w:t>
            </w:r>
          </w:p>
        </w:tc>
        <w:tc>
          <w:tcPr>
            <w:tcW w:w="990" w:type="dxa"/>
            <w:vAlign w:val="center"/>
          </w:tcPr>
          <w:p w14:paraId="10C40726" w14:textId="77777777" w:rsidR="00EB7496" w:rsidRPr="001C1778" w:rsidRDefault="00EB7496" w:rsidP="00C411B7">
            <w:pPr>
              <w:jc w:val="center"/>
              <w:rPr>
                <w:rFonts w:ascii="Calibri" w:eastAsia="Calibri" w:hAnsi="Calibri" w:cs="Times New Roman"/>
                <w:b/>
                <w:sz w:val="16"/>
                <w:szCs w:val="16"/>
              </w:rPr>
            </w:pPr>
            <w:r w:rsidRPr="001C1778" w:rsidDel="00684813">
              <w:rPr>
                <w:rFonts w:ascii="Calibri" w:eastAsia="Calibri" w:hAnsi="Calibri" w:cs="Times New Roman"/>
                <w:b/>
                <w:sz w:val="16"/>
                <w:szCs w:val="16"/>
              </w:rPr>
              <w:t>TOTAL</w:t>
            </w:r>
          </w:p>
          <w:p w14:paraId="4B53021D" w14:textId="77777777" w:rsidR="00EB7496" w:rsidRPr="001C1778" w:rsidDel="00684813" w:rsidRDefault="00EB7496" w:rsidP="00C411B7">
            <w:pPr>
              <w:jc w:val="center"/>
              <w:rPr>
                <w:rFonts w:ascii="Calibri" w:eastAsia="Calibri" w:hAnsi="Calibri" w:cs="Times New Roman"/>
                <w:b/>
                <w:sz w:val="16"/>
                <w:szCs w:val="16"/>
              </w:rPr>
            </w:pPr>
            <w:r w:rsidRPr="001C1778">
              <w:rPr>
                <w:rFonts w:ascii="Calibri" w:eastAsia="Calibri" w:hAnsi="Calibri" w:cs="Times New Roman"/>
                <w:b/>
                <w:sz w:val="16"/>
                <w:szCs w:val="16"/>
              </w:rPr>
              <w:t>($</w:t>
            </w:r>
            <w:r w:rsidRPr="001C1778" w:rsidDel="00684813">
              <w:rPr>
                <w:rFonts w:ascii="Calibri" w:eastAsia="Calibri" w:hAnsi="Calibri" w:cs="Times New Roman"/>
                <w:b/>
                <w:sz w:val="16"/>
                <w:szCs w:val="16"/>
              </w:rPr>
              <w:t>)</w:t>
            </w:r>
          </w:p>
        </w:tc>
      </w:tr>
      <w:tr w:rsidR="00EB7496" w:rsidRPr="001C1778" w:rsidDel="00684813" w14:paraId="41AB810B" w14:textId="77777777" w:rsidTr="0010383A">
        <w:trPr>
          <w:trHeight w:val="911"/>
          <w:tblHeader/>
        </w:trPr>
        <w:tc>
          <w:tcPr>
            <w:tcW w:w="988" w:type="dxa"/>
            <w:vAlign w:val="center"/>
          </w:tcPr>
          <w:p w14:paraId="6886CF61" w14:textId="77777777" w:rsidR="00EB7496" w:rsidRPr="001C1778" w:rsidDel="00684813" w:rsidRDefault="00EB7496" w:rsidP="00C411B7">
            <w:pPr>
              <w:rPr>
                <w:rFonts w:ascii="Calibri" w:eastAsia="Calibri" w:hAnsi="Calibri" w:cs="Times New Roman"/>
                <w:b/>
                <w:sz w:val="16"/>
                <w:szCs w:val="16"/>
              </w:rPr>
            </w:pPr>
            <w:r w:rsidRPr="001C1778">
              <w:rPr>
                <w:rFonts w:ascii="Calibri" w:eastAsia="Calibri" w:hAnsi="Calibri" w:cs="Times New Roman"/>
                <w:b/>
                <w:sz w:val="16"/>
                <w:szCs w:val="16"/>
              </w:rPr>
              <w:t>One off cost for new merchants</w:t>
            </w:r>
          </w:p>
        </w:tc>
        <w:tc>
          <w:tcPr>
            <w:tcW w:w="992" w:type="dxa"/>
            <w:vAlign w:val="center"/>
          </w:tcPr>
          <w:p w14:paraId="16CEBD45"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 xml:space="preserve">$1,194 </w:t>
            </w:r>
          </w:p>
        </w:tc>
        <w:tc>
          <w:tcPr>
            <w:tcW w:w="992" w:type="dxa"/>
            <w:vAlign w:val="center"/>
          </w:tcPr>
          <w:p w14:paraId="143FAB4E"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 xml:space="preserve">$1,194 </w:t>
            </w:r>
          </w:p>
        </w:tc>
        <w:tc>
          <w:tcPr>
            <w:tcW w:w="992" w:type="dxa"/>
            <w:vAlign w:val="center"/>
          </w:tcPr>
          <w:p w14:paraId="699B7B64"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993" w:type="dxa"/>
            <w:vAlign w:val="center"/>
          </w:tcPr>
          <w:p w14:paraId="0CD9A40B"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992" w:type="dxa"/>
            <w:vAlign w:val="center"/>
          </w:tcPr>
          <w:p w14:paraId="1476DF03"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992" w:type="dxa"/>
            <w:vAlign w:val="center"/>
          </w:tcPr>
          <w:p w14:paraId="2F564597"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992" w:type="dxa"/>
            <w:vAlign w:val="center"/>
          </w:tcPr>
          <w:p w14:paraId="1BB880FB"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899" w:type="dxa"/>
            <w:vAlign w:val="center"/>
          </w:tcPr>
          <w:p w14:paraId="1038EFD5"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898" w:type="dxa"/>
            <w:vAlign w:val="center"/>
          </w:tcPr>
          <w:p w14:paraId="73557F44"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899" w:type="dxa"/>
            <w:vAlign w:val="center"/>
          </w:tcPr>
          <w:p w14:paraId="32003915" w14:textId="77777777" w:rsidR="00EB7496" w:rsidRPr="0010383A" w:rsidDel="00684813" w:rsidRDefault="00EB7496" w:rsidP="00C411B7">
            <w:pPr>
              <w:jc w:val="right"/>
              <w:rPr>
                <w:rFonts w:ascii="Calibri" w:hAnsi="Calibri" w:cs="Calibri"/>
                <w:bCs/>
                <w:sz w:val="14"/>
                <w:szCs w:val="14"/>
              </w:rPr>
            </w:pPr>
            <w:r w:rsidRPr="0010383A">
              <w:rPr>
                <w:color w:val="000000"/>
                <w:sz w:val="14"/>
                <w:szCs w:val="14"/>
                <w:lang w:eastAsia="en-AU"/>
              </w:rPr>
              <w:t>$1,194</w:t>
            </w:r>
          </w:p>
        </w:tc>
        <w:tc>
          <w:tcPr>
            <w:tcW w:w="990" w:type="dxa"/>
            <w:vAlign w:val="center"/>
          </w:tcPr>
          <w:p w14:paraId="4D9AAB54" w14:textId="77777777" w:rsidR="00EB7496" w:rsidRPr="0010383A" w:rsidDel="00684813" w:rsidRDefault="00EB7496" w:rsidP="00C411B7">
            <w:pPr>
              <w:jc w:val="right"/>
              <w:rPr>
                <w:rFonts w:ascii="Calibri" w:hAnsi="Calibri" w:cs="Calibri"/>
                <w:b/>
                <w:bCs/>
                <w:sz w:val="14"/>
                <w:szCs w:val="14"/>
              </w:rPr>
            </w:pPr>
            <w:r w:rsidRPr="0010383A">
              <w:rPr>
                <w:rFonts w:ascii="Calibri" w:hAnsi="Calibri" w:cs="Calibri"/>
                <w:b/>
                <w:bCs/>
                <w:sz w:val="14"/>
                <w:szCs w:val="14"/>
              </w:rPr>
              <w:t>$</w:t>
            </w:r>
            <w:r w:rsidRPr="0010383A">
              <w:rPr>
                <w:color w:val="000000"/>
                <w:sz w:val="14"/>
                <w:szCs w:val="14"/>
                <w:lang w:eastAsia="en-AU"/>
              </w:rPr>
              <w:t>11,945*</w:t>
            </w:r>
          </w:p>
        </w:tc>
      </w:tr>
      <w:tr w:rsidR="00EB7496" w:rsidRPr="001C1778" w:rsidDel="00684813" w14:paraId="62D13C74" w14:textId="77777777" w:rsidTr="0010383A">
        <w:trPr>
          <w:trHeight w:val="911"/>
          <w:tblHeader/>
        </w:trPr>
        <w:tc>
          <w:tcPr>
            <w:tcW w:w="988" w:type="dxa"/>
            <w:vAlign w:val="center"/>
          </w:tcPr>
          <w:p w14:paraId="6B82606E" w14:textId="77777777" w:rsidR="00EB7496" w:rsidRPr="001C1778" w:rsidDel="00684813" w:rsidRDefault="00C322AF" w:rsidP="00C411B7">
            <w:pPr>
              <w:rPr>
                <w:rFonts w:ascii="Calibri" w:eastAsia="Calibri" w:hAnsi="Calibri" w:cs="Times New Roman"/>
                <w:b/>
                <w:sz w:val="16"/>
                <w:szCs w:val="16"/>
              </w:rPr>
            </w:pPr>
            <w:r>
              <w:rPr>
                <w:rFonts w:ascii="Calibri" w:eastAsia="Calibri" w:hAnsi="Calibri" w:cs="Times New Roman"/>
                <w:b/>
                <w:sz w:val="16"/>
                <w:szCs w:val="16"/>
              </w:rPr>
              <w:t xml:space="preserve">Ongoing training </w:t>
            </w:r>
            <w:r w:rsidR="00EB7496" w:rsidRPr="001C1778">
              <w:rPr>
                <w:rFonts w:ascii="Calibri" w:eastAsia="Calibri" w:hAnsi="Calibri" w:cs="Times New Roman"/>
                <w:b/>
                <w:sz w:val="16"/>
                <w:szCs w:val="16"/>
              </w:rPr>
              <w:t>for staffing</w:t>
            </w:r>
          </w:p>
        </w:tc>
        <w:tc>
          <w:tcPr>
            <w:tcW w:w="992" w:type="dxa"/>
            <w:vAlign w:val="center"/>
          </w:tcPr>
          <w:p w14:paraId="03BA4936"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2" w:type="dxa"/>
            <w:vAlign w:val="center"/>
          </w:tcPr>
          <w:p w14:paraId="1C9749CD"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2" w:type="dxa"/>
            <w:vAlign w:val="center"/>
          </w:tcPr>
          <w:p w14:paraId="72F70540"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3" w:type="dxa"/>
            <w:vAlign w:val="center"/>
          </w:tcPr>
          <w:p w14:paraId="099168E8"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2" w:type="dxa"/>
            <w:vAlign w:val="center"/>
          </w:tcPr>
          <w:p w14:paraId="2A723B1D"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2" w:type="dxa"/>
            <w:vAlign w:val="center"/>
          </w:tcPr>
          <w:p w14:paraId="7B528F2A"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2" w:type="dxa"/>
            <w:vAlign w:val="center"/>
          </w:tcPr>
          <w:p w14:paraId="294B30FA"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899" w:type="dxa"/>
            <w:vAlign w:val="center"/>
          </w:tcPr>
          <w:p w14:paraId="44A29DE5"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898" w:type="dxa"/>
            <w:vAlign w:val="center"/>
          </w:tcPr>
          <w:p w14:paraId="2D902113"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899" w:type="dxa"/>
            <w:vAlign w:val="center"/>
          </w:tcPr>
          <w:p w14:paraId="0D51A94D" w14:textId="77777777" w:rsidR="00EB7496" w:rsidRPr="0010383A" w:rsidDel="00684813"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358,335</w:t>
            </w:r>
          </w:p>
        </w:tc>
        <w:tc>
          <w:tcPr>
            <w:tcW w:w="990" w:type="dxa"/>
            <w:vAlign w:val="center"/>
          </w:tcPr>
          <w:p w14:paraId="10D8A8D2" w14:textId="77777777" w:rsidR="00EB7496" w:rsidRPr="0010383A" w:rsidDel="00684813" w:rsidRDefault="00EB7496" w:rsidP="00C411B7">
            <w:pPr>
              <w:jc w:val="right"/>
              <w:rPr>
                <w:rFonts w:ascii="Calibri" w:hAnsi="Calibri" w:cs="Calibri"/>
                <w:b/>
                <w:bCs/>
                <w:sz w:val="14"/>
                <w:szCs w:val="14"/>
              </w:rPr>
            </w:pPr>
            <w:r w:rsidRPr="0010383A">
              <w:rPr>
                <w:rFonts w:ascii="Calibri" w:hAnsi="Calibri" w:cs="Calibri"/>
                <w:b/>
                <w:bCs/>
                <w:sz w:val="14"/>
                <w:szCs w:val="14"/>
              </w:rPr>
              <w:t>$</w:t>
            </w:r>
            <w:r w:rsidRPr="0010383A">
              <w:rPr>
                <w:color w:val="000000"/>
                <w:sz w:val="14"/>
                <w:szCs w:val="14"/>
                <w:lang w:eastAsia="en-AU"/>
              </w:rPr>
              <w:t>3,583,350</w:t>
            </w:r>
          </w:p>
        </w:tc>
      </w:tr>
      <w:tr w:rsidR="00EB7496" w:rsidRPr="001C1778" w:rsidDel="00684813" w14:paraId="54974085" w14:textId="77777777" w:rsidTr="0010383A">
        <w:trPr>
          <w:trHeight w:val="911"/>
          <w:tblHeader/>
        </w:trPr>
        <w:tc>
          <w:tcPr>
            <w:tcW w:w="988" w:type="dxa"/>
            <w:vAlign w:val="center"/>
          </w:tcPr>
          <w:p w14:paraId="100928E0" w14:textId="77777777" w:rsidR="00EB7496" w:rsidRPr="001C1778" w:rsidRDefault="00EB7496" w:rsidP="00C411B7">
            <w:pPr>
              <w:rPr>
                <w:rFonts w:ascii="Calibri" w:eastAsia="Calibri" w:hAnsi="Calibri" w:cs="Times New Roman"/>
                <w:b/>
                <w:sz w:val="16"/>
                <w:szCs w:val="16"/>
              </w:rPr>
            </w:pPr>
            <w:r w:rsidRPr="001C1778">
              <w:rPr>
                <w:rFonts w:ascii="Calibri" w:eastAsia="Calibri" w:hAnsi="Calibri" w:cs="Times New Roman"/>
                <w:b/>
                <w:sz w:val="16"/>
                <w:szCs w:val="16"/>
              </w:rPr>
              <w:t>Annual compliance</w:t>
            </w:r>
          </w:p>
        </w:tc>
        <w:tc>
          <w:tcPr>
            <w:tcW w:w="992" w:type="dxa"/>
            <w:vAlign w:val="center"/>
          </w:tcPr>
          <w:p w14:paraId="4A71E115"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2" w:type="dxa"/>
            <w:vAlign w:val="center"/>
          </w:tcPr>
          <w:p w14:paraId="0DD4B5F4"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2" w:type="dxa"/>
            <w:vAlign w:val="center"/>
          </w:tcPr>
          <w:p w14:paraId="34550485"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3" w:type="dxa"/>
            <w:vAlign w:val="center"/>
          </w:tcPr>
          <w:p w14:paraId="3C9B229B"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2" w:type="dxa"/>
            <w:vAlign w:val="center"/>
          </w:tcPr>
          <w:p w14:paraId="268B684E"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2" w:type="dxa"/>
            <w:vAlign w:val="center"/>
          </w:tcPr>
          <w:p w14:paraId="4D2D4390"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2" w:type="dxa"/>
            <w:vAlign w:val="center"/>
          </w:tcPr>
          <w:p w14:paraId="5C85D33D"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899" w:type="dxa"/>
            <w:vAlign w:val="center"/>
          </w:tcPr>
          <w:p w14:paraId="1505A288"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898" w:type="dxa"/>
            <w:vAlign w:val="center"/>
          </w:tcPr>
          <w:p w14:paraId="1438E6F1"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899" w:type="dxa"/>
            <w:vAlign w:val="center"/>
          </w:tcPr>
          <w:p w14:paraId="6600737B" w14:textId="77777777" w:rsidR="00EB7496" w:rsidRPr="0010383A" w:rsidRDefault="00EB7496" w:rsidP="00C411B7">
            <w:pPr>
              <w:jc w:val="right"/>
              <w:rPr>
                <w:rFonts w:ascii="Calibri" w:hAnsi="Calibri" w:cs="Calibri"/>
                <w:bCs/>
                <w:sz w:val="14"/>
                <w:szCs w:val="14"/>
              </w:rPr>
            </w:pPr>
            <w:r w:rsidRPr="0010383A">
              <w:rPr>
                <w:rFonts w:ascii="Calibri" w:hAnsi="Calibri" w:cs="Calibri"/>
                <w:bCs/>
                <w:sz w:val="14"/>
                <w:szCs w:val="14"/>
              </w:rPr>
              <w:t>$</w:t>
            </w:r>
            <w:r w:rsidRPr="0010383A">
              <w:rPr>
                <w:color w:val="000000"/>
                <w:sz w:val="14"/>
                <w:szCs w:val="14"/>
                <w:lang w:eastAsia="en-AU"/>
              </w:rPr>
              <w:t>1,433,340</w:t>
            </w:r>
          </w:p>
        </w:tc>
        <w:tc>
          <w:tcPr>
            <w:tcW w:w="990" w:type="dxa"/>
            <w:vAlign w:val="center"/>
          </w:tcPr>
          <w:p w14:paraId="3A5B1DE9" w14:textId="77777777" w:rsidR="00EB7496" w:rsidRPr="0010383A" w:rsidRDefault="00EB7496" w:rsidP="00C411B7">
            <w:pPr>
              <w:jc w:val="right"/>
              <w:rPr>
                <w:rFonts w:ascii="Calibri" w:hAnsi="Calibri" w:cs="Calibri"/>
                <w:b/>
                <w:bCs/>
                <w:sz w:val="14"/>
                <w:szCs w:val="14"/>
              </w:rPr>
            </w:pPr>
            <w:r w:rsidRPr="0010383A">
              <w:rPr>
                <w:color w:val="000000"/>
                <w:sz w:val="14"/>
                <w:szCs w:val="14"/>
                <w:lang w:eastAsia="en-AU"/>
              </w:rPr>
              <w:t>$14,333,400</w:t>
            </w:r>
          </w:p>
        </w:tc>
      </w:tr>
      <w:tr w:rsidR="00EB7496" w:rsidRPr="001C1778" w:rsidDel="00684813" w14:paraId="43EE7489" w14:textId="77777777" w:rsidTr="0010383A">
        <w:trPr>
          <w:trHeight w:val="294"/>
          <w:tblHeader/>
        </w:trPr>
        <w:tc>
          <w:tcPr>
            <w:tcW w:w="988" w:type="dxa"/>
            <w:vAlign w:val="center"/>
          </w:tcPr>
          <w:p w14:paraId="49931618" w14:textId="77777777" w:rsidR="00EB7496" w:rsidRPr="001C1778" w:rsidDel="00684813" w:rsidRDefault="00EB7496" w:rsidP="00C411B7">
            <w:pPr>
              <w:rPr>
                <w:rFonts w:ascii="Calibri" w:eastAsia="Calibri" w:hAnsi="Calibri" w:cs="Times New Roman"/>
                <w:b/>
                <w:sz w:val="16"/>
                <w:szCs w:val="16"/>
              </w:rPr>
            </w:pPr>
            <w:r w:rsidRPr="001C1778" w:rsidDel="00684813">
              <w:rPr>
                <w:rFonts w:ascii="Calibri" w:eastAsia="Calibri" w:hAnsi="Calibri" w:cs="Times New Roman"/>
                <w:b/>
                <w:sz w:val="16"/>
                <w:szCs w:val="16"/>
              </w:rPr>
              <w:t>TOTAL ($)</w:t>
            </w:r>
          </w:p>
        </w:tc>
        <w:tc>
          <w:tcPr>
            <w:tcW w:w="992" w:type="dxa"/>
            <w:vAlign w:val="center"/>
          </w:tcPr>
          <w:p w14:paraId="2AC36026"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2" w:type="dxa"/>
            <w:vAlign w:val="center"/>
          </w:tcPr>
          <w:p w14:paraId="244C6BF2"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2" w:type="dxa"/>
            <w:vAlign w:val="center"/>
          </w:tcPr>
          <w:p w14:paraId="22D5EA19"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3" w:type="dxa"/>
            <w:vAlign w:val="center"/>
          </w:tcPr>
          <w:p w14:paraId="038289FE"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2" w:type="dxa"/>
            <w:vAlign w:val="center"/>
          </w:tcPr>
          <w:p w14:paraId="41F47EA2"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2" w:type="dxa"/>
            <w:vAlign w:val="center"/>
          </w:tcPr>
          <w:p w14:paraId="5BAAF0E1"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2" w:type="dxa"/>
            <w:vAlign w:val="center"/>
          </w:tcPr>
          <w:p w14:paraId="47E7D462"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899" w:type="dxa"/>
            <w:vAlign w:val="center"/>
          </w:tcPr>
          <w:p w14:paraId="23CB9BFB"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898" w:type="dxa"/>
            <w:vAlign w:val="center"/>
          </w:tcPr>
          <w:p w14:paraId="552BA0A2"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899" w:type="dxa"/>
            <w:vAlign w:val="center"/>
          </w:tcPr>
          <w:p w14:paraId="05BE4664"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w:t>
            </w:r>
          </w:p>
        </w:tc>
        <w:tc>
          <w:tcPr>
            <w:tcW w:w="990" w:type="dxa"/>
            <w:vAlign w:val="center"/>
          </w:tcPr>
          <w:p w14:paraId="6F9F0E24" w14:textId="77777777" w:rsidR="00EB7496" w:rsidRPr="0010383A" w:rsidDel="00684813" w:rsidRDefault="00EB7496" w:rsidP="00C411B7">
            <w:pPr>
              <w:jc w:val="right"/>
              <w:rPr>
                <w:rFonts w:ascii="Calibri" w:eastAsia="Calibri" w:hAnsi="Calibri" w:cs="Times New Roman"/>
                <w:b/>
                <w:sz w:val="14"/>
                <w:szCs w:val="14"/>
              </w:rPr>
            </w:pPr>
            <w:r w:rsidRPr="0010383A">
              <w:rPr>
                <w:rFonts w:ascii="Calibri" w:eastAsia="Calibri" w:hAnsi="Calibri" w:cs="Times New Roman"/>
                <w:b/>
                <w:sz w:val="14"/>
                <w:szCs w:val="14"/>
              </w:rPr>
              <w:t>$17,928,690</w:t>
            </w:r>
          </w:p>
        </w:tc>
      </w:tr>
    </w:tbl>
    <w:p w14:paraId="2DF9968B" w14:textId="77777777" w:rsidR="00EB7496" w:rsidRPr="00463E93" w:rsidRDefault="00EB7496" w:rsidP="00060B11">
      <w:pPr>
        <w:spacing w:before="240"/>
        <w:rPr>
          <w:rFonts w:ascii="Calibri" w:eastAsia="Calibri" w:hAnsi="Calibri" w:cs="Times New Roman"/>
          <w:color w:val="262626"/>
        </w:rPr>
      </w:pPr>
      <w:r w:rsidRPr="001C1778">
        <w:rPr>
          <w:rFonts w:ascii="Calibri" w:eastAsia="Arial" w:hAnsi="Calibri" w:cs="Arial"/>
          <w:color w:val="auto"/>
          <w:sz w:val="16"/>
          <w:szCs w:val="16"/>
        </w:rPr>
        <w:t>*Please note this number has been rounded and so the individual row totals will not add up to the 10-year total which is calculated based on the yearly total.</w:t>
      </w:r>
    </w:p>
    <w:p w14:paraId="22184DC5" w14:textId="77777777" w:rsidR="004A6F5F" w:rsidRDefault="004A6F5F">
      <w:pPr>
        <w:rPr>
          <w:rFonts w:ascii="Calibri" w:eastAsia="Arial" w:hAnsi="Calibri" w:cs="Arial"/>
          <w:b/>
          <w:color w:val="auto"/>
        </w:rPr>
      </w:pPr>
      <w:r>
        <w:rPr>
          <w:rFonts w:ascii="Calibri" w:eastAsia="Arial" w:hAnsi="Calibri" w:cs="Arial"/>
          <w:b/>
          <w:color w:val="auto"/>
        </w:rPr>
        <w:br w:type="page"/>
      </w:r>
    </w:p>
    <w:p w14:paraId="3BF01BA6" w14:textId="44BD0291" w:rsidR="008B0BED" w:rsidRPr="001C1778" w:rsidRDefault="008B0BED" w:rsidP="00CA2E17">
      <w:pPr>
        <w:spacing w:before="120" w:after="180"/>
        <w:rPr>
          <w:rFonts w:ascii="Calibri" w:eastAsia="Arial" w:hAnsi="Calibri" w:cs="Arial"/>
          <w:b/>
          <w:color w:val="auto"/>
        </w:rPr>
      </w:pPr>
      <w:r w:rsidRPr="001C1778">
        <w:rPr>
          <w:rFonts w:ascii="Calibri" w:eastAsia="Arial" w:hAnsi="Calibri" w:cs="Arial"/>
          <w:b/>
          <w:color w:val="auto"/>
        </w:rPr>
        <w:t xml:space="preserve">One off cost for new </w:t>
      </w:r>
      <w:r w:rsidR="00463E93" w:rsidRPr="001C1778">
        <w:rPr>
          <w:rFonts w:ascii="Calibri" w:eastAsia="Arial" w:hAnsi="Calibri" w:cs="Arial"/>
          <w:b/>
          <w:color w:val="auto"/>
        </w:rPr>
        <w:t xml:space="preserve">IM </w:t>
      </w:r>
      <w:r w:rsidRPr="001C1778">
        <w:rPr>
          <w:rFonts w:ascii="Calibri" w:eastAsia="Arial" w:hAnsi="Calibri" w:cs="Arial"/>
          <w:b/>
          <w:color w:val="auto"/>
        </w:rPr>
        <w:t>merchants</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One-off cost for new IM merchants"/>
      </w:tblPr>
      <w:tblGrid>
        <w:gridCol w:w="1187"/>
        <w:gridCol w:w="1958"/>
        <w:gridCol w:w="1608"/>
        <w:gridCol w:w="1185"/>
        <w:gridCol w:w="1233"/>
        <w:gridCol w:w="2033"/>
      </w:tblGrid>
      <w:tr w:rsidR="00C560F1" w:rsidRPr="001C1778" w14:paraId="2D79EFD4" w14:textId="77777777" w:rsidTr="00884F2C">
        <w:trPr>
          <w:trHeight w:val="257"/>
          <w:jc w:val="center"/>
        </w:trPr>
        <w:tc>
          <w:tcPr>
            <w:tcW w:w="1187" w:type="dxa"/>
            <w:vMerge w:val="restart"/>
            <w:noWrap/>
            <w:tcMar>
              <w:top w:w="0" w:type="dxa"/>
              <w:left w:w="108" w:type="dxa"/>
              <w:bottom w:w="0" w:type="dxa"/>
              <w:right w:w="108" w:type="dxa"/>
            </w:tcMar>
            <w:vAlign w:val="bottom"/>
            <w:hideMark/>
          </w:tcPr>
          <w:p w14:paraId="0561857A" w14:textId="77777777" w:rsidR="00C560F1" w:rsidRPr="001C1778" w:rsidRDefault="00C560F1">
            <w:pPr>
              <w:jc w:val="center"/>
              <w:rPr>
                <w:color w:val="000000"/>
                <w:sz w:val="16"/>
                <w:szCs w:val="16"/>
                <w:lang w:eastAsia="en-AU"/>
              </w:rPr>
            </w:pPr>
            <w:r w:rsidRPr="001C1778">
              <w:rPr>
                <w:color w:val="000000"/>
                <w:sz w:val="16"/>
                <w:szCs w:val="16"/>
                <w:lang w:eastAsia="en-AU"/>
              </w:rPr>
              <w:t> </w:t>
            </w:r>
          </w:p>
        </w:tc>
        <w:tc>
          <w:tcPr>
            <w:tcW w:w="5984" w:type="dxa"/>
            <w:gridSpan w:val="4"/>
            <w:noWrap/>
            <w:tcMar>
              <w:top w:w="0" w:type="dxa"/>
              <w:left w:w="108" w:type="dxa"/>
              <w:bottom w:w="0" w:type="dxa"/>
              <w:right w:w="108" w:type="dxa"/>
            </w:tcMar>
            <w:vAlign w:val="bottom"/>
            <w:hideMark/>
          </w:tcPr>
          <w:p w14:paraId="094A4874" w14:textId="77777777" w:rsidR="00C560F1" w:rsidRPr="001C1778" w:rsidRDefault="00C560F1" w:rsidP="00C560F1">
            <w:pPr>
              <w:jc w:val="center"/>
              <w:rPr>
                <w:color w:val="000000"/>
                <w:sz w:val="16"/>
                <w:szCs w:val="16"/>
                <w:lang w:eastAsia="en-AU"/>
              </w:rPr>
            </w:pPr>
            <w:r w:rsidRPr="001C1778">
              <w:rPr>
                <w:color w:val="000000"/>
                <w:sz w:val="16"/>
                <w:szCs w:val="16"/>
                <w:lang w:eastAsia="en-AU"/>
              </w:rPr>
              <w:t> ALL</w:t>
            </w:r>
          </w:p>
        </w:tc>
        <w:tc>
          <w:tcPr>
            <w:tcW w:w="2033" w:type="dxa"/>
            <w:vMerge w:val="restart"/>
            <w:noWrap/>
            <w:tcMar>
              <w:top w:w="0" w:type="dxa"/>
              <w:left w:w="108" w:type="dxa"/>
              <w:bottom w:w="0" w:type="dxa"/>
              <w:right w:w="108" w:type="dxa"/>
            </w:tcMar>
            <w:vAlign w:val="bottom"/>
            <w:hideMark/>
          </w:tcPr>
          <w:p w14:paraId="01CA4749" w14:textId="77777777" w:rsidR="00C560F1" w:rsidRPr="001C1778" w:rsidRDefault="00715624">
            <w:pPr>
              <w:jc w:val="center"/>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p w14:paraId="481D7763" w14:textId="77777777" w:rsidR="00021742" w:rsidRPr="001C1778" w:rsidRDefault="00021742">
            <w:pPr>
              <w:jc w:val="center"/>
              <w:rPr>
                <w:color w:val="000000"/>
                <w:sz w:val="16"/>
                <w:szCs w:val="16"/>
                <w:lang w:eastAsia="en-AU"/>
              </w:rPr>
            </w:pPr>
          </w:p>
        </w:tc>
      </w:tr>
      <w:tr w:rsidR="00C560F1" w:rsidRPr="001C1778" w14:paraId="5862B392" w14:textId="77777777" w:rsidTr="00884F2C">
        <w:trPr>
          <w:trHeight w:val="257"/>
          <w:jc w:val="center"/>
        </w:trPr>
        <w:tc>
          <w:tcPr>
            <w:tcW w:w="0" w:type="auto"/>
            <w:vMerge/>
            <w:vAlign w:val="center"/>
            <w:hideMark/>
          </w:tcPr>
          <w:p w14:paraId="39F260D9" w14:textId="77777777" w:rsidR="00C560F1" w:rsidRPr="001C1778" w:rsidRDefault="00C560F1">
            <w:pPr>
              <w:rPr>
                <w:rFonts w:ascii="Calibri" w:hAnsi="Calibri" w:cs="Calibri"/>
                <w:color w:val="000000"/>
                <w:sz w:val="16"/>
                <w:szCs w:val="16"/>
                <w:lang w:eastAsia="en-AU"/>
              </w:rPr>
            </w:pPr>
          </w:p>
        </w:tc>
        <w:tc>
          <w:tcPr>
            <w:tcW w:w="1958" w:type="dxa"/>
            <w:noWrap/>
            <w:tcMar>
              <w:top w:w="0" w:type="dxa"/>
              <w:left w:w="108" w:type="dxa"/>
              <w:bottom w:w="0" w:type="dxa"/>
              <w:right w:w="108" w:type="dxa"/>
            </w:tcMar>
            <w:vAlign w:val="bottom"/>
            <w:hideMark/>
          </w:tcPr>
          <w:p w14:paraId="227A2D97" w14:textId="77777777" w:rsidR="00C560F1" w:rsidRPr="001C1778" w:rsidRDefault="00C560F1">
            <w:pPr>
              <w:jc w:val="center"/>
              <w:rPr>
                <w:color w:val="000000"/>
                <w:sz w:val="16"/>
                <w:szCs w:val="16"/>
                <w:lang w:eastAsia="en-AU"/>
              </w:rPr>
            </w:pPr>
            <w:r w:rsidRPr="001C1778">
              <w:rPr>
                <w:color w:val="000000"/>
                <w:sz w:val="16"/>
                <w:szCs w:val="16"/>
                <w:lang w:eastAsia="en-AU"/>
              </w:rPr>
              <w:t>population</w:t>
            </w:r>
          </w:p>
        </w:tc>
        <w:tc>
          <w:tcPr>
            <w:tcW w:w="1608" w:type="dxa"/>
            <w:noWrap/>
            <w:tcMar>
              <w:top w:w="0" w:type="dxa"/>
              <w:left w:w="108" w:type="dxa"/>
              <w:bottom w:w="0" w:type="dxa"/>
              <w:right w:w="108" w:type="dxa"/>
            </w:tcMar>
            <w:vAlign w:val="bottom"/>
            <w:hideMark/>
          </w:tcPr>
          <w:p w14:paraId="4433BBA5" w14:textId="69CFCCF6" w:rsidR="00C560F1" w:rsidRPr="001C1778" w:rsidRDefault="007140E7">
            <w:pPr>
              <w:rPr>
                <w:color w:val="000000"/>
                <w:sz w:val="16"/>
                <w:szCs w:val="16"/>
                <w:lang w:eastAsia="en-AU"/>
              </w:rPr>
            </w:pPr>
            <w:r>
              <w:rPr>
                <w:color w:val="000000"/>
                <w:sz w:val="16"/>
                <w:szCs w:val="16"/>
                <w:lang w:eastAsia="en-AU"/>
              </w:rPr>
              <w:t>number of</w:t>
            </w:r>
            <w:r w:rsidR="00C560F1" w:rsidRPr="001C1778">
              <w:rPr>
                <w:color w:val="000000"/>
                <w:sz w:val="16"/>
                <w:szCs w:val="16"/>
                <w:lang w:eastAsia="en-AU"/>
              </w:rPr>
              <w:t xml:space="preserve"> staff</w:t>
            </w:r>
          </w:p>
        </w:tc>
        <w:tc>
          <w:tcPr>
            <w:tcW w:w="1185" w:type="dxa"/>
            <w:noWrap/>
            <w:tcMar>
              <w:top w:w="0" w:type="dxa"/>
              <w:left w:w="108" w:type="dxa"/>
              <w:bottom w:w="0" w:type="dxa"/>
              <w:right w:w="108" w:type="dxa"/>
            </w:tcMar>
            <w:vAlign w:val="bottom"/>
            <w:hideMark/>
          </w:tcPr>
          <w:p w14:paraId="0FB26EDA" w14:textId="77777777" w:rsidR="00C560F1" w:rsidRPr="001C1778" w:rsidRDefault="00C560F1">
            <w:pPr>
              <w:rPr>
                <w:color w:val="000000"/>
                <w:sz w:val="16"/>
                <w:szCs w:val="16"/>
                <w:lang w:eastAsia="en-AU"/>
              </w:rPr>
            </w:pPr>
            <w:r w:rsidRPr="001C1778">
              <w:rPr>
                <w:color w:val="000000"/>
                <w:sz w:val="16"/>
                <w:szCs w:val="16"/>
                <w:lang w:eastAsia="en-AU"/>
              </w:rPr>
              <w:t>time</w:t>
            </w:r>
          </w:p>
        </w:tc>
        <w:tc>
          <w:tcPr>
            <w:tcW w:w="1233" w:type="dxa"/>
            <w:noWrap/>
            <w:tcMar>
              <w:top w:w="0" w:type="dxa"/>
              <w:left w:w="108" w:type="dxa"/>
              <w:bottom w:w="0" w:type="dxa"/>
              <w:right w:w="108" w:type="dxa"/>
            </w:tcMar>
            <w:vAlign w:val="bottom"/>
            <w:hideMark/>
          </w:tcPr>
          <w:p w14:paraId="4B5366BA" w14:textId="77777777" w:rsidR="00C560F1" w:rsidRPr="001C1778" w:rsidRDefault="002674AA">
            <w:pPr>
              <w:rPr>
                <w:color w:val="000000"/>
                <w:sz w:val="16"/>
                <w:szCs w:val="16"/>
                <w:lang w:eastAsia="en-AU"/>
              </w:rPr>
            </w:pPr>
            <w:r w:rsidRPr="001C1778">
              <w:rPr>
                <w:color w:val="000000"/>
                <w:sz w:val="16"/>
                <w:szCs w:val="16"/>
                <w:lang w:eastAsia="en-AU"/>
              </w:rPr>
              <w:t>C</w:t>
            </w:r>
            <w:r w:rsidR="00C560F1" w:rsidRPr="001C1778">
              <w:rPr>
                <w:color w:val="000000"/>
                <w:sz w:val="16"/>
                <w:szCs w:val="16"/>
                <w:lang w:eastAsia="en-AU"/>
              </w:rPr>
              <w:t>ost</w:t>
            </w:r>
          </w:p>
        </w:tc>
        <w:tc>
          <w:tcPr>
            <w:tcW w:w="2033" w:type="dxa"/>
            <w:vMerge/>
            <w:vAlign w:val="center"/>
            <w:hideMark/>
          </w:tcPr>
          <w:p w14:paraId="5998DCFD" w14:textId="77777777" w:rsidR="00C560F1" w:rsidRPr="001C1778" w:rsidRDefault="00C560F1">
            <w:pPr>
              <w:rPr>
                <w:rFonts w:ascii="Calibri" w:hAnsi="Calibri" w:cs="Calibri"/>
                <w:color w:val="000000"/>
                <w:sz w:val="16"/>
                <w:szCs w:val="16"/>
                <w:lang w:eastAsia="en-AU"/>
              </w:rPr>
            </w:pPr>
          </w:p>
        </w:tc>
      </w:tr>
      <w:tr w:rsidR="005413E4" w:rsidRPr="001C1778" w14:paraId="25B09B70" w14:textId="77777777" w:rsidTr="00F95C06">
        <w:trPr>
          <w:trHeight w:val="257"/>
          <w:jc w:val="center"/>
        </w:trPr>
        <w:tc>
          <w:tcPr>
            <w:tcW w:w="1187" w:type="dxa"/>
            <w:noWrap/>
            <w:tcMar>
              <w:top w:w="0" w:type="dxa"/>
              <w:left w:w="108" w:type="dxa"/>
              <w:bottom w:w="0" w:type="dxa"/>
              <w:right w:w="108" w:type="dxa"/>
            </w:tcMar>
            <w:vAlign w:val="bottom"/>
            <w:hideMark/>
          </w:tcPr>
          <w:p w14:paraId="5D8FC3D3" w14:textId="77777777" w:rsidR="005413E4" w:rsidRPr="001C1778" w:rsidRDefault="005413E4" w:rsidP="005413E4">
            <w:pPr>
              <w:rPr>
                <w:color w:val="000000"/>
                <w:sz w:val="16"/>
                <w:szCs w:val="16"/>
                <w:lang w:eastAsia="en-AU"/>
              </w:rPr>
            </w:pPr>
            <w:r w:rsidRPr="001C1778">
              <w:rPr>
                <w:color w:val="000000"/>
                <w:sz w:val="16"/>
                <w:szCs w:val="16"/>
                <w:lang w:eastAsia="en-AU"/>
              </w:rPr>
              <w:t>Year 1</w:t>
            </w:r>
          </w:p>
        </w:tc>
        <w:tc>
          <w:tcPr>
            <w:tcW w:w="1958" w:type="dxa"/>
            <w:noWrap/>
            <w:tcMar>
              <w:top w:w="0" w:type="dxa"/>
              <w:left w:w="108" w:type="dxa"/>
              <w:bottom w:w="0" w:type="dxa"/>
              <w:right w:w="108" w:type="dxa"/>
            </w:tcMar>
            <w:vAlign w:val="bottom"/>
            <w:hideMark/>
          </w:tcPr>
          <w:p w14:paraId="6F58630C"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2CDCA4B1"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27A6F258"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4AABDDDA"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3E6AE3C4"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12F52F73" w14:textId="77777777" w:rsidTr="00F95C06">
        <w:trPr>
          <w:trHeight w:val="257"/>
          <w:jc w:val="center"/>
        </w:trPr>
        <w:tc>
          <w:tcPr>
            <w:tcW w:w="1187" w:type="dxa"/>
            <w:noWrap/>
            <w:tcMar>
              <w:top w:w="0" w:type="dxa"/>
              <w:left w:w="108" w:type="dxa"/>
              <w:bottom w:w="0" w:type="dxa"/>
              <w:right w:w="108" w:type="dxa"/>
            </w:tcMar>
            <w:vAlign w:val="bottom"/>
            <w:hideMark/>
          </w:tcPr>
          <w:p w14:paraId="0347EB3D" w14:textId="77777777" w:rsidR="005413E4" w:rsidRPr="001C1778" w:rsidRDefault="005413E4" w:rsidP="005413E4">
            <w:pPr>
              <w:rPr>
                <w:color w:val="000000"/>
                <w:sz w:val="16"/>
                <w:szCs w:val="16"/>
                <w:lang w:eastAsia="en-AU"/>
              </w:rPr>
            </w:pPr>
            <w:r w:rsidRPr="001C1778">
              <w:rPr>
                <w:color w:val="000000"/>
                <w:sz w:val="16"/>
                <w:szCs w:val="16"/>
                <w:lang w:eastAsia="en-AU"/>
              </w:rPr>
              <w:t>Year 2</w:t>
            </w:r>
          </w:p>
        </w:tc>
        <w:tc>
          <w:tcPr>
            <w:tcW w:w="1958" w:type="dxa"/>
            <w:noWrap/>
            <w:tcMar>
              <w:top w:w="0" w:type="dxa"/>
              <w:left w:w="108" w:type="dxa"/>
              <w:bottom w:w="0" w:type="dxa"/>
              <w:right w:w="108" w:type="dxa"/>
            </w:tcMar>
            <w:vAlign w:val="bottom"/>
            <w:hideMark/>
          </w:tcPr>
          <w:p w14:paraId="79182493"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2E401C0F"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6C813134"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33499C37"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29FABB6E"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1FE365EC" w14:textId="77777777" w:rsidTr="00F95C06">
        <w:trPr>
          <w:trHeight w:val="257"/>
          <w:jc w:val="center"/>
        </w:trPr>
        <w:tc>
          <w:tcPr>
            <w:tcW w:w="1187" w:type="dxa"/>
            <w:noWrap/>
            <w:tcMar>
              <w:top w:w="0" w:type="dxa"/>
              <w:left w:w="108" w:type="dxa"/>
              <w:bottom w:w="0" w:type="dxa"/>
              <w:right w:w="108" w:type="dxa"/>
            </w:tcMar>
            <w:vAlign w:val="bottom"/>
            <w:hideMark/>
          </w:tcPr>
          <w:p w14:paraId="632A0300" w14:textId="77777777" w:rsidR="005413E4" w:rsidRPr="001C1778" w:rsidRDefault="005413E4" w:rsidP="005413E4">
            <w:pPr>
              <w:rPr>
                <w:color w:val="000000"/>
                <w:sz w:val="16"/>
                <w:szCs w:val="16"/>
                <w:lang w:eastAsia="en-AU"/>
              </w:rPr>
            </w:pPr>
            <w:r w:rsidRPr="001C1778">
              <w:rPr>
                <w:color w:val="000000"/>
                <w:sz w:val="16"/>
                <w:szCs w:val="16"/>
                <w:lang w:eastAsia="en-AU"/>
              </w:rPr>
              <w:t>Year 3</w:t>
            </w:r>
          </w:p>
        </w:tc>
        <w:tc>
          <w:tcPr>
            <w:tcW w:w="1958" w:type="dxa"/>
            <w:noWrap/>
            <w:tcMar>
              <w:top w:w="0" w:type="dxa"/>
              <w:left w:w="108" w:type="dxa"/>
              <w:bottom w:w="0" w:type="dxa"/>
              <w:right w:w="108" w:type="dxa"/>
            </w:tcMar>
            <w:vAlign w:val="bottom"/>
            <w:hideMark/>
          </w:tcPr>
          <w:p w14:paraId="5DC207FE"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77B971D0"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205030E6"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3F70B69B"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621A23FC"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4E158DE7" w14:textId="77777777" w:rsidTr="00F95C06">
        <w:trPr>
          <w:trHeight w:val="257"/>
          <w:jc w:val="center"/>
        </w:trPr>
        <w:tc>
          <w:tcPr>
            <w:tcW w:w="1187" w:type="dxa"/>
            <w:noWrap/>
            <w:tcMar>
              <w:top w:w="0" w:type="dxa"/>
              <w:left w:w="108" w:type="dxa"/>
              <w:bottom w:w="0" w:type="dxa"/>
              <w:right w:w="108" w:type="dxa"/>
            </w:tcMar>
            <w:vAlign w:val="bottom"/>
            <w:hideMark/>
          </w:tcPr>
          <w:p w14:paraId="71C9CD5F" w14:textId="77777777" w:rsidR="005413E4" w:rsidRPr="001C1778" w:rsidRDefault="005413E4" w:rsidP="005413E4">
            <w:pPr>
              <w:rPr>
                <w:color w:val="000000"/>
                <w:sz w:val="16"/>
                <w:szCs w:val="16"/>
                <w:lang w:eastAsia="en-AU"/>
              </w:rPr>
            </w:pPr>
            <w:r w:rsidRPr="001C1778">
              <w:rPr>
                <w:color w:val="000000"/>
                <w:sz w:val="16"/>
                <w:szCs w:val="16"/>
                <w:lang w:eastAsia="en-AU"/>
              </w:rPr>
              <w:t>Year 4</w:t>
            </w:r>
          </w:p>
        </w:tc>
        <w:tc>
          <w:tcPr>
            <w:tcW w:w="1958" w:type="dxa"/>
            <w:noWrap/>
            <w:tcMar>
              <w:top w:w="0" w:type="dxa"/>
              <w:left w:w="108" w:type="dxa"/>
              <w:bottom w:w="0" w:type="dxa"/>
              <w:right w:w="108" w:type="dxa"/>
            </w:tcMar>
            <w:vAlign w:val="bottom"/>
            <w:hideMark/>
          </w:tcPr>
          <w:p w14:paraId="65D8B004"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44E5890E"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34C7C4BD"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6ED35AA7"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3D49AA42"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65282618" w14:textId="77777777" w:rsidTr="00F95C06">
        <w:trPr>
          <w:trHeight w:val="257"/>
          <w:jc w:val="center"/>
        </w:trPr>
        <w:tc>
          <w:tcPr>
            <w:tcW w:w="1187" w:type="dxa"/>
            <w:noWrap/>
            <w:tcMar>
              <w:top w:w="0" w:type="dxa"/>
              <w:left w:w="108" w:type="dxa"/>
              <w:bottom w:w="0" w:type="dxa"/>
              <w:right w:w="108" w:type="dxa"/>
            </w:tcMar>
            <w:vAlign w:val="bottom"/>
            <w:hideMark/>
          </w:tcPr>
          <w:p w14:paraId="2BF1AE49" w14:textId="77777777" w:rsidR="005413E4" w:rsidRPr="001C1778" w:rsidRDefault="005413E4" w:rsidP="005413E4">
            <w:pPr>
              <w:rPr>
                <w:color w:val="000000"/>
                <w:sz w:val="16"/>
                <w:szCs w:val="16"/>
                <w:lang w:eastAsia="en-AU"/>
              </w:rPr>
            </w:pPr>
            <w:r w:rsidRPr="001C1778">
              <w:rPr>
                <w:color w:val="000000"/>
                <w:sz w:val="16"/>
                <w:szCs w:val="16"/>
                <w:lang w:eastAsia="en-AU"/>
              </w:rPr>
              <w:t>Year 5</w:t>
            </w:r>
          </w:p>
        </w:tc>
        <w:tc>
          <w:tcPr>
            <w:tcW w:w="1958" w:type="dxa"/>
            <w:noWrap/>
            <w:tcMar>
              <w:top w:w="0" w:type="dxa"/>
              <w:left w:w="108" w:type="dxa"/>
              <w:bottom w:w="0" w:type="dxa"/>
              <w:right w:w="108" w:type="dxa"/>
            </w:tcMar>
            <w:vAlign w:val="bottom"/>
            <w:hideMark/>
          </w:tcPr>
          <w:p w14:paraId="71B7F86A"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39C1E8CE"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5F0CE8B2"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0D47E7E8"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1A9870B2"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422586D4" w14:textId="77777777" w:rsidTr="00F95C06">
        <w:trPr>
          <w:trHeight w:val="257"/>
          <w:jc w:val="center"/>
        </w:trPr>
        <w:tc>
          <w:tcPr>
            <w:tcW w:w="1187" w:type="dxa"/>
            <w:noWrap/>
            <w:tcMar>
              <w:top w:w="0" w:type="dxa"/>
              <w:left w:w="108" w:type="dxa"/>
              <w:bottom w:w="0" w:type="dxa"/>
              <w:right w:w="108" w:type="dxa"/>
            </w:tcMar>
            <w:vAlign w:val="bottom"/>
            <w:hideMark/>
          </w:tcPr>
          <w:p w14:paraId="504A40DB" w14:textId="77777777" w:rsidR="005413E4" w:rsidRPr="001C1778" w:rsidRDefault="005413E4" w:rsidP="005413E4">
            <w:pPr>
              <w:rPr>
                <w:color w:val="000000"/>
                <w:sz w:val="16"/>
                <w:szCs w:val="16"/>
                <w:lang w:eastAsia="en-AU"/>
              </w:rPr>
            </w:pPr>
            <w:r w:rsidRPr="001C1778">
              <w:rPr>
                <w:color w:val="000000"/>
                <w:sz w:val="16"/>
                <w:szCs w:val="16"/>
                <w:lang w:eastAsia="en-AU"/>
              </w:rPr>
              <w:t>Year 6</w:t>
            </w:r>
          </w:p>
        </w:tc>
        <w:tc>
          <w:tcPr>
            <w:tcW w:w="1958" w:type="dxa"/>
            <w:noWrap/>
            <w:tcMar>
              <w:top w:w="0" w:type="dxa"/>
              <w:left w:w="108" w:type="dxa"/>
              <w:bottom w:w="0" w:type="dxa"/>
              <w:right w:w="108" w:type="dxa"/>
            </w:tcMar>
            <w:vAlign w:val="bottom"/>
            <w:hideMark/>
          </w:tcPr>
          <w:p w14:paraId="4BA6FF1A"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609577B6"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611E7734"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68CFE9EB"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0B4DC905"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61833BA3" w14:textId="77777777" w:rsidTr="00F95C06">
        <w:trPr>
          <w:trHeight w:val="257"/>
          <w:jc w:val="center"/>
        </w:trPr>
        <w:tc>
          <w:tcPr>
            <w:tcW w:w="1187" w:type="dxa"/>
            <w:noWrap/>
            <w:tcMar>
              <w:top w:w="0" w:type="dxa"/>
              <w:left w:w="108" w:type="dxa"/>
              <w:bottom w:w="0" w:type="dxa"/>
              <w:right w:w="108" w:type="dxa"/>
            </w:tcMar>
            <w:vAlign w:val="bottom"/>
            <w:hideMark/>
          </w:tcPr>
          <w:p w14:paraId="34B24DD4" w14:textId="77777777" w:rsidR="005413E4" w:rsidRPr="001C1778" w:rsidRDefault="005413E4" w:rsidP="005413E4">
            <w:pPr>
              <w:rPr>
                <w:color w:val="000000"/>
                <w:sz w:val="16"/>
                <w:szCs w:val="16"/>
                <w:lang w:eastAsia="en-AU"/>
              </w:rPr>
            </w:pPr>
            <w:r w:rsidRPr="001C1778">
              <w:rPr>
                <w:color w:val="000000"/>
                <w:sz w:val="16"/>
                <w:szCs w:val="16"/>
                <w:lang w:eastAsia="en-AU"/>
              </w:rPr>
              <w:t>Year 7</w:t>
            </w:r>
          </w:p>
        </w:tc>
        <w:tc>
          <w:tcPr>
            <w:tcW w:w="1958" w:type="dxa"/>
            <w:noWrap/>
            <w:tcMar>
              <w:top w:w="0" w:type="dxa"/>
              <w:left w:w="108" w:type="dxa"/>
              <w:bottom w:w="0" w:type="dxa"/>
              <w:right w:w="108" w:type="dxa"/>
            </w:tcMar>
            <w:vAlign w:val="bottom"/>
            <w:hideMark/>
          </w:tcPr>
          <w:p w14:paraId="37609D8D"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1088F468"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7114E683"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49DC1A4A"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1BE95589"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5515249A" w14:textId="77777777" w:rsidTr="00F95C06">
        <w:trPr>
          <w:trHeight w:val="257"/>
          <w:jc w:val="center"/>
        </w:trPr>
        <w:tc>
          <w:tcPr>
            <w:tcW w:w="1187" w:type="dxa"/>
            <w:noWrap/>
            <w:tcMar>
              <w:top w:w="0" w:type="dxa"/>
              <w:left w:w="108" w:type="dxa"/>
              <w:bottom w:w="0" w:type="dxa"/>
              <w:right w:w="108" w:type="dxa"/>
            </w:tcMar>
            <w:vAlign w:val="bottom"/>
            <w:hideMark/>
          </w:tcPr>
          <w:p w14:paraId="0293D860" w14:textId="77777777" w:rsidR="005413E4" w:rsidRPr="001C1778" w:rsidRDefault="005413E4" w:rsidP="005413E4">
            <w:pPr>
              <w:rPr>
                <w:color w:val="000000"/>
                <w:sz w:val="16"/>
                <w:szCs w:val="16"/>
                <w:lang w:eastAsia="en-AU"/>
              </w:rPr>
            </w:pPr>
            <w:r w:rsidRPr="001C1778">
              <w:rPr>
                <w:color w:val="000000"/>
                <w:sz w:val="16"/>
                <w:szCs w:val="16"/>
                <w:lang w:eastAsia="en-AU"/>
              </w:rPr>
              <w:t>Year 8</w:t>
            </w:r>
          </w:p>
        </w:tc>
        <w:tc>
          <w:tcPr>
            <w:tcW w:w="1958" w:type="dxa"/>
            <w:noWrap/>
            <w:tcMar>
              <w:top w:w="0" w:type="dxa"/>
              <w:left w:w="108" w:type="dxa"/>
              <w:bottom w:w="0" w:type="dxa"/>
              <w:right w:w="108" w:type="dxa"/>
            </w:tcMar>
            <w:vAlign w:val="bottom"/>
            <w:hideMark/>
          </w:tcPr>
          <w:p w14:paraId="7CE08D86"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4DA245CB"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655C4DBE"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211F596D"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4AB6778C"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271829A3" w14:textId="77777777" w:rsidTr="00F95C06">
        <w:trPr>
          <w:trHeight w:val="257"/>
          <w:jc w:val="center"/>
        </w:trPr>
        <w:tc>
          <w:tcPr>
            <w:tcW w:w="1187" w:type="dxa"/>
            <w:noWrap/>
            <w:tcMar>
              <w:top w:w="0" w:type="dxa"/>
              <w:left w:w="108" w:type="dxa"/>
              <w:bottom w:w="0" w:type="dxa"/>
              <w:right w:w="108" w:type="dxa"/>
            </w:tcMar>
            <w:vAlign w:val="bottom"/>
            <w:hideMark/>
          </w:tcPr>
          <w:p w14:paraId="272A139E" w14:textId="77777777" w:rsidR="005413E4" w:rsidRPr="001C1778" w:rsidRDefault="005413E4" w:rsidP="005413E4">
            <w:pPr>
              <w:rPr>
                <w:color w:val="000000"/>
                <w:sz w:val="16"/>
                <w:szCs w:val="16"/>
                <w:lang w:eastAsia="en-AU"/>
              </w:rPr>
            </w:pPr>
            <w:r w:rsidRPr="001C1778">
              <w:rPr>
                <w:color w:val="000000"/>
                <w:sz w:val="16"/>
                <w:szCs w:val="16"/>
                <w:lang w:eastAsia="en-AU"/>
              </w:rPr>
              <w:t>Year 9</w:t>
            </w:r>
          </w:p>
        </w:tc>
        <w:tc>
          <w:tcPr>
            <w:tcW w:w="1958" w:type="dxa"/>
            <w:noWrap/>
            <w:tcMar>
              <w:top w:w="0" w:type="dxa"/>
              <w:left w:w="108" w:type="dxa"/>
              <w:bottom w:w="0" w:type="dxa"/>
              <w:right w:w="108" w:type="dxa"/>
            </w:tcMar>
            <w:vAlign w:val="bottom"/>
            <w:hideMark/>
          </w:tcPr>
          <w:p w14:paraId="143F6EEA"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608ECAAB"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6101DCC8"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1F7FDC9E"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073F6BD3"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5413E4" w:rsidRPr="001C1778" w14:paraId="0D7B978C" w14:textId="77777777" w:rsidTr="00F95C06">
        <w:trPr>
          <w:trHeight w:val="44"/>
          <w:jc w:val="center"/>
        </w:trPr>
        <w:tc>
          <w:tcPr>
            <w:tcW w:w="1187" w:type="dxa"/>
            <w:noWrap/>
            <w:tcMar>
              <w:top w:w="0" w:type="dxa"/>
              <w:left w:w="108" w:type="dxa"/>
              <w:bottom w:w="0" w:type="dxa"/>
              <w:right w:w="108" w:type="dxa"/>
            </w:tcMar>
            <w:vAlign w:val="bottom"/>
            <w:hideMark/>
          </w:tcPr>
          <w:p w14:paraId="65021D97" w14:textId="77777777" w:rsidR="005413E4" w:rsidRPr="001C1778" w:rsidRDefault="005413E4" w:rsidP="005413E4">
            <w:pPr>
              <w:rPr>
                <w:color w:val="000000"/>
                <w:sz w:val="16"/>
                <w:szCs w:val="16"/>
                <w:lang w:eastAsia="en-AU"/>
              </w:rPr>
            </w:pPr>
            <w:r w:rsidRPr="001C1778">
              <w:rPr>
                <w:color w:val="000000"/>
                <w:sz w:val="16"/>
                <w:szCs w:val="16"/>
                <w:lang w:eastAsia="en-AU"/>
              </w:rPr>
              <w:t>Year 10</w:t>
            </w:r>
          </w:p>
        </w:tc>
        <w:tc>
          <w:tcPr>
            <w:tcW w:w="1958" w:type="dxa"/>
            <w:noWrap/>
            <w:tcMar>
              <w:top w:w="0" w:type="dxa"/>
              <w:left w:w="108" w:type="dxa"/>
              <w:bottom w:w="0" w:type="dxa"/>
              <w:right w:w="108" w:type="dxa"/>
            </w:tcMar>
            <w:vAlign w:val="bottom"/>
            <w:hideMark/>
          </w:tcPr>
          <w:p w14:paraId="1D361FB8" w14:textId="77777777" w:rsidR="005413E4" w:rsidRPr="001C1778" w:rsidRDefault="005413E4" w:rsidP="005413E4">
            <w:pPr>
              <w:jc w:val="right"/>
              <w:rPr>
                <w:color w:val="000000"/>
                <w:sz w:val="16"/>
                <w:szCs w:val="16"/>
                <w:lang w:eastAsia="en-AU"/>
              </w:rPr>
            </w:pPr>
            <w:r w:rsidRPr="001C1778">
              <w:rPr>
                <w:color w:val="000000"/>
                <w:sz w:val="16"/>
                <w:szCs w:val="16"/>
                <w:lang w:eastAsia="en-AU"/>
              </w:rPr>
              <w:t>10</w:t>
            </w:r>
          </w:p>
        </w:tc>
        <w:tc>
          <w:tcPr>
            <w:tcW w:w="1608" w:type="dxa"/>
            <w:noWrap/>
            <w:tcMar>
              <w:top w:w="0" w:type="dxa"/>
              <w:left w:w="108" w:type="dxa"/>
              <w:bottom w:w="0" w:type="dxa"/>
              <w:right w:w="108" w:type="dxa"/>
            </w:tcMar>
            <w:vAlign w:val="bottom"/>
            <w:hideMark/>
          </w:tcPr>
          <w:p w14:paraId="406BA4F8" w14:textId="77777777" w:rsidR="005413E4" w:rsidRPr="001C1778" w:rsidRDefault="005413E4" w:rsidP="005413E4">
            <w:pPr>
              <w:jc w:val="right"/>
              <w:rPr>
                <w:color w:val="000000"/>
                <w:sz w:val="16"/>
                <w:szCs w:val="16"/>
                <w:lang w:eastAsia="en-AU"/>
              </w:rPr>
            </w:pPr>
            <w:r w:rsidRPr="001C1778">
              <w:rPr>
                <w:color w:val="000000"/>
                <w:sz w:val="16"/>
                <w:szCs w:val="16"/>
                <w:lang w:eastAsia="en-AU"/>
              </w:rPr>
              <w:t>1</w:t>
            </w:r>
          </w:p>
        </w:tc>
        <w:tc>
          <w:tcPr>
            <w:tcW w:w="1185" w:type="dxa"/>
            <w:noWrap/>
            <w:tcMar>
              <w:top w:w="0" w:type="dxa"/>
              <w:left w:w="108" w:type="dxa"/>
              <w:bottom w:w="0" w:type="dxa"/>
              <w:right w:w="108" w:type="dxa"/>
            </w:tcMar>
            <w:vAlign w:val="bottom"/>
            <w:hideMark/>
          </w:tcPr>
          <w:p w14:paraId="7CA490BC" w14:textId="77777777" w:rsidR="005413E4" w:rsidRPr="001C1778" w:rsidRDefault="005413E4" w:rsidP="005413E4">
            <w:pPr>
              <w:jc w:val="right"/>
              <w:rPr>
                <w:color w:val="000000"/>
                <w:sz w:val="16"/>
                <w:szCs w:val="16"/>
                <w:lang w:eastAsia="en-AU"/>
              </w:rPr>
            </w:pPr>
            <w:r w:rsidRPr="001C1778">
              <w:rPr>
                <w:color w:val="000000"/>
                <w:sz w:val="16"/>
                <w:szCs w:val="16"/>
                <w:lang w:eastAsia="en-AU"/>
              </w:rPr>
              <w:t>1.5</w:t>
            </w:r>
          </w:p>
        </w:tc>
        <w:tc>
          <w:tcPr>
            <w:tcW w:w="1233" w:type="dxa"/>
            <w:noWrap/>
            <w:tcMar>
              <w:top w:w="0" w:type="dxa"/>
              <w:left w:w="108" w:type="dxa"/>
              <w:bottom w:w="0" w:type="dxa"/>
              <w:right w:w="108" w:type="dxa"/>
            </w:tcMar>
            <w:vAlign w:val="bottom"/>
            <w:hideMark/>
          </w:tcPr>
          <w:p w14:paraId="505189E9" w14:textId="77777777" w:rsidR="005413E4" w:rsidRPr="001C1778" w:rsidRDefault="005413E4" w:rsidP="005413E4">
            <w:pPr>
              <w:jc w:val="right"/>
              <w:rPr>
                <w:color w:val="000000"/>
                <w:sz w:val="16"/>
                <w:szCs w:val="16"/>
                <w:lang w:eastAsia="en-AU"/>
              </w:rPr>
            </w:pPr>
            <w:r w:rsidRPr="001C1778">
              <w:rPr>
                <w:color w:val="000000"/>
                <w:sz w:val="16"/>
                <w:szCs w:val="16"/>
                <w:lang w:eastAsia="en-AU"/>
              </w:rPr>
              <w:t>$79.63</w:t>
            </w:r>
          </w:p>
        </w:tc>
        <w:tc>
          <w:tcPr>
            <w:tcW w:w="2033" w:type="dxa"/>
            <w:noWrap/>
            <w:tcMar>
              <w:top w:w="0" w:type="dxa"/>
              <w:left w:w="108" w:type="dxa"/>
              <w:bottom w:w="0" w:type="dxa"/>
              <w:right w:w="108" w:type="dxa"/>
            </w:tcMar>
            <w:hideMark/>
          </w:tcPr>
          <w:p w14:paraId="6324952C" w14:textId="77777777" w:rsidR="005413E4" w:rsidRPr="001C1778" w:rsidRDefault="005413E4" w:rsidP="005413E4">
            <w:pPr>
              <w:jc w:val="right"/>
              <w:rPr>
                <w:color w:val="000000"/>
                <w:sz w:val="16"/>
                <w:szCs w:val="16"/>
                <w:lang w:eastAsia="en-AU"/>
              </w:rPr>
            </w:pPr>
            <w:r w:rsidRPr="001C1778">
              <w:rPr>
                <w:color w:val="000000"/>
                <w:sz w:val="16"/>
                <w:szCs w:val="16"/>
                <w:lang w:eastAsia="en-AU"/>
              </w:rPr>
              <w:t>$1,194</w:t>
            </w:r>
          </w:p>
        </w:tc>
      </w:tr>
      <w:tr w:rsidR="00C560F1" w:rsidRPr="001C1778" w14:paraId="480A3413" w14:textId="77777777" w:rsidTr="00884F2C">
        <w:trPr>
          <w:trHeight w:val="257"/>
          <w:jc w:val="center"/>
        </w:trPr>
        <w:tc>
          <w:tcPr>
            <w:tcW w:w="1187" w:type="dxa"/>
            <w:noWrap/>
            <w:tcMar>
              <w:top w:w="0" w:type="dxa"/>
              <w:left w:w="108" w:type="dxa"/>
              <w:bottom w:w="0" w:type="dxa"/>
              <w:right w:w="108" w:type="dxa"/>
            </w:tcMar>
            <w:vAlign w:val="bottom"/>
            <w:hideMark/>
          </w:tcPr>
          <w:p w14:paraId="5971922D"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958" w:type="dxa"/>
            <w:noWrap/>
            <w:tcMar>
              <w:top w:w="0" w:type="dxa"/>
              <w:left w:w="108" w:type="dxa"/>
              <w:bottom w:w="0" w:type="dxa"/>
              <w:right w:w="108" w:type="dxa"/>
            </w:tcMar>
            <w:vAlign w:val="bottom"/>
            <w:hideMark/>
          </w:tcPr>
          <w:p w14:paraId="7501AAA7"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608" w:type="dxa"/>
            <w:noWrap/>
            <w:tcMar>
              <w:top w:w="0" w:type="dxa"/>
              <w:left w:w="108" w:type="dxa"/>
              <w:bottom w:w="0" w:type="dxa"/>
              <w:right w:w="108" w:type="dxa"/>
            </w:tcMar>
            <w:vAlign w:val="bottom"/>
            <w:hideMark/>
          </w:tcPr>
          <w:p w14:paraId="5BFCAE7F"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185" w:type="dxa"/>
            <w:noWrap/>
            <w:tcMar>
              <w:top w:w="0" w:type="dxa"/>
              <w:left w:w="108" w:type="dxa"/>
              <w:bottom w:w="0" w:type="dxa"/>
              <w:right w:w="108" w:type="dxa"/>
            </w:tcMar>
            <w:vAlign w:val="bottom"/>
            <w:hideMark/>
          </w:tcPr>
          <w:p w14:paraId="07BF1249"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233" w:type="dxa"/>
            <w:noWrap/>
            <w:tcMar>
              <w:top w:w="0" w:type="dxa"/>
              <w:left w:w="108" w:type="dxa"/>
              <w:bottom w:w="0" w:type="dxa"/>
              <w:right w:w="108" w:type="dxa"/>
            </w:tcMar>
            <w:vAlign w:val="bottom"/>
            <w:hideMark/>
          </w:tcPr>
          <w:p w14:paraId="482D2D52" w14:textId="77777777" w:rsidR="00C560F1" w:rsidRPr="001C1778" w:rsidRDefault="00715624" w:rsidP="004761F2">
            <w:pPr>
              <w:jc w:val="right"/>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tc>
        <w:tc>
          <w:tcPr>
            <w:tcW w:w="2033" w:type="dxa"/>
            <w:noWrap/>
            <w:tcMar>
              <w:top w:w="0" w:type="dxa"/>
              <w:left w:w="108" w:type="dxa"/>
              <w:bottom w:w="0" w:type="dxa"/>
              <w:right w:w="108" w:type="dxa"/>
            </w:tcMar>
            <w:vAlign w:val="bottom"/>
            <w:hideMark/>
          </w:tcPr>
          <w:p w14:paraId="0830827A" w14:textId="77777777" w:rsidR="00C560F1" w:rsidRPr="001C1778" w:rsidRDefault="005413E4" w:rsidP="002674AA">
            <w:pPr>
              <w:jc w:val="right"/>
              <w:rPr>
                <w:color w:val="000000"/>
                <w:sz w:val="16"/>
                <w:szCs w:val="16"/>
                <w:lang w:eastAsia="en-AU"/>
              </w:rPr>
            </w:pPr>
            <w:r w:rsidRPr="001C1778">
              <w:rPr>
                <w:color w:val="000000"/>
                <w:sz w:val="16"/>
                <w:szCs w:val="16"/>
                <w:lang w:eastAsia="en-AU"/>
              </w:rPr>
              <w:t>$11,945</w:t>
            </w:r>
            <w:r w:rsidR="00C560F1" w:rsidRPr="001C1778">
              <w:rPr>
                <w:color w:val="000000"/>
                <w:sz w:val="16"/>
                <w:szCs w:val="16"/>
                <w:lang w:eastAsia="en-AU"/>
              </w:rPr>
              <w:t xml:space="preserve"> </w:t>
            </w:r>
          </w:p>
        </w:tc>
      </w:tr>
    </w:tbl>
    <w:p w14:paraId="4A7C87C1" w14:textId="77777777" w:rsidR="008B0BED" w:rsidRPr="001C1778" w:rsidRDefault="008B0BED" w:rsidP="00CA2E17">
      <w:pPr>
        <w:spacing w:before="120" w:after="180"/>
        <w:rPr>
          <w:rFonts w:ascii="Calibri" w:eastAsia="Arial" w:hAnsi="Calibri" w:cs="Arial"/>
          <w:b/>
          <w:color w:val="auto"/>
        </w:rPr>
      </w:pPr>
      <w:r w:rsidRPr="001C1778">
        <w:rPr>
          <w:rFonts w:ascii="Calibri" w:eastAsia="Arial" w:hAnsi="Calibri" w:cs="Arial"/>
          <w:b/>
          <w:color w:val="auto"/>
        </w:rPr>
        <w:t>Ongoing training for staff</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Ongoing training for staff"/>
      </w:tblPr>
      <w:tblGrid>
        <w:gridCol w:w="1179"/>
        <w:gridCol w:w="1944"/>
        <w:gridCol w:w="1596"/>
        <w:gridCol w:w="1176"/>
        <w:gridCol w:w="1224"/>
        <w:gridCol w:w="2085"/>
      </w:tblGrid>
      <w:tr w:rsidR="00C560F1" w:rsidRPr="001C1778" w14:paraId="69C99003" w14:textId="77777777" w:rsidTr="00463E93">
        <w:trPr>
          <w:trHeight w:val="287"/>
          <w:jc w:val="center"/>
        </w:trPr>
        <w:tc>
          <w:tcPr>
            <w:tcW w:w="1179" w:type="dxa"/>
            <w:vMerge w:val="restart"/>
            <w:noWrap/>
            <w:tcMar>
              <w:top w:w="0" w:type="dxa"/>
              <w:left w:w="108" w:type="dxa"/>
              <w:bottom w:w="0" w:type="dxa"/>
              <w:right w:w="108" w:type="dxa"/>
            </w:tcMar>
            <w:vAlign w:val="bottom"/>
            <w:hideMark/>
          </w:tcPr>
          <w:p w14:paraId="2670E290" w14:textId="77777777" w:rsidR="00C560F1" w:rsidRPr="001C1778" w:rsidRDefault="00C560F1">
            <w:pPr>
              <w:jc w:val="center"/>
              <w:rPr>
                <w:color w:val="000000"/>
                <w:sz w:val="16"/>
                <w:szCs w:val="16"/>
                <w:lang w:eastAsia="en-AU"/>
              </w:rPr>
            </w:pPr>
            <w:r w:rsidRPr="001C1778">
              <w:rPr>
                <w:color w:val="000000"/>
                <w:sz w:val="16"/>
                <w:szCs w:val="16"/>
                <w:lang w:eastAsia="en-AU"/>
              </w:rPr>
              <w:t> </w:t>
            </w:r>
          </w:p>
        </w:tc>
        <w:tc>
          <w:tcPr>
            <w:tcW w:w="5940" w:type="dxa"/>
            <w:gridSpan w:val="4"/>
            <w:noWrap/>
            <w:tcMar>
              <w:top w:w="0" w:type="dxa"/>
              <w:left w:w="108" w:type="dxa"/>
              <w:bottom w:w="0" w:type="dxa"/>
              <w:right w:w="108" w:type="dxa"/>
            </w:tcMar>
            <w:vAlign w:val="bottom"/>
            <w:hideMark/>
          </w:tcPr>
          <w:p w14:paraId="53B073EC" w14:textId="77777777" w:rsidR="00C560F1" w:rsidRPr="001C1778" w:rsidRDefault="00C560F1" w:rsidP="00C560F1">
            <w:pPr>
              <w:jc w:val="center"/>
              <w:rPr>
                <w:color w:val="000000"/>
                <w:sz w:val="16"/>
                <w:szCs w:val="16"/>
                <w:lang w:eastAsia="en-AU"/>
              </w:rPr>
            </w:pPr>
            <w:r w:rsidRPr="001C1778">
              <w:rPr>
                <w:color w:val="000000"/>
                <w:sz w:val="16"/>
                <w:szCs w:val="16"/>
                <w:lang w:eastAsia="en-AU"/>
              </w:rPr>
              <w:t> All</w:t>
            </w:r>
          </w:p>
        </w:tc>
        <w:tc>
          <w:tcPr>
            <w:tcW w:w="2085" w:type="dxa"/>
            <w:vMerge w:val="restart"/>
            <w:noWrap/>
            <w:tcMar>
              <w:top w:w="0" w:type="dxa"/>
              <w:left w:w="108" w:type="dxa"/>
              <w:bottom w:w="0" w:type="dxa"/>
              <w:right w:w="108" w:type="dxa"/>
            </w:tcMar>
            <w:vAlign w:val="bottom"/>
            <w:hideMark/>
          </w:tcPr>
          <w:p w14:paraId="335BF4C2" w14:textId="77777777" w:rsidR="00C560F1" w:rsidRPr="001C1778" w:rsidRDefault="00715624">
            <w:pPr>
              <w:jc w:val="center"/>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tc>
      </w:tr>
      <w:tr w:rsidR="00C560F1" w:rsidRPr="001C1778" w14:paraId="36E426BA" w14:textId="77777777" w:rsidTr="00463E93">
        <w:trPr>
          <w:trHeight w:val="287"/>
          <w:jc w:val="center"/>
        </w:trPr>
        <w:tc>
          <w:tcPr>
            <w:tcW w:w="0" w:type="auto"/>
            <w:vMerge/>
            <w:vAlign w:val="center"/>
            <w:hideMark/>
          </w:tcPr>
          <w:p w14:paraId="74A6C59D" w14:textId="77777777" w:rsidR="00C560F1" w:rsidRPr="001C1778" w:rsidRDefault="00C560F1">
            <w:pPr>
              <w:rPr>
                <w:rFonts w:ascii="Calibri" w:hAnsi="Calibri" w:cs="Calibri"/>
                <w:color w:val="000000"/>
                <w:sz w:val="16"/>
                <w:szCs w:val="16"/>
                <w:lang w:eastAsia="en-AU"/>
              </w:rPr>
            </w:pPr>
          </w:p>
        </w:tc>
        <w:tc>
          <w:tcPr>
            <w:tcW w:w="1944" w:type="dxa"/>
            <w:noWrap/>
            <w:tcMar>
              <w:top w:w="0" w:type="dxa"/>
              <w:left w:w="108" w:type="dxa"/>
              <w:bottom w:w="0" w:type="dxa"/>
              <w:right w:w="108" w:type="dxa"/>
            </w:tcMar>
            <w:vAlign w:val="bottom"/>
            <w:hideMark/>
          </w:tcPr>
          <w:p w14:paraId="3CF801E9" w14:textId="77777777" w:rsidR="00C560F1" w:rsidRPr="001C1778" w:rsidRDefault="00C560F1">
            <w:pPr>
              <w:jc w:val="center"/>
              <w:rPr>
                <w:color w:val="000000"/>
                <w:sz w:val="16"/>
                <w:szCs w:val="16"/>
                <w:lang w:eastAsia="en-AU"/>
              </w:rPr>
            </w:pPr>
            <w:r w:rsidRPr="001C1778">
              <w:rPr>
                <w:color w:val="000000"/>
                <w:sz w:val="16"/>
                <w:szCs w:val="16"/>
                <w:lang w:eastAsia="en-AU"/>
              </w:rPr>
              <w:t>population</w:t>
            </w:r>
          </w:p>
        </w:tc>
        <w:tc>
          <w:tcPr>
            <w:tcW w:w="1596" w:type="dxa"/>
            <w:noWrap/>
            <w:tcMar>
              <w:top w:w="0" w:type="dxa"/>
              <w:left w:w="108" w:type="dxa"/>
              <w:bottom w:w="0" w:type="dxa"/>
              <w:right w:w="108" w:type="dxa"/>
            </w:tcMar>
            <w:vAlign w:val="bottom"/>
            <w:hideMark/>
          </w:tcPr>
          <w:p w14:paraId="116E1473" w14:textId="7130B570" w:rsidR="00C560F1" w:rsidRPr="001C1778" w:rsidRDefault="007140E7">
            <w:pPr>
              <w:rPr>
                <w:color w:val="000000"/>
                <w:sz w:val="16"/>
                <w:szCs w:val="16"/>
                <w:lang w:eastAsia="en-AU"/>
              </w:rPr>
            </w:pPr>
            <w:r>
              <w:rPr>
                <w:color w:val="000000"/>
                <w:sz w:val="16"/>
                <w:szCs w:val="16"/>
                <w:lang w:eastAsia="en-AU"/>
              </w:rPr>
              <w:t>number of</w:t>
            </w:r>
            <w:r w:rsidR="00C560F1" w:rsidRPr="001C1778">
              <w:rPr>
                <w:color w:val="000000"/>
                <w:sz w:val="16"/>
                <w:szCs w:val="16"/>
                <w:lang w:eastAsia="en-AU"/>
              </w:rPr>
              <w:t xml:space="preserve"> staff</w:t>
            </w:r>
          </w:p>
        </w:tc>
        <w:tc>
          <w:tcPr>
            <w:tcW w:w="1176" w:type="dxa"/>
            <w:noWrap/>
            <w:tcMar>
              <w:top w:w="0" w:type="dxa"/>
              <w:left w:w="108" w:type="dxa"/>
              <w:bottom w:w="0" w:type="dxa"/>
              <w:right w:w="108" w:type="dxa"/>
            </w:tcMar>
            <w:vAlign w:val="bottom"/>
            <w:hideMark/>
          </w:tcPr>
          <w:p w14:paraId="47133A39" w14:textId="77777777" w:rsidR="00C560F1" w:rsidRPr="001C1778" w:rsidRDefault="00C560F1">
            <w:pPr>
              <w:rPr>
                <w:color w:val="000000"/>
                <w:sz w:val="16"/>
                <w:szCs w:val="16"/>
                <w:lang w:eastAsia="en-AU"/>
              </w:rPr>
            </w:pPr>
            <w:r w:rsidRPr="001C1778">
              <w:rPr>
                <w:color w:val="000000"/>
                <w:sz w:val="16"/>
                <w:szCs w:val="16"/>
                <w:lang w:eastAsia="en-AU"/>
              </w:rPr>
              <w:t>time</w:t>
            </w:r>
          </w:p>
        </w:tc>
        <w:tc>
          <w:tcPr>
            <w:tcW w:w="1224" w:type="dxa"/>
            <w:noWrap/>
            <w:tcMar>
              <w:top w:w="0" w:type="dxa"/>
              <w:left w:w="108" w:type="dxa"/>
              <w:bottom w:w="0" w:type="dxa"/>
              <w:right w:w="108" w:type="dxa"/>
            </w:tcMar>
            <w:vAlign w:val="bottom"/>
            <w:hideMark/>
          </w:tcPr>
          <w:p w14:paraId="47AD6A42" w14:textId="77777777" w:rsidR="00C560F1" w:rsidRPr="001C1778" w:rsidRDefault="00C560F1">
            <w:pPr>
              <w:rPr>
                <w:color w:val="000000"/>
                <w:sz w:val="16"/>
                <w:szCs w:val="16"/>
                <w:lang w:eastAsia="en-AU"/>
              </w:rPr>
            </w:pPr>
            <w:r w:rsidRPr="001C1778">
              <w:rPr>
                <w:color w:val="000000"/>
                <w:sz w:val="16"/>
                <w:szCs w:val="16"/>
                <w:lang w:eastAsia="en-AU"/>
              </w:rPr>
              <w:t>cost</w:t>
            </w:r>
          </w:p>
        </w:tc>
        <w:tc>
          <w:tcPr>
            <w:tcW w:w="2085" w:type="dxa"/>
            <w:vMerge/>
            <w:vAlign w:val="center"/>
            <w:hideMark/>
          </w:tcPr>
          <w:p w14:paraId="62D23FBD" w14:textId="77777777" w:rsidR="00C560F1" w:rsidRPr="001C1778" w:rsidRDefault="00C560F1">
            <w:pPr>
              <w:rPr>
                <w:rFonts w:ascii="Calibri" w:hAnsi="Calibri" w:cs="Calibri"/>
                <w:color w:val="000000"/>
                <w:sz w:val="16"/>
                <w:szCs w:val="16"/>
                <w:lang w:eastAsia="en-AU"/>
              </w:rPr>
            </w:pPr>
          </w:p>
        </w:tc>
      </w:tr>
      <w:tr w:rsidR="00C560F1" w:rsidRPr="001C1778" w14:paraId="60695911" w14:textId="77777777" w:rsidTr="00463E93">
        <w:trPr>
          <w:trHeight w:val="287"/>
          <w:jc w:val="center"/>
        </w:trPr>
        <w:tc>
          <w:tcPr>
            <w:tcW w:w="1179" w:type="dxa"/>
            <w:noWrap/>
            <w:tcMar>
              <w:top w:w="0" w:type="dxa"/>
              <w:left w:w="108" w:type="dxa"/>
              <w:bottom w:w="0" w:type="dxa"/>
              <w:right w:w="108" w:type="dxa"/>
            </w:tcMar>
            <w:vAlign w:val="bottom"/>
            <w:hideMark/>
          </w:tcPr>
          <w:p w14:paraId="69AE8B14" w14:textId="77777777" w:rsidR="00C560F1" w:rsidRPr="001C1778" w:rsidRDefault="00C560F1">
            <w:pPr>
              <w:rPr>
                <w:color w:val="000000"/>
                <w:sz w:val="16"/>
                <w:szCs w:val="16"/>
                <w:lang w:eastAsia="en-AU"/>
              </w:rPr>
            </w:pPr>
            <w:r w:rsidRPr="001C1778">
              <w:rPr>
                <w:color w:val="000000"/>
                <w:sz w:val="16"/>
                <w:szCs w:val="16"/>
                <w:lang w:eastAsia="en-AU"/>
              </w:rPr>
              <w:t>Year 1</w:t>
            </w:r>
          </w:p>
        </w:tc>
        <w:tc>
          <w:tcPr>
            <w:tcW w:w="1944" w:type="dxa"/>
            <w:noWrap/>
            <w:tcMar>
              <w:top w:w="0" w:type="dxa"/>
              <w:left w:w="108" w:type="dxa"/>
              <w:bottom w:w="0" w:type="dxa"/>
              <w:right w:w="108" w:type="dxa"/>
            </w:tcMar>
            <w:vAlign w:val="bottom"/>
            <w:hideMark/>
          </w:tcPr>
          <w:p w14:paraId="681A727A" w14:textId="77777777" w:rsidR="00C560F1" w:rsidRPr="001C1778" w:rsidRDefault="00C560F1">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59A6A7F5" w14:textId="77777777" w:rsidR="00C560F1" w:rsidRPr="001C1778" w:rsidRDefault="00C560F1">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69864296" w14:textId="77777777" w:rsidR="00C560F1" w:rsidRPr="001C1778" w:rsidRDefault="00C560F1">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5EB55380" w14:textId="77777777" w:rsidR="00C560F1" w:rsidRPr="001C1778" w:rsidRDefault="002674AA">
            <w:pPr>
              <w:jc w:val="right"/>
              <w:rPr>
                <w:color w:val="000000"/>
                <w:sz w:val="16"/>
                <w:szCs w:val="16"/>
                <w:lang w:eastAsia="en-AU"/>
              </w:rPr>
            </w:pPr>
            <w:r w:rsidRPr="001C1778">
              <w:rPr>
                <w:color w:val="000000"/>
                <w:sz w:val="16"/>
                <w:szCs w:val="16"/>
                <w:lang w:eastAsia="en-AU"/>
              </w:rPr>
              <w:t>$</w:t>
            </w:r>
            <w:r w:rsidR="00C560F1"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6D513BA0" w14:textId="77777777" w:rsidR="00C560F1" w:rsidRPr="001C1778" w:rsidRDefault="00C560F1" w:rsidP="002674AA">
            <w:pPr>
              <w:jc w:val="right"/>
              <w:rPr>
                <w:color w:val="000000"/>
                <w:sz w:val="16"/>
                <w:szCs w:val="16"/>
                <w:lang w:eastAsia="en-AU"/>
              </w:rPr>
            </w:pPr>
            <w:r w:rsidRPr="001C1778">
              <w:rPr>
                <w:color w:val="000000"/>
                <w:sz w:val="16"/>
                <w:szCs w:val="16"/>
                <w:lang w:eastAsia="en-AU"/>
              </w:rPr>
              <w:t>$</w:t>
            </w:r>
            <w:r w:rsidR="002674AA" w:rsidRPr="001C1778">
              <w:rPr>
                <w:color w:val="000000"/>
                <w:sz w:val="16"/>
                <w:szCs w:val="16"/>
                <w:lang w:eastAsia="en-AU"/>
              </w:rPr>
              <w:t>358,335</w:t>
            </w:r>
          </w:p>
        </w:tc>
      </w:tr>
      <w:tr w:rsidR="002674AA" w:rsidRPr="001C1778" w14:paraId="3DF6A94B" w14:textId="77777777" w:rsidTr="00463E93">
        <w:trPr>
          <w:trHeight w:val="287"/>
          <w:jc w:val="center"/>
        </w:trPr>
        <w:tc>
          <w:tcPr>
            <w:tcW w:w="1179" w:type="dxa"/>
            <w:noWrap/>
            <w:tcMar>
              <w:top w:w="0" w:type="dxa"/>
              <w:left w:w="108" w:type="dxa"/>
              <w:bottom w:w="0" w:type="dxa"/>
              <w:right w:w="108" w:type="dxa"/>
            </w:tcMar>
            <w:vAlign w:val="bottom"/>
            <w:hideMark/>
          </w:tcPr>
          <w:p w14:paraId="448AC967" w14:textId="77777777" w:rsidR="002674AA" w:rsidRPr="001C1778" w:rsidRDefault="002674AA" w:rsidP="002674AA">
            <w:pPr>
              <w:rPr>
                <w:color w:val="000000"/>
                <w:sz w:val="16"/>
                <w:szCs w:val="16"/>
                <w:lang w:eastAsia="en-AU"/>
              </w:rPr>
            </w:pPr>
            <w:r w:rsidRPr="001C1778">
              <w:rPr>
                <w:color w:val="000000"/>
                <w:sz w:val="16"/>
                <w:szCs w:val="16"/>
                <w:lang w:eastAsia="en-AU"/>
              </w:rPr>
              <w:t>Year 2</w:t>
            </w:r>
          </w:p>
        </w:tc>
        <w:tc>
          <w:tcPr>
            <w:tcW w:w="1944" w:type="dxa"/>
            <w:noWrap/>
            <w:tcMar>
              <w:top w:w="0" w:type="dxa"/>
              <w:left w:w="108" w:type="dxa"/>
              <w:bottom w:w="0" w:type="dxa"/>
              <w:right w:w="108" w:type="dxa"/>
            </w:tcMar>
            <w:vAlign w:val="bottom"/>
            <w:hideMark/>
          </w:tcPr>
          <w:p w14:paraId="1B5D414C"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639EC205"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5C86299C"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21F71FD0"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208C35BF"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35CEB18B" w14:textId="77777777" w:rsidTr="00463E93">
        <w:trPr>
          <w:trHeight w:val="287"/>
          <w:jc w:val="center"/>
        </w:trPr>
        <w:tc>
          <w:tcPr>
            <w:tcW w:w="1179" w:type="dxa"/>
            <w:noWrap/>
            <w:tcMar>
              <w:top w:w="0" w:type="dxa"/>
              <w:left w:w="108" w:type="dxa"/>
              <w:bottom w:w="0" w:type="dxa"/>
              <w:right w:w="108" w:type="dxa"/>
            </w:tcMar>
            <w:vAlign w:val="bottom"/>
            <w:hideMark/>
          </w:tcPr>
          <w:p w14:paraId="3AC971F8" w14:textId="77777777" w:rsidR="002674AA" w:rsidRPr="001C1778" w:rsidRDefault="002674AA" w:rsidP="002674AA">
            <w:pPr>
              <w:rPr>
                <w:color w:val="000000"/>
                <w:sz w:val="16"/>
                <w:szCs w:val="16"/>
                <w:lang w:eastAsia="en-AU"/>
              </w:rPr>
            </w:pPr>
            <w:r w:rsidRPr="001C1778">
              <w:rPr>
                <w:color w:val="000000"/>
                <w:sz w:val="16"/>
                <w:szCs w:val="16"/>
                <w:lang w:eastAsia="en-AU"/>
              </w:rPr>
              <w:t>Year 3</w:t>
            </w:r>
          </w:p>
        </w:tc>
        <w:tc>
          <w:tcPr>
            <w:tcW w:w="1944" w:type="dxa"/>
            <w:noWrap/>
            <w:tcMar>
              <w:top w:w="0" w:type="dxa"/>
              <w:left w:w="108" w:type="dxa"/>
              <w:bottom w:w="0" w:type="dxa"/>
              <w:right w:w="108" w:type="dxa"/>
            </w:tcMar>
            <w:vAlign w:val="bottom"/>
            <w:hideMark/>
          </w:tcPr>
          <w:p w14:paraId="5D261B1F"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19EB60E9"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75F18CA7"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4EADE3D8"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000AB502"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306C76B7" w14:textId="77777777" w:rsidTr="00463E93">
        <w:trPr>
          <w:trHeight w:val="287"/>
          <w:jc w:val="center"/>
        </w:trPr>
        <w:tc>
          <w:tcPr>
            <w:tcW w:w="1179" w:type="dxa"/>
            <w:noWrap/>
            <w:tcMar>
              <w:top w:w="0" w:type="dxa"/>
              <w:left w:w="108" w:type="dxa"/>
              <w:bottom w:w="0" w:type="dxa"/>
              <w:right w:w="108" w:type="dxa"/>
            </w:tcMar>
            <w:vAlign w:val="bottom"/>
            <w:hideMark/>
          </w:tcPr>
          <w:p w14:paraId="557DF498" w14:textId="77777777" w:rsidR="002674AA" w:rsidRPr="001C1778" w:rsidRDefault="002674AA" w:rsidP="002674AA">
            <w:pPr>
              <w:rPr>
                <w:color w:val="000000"/>
                <w:sz w:val="16"/>
                <w:szCs w:val="16"/>
                <w:lang w:eastAsia="en-AU"/>
              </w:rPr>
            </w:pPr>
            <w:r w:rsidRPr="001C1778">
              <w:rPr>
                <w:color w:val="000000"/>
                <w:sz w:val="16"/>
                <w:szCs w:val="16"/>
                <w:lang w:eastAsia="en-AU"/>
              </w:rPr>
              <w:t>Year 4</w:t>
            </w:r>
          </w:p>
        </w:tc>
        <w:tc>
          <w:tcPr>
            <w:tcW w:w="1944" w:type="dxa"/>
            <w:noWrap/>
            <w:tcMar>
              <w:top w:w="0" w:type="dxa"/>
              <w:left w:w="108" w:type="dxa"/>
              <w:bottom w:w="0" w:type="dxa"/>
              <w:right w:w="108" w:type="dxa"/>
            </w:tcMar>
            <w:vAlign w:val="bottom"/>
            <w:hideMark/>
          </w:tcPr>
          <w:p w14:paraId="5C1D3D30"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68C14FB3"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5B1B6A21"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45C3679A"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746A6332"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4A3F98C2" w14:textId="77777777" w:rsidTr="00463E93">
        <w:trPr>
          <w:trHeight w:val="287"/>
          <w:jc w:val="center"/>
        </w:trPr>
        <w:tc>
          <w:tcPr>
            <w:tcW w:w="1179" w:type="dxa"/>
            <w:noWrap/>
            <w:tcMar>
              <w:top w:w="0" w:type="dxa"/>
              <w:left w:w="108" w:type="dxa"/>
              <w:bottom w:w="0" w:type="dxa"/>
              <w:right w:w="108" w:type="dxa"/>
            </w:tcMar>
            <w:vAlign w:val="bottom"/>
            <w:hideMark/>
          </w:tcPr>
          <w:p w14:paraId="4C132691" w14:textId="77777777" w:rsidR="002674AA" w:rsidRPr="001C1778" w:rsidRDefault="002674AA" w:rsidP="002674AA">
            <w:pPr>
              <w:rPr>
                <w:color w:val="000000"/>
                <w:sz w:val="16"/>
                <w:szCs w:val="16"/>
                <w:lang w:eastAsia="en-AU"/>
              </w:rPr>
            </w:pPr>
            <w:r w:rsidRPr="001C1778">
              <w:rPr>
                <w:color w:val="000000"/>
                <w:sz w:val="16"/>
                <w:szCs w:val="16"/>
                <w:lang w:eastAsia="en-AU"/>
              </w:rPr>
              <w:t>Year 5</w:t>
            </w:r>
          </w:p>
        </w:tc>
        <w:tc>
          <w:tcPr>
            <w:tcW w:w="1944" w:type="dxa"/>
            <w:noWrap/>
            <w:tcMar>
              <w:top w:w="0" w:type="dxa"/>
              <w:left w:w="108" w:type="dxa"/>
              <w:bottom w:w="0" w:type="dxa"/>
              <w:right w:w="108" w:type="dxa"/>
            </w:tcMar>
            <w:vAlign w:val="bottom"/>
            <w:hideMark/>
          </w:tcPr>
          <w:p w14:paraId="15BB6B96"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521B03FA"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71746748"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19AB30B7"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5778A430"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137B62ED" w14:textId="77777777" w:rsidTr="00463E93">
        <w:trPr>
          <w:trHeight w:val="287"/>
          <w:jc w:val="center"/>
        </w:trPr>
        <w:tc>
          <w:tcPr>
            <w:tcW w:w="1179" w:type="dxa"/>
            <w:noWrap/>
            <w:tcMar>
              <w:top w:w="0" w:type="dxa"/>
              <w:left w:w="108" w:type="dxa"/>
              <w:bottom w:w="0" w:type="dxa"/>
              <w:right w:w="108" w:type="dxa"/>
            </w:tcMar>
            <w:vAlign w:val="bottom"/>
            <w:hideMark/>
          </w:tcPr>
          <w:p w14:paraId="04D423B8" w14:textId="77777777" w:rsidR="002674AA" w:rsidRPr="001C1778" w:rsidRDefault="002674AA" w:rsidP="002674AA">
            <w:pPr>
              <w:rPr>
                <w:color w:val="000000"/>
                <w:sz w:val="16"/>
                <w:szCs w:val="16"/>
                <w:lang w:eastAsia="en-AU"/>
              </w:rPr>
            </w:pPr>
            <w:r w:rsidRPr="001C1778">
              <w:rPr>
                <w:color w:val="000000"/>
                <w:sz w:val="16"/>
                <w:szCs w:val="16"/>
                <w:lang w:eastAsia="en-AU"/>
              </w:rPr>
              <w:t>Year 6</w:t>
            </w:r>
          </w:p>
        </w:tc>
        <w:tc>
          <w:tcPr>
            <w:tcW w:w="1944" w:type="dxa"/>
            <w:noWrap/>
            <w:tcMar>
              <w:top w:w="0" w:type="dxa"/>
              <w:left w:w="108" w:type="dxa"/>
              <w:bottom w:w="0" w:type="dxa"/>
              <w:right w:w="108" w:type="dxa"/>
            </w:tcMar>
            <w:vAlign w:val="bottom"/>
            <w:hideMark/>
          </w:tcPr>
          <w:p w14:paraId="596B0A22"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7A708E58"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4B11B78F"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01BBD0E1"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1D48F8BE"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4BBD7C9F" w14:textId="77777777" w:rsidTr="00463E93">
        <w:trPr>
          <w:trHeight w:val="287"/>
          <w:jc w:val="center"/>
        </w:trPr>
        <w:tc>
          <w:tcPr>
            <w:tcW w:w="1179" w:type="dxa"/>
            <w:noWrap/>
            <w:tcMar>
              <w:top w:w="0" w:type="dxa"/>
              <w:left w:w="108" w:type="dxa"/>
              <w:bottom w:w="0" w:type="dxa"/>
              <w:right w:w="108" w:type="dxa"/>
            </w:tcMar>
            <w:vAlign w:val="bottom"/>
            <w:hideMark/>
          </w:tcPr>
          <w:p w14:paraId="7F8ED6AA" w14:textId="77777777" w:rsidR="002674AA" w:rsidRPr="001C1778" w:rsidRDefault="002674AA" w:rsidP="002674AA">
            <w:pPr>
              <w:rPr>
                <w:color w:val="000000"/>
                <w:sz w:val="16"/>
                <w:szCs w:val="16"/>
                <w:lang w:eastAsia="en-AU"/>
              </w:rPr>
            </w:pPr>
            <w:r w:rsidRPr="001C1778">
              <w:rPr>
                <w:color w:val="000000"/>
                <w:sz w:val="16"/>
                <w:szCs w:val="16"/>
                <w:lang w:eastAsia="en-AU"/>
              </w:rPr>
              <w:t>Year 7</w:t>
            </w:r>
          </w:p>
        </w:tc>
        <w:tc>
          <w:tcPr>
            <w:tcW w:w="1944" w:type="dxa"/>
            <w:noWrap/>
            <w:tcMar>
              <w:top w:w="0" w:type="dxa"/>
              <w:left w:w="108" w:type="dxa"/>
              <w:bottom w:w="0" w:type="dxa"/>
              <w:right w:w="108" w:type="dxa"/>
            </w:tcMar>
            <w:vAlign w:val="bottom"/>
            <w:hideMark/>
          </w:tcPr>
          <w:p w14:paraId="25CE3D48"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7411C101"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68263900"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1D6595BC"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5D2E13E1"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5BFF3778" w14:textId="77777777" w:rsidTr="00463E93">
        <w:trPr>
          <w:trHeight w:val="287"/>
          <w:jc w:val="center"/>
        </w:trPr>
        <w:tc>
          <w:tcPr>
            <w:tcW w:w="1179" w:type="dxa"/>
            <w:noWrap/>
            <w:tcMar>
              <w:top w:w="0" w:type="dxa"/>
              <w:left w:w="108" w:type="dxa"/>
              <w:bottom w:w="0" w:type="dxa"/>
              <w:right w:w="108" w:type="dxa"/>
            </w:tcMar>
            <w:vAlign w:val="bottom"/>
            <w:hideMark/>
          </w:tcPr>
          <w:p w14:paraId="3F62D074" w14:textId="77777777" w:rsidR="002674AA" w:rsidRPr="001C1778" w:rsidRDefault="002674AA" w:rsidP="002674AA">
            <w:pPr>
              <w:rPr>
                <w:color w:val="000000"/>
                <w:sz w:val="16"/>
                <w:szCs w:val="16"/>
                <w:lang w:eastAsia="en-AU"/>
              </w:rPr>
            </w:pPr>
            <w:r w:rsidRPr="001C1778">
              <w:rPr>
                <w:color w:val="000000"/>
                <w:sz w:val="16"/>
                <w:szCs w:val="16"/>
                <w:lang w:eastAsia="en-AU"/>
              </w:rPr>
              <w:t>Year 8</w:t>
            </w:r>
          </w:p>
        </w:tc>
        <w:tc>
          <w:tcPr>
            <w:tcW w:w="1944" w:type="dxa"/>
            <w:noWrap/>
            <w:tcMar>
              <w:top w:w="0" w:type="dxa"/>
              <w:left w:w="108" w:type="dxa"/>
              <w:bottom w:w="0" w:type="dxa"/>
              <w:right w:w="108" w:type="dxa"/>
            </w:tcMar>
            <w:vAlign w:val="bottom"/>
            <w:hideMark/>
          </w:tcPr>
          <w:p w14:paraId="4CE3D32C"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5B292170"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53F4B973"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6E7B62F7"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0E90970B"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6D4A4125" w14:textId="77777777" w:rsidTr="00463E93">
        <w:trPr>
          <w:trHeight w:val="287"/>
          <w:jc w:val="center"/>
        </w:trPr>
        <w:tc>
          <w:tcPr>
            <w:tcW w:w="1179" w:type="dxa"/>
            <w:noWrap/>
            <w:tcMar>
              <w:top w:w="0" w:type="dxa"/>
              <w:left w:w="108" w:type="dxa"/>
              <w:bottom w:w="0" w:type="dxa"/>
              <w:right w:w="108" w:type="dxa"/>
            </w:tcMar>
            <w:vAlign w:val="bottom"/>
            <w:hideMark/>
          </w:tcPr>
          <w:p w14:paraId="68FFD274" w14:textId="77777777" w:rsidR="002674AA" w:rsidRPr="001C1778" w:rsidRDefault="002674AA" w:rsidP="002674AA">
            <w:pPr>
              <w:rPr>
                <w:color w:val="000000"/>
                <w:sz w:val="16"/>
                <w:szCs w:val="16"/>
                <w:lang w:eastAsia="en-AU"/>
              </w:rPr>
            </w:pPr>
            <w:r w:rsidRPr="001C1778">
              <w:rPr>
                <w:color w:val="000000"/>
                <w:sz w:val="16"/>
                <w:szCs w:val="16"/>
                <w:lang w:eastAsia="en-AU"/>
              </w:rPr>
              <w:t>Year 9</w:t>
            </w:r>
          </w:p>
        </w:tc>
        <w:tc>
          <w:tcPr>
            <w:tcW w:w="1944" w:type="dxa"/>
            <w:noWrap/>
            <w:tcMar>
              <w:top w:w="0" w:type="dxa"/>
              <w:left w:w="108" w:type="dxa"/>
              <w:bottom w:w="0" w:type="dxa"/>
              <w:right w:w="108" w:type="dxa"/>
            </w:tcMar>
            <w:vAlign w:val="bottom"/>
            <w:hideMark/>
          </w:tcPr>
          <w:p w14:paraId="3939A081"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72CF5212"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168C7B3F"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2660D95C"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6C7F5E1C"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2674AA" w:rsidRPr="001C1778" w14:paraId="30CEAA42" w14:textId="77777777" w:rsidTr="00463E93">
        <w:trPr>
          <w:trHeight w:val="287"/>
          <w:jc w:val="center"/>
        </w:trPr>
        <w:tc>
          <w:tcPr>
            <w:tcW w:w="1179" w:type="dxa"/>
            <w:noWrap/>
            <w:tcMar>
              <w:top w:w="0" w:type="dxa"/>
              <w:left w:w="108" w:type="dxa"/>
              <w:bottom w:w="0" w:type="dxa"/>
              <w:right w:w="108" w:type="dxa"/>
            </w:tcMar>
            <w:vAlign w:val="bottom"/>
            <w:hideMark/>
          </w:tcPr>
          <w:p w14:paraId="54B214B6" w14:textId="77777777" w:rsidR="002674AA" w:rsidRPr="001C1778" w:rsidRDefault="002674AA" w:rsidP="002674AA">
            <w:pPr>
              <w:rPr>
                <w:color w:val="000000"/>
                <w:sz w:val="16"/>
                <w:szCs w:val="16"/>
                <w:lang w:eastAsia="en-AU"/>
              </w:rPr>
            </w:pPr>
            <w:r w:rsidRPr="001C1778">
              <w:rPr>
                <w:color w:val="000000"/>
                <w:sz w:val="16"/>
                <w:szCs w:val="16"/>
                <w:lang w:eastAsia="en-AU"/>
              </w:rPr>
              <w:t>Year 10</w:t>
            </w:r>
          </w:p>
        </w:tc>
        <w:tc>
          <w:tcPr>
            <w:tcW w:w="1944" w:type="dxa"/>
            <w:noWrap/>
            <w:tcMar>
              <w:top w:w="0" w:type="dxa"/>
              <w:left w:w="108" w:type="dxa"/>
              <w:bottom w:w="0" w:type="dxa"/>
              <w:right w:w="108" w:type="dxa"/>
            </w:tcMar>
            <w:vAlign w:val="bottom"/>
            <w:hideMark/>
          </w:tcPr>
          <w:p w14:paraId="4ED17617"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596" w:type="dxa"/>
            <w:noWrap/>
            <w:tcMar>
              <w:top w:w="0" w:type="dxa"/>
              <w:left w:w="108" w:type="dxa"/>
              <w:bottom w:w="0" w:type="dxa"/>
              <w:right w:w="108" w:type="dxa"/>
            </w:tcMar>
            <w:vAlign w:val="bottom"/>
            <w:hideMark/>
          </w:tcPr>
          <w:p w14:paraId="54AC2061" w14:textId="77777777" w:rsidR="002674AA" w:rsidRPr="001C1778" w:rsidRDefault="002674AA" w:rsidP="002674AA">
            <w:pPr>
              <w:jc w:val="right"/>
              <w:rPr>
                <w:color w:val="000000"/>
                <w:sz w:val="16"/>
                <w:szCs w:val="16"/>
                <w:lang w:eastAsia="en-AU"/>
              </w:rPr>
            </w:pPr>
            <w:r w:rsidRPr="001C1778">
              <w:rPr>
                <w:color w:val="000000"/>
                <w:sz w:val="16"/>
                <w:szCs w:val="16"/>
                <w:lang w:eastAsia="en-AU"/>
              </w:rPr>
              <w:t>1</w:t>
            </w:r>
          </w:p>
        </w:tc>
        <w:tc>
          <w:tcPr>
            <w:tcW w:w="1176" w:type="dxa"/>
            <w:noWrap/>
            <w:tcMar>
              <w:top w:w="0" w:type="dxa"/>
              <w:left w:w="108" w:type="dxa"/>
              <w:bottom w:w="0" w:type="dxa"/>
              <w:right w:w="108" w:type="dxa"/>
            </w:tcMar>
            <w:vAlign w:val="bottom"/>
            <w:hideMark/>
          </w:tcPr>
          <w:p w14:paraId="6A6302C6" w14:textId="77777777" w:rsidR="002674AA" w:rsidRPr="001C1778" w:rsidRDefault="002674AA" w:rsidP="002674AA">
            <w:pPr>
              <w:jc w:val="right"/>
              <w:rPr>
                <w:color w:val="000000"/>
                <w:sz w:val="16"/>
                <w:szCs w:val="16"/>
                <w:lang w:eastAsia="en-AU"/>
              </w:rPr>
            </w:pPr>
            <w:r w:rsidRPr="001C1778">
              <w:rPr>
                <w:color w:val="000000"/>
                <w:sz w:val="16"/>
                <w:szCs w:val="16"/>
                <w:lang w:eastAsia="en-AU"/>
              </w:rPr>
              <w:t>0.25</w:t>
            </w:r>
          </w:p>
        </w:tc>
        <w:tc>
          <w:tcPr>
            <w:tcW w:w="1224" w:type="dxa"/>
            <w:noWrap/>
            <w:tcMar>
              <w:top w:w="0" w:type="dxa"/>
              <w:left w:w="108" w:type="dxa"/>
              <w:bottom w:w="0" w:type="dxa"/>
              <w:right w:w="108" w:type="dxa"/>
            </w:tcMar>
            <w:vAlign w:val="bottom"/>
            <w:hideMark/>
          </w:tcPr>
          <w:p w14:paraId="736E6874"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5" w:type="dxa"/>
            <w:noWrap/>
            <w:tcMar>
              <w:top w:w="0" w:type="dxa"/>
              <w:left w:w="108" w:type="dxa"/>
              <w:bottom w:w="0" w:type="dxa"/>
              <w:right w:w="108" w:type="dxa"/>
            </w:tcMar>
            <w:vAlign w:val="bottom"/>
            <w:hideMark/>
          </w:tcPr>
          <w:p w14:paraId="6DAA1403" w14:textId="77777777" w:rsidR="002674AA" w:rsidRPr="001C1778" w:rsidRDefault="002674AA" w:rsidP="002674AA">
            <w:pPr>
              <w:jc w:val="right"/>
              <w:rPr>
                <w:color w:val="000000"/>
                <w:sz w:val="16"/>
                <w:szCs w:val="16"/>
                <w:lang w:eastAsia="en-AU"/>
              </w:rPr>
            </w:pPr>
            <w:r w:rsidRPr="001C1778">
              <w:rPr>
                <w:color w:val="000000"/>
                <w:sz w:val="16"/>
                <w:szCs w:val="16"/>
                <w:lang w:eastAsia="en-AU"/>
              </w:rPr>
              <w:t>$358,335</w:t>
            </w:r>
          </w:p>
        </w:tc>
      </w:tr>
      <w:tr w:rsidR="00C560F1" w:rsidRPr="001C1778" w14:paraId="44629318" w14:textId="77777777" w:rsidTr="00463E93">
        <w:trPr>
          <w:trHeight w:val="287"/>
          <w:jc w:val="center"/>
        </w:trPr>
        <w:tc>
          <w:tcPr>
            <w:tcW w:w="1179" w:type="dxa"/>
            <w:noWrap/>
            <w:tcMar>
              <w:top w:w="0" w:type="dxa"/>
              <w:left w:w="108" w:type="dxa"/>
              <w:bottom w:w="0" w:type="dxa"/>
              <w:right w:w="108" w:type="dxa"/>
            </w:tcMar>
            <w:vAlign w:val="bottom"/>
            <w:hideMark/>
          </w:tcPr>
          <w:p w14:paraId="03666080"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944" w:type="dxa"/>
            <w:noWrap/>
            <w:tcMar>
              <w:top w:w="0" w:type="dxa"/>
              <w:left w:w="108" w:type="dxa"/>
              <w:bottom w:w="0" w:type="dxa"/>
              <w:right w:w="108" w:type="dxa"/>
            </w:tcMar>
            <w:vAlign w:val="bottom"/>
            <w:hideMark/>
          </w:tcPr>
          <w:p w14:paraId="0990BCA9"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596" w:type="dxa"/>
            <w:noWrap/>
            <w:tcMar>
              <w:top w:w="0" w:type="dxa"/>
              <w:left w:w="108" w:type="dxa"/>
              <w:bottom w:w="0" w:type="dxa"/>
              <w:right w:w="108" w:type="dxa"/>
            </w:tcMar>
            <w:vAlign w:val="bottom"/>
            <w:hideMark/>
          </w:tcPr>
          <w:p w14:paraId="10A24EAD"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176" w:type="dxa"/>
            <w:noWrap/>
            <w:tcMar>
              <w:top w:w="0" w:type="dxa"/>
              <w:left w:w="108" w:type="dxa"/>
              <w:bottom w:w="0" w:type="dxa"/>
              <w:right w:w="108" w:type="dxa"/>
            </w:tcMar>
            <w:vAlign w:val="bottom"/>
            <w:hideMark/>
          </w:tcPr>
          <w:p w14:paraId="3DB10DED"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224" w:type="dxa"/>
            <w:noWrap/>
            <w:tcMar>
              <w:top w:w="0" w:type="dxa"/>
              <w:left w:w="108" w:type="dxa"/>
              <w:bottom w:w="0" w:type="dxa"/>
              <w:right w:w="108" w:type="dxa"/>
            </w:tcMar>
            <w:vAlign w:val="bottom"/>
            <w:hideMark/>
          </w:tcPr>
          <w:p w14:paraId="4C701716" w14:textId="77777777" w:rsidR="00C560F1" w:rsidRPr="001C1778" w:rsidRDefault="00715624">
            <w:pPr>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tc>
        <w:tc>
          <w:tcPr>
            <w:tcW w:w="2085" w:type="dxa"/>
            <w:noWrap/>
            <w:tcMar>
              <w:top w:w="0" w:type="dxa"/>
              <w:left w:w="108" w:type="dxa"/>
              <w:bottom w:w="0" w:type="dxa"/>
              <w:right w:w="108" w:type="dxa"/>
            </w:tcMar>
            <w:vAlign w:val="bottom"/>
            <w:hideMark/>
          </w:tcPr>
          <w:p w14:paraId="0332869B" w14:textId="77777777" w:rsidR="00C560F1" w:rsidRPr="001C1778" w:rsidRDefault="00C560F1" w:rsidP="002674AA">
            <w:pPr>
              <w:jc w:val="right"/>
              <w:rPr>
                <w:color w:val="000000"/>
                <w:sz w:val="16"/>
                <w:szCs w:val="16"/>
                <w:lang w:eastAsia="en-AU"/>
              </w:rPr>
            </w:pPr>
            <w:r w:rsidRPr="001C1778">
              <w:rPr>
                <w:color w:val="000000"/>
                <w:sz w:val="16"/>
                <w:szCs w:val="16"/>
                <w:lang w:eastAsia="en-AU"/>
              </w:rPr>
              <w:t>$3,583,350</w:t>
            </w:r>
          </w:p>
        </w:tc>
      </w:tr>
    </w:tbl>
    <w:p w14:paraId="45BDF355" w14:textId="77777777" w:rsidR="004A6F5F" w:rsidRDefault="004A6F5F">
      <w:pPr>
        <w:rPr>
          <w:rFonts w:ascii="Calibri" w:eastAsia="Arial" w:hAnsi="Calibri" w:cs="Arial"/>
          <w:b/>
          <w:color w:val="auto"/>
        </w:rPr>
      </w:pPr>
      <w:r>
        <w:rPr>
          <w:rFonts w:ascii="Calibri" w:eastAsia="Arial" w:hAnsi="Calibri" w:cs="Arial"/>
          <w:b/>
          <w:color w:val="auto"/>
        </w:rPr>
        <w:br w:type="page"/>
      </w:r>
    </w:p>
    <w:p w14:paraId="332BA4B5" w14:textId="6AFAE3C3" w:rsidR="008B0BED" w:rsidRPr="001C1778" w:rsidRDefault="00C560F1" w:rsidP="00CA2E17">
      <w:pPr>
        <w:spacing w:before="120" w:after="180"/>
        <w:rPr>
          <w:rFonts w:ascii="Calibri" w:eastAsia="Arial" w:hAnsi="Calibri" w:cs="Arial"/>
          <w:b/>
          <w:color w:val="auto"/>
        </w:rPr>
      </w:pPr>
      <w:r w:rsidRPr="001C1778">
        <w:rPr>
          <w:rFonts w:ascii="Calibri" w:eastAsia="Arial" w:hAnsi="Calibri" w:cs="Arial"/>
          <w:b/>
          <w:color w:val="auto"/>
        </w:rPr>
        <w:t xml:space="preserve">Annual Compliance </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nnual Compliance"/>
      </w:tblPr>
      <w:tblGrid>
        <w:gridCol w:w="1186"/>
        <w:gridCol w:w="1565"/>
        <w:gridCol w:w="1956"/>
        <w:gridCol w:w="1184"/>
        <w:gridCol w:w="1230"/>
        <w:gridCol w:w="2083"/>
      </w:tblGrid>
      <w:tr w:rsidR="00C560F1" w:rsidRPr="001C1778" w14:paraId="3B3E5FE7" w14:textId="77777777" w:rsidTr="00463E93">
        <w:trPr>
          <w:trHeight w:val="304"/>
          <w:jc w:val="center"/>
        </w:trPr>
        <w:tc>
          <w:tcPr>
            <w:tcW w:w="1186" w:type="dxa"/>
            <w:vMerge w:val="restart"/>
            <w:noWrap/>
            <w:tcMar>
              <w:top w:w="0" w:type="dxa"/>
              <w:left w:w="108" w:type="dxa"/>
              <w:bottom w:w="0" w:type="dxa"/>
              <w:right w:w="108" w:type="dxa"/>
            </w:tcMar>
            <w:vAlign w:val="bottom"/>
            <w:hideMark/>
          </w:tcPr>
          <w:p w14:paraId="2C5A7611" w14:textId="77777777" w:rsidR="00C560F1" w:rsidRPr="001C1778" w:rsidRDefault="00C560F1">
            <w:pPr>
              <w:jc w:val="center"/>
              <w:rPr>
                <w:color w:val="000000"/>
                <w:sz w:val="16"/>
                <w:szCs w:val="16"/>
                <w:lang w:eastAsia="en-AU"/>
              </w:rPr>
            </w:pPr>
            <w:r w:rsidRPr="001C1778">
              <w:rPr>
                <w:color w:val="000000"/>
                <w:sz w:val="16"/>
                <w:szCs w:val="16"/>
                <w:lang w:eastAsia="en-AU"/>
              </w:rPr>
              <w:t> </w:t>
            </w:r>
          </w:p>
        </w:tc>
        <w:tc>
          <w:tcPr>
            <w:tcW w:w="5935" w:type="dxa"/>
            <w:gridSpan w:val="4"/>
            <w:noWrap/>
            <w:tcMar>
              <w:top w:w="0" w:type="dxa"/>
              <w:left w:w="108" w:type="dxa"/>
              <w:bottom w:w="0" w:type="dxa"/>
              <w:right w:w="108" w:type="dxa"/>
            </w:tcMar>
            <w:vAlign w:val="bottom"/>
            <w:hideMark/>
          </w:tcPr>
          <w:p w14:paraId="25703A80" w14:textId="77777777" w:rsidR="00C560F1" w:rsidRPr="001C1778" w:rsidRDefault="00715624" w:rsidP="00715624">
            <w:pPr>
              <w:jc w:val="center"/>
              <w:rPr>
                <w:color w:val="000000"/>
                <w:sz w:val="16"/>
                <w:szCs w:val="16"/>
                <w:lang w:eastAsia="en-AU"/>
              </w:rPr>
            </w:pPr>
            <w:r w:rsidRPr="001C1778">
              <w:rPr>
                <w:color w:val="000000"/>
                <w:sz w:val="16"/>
                <w:szCs w:val="16"/>
                <w:lang w:eastAsia="en-AU"/>
              </w:rPr>
              <w:t>All</w:t>
            </w:r>
          </w:p>
        </w:tc>
        <w:tc>
          <w:tcPr>
            <w:tcW w:w="2083" w:type="dxa"/>
            <w:vMerge w:val="restart"/>
            <w:noWrap/>
            <w:tcMar>
              <w:top w:w="0" w:type="dxa"/>
              <w:left w:w="108" w:type="dxa"/>
              <w:bottom w:w="0" w:type="dxa"/>
              <w:right w:w="108" w:type="dxa"/>
            </w:tcMar>
            <w:vAlign w:val="bottom"/>
            <w:hideMark/>
          </w:tcPr>
          <w:p w14:paraId="5D810F8C" w14:textId="77777777" w:rsidR="00C560F1" w:rsidRPr="001C1778" w:rsidRDefault="00715624">
            <w:pPr>
              <w:jc w:val="center"/>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tc>
      </w:tr>
      <w:tr w:rsidR="00C560F1" w:rsidRPr="001C1778" w14:paraId="2ABFE176" w14:textId="77777777" w:rsidTr="00463E93">
        <w:trPr>
          <w:trHeight w:val="304"/>
          <w:jc w:val="center"/>
        </w:trPr>
        <w:tc>
          <w:tcPr>
            <w:tcW w:w="0" w:type="auto"/>
            <w:vMerge/>
            <w:vAlign w:val="center"/>
            <w:hideMark/>
          </w:tcPr>
          <w:p w14:paraId="62F1E5ED" w14:textId="77777777" w:rsidR="00C560F1" w:rsidRPr="001C1778" w:rsidRDefault="00C560F1">
            <w:pPr>
              <w:rPr>
                <w:rFonts w:ascii="Calibri" w:hAnsi="Calibri" w:cs="Calibri"/>
                <w:color w:val="000000"/>
                <w:sz w:val="16"/>
                <w:szCs w:val="16"/>
                <w:lang w:eastAsia="en-AU"/>
              </w:rPr>
            </w:pPr>
          </w:p>
        </w:tc>
        <w:tc>
          <w:tcPr>
            <w:tcW w:w="1565" w:type="dxa"/>
            <w:noWrap/>
            <w:tcMar>
              <w:top w:w="0" w:type="dxa"/>
              <w:left w:w="108" w:type="dxa"/>
              <w:bottom w:w="0" w:type="dxa"/>
              <w:right w:w="108" w:type="dxa"/>
            </w:tcMar>
            <w:vAlign w:val="bottom"/>
            <w:hideMark/>
          </w:tcPr>
          <w:p w14:paraId="750E9A19" w14:textId="77777777" w:rsidR="00C560F1" w:rsidRPr="001C1778" w:rsidRDefault="00C560F1">
            <w:pPr>
              <w:jc w:val="center"/>
              <w:rPr>
                <w:color w:val="000000"/>
                <w:sz w:val="16"/>
                <w:szCs w:val="16"/>
                <w:lang w:eastAsia="en-AU"/>
              </w:rPr>
            </w:pPr>
            <w:r w:rsidRPr="001C1778">
              <w:rPr>
                <w:color w:val="000000"/>
                <w:sz w:val="16"/>
                <w:szCs w:val="16"/>
                <w:lang w:eastAsia="en-AU"/>
              </w:rPr>
              <w:t>population</w:t>
            </w:r>
          </w:p>
        </w:tc>
        <w:tc>
          <w:tcPr>
            <w:tcW w:w="1956" w:type="dxa"/>
            <w:noWrap/>
            <w:tcMar>
              <w:top w:w="0" w:type="dxa"/>
              <w:left w:w="108" w:type="dxa"/>
              <w:bottom w:w="0" w:type="dxa"/>
              <w:right w:w="108" w:type="dxa"/>
            </w:tcMar>
            <w:vAlign w:val="bottom"/>
            <w:hideMark/>
          </w:tcPr>
          <w:p w14:paraId="4C3AAB97" w14:textId="6E6FD481" w:rsidR="00C560F1" w:rsidRPr="001C1778" w:rsidRDefault="007140E7">
            <w:pPr>
              <w:rPr>
                <w:color w:val="000000"/>
                <w:sz w:val="16"/>
                <w:szCs w:val="16"/>
                <w:lang w:eastAsia="en-AU"/>
              </w:rPr>
            </w:pPr>
            <w:r>
              <w:rPr>
                <w:color w:val="000000"/>
                <w:sz w:val="16"/>
                <w:szCs w:val="16"/>
                <w:lang w:eastAsia="en-AU"/>
              </w:rPr>
              <w:t>number of</w:t>
            </w:r>
            <w:r w:rsidR="00C560F1" w:rsidRPr="001C1778">
              <w:rPr>
                <w:color w:val="000000"/>
                <w:sz w:val="16"/>
                <w:szCs w:val="16"/>
                <w:lang w:eastAsia="en-AU"/>
              </w:rPr>
              <w:t xml:space="preserve"> staff</w:t>
            </w:r>
          </w:p>
        </w:tc>
        <w:tc>
          <w:tcPr>
            <w:tcW w:w="1184" w:type="dxa"/>
            <w:noWrap/>
            <w:tcMar>
              <w:top w:w="0" w:type="dxa"/>
              <w:left w:w="108" w:type="dxa"/>
              <w:bottom w:w="0" w:type="dxa"/>
              <w:right w:w="108" w:type="dxa"/>
            </w:tcMar>
            <w:vAlign w:val="bottom"/>
            <w:hideMark/>
          </w:tcPr>
          <w:p w14:paraId="01D59919" w14:textId="77777777" w:rsidR="00C560F1" w:rsidRPr="001C1778" w:rsidRDefault="00C560F1">
            <w:pPr>
              <w:rPr>
                <w:color w:val="000000"/>
                <w:sz w:val="16"/>
                <w:szCs w:val="16"/>
                <w:lang w:eastAsia="en-AU"/>
              </w:rPr>
            </w:pPr>
            <w:r w:rsidRPr="001C1778">
              <w:rPr>
                <w:color w:val="000000"/>
                <w:sz w:val="16"/>
                <w:szCs w:val="16"/>
                <w:lang w:eastAsia="en-AU"/>
              </w:rPr>
              <w:t>time</w:t>
            </w:r>
          </w:p>
        </w:tc>
        <w:tc>
          <w:tcPr>
            <w:tcW w:w="1230" w:type="dxa"/>
            <w:noWrap/>
            <w:tcMar>
              <w:top w:w="0" w:type="dxa"/>
              <w:left w:w="108" w:type="dxa"/>
              <w:bottom w:w="0" w:type="dxa"/>
              <w:right w:w="108" w:type="dxa"/>
            </w:tcMar>
            <w:vAlign w:val="bottom"/>
            <w:hideMark/>
          </w:tcPr>
          <w:p w14:paraId="7A5F145E" w14:textId="77777777" w:rsidR="00C560F1" w:rsidRPr="001C1778" w:rsidRDefault="00C560F1">
            <w:pPr>
              <w:rPr>
                <w:color w:val="000000"/>
                <w:sz w:val="16"/>
                <w:szCs w:val="16"/>
                <w:lang w:eastAsia="en-AU"/>
              </w:rPr>
            </w:pPr>
            <w:r w:rsidRPr="001C1778">
              <w:rPr>
                <w:color w:val="000000"/>
                <w:sz w:val="16"/>
                <w:szCs w:val="16"/>
                <w:lang w:eastAsia="en-AU"/>
              </w:rPr>
              <w:t>cost</w:t>
            </w:r>
          </w:p>
        </w:tc>
        <w:tc>
          <w:tcPr>
            <w:tcW w:w="2083" w:type="dxa"/>
            <w:vMerge/>
            <w:vAlign w:val="center"/>
            <w:hideMark/>
          </w:tcPr>
          <w:p w14:paraId="2C9D5483" w14:textId="77777777" w:rsidR="00C560F1" w:rsidRPr="001C1778" w:rsidRDefault="00C560F1">
            <w:pPr>
              <w:rPr>
                <w:rFonts w:ascii="Calibri" w:hAnsi="Calibri" w:cs="Calibri"/>
                <w:color w:val="000000"/>
                <w:sz w:val="16"/>
                <w:szCs w:val="16"/>
                <w:lang w:eastAsia="en-AU"/>
              </w:rPr>
            </w:pPr>
          </w:p>
        </w:tc>
      </w:tr>
      <w:tr w:rsidR="002674AA" w:rsidRPr="001C1778" w14:paraId="2804E231" w14:textId="77777777" w:rsidTr="00463E93">
        <w:trPr>
          <w:trHeight w:val="304"/>
          <w:jc w:val="center"/>
        </w:trPr>
        <w:tc>
          <w:tcPr>
            <w:tcW w:w="1186" w:type="dxa"/>
            <w:noWrap/>
            <w:tcMar>
              <w:top w:w="0" w:type="dxa"/>
              <w:left w:w="108" w:type="dxa"/>
              <w:bottom w:w="0" w:type="dxa"/>
              <w:right w:w="108" w:type="dxa"/>
            </w:tcMar>
            <w:vAlign w:val="bottom"/>
            <w:hideMark/>
          </w:tcPr>
          <w:p w14:paraId="1E39245E" w14:textId="77777777" w:rsidR="002674AA" w:rsidRPr="001C1778" w:rsidRDefault="002674AA" w:rsidP="002674AA">
            <w:pPr>
              <w:rPr>
                <w:color w:val="000000"/>
                <w:sz w:val="16"/>
                <w:szCs w:val="16"/>
                <w:lang w:eastAsia="en-AU"/>
              </w:rPr>
            </w:pPr>
            <w:r w:rsidRPr="001C1778">
              <w:rPr>
                <w:color w:val="000000"/>
                <w:sz w:val="16"/>
                <w:szCs w:val="16"/>
                <w:lang w:eastAsia="en-AU"/>
              </w:rPr>
              <w:t>Year 1</w:t>
            </w:r>
          </w:p>
        </w:tc>
        <w:tc>
          <w:tcPr>
            <w:tcW w:w="1565" w:type="dxa"/>
            <w:noWrap/>
            <w:tcMar>
              <w:top w:w="0" w:type="dxa"/>
              <w:left w:w="108" w:type="dxa"/>
              <w:bottom w:w="0" w:type="dxa"/>
              <w:right w:w="108" w:type="dxa"/>
            </w:tcMar>
            <w:vAlign w:val="bottom"/>
            <w:hideMark/>
          </w:tcPr>
          <w:p w14:paraId="1134DBFB"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33E7D7A5"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604895E7"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5BABAB43"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63D61C34" w14:textId="77777777" w:rsidR="002674AA" w:rsidRPr="001C1778" w:rsidRDefault="002674AA" w:rsidP="002674AA">
            <w:pPr>
              <w:jc w:val="right"/>
              <w:rPr>
                <w:color w:val="000000"/>
                <w:sz w:val="16"/>
                <w:szCs w:val="16"/>
                <w:lang w:eastAsia="en-AU"/>
              </w:rPr>
            </w:pPr>
            <w:r w:rsidRPr="001C1778">
              <w:rPr>
                <w:color w:val="000000"/>
                <w:sz w:val="16"/>
                <w:szCs w:val="16"/>
                <w:lang w:eastAsia="en-AU"/>
              </w:rPr>
              <w:t>$1,433,340</w:t>
            </w:r>
          </w:p>
        </w:tc>
      </w:tr>
      <w:tr w:rsidR="002674AA" w:rsidRPr="001C1778" w14:paraId="408364D4" w14:textId="77777777" w:rsidTr="00463E93">
        <w:trPr>
          <w:trHeight w:val="304"/>
          <w:jc w:val="center"/>
        </w:trPr>
        <w:tc>
          <w:tcPr>
            <w:tcW w:w="1186" w:type="dxa"/>
            <w:noWrap/>
            <w:tcMar>
              <w:top w:w="0" w:type="dxa"/>
              <w:left w:w="108" w:type="dxa"/>
              <w:bottom w:w="0" w:type="dxa"/>
              <w:right w:w="108" w:type="dxa"/>
            </w:tcMar>
            <w:vAlign w:val="bottom"/>
            <w:hideMark/>
          </w:tcPr>
          <w:p w14:paraId="5E662979" w14:textId="77777777" w:rsidR="002674AA" w:rsidRPr="001C1778" w:rsidRDefault="002674AA" w:rsidP="002674AA">
            <w:pPr>
              <w:rPr>
                <w:color w:val="000000"/>
                <w:sz w:val="16"/>
                <w:szCs w:val="16"/>
                <w:lang w:eastAsia="en-AU"/>
              </w:rPr>
            </w:pPr>
            <w:r w:rsidRPr="001C1778">
              <w:rPr>
                <w:color w:val="000000"/>
                <w:sz w:val="16"/>
                <w:szCs w:val="16"/>
                <w:lang w:eastAsia="en-AU"/>
              </w:rPr>
              <w:t>Year 2</w:t>
            </w:r>
          </w:p>
        </w:tc>
        <w:tc>
          <w:tcPr>
            <w:tcW w:w="1565" w:type="dxa"/>
            <w:noWrap/>
            <w:tcMar>
              <w:top w:w="0" w:type="dxa"/>
              <w:left w:w="108" w:type="dxa"/>
              <w:bottom w:w="0" w:type="dxa"/>
              <w:right w:w="108" w:type="dxa"/>
            </w:tcMar>
            <w:vAlign w:val="bottom"/>
            <w:hideMark/>
          </w:tcPr>
          <w:p w14:paraId="1051DF3A"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2FED6680"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4181F958"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32476B54"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78ED3E7E"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63503C4C" w14:textId="77777777" w:rsidTr="00463E93">
        <w:trPr>
          <w:trHeight w:val="304"/>
          <w:jc w:val="center"/>
        </w:trPr>
        <w:tc>
          <w:tcPr>
            <w:tcW w:w="1186" w:type="dxa"/>
            <w:noWrap/>
            <w:tcMar>
              <w:top w:w="0" w:type="dxa"/>
              <w:left w:w="108" w:type="dxa"/>
              <w:bottom w:w="0" w:type="dxa"/>
              <w:right w:w="108" w:type="dxa"/>
            </w:tcMar>
            <w:vAlign w:val="bottom"/>
            <w:hideMark/>
          </w:tcPr>
          <w:p w14:paraId="0BBFF901" w14:textId="77777777" w:rsidR="002674AA" w:rsidRPr="001C1778" w:rsidRDefault="002674AA" w:rsidP="002674AA">
            <w:pPr>
              <w:rPr>
                <w:color w:val="000000"/>
                <w:sz w:val="16"/>
                <w:szCs w:val="16"/>
                <w:lang w:eastAsia="en-AU"/>
              </w:rPr>
            </w:pPr>
            <w:r w:rsidRPr="001C1778">
              <w:rPr>
                <w:color w:val="000000"/>
                <w:sz w:val="16"/>
                <w:szCs w:val="16"/>
                <w:lang w:eastAsia="en-AU"/>
              </w:rPr>
              <w:t>Year 3</w:t>
            </w:r>
          </w:p>
        </w:tc>
        <w:tc>
          <w:tcPr>
            <w:tcW w:w="1565" w:type="dxa"/>
            <w:noWrap/>
            <w:tcMar>
              <w:top w:w="0" w:type="dxa"/>
              <w:left w:w="108" w:type="dxa"/>
              <w:bottom w:w="0" w:type="dxa"/>
              <w:right w:w="108" w:type="dxa"/>
            </w:tcMar>
            <w:vAlign w:val="bottom"/>
            <w:hideMark/>
          </w:tcPr>
          <w:p w14:paraId="5EC042A0"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10C8D4DC"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039AC282"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6324ACBF"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11040C15" w14:textId="77777777" w:rsidR="002674AA" w:rsidRPr="001C1778" w:rsidRDefault="002674AA" w:rsidP="002674AA">
            <w:pPr>
              <w:jc w:val="right"/>
              <w:rPr>
                <w:color w:val="000000"/>
                <w:sz w:val="16"/>
                <w:szCs w:val="16"/>
                <w:lang w:eastAsia="en-AU"/>
              </w:rPr>
            </w:pPr>
            <w:r w:rsidRPr="001C1778">
              <w:rPr>
                <w:color w:val="000000"/>
                <w:sz w:val="16"/>
                <w:szCs w:val="16"/>
                <w:lang w:eastAsia="en-AU"/>
              </w:rPr>
              <w:t>$1,433,340</w:t>
            </w:r>
          </w:p>
        </w:tc>
      </w:tr>
      <w:tr w:rsidR="002674AA" w:rsidRPr="001C1778" w14:paraId="4648B63D" w14:textId="77777777" w:rsidTr="00463E93">
        <w:trPr>
          <w:trHeight w:val="304"/>
          <w:jc w:val="center"/>
        </w:trPr>
        <w:tc>
          <w:tcPr>
            <w:tcW w:w="1186" w:type="dxa"/>
            <w:noWrap/>
            <w:tcMar>
              <w:top w:w="0" w:type="dxa"/>
              <w:left w:w="108" w:type="dxa"/>
              <w:bottom w:w="0" w:type="dxa"/>
              <w:right w:w="108" w:type="dxa"/>
            </w:tcMar>
            <w:vAlign w:val="bottom"/>
            <w:hideMark/>
          </w:tcPr>
          <w:p w14:paraId="18261211" w14:textId="77777777" w:rsidR="002674AA" w:rsidRPr="001C1778" w:rsidRDefault="002674AA" w:rsidP="002674AA">
            <w:pPr>
              <w:rPr>
                <w:color w:val="000000"/>
                <w:sz w:val="16"/>
                <w:szCs w:val="16"/>
                <w:lang w:eastAsia="en-AU"/>
              </w:rPr>
            </w:pPr>
            <w:r w:rsidRPr="001C1778">
              <w:rPr>
                <w:color w:val="000000"/>
                <w:sz w:val="16"/>
                <w:szCs w:val="16"/>
                <w:lang w:eastAsia="en-AU"/>
              </w:rPr>
              <w:t>Year 4</w:t>
            </w:r>
          </w:p>
        </w:tc>
        <w:tc>
          <w:tcPr>
            <w:tcW w:w="1565" w:type="dxa"/>
            <w:noWrap/>
            <w:tcMar>
              <w:top w:w="0" w:type="dxa"/>
              <w:left w:w="108" w:type="dxa"/>
              <w:bottom w:w="0" w:type="dxa"/>
              <w:right w:w="108" w:type="dxa"/>
            </w:tcMar>
            <w:vAlign w:val="bottom"/>
            <w:hideMark/>
          </w:tcPr>
          <w:p w14:paraId="078FE395"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361A7098"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2F5E4A2A"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4F500A05"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4C9D36B6"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21F9792A" w14:textId="77777777" w:rsidTr="00463E93">
        <w:trPr>
          <w:trHeight w:val="304"/>
          <w:jc w:val="center"/>
        </w:trPr>
        <w:tc>
          <w:tcPr>
            <w:tcW w:w="1186" w:type="dxa"/>
            <w:noWrap/>
            <w:tcMar>
              <w:top w:w="0" w:type="dxa"/>
              <w:left w:w="108" w:type="dxa"/>
              <w:bottom w:w="0" w:type="dxa"/>
              <w:right w:w="108" w:type="dxa"/>
            </w:tcMar>
            <w:vAlign w:val="bottom"/>
            <w:hideMark/>
          </w:tcPr>
          <w:p w14:paraId="6E841EFE" w14:textId="77777777" w:rsidR="002674AA" w:rsidRPr="001C1778" w:rsidRDefault="002674AA" w:rsidP="002674AA">
            <w:pPr>
              <w:rPr>
                <w:color w:val="000000"/>
                <w:sz w:val="16"/>
                <w:szCs w:val="16"/>
                <w:lang w:eastAsia="en-AU"/>
              </w:rPr>
            </w:pPr>
            <w:r w:rsidRPr="001C1778">
              <w:rPr>
                <w:color w:val="000000"/>
                <w:sz w:val="16"/>
                <w:szCs w:val="16"/>
                <w:lang w:eastAsia="en-AU"/>
              </w:rPr>
              <w:t>Year 5</w:t>
            </w:r>
          </w:p>
        </w:tc>
        <w:tc>
          <w:tcPr>
            <w:tcW w:w="1565" w:type="dxa"/>
            <w:noWrap/>
            <w:tcMar>
              <w:top w:w="0" w:type="dxa"/>
              <w:left w:w="108" w:type="dxa"/>
              <w:bottom w:w="0" w:type="dxa"/>
              <w:right w:w="108" w:type="dxa"/>
            </w:tcMar>
            <w:vAlign w:val="bottom"/>
            <w:hideMark/>
          </w:tcPr>
          <w:p w14:paraId="5DA5F87F"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433B14A6"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4C940F74"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6721A53D"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10CCF5AC"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7E81CECC" w14:textId="77777777" w:rsidTr="00463E93">
        <w:trPr>
          <w:trHeight w:val="304"/>
          <w:jc w:val="center"/>
        </w:trPr>
        <w:tc>
          <w:tcPr>
            <w:tcW w:w="1186" w:type="dxa"/>
            <w:noWrap/>
            <w:tcMar>
              <w:top w:w="0" w:type="dxa"/>
              <w:left w:w="108" w:type="dxa"/>
              <w:bottom w:w="0" w:type="dxa"/>
              <w:right w:w="108" w:type="dxa"/>
            </w:tcMar>
            <w:vAlign w:val="bottom"/>
            <w:hideMark/>
          </w:tcPr>
          <w:p w14:paraId="7AAA0424" w14:textId="77777777" w:rsidR="002674AA" w:rsidRPr="001C1778" w:rsidRDefault="002674AA" w:rsidP="002674AA">
            <w:pPr>
              <w:rPr>
                <w:color w:val="000000"/>
                <w:sz w:val="16"/>
                <w:szCs w:val="16"/>
                <w:lang w:eastAsia="en-AU"/>
              </w:rPr>
            </w:pPr>
            <w:r w:rsidRPr="001C1778">
              <w:rPr>
                <w:color w:val="000000"/>
                <w:sz w:val="16"/>
                <w:szCs w:val="16"/>
                <w:lang w:eastAsia="en-AU"/>
              </w:rPr>
              <w:t>Year 6</w:t>
            </w:r>
          </w:p>
        </w:tc>
        <w:tc>
          <w:tcPr>
            <w:tcW w:w="1565" w:type="dxa"/>
            <w:noWrap/>
            <w:tcMar>
              <w:top w:w="0" w:type="dxa"/>
              <w:left w:w="108" w:type="dxa"/>
              <w:bottom w:w="0" w:type="dxa"/>
              <w:right w:w="108" w:type="dxa"/>
            </w:tcMar>
            <w:vAlign w:val="bottom"/>
            <w:hideMark/>
          </w:tcPr>
          <w:p w14:paraId="676DC8A5"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79B74D9C"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08295A8D"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358396E2"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144036C5"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53B6E8C4" w14:textId="77777777" w:rsidTr="00463E93">
        <w:trPr>
          <w:trHeight w:val="304"/>
          <w:jc w:val="center"/>
        </w:trPr>
        <w:tc>
          <w:tcPr>
            <w:tcW w:w="1186" w:type="dxa"/>
            <w:noWrap/>
            <w:tcMar>
              <w:top w:w="0" w:type="dxa"/>
              <w:left w:w="108" w:type="dxa"/>
              <w:bottom w:w="0" w:type="dxa"/>
              <w:right w:w="108" w:type="dxa"/>
            </w:tcMar>
            <w:vAlign w:val="bottom"/>
            <w:hideMark/>
          </w:tcPr>
          <w:p w14:paraId="54E760E5" w14:textId="77777777" w:rsidR="002674AA" w:rsidRPr="001C1778" w:rsidRDefault="002674AA" w:rsidP="002674AA">
            <w:pPr>
              <w:rPr>
                <w:color w:val="000000"/>
                <w:sz w:val="16"/>
                <w:szCs w:val="16"/>
                <w:lang w:eastAsia="en-AU"/>
              </w:rPr>
            </w:pPr>
            <w:r w:rsidRPr="001C1778">
              <w:rPr>
                <w:color w:val="000000"/>
                <w:sz w:val="16"/>
                <w:szCs w:val="16"/>
                <w:lang w:eastAsia="en-AU"/>
              </w:rPr>
              <w:t>Year 7</w:t>
            </w:r>
          </w:p>
        </w:tc>
        <w:tc>
          <w:tcPr>
            <w:tcW w:w="1565" w:type="dxa"/>
            <w:noWrap/>
            <w:tcMar>
              <w:top w:w="0" w:type="dxa"/>
              <w:left w:w="108" w:type="dxa"/>
              <w:bottom w:w="0" w:type="dxa"/>
              <w:right w:w="108" w:type="dxa"/>
            </w:tcMar>
            <w:vAlign w:val="bottom"/>
            <w:hideMark/>
          </w:tcPr>
          <w:p w14:paraId="4B7D038A"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15FD9083"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3B9DC117"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2E055E7B"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1F066755" w14:textId="77777777" w:rsidR="002674AA" w:rsidRPr="001C1778" w:rsidRDefault="002674AA" w:rsidP="002674AA">
            <w:pPr>
              <w:jc w:val="right"/>
              <w:rPr>
                <w:color w:val="000000"/>
                <w:sz w:val="16"/>
                <w:szCs w:val="16"/>
                <w:lang w:eastAsia="en-AU"/>
              </w:rPr>
            </w:pPr>
            <w:r w:rsidRPr="001C1778">
              <w:rPr>
                <w:color w:val="000000"/>
                <w:sz w:val="16"/>
                <w:szCs w:val="16"/>
                <w:lang w:eastAsia="en-AU"/>
              </w:rPr>
              <w:t>$1,433,340</w:t>
            </w:r>
          </w:p>
        </w:tc>
      </w:tr>
      <w:tr w:rsidR="002674AA" w:rsidRPr="001C1778" w14:paraId="62172A1B" w14:textId="77777777" w:rsidTr="00463E93">
        <w:trPr>
          <w:trHeight w:val="304"/>
          <w:jc w:val="center"/>
        </w:trPr>
        <w:tc>
          <w:tcPr>
            <w:tcW w:w="1186" w:type="dxa"/>
            <w:noWrap/>
            <w:tcMar>
              <w:top w:w="0" w:type="dxa"/>
              <w:left w:w="108" w:type="dxa"/>
              <w:bottom w:w="0" w:type="dxa"/>
              <w:right w:w="108" w:type="dxa"/>
            </w:tcMar>
            <w:vAlign w:val="bottom"/>
            <w:hideMark/>
          </w:tcPr>
          <w:p w14:paraId="2B0C8C95" w14:textId="77777777" w:rsidR="002674AA" w:rsidRPr="001C1778" w:rsidRDefault="002674AA" w:rsidP="002674AA">
            <w:pPr>
              <w:rPr>
                <w:color w:val="000000"/>
                <w:sz w:val="16"/>
                <w:szCs w:val="16"/>
                <w:lang w:eastAsia="en-AU"/>
              </w:rPr>
            </w:pPr>
            <w:r w:rsidRPr="001C1778">
              <w:rPr>
                <w:color w:val="000000"/>
                <w:sz w:val="16"/>
                <w:szCs w:val="16"/>
                <w:lang w:eastAsia="en-AU"/>
              </w:rPr>
              <w:t>Year 8</w:t>
            </w:r>
          </w:p>
        </w:tc>
        <w:tc>
          <w:tcPr>
            <w:tcW w:w="1565" w:type="dxa"/>
            <w:noWrap/>
            <w:tcMar>
              <w:top w:w="0" w:type="dxa"/>
              <w:left w:w="108" w:type="dxa"/>
              <w:bottom w:w="0" w:type="dxa"/>
              <w:right w:w="108" w:type="dxa"/>
            </w:tcMar>
            <w:vAlign w:val="bottom"/>
            <w:hideMark/>
          </w:tcPr>
          <w:p w14:paraId="1B7A00C1"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327BB0AC"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4E35980A"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7916A480"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74B1BFC7"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0FA2B58A" w14:textId="77777777" w:rsidTr="00463E93">
        <w:trPr>
          <w:trHeight w:val="304"/>
          <w:jc w:val="center"/>
        </w:trPr>
        <w:tc>
          <w:tcPr>
            <w:tcW w:w="1186" w:type="dxa"/>
            <w:noWrap/>
            <w:tcMar>
              <w:top w:w="0" w:type="dxa"/>
              <w:left w:w="108" w:type="dxa"/>
              <w:bottom w:w="0" w:type="dxa"/>
              <w:right w:w="108" w:type="dxa"/>
            </w:tcMar>
            <w:vAlign w:val="bottom"/>
            <w:hideMark/>
          </w:tcPr>
          <w:p w14:paraId="2DB72E8B" w14:textId="77777777" w:rsidR="002674AA" w:rsidRPr="001C1778" w:rsidRDefault="002674AA" w:rsidP="002674AA">
            <w:pPr>
              <w:rPr>
                <w:color w:val="000000"/>
                <w:sz w:val="16"/>
                <w:szCs w:val="16"/>
                <w:lang w:eastAsia="en-AU"/>
              </w:rPr>
            </w:pPr>
            <w:r w:rsidRPr="001C1778">
              <w:rPr>
                <w:color w:val="000000"/>
                <w:sz w:val="16"/>
                <w:szCs w:val="16"/>
                <w:lang w:eastAsia="en-AU"/>
              </w:rPr>
              <w:t>Year 9</w:t>
            </w:r>
          </w:p>
        </w:tc>
        <w:tc>
          <w:tcPr>
            <w:tcW w:w="1565" w:type="dxa"/>
            <w:noWrap/>
            <w:tcMar>
              <w:top w:w="0" w:type="dxa"/>
              <w:left w:w="108" w:type="dxa"/>
              <w:bottom w:w="0" w:type="dxa"/>
              <w:right w:w="108" w:type="dxa"/>
            </w:tcMar>
            <w:vAlign w:val="bottom"/>
            <w:hideMark/>
          </w:tcPr>
          <w:p w14:paraId="67815114"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67104A26"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76F9847E"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5D5CDD2B"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4E9D9D27"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2674AA" w:rsidRPr="001C1778" w14:paraId="4586D32F" w14:textId="77777777" w:rsidTr="00463E93">
        <w:trPr>
          <w:trHeight w:val="304"/>
          <w:jc w:val="center"/>
        </w:trPr>
        <w:tc>
          <w:tcPr>
            <w:tcW w:w="1186" w:type="dxa"/>
            <w:noWrap/>
            <w:tcMar>
              <w:top w:w="0" w:type="dxa"/>
              <w:left w:w="108" w:type="dxa"/>
              <w:bottom w:w="0" w:type="dxa"/>
              <w:right w:w="108" w:type="dxa"/>
            </w:tcMar>
            <w:vAlign w:val="bottom"/>
            <w:hideMark/>
          </w:tcPr>
          <w:p w14:paraId="701B36D6" w14:textId="77777777" w:rsidR="002674AA" w:rsidRPr="001C1778" w:rsidRDefault="002674AA" w:rsidP="002674AA">
            <w:pPr>
              <w:rPr>
                <w:color w:val="000000"/>
                <w:sz w:val="16"/>
                <w:szCs w:val="16"/>
                <w:lang w:eastAsia="en-AU"/>
              </w:rPr>
            </w:pPr>
            <w:r w:rsidRPr="001C1778">
              <w:rPr>
                <w:color w:val="000000"/>
                <w:sz w:val="16"/>
                <w:szCs w:val="16"/>
                <w:lang w:eastAsia="en-AU"/>
              </w:rPr>
              <w:t>Year 10</w:t>
            </w:r>
          </w:p>
        </w:tc>
        <w:tc>
          <w:tcPr>
            <w:tcW w:w="1565" w:type="dxa"/>
            <w:noWrap/>
            <w:tcMar>
              <w:top w:w="0" w:type="dxa"/>
              <w:left w:w="108" w:type="dxa"/>
              <w:bottom w:w="0" w:type="dxa"/>
              <w:right w:w="108" w:type="dxa"/>
            </w:tcMar>
            <w:vAlign w:val="bottom"/>
            <w:hideMark/>
          </w:tcPr>
          <w:p w14:paraId="5F13A96D" w14:textId="77777777" w:rsidR="002674AA" w:rsidRPr="001C1778" w:rsidRDefault="002674AA" w:rsidP="002674AA">
            <w:pPr>
              <w:jc w:val="right"/>
              <w:rPr>
                <w:color w:val="000000"/>
                <w:sz w:val="16"/>
                <w:szCs w:val="16"/>
                <w:lang w:eastAsia="en-AU"/>
              </w:rPr>
            </w:pPr>
            <w:r w:rsidRPr="001C1778">
              <w:rPr>
                <w:color w:val="000000"/>
                <w:sz w:val="16"/>
                <w:szCs w:val="16"/>
                <w:lang w:eastAsia="en-AU"/>
              </w:rPr>
              <w:t>18000</w:t>
            </w:r>
          </w:p>
        </w:tc>
        <w:tc>
          <w:tcPr>
            <w:tcW w:w="1956" w:type="dxa"/>
            <w:noWrap/>
            <w:tcMar>
              <w:top w:w="0" w:type="dxa"/>
              <w:left w:w="108" w:type="dxa"/>
              <w:bottom w:w="0" w:type="dxa"/>
              <w:right w:w="108" w:type="dxa"/>
            </w:tcMar>
            <w:vAlign w:val="bottom"/>
            <w:hideMark/>
          </w:tcPr>
          <w:p w14:paraId="105793D7" w14:textId="77777777" w:rsidR="002674AA" w:rsidRPr="001C1778" w:rsidRDefault="002674AA" w:rsidP="002674AA">
            <w:pPr>
              <w:jc w:val="right"/>
              <w:rPr>
                <w:color w:val="000000"/>
                <w:sz w:val="16"/>
                <w:szCs w:val="16"/>
                <w:lang w:eastAsia="en-AU"/>
              </w:rPr>
            </w:pPr>
            <w:r w:rsidRPr="001C1778">
              <w:rPr>
                <w:color w:val="000000"/>
                <w:sz w:val="16"/>
                <w:szCs w:val="16"/>
                <w:lang w:eastAsia="en-AU"/>
              </w:rPr>
              <w:t>2</w:t>
            </w:r>
          </w:p>
        </w:tc>
        <w:tc>
          <w:tcPr>
            <w:tcW w:w="1184" w:type="dxa"/>
            <w:noWrap/>
            <w:tcMar>
              <w:top w:w="0" w:type="dxa"/>
              <w:left w:w="108" w:type="dxa"/>
              <w:bottom w:w="0" w:type="dxa"/>
              <w:right w:w="108" w:type="dxa"/>
            </w:tcMar>
            <w:vAlign w:val="bottom"/>
            <w:hideMark/>
          </w:tcPr>
          <w:p w14:paraId="0ACF5F66" w14:textId="77777777" w:rsidR="002674AA" w:rsidRPr="001C1778" w:rsidRDefault="002674AA" w:rsidP="002674AA">
            <w:pPr>
              <w:jc w:val="right"/>
              <w:rPr>
                <w:color w:val="000000"/>
                <w:sz w:val="16"/>
                <w:szCs w:val="16"/>
                <w:lang w:eastAsia="en-AU"/>
              </w:rPr>
            </w:pPr>
            <w:r w:rsidRPr="001C1778">
              <w:rPr>
                <w:color w:val="000000"/>
                <w:sz w:val="16"/>
                <w:szCs w:val="16"/>
                <w:lang w:eastAsia="en-AU"/>
              </w:rPr>
              <w:t>0.5</w:t>
            </w:r>
          </w:p>
        </w:tc>
        <w:tc>
          <w:tcPr>
            <w:tcW w:w="1230" w:type="dxa"/>
            <w:noWrap/>
            <w:tcMar>
              <w:top w:w="0" w:type="dxa"/>
              <w:left w:w="108" w:type="dxa"/>
              <w:bottom w:w="0" w:type="dxa"/>
              <w:right w:w="108" w:type="dxa"/>
            </w:tcMar>
            <w:vAlign w:val="bottom"/>
            <w:hideMark/>
          </w:tcPr>
          <w:p w14:paraId="508B79AF" w14:textId="77777777" w:rsidR="002674AA" w:rsidRPr="001C1778" w:rsidRDefault="002674AA" w:rsidP="002674AA">
            <w:pPr>
              <w:jc w:val="right"/>
              <w:rPr>
                <w:color w:val="000000"/>
                <w:sz w:val="16"/>
                <w:szCs w:val="16"/>
                <w:lang w:eastAsia="en-AU"/>
              </w:rPr>
            </w:pPr>
            <w:r w:rsidRPr="001C1778">
              <w:rPr>
                <w:color w:val="000000"/>
                <w:sz w:val="16"/>
                <w:szCs w:val="16"/>
                <w:lang w:eastAsia="en-AU"/>
              </w:rPr>
              <w:t>$79.63</w:t>
            </w:r>
          </w:p>
        </w:tc>
        <w:tc>
          <w:tcPr>
            <w:tcW w:w="2083" w:type="dxa"/>
            <w:noWrap/>
            <w:tcMar>
              <w:top w:w="0" w:type="dxa"/>
              <w:left w:w="108" w:type="dxa"/>
              <w:bottom w:w="0" w:type="dxa"/>
              <w:right w:w="108" w:type="dxa"/>
            </w:tcMar>
            <w:vAlign w:val="bottom"/>
            <w:hideMark/>
          </w:tcPr>
          <w:p w14:paraId="11C8202B" w14:textId="77777777" w:rsidR="002674AA" w:rsidRPr="001C1778" w:rsidRDefault="002674AA" w:rsidP="002674AA">
            <w:pPr>
              <w:jc w:val="right"/>
              <w:rPr>
                <w:color w:val="000000"/>
                <w:sz w:val="16"/>
                <w:szCs w:val="16"/>
                <w:lang w:eastAsia="en-AU"/>
              </w:rPr>
            </w:pPr>
            <w:r w:rsidRPr="001C1778">
              <w:rPr>
                <w:color w:val="000000"/>
                <w:sz w:val="16"/>
                <w:szCs w:val="16"/>
                <w:lang w:eastAsia="en-AU"/>
              </w:rPr>
              <w:t xml:space="preserve">$1,433,340 </w:t>
            </w:r>
          </w:p>
        </w:tc>
      </w:tr>
      <w:tr w:rsidR="00C560F1" w:rsidRPr="00884F2C" w14:paraId="51D42401" w14:textId="77777777" w:rsidTr="00463E93">
        <w:trPr>
          <w:trHeight w:val="304"/>
          <w:jc w:val="center"/>
        </w:trPr>
        <w:tc>
          <w:tcPr>
            <w:tcW w:w="1186" w:type="dxa"/>
            <w:noWrap/>
            <w:tcMar>
              <w:top w:w="0" w:type="dxa"/>
              <w:left w:w="108" w:type="dxa"/>
              <w:bottom w:w="0" w:type="dxa"/>
              <w:right w:w="108" w:type="dxa"/>
            </w:tcMar>
            <w:vAlign w:val="bottom"/>
            <w:hideMark/>
          </w:tcPr>
          <w:p w14:paraId="60608970"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565" w:type="dxa"/>
            <w:noWrap/>
            <w:tcMar>
              <w:top w:w="0" w:type="dxa"/>
              <w:left w:w="108" w:type="dxa"/>
              <w:bottom w:w="0" w:type="dxa"/>
              <w:right w:w="108" w:type="dxa"/>
            </w:tcMar>
            <w:vAlign w:val="bottom"/>
            <w:hideMark/>
          </w:tcPr>
          <w:p w14:paraId="728585F2"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956" w:type="dxa"/>
            <w:noWrap/>
            <w:tcMar>
              <w:top w:w="0" w:type="dxa"/>
              <w:left w:w="108" w:type="dxa"/>
              <w:bottom w:w="0" w:type="dxa"/>
              <w:right w:w="108" w:type="dxa"/>
            </w:tcMar>
            <w:vAlign w:val="bottom"/>
            <w:hideMark/>
          </w:tcPr>
          <w:p w14:paraId="07708336"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184" w:type="dxa"/>
            <w:noWrap/>
            <w:tcMar>
              <w:top w:w="0" w:type="dxa"/>
              <w:left w:w="108" w:type="dxa"/>
              <w:bottom w:w="0" w:type="dxa"/>
              <w:right w:w="108" w:type="dxa"/>
            </w:tcMar>
            <w:vAlign w:val="bottom"/>
            <w:hideMark/>
          </w:tcPr>
          <w:p w14:paraId="0266707C" w14:textId="77777777" w:rsidR="00C560F1" w:rsidRPr="001C1778" w:rsidRDefault="00C560F1">
            <w:pPr>
              <w:rPr>
                <w:color w:val="000000"/>
                <w:sz w:val="16"/>
                <w:szCs w:val="16"/>
                <w:lang w:eastAsia="en-AU"/>
              </w:rPr>
            </w:pPr>
            <w:r w:rsidRPr="001C1778">
              <w:rPr>
                <w:color w:val="000000"/>
                <w:sz w:val="16"/>
                <w:szCs w:val="16"/>
                <w:lang w:eastAsia="en-AU"/>
              </w:rPr>
              <w:t> </w:t>
            </w:r>
          </w:p>
        </w:tc>
        <w:tc>
          <w:tcPr>
            <w:tcW w:w="1230" w:type="dxa"/>
            <w:noWrap/>
            <w:tcMar>
              <w:top w:w="0" w:type="dxa"/>
              <w:left w:w="108" w:type="dxa"/>
              <w:bottom w:w="0" w:type="dxa"/>
              <w:right w:w="108" w:type="dxa"/>
            </w:tcMar>
            <w:vAlign w:val="bottom"/>
            <w:hideMark/>
          </w:tcPr>
          <w:p w14:paraId="2EF5EB90" w14:textId="77777777" w:rsidR="00C560F1" w:rsidRPr="001C1778" w:rsidRDefault="00715624">
            <w:pPr>
              <w:rPr>
                <w:color w:val="000000"/>
                <w:sz w:val="16"/>
                <w:szCs w:val="16"/>
                <w:lang w:eastAsia="en-AU"/>
              </w:rPr>
            </w:pPr>
            <w:r w:rsidRPr="001C1778">
              <w:rPr>
                <w:color w:val="000000"/>
                <w:sz w:val="16"/>
                <w:szCs w:val="16"/>
                <w:lang w:eastAsia="en-AU"/>
              </w:rPr>
              <w:t>T</w:t>
            </w:r>
            <w:r w:rsidR="00C560F1" w:rsidRPr="001C1778">
              <w:rPr>
                <w:color w:val="000000"/>
                <w:sz w:val="16"/>
                <w:szCs w:val="16"/>
                <w:lang w:eastAsia="en-AU"/>
              </w:rPr>
              <w:t>otal</w:t>
            </w:r>
          </w:p>
        </w:tc>
        <w:tc>
          <w:tcPr>
            <w:tcW w:w="2083" w:type="dxa"/>
            <w:noWrap/>
            <w:tcMar>
              <w:top w:w="0" w:type="dxa"/>
              <w:left w:w="108" w:type="dxa"/>
              <w:bottom w:w="0" w:type="dxa"/>
              <w:right w:w="108" w:type="dxa"/>
            </w:tcMar>
            <w:vAlign w:val="bottom"/>
            <w:hideMark/>
          </w:tcPr>
          <w:p w14:paraId="2B5AB4BB" w14:textId="77777777" w:rsidR="00C560F1" w:rsidRPr="00884F2C" w:rsidRDefault="00C560F1" w:rsidP="002674AA">
            <w:pPr>
              <w:jc w:val="right"/>
              <w:rPr>
                <w:color w:val="000000"/>
                <w:sz w:val="16"/>
                <w:szCs w:val="16"/>
                <w:lang w:eastAsia="en-AU"/>
              </w:rPr>
            </w:pPr>
            <w:r w:rsidRPr="001C1778">
              <w:rPr>
                <w:color w:val="000000"/>
                <w:sz w:val="16"/>
                <w:szCs w:val="16"/>
                <w:lang w:eastAsia="en-AU"/>
              </w:rPr>
              <w:t>$14,333,400</w:t>
            </w:r>
            <w:r w:rsidRPr="00884F2C">
              <w:rPr>
                <w:color w:val="000000"/>
                <w:sz w:val="16"/>
                <w:szCs w:val="16"/>
                <w:lang w:eastAsia="en-AU"/>
              </w:rPr>
              <w:t xml:space="preserve"> </w:t>
            </w:r>
          </w:p>
        </w:tc>
      </w:tr>
    </w:tbl>
    <w:p w14:paraId="52760B6F" w14:textId="149F8A28" w:rsidR="00570B5B" w:rsidRDefault="00060B11" w:rsidP="00CA2E17">
      <w:pPr>
        <w:spacing w:before="120" w:after="180"/>
        <w:rPr>
          <w:rFonts w:ascii="Calibri" w:eastAsia="Arial" w:hAnsi="Calibri" w:cs="Arial"/>
          <w:color w:val="auto"/>
        </w:rPr>
      </w:pPr>
      <w:r>
        <w:rPr>
          <w:rFonts w:ascii="Calibri" w:eastAsia="Arial" w:hAnsi="Calibri" w:cs="Arial"/>
          <w:color w:val="auto"/>
        </w:rPr>
        <w:t xml:space="preserve">We assume that there will be only </w:t>
      </w:r>
      <w:r w:rsidR="008B0BED">
        <w:rPr>
          <w:rFonts w:ascii="Calibri" w:eastAsia="Arial" w:hAnsi="Calibri" w:cs="Arial"/>
          <w:color w:val="auto"/>
        </w:rPr>
        <w:t>1</w:t>
      </w:r>
      <w:r w:rsidR="00C04F36">
        <w:rPr>
          <w:rFonts w:ascii="Calibri" w:eastAsia="Arial" w:hAnsi="Calibri" w:cs="Arial"/>
          <w:color w:val="auto"/>
        </w:rPr>
        <w:t>0</w:t>
      </w:r>
      <w:r>
        <w:rPr>
          <w:rFonts w:ascii="Calibri" w:eastAsia="Arial" w:hAnsi="Calibri" w:cs="Arial"/>
          <w:color w:val="auto"/>
        </w:rPr>
        <w:t xml:space="preserve"> new merchants per year signing up to be an IM merchant. The low number is because IM has been in the market for an extended period and therefore the market </w:t>
      </w:r>
      <w:r w:rsidR="00570B5B">
        <w:rPr>
          <w:rFonts w:ascii="Calibri" w:eastAsia="Arial" w:hAnsi="Calibri" w:cs="Arial"/>
          <w:color w:val="auto"/>
        </w:rPr>
        <w:t>for new merchants has matured</w:t>
      </w:r>
      <w:r>
        <w:rPr>
          <w:rFonts w:ascii="Calibri" w:eastAsia="Arial" w:hAnsi="Calibri" w:cs="Arial"/>
          <w:color w:val="auto"/>
        </w:rPr>
        <w:t xml:space="preserve">. </w:t>
      </w:r>
      <w:r w:rsidR="00DA4E79">
        <w:rPr>
          <w:rFonts w:ascii="Calibri" w:eastAsia="Arial" w:hAnsi="Calibri" w:cs="Arial"/>
          <w:color w:val="auto"/>
        </w:rPr>
        <w:t xml:space="preserve">The 10 new merchants will be those that </w:t>
      </w:r>
      <w:r w:rsidR="00DA4E79">
        <w:rPr>
          <w:rFonts w:ascii="Calibri" w:eastAsia="Calibri" w:hAnsi="Calibri" w:cs="Times New Roman"/>
          <w:color w:val="262626"/>
        </w:rPr>
        <w:t xml:space="preserve">change hands during the year and need to learn the IM system. </w:t>
      </w:r>
      <w:r w:rsidR="0030544D">
        <w:rPr>
          <w:rFonts w:ascii="Calibri" w:eastAsia="Arial" w:hAnsi="Calibri" w:cs="Arial"/>
          <w:color w:val="auto"/>
        </w:rPr>
        <w:t>I</w:t>
      </w:r>
      <w:r>
        <w:rPr>
          <w:rFonts w:ascii="Calibri" w:eastAsia="Arial" w:hAnsi="Calibri" w:cs="Arial"/>
          <w:color w:val="auto"/>
        </w:rPr>
        <w:t xml:space="preserve">t is </w:t>
      </w:r>
      <w:r w:rsidR="0030544D">
        <w:rPr>
          <w:rFonts w:ascii="Calibri" w:eastAsia="Arial" w:hAnsi="Calibri" w:cs="Arial"/>
          <w:color w:val="auto"/>
        </w:rPr>
        <w:t>also</w:t>
      </w:r>
      <w:r>
        <w:rPr>
          <w:rFonts w:ascii="Calibri" w:eastAsia="Arial" w:hAnsi="Calibri" w:cs="Arial"/>
          <w:color w:val="auto"/>
        </w:rPr>
        <w:t xml:space="preserve"> expected IM merchants will be require</w:t>
      </w:r>
      <w:r w:rsidR="00B4697C">
        <w:rPr>
          <w:rFonts w:ascii="Calibri" w:eastAsia="Arial" w:hAnsi="Calibri" w:cs="Arial"/>
          <w:color w:val="auto"/>
        </w:rPr>
        <w:t>d to provide ongoing training for</w:t>
      </w:r>
      <w:r>
        <w:rPr>
          <w:rFonts w:ascii="Calibri" w:eastAsia="Arial" w:hAnsi="Calibri" w:cs="Arial"/>
          <w:color w:val="auto"/>
        </w:rPr>
        <w:t xml:space="preserve"> </w:t>
      </w:r>
      <w:r w:rsidR="007A099E">
        <w:rPr>
          <w:rFonts w:ascii="Calibri" w:eastAsia="Arial" w:hAnsi="Calibri" w:cs="Arial"/>
          <w:color w:val="auto"/>
        </w:rPr>
        <w:t>1</w:t>
      </w:r>
      <w:r>
        <w:rPr>
          <w:rFonts w:ascii="Calibri" w:eastAsia="Arial" w:hAnsi="Calibri" w:cs="Arial"/>
          <w:color w:val="auto"/>
        </w:rPr>
        <w:t xml:space="preserve"> staff </w:t>
      </w:r>
      <w:r w:rsidR="00B4697C">
        <w:rPr>
          <w:rFonts w:ascii="Calibri" w:eastAsia="Arial" w:hAnsi="Calibri" w:cs="Arial"/>
          <w:color w:val="auto"/>
        </w:rPr>
        <w:t xml:space="preserve">member </w:t>
      </w:r>
      <w:r>
        <w:rPr>
          <w:rFonts w:ascii="Calibri" w:eastAsia="Arial" w:hAnsi="Calibri" w:cs="Arial"/>
          <w:color w:val="auto"/>
        </w:rPr>
        <w:t>for 15 min</w:t>
      </w:r>
      <w:r w:rsidR="00172800">
        <w:rPr>
          <w:rFonts w:ascii="Calibri" w:eastAsia="Arial" w:hAnsi="Calibri" w:cs="Arial"/>
          <w:color w:val="auto"/>
        </w:rPr>
        <w:t>ute</w:t>
      </w:r>
      <w:r w:rsidR="008B6EFB">
        <w:rPr>
          <w:rFonts w:ascii="Calibri" w:eastAsia="Arial" w:hAnsi="Calibri" w:cs="Arial"/>
          <w:color w:val="auto"/>
        </w:rPr>
        <w:t>s each year.</w:t>
      </w:r>
    </w:p>
    <w:p w14:paraId="15A18FB2" w14:textId="77777777" w:rsidR="003E48A5" w:rsidRPr="00E7007C" w:rsidRDefault="00060C79" w:rsidP="00CA2E17">
      <w:pPr>
        <w:spacing w:before="120" w:after="180"/>
        <w:rPr>
          <w:rFonts w:ascii="Calibri" w:eastAsia="Calibri" w:hAnsi="Calibri" w:cs="Times New Roman"/>
          <w:bCs/>
          <w:color w:val="auto"/>
        </w:rPr>
      </w:pPr>
      <w:r w:rsidRPr="00E7007C">
        <w:rPr>
          <w:rFonts w:ascii="Calibri" w:eastAsia="Arial" w:hAnsi="Calibri" w:cs="Arial"/>
          <w:b/>
          <w:color w:val="auto"/>
        </w:rPr>
        <w:t>Net Benefit</w:t>
      </w:r>
    </w:p>
    <w:p w14:paraId="7212687E" w14:textId="77777777" w:rsidR="003E48A5" w:rsidRDefault="00602770" w:rsidP="00B53BF0">
      <w:pPr>
        <w:spacing w:before="120" w:after="180" w:line="280" w:lineRule="atLeast"/>
        <w:textAlignment w:val="center"/>
        <w:rPr>
          <w:color w:val="auto"/>
          <w:lang w:eastAsia="en-AU"/>
        </w:rPr>
      </w:pPr>
      <w:r w:rsidRPr="00B53BF0">
        <w:rPr>
          <w:color w:val="auto"/>
          <w:lang w:eastAsia="en-AU"/>
        </w:rPr>
        <w:t>Some m</w:t>
      </w:r>
      <w:r w:rsidR="003E48A5" w:rsidRPr="00B53BF0">
        <w:rPr>
          <w:color w:val="auto"/>
          <w:lang w:eastAsia="en-AU"/>
        </w:rPr>
        <w:t xml:space="preserve">erchants </w:t>
      </w:r>
      <w:r w:rsidR="009740DD" w:rsidRPr="00B53BF0">
        <w:rPr>
          <w:color w:val="auto"/>
          <w:lang w:eastAsia="en-AU"/>
        </w:rPr>
        <w:t xml:space="preserve">would be required to </w:t>
      </w:r>
      <w:r w:rsidR="003E48A5" w:rsidRPr="00B53BF0">
        <w:rPr>
          <w:color w:val="auto"/>
          <w:lang w:eastAsia="en-AU"/>
        </w:rPr>
        <w:t xml:space="preserve">maintain two systems to accept both BasicsCard and the CDC. </w:t>
      </w:r>
      <w:r w:rsidR="00DD68F3" w:rsidRPr="00B53BF0">
        <w:rPr>
          <w:color w:val="auto"/>
          <w:lang w:eastAsia="en-AU"/>
        </w:rPr>
        <w:t>The overall costs to b</w:t>
      </w:r>
      <w:r w:rsidR="003E48A5" w:rsidRPr="00B53BF0">
        <w:rPr>
          <w:color w:val="auto"/>
          <w:lang w:eastAsia="en-AU"/>
        </w:rPr>
        <w:t xml:space="preserve">usinesses </w:t>
      </w:r>
      <w:r w:rsidR="00DD68F3" w:rsidRPr="00B53BF0">
        <w:rPr>
          <w:color w:val="auto"/>
          <w:lang w:eastAsia="en-AU"/>
        </w:rPr>
        <w:t xml:space="preserve">in the CDC program are lower than the IM program </w:t>
      </w:r>
      <w:r w:rsidR="0031291E">
        <w:rPr>
          <w:color w:val="auto"/>
          <w:lang w:eastAsia="en-AU"/>
        </w:rPr>
        <w:t>for the reasons set out above</w:t>
      </w:r>
      <w:r w:rsidR="00DD68F3" w:rsidRPr="00B53BF0">
        <w:rPr>
          <w:color w:val="auto"/>
          <w:lang w:eastAsia="en-AU"/>
        </w:rPr>
        <w:t>.</w:t>
      </w:r>
      <w:r w:rsidR="003E48A5" w:rsidRPr="00B53BF0">
        <w:rPr>
          <w:color w:val="auto"/>
          <w:lang w:eastAsia="en-AU"/>
        </w:rPr>
        <w:t xml:space="preserve"> </w:t>
      </w:r>
      <w:r w:rsidR="00AF6880">
        <w:rPr>
          <w:color w:val="auto"/>
          <w:lang w:eastAsia="en-AU"/>
        </w:rPr>
        <w:t xml:space="preserve">PLB </w:t>
      </w:r>
      <w:r w:rsidR="00DD68F3" w:rsidRPr="00B53BF0">
        <w:rPr>
          <w:color w:val="auto"/>
          <w:lang w:eastAsia="en-AU"/>
        </w:rPr>
        <w:t xml:space="preserve">reduces the amount of training </w:t>
      </w:r>
      <w:r w:rsidR="00FF74F3" w:rsidRPr="00B53BF0">
        <w:rPr>
          <w:color w:val="auto"/>
          <w:lang w:eastAsia="en-AU"/>
        </w:rPr>
        <w:t>merchants</w:t>
      </w:r>
      <w:r w:rsidR="00DD68F3" w:rsidRPr="00B53BF0">
        <w:rPr>
          <w:color w:val="auto"/>
          <w:lang w:eastAsia="en-AU"/>
        </w:rPr>
        <w:t xml:space="preserve"> have to do with staff as the </w:t>
      </w:r>
      <w:r w:rsidR="00FF74F3" w:rsidRPr="00B53BF0">
        <w:rPr>
          <w:color w:val="auto"/>
          <w:lang w:eastAsia="en-AU"/>
        </w:rPr>
        <w:t>identification</w:t>
      </w:r>
      <w:r w:rsidR="00DD68F3" w:rsidRPr="00B53BF0">
        <w:rPr>
          <w:color w:val="auto"/>
          <w:lang w:eastAsia="en-AU"/>
        </w:rPr>
        <w:t xml:space="preserve"> of </w:t>
      </w:r>
      <w:r w:rsidR="00FF74F3" w:rsidRPr="00B53BF0">
        <w:rPr>
          <w:color w:val="auto"/>
          <w:lang w:eastAsia="en-AU"/>
        </w:rPr>
        <w:t>restricted</w:t>
      </w:r>
      <w:r w:rsidR="00DD68F3" w:rsidRPr="00B53BF0">
        <w:rPr>
          <w:color w:val="auto"/>
          <w:lang w:eastAsia="en-AU"/>
        </w:rPr>
        <w:t xml:space="preserve"> products is </w:t>
      </w:r>
      <w:r w:rsidR="00FF74F3" w:rsidRPr="00B53BF0">
        <w:rPr>
          <w:color w:val="auto"/>
          <w:lang w:eastAsia="en-AU"/>
        </w:rPr>
        <w:t>done</w:t>
      </w:r>
      <w:r w:rsidR="00DD68F3" w:rsidRPr="00B53BF0">
        <w:rPr>
          <w:color w:val="auto"/>
          <w:lang w:eastAsia="en-AU"/>
        </w:rPr>
        <w:t xml:space="preserve"> via a terminal rather than </w:t>
      </w:r>
      <w:r w:rsidR="00FF74F3" w:rsidRPr="00B53BF0">
        <w:rPr>
          <w:color w:val="auto"/>
          <w:lang w:eastAsia="en-AU"/>
        </w:rPr>
        <w:t xml:space="preserve">the </w:t>
      </w:r>
      <w:r w:rsidR="003B4183">
        <w:rPr>
          <w:color w:val="auto"/>
          <w:lang w:eastAsia="en-AU"/>
        </w:rPr>
        <w:t xml:space="preserve">merchant </w:t>
      </w:r>
      <w:r w:rsidR="00FF74F3" w:rsidRPr="00B53BF0">
        <w:rPr>
          <w:color w:val="auto"/>
          <w:lang w:eastAsia="en-AU"/>
        </w:rPr>
        <w:t xml:space="preserve">needing to train staff to identify the card and then </w:t>
      </w:r>
      <w:r w:rsidR="003B4183">
        <w:rPr>
          <w:color w:val="auto"/>
          <w:lang w:eastAsia="en-AU"/>
        </w:rPr>
        <w:t xml:space="preserve">applying </w:t>
      </w:r>
      <w:r w:rsidR="00FF74F3" w:rsidRPr="00B53BF0">
        <w:rPr>
          <w:color w:val="auto"/>
          <w:lang w:eastAsia="en-AU"/>
        </w:rPr>
        <w:t>any restrict</w:t>
      </w:r>
      <w:r w:rsidR="003B4183">
        <w:rPr>
          <w:color w:val="auto"/>
          <w:lang w:eastAsia="en-AU"/>
        </w:rPr>
        <w:t xml:space="preserve">ions as participants try to buy </w:t>
      </w:r>
      <w:r w:rsidR="00FF74F3" w:rsidRPr="00B53BF0">
        <w:rPr>
          <w:color w:val="auto"/>
          <w:lang w:eastAsia="en-AU"/>
        </w:rPr>
        <w:t>items</w:t>
      </w:r>
      <w:r w:rsidR="003B4183">
        <w:rPr>
          <w:color w:val="auto"/>
          <w:lang w:eastAsia="en-AU"/>
        </w:rPr>
        <w:t>.</w:t>
      </w:r>
    </w:p>
    <w:p w14:paraId="473F98E4" w14:textId="068F680F" w:rsidR="003E48A5" w:rsidRPr="005C7470" w:rsidRDefault="00FC667A" w:rsidP="00B65911">
      <w:pPr>
        <w:pStyle w:val="Heading4"/>
      </w:pPr>
      <w:bookmarkStart w:id="126" w:name="_Toc108008500"/>
      <w:r>
        <w:t xml:space="preserve">4.1.1.3 </w:t>
      </w:r>
      <w:r w:rsidR="003E48A5" w:rsidRPr="005C7470">
        <w:t>Government</w:t>
      </w:r>
      <w:bookmarkEnd w:id="126"/>
    </w:p>
    <w:p w14:paraId="6DD94B0D" w14:textId="77777777" w:rsidR="003E48A5" w:rsidRPr="005C7470" w:rsidRDefault="003E48A5" w:rsidP="003E48A5">
      <w:pPr>
        <w:spacing w:before="120" w:after="180" w:line="276" w:lineRule="auto"/>
        <w:rPr>
          <w:rFonts w:ascii="Calibri" w:eastAsia="Calibri" w:hAnsi="Calibri" w:cs="Times New Roman"/>
          <w:b/>
          <w:color w:val="262626"/>
        </w:rPr>
      </w:pPr>
      <w:r w:rsidRPr="005C7470">
        <w:rPr>
          <w:rFonts w:ascii="Calibri" w:eastAsia="Calibri" w:hAnsi="Calibri" w:cs="Times New Roman"/>
          <w:b/>
          <w:color w:val="262626"/>
        </w:rPr>
        <w:t>Benefits</w:t>
      </w:r>
    </w:p>
    <w:p w14:paraId="442124F6" w14:textId="77777777" w:rsidR="00621BEB" w:rsidRPr="00AF6880" w:rsidRDefault="00621BEB" w:rsidP="00621BEB">
      <w:pPr>
        <w:pStyle w:val="BulletedListlvl1"/>
        <w:ind w:left="568" w:hanging="284"/>
        <w:rPr>
          <w:color w:val="262626"/>
        </w:rPr>
      </w:pPr>
      <w:r>
        <w:t xml:space="preserve">The program </w:t>
      </w:r>
      <w:r w:rsidR="00D838FA">
        <w:t xml:space="preserve">objective seeks </w:t>
      </w:r>
      <w:r>
        <w:t>to reduce the consumption of alcohol and drugs and reduc</w:t>
      </w:r>
      <w:r w:rsidR="008B6EFB">
        <w:t>e gambling by some individuals</w:t>
      </w:r>
      <w:r w:rsidR="009B3E8D" w:rsidRPr="00254CCC">
        <w:t>, noting there is limited evidence supporting the effectiveness of the card in achieving reductions in these social harms</w:t>
      </w:r>
      <w:r w:rsidR="008B6EFB" w:rsidRPr="00254CCC">
        <w:t>.</w:t>
      </w:r>
    </w:p>
    <w:p w14:paraId="4693D94B" w14:textId="77777777" w:rsidR="00AF6880" w:rsidRPr="00DA4E79" w:rsidRDefault="00DA4E79" w:rsidP="00AF6880">
      <w:pPr>
        <w:pStyle w:val="BulletedListlvl1"/>
      </w:pPr>
      <w:r w:rsidRPr="00DA4E79">
        <w:t xml:space="preserve">A potential reduction in these activities would meet </w:t>
      </w:r>
      <w:r w:rsidR="00426E0D" w:rsidRPr="00DA4E79">
        <w:t>the government</w:t>
      </w:r>
      <w:r w:rsidRPr="00DA4E79">
        <w:t>’</w:t>
      </w:r>
      <w:r w:rsidR="00426E0D" w:rsidRPr="00DA4E79">
        <w:t>s objectives</w:t>
      </w:r>
      <w:r w:rsidRPr="00DA4E79">
        <w:t>. It may also</w:t>
      </w:r>
      <w:r w:rsidR="00AF6880" w:rsidRPr="00DA4E79">
        <w:t xml:space="preserve"> reduce</w:t>
      </w:r>
      <w:r w:rsidRPr="00DA4E79">
        <w:t xml:space="preserve"> crime </w:t>
      </w:r>
      <w:r w:rsidR="00AF6880" w:rsidRPr="00DA4E79">
        <w:t xml:space="preserve">and the associated fiscal costs </w:t>
      </w:r>
      <w:r w:rsidR="00D838FA">
        <w:t>by</w:t>
      </w:r>
      <w:r w:rsidR="00AF6880" w:rsidRPr="00DA4E79">
        <w:t xml:space="preserve"> </w:t>
      </w:r>
      <w:r w:rsidR="00D838FA">
        <w:t>addressing the known social determinants</w:t>
      </w:r>
      <w:r w:rsidR="00AF6880" w:rsidRPr="00DA4E79">
        <w:t>.</w:t>
      </w:r>
    </w:p>
    <w:p w14:paraId="3103E99D" w14:textId="77777777" w:rsidR="003E48A5" w:rsidRPr="005C7470" w:rsidRDefault="00060C79" w:rsidP="003E48A5">
      <w:pPr>
        <w:spacing w:before="120" w:after="180" w:line="276" w:lineRule="auto"/>
        <w:rPr>
          <w:rFonts w:ascii="Calibri" w:eastAsia="Calibri" w:hAnsi="Calibri" w:cs="Times New Roman"/>
          <w:b/>
          <w:color w:val="262626"/>
        </w:rPr>
      </w:pPr>
      <w:r>
        <w:rPr>
          <w:rFonts w:ascii="Calibri" w:eastAsia="Calibri" w:hAnsi="Calibri" w:cs="Times New Roman"/>
          <w:b/>
          <w:color w:val="262626"/>
        </w:rPr>
        <w:t>Costs</w:t>
      </w:r>
    </w:p>
    <w:p w14:paraId="7E25FDEE" w14:textId="77777777" w:rsidR="005F186B" w:rsidRPr="000A09CA" w:rsidRDefault="005F186B" w:rsidP="00D73AA9">
      <w:pPr>
        <w:pStyle w:val="BulletedListlvl1"/>
        <w:rPr>
          <w:rFonts w:cs="Times New Roman"/>
          <w:bCs/>
        </w:rPr>
      </w:pPr>
      <w:r w:rsidRPr="00E9003B">
        <w:rPr>
          <w:lang w:eastAsia="en-AU"/>
        </w:rPr>
        <w:t xml:space="preserve">Maintaining both programs side by side presents a net cost to the </w:t>
      </w:r>
      <w:r w:rsidR="007E6BCB">
        <w:rPr>
          <w:lang w:eastAsia="en-AU"/>
        </w:rPr>
        <w:t>G</w:t>
      </w:r>
      <w:r w:rsidRPr="00E9003B">
        <w:rPr>
          <w:lang w:eastAsia="en-AU"/>
        </w:rPr>
        <w:t xml:space="preserve">overnment and the taxpayer. </w:t>
      </w:r>
      <w:r w:rsidR="00F93576">
        <w:rPr>
          <w:rFonts w:ascii="Calibri" w:eastAsia="Calibri" w:hAnsi="Calibri" w:cs="Calibri"/>
          <w:color w:val="auto"/>
          <w:spacing w:val="4"/>
          <w:lang w:eastAsia="en-AU"/>
        </w:rPr>
        <w:t>Since its inception, the CDC has c</w:t>
      </w:r>
      <w:r w:rsidR="009C2E0B">
        <w:rPr>
          <w:rFonts w:ascii="Calibri" w:eastAsia="Calibri" w:hAnsi="Calibri" w:cs="Calibri"/>
          <w:color w:val="auto"/>
          <w:spacing w:val="4"/>
          <w:lang w:eastAsia="en-AU"/>
        </w:rPr>
        <w:t xml:space="preserve">ost </w:t>
      </w:r>
      <w:r w:rsidR="009C2E0B" w:rsidRPr="000A09CA">
        <w:rPr>
          <w:rFonts w:ascii="Calibri" w:eastAsia="Calibri" w:hAnsi="Calibri" w:cs="Calibri"/>
          <w:color w:val="auto"/>
          <w:spacing w:val="4"/>
          <w:lang w:eastAsia="en-AU"/>
        </w:rPr>
        <w:t>over $1</w:t>
      </w:r>
      <w:r w:rsidR="00F7124A">
        <w:rPr>
          <w:rFonts w:ascii="Calibri" w:eastAsia="Calibri" w:hAnsi="Calibri" w:cs="Calibri"/>
          <w:color w:val="auto"/>
          <w:spacing w:val="4"/>
          <w:lang w:eastAsia="en-AU"/>
        </w:rPr>
        <w:t>80.7</w:t>
      </w:r>
      <w:r w:rsidR="00F93576" w:rsidRPr="000A09CA">
        <w:rPr>
          <w:rFonts w:ascii="Calibri" w:eastAsia="Calibri" w:hAnsi="Calibri" w:cs="Calibri"/>
          <w:color w:val="auto"/>
          <w:spacing w:val="4"/>
          <w:lang w:eastAsia="en-AU"/>
        </w:rPr>
        <w:t xml:space="preserve"> million.</w:t>
      </w:r>
      <w:r w:rsidR="0031291E" w:rsidRPr="000A09CA">
        <w:rPr>
          <w:rFonts w:ascii="Calibri" w:eastAsia="Calibri" w:hAnsi="Calibri" w:cs="Calibri"/>
          <w:color w:val="auto"/>
          <w:spacing w:val="4"/>
          <w:lang w:eastAsia="en-AU"/>
        </w:rPr>
        <w:t xml:space="preserve"> </w:t>
      </w:r>
      <w:r w:rsidR="000A09CA">
        <w:rPr>
          <w:rFonts w:ascii="Calibri" w:eastAsia="Calibri" w:hAnsi="Calibri" w:cs="Calibri"/>
          <w:color w:val="auto"/>
          <w:spacing w:val="4"/>
          <w:lang w:eastAsia="en-AU"/>
        </w:rPr>
        <w:t>Since 2016-1</w:t>
      </w:r>
      <w:r w:rsidR="008E1FDE" w:rsidRPr="000A09CA">
        <w:rPr>
          <w:rFonts w:ascii="Calibri" w:eastAsia="Calibri" w:hAnsi="Calibri" w:cs="Calibri"/>
          <w:color w:val="auto"/>
          <w:spacing w:val="4"/>
          <w:lang w:eastAsia="en-AU"/>
        </w:rPr>
        <w:t>7 t</w:t>
      </w:r>
      <w:r w:rsidR="0031291E" w:rsidRPr="000A09CA">
        <w:rPr>
          <w:rFonts w:ascii="Calibri" w:eastAsia="Calibri" w:hAnsi="Calibri" w:cs="Calibri"/>
          <w:color w:val="auto"/>
          <w:spacing w:val="4"/>
          <w:lang w:eastAsia="en-AU"/>
        </w:rPr>
        <w:t xml:space="preserve">he IM program </w:t>
      </w:r>
      <w:r w:rsidR="00A8328A" w:rsidRPr="000A09CA">
        <w:rPr>
          <w:rFonts w:ascii="Calibri" w:eastAsia="Calibri" w:hAnsi="Calibri" w:cs="Calibri"/>
          <w:color w:val="auto"/>
          <w:spacing w:val="4"/>
          <w:lang w:eastAsia="en-AU"/>
        </w:rPr>
        <w:t>has cost</w:t>
      </w:r>
      <w:r w:rsidR="0031291E" w:rsidRPr="000A09CA">
        <w:rPr>
          <w:rFonts w:ascii="Calibri" w:eastAsia="Calibri" w:hAnsi="Calibri" w:cs="Calibri"/>
          <w:color w:val="auto"/>
          <w:spacing w:val="4"/>
          <w:lang w:eastAsia="en-AU"/>
        </w:rPr>
        <w:t xml:space="preserve"> $</w:t>
      </w:r>
      <w:r w:rsidR="00A8328A" w:rsidRPr="000A09CA">
        <w:rPr>
          <w:rFonts w:ascii="Calibri" w:eastAsia="Calibri" w:hAnsi="Calibri" w:cs="Calibri"/>
          <w:color w:val="auto"/>
          <w:spacing w:val="4"/>
          <w:lang w:eastAsia="en-AU"/>
        </w:rPr>
        <w:t>341.2 million</w:t>
      </w:r>
      <w:r w:rsidR="0031291E" w:rsidRPr="000A09CA">
        <w:rPr>
          <w:rFonts w:ascii="Calibri" w:eastAsia="Calibri" w:hAnsi="Calibri" w:cs="Calibri"/>
          <w:color w:val="auto"/>
          <w:spacing w:val="4"/>
          <w:lang w:eastAsia="en-AU"/>
        </w:rPr>
        <w:t>.</w:t>
      </w:r>
    </w:p>
    <w:p w14:paraId="128B81C2" w14:textId="77777777" w:rsidR="00FF74F3" w:rsidRPr="00407B7F" w:rsidRDefault="003E48A5" w:rsidP="00D73AA9">
      <w:pPr>
        <w:pStyle w:val="BulletedListlvl1"/>
        <w:rPr>
          <w:rFonts w:cs="Times New Roman"/>
          <w:b/>
          <w:bCs/>
        </w:rPr>
      </w:pPr>
      <w:r w:rsidRPr="000A09CA">
        <w:t xml:space="preserve">The BasicsCard utilises old and outdated technology, which presents a number of costs to ensure its </w:t>
      </w:r>
      <w:r w:rsidR="00D838FA">
        <w:t xml:space="preserve">ongoing </w:t>
      </w:r>
      <w:r w:rsidRPr="000A09CA">
        <w:t>operation</w:t>
      </w:r>
      <w:r w:rsidR="0031291E" w:rsidRPr="000A09CA">
        <w:t>.</w:t>
      </w:r>
      <w:r w:rsidR="0031291E">
        <w:t xml:space="preserve"> It is possible that the Government will have to subsidise merchants to maintain pin pads</w:t>
      </w:r>
      <w:r w:rsidR="00DA4E79">
        <w:t xml:space="preserve"> for the IM program </w:t>
      </w:r>
      <w:r w:rsidR="0031291E">
        <w:t>that ar</w:t>
      </w:r>
      <w:r w:rsidR="00D838FA">
        <w:t>e able to accept magnetic strip</w:t>
      </w:r>
      <w:r w:rsidR="0031291E">
        <w:t xml:space="preserve"> cards as they are being phased out </w:t>
      </w:r>
      <w:r w:rsidR="00D838FA">
        <w:t>in favour of</w:t>
      </w:r>
      <w:r w:rsidR="0031291E">
        <w:t xml:space="preserve"> modern tap and go technology pin pads</w:t>
      </w:r>
      <w:r w:rsidR="008B6EFB">
        <w:t>.</w:t>
      </w:r>
    </w:p>
    <w:p w14:paraId="0CFDB158" w14:textId="77777777" w:rsidR="00820433" w:rsidRPr="00254CCC" w:rsidRDefault="00911002" w:rsidP="00820433">
      <w:pPr>
        <w:pStyle w:val="BulletedListlvl1"/>
      </w:pPr>
      <w:r w:rsidRPr="00254CCC">
        <w:fldChar w:fldCharType="begin"/>
      </w:r>
      <w:r w:rsidRPr="00254CCC">
        <w:instrText xml:space="preserve"> REF _Ref110537024 \h </w:instrText>
      </w:r>
      <w:r w:rsidR="00254CCC">
        <w:instrText xml:space="preserve"> \* MERGEFORMAT </w:instrText>
      </w:r>
      <w:r w:rsidRPr="00254CCC">
        <w:fldChar w:fldCharType="separate"/>
      </w:r>
      <w:r w:rsidRPr="00254CCC">
        <w:t xml:space="preserve">Table </w:t>
      </w:r>
      <w:r w:rsidRPr="00254CCC">
        <w:rPr>
          <w:noProof/>
        </w:rPr>
        <w:t>7</w:t>
      </w:r>
      <w:r w:rsidRPr="00254CCC">
        <w:fldChar w:fldCharType="end"/>
      </w:r>
      <w:r w:rsidR="00F11BC9" w:rsidRPr="00254CCC">
        <w:t xml:space="preserve"> assumes there would be 20 agencies across Australia </w:t>
      </w:r>
      <w:r w:rsidR="00820433" w:rsidRPr="00254CCC">
        <w:t xml:space="preserve">that would be able to refer a person to Services Australia for the CDC and IM, taking </w:t>
      </w:r>
      <w:r w:rsidR="00D838FA">
        <w:t>approximately</w:t>
      </w:r>
      <w:r w:rsidR="00820433" w:rsidRPr="00254CCC">
        <w:t xml:space="preserve"> </w:t>
      </w:r>
      <w:r w:rsidR="00314C9C" w:rsidRPr="00254CCC">
        <w:t>1.5</w:t>
      </w:r>
      <w:r w:rsidR="00820433" w:rsidRPr="00254CCC">
        <w:t xml:space="preserve"> hours. There are no costs for assessments as these authorities would have undertaken work to assess individuals </w:t>
      </w:r>
      <w:r w:rsidR="00D838FA">
        <w:t xml:space="preserve">already </w:t>
      </w:r>
      <w:r w:rsidR="00820433" w:rsidRPr="00254CCC">
        <w:t>and the only change is to refer a person to Services Australia for the CDC where they believe it would assist</w:t>
      </w:r>
      <w:r w:rsidR="00D838FA">
        <w:t xml:space="preserve">. This </w:t>
      </w:r>
      <w:r w:rsidR="00314C9C" w:rsidRPr="00254CCC">
        <w:t>is assumed to take around 1</w:t>
      </w:r>
      <w:r w:rsidR="00820433" w:rsidRPr="00254CCC">
        <w:t xml:space="preserve"> hour for around 200 referrals.</w:t>
      </w:r>
      <w:r w:rsidR="00FD0BA1" w:rsidRPr="00254CCC">
        <w:t xml:space="preserve"> This totals $1</w:t>
      </w:r>
      <w:r w:rsidR="00F11BC9" w:rsidRPr="00254CCC">
        <w:t>75,186</w:t>
      </w:r>
      <w:r w:rsidR="008B6EFB" w:rsidRPr="00254CCC">
        <w:t xml:space="preserve"> over 10 years.</w:t>
      </w:r>
    </w:p>
    <w:p w14:paraId="7B89237B" w14:textId="71A826AF" w:rsidR="00A80666" w:rsidRDefault="00A80666" w:rsidP="00820433">
      <w:pPr>
        <w:pStyle w:val="BulletedListlvl1"/>
      </w:pPr>
      <w:r>
        <w:t>The number of agencies is based on the number of States and Territories who could potential provide referrals for SPaR and Child Protection</w:t>
      </w:r>
      <w:r w:rsidR="00FD2793">
        <w:t xml:space="preserve">. </w:t>
      </w:r>
      <w:r w:rsidR="00EF7396">
        <w:t xml:space="preserve">It is assumed there are </w:t>
      </w:r>
      <w:r>
        <w:t xml:space="preserve">4 agencies </w:t>
      </w:r>
      <w:r w:rsidR="00EF7396">
        <w:t xml:space="preserve">who could refer across </w:t>
      </w:r>
      <w:r>
        <w:t>5 jurisdictions</w:t>
      </w:r>
      <w:r w:rsidR="009064C1">
        <w:t>.</w:t>
      </w:r>
    </w:p>
    <w:p w14:paraId="57230D75" w14:textId="77777777" w:rsidR="00820433" w:rsidRPr="001C1778" w:rsidRDefault="00911002" w:rsidP="00911002">
      <w:pPr>
        <w:pStyle w:val="Caption"/>
        <w:rPr>
          <w:b w:val="0"/>
        </w:rPr>
      </w:pPr>
      <w:bookmarkStart w:id="127" w:name="_Ref110537024"/>
      <w:bookmarkStart w:id="128" w:name="_Toc118103812"/>
      <w:r w:rsidRPr="001C1778">
        <w:t xml:space="preserve">Table </w:t>
      </w:r>
      <w:fldSimple w:instr=" SEQ Table \* ARABIC ">
        <w:r w:rsidR="00EA44C7">
          <w:rPr>
            <w:noProof/>
          </w:rPr>
          <w:t>7</w:t>
        </w:r>
      </w:fldSimple>
      <w:bookmarkEnd w:id="127"/>
      <w:r w:rsidRPr="001C1778">
        <w:t xml:space="preserve">: </w:t>
      </w:r>
      <w:r w:rsidR="00820433" w:rsidRPr="001C1778">
        <w:t>Annual cost to state and territory-run authorities to r</w:t>
      </w:r>
      <w:r w:rsidR="00A70D6F" w:rsidRPr="001C1778">
        <w:t>efer individuals to CDC and IM</w:t>
      </w:r>
      <w:bookmarkEnd w:id="128"/>
    </w:p>
    <w:tbl>
      <w:tblPr>
        <w:tblStyle w:val="TableGrid1"/>
        <w:tblW w:w="10365" w:type="dxa"/>
        <w:tblLook w:val="04A0" w:firstRow="1" w:lastRow="0" w:firstColumn="1" w:lastColumn="0" w:noHBand="0" w:noVBand="1"/>
        <w:tblDescription w:val="Table 7 - Annual cost to state and territoru-run authorities to refer indivduals to CDC and IM"/>
      </w:tblPr>
      <w:tblGrid>
        <w:gridCol w:w="3398"/>
        <w:gridCol w:w="6967"/>
      </w:tblGrid>
      <w:tr w:rsidR="00820433" w:rsidRPr="001C1778" w14:paraId="18A798D3" w14:textId="77777777" w:rsidTr="00691643">
        <w:trPr>
          <w:trHeight w:val="262"/>
          <w:tblHeader/>
        </w:trPr>
        <w:tc>
          <w:tcPr>
            <w:tcW w:w="3398" w:type="dxa"/>
          </w:tcPr>
          <w:p w14:paraId="76C8315E" w14:textId="77777777" w:rsidR="00820433" w:rsidRPr="001C1778" w:rsidRDefault="00F77D37" w:rsidP="00820433">
            <w:pPr>
              <w:rPr>
                <w:rFonts w:ascii="Calibri" w:eastAsia="Calibri" w:hAnsi="Calibri" w:cs="Times New Roman"/>
                <w:b/>
                <w:color w:val="auto"/>
                <w:sz w:val="16"/>
                <w:szCs w:val="16"/>
              </w:rPr>
            </w:pPr>
            <w:r w:rsidRPr="001C1778">
              <w:rPr>
                <w:rFonts w:ascii="Calibri" w:eastAsia="Calibri" w:hAnsi="Calibri" w:cs="Times New Roman"/>
                <w:b/>
                <w:color w:val="auto"/>
                <w:sz w:val="16"/>
                <w:szCs w:val="16"/>
              </w:rPr>
              <w:t>Activity</w:t>
            </w:r>
          </w:p>
        </w:tc>
        <w:tc>
          <w:tcPr>
            <w:tcW w:w="6967" w:type="dxa"/>
          </w:tcPr>
          <w:p w14:paraId="791AEA9E" w14:textId="77777777" w:rsidR="00820433" w:rsidRPr="001C1778" w:rsidRDefault="00820433" w:rsidP="00820433">
            <w:pPr>
              <w:rPr>
                <w:rFonts w:ascii="Calibri" w:eastAsia="Calibri" w:hAnsi="Calibri" w:cs="Times New Roman"/>
                <w:b/>
                <w:color w:val="auto"/>
                <w:sz w:val="16"/>
                <w:szCs w:val="16"/>
              </w:rPr>
            </w:pPr>
            <w:r w:rsidRPr="001C1778">
              <w:rPr>
                <w:rFonts w:ascii="Calibri" w:eastAsia="Calibri" w:hAnsi="Calibri" w:cs="Times New Roman"/>
                <w:b/>
                <w:color w:val="auto"/>
                <w:sz w:val="16"/>
                <w:szCs w:val="16"/>
              </w:rPr>
              <w:t xml:space="preserve"> St</w:t>
            </w:r>
            <w:r w:rsidRPr="001C1778">
              <w:rPr>
                <w:rFonts w:ascii="Calibri" w:eastAsia="Calibri" w:hAnsi="Calibri" w:cs="Times New Roman"/>
                <w:b/>
                <w:sz w:val="16"/>
                <w:szCs w:val="16"/>
              </w:rPr>
              <w:t>ate/territory referrals to CDC</w:t>
            </w:r>
            <w:r w:rsidRPr="001C1778">
              <w:rPr>
                <w:rFonts w:ascii="Calibri" w:eastAsia="Calibri" w:hAnsi="Calibri" w:cs="Times New Roman"/>
                <w:b/>
                <w:color w:val="auto"/>
                <w:sz w:val="16"/>
                <w:szCs w:val="16"/>
              </w:rPr>
              <w:t xml:space="preserve"> and IM (200 total referrals)</w:t>
            </w:r>
          </w:p>
        </w:tc>
      </w:tr>
      <w:tr w:rsidR="00820433" w:rsidRPr="001C1778" w14:paraId="33F8D62B" w14:textId="77777777" w:rsidTr="00CC2E4A">
        <w:trPr>
          <w:trHeight w:val="593"/>
        </w:trPr>
        <w:tc>
          <w:tcPr>
            <w:tcW w:w="3398" w:type="dxa"/>
          </w:tcPr>
          <w:p w14:paraId="709EA001" w14:textId="77777777" w:rsidR="00820433" w:rsidRPr="001C1778" w:rsidRDefault="00820433" w:rsidP="00820433">
            <w:pPr>
              <w:rPr>
                <w:rFonts w:ascii="Calibri" w:eastAsia="Calibri" w:hAnsi="Calibri" w:cs="Times New Roman"/>
                <w:b/>
                <w:sz w:val="16"/>
                <w:szCs w:val="16"/>
              </w:rPr>
            </w:pPr>
            <w:r w:rsidRPr="001C1778">
              <w:rPr>
                <w:rFonts w:ascii="Calibri" w:eastAsia="Calibri" w:hAnsi="Calibri" w:cs="Times New Roman"/>
                <w:b/>
                <w:sz w:val="16"/>
                <w:szCs w:val="16"/>
              </w:rPr>
              <w:t>Training/briefing for authorities</w:t>
            </w:r>
          </w:p>
        </w:tc>
        <w:tc>
          <w:tcPr>
            <w:tcW w:w="6967" w:type="dxa"/>
          </w:tcPr>
          <w:p w14:paraId="106D3FE6" w14:textId="77777777" w:rsidR="00820433" w:rsidRPr="001C1778" w:rsidRDefault="00820433" w:rsidP="00F12549">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1</w:t>
            </w:r>
            <w:r w:rsidR="00B651DF" w:rsidRPr="001C1778">
              <w:rPr>
                <w:rFonts w:ascii="Calibri" w:eastAsia="Calibri" w:hAnsi="Calibri" w:cs="Times New Roman"/>
                <w:i/>
                <w:sz w:val="16"/>
                <w:szCs w:val="16"/>
              </w:rPr>
              <w:t xml:space="preserve"> </w:t>
            </w:r>
            <w:r w:rsidR="00F11BC9" w:rsidRPr="001C1778">
              <w:rPr>
                <w:rFonts w:ascii="Calibri" w:eastAsia="Calibri" w:hAnsi="Calibri" w:cs="Times New Roman"/>
                <w:i/>
                <w:sz w:val="16"/>
                <w:szCs w:val="16"/>
              </w:rPr>
              <w:t>hrs x 20</w:t>
            </w:r>
            <w:r w:rsidRPr="001C1778">
              <w:rPr>
                <w:rFonts w:ascii="Calibri" w:eastAsia="Calibri" w:hAnsi="Calibri" w:cs="Times New Roman"/>
                <w:i/>
                <w:sz w:val="16"/>
                <w:szCs w:val="16"/>
              </w:rPr>
              <w:t xml:space="preserve"> agencies</w:t>
            </w:r>
            <w:r w:rsidR="00B651DF" w:rsidRPr="001C1778">
              <w:rPr>
                <w:rFonts w:ascii="Calibri" w:eastAsia="Calibri" w:hAnsi="Calibri" w:cs="Times New Roman"/>
                <w:i/>
                <w:sz w:val="16"/>
                <w:szCs w:val="16"/>
              </w:rPr>
              <w:t xml:space="preserve"> </w:t>
            </w:r>
            <w:r w:rsidR="00F12549" w:rsidRPr="001C1778">
              <w:rPr>
                <w:rFonts w:ascii="Calibri" w:eastAsia="Calibri" w:hAnsi="Calibri" w:cs="Times New Roman"/>
                <w:i/>
                <w:sz w:val="16"/>
                <w:szCs w:val="16"/>
              </w:rPr>
              <w:t xml:space="preserve">x 1 staff member </w:t>
            </w:r>
            <w:r w:rsidRPr="001C1778">
              <w:rPr>
                <w:rFonts w:ascii="Calibri" w:eastAsia="Calibri" w:hAnsi="Calibri" w:cs="Times New Roman"/>
                <w:i/>
                <w:sz w:val="16"/>
                <w:szCs w:val="16"/>
              </w:rPr>
              <w:t>x $</w:t>
            </w:r>
            <w:r w:rsidR="00B651DF" w:rsidRPr="001C1778">
              <w:rPr>
                <w:rFonts w:ascii="Calibri" w:eastAsia="Calibri" w:hAnsi="Calibri" w:cs="Times New Roman"/>
                <w:i/>
                <w:sz w:val="16"/>
                <w:szCs w:val="16"/>
              </w:rPr>
              <w:t>79.63</w:t>
            </w:r>
            <w:r w:rsidRPr="001C1778">
              <w:rPr>
                <w:rFonts w:ascii="Calibri" w:eastAsia="Calibri" w:hAnsi="Calibri" w:cs="Times New Roman"/>
                <w:i/>
                <w:sz w:val="16"/>
                <w:szCs w:val="16"/>
              </w:rPr>
              <w:t>/hr</w:t>
            </w:r>
            <w:r w:rsidR="00B651DF" w:rsidRPr="001C1778">
              <w:rPr>
                <w:rFonts w:ascii="Calibri" w:eastAsia="Calibri" w:hAnsi="Calibri" w:cs="Times New Roman"/>
                <w:i/>
                <w:sz w:val="16"/>
                <w:szCs w:val="16"/>
              </w:rPr>
              <w:t xml:space="preserve"> = $1,</w:t>
            </w:r>
            <w:r w:rsidR="00F11BC9" w:rsidRPr="001C1778">
              <w:rPr>
                <w:rFonts w:ascii="Calibri" w:eastAsia="Calibri" w:hAnsi="Calibri" w:cs="Times New Roman"/>
                <w:i/>
                <w:sz w:val="16"/>
                <w:szCs w:val="16"/>
              </w:rPr>
              <w:t>592.60</w:t>
            </w:r>
            <w:r w:rsidR="00B651DF" w:rsidRPr="001C1778">
              <w:rPr>
                <w:rFonts w:ascii="Calibri" w:eastAsia="Calibri" w:hAnsi="Calibri" w:cs="Times New Roman"/>
                <w:i/>
                <w:sz w:val="16"/>
                <w:szCs w:val="16"/>
              </w:rPr>
              <w:t xml:space="preserve"> (1 year cost)</w:t>
            </w:r>
          </w:p>
          <w:p w14:paraId="4A392602" w14:textId="77777777" w:rsidR="00B651DF" w:rsidRPr="001C1778" w:rsidRDefault="00B651DF" w:rsidP="00820433">
            <w:pPr>
              <w:ind w:left="720"/>
              <w:contextualSpacing/>
              <w:jc w:val="right"/>
              <w:rPr>
                <w:rFonts w:ascii="Calibri" w:eastAsia="Calibri" w:hAnsi="Calibri" w:cs="Times New Roman"/>
                <w:sz w:val="16"/>
                <w:szCs w:val="16"/>
              </w:rPr>
            </w:pPr>
            <w:r w:rsidRPr="001C1778">
              <w:rPr>
                <w:rFonts w:ascii="Calibri" w:eastAsia="Calibri" w:hAnsi="Calibri" w:cs="Times New Roman"/>
                <w:sz w:val="16"/>
                <w:szCs w:val="16"/>
              </w:rPr>
              <w:t xml:space="preserve"> </w:t>
            </w:r>
          </w:p>
          <w:p w14:paraId="0D73F132" w14:textId="77777777" w:rsidR="00820433" w:rsidRPr="001C1778" w:rsidRDefault="00B651DF" w:rsidP="00F11BC9">
            <w:pPr>
              <w:ind w:left="720"/>
              <w:contextualSpacing/>
              <w:jc w:val="right"/>
              <w:rPr>
                <w:rFonts w:ascii="Calibri" w:eastAsia="Calibri" w:hAnsi="Calibri" w:cs="Times New Roman"/>
                <w:sz w:val="16"/>
                <w:szCs w:val="16"/>
              </w:rPr>
            </w:pPr>
            <w:r w:rsidRPr="001C1778">
              <w:rPr>
                <w:rFonts w:ascii="Calibri" w:eastAsia="Calibri" w:hAnsi="Calibri" w:cs="Times New Roman"/>
                <w:sz w:val="16"/>
                <w:szCs w:val="16"/>
              </w:rPr>
              <w:t>Total over 10 years = $1</w:t>
            </w:r>
            <w:r w:rsidR="00F11BC9" w:rsidRPr="001C1778">
              <w:rPr>
                <w:rFonts w:ascii="Calibri" w:eastAsia="Calibri" w:hAnsi="Calibri" w:cs="Times New Roman"/>
                <w:sz w:val="16"/>
                <w:szCs w:val="16"/>
              </w:rPr>
              <w:t>5,926.00</w:t>
            </w:r>
          </w:p>
        </w:tc>
      </w:tr>
      <w:tr w:rsidR="00820433" w:rsidRPr="001C1778" w14:paraId="0BBF748D" w14:textId="77777777" w:rsidTr="00CC2E4A">
        <w:trPr>
          <w:trHeight w:val="593"/>
        </w:trPr>
        <w:tc>
          <w:tcPr>
            <w:tcW w:w="3398" w:type="dxa"/>
          </w:tcPr>
          <w:p w14:paraId="6C3D02A4" w14:textId="77777777" w:rsidR="00820433" w:rsidRPr="001C1778" w:rsidRDefault="00820433" w:rsidP="00820433">
            <w:pPr>
              <w:rPr>
                <w:rFonts w:ascii="Calibri" w:eastAsia="Calibri" w:hAnsi="Calibri" w:cs="Times New Roman"/>
                <w:b/>
                <w:sz w:val="16"/>
                <w:szCs w:val="16"/>
              </w:rPr>
            </w:pPr>
            <w:r w:rsidRPr="001C1778">
              <w:rPr>
                <w:rFonts w:ascii="Calibri" w:eastAsia="Calibri" w:hAnsi="Calibri" w:cs="Times New Roman"/>
                <w:b/>
                <w:sz w:val="16"/>
                <w:szCs w:val="16"/>
              </w:rPr>
              <w:t>Assessment</w:t>
            </w:r>
          </w:p>
        </w:tc>
        <w:tc>
          <w:tcPr>
            <w:tcW w:w="6967" w:type="dxa"/>
          </w:tcPr>
          <w:p w14:paraId="7B9B314E" w14:textId="77777777" w:rsidR="00820433" w:rsidRPr="001C1778" w:rsidRDefault="00820433" w:rsidP="00820433">
            <w:pPr>
              <w:contextualSpacing/>
              <w:jc w:val="right"/>
              <w:rPr>
                <w:rFonts w:ascii="Calibri" w:eastAsia="Calibri" w:hAnsi="Calibri" w:cs="Times New Roman"/>
                <w:sz w:val="16"/>
                <w:szCs w:val="16"/>
              </w:rPr>
            </w:pPr>
            <w:r w:rsidRPr="001C1778">
              <w:rPr>
                <w:rFonts w:ascii="Calibri" w:eastAsia="Calibri" w:hAnsi="Calibri" w:cs="Times New Roman"/>
                <w:sz w:val="16"/>
                <w:szCs w:val="16"/>
              </w:rPr>
              <w:t>$0</w:t>
            </w:r>
          </w:p>
        </w:tc>
      </w:tr>
      <w:tr w:rsidR="00820433" w:rsidRPr="001C1778" w14:paraId="5252005C" w14:textId="77777777" w:rsidTr="00CC2E4A">
        <w:trPr>
          <w:trHeight w:val="593"/>
        </w:trPr>
        <w:tc>
          <w:tcPr>
            <w:tcW w:w="3398" w:type="dxa"/>
          </w:tcPr>
          <w:p w14:paraId="4AE6F866" w14:textId="77777777" w:rsidR="00820433" w:rsidRPr="001C1778" w:rsidRDefault="00820433" w:rsidP="00820433">
            <w:pPr>
              <w:rPr>
                <w:rFonts w:ascii="Calibri" w:eastAsia="Calibri" w:hAnsi="Calibri" w:cs="Times New Roman"/>
                <w:b/>
                <w:sz w:val="16"/>
                <w:szCs w:val="16"/>
              </w:rPr>
            </w:pPr>
            <w:r w:rsidRPr="001C1778">
              <w:rPr>
                <w:rFonts w:ascii="Calibri" w:eastAsia="Calibri" w:hAnsi="Calibri" w:cs="Times New Roman"/>
                <w:b/>
                <w:sz w:val="16"/>
                <w:szCs w:val="16"/>
              </w:rPr>
              <w:t xml:space="preserve">Referral </w:t>
            </w:r>
          </w:p>
        </w:tc>
        <w:tc>
          <w:tcPr>
            <w:tcW w:w="6967" w:type="dxa"/>
          </w:tcPr>
          <w:p w14:paraId="19D43D38" w14:textId="77777777" w:rsidR="00F12549" w:rsidRPr="001C1778" w:rsidRDefault="00820433" w:rsidP="00F12549">
            <w:pPr>
              <w:contextualSpacing/>
              <w:jc w:val="right"/>
              <w:rPr>
                <w:rFonts w:ascii="Calibri" w:eastAsia="Calibri" w:hAnsi="Calibri" w:cs="Times New Roman"/>
                <w:i/>
                <w:sz w:val="16"/>
                <w:szCs w:val="16"/>
              </w:rPr>
            </w:pPr>
            <w:r w:rsidRPr="001C1778">
              <w:rPr>
                <w:rFonts w:ascii="Calibri" w:eastAsia="Calibri" w:hAnsi="Calibri" w:cs="Times New Roman"/>
                <w:i/>
                <w:sz w:val="16"/>
                <w:szCs w:val="16"/>
              </w:rPr>
              <w:t>1hr</w:t>
            </w:r>
            <w:r w:rsidR="00F11BC9" w:rsidRPr="001C1778">
              <w:rPr>
                <w:rFonts w:ascii="Calibri" w:eastAsia="Calibri" w:hAnsi="Calibri" w:cs="Times New Roman"/>
                <w:i/>
                <w:sz w:val="16"/>
                <w:szCs w:val="16"/>
              </w:rPr>
              <w:t xml:space="preserve"> x 20</w:t>
            </w:r>
            <w:r w:rsidR="00F12549" w:rsidRPr="001C1778">
              <w:rPr>
                <w:rFonts w:ascii="Calibri" w:eastAsia="Calibri" w:hAnsi="Calibri" w:cs="Times New Roman"/>
                <w:i/>
                <w:sz w:val="16"/>
                <w:szCs w:val="16"/>
              </w:rPr>
              <w:t xml:space="preserve"> agencies x 10 referrals each</w:t>
            </w:r>
            <w:r w:rsidRPr="001C1778">
              <w:rPr>
                <w:rFonts w:ascii="Calibri" w:eastAsia="Calibri" w:hAnsi="Calibri" w:cs="Times New Roman"/>
                <w:i/>
                <w:sz w:val="16"/>
                <w:szCs w:val="16"/>
              </w:rPr>
              <w:t xml:space="preserve"> x $</w:t>
            </w:r>
            <w:r w:rsidR="00B651DF" w:rsidRPr="001C1778">
              <w:rPr>
                <w:rFonts w:ascii="Calibri" w:eastAsia="Calibri" w:hAnsi="Calibri" w:cs="Times New Roman"/>
                <w:i/>
                <w:sz w:val="16"/>
                <w:szCs w:val="16"/>
              </w:rPr>
              <w:t>79</w:t>
            </w:r>
            <w:r w:rsidRPr="001C1778">
              <w:rPr>
                <w:rFonts w:ascii="Calibri" w:eastAsia="Calibri" w:hAnsi="Calibri" w:cs="Times New Roman"/>
                <w:i/>
                <w:sz w:val="16"/>
                <w:szCs w:val="16"/>
              </w:rPr>
              <w:t>.</w:t>
            </w:r>
            <w:r w:rsidR="00B651DF" w:rsidRPr="001C1778">
              <w:rPr>
                <w:rFonts w:ascii="Calibri" w:eastAsia="Calibri" w:hAnsi="Calibri" w:cs="Times New Roman"/>
                <w:i/>
                <w:sz w:val="16"/>
                <w:szCs w:val="16"/>
              </w:rPr>
              <w:t>63</w:t>
            </w:r>
            <w:r w:rsidRPr="001C1778">
              <w:rPr>
                <w:rFonts w:ascii="Calibri" w:eastAsia="Calibri" w:hAnsi="Calibri" w:cs="Times New Roman"/>
                <w:i/>
                <w:sz w:val="16"/>
                <w:szCs w:val="16"/>
              </w:rPr>
              <w:t xml:space="preserve">/hr </w:t>
            </w:r>
            <w:r w:rsidR="00F12549" w:rsidRPr="001C1778">
              <w:rPr>
                <w:rFonts w:ascii="Calibri" w:eastAsia="Calibri" w:hAnsi="Calibri" w:cs="Times New Roman"/>
                <w:i/>
                <w:sz w:val="16"/>
                <w:szCs w:val="16"/>
              </w:rPr>
              <w:t>= $1</w:t>
            </w:r>
            <w:r w:rsidR="00F11BC9" w:rsidRPr="001C1778">
              <w:rPr>
                <w:rFonts w:ascii="Calibri" w:eastAsia="Calibri" w:hAnsi="Calibri" w:cs="Times New Roman"/>
                <w:i/>
                <w:sz w:val="16"/>
                <w:szCs w:val="16"/>
              </w:rPr>
              <w:t>5,926.00</w:t>
            </w:r>
          </w:p>
          <w:p w14:paraId="7E3D50DA" w14:textId="77777777" w:rsidR="00F12549" w:rsidRPr="001C1778" w:rsidRDefault="00F12549" w:rsidP="00F12549">
            <w:pPr>
              <w:contextualSpacing/>
              <w:jc w:val="right"/>
              <w:rPr>
                <w:rFonts w:ascii="Calibri" w:eastAsia="Calibri" w:hAnsi="Calibri" w:cs="Times New Roman"/>
                <w:i/>
                <w:sz w:val="16"/>
                <w:szCs w:val="16"/>
              </w:rPr>
            </w:pPr>
          </w:p>
          <w:p w14:paraId="1153AE4A" w14:textId="77777777" w:rsidR="00820433" w:rsidRPr="001C1778" w:rsidRDefault="00F12549" w:rsidP="00F11BC9">
            <w:pPr>
              <w:contextualSpacing/>
              <w:jc w:val="right"/>
              <w:rPr>
                <w:rFonts w:ascii="Calibri" w:hAnsi="Calibri"/>
                <w:i/>
                <w:sz w:val="16"/>
                <w:szCs w:val="16"/>
              </w:rPr>
            </w:pPr>
            <w:r w:rsidRPr="001C1778">
              <w:rPr>
                <w:rFonts w:ascii="Calibri" w:eastAsia="Calibri" w:hAnsi="Calibri" w:cs="Times New Roman"/>
                <w:i/>
                <w:sz w:val="16"/>
                <w:szCs w:val="16"/>
              </w:rPr>
              <w:t>Total over 10 years = $1</w:t>
            </w:r>
            <w:r w:rsidR="00F11BC9" w:rsidRPr="001C1778">
              <w:rPr>
                <w:rFonts w:ascii="Calibri" w:eastAsia="Calibri" w:hAnsi="Calibri" w:cs="Times New Roman"/>
                <w:i/>
                <w:sz w:val="16"/>
                <w:szCs w:val="16"/>
              </w:rPr>
              <w:t>59,260.00</w:t>
            </w:r>
          </w:p>
        </w:tc>
      </w:tr>
      <w:tr w:rsidR="00820433" w:rsidRPr="00884F2C" w14:paraId="1DE31D66" w14:textId="77777777" w:rsidTr="00CC2E4A">
        <w:trPr>
          <w:trHeight w:val="262"/>
        </w:trPr>
        <w:tc>
          <w:tcPr>
            <w:tcW w:w="3398" w:type="dxa"/>
          </w:tcPr>
          <w:p w14:paraId="2EE49B18" w14:textId="77777777" w:rsidR="00820433" w:rsidRPr="001C1778" w:rsidRDefault="00820433" w:rsidP="00820433">
            <w:pPr>
              <w:rPr>
                <w:rFonts w:ascii="Calibri" w:eastAsia="Calibri" w:hAnsi="Calibri" w:cs="Times New Roman"/>
                <w:b/>
                <w:sz w:val="16"/>
                <w:szCs w:val="16"/>
              </w:rPr>
            </w:pPr>
            <w:r w:rsidRPr="001C1778">
              <w:rPr>
                <w:rFonts w:ascii="Calibri" w:eastAsia="Calibri" w:hAnsi="Calibri" w:cs="Times New Roman"/>
                <w:b/>
                <w:sz w:val="16"/>
                <w:szCs w:val="16"/>
              </w:rPr>
              <w:t>Total</w:t>
            </w:r>
            <w:r w:rsidR="00F12549" w:rsidRPr="001C1778">
              <w:rPr>
                <w:rFonts w:ascii="Calibri" w:eastAsia="Calibri" w:hAnsi="Calibri" w:cs="Times New Roman"/>
                <w:b/>
                <w:sz w:val="16"/>
                <w:szCs w:val="16"/>
              </w:rPr>
              <w:t xml:space="preserve"> over 10 years</w:t>
            </w:r>
            <w:r w:rsidRPr="001C1778">
              <w:rPr>
                <w:rFonts w:ascii="Calibri" w:eastAsia="Calibri" w:hAnsi="Calibri" w:cs="Times New Roman"/>
                <w:b/>
                <w:sz w:val="16"/>
                <w:szCs w:val="16"/>
              </w:rPr>
              <w:t xml:space="preserve"> ($)</w:t>
            </w:r>
          </w:p>
        </w:tc>
        <w:tc>
          <w:tcPr>
            <w:tcW w:w="6967" w:type="dxa"/>
          </w:tcPr>
          <w:p w14:paraId="131EC11C" w14:textId="77777777" w:rsidR="00820433" w:rsidRPr="001C1778" w:rsidRDefault="00820433" w:rsidP="00F11BC9">
            <w:pPr>
              <w:contextualSpacing/>
              <w:jc w:val="right"/>
              <w:rPr>
                <w:rFonts w:ascii="Calibri" w:hAnsi="Calibri" w:cs="Calibri"/>
                <w:b/>
                <w:bCs/>
                <w:sz w:val="16"/>
                <w:szCs w:val="16"/>
              </w:rPr>
            </w:pPr>
            <w:r w:rsidRPr="001C1778">
              <w:rPr>
                <w:rFonts w:ascii="Calibri" w:hAnsi="Calibri" w:cs="Calibri"/>
                <w:b/>
                <w:bCs/>
                <w:sz w:val="16"/>
                <w:szCs w:val="16"/>
              </w:rPr>
              <w:t>$</w:t>
            </w:r>
            <w:r w:rsidR="00F12549" w:rsidRPr="001C1778">
              <w:rPr>
                <w:rFonts w:ascii="Calibri" w:hAnsi="Calibri" w:cs="Calibri"/>
                <w:b/>
                <w:bCs/>
                <w:sz w:val="16"/>
                <w:szCs w:val="16"/>
              </w:rPr>
              <w:t>1</w:t>
            </w:r>
            <w:r w:rsidR="00F11BC9" w:rsidRPr="001C1778">
              <w:rPr>
                <w:rFonts w:ascii="Calibri" w:hAnsi="Calibri" w:cs="Calibri"/>
                <w:b/>
                <w:bCs/>
                <w:sz w:val="16"/>
                <w:szCs w:val="16"/>
              </w:rPr>
              <w:t>75,186</w:t>
            </w:r>
          </w:p>
        </w:tc>
      </w:tr>
    </w:tbl>
    <w:p w14:paraId="2CEB9DCF" w14:textId="77777777" w:rsidR="003E48A5" w:rsidRPr="00D73AA9" w:rsidRDefault="00060C79" w:rsidP="00FF74F3">
      <w:pPr>
        <w:spacing w:before="120" w:after="180" w:line="276" w:lineRule="auto"/>
        <w:rPr>
          <w:rFonts w:ascii="Calibri" w:eastAsia="Calibri" w:hAnsi="Calibri" w:cs="Times New Roman"/>
          <w:b/>
          <w:color w:val="262626"/>
        </w:rPr>
      </w:pPr>
      <w:r>
        <w:rPr>
          <w:rFonts w:ascii="Calibri" w:eastAsia="Calibri" w:hAnsi="Calibri" w:cs="Times New Roman"/>
          <w:b/>
          <w:color w:val="262626"/>
        </w:rPr>
        <w:t>Net Benefit</w:t>
      </w:r>
    </w:p>
    <w:p w14:paraId="6611DA2D" w14:textId="45EA0241" w:rsidR="003E48A5" w:rsidRPr="003E48A5" w:rsidRDefault="003E48A5" w:rsidP="003E48A5">
      <w:pPr>
        <w:spacing w:before="120" w:after="180" w:line="276" w:lineRule="auto"/>
        <w:rPr>
          <w:rFonts w:ascii="Calibri" w:eastAsia="Calibri" w:hAnsi="Calibri" w:cs="Calibri"/>
          <w:spacing w:val="4"/>
          <w:lang w:eastAsia="en-AU"/>
        </w:rPr>
      </w:pPr>
      <w:r>
        <w:rPr>
          <w:rFonts w:ascii="Calibri" w:eastAsia="Calibri" w:hAnsi="Calibri" w:cs="Times New Roman"/>
          <w:bCs/>
        </w:rPr>
        <w:t xml:space="preserve">Maintaining the status quo provides a net cost for the </w:t>
      </w:r>
      <w:r w:rsidR="0030544D">
        <w:rPr>
          <w:rFonts w:ascii="Calibri" w:eastAsia="Calibri" w:hAnsi="Calibri" w:cs="Times New Roman"/>
          <w:bCs/>
        </w:rPr>
        <w:t>G</w:t>
      </w:r>
      <w:r>
        <w:rPr>
          <w:rFonts w:ascii="Calibri" w:eastAsia="Calibri" w:hAnsi="Calibri" w:cs="Times New Roman"/>
          <w:bCs/>
        </w:rPr>
        <w:t xml:space="preserve">overnment as running both programs simultaneously does not </w:t>
      </w:r>
      <w:r w:rsidR="00D838FA">
        <w:rPr>
          <w:rFonts w:ascii="Calibri" w:eastAsia="Calibri" w:hAnsi="Calibri" w:cs="Times New Roman"/>
          <w:bCs/>
        </w:rPr>
        <w:t>repr</w:t>
      </w:r>
      <w:r>
        <w:rPr>
          <w:rFonts w:ascii="Calibri" w:eastAsia="Calibri" w:hAnsi="Calibri" w:cs="Times New Roman"/>
          <w:bCs/>
        </w:rPr>
        <w:t>esent va</w:t>
      </w:r>
      <w:r w:rsidR="00FF74F3">
        <w:rPr>
          <w:rFonts w:ascii="Calibri" w:eastAsia="Calibri" w:hAnsi="Calibri" w:cs="Times New Roman"/>
          <w:bCs/>
        </w:rPr>
        <w:t>lue for money</w:t>
      </w:r>
      <w:r>
        <w:rPr>
          <w:rFonts w:ascii="Calibri" w:eastAsia="Calibri" w:hAnsi="Calibri" w:cs="Times New Roman"/>
          <w:bCs/>
        </w:rPr>
        <w:t xml:space="preserve">. The administrative complexities of the dual system means the </w:t>
      </w:r>
      <w:r w:rsidR="007E6BCB">
        <w:rPr>
          <w:rFonts w:ascii="Calibri" w:eastAsia="Calibri" w:hAnsi="Calibri" w:cs="Times New Roman"/>
          <w:bCs/>
        </w:rPr>
        <w:t>G</w:t>
      </w:r>
      <w:r>
        <w:rPr>
          <w:rFonts w:ascii="Calibri" w:eastAsia="Calibri" w:hAnsi="Calibri" w:cs="Times New Roman"/>
          <w:bCs/>
        </w:rPr>
        <w:t xml:space="preserve">overnment must resource both systems and provide intensive frontline services for IM that ultimately </w:t>
      </w:r>
      <w:r w:rsidRPr="003E48A5">
        <w:rPr>
          <w:rFonts w:ascii="Calibri" w:eastAsia="Calibri" w:hAnsi="Calibri" w:cs="Calibri"/>
          <w:spacing w:val="4"/>
          <w:lang w:eastAsia="en-AU"/>
        </w:rPr>
        <w:t xml:space="preserve">impacts the </w:t>
      </w:r>
      <w:r w:rsidR="00DB71F5">
        <w:rPr>
          <w:rFonts w:ascii="Calibri" w:eastAsia="Calibri" w:hAnsi="Calibri" w:cs="Calibri"/>
          <w:spacing w:val="4"/>
          <w:lang w:eastAsia="en-AU"/>
        </w:rPr>
        <w:t xml:space="preserve">program’s </w:t>
      </w:r>
      <w:r w:rsidR="008B6EFB">
        <w:rPr>
          <w:rFonts w:ascii="Calibri" w:eastAsia="Calibri" w:hAnsi="Calibri" w:cs="Calibri"/>
          <w:spacing w:val="4"/>
          <w:lang w:eastAsia="en-AU"/>
        </w:rPr>
        <w:t>delivery.</w:t>
      </w:r>
      <w:r w:rsidR="007B2863">
        <w:rPr>
          <w:rFonts w:ascii="Calibri" w:eastAsia="Calibri" w:hAnsi="Calibri" w:cs="Calibri"/>
          <w:spacing w:val="4"/>
          <w:lang w:eastAsia="en-AU"/>
        </w:rPr>
        <w:t xml:space="preserve"> </w:t>
      </w:r>
      <w:r w:rsidR="00DA4E79">
        <w:rPr>
          <w:rFonts w:ascii="Calibri" w:eastAsia="Calibri" w:hAnsi="Calibri" w:cs="Calibri"/>
          <w:spacing w:val="4"/>
          <w:lang w:eastAsia="en-AU"/>
        </w:rPr>
        <w:t>States and Territories would have an additional tool to assist people through times where income management may benefit them dealing with particular circumstances meaning they would not nee</w:t>
      </w:r>
      <w:r w:rsidR="009064C1">
        <w:rPr>
          <w:rFonts w:ascii="Calibri" w:eastAsia="Calibri" w:hAnsi="Calibri" w:cs="Calibri"/>
          <w:spacing w:val="4"/>
          <w:lang w:eastAsia="en-AU"/>
        </w:rPr>
        <w:t>d to develop a similar program.</w:t>
      </w:r>
    </w:p>
    <w:p w14:paraId="55EBD13B" w14:textId="77777777" w:rsidR="003E48A5" w:rsidRPr="005C7470" w:rsidRDefault="00FC667A" w:rsidP="00B65911">
      <w:pPr>
        <w:pStyle w:val="Heading4"/>
      </w:pPr>
      <w:bookmarkStart w:id="129" w:name="_Toc108008501"/>
      <w:r>
        <w:t xml:space="preserve">4.1.1.4 </w:t>
      </w:r>
      <w:r w:rsidR="003E48A5" w:rsidRPr="005C7470">
        <w:t>Community Organisations</w:t>
      </w:r>
      <w:bookmarkEnd w:id="129"/>
    </w:p>
    <w:p w14:paraId="52C698F4" w14:textId="77777777" w:rsidR="003E48A5" w:rsidRPr="005C7470" w:rsidRDefault="003E48A5" w:rsidP="003E48A5">
      <w:pPr>
        <w:spacing w:before="120" w:after="180" w:line="276" w:lineRule="auto"/>
        <w:rPr>
          <w:rFonts w:ascii="Calibri" w:eastAsia="Calibri" w:hAnsi="Calibri" w:cs="Times New Roman"/>
          <w:b/>
          <w:color w:val="262626"/>
        </w:rPr>
      </w:pPr>
      <w:r w:rsidRPr="005C7470">
        <w:rPr>
          <w:rFonts w:ascii="Calibri" w:eastAsia="Calibri" w:hAnsi="Calibri" w:cs="Times New Roman"/>
          <w:b/>
          <w:color w:val="262626"/>
        </w:rPr>
        <w:t>Benefits</w:t>
      </w:r>
    </w:p>
    <w:p w14:paraId="27E69E49" w14:textId="77777777" w:rsidR="003E48A5" w:rsidRPr="00697599" w:rsidRDefault="003E48A5" w:rsidP="00926B97">
      <w:pPr>
        <w:pStyle w:val="BulletedListlvl1"/>
      </w:pPr>
      <w:r>
        <w:t>There is no regula</w:t>
      </w:r>
      <w:r w:rsidRPr="00697599">
        <w:t>tory burden increase as current processes and systems continue to carry on without change.</w:t>
      </w:r>
    </w:p>
    <w:p w14:paraId="55532199" w14:textId="77777777" w:rsidR="00AB4A81" w:rsidRPr="001C1778" w:rsidRDefault="00AB4A81" w:rsidP="00AB4A81">
      <w:pPr>
        <w:pStyle w:val="BulletedListlvl1"/>
        <w:rPr>
          <w:lang w:eastAsia="en-AU"/>
        </w:rPr>
      </w:pPr>
      <w:r w:rsidRPr="001C1778">
        <w:t xml:space="preserve">The Cape York region </w:t>
      </w:r>
      <w:r w:rsidR="00D838FA">
        <w:t xml:space="preserve">has established </w:t>
      </w:r>
      <w:r w:rsidRPr="001C1778">
        <w:t xml:space="preserve">a community led </w:t>
      </w:r>
      <w:r w:rsidR="00D838FA" w:rsidRPr="001C1778">
        <w:t>model which</w:t>
      </w:r>
      <w:r w:rsidRPr="001C1778">
        <w:t xml:space="preserve"> </w:t>
      </w:r>
      <w:r w:rsidR="00CC5222">
        <w:t xml:space="preserve">enables </w:t>
      </w:r>
      <w:r w:rsidRPr="001C1778">
        <w:t xml:space="preserve">community </w:t>
      </w:r>
      <w:r w:rsidR="00CC5222">
        <w:t xml:space="preserve">controlled </w:t>
      </w:r>
      <w:r w:rsidRPr="001C1778">
        <w:t xml:space="preserve">decision making. The CDC program is used by the FRC to support their objective which is to </w:t>
      </w:r>
      <w:r w:rsidRPr="001C1778">
        <w:rPr>
          <w:lang w:eastAsia="en-AU"/>
        </w:rPr>
        <w:t>help people in welfare reform communities to resume primary responsibility for the wellbeing of their communities and the individuals and</w:t>
      </w:r>
      <w:r w:rsidR="008B6EFB">
        <w:rPr>
          <w:lang w:eastAsia="en-AU"/>
        </w:rPr>
        <w:t xml:space="preserve"> families of their communities.</w:t>
      </w:r>
    </w:p>
    <w:p w14:paraId="713CC491" w14:textId="77777777" w:rsidR="003E48A5" w:rsidRPr="00FC3982" w:rsidRDefault="00060C79" w:rsidP="00D66643">
      <w:pPr>
        <w:spacing w:before="120" w:after="180" w:line="276" w:lineRule="auto"/>
        <w:rPr>
          <w:rFonts w:ascii="Calibri" w:eastAsia="Calibri" w:hAnsi="Calibri" w:cs="Times New Roman"/>
          <w:b/>
          <w:color w:val="262626"/>
        </w:rPr>
      </w:pPr>
      <w:r w:rsidRPr="00FC3982">
        <w:rPr>
          <w:rFonts w:ascii="Calibri" w:eastAsia="Calibri" w:hAnsi="Calibri" w:cs="Times New Roman"/>
          <w:b/>
          <w:color w:val="262626"/>
        </w:rPr>
        <w:t>Costs</w:t>
      </w:r>
    </w:p>
    <w:p w14:paraId="434DF4A6" w14:textId="77777777" w:rsidR="003E48A5" w:rsidRDefault="000A1168" w:rsidP="00926B97">
      <w:pPr>
        <w:pStyle w:val="BulletedListlvl1"/>
      </w:pPr>
      <w:r>
        <w:t>There are no direct costs placed on community organisations however r</w:t>
      </w:r>
      <w:r w:rsidR="003E48A5">
        <w:t xml:space="preserve">unning both programs simultaneously may cause some confusion for community organisations who may </w:t>
      </w:r>
      <w:r>
        <w:t>provide information on the programs</w:t>
      </w:r>
      <w:r w:rsidR="003E48A5">
        <w:t xml:space="preserve">. This may be especially evident in places like the NT where both programs overlap. </w:t>
      </w:r>
      <w:r w:rsidR="007430C0" w:rsidRPr="007430C0">
        <w:t>The regulatory impact table provide</w:t>
      </w:r>
      <w:r w:rsidR="008E1FDE">
        <w:t>s</w:t>
      </w:r>
      <w:r w:rsidR="007430C0" w:rsidRPr="007430C0">
        <w:t xml:space="preserve"> a cost to community organisations where there may pass on information about the program such as a pamphlet/factsheet</w:t>
      </w:r>
      <w:r w:rsidR="007430C0">
        <w:t>.</w:t>
      </w:r>
    </w:p>
    <w:p w14:paraId="20AF5574" w14:textId="77777777" w:rsidR="00545474" w:rsidRDefault="003E48A5" w:rsidP="00407B7F">
      <w:pPr>
        <w:pStyle w:val="BulletedListlvl1"/>
      </w:pPr>
      <w:r>
        <w:t>Although violence against community organisations has not been largely reported, there is always the possibility that angered participants that have recently been placed on the program may criticise community organisations in the current operating sites.</w:t>
      </w:r>
      <w:bookmarkStart w:id="130" w:name="_Toc108008504"/>
    </w:p>
    <w:p w14:paraId="016E121F" w14:textId="77777777" w:rsidR="00F11BC9" w:rsidRDefault="00F11BC9" w:rsidP="00407B7F">
      <w:pPr>
        <w:pStyle w:val="BulletedListlvl1"/>
      </w:pPr>
      <w:r w:rsidRPr="001C1778">
        <w:t xml:space="preserve">There is a small regulatory cost for the </w:t>
      </w:r>
      <w:r w:rsidR="00AB4A81" w:rsidRPr="001C1778">
        <w:t>FRC</w:t>
      </w:r>
      <w:r w:rsidRPr="001C1778">
        <w:t xml:space="preserve"> to </w:t>
      </w:r>
      <w:r w:rsidR="002E1DED" w:rsidRPr="001C1778">
        <w:t xml:space="preserve">advise Services Australia that they want an individual to be referred to the CDC </w:t>
      </w:r>
      <w:r w:rsidR="00AB4A81" w:rsidRPr="001C1778">
        <w:t>program</w:t>
      </w:r>
      <w:r w:rsidR="008B6EFB">
        <w:t>.</w:t>
      </w:r>
    </w:p>
    <w:p w14:paraId="76B9CD9B" w14:textId="34D6FD9F" w:rsidR="007B2863" w:rsidRPr="001A2600" w:rsidRDefault="007B2863" w:rsidP="00D07C75">
      <w:pPr>
        <w:pStyle w:val="BulletedListlvl1"/>
      </w:pPr>
      <w:r w:rsidRPr="001A2600">
        <w:rPr>
          <w:color w:val="auto"/>
        </w:rPr>
        <w:t xml:space="preserve">It is </w:t>
      </w:r>
      <w:r w:rsidR="00CC5222">
        <w:rPr>
          <w:color w:val="auto"/>
        </w:rPr>
        <w:t>estimated</w:t>
      </w:r>
      <w:r w:rsidRPr="001A2600">
        <w:rPr>
          <w:color w:val="auto"/>
        </w:rPr>
        <w:t xml:space="preserve"> there will be 32 new participants </w:t>
      </w:r>
      <w:r w:rsidR="001A2600">
        <w:rPr>
          <w:color w:val="auto"/>
        </w:rPr>
        <w:t xml:space="preserve">referred </w:t>
      </w:r>
      <w:r w:rsidRPr="001A2600">
        <w:rPr>
          <w:color w:val="auto"/>
        </w:rPr>
        <w:t>to the CDC program in Cape York per year</w:t>
      </w:r>
      <w:r w:rsidR="00FB1AB4" w:rsidRPr="001A2600">
        <w:rPr>
          <w:color w:val="auto"/>
        </w:rPr>
        <w:t xml:space="preserve"> based on the assumption there is a higher turnover due to the number of people moving through the community and the fact th</w:t>
      </w:r>
      <w:r w:rsidR="008F2ED6" w:rsidRPr="001A2600">
        <w:rPr>
          <w:color w:val="auto"/>
        </w:rPr>
        <w:t>a</w:t>
      </w:r>
      <w:r w:rsidR="00FB1AB4" w:rsidRPr="001A2600">
        <w:rPr>
          <w:color w:val="auto"/>
        </w:rPr>
        <w:t>t decisions abou</w:t>
      </w:r>
      <w:r w:rsidR="008F2ED6" w:rsidRPr="001A2600">
        <w:rPr>
          <w:color w:val="auto"/>
        </w:rPr>
        <w:t xml:space="preserve">t moving on and off are made at the </w:t>
      </w:r>
      <w:r w:rsidR="00FB1AB4" w:rsidRPr="001A2600">
        <w:rPr>
          <w:color w:val="auto"/>
        </w:rPr>
        <w:t>community</w:t>
      </w:r>
      <w:r w:rsidR="008F2ED6" w:rsidRPr="001A2600">
        <w:rPr>
          <w:color w:val="auto"/>
        </w:rPr>
        <w:t xml:space="preserve"> level</w:t>
      </w:r>
      <w:r w:rsidR="00FD2793">
        <w:rPr>
          <w:color w:val="auto"/>
        </w:rPr>
        <w:t xml:space="preserve">. </w:t>
      </w:r>
      <w:r w:rsidRPr="001A2600">
        <w:rPr>
          <w:color w:val="auto"/>
        </w:rPr>
        <w:t>FRC will provide advice to Services Australia on the participation of these new people on the CDC program. Therefore</w:t>
      </w:r>
      <w:r w:rsidR="00FF59C0" w:rsidRPr="001A2600">
        <w:rPr>
          <w:color w:val="auto"/>
        </w:rPr>
        <w:t>,</w:t>
      </w:r>
      <w:r w:rsidRPr="001A2600">
        <w:rPr>
          <w:color w:val="auto"/>
        </w:rPr>
        <w:t xml:space="preserve"> </w:t>
      </w:r>
      <w:r w:rsidR="00D07C75" w:rsidRPr="001A2600">
        <w:rPr>
          <w:color w:val="auto"/>
        </w:rPr>
        <w:t>the regulatory cost of FRC includes training and the proces</w:t>
      </w:r>
      <w:r w:rsidR="001D46C3">
        <w:rPr>
          <w:color w:val="auto"/>
        </w:rPr>
        <w:t>s to advise Services Australia.</w:t>
      </w:r>
    </w:p>
    <w:p w14:paraId="534C993B" w14:textId="77777777" w:rsidR="004A6F5F" w:rsidRDefault="004A6F5F">
      <w:pPr>
        <w:rPr>
          <w:rFonts w:ascii="Calibri" w:eastAsia="Calibri" w:hAnsi="Calibri" w:cs="Times New Roman"/>
          <w:b/>
          <w:color w:val="262626"/>
        </w:rPr>
      </w:pPr>
      <w:r>
        <w:rPr>
          <w:rFonts w:ascii="Calibri" w:eastAsia="Calibri" w:hAnsi="Calibri" w:cs="Times New Roman"/>
          <w:b/>
          <w:color w:val="262626"/>
        </w:rPr>
        <w:br w:type="page"/>
      </w:r>
    </w:p>
    <w:p w14:paraId="2C9F82A4" w14:textId="0CC74271" w:rsidR="001F65BE" w:rsidRDefault="005C7FCC" w:rsidP="001F65BE">
      <w:pPr>
        <w:spacing w:before="120" w:line="276" w:lineRule="auto"/>
        <w:rPr>
          <w:rFonts w:ascii="Calibri" w:eastAsia="Calibri" w:hAnsi="Calibri" w:cs="Times New Roman"/>
          <w:b/>
          <w:color w:val="262626"/>
        </w:rPr>
      </w:pPr>
      <w:r w:rsidRPr="005C7FCC">
        <w:rPr>
          <w:rFonts w:ascii="Calibri" w:eastAsia="Calibri" w:hAnsi="Calibri" w:cs="Times New Roman"/>
          <w:b/>
          <w:color w:val="262626"/>
        </w:rPr>
        <w:t>Cost to community organisations</w:t>
      </w:r>
      <w:bookmarkEnd w:id="130"/>
      <w:r w:rsidR="001F65BE">
        <w:rPr>
          <w:rFonts w:ascii="Calibri" w:eastAsia="Calibri" w:hAnsi="Calibri" w:cs="Times New Roman"/>
          <w:b/>
          <w:color w:val="262626"/>
        </w:rPr>
        <w:t xml:space="preserve"> </w:t>
      </w:r>
    </w:p>
    <w:p w14:paraId="7E63A431" w14:textId="77777777" w:rsidR="005C7FCC" w:rsidRPr="001F65BE" w:rsidRDefault="005C7FCC" w:rsidP="001F65BE">
      <w:pPr>
        <w:spacing w:before="120" w:line="276" w:lineRule="auto"/>
        <w:rPr>
          <w:rFonts w:ascii="Calibri" w:eastAsia="Calibri" w:hAnsi="Calibri" w:cs="Times New Roman"/>
          <w:b/>
          <w:color w:val="262626"/>
        </w:rPr>
      </w:pPr>
      <w:r w:rsidRPr="001C1778">
        <w:t>This table sets out the cost to community organisations for CDC program and IM.</w:t>
      </w:r>
    </w:p>
    <w:tbl>
      <w:tblPr>
        <w:tblStyle w:val="TableGrid1"/>
        <w:tblW w:w="9918" w:type="dxa"/>
        <w:tblLook w:val="04A0" w:firstRow="1" w:lastRow="0" w:firstColumn="1" w:lastColumn="0" w:noHBand="0" w:noVBand="1"/>
        <w:tblDescription w:val="Cost to general community organisations"/>
      </w:tblPr>
      <w:tblGrid>
        <w:gridCol w:w="1413"/>
        <w:gridCol w:w="660"/>
        <w:gridCol w:w="718"/>
        <w:gridCol w:w="718"/>
        <w:gridCol w:w="718"/>
        <w:gridCol w:w="718"/>
        <w:gridCol w:w="718"/>
        <w:gridCol w:w="718"/>
        <w:gridCol w:w="718"/>
        <w:gridCol w:w="718"/>
        <w:gridCol w:w="718"/>
        <w:gridCol w:w="1383"/>
      </w:tblGrid>
      <w:tr w:rsidR="005C7FCC" w:rsidRPr="001C1778" w14:paraId="526C0168" w14:textId="77777777" w:rsidTr="00691643">
        <w:trPr>
          <w:trHeight w:val="662"/>
          <w:tblHeader/>
        </w:trPr>
        <w:tc>
          <w:tcPr>
            <w:tcW w:w="1413" w:type="dxa"/>
          </w:tcPr>
          <w:p w14:paraId="4F9EEB1A"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 xml:space="preserve">Cost to </w:t>
            </w:r>
            <w:r w:rsidR="00F11BC9" w:rsidRPr="001C1778">
              <w:rPr>
                <w:rFonts w:ascii="Calibri" w:eastAsia="Calibri" w:hAnsi="Calibri" w:cs="Times New Roman"/>
                <w:b/>
                <w:sz w:val="16"/>
                <w:szCs w:val="16"/>
              </w:rPr>
              <w:t xml:space="preserve">general </w:t>
            </w:r>
            <w:r w:rsidRPr="001C1778">
              <w:rPr>
                <w:rFonts w:ascii="Calibri" w:eastAsia="Calibri" w:hAnsi="Calibri" w:cs="Times New Roman"/>
                <w:b/>
                <w:sz w:val="16"/>
                <w:szCs w:val="16"/>
              </w:rPr>
              <w:t xml:space="preserve">community organisations </w:t>
            </w:r>
          </w:p>
        </w:tc>
        <w:tc>
          <w:tcPr>
            <w:tcW w:w="660" w:type="dxa"/>
          </w:tcPr>
          <w:p w14:paraId="1EAE35AA"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Y1</w:t>
            </w:r>
          </w:p>
        </w:tc>
        <w:tc>
          <w:tcPr>
            <w:tcW w:w="718" w:type="dxa"/>
          </w:tcPr>
          <w:p w14:paraId="1C4D7FD8"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Y2</w:t>
            </w:r>
          </w:p>
        </w:tc>
        <w:tc>
          <w:tcPr>
            <w:tcW w:w="718" w:type="dxa"/>
          </w:tcPr>
          <w:p w14:paraId="642E4713"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Y3</w:t>
            </w:r>
          </w:p>
        </w:tc>
        <w:tc>
          <w:tcPr>
            <w:tcW w:w="718" w:type="dxa"/>
          </w:tcPr>
          <w:p w14:paraId="5E699A4A"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Y4</w:t>
            </w:r>
          </w:p>
        </w:tc>
        <w:tc>
          <w:tcPr>
            <w:tcW w:w="718" w:type="dxa"/>
          </w:tcPr>
          <w:p w14:paraId="1450E26D"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Y5</w:t>
            </w:r>
          </w:p>
        </w:tc>
        <w:tc>
          <w:tcPr>
            <w:tcW w:w="718" w:type="dxa"/>
          </w:tcPr>
          <w:p w14:paraId="7E0B2565"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Y6</w:t>
            </w:r>
          </w:p>
        </w:tc>
        <w:tc>
          <w:tcPr>
            <w:tcW w:w="718" w:type="dxa"/>
          </w:tcPr>
          <w:p w14:paraId="0CA67D92"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Y7</w:t>
            </w:r>
          </w:p>
        </w:tc>
        <w:tc>
          <w:tcPr>
            <w:tcW w:w="718" w:type="dxa"/>
          </w:tcPr>
          <w:p w14:paraId="6A2BF07A"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Y8</w:t>
            </w:r>
          </w:p>
        </w:tc>
        <w:tc>
          <w:tcPr>
            <w:tcW w:w="718" w:type="dxa"/>
          </w:tcPr>
          <w:p w14:paraId="32B55921"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Y9</w:t>
            </w:r>
          </w:p>
        </w:tc>
        <w:tc>
          <w:tcPr>
            <w:tcW w:w="718" w:type="dxa"/>
          </w:tcPr>
          <w:p w14:paraId="72291489"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Y10</w:t>
            </w:r>
          </w:p>
        </w:tc>
        <w:tc>
          <w:tcPr>
            <w:tcW w:w="1383" w:type="dxa"/>
          </w:tcPr>
          <w:p w14:paraId="2D05CBE6"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TOTAL</w:t>
            </w:r>
          </w:p>
        </w:tc>
      </w:tr>
      <w:tr w:rsidR="005C7FCC" w:rsidRPr="00463E93" w14:paraId="464958A7" w14:textId="77777777" w:rsidTr="00463E93">
        <w:trPr>
          <w:trHeight w:val="558"/>
        </w:trPr>
        <w:tc>
          <w:tcPr>
            <w:tcW w:w="1413" w:type="dxa"/>
            <w:vAlign w:val="center"/>
          </w:tcPr>
          <w:p w14:paraId="147EDE3B" w14:textId="77777777" w:rsidR="005C7FCC" w:rsidRPr="001C1778" w:rsidRDefault="005C7FCC" w:rsidP="00F70119">
            <w:pPr>
              <w:rPr>
                <w:rFonts w:ascii="Calibri" w:eastAsia="Calibri" w:hAnsi="Calibri" w:cs="Times New Roman"/>
                <w:b/>
                <w:sz w:val="16"/>
                <w:szCs w:val="16"/>
              </w:rPr>
            </w:pPr>
            <w:r w:rsidRPr="001C1778">
              <w:rPr>
                <w:rFonts w:ascii="Calibri" w:eastAsia="Calibri" w:hAnsi="Calibri" w:cs="Times New Roman"/>
                <w:b/>
                <w:sz w:val="16"/>
                <w:szCs w:val="16"/>
              </w:rPr>
              <w:t>TOTAL ($)</w:t>
            </w:r>
          </w:p>
        </w:tc>
        <w:tc>
          <w:tcPr>
            <w:tcW w:w="660" w:type="dxa"/>
            <w:vAlign w:val="center"/>
          </w:tcPr>
          <w:p w14:paraId="6220430A" w14:textId="77777777" w:rsidR="005C7FCC" w:rsidRPr="001C1778" w:rsidRDefault="005C7FCC" w:rsidP="00F70119">
            <w:pPr>
              <w:jc w:val="right"/>
              <w:rPr>
                <w:rFonts w:ascii="Calibri" w:eastAsia="Calibri" w:hAnsi="Calibri" w:cs="Times New Roman"/>
                <w:b/>
                <w:i/>
                <w:color w:val="FF0000"/>
                <w:sz w:val="16"/>
                <w:szCs w:val="16"/>
              </w:rPr>
            </w:pPr>
            <w:r w:rsidRPr="001C1778">
              <w:rPr>
                <w:rFonts w:ascii="Calibri" w:hAnsi="Calibri" w:cs="Calibri"/>
                <w:sz w:val="16"/>
                <w:szCs w:val="16"/>
              </w:rPr>
              <w:t>$688</w:t>
            </w:r>
          </w:p>
        </w:tc>
        <w:tc>
          <w:tcPr>
            <w:tcW w:w="718" w:type="dxa"/>
            <w:vAlign w:val="center"/>
          </w:tcPr>
          <w:p w14:paraId="0AB8CD06"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6E9E125A"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41330938"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5DF5935E"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312357D0"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33EC9829"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16962F52"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1AA208C6"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718" w:type="dxa"/>
            <w:vAlign w:val="center"/>
          </w:tcPr>
          <w:p w14:paraId="55375F4E" w14:textId="77777777" w:rsidR="005C7FCC" w:rsidRPr="001C1778" w:rsidRDefault="005C7FCC" w:rsidP="00F70119">
            <w:pPr>
              <w:jc w:val="right"/>
              <w:rPr>
                <w:rFonts w:ascii="Calibri" w:eastAsia="Calibri" w:hAnsi="Calibri" w:cs="Times New Roman"/>
                <w:b/>
                <w:sz w:val="16"/>
                <w:szCs w:val="16"/>
              </w:rPr>
            </w:pPr>
            <w:r w:rsidRPr="001C1778">
              <w:rPr>
                <w:rFonts w:ascii="Calibri" w:hAnsi="Calibri" w:cs="Calibri"/>
                <w:sz w:val="16"/>
                <w:szCs w:val="16"/>
              </w:rPr>
              <w:t>$688</w:t>
            </w:r>
          </w:p>
        </w:tc>
        <w:tc>
          <w:tcPr>
            <w:tcW w:w="1383" w:type="dxa"/>
            <w:vAlign w:val="center"/>
          </w:tcPr>
          <w:p w14:paraId="48502933" w14:textId="77777777" w:rsidR="005C7FCC" w:rsidRPr="001C1778" w:rsidRDefault="002D00C2" w:rsidP="00F70119">
            <w:pPr>
              <w:jc w:val="right"/>
              <w:rPr>
                <w:rFonts w:ascii="Calibri" w:eastAsia="Calibri" w:hAnsi="Calibri" w:cs="Times New Roman"/>
                <w:b/>
                <w:sz w:val="16"/>
                <w:szCs w:val="16"/>
              </w:rPr>
            </w:pPr>
            <w:r w:rsidRPr="001C1778">
              <w:rPr>
                <w:rFonts w:ascii="Calibri" w:hAnsi="Calibri" w:cs="Calibri"/>
                <w:b/>
                <w:bCs/>
                <w:sz w:val="16"/>
                <w:szCs w:val="16"/>
              </w:rPr>
              <w:t>$6,880</w:t>
            </w:r>
          </w:p>
        </w:tc>
      </w:tr>
    </w:tbl>
    <w:p w14:paraId="06DAD151" w14:textId="77777777" w:rsidR="00F11BC9" w:rsidRPr="0041554D" w:rsidRDefault="00E60863" w:rsidP="00561204">
      <w:pPr>
        <w:pStyle w:val="NormalWeb"/>
        <w:rPr>
          <w:rFonts w:eastAsiaTheme="minorHAnsi"/>
        </w:rPr>
      </w:pPr>
      <w:r>
        <w:rPr>
          <w:rFonts w:eastAsiaTheme="minorHAnsi"/>
        </w:rPr>
        <w:t xml:space="preserve">This table sets out the cost for the </w:t>
      </w:r>
      <w:r w:rsidR="00F11BC9" w:rsidRPr="00F11BC9">
        <w:rPr>
          <w:rFonts w:eastAsiaTheme="minorHAnsi"/>
        </w:rPr>
        <w:t>Family Responsibilities Commission</w:t>
      </w:r>
      <w:r>
        <w:rPr>
          <w:rFonts w:eastAsiaTheme="minorHAnsi"/>
        </w:rPr>
        <w:t xml:space="preserve"> refer to the</w:t>
      </w:r>
      <w:r w:rsidR="00F11BC9">
        <w:rPr>
          <w:rFonts w:eastAsiaTheme="minorHAnsi"/>
        </w:rPr>
        <w:t xml:space="preserve"> CDC program</w:t>
      </w:r>
      <w:r w:rsidR="00F11BC9" w:rsidRPr="0041554D">
        <w:rPr>
          <w:rFonts w:eastAsiaTheme="minorHAnsi"/>
        </w:rPr>
        <w:t>.</w:t>
      </w:r>
    </w:p>
    <w:tbl>
      <w:tblPr>
        <w:tblStyle w:val="TableGrid1"/>
        <w:tblW w:w="9918" w:type="dxa"/>
        <w:tblLook w:val="04A0" w:firstRow="1" w:lastRow="0" w:firstColumn="1" w:lastColumn="0" w:noHBand="0" w:noVBand="1"/>
        <w:tblDescription w:val="Family Responsibilities Commission referrals to the CDC program"/>
      </w:tblPr>
      <w:tblGrid>
        <w:gridCol w:w="3066"/>
        <w:gridCol w:w="6852"/>
      </w:tblGrid>
      <w:tr w:rsidR="00F77D37" w:rsidRPr="00463E93" w14:paraId="4020F2AD" w14:textId="77777777" w:rsidTr="00691643">
        <w:trPr>
          <w:trHeight w:val="260"/>
          <w:tblHeader/>
        </w:trPr>
        <w:tc>
          <w:tcPr>
            <w:tcW w:w="3066" w:type="dxa"/>
          </w:tcPr>
          <w:p w14:paraId="139CD151" w14:textId="77777777" w:rsidR="00F77D37" w:rsidRPr="00463E93" w:rsidRDefault="00F77D37" w:rsidP="000C6F93">
            <w:pPr>
              <w:rPr>
                <w:rFonts w:ascii="Calibri" w:eastAsia="Calibri" w:hAnsi="Calibri" w:cs="Times New Roman"/>
                <w:b/>
                <w:color w:val="auto"/>
                <w:sz w:val="16"/>
                <w:szCs w:val="16"/>
              </w:rPr>
            </w:pPr>
            <w:r w:rsidRPr="00463E93">
              <w:rPr>
                <w:rFonts w:ascii="Calibri" w:eastAsia="Calibri" w:hAnsi="Calibri" w:cs="Times New Roman"/>
                <w:b/>
                <w:color w:val="auto"/>
                <w:sz w:val="16"/>
                <w:szCs w:val="16"/>
              </w:rPr>
              <w:t>Activity</w:t>
            </w:r>
          </w:p>
        </w:tc>
        <w:tc>
          <w:tcPr>
            <w:tcW w:w="6852" w:type="dxa"/>
          </w:tcPr>
          <w:p w14:paraId="0216CF72" w14:textId="77777777" w:rsidR="00F77D37" w:rsidRPr="00463E93" w:rsidRDefault="00F11BC9" w:rsidP="00D33F41">
            <w:pPr>
              <w:rPr>
                <w:rFonts w:ascii="Calibri" w:eastAsia="Calibri" w:hAnsi="Calibri" w:cs="Times New Roman"/>
                <w:b/>
                <w:color w:val="auto"/>
                <w:sz w:val="16"/>
                <w:szCs w:val="16"/>
              </w:rPr>
            </w:pPr>
            <w:r w:rsidRPr="00463E93">
              <w:rPr>
                <w:b/>
                <w:sz w:val="16"/>
                <w:szCs w:val="16"/>
              </w:rPr>
              <w:t>Family Responsibilities Commission</w:t>
            </w:r>
            <w:r w:rsidRPr="00463E93">
              <w:rPr>
                <w:sz w:val="16"/>
                <w:szCs w:val="16"/>
              </w:rPr>
              <w:t xml:space="preserve"> </w:t>
            </w:r>
            <w:r w:rsidR="00F77D37" w:rsidRPr="00463E93">
              <w:rPr>
                <w:rFonts w:ascii="Calibri" w:eastAsia="Calibri" w:hAnsi="Calibri" w:cs="Times New Roman"/>
                <w:b/>
                <w:color w:val="auto"/>
                <w:sz w:val="16"/>
                <w:szCs w:val="16"/>
              </w:rPr>
              <w:t>led referrals (</w:t>
            </w:r>
            <w:r w:rsidR="00D33F41">
              <w:rPr>
                <w:rFonts w:ascii="Calibri" w:eastAsia="Calibri" w:hAnsi="Calibri" w:cs="Times New Roman"/>
                <w:b/>
                <w:color w:val="auto"/>
                <w:sz w:val="16"/>
                <w:szCs w:val="16"/>
              </w:rPr>
              <w:t>3</w:t>
            </w:r>
            <w:r w:rsidR="005A4D4F">
              <w:rPr>
                <w:rFonts w:ascii="Calibri" w:eastAsia="Calibri" w:hAnsi="Calibri" w:cs="Times New Roman"/>
                <w:b/>
                <w:color w:val="auto"/>
                <w:sz w:val="16"/>
                <w:szCs w:val="16"/>
              </w:rPr>
              <w:t>2</w:t>
            </w:r>
            <w:r w:rsidR="00D33F41">
              <w:rPr>
                <w:rFonts w:ascii="Calibri" w:eastAsia="Calibri" w:hAnsi="Calibri" w:cs="Times New Roman"/>
                <w:b/>
                <w:color w:val="auto"/>
                <w:sz w:val="16"/>
                <w:szCs w:val="16"/>
              </w:rPr>
              <w:t xml:space="preserve"> advises </w:t>
            </w:r>
            <w:r w:rsidR="00F77D37" w:rsidRPr="00463E93">
              <w:rPr>
                <w:rFonts w:ascii="Calibri" w:eastAsia="Calibri" w:hAnsi="Calibri" w:cs="Times New Roman"/>
                <w:b/>
                <w:color w:val="auto"/>
                <w:sz w:val="16"/>
                <w:szCs w:val="16"/>
              </w:rPr>
              <w:t>per year)</w:t>
            </w:r>
          </w:p>
        </w:tc>
      </w:tr>
      <w:tr w:rsidR="00F77D37" w:rsidRPr="001C1778" w14:paraId="393A9FD7" w14:textId="77777777" w:rsidTr="00B01ED2">
        <w:trPr>
          <w:trHeight w:val="588"/>
        </w:trPr>
        <w:tc>
          <w:tcPr>
            <w:tcW w:w="3066" w:type="dxa"/>
          </w:tcPr>
          <w:p w14:paraId="4B0A9B69" w14:textId="77777777" w:rsidR="00F77D37" w:rsidRPr="001C1778" w:rsidRDefault="00F77D37" w:rsidP="000C6F93">
            <w:pPr>
              <w:rPr>
                <w:rFonts w:ascii="Calibri" w:eastAsia="Calibri" w:hAnsi="Calibri" w:cs="Times New Roman"/>
                <w:b/>
                <w:sz w:val="16"/>
                <w:szCs w:val="16"/>
              </w:rPr>
            </w:pPr>
            <w:r w:rsidRPr="001C1778">
              <w:rPr>
                <w:rFonts w:ascii="Calibri" w:eastAsia="Calibri" w:hAnsi="Calibri" w:cs="Times New Roman"/>
                <w:b/>
                <w:sz w:val="16"/>
                <w:szCs w:val="16"/>
              </w:rPr>
              <w:t>Training/briefing for authorities</w:t>
            </w:r>
          </w:p>
        </w:tc>
        <w:tc>
          <w:tcPr>
            <w:tcW w:w="6852" w:type="dxa"/>
          </w:tcPr>
          <w:p w14:paraId="70F8DD57" w14:textId="77777777" w:rsidR="00F77D37" w:rsidRPr="001C1778" w:rsidRDefault="00F77D37" w:rsidP="000C6F93">
            <w:pPr>
              <w:contextualSpacing/>
              <w:jc w:val="right"/>
              <w:rPr>
                <w:rFonts w:ascii="Calibri" w:eastAsia="Calibri" w:hAnsi="Calibri" w:cs="Times New Roman"/>
                <w:sz w:val="16"/>
                <w:szCs w:val="16"/>
              </w:rPr>
            </w:pPr>
            <w:r w:rsidRPr="001C1778">
              <w:rPr>
                <w:rFonts w:ascii="Calibri" w:eastAsia="Calibri" w:hAnsi="Calibri" w:cs="Times New Roman"/>
                <w:sz w:val="16"/>
                <w:szCs w:val="16"/>
              </w:rPr>
              <w:t>1 hrs x 1 agency x 1 staff member x $79.63/hr = $79.63 (1 year cost)</w:t>
            </w:r>
          </w:p>
          <w:p w14:paraId="1650366A" w14:textId="0F5BFB25" w:rsidR="00F77D37" w:rsidRPr="001C1778" w:rsidRDefault="00F77D37" w:rsidP="000C6F93">
            <w:pPr>
              <w:ind w:left="720"/>
              <w:contextualSpacing/>
              <w:jc w:val="right"/>
              <w:rPr>
                <w:rFonts w:ascii="Calibri" w:eastAsia="Calibri" w:hAnsi="Calibri" w:cs="Times New Roman"/>
                <w:sz w:val="16"/>
                <w:szCs w:val="16"/>
              </w:rPr>
            </w:pPr>
          </w:p>
          <w:p w14:paraId="1E4431E3" w14:textId="77777777" w:rsidR="00F77D37" w:rsidRPr="001C1778" w:rsidRDefault="00F77D37" w:rsidP="000C6F93">
            <w:pPr>
              <w:ind w:left="720"/>
              <w:contextualSpacing/>
              <w:jc w:val="right"/>
              <w:rPr>
                <w:rFonts w:ascii="Calibri" w:eastAsia="Calibri" w:hAnsi="Calibri" w:cs="Times New Roman"/>
                <w:sz w:val="16"/>
                <w:szCs w:val="16"/>
              </w:rPr>
            </w:pPr>
            <w:r w:rsidRPr="001C1778">
              <w:rPr>
                <w:rFonts w:ascii="Calibri" w:eastAsia="Calibri" w:hAnsi="Calibri" w:cs="Times New Roman"/>
                <w:sz w:val="16"/>
                <w:szCs w:val="16"/>
              </w:rPr>
              <w:t>Total over 10 years = $796.30</w:t>
            </w:r>
          </w:p>
        </w:tc>
      </w:tr>
      <w:tr w:rsidR="00F77D37" w:rsidRPr="001C1778" w14:paraId="665FEE88" w14:textId="77777777" w:rsidTr="00B01ED2">
        <w:trPr>
          <w:trHeight w:val="588"/>
        </w:trPr>
        <w:tc>
          <w:tcPr>
            <w:tcW w:w="3066" w:type="dxa"/>
          </w:tcPr>
          <w:p w14:paraId="1912D4CC" w14:textId="77777777" w:rsidR="00F77D37" w:rsidRPr="001C1778" w:rsidRDefault="002E1DED" w:rsidP="002E1DED">
            <w:pPr>
              <w:rPr>
                <w:rFonts w:ascii="Calibri" w:eastAsia="Calibri" w:hAnsi="Calibri" w:cs="Times New Roman"/>
                <w:b/>
                <w:sz w:val="16"/>
                <w:szCs w:val="16"/>
              </w:rPr>
            </w:pPr>
            <w:r w:rsidRPr="001C1778">
              <w:rPr>
                <w:rFonts w:ascii="Calibri" w:eastAsia="Calibri" w:hAnsi="Calibri" w:cs="Times New Roman"/>
                <w:b/>
                <w:sz w:val="16"/>
                <w:szCs w:val="16"/>
              </w:rPr>
              <w:t>Process to advise Service Australia</w:t>
            </w:r>
          </w:p>
        </w:tc>
        <w:tc>
          <w:tcPr>
            <w:tcW w:w="6852" w:type="dxa"/>
          </w:tcPr>
          <w:p w14:paraId="027A59D9" w14:textId="77777777" w:rsidR="00F77D37" w:rsidRPr="001C1778" w:rsidRDefault="00F77D37" w:rsidP="000C6F93">
            <w:pPr>
              <w:contextualSpacing/>
              <w:jc w:val="right"/>
              <w:rPr>
                <w:rFonts w:ascii="Calibri" w:eastAsia="Calibri" w:hAnsi="Calibri" w:cs="Times New Roman"/>
                <w:sz w:val="16"/>
                <w:szCs w:val="16"/>
              </w:rPr>
            </w:pPr>
            <w:r w:rsidRPr="001C1778">
              <w:rPr>
                <w:rFonts w:ascii="Calibri" w:eastAsia="Calibri" w:hAnsi="Calibri" w:cs="Times New Roman"/>
                <w:sz w:val="16"/>
                <w:szCs w:val="16"/>
              </w:rPr>
              <w:t xml:space="preserve">0.5 hrs x 1 agency x </w:t>
            </w:r>
            <w:r w:rsidR="00D33F41" w:rsidRPr="001C1778">
              <w:rPr>
                <w:rFonts w:ascii="Calibri" w:eastAsia="Calibri" w:hAnsi="Calibri" w:cs="Times New Roman"/>
                <w:sz w:val="16"/>
                <w:szCs w:val="16"/>
              </w:rPr>
              <w:t>1</w:t>
            </w:r>
            <w:r w:rsidRPr="001C1778">
              <w:rPr>
                <w:rFonts w:ascii="Calibri" w:eastAsia="Calibri" w:hAnsi="Calibri" w:cs="Times New Roman"/>
                <w:sz w:val="16"/>
                <w:szCs w:val="16"/>
              </w:rPr>
              <w:t xml:space="preserve"> staff member x $79.63/hr </w:t>
            </w:r>
            <w:r w:rsidR="00833C32" w:rsidRPr="001C1778">
              <w:rPr>
                <w:rFonts w:ascii="Calibri" w:eastAsia="Calibri" w:hAnsi="Calibri" w:cs="Times New Roman"/>
                <w:sz w:val="16"/>
                <w:szCs w:val="16"/>
              </w:rPr>
              <w:t xml:space="preserve">x </w:t>
            </w:r>
            <w:r w:rsidR="00D33F41" w:rsidRPr="001C1778">
              <w:rPr>
                <w:rFonts w:ascii="Calibri" w:eastAsia="Calibri" w:hAnsi="Calibri" w:cs="Times New Roman"/>
                <w:sz w:val="16"/>
                <w:szCs w:val="16"/>
              </w:rPr>
              <w:t>3</w:t>
            </w:r>
            <w:r w:rsidR="005A4D4F" w:rsidRPr="001C1778">
              <w:rPr>
                <w:rFonts w:ascii="Calibri" w:eastAsia="Calibri" w:hAnsi="Calibri" w:cs="Times New Roman"/>
                <w:sz w:val="16"/>
                <w:szCs w:val="16"/>
              </w:rPr>
              <w:t>2</w:t>
            </w:r>
            <w:r w:rsidR="00833C32" w:rsidRPr="001C1778">
              <w:rPr>
                <w:rFonts w:ascii="Calibri" w:eastAsia="Calibri" w:hAnsi="Calibri" w:cs="Times New Roman"/>
                <w:sz w:val="16"/>
                <w:szCs w:val="16"/>
              </w:rPr>
              <w:t xml:space="preserve"> advise to Service Australia </w:t>
            </w:r>
            <w:r w:rsidRPr="001C1778">
              <w:rPr>
                <w:rFonts w:ascii="Calibri" w:eastAsia="Calibri" w:hAnsi="Calibri" w:cs="Times New Roman"/>
                <w:sz w:val="16"/>
                <w:szCs w:val="16"/>
              </w:rPr>
              <w:t>=$</w:t>
            </w:r>
            <w:r w:rsidR="00D33F41" w:rsidRPr="001C1778">
              <w:rPr>
                <w:rFonts w:ascii="Calibri" w:eastAsia="Calibri" w:hAnsi="Calibri" w:cs="Times New Roman"/>
                <w:sz w:val="16"/>
                <w:szCs w:val="16"/>
              </w:rPr>
              <w:t>1,</w:t>
            </w:r>
            <w:r w:rsidR="005A4D4F" w:rsidRPr="001C1778">
              <w:rPr>
                <w:rFonts w:ascii="Calibri" w:eastAsia="Calibri" w:hAnsi="Calibri" w:cs="Times New Roman"/>
                <w:sz w:val="16"/>
                <w:szCs w:val="16"/>
              </w:rPr>
              <w:t>274,08</w:t>
            </w:r>
          </w:p>
          <w:p w14:paraId="2AD5951A" w14:textId="77777777" w:rsidR="00F77D37" w:rsidRPr="001C1778" w:rsidRDefault="00F77D37" w:rsidP="000C6F93">
            <w:pPr>
              <w:contextualSpacing/>
              <w:jc w:val="right"/>
              <w:rPr>
                <w:rFonts w:ascii="Calibri" w:eastAsia="Calibri" w:hAnsi="Calibri" w:cs="Times New Roman"/>
                <w:sz w:val="16"/>
                <w:szCs w:val="16"/>
              </w:rPr>
            </w:pPr>
          </w:p>
          <w:p w14:paraId="5EC5D3EC" w14:textId="77777777" w:rsidR="00F77D37" w:rsidRPr="001C1778" w:rsidRDefault="00F77D37" w:rsidP="000C6F93">
            <w:pPr>
              <w:contextualSpacing/>
              <w:jc w:val="right"/>
              <w:rPr>
                <w:rFonts w:ascii="Calibri" w:eastAsia="Calibri" w:hAnsi="Calibri" w:cs="Times New Roman"/>
                <w:sz w:val="16"/>
                <w:szCs w:val="16"/>
              </w:rPr>
            </w:pPr>
            <w:r w:rsidRPr="001C1778">
              <w:rPr>
                <w:rFonts w:ascii="Calibri" w:eastAsia="Calibri" w:hAnsi="Calibri" w:cs="Times New Roman"/>
                <w:sz w:val="16"/>
                <w:szCs w:val="16"/>
              </w:rPr>
              <w:t>Total over 10 years =$</w:t>
            </w:r>
            <w:r w:rsidR="005A4D4F" w:rsidRPr="001C1778">
              <w:rPr>
                <w:rFonts w:ascii="Calibri" w:eastAsia="Calibri" w:hAnsi="Calibri" w:cs="Times New Roman"/>
                <w:sz w:val="16"/>
                <w:szCs w:val="16"/>
              </w:rPr>
              <w:t>12,741</w:t>
            </w:r>
          </w:p>
        </w:tc>
      </w:tr>
      <w:tr w:rsidR="00F77D37" w:rsidRPr="00463E93" w14:paraId="519727A9" w14:textId="77777777" w:rsidTr="00B01ED2">
        <w:trPr>
          <w:trHeight w:val="260"/>
        </w:trPr>
        <w:tc>
          <w:tcPr>
            <w:tcW w:w="3066" w:type="dxa"/>
          </w:tcPr>
          <w:p w14:paraId="094EC388" w14:textId="77777777" w:rsidR="00F77D37" w:rsidRPr="001C1778" w:rsidRDefault="00F77D37" w:rsidP="000C6F93">
            <w:pPr>
              <w:rPr>
                <w:rFonts w:ascii="Calibri" w:eastAsia="Calibri" w:hAnsi="Calibri" w:cs="Times New Roman"/>
                <w:b/>
                <w:sz w:val="16"/>
                <w:szCs w:val="16"/>
              </w:rPr>
            </w:pPr>
            <w:r w:rsidRPr="001C1778">
              <w:rPr>
                <w:rFonts w:ascii="Calibri" w:eastAsia="Calibri" w:hAnsi="Calibri" w:cs="Times New Roman"/>
                <w:b/>
                <w:sz w:val="16"/>
                <w:szCs w:val="16"/>
              </w:rPr>
              <w:t>Total over 10 years ($)</w:t>
            </w:r>
          </w:p>
        </w:tc>
        <w:tc>
          <w:tcPr>
            <w:tcW w:w="6852" w:type="dxa"/>
          </w:tcPr>
          <w:p w14:paraId="2DAFF001" w14:textId="77777777" w:rsidR="00F77D37" w:rsidRPr="001C1778" w:rsidRDefault="00EF292F" w:rsidP="00A4465F">
            <w:pPr>
              <w:contextualSpacing/>
              <w:jc w:val="right"/>
              <w:rPr>
                <w:rFonts w:ascii="Calibri" w:hAnsi="Calibri" w:cs="Calibri"/>
                <w:b/>
                <w:bCs/>
                <w:sz w:val="16"/>
                <w:szCs w:val="16"/>
              </w:rPr>
            </w:pPr>
            <w:r>
              <w:rPr>
                <w:rFonts w:ascii="Calibri" w:hAnsi="Calibri" w:cs="Calibri"/>
                <w:b/>
                <w:bCs/>
                <w:sz w:val="16"/>
                <w:szCs w:val="16"/>
              </w:rPr>
              <w:t>$13,537</w:t>
            </w:r>
          </w:p>
        </w:tc>
      </w:tr>
    </w:tbl>
    <w:p w14:paraId="2ED95B4F" w14:textId="77777777" w:rsidR="003E48A5" w:rsidRDefault="00060C79" w:rsidP="003E48A5">
      <w:pPr>
        <w:spacing w:before="120" w:after="180" w:line="276" w:lineRule="auto"/>
        <w:rPr>
          <w:rFonts w:ascii="Calibri" w:eastAsia="Calibri" w:hAnsi="Calibri" w:cs="Times New Roman"/>
          <w:b/>
          <w:color w:val="262626"/>
        </w:rPr>
      </w:pPr>
      <w:r>
        <w:rPr>
          <w:rFonts w:ascii="Calibri" w:eastAsia="Calibri" w:hAnsi="Calibri" w:cs="Times New Roman"/>
          <w:b/>
          <w:color w:val="262626"/>
        </w:rPr>
        <w:t>Net Benefit</w:t>
      </w:r>
    </w:p>
    <w:p w14:paraId="6390A22A" w14:textId="77777777" w:rsidR="003E48A5" w:rsidRPr="005C7470" w:rsidRDefault="003E48A5" w:rsidP="00505F3E">
      <w:pPr>
        <w:spacing w:before="120" w:after="180" w:line="276" w:lineRule="auto"/>
        <w:rPr>
          <w:rFonts w:ascii="Calibri" w:eastAsia="Calibri" w:hAnsi="Calibri" w:cs="Times New Roman"/>
          <w:color w:val="262626"/>
        </w:rPr>
      </w:pPr>
      <w:r w:rsidRPr="002E1DED">
        <w:rPr>
          <w:rFonts w:ascii="Calibri" w:eastAsia="Calibri" w:hAnsi="Calibri" w:cs="Times New Roman"/>
          <w:color w:val="262626"/>
        </w:rPr>
        <w:t>For community organisations,</w:t>
      </w:r>
      <w:r w:rsidR="00096D69">
        <w:rPr>
          <w:rFonts w:ascii="Calibri" w:eastAsia="Calibri" w:hAnsi="Calibri" w:cs="Times New Roman"/>
          <w:color w:val="262626"/>
        </w:rPr>
        <w:t xml:space="preserve"> excluding FRC,</w:t>
      </w:r>
      <w:r w:rsidRPr="002E1DED">
        <w:rPr>
          <w:rFonts w:ascii="Calibri" w:eastAsia="Calibri" w:hAnsi="Calibri" w:cs="Times New Roman"/>
          <w:color w:val="262626"/>
        </w:rPr>
        <w:t xml:space="preserve"> there is no net </w:t>
      </w:r>
      <w:r w:rsidR="00D96A49">
        <w:rPr>
          <w:rFonts w:ascii="Calibri" w:eastAsia="Calibri" w:hAnsi="Calibri" w:cs="Times New Roman"/>
          <w:color w:val="262626"/>
        </w:rPr>
        <w:t xml:space="preserve">additional regulatory </w:t>
      </w:r>
      <w:r w:rsidRPr="002E1DED">
        <w:rPr>
          <w:rFonts w:ascii="Calibri" w:eastAsia="Calibri" w:hAnsi="Calibri" w:cs="Times New Roman"/>
          <w:color w:val="262626"/>
        </w:rPr>
        <w:t>cost or benefit as both programs will continue to</w:t>
      </w:r>
      <w:r w:rsidR="0027417F" w:rsidRPr="002E1DED">
        <w:rPr>
          <w:rFonts w:ascii="Calibri" w:eastAsia="Calibri" w:hAnsi="Calibri" w:cs="Times New Roman"/>
          <w:color w:val="262626"/>
        </w:rPr>
        <w:t xml:space="preserve"> run simultaneously as before.</w:t>
      </w:r>
      <w:r w:rsidR="00F11BC9" w:rsidRPr="002E1DED">
        <w:rPr>
          <w:rFonts w:ascii="Calibri" w:eastAsia="Calibri" w:hAnsi="Calibri" w:cs="Times New Roman"/>
          <w:color w:val="262626"/>
        </w:rPr>
        <w:t xml:space="preserve"> There is a small regulatory cost for the FRC to </w:t>
      </w:r>
      <w:r w:rsidR="002E1DED" w:rsidRPr="002E1DED">
        <w:rPr>
          <w:rFonts w:ascii="Calibri" w:eastAsia="Calibri" w:hAnsi="Calibri" w:cs="Times New Roman"/>
          <w:color w:val="262626"/>
        </w:rPr>
        <w:t xml:space="preserve">advise Services Australia of a new participant </w:t>
      </w:r>
      <w:r w:rsidR="00F11BC9" w:rsidRPr="002E1DED">
        <w:rPr>
          <w:rFonts w:ascii="Calibri" w:eastAsia="Calibri" w:hAnsi="Calibri" w:cs="Times New Roman"/>
          <w:color w:val="262626"/>
        </w:rPr>
        <w:t>to the CDC program. However, the CDC program uses a community led model and therefore</w:t>
      </w:r>
      <w:r w:rsidR="00AB4A81" w:rsidRPr="002E1DED">
        <w:rPr>
          <w:rFonts w:ascii="Calibri" w:eastAsia="Calibri" w:hAnsi="Calibri" w:cs="Times New Roman"/>
          <w:color w:val="262626"/>
        </w:rPr>
        <w:t xml:space="preserve"> the</w:t>
      </w:r>
      <w:r w:rsidR="00F11BC9" w:rsidRPr="002E1DED">
        <w:rPr>
          <w:rFonts w:ascii="Calibri" w:eastAsia="Calibri" w:hAnsi="Calibri" w:cs="Times New Roman"/>
          <w:color w:val="262626"/>
        </w:rPr>
        <w:t xml:space="preserve"> </w:t>
      </w:r>
      <w:r w:rsidR="00AB4A81" w:rsidRPr="002E1DED">
        <w:rPr>
          <w:rFonts w:ascii="Calibri" w:eastAsia="Calibri" w:hAnsi="Calibri" w:cs="Times New Roman"/>
          <w:color w:val="262626"/>
        </w:rPr>
        <w:t>benefit of having the decisions being self-determined at a community level outweighs the small regulatory cost.</w:t>
      </w:r>
    </w:p>
    <w:p w14:paraId="3EAA1580" w14:textId="77777777" w:rsidR="003E48A5" w:rsidRPr="00E83ED2" w:rsidRDefault="003E48A5" w:rsidP="006318BC">
      <w:pPr>
        <w:pStyle w:val="Heading3"/>
      </w:pPr>
      <w:bookmarkStart w:id="131" w:name="_Toc99449492"/>
      <w:bookmarkStart w:id="132" w:name="_Toc108008502"/>
      <w:bookmarkStart w:id="133" w:name="_Toc118103772"/>
      <w:r w:rsidRPr="00025205">
        <w:t xml:space="preserve">4.1.2 Regulatory impacts </w:t>
      </w:r>
      <w:r w:rsidRPr="00E83ED2">
        <w:t>– benchmark</w:t>
      </w:r>
      <w:bookmarkEnd w:id="131"/>
      <w:bookmarkEnd w:id="132"/>
      <w:bookmarkEnd w:id="133"/>
      <w:r w:rsidRPr="00E83ED2">
        <w:t xml:space="preserve"> </w:t>
      </w:r>
    </w:p>
    <w:p w14:paraId="4ABD69FD" w14:textId="5F57E505" w:rsidR="00DE72BF" w:rsidRPr="00DE72BF" w:rsidRDefault="005F26DA" w:rsidP="00DE72BF">
      <w:pPr>
        <w:pStyle w:val="NormalWeb"/>
        <w:rPr>
          <w:rFonts w:eastAsia="Calibri"/>
        </w:rPr>
      </w:pPr>
      <w:r w:rsidRPr="00E83ED2">
        <w:rPr>
          <w:rFonts w:eastAsia="Calibri"/>
        </w:rPr>
        <w:t xml:space="preserve">Under this option there is a regulatory cost </w:t>
      </w:r>
      <w:r w:rsidRPr="00254CCC">
        <w:rPr>
          <w:rFonts w:eastAsia="Calibri"/>
        </w:rPr>
        <w:t xml:space="preserve">of </w:t>
      </w:r>
      <w:r w:rsidR="00676B4A" w:rsidRPr="00254CCC">
        <w:rPr>
          <w:b/>
        </w:rPr>
        <w:t xml:space="preserve">$24,556,260 </w:t>
      </w:r>
      <w:r w:rsidR="00186884" w:rsidRPr="00254CCC">
        <w:rPr>
          <w:rFonts w:eastAsia="Calibri"/>
          <w:b/>
        </w:rPr>
        <w:t>over 10 years</w:t>
      </w:r>
      <w:r w:rsidRPr="00254CCC">
        <w:rPr>
          <w:rFonts w:eastAsia="Calibri"/>
        </w:rPr>
        <w:t>.</w:t>
      </w:r>
      <w:r w:rsidRPr="001C1778">
        <w:rPr>
          <w:rFonts w:eastAsia="Calibri"/>
        </w:rPr>
        <w:t xml:space="preserve"> This cost is underpinned by the</w:t>
      </w:r>
      <w:r w:rsidR="00BD7A0E" w:rsidRPr="001C1778">
        <w:rPr>
          <w:rFonts w:eastAsia="Calibri"/>
        </w:rPr>
        <w:t xml:space="preserve"> </w:t>
      </w:r>
      <w:r w:rsidR="00AA67A6" w:rsidRPr="001C1778">
        <w:rPr>
          <w:rFonts w:eastAsia="Calibri"/>
        </w:rPr>
        <w:t>above</w:t>
      </w:r>
      <w:r w:rsidR="00BD7A0E" w:rsidRPr="001C1778">
        <w:rPr>
          <w:rFonts w:eastAsia="Calibri"/>
        </w:rPr>
        <w:t xml:space="preserve"> tables and assumptions.</w:t>
      </w:r>
    </w:p>
    <w:tbl>
      <w:tblPr>
        <w:tblStyle w:val="LightGrid-Accent211"/>
        <w:tblW w:w="10194" w:type="dxa"/>
        <w:tblInd w:w="-10" w:type="dxa"/>
        <w:tblLook w:val="04A0" w:firstRow="1" w:lastRow="0" w:firstColumn="1" w:lastColumn="0" w:noHBand="0" w:noVBand="1"/>
        <w:tblDescription w:val="Regulatory Impacts - benchmark"/>
      </w:tblPr>
      <w:tblGrid>
        <w:gridCol w:w="2018"/>
        <w:gridCol w:w="2160"/>
        <w:gridCol w:w="1904"/>
        <w:gridCol w:w="2207"/>
        <w:gridCol w:w="1905"/>
      </w:tblGrid>
      <w:tr w:rsidR="005F26DA" w:rsidRPr="001C1778" w14:paraId="2C69C977" w14:textId="77777777" w:rsidTr="00275526">
        <w:trPr>
          <w:cnfStyle w:val="100000000000" w:firstRow="1" w:lastRow="0" w:firstColumn="0" w:lastColumn="0" w:oddVBand="0" w:evenVBand="0" w:oddHBand="0" w:evenHBand="0" w:firstRowFirstColumn="0" w:firstRowLastColumn="0" w:lastRowFirstColumn="0" w:lastRowLastColumn="0"/>
          <w:trHeight w:val="399"/>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F9C3C5" w:themeFill="accent6" w:themeFillTint="33"/>
            <w:noWrap/>
          </w:tcPr>
          <w:p w14:paraId="2787F9D0" w14:textId="77777777" w:rsidR="005F26DA" w:rsidRPr="00E234FE" w:rsidRDefault="005F26DA" w:rsidP="001248E5">
            <w:pPr>
              <w:spacing w:before="120"/>
              <w:rPr>
                <w:rFonts w:asciiTheme="minorHAnsi" w:hAnsiTheme="minorHAnsi" w:cstheme="minorHAnsi"/>
                <w:sz w:val="20"/>
                <w:szCs w:val="20"/>
              </w:rPr>
            </w:pPr>
            <w:r w:rsidRPr="00E234FE">
              <w:rPr>
                <w:rFonts w:asciiTheme="minorHAnsi" w:hAnsiTheme="minorHAnsi" w:cstheme="minorHAnsi"/>
                <w:sz w:val="20"/>
                <w:szCs w:val="20"/>
              </w:rPr>
              <w:t xml:space="preserve">Change in costs </w:t>
            </w:r>
          </w:p>
        </w:tc>
        <w:tc>
          <w:tcPr>
            <w:tcW w:w="2160" w:type="dxa"/>
            <w:shd w:val="clear" w:color="auto" w:fill="F9C3C5" w:themeFill="accent6" w:themeFillTint="33"/>
            <w:noWrap/>
          </w:tcPr>
          <w:p w14:paraId="26876BB8" w14:textId="77777777" w:rsidR="005F26DA" w:rsidRPr="00E234FE" w:rsidRDefault="005F26DA" w:rsidP="005F26DA">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34FE">
              <w:rPr>
                <w:rFonts w:asciiTheme="minorHAnsi" w:hAnsiTheme="minorHAnsi" w:cstheme="minorHAnsi"/>
                <w:sz w:val="20"/>
                <w:szCs w:val="20"/>
              </w:rPr>
              <w:t>Business</w:t>
            </w:r>
          </w:p>
        </w:tc>
        <w:tc>
          <w:tcPr>
            <w:tcW w:w="1904" w:type="dxa"/>
            <w:shd w:val="clear" w:color="auto" w:fill="F9C3C5" w:themeFill="accent6" w:themeFillTint="33"/>
            <w:noWrap/>
          </w:tcPr>
          <w:p w14:paraId="343C2C70" w14:textId="77777777" w:rsidR="005F26DA" w:rsidRPr="00E234FE" w:rsidRDefault="005F26DA" w:rsidP="005F26DA">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34FE">
              <w:rPr>
                <w:rFonts w:asciiTheme="minorHAnsi" w:hAnsiTheme="minorHAnsi" w:cstheme="minorHAnsi"/>
                <w:sz w:val="20"/>
                <w:szCs w:val="20"/>
              </w:rPr>
              <w:t>Community organisations</w:t>
            </w:r>
          </w:p>
        </w:tc>
        <w:tc>
          <w:tcPr>
            <w:tcW w:w="2207" w:type="dxa"/>
            <w:shd w:val="clear" w:color="auto" w:fill="F9C3C5" w:themeFill="accent6" w:themeFillTint="33"/>
            <w:noWrap/>
          </w:tcPr>
          <w:p w14:paraId="0381A02E" w14:textId="77777777" w:rsidR="005F26DA" w:rsidRPr="00E234FE" w:rsidRDefault="005F26DA" w:rsidP="005F26DA">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34FE">
              <w:rPr>
                <w:rFonts w:asciiTheme="minorHAnsi" w:hAnsiTheme="minorHAnsi" w:cstheme="minorHAnsi"/>
                <w:sz w:val="20"/>
                <w:szCs w:val="20"/>
              </w:rPr>
              <w:t>Individuals</w:t>
            </w:r>
          </w:p>
        </w:tc>
        <w:tc>
          <w:tcPr>
            <w:tcW w:w="1905" w:type="dxa"/>
            <w:shd w:val="clear" w:color="auto" w:fill="F9C3C5" w:themeFill="accent6" w:themeFillTint="33"/>
            <w:noWrap/>
          </w:tcPr>
          <w:p w14:paraId="1EEAAFDF" w14:textId="77777777" w:rsidR="005F26DA" w:rsidRPr="00E234FE" w:rsidRDefault="005F26DA" w:rsidP="005F26DA">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34FE">
              <w:rPr>
                <w:rFonts w:asciiTheme="minorHAnsi" w:hAnsiTheme="minorHAnsi" w:cstheme="minorHAnsi"/>
                <w:sz w:val="20"/>
                <w:szCs w:val="20"/>
              </w:rPr>
              <w:t>Total change in costs</w:t>
            </w:r>
          </w:p>
        </w:tc>
      </w:tr>
      <w:tr w:rsidR="00676B4A" w:rsidRPr="00E60863" w14:paraId="7FCED8F8" w14:textId="77777777" w:rsidTr="00E16A74">
        <w:trPr>
          <w:trHeight w:val="294"/>
        </w:trPr>
        <w:tc>
          <w:tcPr>
            <w:cnfStyle w:val="001000000000" w:firstRow="0" w:lastRow="0" w:firstColumn="1" w:lastColumn="0" w:oddVBand="0" w:evenVBand="0" w:oddHBand="0" w:evenHBand="0" w:firstRowFirstColumn="0" w:firstRowLastColumn="0" w:lastRowFirstColumn="0" w:lastRowLastColumn="0"/>
            <w:tcW w:w="2018" w:type="dxa"/>
            <w:noWrap/>
          </w:tcPr>
          <w:p w14:paraId="7162B0B2" w14:textId="77777777" w:rsidR="00676B4A" w:rsidRPr="00254CCC" w:rsidRDefault="00676B4A" w:rsidP="00676B4A">
            <w:pPr>
              <w:spacing w:before="120" w:after="120"/>
              <w:rPr>
                <w:rFonts w:asciiTheme="minorHAnsi" w:hAnsiTheme="minorHAnsi" w:cs="Arial"/>
                <w:sz w:val="20"/>
                <w:szCs w:val="20"/>
              </w:rPr>
            </w:pPr>
            <w:r w:rsidRPr="00254CCC">
              <w:rPr>
                <w:rFonts w:asciiTheme="minorHAnsi" w:hAnsiTheme="minorHAnsi" w:cs="Arial"/>
                <w:sz w:val="20"/>
                <w:szCs w:val="20"/>
              </w:rPr>
              <w:t>Total, by sector</w:t>
            </w:r>
          </w:p>
        </w:tc>
        <w:tc>
          <w:tcPr>
            <w:tcW w:w="2160" w:type="dxa"/>
            <w:noWrap/>
          </w:tcPr>
          <w:p w14:paraId="72218E07" w14:textId="77777777" w:rsidR="00676B4A" w:rsidRPr="00254CCC"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254CCC">
              <w:rPr>
                <w:b/>
              </w:rPr>
              <w:t>$18,015,163</w:t>
            </w:r>
          </w:p>
        </w:tc>
        <w:tc>
          <w:tcPr>
            <w:tcW w:w="1904" w:type="dxa"/>
            <w:noWrap/>
          </w:tcPr>
          <w:p w14:paraId="0C529C01" w14:textId="77777777" w:rsidR="00676B4A" w:rsidRPr="00254CCC"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254CCC">
              <w:rPr>
                <w:b/>
              </w:rPr>
              <w:t>$20,417</w:t>
            </w:r>
          </w:p>
        </w:tc>
        <w:tc>
          <w:tcPr>
            <w:tcW w:w="2207" w:type="dxa"/>
            <w:noWrap/>
          </w:tcPr>
          <w:p w14:paraId="583796C6" w14:textId="77777777" w:rsidR="00676B4A" w:rsidRPr="00254CCC"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254CCC">
              <w:rPr>
                <w:b/>
              </w:rPr>
              <w:t>$6,520,680</w:t>
            </w:r>
          </w:p>
        </w:tc>
        <w:tc>
          <w:tcPr>
            <w:tcW w:w="1905" w:type="dxa"/>
            <w:noWrap/>
          </w:tcPr>
          <w:p w14:paraId="679FFD8C" w14:textId="77777777" w:rsidR="00676B4A" w:rsidRPr="00254CCC"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254CCC">
              <w:rPr>
                <w:b/>
              </w:rPr>
              <w:t>$24,556,260</w:t>
            </w:r>
          </w:p>
        </w:tc>
      </w:tr>
    </w:tbl>
    <w:p w14:paraId="3D669EA0" w14:textId="77777777" w:rsidR="00884F2C" w:rsidRPr="008B6EFB" w:rsidRDefault="00884F2C" w:rsidP="008B6EFB">
      <w:pPr>
        <w:pStyle w:val="NormalWeb"/>
      </w:pPr>
      <w:bookmarkStart w:id="134" w:name="_Toc108008506"/>
      <w:r w:rsidRPr="008B6EFB">
        <w:br w:type="page"/>
      </w:r>
    </w:p>
    <w:p w14:paraId="24E035C5" w14:textId="77777777" w:rsidR="00475BEE" w:rsidRPr="00753309" w:rsidRDefault="00475BEE" w:rsidP="006318BC">
      <w:pPr>
        <w:pStyle w:val="Heading2"/>
      </w:pPr>
      <w:bookmarkStart w:id="135" w:name="_Toc118103773"/>
      <w:r w:rsidRPr="00753309">
        <w:t xml:space="preserve">4.2 Option </w:t>
      </w:r>
      <w:r w:rsidR="00E5547A">
        <w:t>2</w:t>
      </w:r>
      <w:r w:rsidRPr="00753309">
        <w:t xml:space="preserve"> – </w:t>
      </w:r>
      <w:bookmarkEnd w:id="119"/>
      <w:bookmarkEnd w:id="120"/>
      <w:r w:rsidR="000A1168">
        <w:t>Reform of the CDC and IM programs</w:t>
      </w:r>
      <w:bookmarkEnd w:id="134"/>
      <w:bookmarkEnd w:id="135"/>
    </w:p>
    <w:p w14:paraId="487B91A5" w14:textId="093D561E" w:rsidR="00CC5222" w:rsidRPr="001D6F93" w:rsidRDefault="00C633FA" w:rsidP="00CC5222">
      <w:pPr>
        <w:pStyle w:val="NormalWeb"/>
        <w:rPr>
          <w:rFonts w:eastAsiaTheme="minorHAnsi"/>
        </w:rPr>
      </w:pPr>
      <w:bookmarkStart w:id="136" w:name="_Toc108008507"/>
      <w:r w:rsidRPr="001D6F93">
        <w:rPr>
          <w:rFonts w:eastAsiaTheme="minorHAnsi"/>
        </w:rPr>
        <w:t>This</w:t>
      </w:r>
      <w:r>
        <w:rPr>
          <w:rFonts w:eastAsiaTheme="minorHAnsi"/>
        </w:rPr>
        <w:t xml:space="preserve"> option will abolish the CDC</w:t>
      </w:r>
      <w:r w:rsidR="00D33F41">
        <w:rPr>
          <w:rFonts w:eastAsiaTheme="minorHAnsi"/>
        </w:rPr>
        <w:t xml:space="preserve"> program</w:t>
      </w:r>
      <w:r>
        <w:rPr>
          <w:rFonts w:eastAsiaTheme="minorHAnsi"/>
        </w:rPr>
        <w:t xml:space="preserve">, </w:t>
      </w:r>
      <w:r w:rsidR="00621BEB">
        <w:rPr>
          <w:rFonts w:eastAsiaTheme="minorHAnsi"/>
        </w:rPr>
        <w:t xml:space="preserve">move to a </w:t>
      </w:r>
      <w:r w:rsidR="00CC5222">
        <w:rPr>
          <w:rFonts w:eastAsiaTheme="minorHAnsi"/>
        </w:rPr>
        <w:t xml:space="preserve">voluntary model of </w:t>
      </w:r>
      <w:r w:rsidRPr="00C633FA">
        <w:rPr>
          <w:rFonts w:eastAsiaTheme="minorHAnsi"/>
        </w:rPr>
        <w:t>IM program</w:t>
      </w:r>
      <w:r w:rsidR="005E6424">
        <w:rPr>
          <w:rFonts w:eastAsiaTheme="minorHAnsi"/>
        </w:rPr>
        <w:t xml:space="preserve"> based on consultation with communities</w:t>
      </w:r>
      <w:r w:rsidRPr="00C633FA">
        <w:rPr>
          <w:rFonts w:eastAsiaTheme="minorHAnsi"/>
        </w:rPr>
        <w:t xml:space="preserve">, </w:t>
      </w:r>
      <w:r>
        <w:rPr>
          <w:rFonts w:eastAsiaTheme="minorHAnsi"/>
        </w:rPr>
        <w:t>provide a modern</w:t>
      </w:r>
      <w:r w:rsidR="00B43598">
        <w:rPr>
          <w:rFonts w:eastAsiaTheme="minorHAnsi"/>
        </w:rPr>
        <w:t xml:space="preserve"> card</w:t>
      </w:r>
      <w:r>
        <w:rPr>
          <w:rFonts w:eastAsiaTheme="minorHAnsi"/>
        </w:rPr>
        <w:t xml:space="preserve"> service offering</w:t>
      </w:r>
      <w:r w:rsidR="00A359D9">
        <w:rPr>
          <w:rFonts w:eastAsiaTheme="minorHAnsi"/>
        </w:rPr>
        <w:t xml:space="preserve"> to IM participants</w:t>
      </w:r>
      <w:r w:rsidR="00C81F58">
        <w:rPr>
          <w:rFonts w:eastAsiaTheme="minorHAnsi"/>
        </w:rPr>
        <w:t xml:space="preserve"> </w:t>
      </w:r>
      <w:r w:rsidR="00CC5222">
        <w:rPr>
          <w:rFonts w:eastAsiaTheme="minorHAnsi"/>
        </w:rPr>
        <w:t>and establish culturally suitable support services, co-designed with affected communities to address local issues and priorities and assist people who transition off the program.</w:t>
      </w:r>
    </w:p>
    <w:p w14:paraId="7BD87370" w14:textId="77777777" w:rsidR="006318BC" w:rsidRDefault="00CC5222" w:rsidP="006318BC">
      <w:pPr>
        <w:pStyle w:val="NormalWeb"/>
        <w:rPr>
          <w:rFonts w:eastAsiaTheme="minorHAnsi"/>
        </w:rPr>
      </w:pPr>
      <w:r>
        <w:rPr>
          <w:rFonts w:eastAsiaTheme="minorHAnsi"/>
        </w:rPr>
        <w:t xml:space="preserve">The option also </w:t>
      </w:r>
      <w:r w:rsidR="00C633FA">
        <w:rPr>
          <w:rFonts w:eastAsiaTheme="minorHAnsi"/>
        </w:rPr>
        <w:t>consider</w:t>
      </w:r>
      <w:r>
        <w:rPr>
          <w:rFonts w:eastAsiaTheme="minorHAnsi"/>
        </w:rPr>
        <w:t>s</w:t>
      </w:r>
      <w:r w:rsidR="00C633FA">
        <w:rPr>
          <w:rFonts w:eastAsiaTheme="minorHAnsi"/>
        </w:rPr>
        <w:t xml:space="preserve"> options for communities and state authorities to refer people onto a reformed IM program</w:t>
      </w:r>
      <w:r w:rsidR="007A4946">
        <w:rPr>
          <w:rFonts w:eastAsiaTheme="minorHAnsi"/>
        </w:rPr>
        <w:t xml:space="preserve"> (subject to further government consideration)</w:t>
      </w:r>
      <w:r w:rsidR="00C633FA">
        <w:rPr>
          <w:rFonts w:eastAsiaTheme="minorHAnsi"/>
        </w:rPr>
        <w:t>.</w:t>
      </w:r>
    </w:p>
    <w:p w14:paraId="5DBACA11" w14:textId="117620E4" w:rsidR="00E3630B" w:rsidRPr="00381C4C" w:rsidRDefault="00E3630B" w:rsidP="006318BC">
      <w:pPr>
        <w:pStyle w:val="Heading3"/>
      </w:pPr>
      <w:bookmarkStart w:id="137" w:name="_Toc118103774"/>
      <w:r>
        <w:t>4.2</w:t>
      </w:r>
      <w:r w:rsidRPr="00381C4C">
        <w:t>.1 Overall impacts</w:t>
      </w:r>
      <w:bookmarkEnd w:id="136"/>
      <w:bookmarkEnd w:id="137"/>
    </w:p>
    <w:p w14:paraId="61E6E5AF" w14:textId="77777777" w:rsidR="007A099E" w:rsidRDefault="000A1168" w:rsidP="007A099E">
      <w:pPr>
        <w:pStyle w:val="NormalWeb"/>
      </w:pPr>
      <w:r>
        <w:t xml:space="preserve">The lack of conclusive evidence from the evaluations on the difference the programs are having on </w:t>
      </w:r>
      <w:r w:rsidR="00434411">
        <w:t xml:space="preserve">reduced alcohol, drugs and gambling means it is </w:t>
      </w:r>
      <w:r w:rsidR="00A8100F">
        <w:t>not possible</w:t>
      </w:r>
      <w:r w:rsidR="008456A7">
        <w:t xml:space="preserve"> to estimate the </w:t>
      </w:r>
      <w:r w:rsidR="00CC5222">
        <w:t>effect</w:t>
      </w:r>
      <w:r w:rsidR="008456A7">
        <w:t xml:space="preserve"> </w:t>
      </w:r>
      <w:r w:rsidR="00CC5222">
        <w:t xml:space="preserve">of </w:t>
      </w:r>
      <w:r w:rsidR="00434411">
        <w:t>abolishing or reforming the pro</w:t>
      </w:r>
      <w:r w:rsidR="001C1778">
        <w:t>grams</w:t>
      </w:r>
      <w:r w:rsidR="00CC5222">
        <w:t xml:space="preserve">. </w:t>
      </w:r>
      <w:r w:rsidR="00434411">
        <w:t xml:space="preserve">This has been emphasised through the consultations with </w:t>
      </w:r>
      <w:r w:rsidR="008E1FDE">
        <w:t>communities</w:t>
      </w:r>
      <w:r w:rsidR="00051258">
        <w:t xml:space="preserve">, </w:t>
      </w:r>
      <w:r w:rsidR="00621BEB">
        <w:t xml:space="preserve">with </w:t>
      </w:r>
      <w:r w:rsidR="001C1778">
        <w:t xml:space="preserve">law enforcement agencies </w:t>
      </w:r>
      <w:r w:rsidR="00434411">
        <w:t xml:space="preserve">saying there </w:t>
      </w:r>
      <w:r w:rsidR="00051258">
        <w:t xml:space="preserve">has been </w:t>
      </w:r>
      <w:r w:rsidR="00434411">
        <w:t xml:space="preserve">no noticeable difference in crime as a result of the </w:t>
      </w:r>
      <w:r w:rsidR="008456A7">
        <w:t>CDC</w:t>
      </w:r>
      <w:r w:rsidR="00434411">
        <w:t xml:space="preserve"> </w:t>
      </w:r>
      <w:r w:rsidR="001C1778">
        <w:t>while other</w:t>
      </w:r>
      <w:r w:rsidR="008456A7">
        <w:t>s</w:t>
      </w:r>
      <w:r w:rsidR="001C1778">
        <w:t xml:space="preserve"> in the community </w:t>
      </w:r>
      <w:r w:rsidR="00A8100F">
        <w:t xml:space="preserve">holding the view that </w:t>
      </w:r>
      <w:r w:rsidR="00C64EEF">
        <w:t>there has been</w:t>
      </w:r>
      <w:r w:rsidR="00A8100F">
        <w:t xml:space="preserve"> </w:t>
      </w:r>
      <w:r w:rsidR="000D4CFB">
        <w:t xml:space="preserve">a </w:t>
      </w:r>
      <w:r w:rsidR="00A8100F">
        <w:t>positive impact</w:t>
      </w:r>
      <w:r w:rsidR="00C64EEF">
        <w:t>.</w:t>
      </w:r>
    </w:p>
    <w:p w14:paraId="72065FE9" w14:textId="77777777" w:rsidR="00B832FE" w:rsidRDefault="009B4FEA" w:rsidP="007A099E">
      <w:pPr>
        <w:pStyle w:val="NormalWeb"/>
      </w:pPr>
      <w:r>
        <w:t xml:space="preserve">There is no quantitative research which would provide the Department with the ability to determine the impact of this option. </w:t>
      </w:r>
      <w:r w:rsidR="004D122E">
        <w:t xml:space="preserve">The Department has </w:t>
      </w:r>
      <w:r w:rsidR="00434411">
        <w:t xml:space="preserve">therefore </w:t>
      </w:r>
      <w:r w:rsidR="004D122E">
        <w:t xml:space="preserve">made </w:t>
      </w:r>
      <w:r w:rsidR="00E3630B">
        <w:t>assumption</w:t>
      </w:r>
      <w:r w:rsidR="000D05F5">
        <w:t>s</w:t>
      </w:r>
      <w:r w:rsidR="00E3630B">
        <w:t xml:space="preserve"> </w:t>
      </w:r>
      <w:r w:rsidR="000D05F5">
        <w:t xml:space="preserve">on the </w:t>
      </w:r>
      <w:r w:rsidR="004D122E">
        <w:t xml:space="preserve">potential </w:t>
      </w:r>
      <w:r w:rsidR="00E3630B">
        <w:t>social</w:t>
      </w:r>
      <w:r w:rsidR="00434411">
        <w:t xml:space="preserve"> impacts of the proposal</w:t>
      </w:r>
      <w:r>
        <w:t>.</w:t>
      </w:r>
      <w:r w:rsidR="008E1FDE">
        <w:t xml:space="preserve"> </w:t>
      </w:r>
      <w:r w:rsidR="00434411">
        <w:t xml:space="preserve">The </w:t>
      </w:r>
      <w:r w:rsidR="00E3630B">
        <w:t>economic and regulatory impacts</w:t>
      </w:r>
      <w:r w:rsidR="000D05F5">
        <w:t xml:space="preserve"> of the proposal</w:t>
      </w:r>
      <w:r w:rsidR="00434411">
        <w:t xml:space="preserve"> are based on the most up to date information available</w:t>
      </w:r>
      <w:r w:rsidR="00C64EEF">
        <w:t>.</w:t>
      </w:r>
    </w:p>
    <w:p w14:paraId="799A58B7" w14:textId="77777777" w:rsidR="00FB71B4" w:rsidRDefault="0025349F" w:rsidP="007A099E">
      <w:pPr>
        <w:pStyle w:val="NormalWeb"/>
      </w:pPr>
      <w:r>
        <w:t>There are no environmental and comp</w:t>
      </w:r>
      <w:r w:rsidR="007A099E">
        <w:t>etition impacts to be explored.</w:t>
      </w:r>
    </w:p>
    <w:p w14:paraId="314A540D" w14:textId="77777777" w:rsidR="000C1DF8" w:rsidRDefault="00FC667A" w:rsidP="00086DA1">
      <w:pPr>
        <w:pStyle w:val="Heading3"/>
        <w:rPr>
          <w:rFonts w:eastAsia="Calibri"/>
        </w:rPr>
      </w:pPr>
      <w:bookmarkStart w:id="138" w:name="_Toc118103775"/>
      <w:bookmarkStart w:id="139" w:name="_Toc108008508"/>
      <w:r>
        <w:rPr>
          <w:rFonts w:eastAsia="Calibri"/>
        </w:rPr>
        <w:t xml:space="preserve">4.2.2 </w:t>
      </w:r>
      <w:r w:rsidR="000C1DF8">
        <w:rPr>
          <w:rFonts w:eastAsia="Calibri"/>
        </w:rPr>
        <w:t>Reforming CDC and IM programs including technology enhancements</w:t>
      </w:r>
      <w:bookmarkEnd w:id="138"/>
    </w:p>
    <w:p w14:paraId="0B873C09" w14:textId="77777777" w:rsidR="007920A6" w:rsidRPr="005C7470" w:rsidRDefault="00FC667A" w:rsidP="006318BC">
      <w:pPr>
        <w:pStyle w:val="Heading4"/>
      </w:pPr>
      <w:r>
        <w:t xml:space="preserve">4.2.2.1 </w:t>
      </w:r>
      <w:r w:rsidR="007920A6" w:rsidRPr="005C7470">
        <w:t>Participants</w:t>
      </w:r>
      <w:bookmarkEnd w:id="139"/>
    </w:p>
    <w:p w14:paraId="5E16D96B" w14:textId="77777777" w:rsidR="00B859A1" w:rsidRPr="00652C51" w:rsidRDefault="00B859A1" w:rsidP="00652C51">
      <w:pPr>
        <w:spacing w:after="0" w:line="240" w:lineRule="auto"/>
        <w:rPr>
          <w:rFonts w:ascii="Times New Roman" w:eastAsia="Times New Roman" w:hAnsi="Times New Roman" w:cs="Times New Roman"/>
          <w:sz w:val="24"/>
          <w:szCs w:val="24"/>
          <w:lang w:eastAsia="en-AU"/>
        </w:rPr>
      </w:pPr>
      <w:r w:rsidRPr="001C1778">
        <w:rPr>
          <w:lang w:eastAsia="en-AU"/>
        </w:rPr>
        <w:t xml:space="preserve">It is expected that the </w:t>
      </w:r>
      <w:r w:rsidR="008456A7">
        <w:rPr>
          <w:lang w:eastAsia="en-AU"/>
        </w:rPr>
        <w:t xml:space="preserve">following number of </w:t>
      </w:r>
      <w:r w:rsidRPr="001C1778">
        <w:rPr>
          <w:lang w:eastAsia="en-AU"/>
        </w:rPr>
        <w:t xml:space="preserve">participants </w:t>
      </w:r>
      <w:r w:rsidR="008456A7">
        <w:rPr>
          <w:lang w:eastAsia="en-AU"/>
        </w:rPr>
        <w:t>transition on and o</w:t>
      </w:r>
      <w:r w:rsidR="001C1778" w:rsidRPr="001C1778">
        <w:rPr>
          <w:lang w:eastAsia="en-AU"/>
        </w:rPr>
        <w:t xml:space="preserve">ff </w:t>
      </w:r>
      <w:r w:rsidR="008456A7">
        <w:rPr>
          <w:lang w:eastAsia="en-AU"/>
        </w:rPr>
        <w:t xml:space="preserve">the </w:t>
      </w:r>
      <w:r w:rsidRPr="001C1778">
        <w:rPr>
          <w:lang w:eastAsia="en-AU"/>
        </w:rPr>
        <w:t xml:space="preserve">CDC and IM </w:t>
      </w:r>
      <w:r w:rsidR="008456A7">
        <w:rPr>
          <w:lang w:eastAsia="en-AU"/>
        </w:rPr>
        <w:t>o</w:t>
      </w:r>
      <w:r w:rsidRPr="001C1778">
        <w:rPr>
          <w:lang w:eastAsia="en-AU"/>
        </w:rPr>
        <w:t>ver the next 10 y</w:t>
      </w:r>
      <w:r w:rsidRPr="00652C51">
        <w:rPr>
          <w:lang w:eastAsia="en-AU"/>
        </w:rPr>
        <w:t>ears starting from 2022-</w:t>
      </w:r>
      <w:r w:rsidRPr="00E83ED2">
        <w:rPr>
          <w:lang w:eastAsia="en-AU"/>
        </w:rPr>
        <w:t xml:space="preserve">23. </w:t>
      </w:r>
      <w:r w:rsidR="00652C51" w:rsidRPr="00E83ED2">
        <w:rPr>
          <w:lang w:eastAsia="en-AU"/>
        </w:rPr>
        <w:t>See</w:t>
      </w:r>
      <w:r w:rsidR="007D6322" w:rsidRPr="00E83ED2">
        <w:rPr>
          <w:lang w:eastAsia="en-AU"/>
        </w:rPr>
        <w:t xml:space="preserve"> </w:t>
      </w:r>
      <w:r w:rsidR="007D6322" w:rsidRPr="00D718D4">
        <w:rPr>
          <w:u w:val="single"/>
          <w:lang w:eastAsia="en-AU"/>
        </w:rPr>
        <w:t>Attachment F</w:t>
      </w:r>
      <w:r w:rsidR="00652C51" w:rsidRPr="00E83ED2">
        <w:rPr>
          <w:lang w:eastAsia="en-AU"/>
        </w:rPr>
        <w:t xml:space="preserve"> for a</w:t>
      </w:r>
      <w:r w:rsidR="00652C51" w:rsidRPr="008456A7">
        <w:rPr>
          <w:lang w:eastAsia="en-AU"/>
        </w:rPr>
        <w:t xml:space="preserve"> summary of </w:t>
      </w:r>
      <w:r w:rsidR="00652C51" w:rsidRPr="008456A7">
        <w:rPr>
          <w:rFonts w:eastAsia="Times New Roman" w:cstheme="minorHAnsi"/>
          <w:bCs/>
          <w:color w:val="000000"/>
          <w:lang w:eastAsia="en-AU"/>
        </w:rPr>
        <w:t>CDC and IM participant numbers justification and assumptions</w:t>
      </w:r>
      <w:r w:rsidR="00C322AF">
        <w:rPr>
          <w:rFonts w:eastAsia="Times New Roman" w:cstheme="minorHAnsi"/>
          <w:bCs/>
          <w:color w:val="000000"/>
          <w:lang w:eastAsia="en-AU"/>
        </w:rPr>
        <w:t>.</w:t>
      </w:r>
    </w:p>
    <w:p w14:paraId="2D9FC7E5" w14:textId="77777777" w:rsidR="00D03FBF" w:rsidRDefault="00D03FBF" w:rsidP="009A3446">
      <w:pPr>
        <w:pStyle w:val="BulletedListlvl1"/>
        <w:numPr>
          <w:ilvl w:val="0"/>
          <w:numId w:val="0"/>
        </w:numPr>
        <w:rPr>
          <w:b/>
          <w:lang w:eastAsia="en-AU"/>
        </w:rPr>
      </w:pPr>
    </w:p>
    <w:p w14:paraId="65C476DA" w14:textId="77777777" w:rsidR="009A3446" w:rsidRPr="00B362F6" w:rsidRDefault="009A3446" w:rsidP="009A3446">
      <w:pPr>
        <w:pStyle w:val="BulletedListlvl1"/>
        <w:numPr>
          <w:ilvl w:val="0"/>
          <w:numId w:val="0"/>
        </w:numPr>
        <w:rPr>
          <w:b/>
          <w:lang w:eastAsia="en-AU"/>
        </w:rPr>
      </w:pPr>
      <w:r w:rsidRPr="00B362F6">
        <w:rPr>
          <w:b/>
          <w:lang w:eastAsia="en-AU"/>
        </w:rPr>
        <w:t>Cashless Debit Card</w:t>
      </w:r>
    </w:p>
    <w:p w14:paraId="3D108128" w14:textId="179A95E6" w:rsidR="00C0692E" w:rsidRPr="00B362F6" w:rsidRDefault="0073030A" w:rsidP="00C0692E">
      <w:pPr>
        <w:spacing w:before="120" w:after="180" w:line="276" w:lineRule="auto"/>
        <w:rPr>
          <w:rFonts w:ascii="Calibri" w:eastAsia="Calibri" w:hAnsi="Calibri" w:cs="Calibri"/>
          <w:color w:val="262626"/>
          <w:spacing w:val="4"/>
          <w:lang w:eastAsia="en-AU"/>
        </w:rPr>
      </w:pPr>
      <w:r w:rsidRPr="008456A7">
        <w:rPr>
          <w:rFonts w:ascii="Calibri" w:eastAsia="Calibri" w:hAnsi="Calibri" w:cs="Calibri"/>
          <w:color w:val="262626"/>
          <w:spacing w:val="4"/>
          <w:lang w:eastAsia="en-AU"/>
        </w:rPr>
        <w:t xml:space="preserve">All CDC participants will transition off the CDC program. </w:t>
      </w:r>
      <w:r w:rsidR="00C0692E" w:rsidRPr="008456A7">
        <w:rPr>
          <w:rFonts w:ascii="Calibri" w:eastAsia="Calibri" w:hAnsi="Calibri" w:cs="Calibri"/>
          <w:color w:val="262626"/>
          <w:spacing w:val="4"/>
          <w:lang w:eastAsia="en-AU"/>
        </w:rPr>
        <w:t>It</w:t>
      </w:r>
      <w:r w:rsidR="00C0692E" w:rsidRPr="00B362F6">
        <w:rPr>
          <w:rFonts w:ascii="Calibri" w:eastAsia="Calibri" w:hAnsi="Calibri" w:cs="Calibri"/>
          <w:color w:val="262626"/>
          <w:spacing w:val="4"/>
          <w:lang w:eastAsia="en-AU"/>
        </w:rPr>
        <w:t xml:space="preserve"> is anticipated </w:t>
      </w:r>
      <w:r w:rsidR="006771F8" w:rsidRPr="00B362F6">
        <w:rPr>
          <w:rFonts w:ascii="Calibri" w:eastAsia="Calibri" w:hAnsi="Calibri" w:cs="Calibri"/>
          <w:color w:val="262626"/>
          <w:spacing w:val="4"/>
          <w:lang w:eastAsia="en-AU"/>
        </w:rPr>
        <w:t>approximately</w:t>
      </w:r>
      <w:r w:rsidR="0086063A">
        <w:rPr>
          <w:rFonts w:ascii="Calibri" w:eastAsia="Calibri" w:hAnsi="Calibri" w:cs="Calibri"/>
          <w:color w:val="262626"/>
          <w:spacing w:val="4"/>
          <w:lang w:eastAsia="en-AU"/>
        </w:rPr>
        <w:t xml:space="preserve"> all</w:t>
      </w:r>
      <w:r w:rsidR="006771F8" w:rsidRPr="00B362F6">
        <w:rPr>
          <w:rFonts w:ascii="Calibri" w:eastAsia="Calibri" w:hAnsi="Calibri" w:cs="Calibri"/>
          <w:color w:val="262626"/>
          <w:spacing w:val="4"/>
          <w:lang w:eastAsia="en-AU"/>
        </w:rPr>
        <w:t xml:space="preserve"> 17,3</w:t>
      </w:r>
      <w:r w:rsidR="00C0692E" w:rsidRPr="00B362F6">
        <w:rPr>
          <w:rFonts w:ascii="Calibri" w:eastAsia="Calibri" w:hAnsi="Calibri" w:cs="Calibri"/>
          <w:color w:val="262626"/>
          <w:spacing w:val="4"/>
          <w:lang w:eastAsia="en-AU"/>
        </w:rPr>
        <w:t>00 CDC participants will trans</w:t>
      </w:r>
      <w:r w:rsidR="009B4FEA" w:rsidRPr="00B362F6">
        <w:rPr>
          <w:rFonts w:ascii="Calibri" w:eastAsia="Calibri" w:hAnsi="Calibri" w:cs="Calibri"/>
          <w:color w:val="262626"/>
          <w:spacing w:val="4"/>
          <w:lang w:eastAsia="en-AU"/>
        </w:rPr>
        <w:t>ition off the program.</w:t>
      </w:r>
      <w:r>
        <w:rPr>
          <w:rFonts w:ascii="Calibri" w:eastAsia="Calibri" w:hAnsi="Calibri" w:cs="Calibri"/>
          <w:color w:val="262626"/>
          <w:spacing w:val="4"/>
          <w:lang w:eastAsia="en-AU"/>
        </w:rPr>
        <w:t xml:space="preserve"> </w:t>
      </w:r>
      <w:r w:rsidR="009B4FEA" w:rsidRPr="00B362F6">
        <w:rPr>
          <w:rFonts w:ascii="Calibri" w:eastAsia="Calibri" w:hAnsi="Calibri" w:cs="Calibri"/>
          <w:color w:val="262626"/>
          <w:spacing w:val="4"/>
          <w:lang w:eastAsia="en-AU"/>
        </w:rPr>
        <w:t>Of these</w:t>
      </w:r>
      <w:r w:rsidR="00C74909" w:rsidRPr="00B362F6">
        <w:rPr>
          <w:rFonts w:ascii="Calibri" w:eastAsia="Calibri" w:hAnsi="Calibri" w:cs="Calibri"/>
          <w:color w:val="262626"/>
          <w:spacing w:val="4"/>
          <w:lang w:eastAsia="en-AU"/>
        </w:rPr>
        <w:t xml:space="preserve"> approximately</w:t>
      </w:r>
      <w:r w:rsidR="009B4FEA" w:rsidRPr="00B362F6">
        <w:rPr>
          <w:rFonts w:ascii="Calibri" w:eastAsia="Calibri" w:hAnsi="Calibri" w:cs="Calibri"/>
          <w:color w:val="262626"/>
          <w:spacing w:val="4"/>
          <w:lang w:eastAsia="en-AU"/>
        </w:rPr>
        <w:t>:</w:t>
      </w:r>
    </w:p>
    <w:p w14:paraId="3D37ADF4" w14:textId="77777777" w:rsidR="00C0692E" w:rsidRPr="00B362F6" w:rsidRDefault="00EE66EC" w:rsidP="00D27C7B">
      <w:pPr>
        <w:pStyle w:val="BulletedListlvl1"/>
        <w:rPr>
          <w:lang w:eastAsia="en-AU"/>
        </w:rPr>
      </w:pPr>
      <w:r w:rsidRPr="00B362F6">
        <w:rPr>
          <w:lang w:eastAsia="en-AU"/>
        </w:rPr>
        <w:t>3,8</w:t>
      </w:r>
      <w:r w:rsidR="00C0692E" w:rsidRPr="00B362F6">
        <w:rPr>
          <w:lang w:eastAsia="en-AU"/>
        </w:rPr>
        <w:t xml:space="preserve">00 CDC </w:t>
      </w:r>
      <w:r w:rsidR="00434411" w:rsidRPr="00B362F6">
        <w:rPr>
          <w:lang w:eastAsia="en-AU"/>
        </w:rPr>
        <w:t xml:space="preserve">participants in the NT </w:t>
      </w:r>
      <w:r w:rsidR="009B4FEA" w:rsidRPr="00B362F6">
        <w:rPr>
          <w:lang w:eastAsia="en-AU"/>
        </w:rPr>
        <w:t>will</w:t>
      </w:r>
      <w:r w:rsidR="00C0692E" w:rsidRPr="00B362F6">
        <w:rPr>
          <w:lang w:eastAsia="en-AU"/>
        </w:rPr>
        <w:t xml:space="preserve"> revert to IM</w:t>
      </w:r>
      <w:r w:rsidR="008B6EFB">
        <w:rPr>
          <w:lang w:eastAsia="en-AU"/>
        </w:rPr>
        <w:t>.</w:t>
      </w:r>
    </w:p>
    <w:p w14:paraId="1C193BFD" w14:textId="7EA6B829" w:rsidR="00137038" w:rsidRDefault="00434411" w:rsidP="00105804">
      <w:pPr>
        <w:pStyle w:val="BulletedListlvl1"/>
        <w:rPr>
          <w:lang w:eastAsia="en-AU"/>
        </w:rPr>
      </w:pPr>
      <w:r w:rsidRPr="00B362F6">
        <w:rPr>
          <w:lang w:eastAsia="en-AU"/>
        </w:rPr>
        <w:t xml:space="preserve">100 </w:t>
      </w:r>
      <w:r w:rsidR="00F93576" w:rsidRPr="00B362F6">
        <w:rPr>
          <w:lang w:eastAsia="en-AU"/>
        </w:rPr>
        <w:t xml:space="preserve">CDC </w:t>
      </w:r>
      <w:r w:rsidRPr="00B362F6">
        <w:rPr>
          <w:lang w:eastAsia="en-AU"/>
        </w:rPr>
        <w:t>p</w:t>
      </w:r>
      <w:r w:rsidR="00F93576" w:rsidRPr="00B362F6">
        <w:rPr>
          <w:lang w:eastAsia="en-AU"/>
        </w:rPr>
        <w:t xml:space="preserve">articipants </w:t>
      </w:r>
      <w:r w:rsidRPr="00B362F6">
        <w:rPr>
          <w:lang w:eastAsia="en-AU"/>
        </w:rPr>
        <w:t xml:space="preserve">in Cape York </w:t>
      </w:r>
      <w:r w:rsidR="00AC69E0" w:rsidRPr="00B362F6">
        <w:rPr>
          <w:lang w:eastAsia="en-AU"/>
        </w:rPr>
        <w:t>will transition</w:t>
      </w:r>
      <w:r w:rsidR="00F93576" w:rsidRPr="00B362F6">
        <w:rPr>
          <w:lang w:eastAsia="en-AU"/>
        </w:rPr>
        <w:t xml:space="preserve"> to the IM program</w:t>
      </w:r>
      <w:r w:rsidR="00DE72BF">
        <w:rPr>
          <w:lang w:eastAsia="en-AU"/>
        </w:rPr>
        <w:t>.</w:t>
      </w:r>
    </w:p>
    <w:p w14:paraId="0F1F244B" w14:textId="77777777" w:rsidR="00610548" w:rsidRPr="00B362F6" w:rsidRDefault="008456A7" w:rsidP="00105804">
      <w:pPr>
        <w:pStyle w:val="BulletedListlvl1"/>
        <w:rPr>
          <w:lang w:eastAsia="en-AU"/>
        </w:rPr>
      </w:pPr>
      <w:r>
        <w:rPr>
          <w:lang w:eastAsia="en-AU"/>
        </w:rPr>
        <w:t xml:space="preserve">13,400 will leave </w:t>
      </w:r>
      <w:r w:rsidR="00D718D4">
        <w:rPr>
          <w:lang w:eastAsia="en-AU"/>
        </w:rPr>
        <w:t>CDC, noting that these participants will be given the option to volunteer for IM</w:t>
      </w:r>
      <w:r>
        <w:rPr>
          <w:lang w:eastAsia="en-AU"/>
        </w:rPr>
        <w:t>.</w:t>
      </w:r>
    </w:p>
    <w:p w14:paraId="38BFFA62" w14:textId="77777777" w:rsidR="00EE66EC" w:rsidRPr="00B362F6" w:rsidRDefault="00EE66EC" w:rsidP="00B859A1">
      <w:pPr>
        <w:pStyle w:val="BulletedListlvl1"/>
        <w:numPr>
          <w:ilvl w:val="0"/>
          <w:numId w:val="0"/>
        </w:numPr>
        <w:rPr>
          <w:lang w:eastAsia="en-AU"/>
        </w:rPr>
      </w:pPr>
    </w:p>
    <w:p w14:paraId="37F550BA" w14:textId="77777777" w:rsidR="00EE66EC" w:rsidRPr="00B362F6" w:rsidRDefault="00EE66EC" w:rsidP="00EE66EC">
      <w:pPr>
        <w:pStyle w:val="BulletedListlvl1"/>
        <w:numPr>
          <w:ilvl w:val="0"/>
          <w:numId w:val="0"/>
        </w:numPr>
        <w:rPr>
          <w:b/>
          <w:lang w:eastAsia="en-AU"/>
        </w:rPr>
      </w:pPr>
      <w:r w:rsidRPr="00B362F6">
        <w:rPr>
          <w:b/>
          <w:lang w:eastAsia="en-AU"/>
        </w:rPr>
        <w:t>Income Management</w:t>
      </w:r>
    </w:p>
    <w:p w14:paraId="5926C237" w14:textId="77777777" w:rsidR="00EE66EC" w:rsidRPr="00B362F6" w:rsidRDefault="001B032E" w:rsidP="00505F3E">
      <w:pPr>
        <w:pStyle w:val="BulletedListlvl1"/>
        <w:numPr>
          <w:ilvl w:val="0"/>
          <w:numId w:val="0"/>
        </w:numPr>
        <w:spacing w:after="120"/>
        <w:rPr>
          <w:rFonts w:ascii="Calibri" w:eastAsia="Calibri" w:hAnsi="Calibri" w:cs="Calibri"/>
          <w:color w:val="262626"/>
          <w:spacing w:val="4"/>
          <w:lang w:eastAsia="en-AU"/>
        </w:rPr>
      </w:pPr>
      <w:r w:rsidRPr="00B362F6">
        <w:rPr>
          <w:rFonts w:ascii="Calibri" w:eastAsia="Calibri" w:hAnsi="Calibri" w:cs="Calibri"/>
          <w:color w:val="262626"/>
          <w:spacing w:val="4"/>
          <w:lang w:eastAsia="en-AU"/>
        </w:rPr>
        <w:t xml:space="preserve">Currently, there are </w:t>
      </w:r>
      <w:r w:rsidR="003A1F32" w:rsidRPr="00B362F6">
        <w:rPr>
          <w:rFonts w:ascii="Calibri" w:eastAsia="Calibri" w:hAnsi="Calibri" w:cs="Calibri"/>
          <w:color w:val="262626"/>
          <w:spacing w:val="4"/>
          <w:lang w:eastAsia="en-AU"/>
        </w:rPr>
        <w:t xml:space="preserve">nearly </w:t>
      </w:r>
      <w:r w:rsidR="00E200BE" w:rsidRPr="00B362F6">
        <w:rPr>
          <w:rFonts w:ascii="Calibri" w:eastAsia="Calibri" w:hAnsi="Calibri" w:cs="Calibri"/>
          <w:color w:val="262626"/>
          <w:spacing w:val="4"/>
          <w:lang w:eastAsia="en-AU"/>
        </w:rPr>
        <w:t>2</w:t>
      </w:r>
      <w:r w:rsidR="003A1F32" w:rsidRPr="00B362F6">
        <w:rPr>
          <w:rFonts w:ascii="Calibri" w:eastAsia="Calibri" w:hAnsi="Calibri" w:cs="Calibri"/>
          <w:color w:val="262626"/>
          <w:spacing w:val="4"/>
          <w:lang w:eastAsia="en-AU"/>
        </w:rPr>
        <w:t>5,000</w:t>
      </w:r>
      <w:r w:rsidR="00C1652E" w:rsidRPr="00B362F6">
        <w:rPr>
          <w:rFonts w:ascii="Calibri" w:eastAsia="Calibri" w:hAnsi="Calibri" w:cs="Calibri"/>
          <w:color w:val="262626"/>
          <w:spacing w:val="4"/>
          <w:lang w:eastAsia="en-AU"/>
        </w:rPr>
        <w:t xml:space="preserve"> participants</w:t>
      </w:r>
      <w:r w:rsidR="003156FC" w:rsidRPr="00B362F6">
        <w:rPr>
          <w:rFonts w:ascii="Calibri" w:eastAsia="Calibri" w:hAnsi="Calibri" w:cs="Calibri"/>
          <w:color w:val="262626"/>
          <w:spacing w:val="4"/>
          <w:lang w:eastAsia="en-AU"/>
        </w:rPr>
        <w:t xml:space="preserve"> </w:t>
      </w:r>
      <w:r w:rsidR="008B6EFB">
        <w:rPr>
          <w:rFonts w:ascii="Calibri" w:eastAsia="Calibri" w:hAnsi="Calibri" w:cs="Calibri"/>
          <w:color w:val="262626"/>
          <w:spacing w:val="4"/>
          <w:lang w:eastAsia="en-AU"/>
        </w:rPr>
        <w:t>on the IM program.</w:t>
      </w:r>
    </w:p>
    <w:p w14:paraId="3EF59F3B" w14:textId="77777777" w:rsidR="00281835" w:rsidRDefault="00281835" w:rsidP="00281835">
      <w:pPr>
        <w:pStyle w:val="BulletedListlvl1"/>
        <w:numPr>
          <w:ilvl w:val="0"/>
          <w:numId w:val="0"/>
        </w:numPr>
        <w:rPr>
          <w:rFonts w:ascii="Calibri" w:eastAsia="Calibri" w:hAnsi="Calibri" w:cs="Calibri"/>
          <w:color w:val="262626"/>
          <w:spacing w:val="4"/>
          <w:lang w:eastAsia="en-AU"/>
        </w:rPr>
      </w:pPr>
      <w:r w:rsidRPr="00B362F6">
        <w:rPr>
          <w:rFonts w:ascii="Calibri" w:eastAsia="Calibri" w:hAnsi="Calibri" w:cs="Calibri"/>
          <w:color w:val="262626"/>
          <w:spacing w:val="4"/>
          <w:lang w:eastAsia="en-AU"/>
        </w:rPr>
        <w:t>In 202</w:t>
      </w:r>
      <w:r>
        <w:rPr>
          <w:rFonts w:ascii="Calibri" w:eastAsia="Calibri" w:hAnsi="Calibri" w:cs="Calibri"/>
          <w:color w:val="262626"/>
          <w:spacing w:val="4"/>
          <w:lang w:eastAsia="en-AU"/>
        </w:rPr>
        <w:t>2</w:t>
      </w:r>
      <w:r w:rsidRPr="00B362F6">
        <w:rPr>
          <w:rFonts w:ascii="Calibri" w:eastAsia="Calibri" w:hAnsi="Calibri" w:cs="Calibri"/>
          <w:color w:val="262626"/>
          <w:spacing w:val="4"/>
          <w:lang w:eastAsia="en-AU"/>
        </w:rPr>
        <w:t>-2</w:t>
      </w:r>
      <w:r>
        <w:rPr>
          <w:rFonts w:ascii="Calibri" w:eastAsia="Calibri" w:hAnsi="Calibri" w:cs="Calibri"/>
          <w:color w:val="262626"/>
          <w:spacing w:val="4"/>
          <w:lang w:eastAsia="en-AU"/>
        </w:rPr>
        <w:t xml:space="preserve">3: </w:t>
      </w:r>
    </w:p>
    <w:p w14:paraId="6FEA7FCF" w14:textId="77777777" w:rsidR="00281835" w:rsidRPr="001036EE" w:rsidRDefault="00281835" w:rsidP="00281835">
      <w:pPr>
        <w:pStyle w:val="BulletedListlvl1"/>
      </w:pPr>
      <w:r>
        <w:t>3</w:t>
      </w:r>
      <w:r w:rsidRPr="001036EE">
        <w:t>,800 will revert from CDC to IM in the NT</w:t>
      </w:r>
      <w:r>
        <w:t>.</w:t>
      </w:r>
      <w:r w:rsidRPr="001036EE">
        <w:t xml:space="preserve"> </w:t>
      </w:r>
      <w:r>
        <w:t>This is in addition to those in the NT who are already on IM.</w:t>
      </w:r>
      <w:r w:rsidRPr="001036EE">
        <w:t xml:space="preserve"> </w:t>
      </w:r>
    </w:p>
    <w:p w14:paraId="12361F30" w14:textId="2F1775E2" w:rsidR="00C60E05" w:rsidRDefault="00281835" w:rsidP="00C60E05">
      <w:pPr>
        <w:pStyle w:val="BulletedListlvl1"/>
      </w:pPr>
      <w:r w:rsidRPr="001036EE">
        <w:t>100 will revert from CDC to IM in Cape York.</w:t>
      </w:r>
    </w:p>
    <w:p w14:paraId="415738FF" w14:textId="77777777" w:rsidR="00C60E05" w:rsidRDefault="00C60E05" w:rsidP="00A359D9">
      <w:pPr>
        <w:pStyle w:val="BulletedListlvl1"/>
        <w:spacing w:after="120"/>
        <w:ind w:left="568" w:hanging="284"/>
      </w:pPr>
      <w:r w:rsidRPr="001036EE">
        <w:t xml:space="preserve">400 </w:t>
      </w:r>
      <w:r>
        <w:t xml:space="preserve">former </w:t>
      </w:r>
      <w:r w:rsidRPr="001036EE">
        <w:t xml:space="preserve">CDC participants </w:t>
      </w:r>
      <w:r w:rsidR="00D718D4">
        <w:t>are estimated to</w:t>
      </w:r>
      <w:r w:rsidRPr="001036EE">
        <w:t xml:space="preserve"> volunteer for IM</w:t>
      </w:r>
      <w:r w:rsidR="008F087E">
        <w:t>.</w:t>
      </w:r>
      <w:r w:rsidR="008F087E" w:rsidRPr="008F087E">
        <w:t xml:space="preserve"> </w:t>
      </w:r>
      <w:r w:rsidR="00D718D4">
        <w:t>This estimate</w:t>
      </w:r>
      <w:r w:rsidR="008F087E" w:rsidRPr="001861CC">
        <w:t xml:space="preserve"> is based on 10 to 11 percent of the population of CDC participants after removing participants from NT and Cape York who revert back to IM (4,000), CDC participants who live out of a CDC </w:t>
      </w:r>
      <w:r w:rsidR="000D4CFB">
        <w:t>region</w:t>
      </w:r>
      <w:r w:rsidR="008F087E" w:rsidRPr="001861CC">
        <w:t xml:space="preserve"> and are unable to volunteer for IM (3,800) and Bundaberg and Harvey Bay participants where no one has volunteered to stay on CDC after they turn 36 (4,800).</w:t>
      </w:r>
    </w:p>
    <w:p w14:paraId="4A327031" w14:textId="60F73D07" w:rsidR="001036EE" w:rsidRPr="00A359D9" w:rsidRDefault="00EE66EC" w:rsidP="00A359D9">
      <w:pPr>
        <w:pStyle w:val="BulletedListlvl1"/>
        <w:numPr>
          <w:ilvl w:val="0"/>
          <w:numId w:val="0"/>
        </w:numPr>
        <w:spacing w:after="120"/>
      </w:pPr>
      <w:r w:rsidRPr="00A359D9">
        <w:t>In 202</w:t>
      </w:r>
      <w:r w:rsidR="005B4BD1" w:rsidRPr="00A359D9">
        <w:t>3</w:t>
      </w:r>
      <w:r w:rsidRPr="00A359D9">
        <w:t>-2</w:t>
      </w:r>
      <w:r w:rsidR="005B4BD1" w:rsidRPr="00A359D9">
        <w:t>4</w:t>
      </w:r>
      <w:r w:rsidR="00281835" w:rsidRPr="00A359D9">
        <w:t xml:space="preserve"> it is assumed</w:t>
      </w:r>
      <w:r w:rsidR="005B4BD1" w:rsidRPr="00A359D9">
        <w:t>:</w:t>
      </w:r>
    </w:p>
    <w:p w14:paraId="0C06F4AD" w14:textId="77777777" w:rsidR="00281835" w:rsidRDefault="00281835" w:rsidP="001036EE">
      <w:pPr>
        <w:pStyle w:val="BulletedListlvl1"/>
      </w:pPr>
      <w:r w:rsidRPr="001036EE">
        <w:t>570 new NT IM participants</w:t>
      </w:r>
      <w:r w:rsidR="008F087E">
        <w:t xml:space="preserve"> and a similar number leave so the net impact is zero.</w:t>
      </w:r>
    </w:p>
    <w:p w14:paraId="01E54168" w14:textId="77777777" w:rsidR="00EE66EC" w:rsidRDefault="00281835" w:rsidP="00505F3E">
      <w:pPr>
        <w:pStyle w:val="BulletedListlvl1"/>
        <w:spacing w:after="120"/>
        <w:ind w:left="568" w:hanging="284"/>
      </w:pPr>
      <w:r>
        <w:t>3</w:t>
      </w:r>
      <w:r w:rsidR="00105804">
        <w:t>2</w:t>
      </w:r>
      <w:r>
        <w:t xml:space="preserve"> new </w:t>
      </w:r>
      <w:r w:rsidR="007F77E2" w:rsidRPr="001036EE">
        <w:t>Cape York</w:t>
      </w:r>
      <w:r w:rsidR="002446B9">
        <w:t xml:space="preserve"> </w:t>
      </w:r>
      <w:r>
        <w:t>IM participants</w:t>
      </w:r>
      <w:r w:rsidR="008F087E">
        <w:t xml:space="preserve"> </w:t>
      </w:r>
      <w:r w:rsidR="00D718D4">
        <w:t xml:space="preserve">referred by the FRC </w:t>
      </w:r>
      <w:r w:rsidR="008F087E">
        <w:t>and a similar number leave so the net impact is zero.</w:t>
      </w:r>
    </w:p>
    <w:p w14:paraId="530ADADE" w14:textId="77777777" w:rsidR="001036EE" w:rsidRDefault="00EE66EC" w:rsidP="00505F3E">
      <w:pPr>
        <w:pStyle w:val="NormalWeb"/>
        <w:rPr>
          <w:lang w:eastAsia="en-US"/>
        </w:rPr>
      </w:pPr>
      <w:r w:rsidRPr="0010383A">
        <w:t>In 2</w:t>
      </w:r>
      <w:r w:rsidR="00DB56E8" w:rsidRPr="0010383A">
        <w:t>024-25</w:t>
      </w:r>
      <w:r w:rsidR="007A4946">
        <w:t xml:space="preserve"> (subject to further government consideration)</w:t>
      </w:r>
      <w:r w:rsidR="001036EE">
        <w:t>:</w:t>
      </w:r>
    </w:p>
    <w:p w14:paraId="627B574E" w14:textId="77777777" w:rsidR="001036EE" w:rsidRPr="00E83ED2" w:rsidRDefault="0040233D" w:rsidP="00505F3E">
      <w:pPr>
        <w:pStyle w:val="BulletedListlvl1"/>
      </w:pPr>
      <w:r w:rsidRPr="00E83ED2">
        <w:t>28,200</w:t>
      </w:r>
      <w:r w:rsidR="00EE66EC" w:rsidRPr="00E83ED2">
        <w:t xml:space="preserve"> </w:t>
      </w:r>
      <w:r w:rsidR="00DB56E8" w:rsidRPr="00E83ED2">
        <w:t xml:space="preserve">will transition off </w:t>
      </w:r>
      <w:r w:rsidR="008F087E">
        <w:t xml:space="preserve">compulsory </w:t>
      </w:r>
      <w:r w:rsidR="00DB56E8" w:rsidRPr="00E83ED2">
        <w:t>I</w:t>
      </w:r>
      <w:r w:rsidR="00860134" w:rsidRPr="00E83ED2">
        <w:t xml:space="preserve">M </w:t>
      </w:r>
      <w:r w:rsidR="00DB56E8" w:rsidRPr="00E83ED2">
        <w:t>includ</w:t>
      </w:r>
      <w:r w:rsidR="00860134" w:rsidRPr="00E83ED2">
        <w:t>ing</w:t>
      </w:r>
      <w:r w:rsidR="00DB56E8" w:rsidRPr="00E83ED2">
        <w:t xml:space="preserve"> the 3</w:t>
      </w:r>
      <w:r w:rsidR="00EE66EC" w:rsidRPr="00E83ED2">
        <w:t>,800</w:t>
      </w:r>
      <w:r w:rsidR="00860134" w:rsidRPr="00E83ED2">
        <w:t xml:space="preserve"> </w:t>
      </w:r>
      <w:r w:rsidR="00DB56E8" w:rsidRPr="00E83ED2">
        <w:t xml:space="preserve">ex CDC participants who reverted back to </w:t>
      </w:r>
      <w:r w:rsidR="004726D8" w:rsidRPr="00E83ED2">
        <w:t xml:space="preserve">the </w:t>
      </w:r>
      <w:r w:rsidR="00DB56E8" w:rsidRPr="00E83ED2">
        <w:t xml:space="preserve">IM in the </w:t>
      </w:r>
      <w:r w:rsidR="00EE66EC" w:rsidRPr="00E83ED2">
        <w:t>NT</w:t>
      </w:r>
      <w:r w:rsidR="00860134" w:rsidRPr="00E83ED2">
        <w:t xml:space="preserve"> in 2022-23</w:t>
      </w:r>
      <w:r w:rsidRPr="00E83ED2">
        <w:t>.</w:t>
      </w:r>
    </w:p>
    <w:p w14:paraId="30D14851" w14:textId="1A68B890" w:rsidR="001036EE" w:rsidRPr="00E83ED2" w:rsidRDefault="00C353D3" w:rsidP="00505F3E">
      <w:pPr>
        <w:pStyle w:val="BulletedListlvl1"/>
      </w:pPr>
      <w:r w:rsidRPr="00E83ED2">
        <w:t>It is assumed 4,000 people who were on the IM program will volunteer to remain on the program</w:t>
      </w:r>
      <w:r w:rsidR="00860134" w:rsidRPr="00E83ED2">
        <w:t xml:space="preserve"> in 2023-24</w:t>
      </w:r>
      <w:r w:rsidR="00DE72BF">
        <w:t>.</w:t>
      </w:r>
    </w:p>
    <w:p w14:paraId="67D0245D" w14:textId="77777777" w:rsidR="001036EE" w:rsidRPr="00E83ED2" w:rsidRDefault="0030685E" w:rsidP="00505F3E">
      <w:pPr>
        <w:pStyle w:val="BulletedListlvl1"/>
        <w:spacing w:after="120"/>
        <w:ind w:left="568" w:hanging="284"/>
      </w:pPr>
      <w:r w:rsidRPr="00E83ED2">
        <w:t>It is assumed there will be 1,600</w:t>
      </w:r>
      <w:r w:rsidR="00A7693B">
        <w:t>*</w:t>
      </w:r>
      <w:r w:rsidRPr="00E83ED2">
        <w:t xml:space="preserve"> who will volunteer from sites other than the current</w:t>
      </w:r>
      <w:r w:rsidR="00C266AF" w:rsidRPr="00E83ED2">
        <w:t xml:space="preserve"> CDC and</w:t>
      </w:r>
      <w:r w:rsidR="00505F3E" w:rsidRPr="00E83ED2">
        <w:t xml:space="preserve"> IM designated sites.</w:t>
      </w:r>
    </w:p>
    <w:p w14:paraId="370FF4EE" w14:textId="6B3EF9BE" w:rsidR="001036EE" w:rsidRDefault="00C353D3" w:rsidP="00505F3E">
      <w:pPr>
        <w:pStyle w:val="NormalWeb"/>
      </w:pPr>
      <w:r w:rsidRPr="0010383A">
        <w:t>There will also be</w:t>
      </w:r>
      <w:r w:rsidR="00860134" w:rsidRPr="0010383A">
        <w:t>:</w:t>
      </w:r>
    </w:p>
    <w:p w14:paraId="7A340C93" w14:textId="185ECAEB" w:rsidR="001036EE" w:rsidRPr="001036EE" w:rsidRDefault="00C353D3" w:rsidP="001036EE">
      <w:pPr>
        <w:pStyle w:val="BulletedListlvl1"/>
      </w:pPr>
      <w:r w:rsidRPr="001036EE">
        <w:t xml:space="preserve">400 </w:t>
      </w:r>
      <w:r w:rsidR="00860134" w:rsidRPr="001036EE">
        <w:t xml:space="preserve">participants </w:t>
      </w:r>
      <w:r w:rsidRPr="001036EE">
        <w:t>who have volunteered from a previous CDC location</w:t>
      </w:r>
      <w:r w:rsidR="00860134" w:rsidRPr="001036EE">
        <w:t xml:space="preserve">; </w:t>
      </w:r>
      <w:r w:rsidRPr="001036EE">
        <w:t>110</w:t>
      </w:r>
      <w:r w:rsidR="00A7693B">
        <w:t>*</w:t>
      </w:r>
      <w:r w:rsidRPr="001036EE">
        <w:t xml:space="preserve"> referrals from State and Territories </w:t>
      </w:r>
      <w:r w:rsidR="001036EE">
        <w:br/>
      </w:r>
      <w:r w:rsidRPr="001036EE">
        <w:t>(50 for SPaR and 60 for Child Protection</w:t>
      </w:r>
      <w:r w:rsidR="00A157CD">
        <w:t>, this is based on current referral trends</w:t>
      </w:r>
      <w:r w:rsidRPr="001036EE">
        <w:t>)</w:t>
      </w:r>
      <w:r w:rsidR="00860134" w:rsidRPr="001036EE">
        <w:t>;</w:t>
      </w:r>
      <w:r w:rsidR="00DE72BF">
        <w:t xml:space="preserve"> and</w:t>
      </w:r>
    </w:p>
    <w:p w14:paraId="39D3537F" w14:textId="660C3F73" w:rsidR="003F5670" w:rsidRDefault="00C353D3" w:rsidP="002446B9">
      <w:pPr>
        <w:pStyle w:val="BulletedListlvl1"/>
      </w:pPr>
      <w:r w:rsidRPr="001036EE">
        <w:t>1,340</w:t>
      </w:r>
      <w:r w:rsidR="00A7693B">
        <w:t>*</w:t>
      </w:r>
      <w:r w:rsidRPr="001036EE">
        <w:t xml:space="preserve"> people from a previous CDC community that vol</w:t>
      </w:r>
      <w:r w:rsidR="00DE72BF">
        <w:t>unteer to be on the IM program.</w:t>
      </w:r>
    </w:p>
    <w:p w14:paraId="7B36FEC8" w14:textId="77777777" w:rsidR="003F5670" w:rsidRPr="00E83ED2" w:rsidRDefault="003F5670" w:rsidP="00505F3E">
      <w:pPr>
        <w:pStyle w:val="NormalWeb"/>
      </w:pPr>
      <w:r w:rsidRPr="00E83ED2">
        <w:t>In 202</w:t>
      </w:r>
      <w:r w:rsidR="00C47172" w:rsidRPr="00E83ED2">
        <w:t>5</w:t>
      </w:r>
      <w:r w:rsidRPr="00E83ED2">
        <w:t>-26</w:t>
      </w:r>
      <w:r w:rsidR="007A4946">
        <w:t xml:space="preserve"> (subject to further government consideration)</w:t>
      </w:r>
      <w:r w:rsidRPr="00E83ED2">
        <w:t>:</w:t>
      </w:r>
    </w:p>
    <w:p w14:paraId="07D94216" w14:textId="77777777" w:rsidR="003F5670" w:rsidRPr="00E83ED2" w:rsidRDefault="003F5670" w:rsidP="002446B9">
      <w:pPr>
        <w:pStyle w:val="BulletedListlvl1"/>
      </w:pPr>
      <w:r w:rsidRPr="00E83ED2">
        <w:t xml:space="preserve">840 people will volunteer </w:t>
      </w:r>
      <w:r w:rsidR="008074B5" w:rsidRPr="00E83ED2">
        <w:t xml:space="preserve">made up of 600 from current IM sites and 240 for other sites. </w:t>
      </w:r>
    </w:p>
    <w:p w14:paraId="34C8EA2F" w14:textId="77777777" w:rsidR="00A528DE" w:rsidRPr="00DB56E8" w:rsidRDefault="00C353D3" w:rsidP="00505F3E">
      <w:pPr>
        <w:pStyle w:val="NormalWeb"/>
      </w:pPr>
      <w:r w:rsidRPr="00E83ED2">
        <w:t xml:space="preserve">These numbers will remain constant from </w:t>
      </w:r>
      <w:r w:rsidR="00860134" w:rsidRPr="00E83ED2">
        <w:t>202</w:t>
      </w:r>
      <w:r w:rsidR="00C47172" w:rsidRPr="00E83ED2">
        <w:t>5</w:t>
      </w:r>
      <w:r w:rsidR="00860134" w:rsidRPr="00E83ED2">
        <w:t>-2</w:t>
      </w:r>
      <w:r w:rsidR="00C47172" w:rsidRPr="00E83ED2">
        <w:t>6</w:t>
      </w:r>
      <w:r w:rsidR="00860134" w:rsidRPr="00E83ED2">
        <w:t xml:space="preserve"> </w:t>
      </w:r>
      <w:r w:rsidRPr="00E83ED2">
        <w:t>on</w:t>
      </w:r>
      <w:r w:rsidR="00860134" w:rsidRPr="00E83ED2">
        <w:t>wards</w:t>
      </w:r>
      <w:r w:rsidRPr="00E83ED2">
        <w:t>.</w:t>
      </w:r>
    </w:p>
    <w:p w14:paraId="1ACCDCA7" w14:textId="77777777" w:rsidR="00E077C4" w:rsidRPr="00C353D3" w:rsidRDefault="00A828CD" w:rsidP="005E6159">
      <w:pPr>
        <w:pStyle w:val="BulletedListlvl1"/>
        <w:numPr>
          <w:ilvl w:val="0"/>
          <w:numId w:val="0"/>
        </w:numPr>
        <w:rPr>
          <w:b/>
          <w:lang w:eastAsia="en-AU"/>
        </w:rPr>
      </w:pPr>
      <w:r w:rsidRPr="00C353D3">
        <w:rPr>
          <w:b/>
          <w:lang w:eastAsia="en-AU"/>
        </w:rPr>
        <w:t>Participant p</w:t>
      </w:r>
      <w:r w:rsidR="00E077C4" w:rsidRPr="00C353D3">
        <w:rPr>
          <w:b/>
          <w:lang w:eastAsia="en-AU"/>
        </w:rPr>
        <w:t>opulation assumptions</w:t>
      </w:r>
    </w:p>
    <w:p w14:paraId="4039A266" w14:textId="77777777" w:rsidR="005F0392" w:rsidRPr="00C353D3" w:rsidRDefault="005F0392" w:rsidP="005F0392">
      <w:pPr>
        <w:pStyle w:val="BulletedListlvl1"/>
        <w:numPr>
          <w:ilvl w:val="0"/>
          <w:numId w:val="0"/>
        </w:numPr>
        <w:rPr>
          <w:lang w:eastAsia="en-AU"/>
        </w:rPr>
      </w:pPr>
      <w:r w:rsidRPr="00C353D3">
        <w:rPr>
          <w:lang w:eastAsia="en-AU"/>
        </w:rPr>
        <w:t>From year 3 to 10 it is anticip</w:t>
      </w:r>
      <w:r w:rsidR="00137038">
        <w:rPr>
          <w:lang w:eastAsia="en-AU"/>
        </w:rPr>
        <w:t>ated there will be a consiste</w:t>
      </w:r>
      <w:r w:rsidR="00137038" w:rsidRPr="00E83ED2">
        <w:rPr>
          <w:lang w:eastAsia="en-AU"/>
        </w:rPr>
        <w:t>nt</w:t>
      </w:r>
      <w:r w:rsidR="0040233D" w:rsidRPr="00E83ED2">
        <w:t xml:space="preserve"> </w:t>
      </w:r>
      <w:r w:rsidR="0040233D" w:rsidRPr="00E83ED2">
        <w:rPr>
          <w:lang w:eastAsia="en-AU"/>
        </w:rPr>
        <w:t>7</w:t>
      </w:r>
      <w:r w:rsidR="00E83ED2" w:rsidRPr="00E83ED2">
        <w:rPr>
          <w:lang w:eastAsia="en-AU"/>
        </w:rPr>
        <w:t>,</w:t>
      </w:r>
      <w:r w:rsidR="0040233D" w:rsidRPr="00E83ED2">
        <w:rPr>
          <w:lang w:eastAsia="en-AU"/>
        </w:rPr>
        <w:t xml:space="preserve">550 </w:t>
      </w:r>
      <w:r w:rsidRPr="00E83ED2">
        <w:rPr>
          <w:lang w:eastAsia="en-AU"/>
        </w:rPr>
        <w:t>participants</w:t>
      </w:r>
      <w:r w:rsidR="0086063A">
        <w:rPr>
          <w:lang w:eastAsia="en-AU"/>
        </w:rPr>
        <w:t xml:space="preserve"> (made up of 5,600 VIM, 60</w:t>
      </w:r>
      <w:r w:rsidR="00A7693B">
        <w:rPr>
          <w:lang w:eastAsia="en-AU"/>
        </w:rPr>
        <w:t>*</w:t>
      </w:r>
      <w:r w:rsidR="0086063A">
        <w:rPr>
          <w:lang w:eastAsia="en-AU"/>
        </w:rPr>
        <w:t xml:space="preserve"> child protection, 50</w:t>
      </w:r>
      <w:r w:rsidR="00A7693B">
        <w:rPr>
          <w:lang w:eastAsia="en-AU"/>
        </w:rPr>
        <w:t>*</w:t>
      </w:r>
      <w:r w:rsidR="0086063A">
        <w:rPr>
          <w:lang w:eastAsia="en-AU"/>
        </w:rPr>
        <w:t xml:space="preserve"> SPaR</w:t>
      </w:r>
      <w:r w:rsidR="00A7693B">
        <w:rPr>
          <w:lang w:eastAsia="en-AU"/>
        </w:rPr>
        <w:t xml:space="preserve"> a</w:t>
      </w:r>
      <w:r w:rsidR="0086063A">
        <w:rPr>
          <w:lang w:eastAsia="en-AU"/>
        </w:rPr>
        <w:t>nd 1</w:t>
      </w:r>
      <w:r w:rsidR="00A7693B">
        <w:rPr>
          <w:lang w:eastAsia="en-AU"/>
        </w:rPr>
        <w:t>,</w:t>
      </w:r>
      <w:r w:rsidR="0086063A">
        <w:rPr>
          <w:lang w:eastAsia="en-AU"/>
        </w:rPr>
        <w:t>340</w:t>
      </w:r>
      <w:r w:rsidR="00A7693B">
        <w:rPr>
          <w:lang w:eastAsia="en-AU"/>
        </w:rPr>
        <w:t>*</w:t>
      </w:r>
      <w:r w:rsidR="0086063A">
        <w:rPr>
          <w:lang w:eastAsia="en-AU"/>
        </w:rPr>
        <w:t xml:space="preserve"> other community led</w:t>
      </w:r>
      <w:r w:rsidR="009F1862">
        <w:rPr>
          <w:lang w:eastAsia="en-AU"/>
        </w:rPr>
        <w:t xml:space="preserve"> referrals</w:t>
      </w:r>
      <w:r w:rsidR="0086063A">
        <w:rPr>
          <w:lang w:eastAsia="en-AU"/>
        </w:rPr>
        <w:t>)</w:t>
      </w:r>
      <w:r w:rsidRPr="00E83ED2">
        <w:rPr>
          <w:lang w:eastAsia="en-AU"/>
        </w:rPr>
        <w:t>, in</w:t>
      </w:r>
      <w:r w:rsidRPr="0010383A">
        <w:rPr>
          <w:lang w:eastAsia="en-AU"/>
        </w:rPr>
        <w:t xml:space="preserve"> total, on</w:t>
      </w:r>
      <w:r w:rsidRPr="00C353D3">
        <w:rPr>
          <w:lang w:eastAsia="en-AU"/>
        </w:rPr>
        <w:t xml:space="preserve"> the IM program per year.</w:t>
      </w:r>
      <w:r>
        <w:rPr>
          <w:lang w:eastAsia="en-AU"/>
        </w:rPr>
        <w:t xml:space="preserve"> The following assumptions were made in </w:t>
      </w:r>
      <w:r w:rsidR="009F1862">
        <w:rPr>
          <w:lang w:eastAsia="en-AU"/>
        </w:rPr>
        <w:t>arriving at</w:t>
      </w:r>
      <w:r>
        <w:rPr>
          <w:lang w:eastAsia="en-AU"/>
        </w:rPr>
        <w:t xml:space="preserve"> this number:</w:t>
      </w:r>
    </w:p>
    <w:p w14:paraId="7E17F193" w14:textId="23B5837C" w:rsidR="005F0392" w:rsidRDefault="00E9165C" w:rsidP="005F0392">
      <w:pPr>
        <w:pStyle w:val="BulletedListlvl1"/>
        <w:numPr>
          <w:ilvl w:val="0"/>
          <w:numId w:val="19"/>
        </w:numPr>
        <w:rPr>
          <w:lang w:eastAsia="en-AU"/>
        </w:rPr>
      </w:pPr>
      <w:r>
        <w:rPr>
          <w:lang w:eastAsia="en-AU"/>
        </w:rPr>
        <w:t>4,000</w:t>
      </w:r>
      <w:r w:rsidR="005F0392" w:rsidRPr="005F0392">
        <w:rPr>
          <w:lang w:eastAsia="en-AU"/>
        </w:rPr>
        <w:t xml:space="preserve"> from the CDC </w:t>
      </w:r>
      <w:r>
        <w:rPr>
          <w:lang w:eastAsia="en-AU"/>
        </w:rPr>
        <w:t xml:space="preserve">in the NT </w:t>
      </w:r>
      <w:r w:rsidR="005F0392" w:rsidRPr="005F0392">
        <w:rPr>
          <w:lang w:eastAsia="en-AU"/>
        </w:rPr>
        <w:t xml:space="preserve">and IM programs </w:t>
      </w:r>
      <w:r>
        <w:rPr>
          <w:lang w:eastAsia="en-AU"/>
        </w:rPr>
        <w:t xml:space="preserve">will volunteer. This is approximately </w:t>
      </w:r>
      <w:r w:rsidRPr="00E9165C">
        <w:rPr>
          <w:rFonts w:eastAsia="Times New Roman" w:cstheme="minorHAnsi"/>
          <w:color w:val="auto"/>
          <w:lang w:eastAsia="en-AU"/>
        </w:rPr>
        <w:t>14% of</w:t>
      </w:r>
      <w:r>
        <w:rPr>
          <w:rFonts w:eastAsia="Times New Roman" w:cstheme="minorHAnsi"/>
          <w:color w:val="auto"/>
          <w:lang w:eastAsia="en-AU"/>
        </w:rPr>
        <w:t xml:space="preserve"> all </w:t>
      </w:r>
      <w:r w:rsidRPr="00E9165C">
        <w:rPr>
          <w:rFonts w:eastAsia="Times New Roman" w:cstheme="minorHAnsi"/>
          <w:color w:val="auto"/>
          <w:lang w:eastAsia="en-AU"/>
        </w:rPr>
        <w:t xml:space="preserve">IM </w:t>
      </w:r>
      <w:r>
        <w:rPr>
          <w:rFonts w:eastAsia="Times New Roman" w:cstheme="minorHAnsi"/>
          <w:color w:val="auto"/>
          <w:lang w:eastAsia="en-AU"/>
        </w:rPr>
        <w:t xml:space="preserve">participants </w:t>
      </w:r>
      <w:r w:rsidRPr="00C60E05">
        <w:rPr>
          <w:rFonts w:eastAsia="Times New Roman" w:cstheme="minorHAnsi"/>
          <w:color w:val="auto"/>
          <w:lang w:eastAsia="en-AU"/>
        </w:rPr>
        <w:t>and CDC participants in the NT who revert to IM in year 1</w:t>
      </w:r>
      <w:r>
        <w:rPr>
          <w:rFonts w:eastAsia="Times New Roman" w:cstheme="minorHAnsi"/>
          <w:color w:val="auto"/>
          <w:lang w:eastAsia="en-AU"/>
        </w:rPr>
        <w:t xml:space="preserve"> (28,200)</w:t>
      </w:r>
      <w:r w:rsidRPr="00C60E05">
        <w:rPr>
          <w:rFonts w:eastAsia="Times New Roman" w:cstheme="minorHAnsi"/>
          <w:color w:val="auto"/>
          <w:lang w:eastAsia="en-AU"/>
        </w:rPr>
        <w:t xml:space="preserve">. </w:t>
      </w:r>
      <w:r>
        <w:rPr>
          <w:rFonts w:eastAsia="Times New Roman" w:cstheme="minorHAnsi"/>
          <w:color w:val="auto"/>
          <w:lang w:eastAsia="en-AU"/>
        </w:rPr>
        <w:t xml:space="preserve">This is slightly higher than the current </w:t>
      </w:r>
      <w:r w:rsidR="002806BC" w:rsidRPr="00E9165C">
        <w:rPr>
          <w:lang w:eastAsia="en-AU"/>
        </w:rPr>
        <w:t xml:space="preserve">11 per cent </w:t>
      </w:r>
      <w:r>
        <w:rPr>
          <w:lang w:eastAsia="en-AU"/>
        </w:rPr>
        <w:t>volunteer rate in the IM program as it is assumed some participants that have been on compulsory IM for an extended</w:t>
      </w:r>
      <w:r w:rsidR="00DE72BF">
        <w:rPr>
          <w:lang w:eastAsia="en-AU"/>
        </w:rPr>
        <w:t xml:space="preserve"> period will want to volunteer.</w:t>
      </w:r>
    </w:p>
    <w:p w14:paraId="779BA263" w14:textId="77777777" w:rsidR="004804B1" w:rsidRPr="00E83ED2" w:rsidRDefault="004804B1" w:rsidP="005F0392">
      <w:pPr>
        <w:pStyle w:val="BulletedListlvl1"/>
        <w:numPr>
          <w:ilvl w:val="0"/>
          <w:numId w:val="19"/>
        </w:numPr>
        <w:rPr>
          <w:lang w:eastAsia="en-AU"/>
        </w:rPr>
      </w:pPr>
      <w:r w:rsidRPr="00E83ED2">
        <w:rPr>
          <w:lang w:eastAsia="en-AU"/>
        </w:rPr>
        <w:t>1,600</w:t>
      </w:r>
      <w:r w:rsidR="00A7693B">
        <w:rPr>
          <w:lang w:eastAsia="en-AU"/>
        </w:rPr>
        <w:t>*</w:t>
      </w:r>
      <w:r w:rsidRPr="00E83ED2">
        <w:rPr>
          <w:lang w:eastAsia="en-AU"/>
        </w:rPr>
        <w:t xml:space="preserve"> from current trend of participants’ population will volunteer from sites other than </w:t>
      </w:r>
      <w:r w:rsidR="00C266AF" w:rsidRPr="00E83ED2">
        <w:rPr>
          <w:lang w:eastAsia="en-AU"/>
        </w:rPr>
        <w:t xml:space="preserve">CDC and </w:t>
      </w:r>
      <w:r w:rsidRPr="00E83ED2">
        <w:rPr>
          <w:lang w:eastAsia="en-AU"/>
        </w:rPr>
        <w:t>IM sites.</w:t>
      </w:r>
      <w:r w:rsidR="00122F2F" w:rsidRPr="00122F2F">
        <w:rPr>
          <w:lang w:eastAsia="en-AU"/>
        </w:rPr>
        <w:t xml:space="preserve"> </w:t>
      </w:r>
      <w:r w:rsidR="00122F2F">
        <w:rPr>
          <w:lang w:eastAsia="en-AU"/>
        </w:rPr>
        <w:t xml:space="preserve">This is subject to further </w:t>
      </w:r>
      <w:r w:rsidR="007E6BCB">
        <w:rPr>
          <w:lang w:eastAsia="en-AU"/>
        </w:rPr>
        <w:t>G</w:t>
      </w:r>
      <w:r w:rsidR="00FD2793">
        <w:rPr>
          <w:lang w:eastAsia="en-AU"/>
        </w:rPr>
        <w:t>overnment consideration.</w:t>
      </w:r>
    </w:p>
    <w:p w14:paraId="28B1B843" w14:textId="77777777" w:rsidR="00E077C4" w:rsidRPr="005F0392" w:rsidRDefault="00E077C4" w:rsidP="00E077C4">
      <w:pPr>
        <w:pStyle w:val="BulletedListlvl1"/>
        <w:numPr>
          <w:ilvl w:val="0"/>
          <w:numId w:val="19"/>
        </w:numPr>
        <w:rPr>
          <w:lang w:eastAsia="en-AU"/>
        </w:rPr>
      </w:pPr>
      <w:r w:rsidRPr="005F0392">
        <w:rPr>
          <w:lang w:eastAsia="en-AU"/>
        </w:rPr>
        <w:t xml:space="preserve">Community led is </w:t>
      </w:r>
      <w:r w:rsidR="002938ED" w:rsidRPr="005F0392">
        <w:rPr>
          <w:lang w:eastAsia="en-AU"/>
        </w:rPr>
        <w:t xml:space="preserve">an estimate </w:t>
      </w:r>
      <w:r w:rsidR="005F0392" w:rsidRPr="005F0392">
        <w:rPr>
          <w:lang w:eastAsia="en-AU"/>
        </w:rPr>
        <w:t>of a current CDC site and assumes the community has agr</w:t>
      </w:r>
      <w:r w:rsidR="00DD3E07">
        <w:rPr>
          <w:lang w:eastAsia="en-AU"/>
        </w:rPr>
        <w:t xml:space="preserve">eed to be placed on the new IM </w:t>
      </w:r>
      <w:r w:rsidR="005F0392" w:rsidRPr="005F0392">
        <w:rPr>
          <w:lang w:eastAsia="en-AU"/>
        </w:rPr>
        <w:t>program</w:t>
      </w:r>
      <w:r w:rsidR="00DD3E07">
        <w:rPr>
          <w:lang w:eastAsia="en-AU"/>
        </w:rPr>
        <w:t>.</w:t>
      </w:r>
      <w:r w:rsidR="00F95C06" w:rsidRPr="005F0392">
        <w:rPr>
          <w:lang w:eastAsia="en-AU"/>
        </w:rPr>
        <w:t xml:space="preserve"> </w:t>
      </w:r>
      <w:r w:rsidR="00122F2F">
        <w:rPr>
          <w:lang w:eastAsia="en-AU"/>
        </w:rPr>
        <w:t xml:space="preserve">This is subject to community consultation and further </w:t>
      </w:r>
      <w:r w:rsidR="007E6BCB">
        <w:rPr>
          <w:lang w:eastAsia="en-AU"/>
        </w:rPr>
        <w:t>G</w:t>
      </w:r>
      <w:r w:rsidR="00122F2F">
        <w:rPr>
          <w:lang w:eastAsia="en-AU"/>
        </w:rPr>
        <w:t>overnment consideration. The</w:t>
      </w:r>
      <w:r w:rsidR="00433D4C">
        <w:rPr>
          <w:lang w:eastAsia="en-AU"/>
        </w:rPr>
        <w:t>re</w:t>
      </w:r>
      <w:r w:rsidR="00122F2F">
        <w:rPr>
          <w:lang w:eastAsia="en-AU"/>
        </w:rPr>
        <w:t xml:space="preserve"> is a risk that participation from community led sites is lower or takes longer time to be established.</w:t>
      </w:r>
    </w:p>
    <w:p w14:paraId="44F6A567" w14:textId="77777777" w:rsidR="00B859A1" w:rsidRPr="005F0392" w:rsidRDefault="00BA4092" w:rsidP="00E077C4">
      <w:pPr>
        <w:pStyle w:val="BulletedListlvl1"/>
        <w:numPr>
          <w:ilvl w:val="0"/>
          <w:numId w:val="19"/>
        </w:numPr>
        <w:rPr>
          <w:lang w:eastAsia="en-AU"/>
        </w:rPr>
      </w:pPr>
      <w:r w:rsidRPr="005F0392">
        <w:rPr>
          <w:lang w:eastAsia="en-AU"/>
        </w:rPr>
        <w:t xml:space="preserve">The Cape York population is </w:t>
      </w:r>
      <w:r w:rsidR="00FD2793">
        <w:rPr>
          <w:lang w:eastAsia="en-AU"/>
        </w:rPr>
        <w:t>based on current participants.</w:t>
      </w:r>
    </w:p>
    <w:p w14:paraId="453429B3" w14:textId="77777777" w:rsidR="009F1862" w:rsidRDefault="00B749B4" w:rsidP="009F1862">
      <w:pPr>
        <w:pStyle w:val="BulletedListlvl1"/>
        <w:numPr>
          <w:ilvl w:val="0"/>
          <w:numId w:val="19"/>
        </w:numPr>
        <w:rPr>
          <w:lang w:eastAsia="en-AU"/>
        </w:rPr>
      </w:pPr>
      <w:r w:rsidRPr="00E83ED2">
        <w:rPr>
          <w:lang w:eastAsia="en-AU"/>
        </w:rPr>
        <w:t>Each year 15 per cent of participants will transition off and 15 per cent will transition onto the IM program</w:t>
      </w:r>
      <w:r w:rsidRPr="001861CC">
        <w:rPr>
          <w:lang w:eastAsia="en-AU"/>
        </w:rPr>
        <w:t>.</w:t>
      </w:r>
      <w:r w:rsidR="0086063A" w:rsidRPr="001861CC">
        <w:rPr>
          <w:lang w:eastAsia="en-AU"/>
        </w:rPr>
        <w:t xml:space="preserve"> This is a net impact of zero.</w:t>
      </w:r>
      <w:r w:rsidRPr="001861CC">
        <w:rPr>
          <w:lang w:eastAsia="en-AU"/>
        </w:rPr>
        <w:t xml:space="preserve"> This is consistent in the experience of turnover in the IM. Therefore, flow impacts is calculated at 15 per cent each year. </w:t>
      </w:r>
      <w:r w:rsidR="00E670FA" w:rsidRPr="001861CC">
        <w:rPr>
          <w:lang w:eastAsia="en-AU"/>
        </w:rPr>
        <w:t>There are no exit costs for IM.</w:t>
      </w:r>
    </w:p>
    <w:p w14:paraId="7D30843A" w14:textId="77777777" w:rsidR="009F1862" w:rsidRDefault="009F1862" w:rsidP="009F1862">
      <w:pPr>
        <w:pStyle w:val="BulletedListlvl1"/>
        <w:numPr>
          <w:ilvl w:val="0"/>
          <w:numId w:val="19"/>
        </w:numPr>
        <w:rPr>
          <w:lang w:eastAsia="en-AU"/>
        </w:rPr>
      </w:pPr>
      <w:r>
        <w:rPr>
          <w:lang w:eastAsia="en-AU"/>
        </w:rPr>
        <w:t xml:space="preserve">It is noted that these estimates consider the current </w:t>
      </w:r>
      <w:r w:rsidR="003854D6">
        <w:rPr>
          <w:lang w:eastAsia="en-AU"/>
        </w:rPr>
        <w:t xml:space="preserve">public </w:t>
      </w:r>
      <w:r>
        <w:rPr>
          <w:lang w:eastAsia="en-AU"/>
        </w:rPr>
        <w:t>perceptions around I</w:t>
      </w:r>
      <w:r w:rsidR="0030544D">
        <w:rPr>
          <w:lang w:eastAsia="en-AU"/>
        </w:rPr>
        <w:t>M</w:t>
      </w:r>
      <w:r>
        <w:rPr>
          <w:lang w:eastAsia="en-AU"/>
        </w:rPr>
        <w:t>.</w:t>
      </w:r>
      <w:r w:rsidR="00222D00">
        <w:rPr>
          <w:lang w:eastAsia="en-AU"/>
        </w:rPr>
        <w:t xml:space="preserve"> </w:t>
      </w:r>
      <w:r>
        <w:rPr>
          <w:lang w:eastAsia="en-AU"/>
        </w:rPr>
        <w:t xml:space="preserve">These reforms afford greater control </w:t>
      </w:r>
      <w:r w:rsidR="00222D00">
        <w:rPr>
          <w:lang w:eastAsia="en-AU"/>
        </w:rPr>
        <w:t xml:space="preserve">and agency </w:t>
      </w:r>
      <w:r>
        <w:rPr>
          <w:lang w:eastAsia="en-AU"/>
        </w:rPr>
        <w:t>to</w:t>
      </w:r>
      <w:r w:rsidR="00222D00">
        <w:rPr>
          <w:lang w:eastAsia="en-AU"/>
        </w:rPr>
        <w:t xml:space="preserve"> individuals and communities </w:t>
      </w:r>
      <w:r w:rsidR="00D30046">
        <w:rPr>
          <w:lang w:eastAsia="en-AU"/>
        </w:rPr>
        <w:t>where</w:t>
      </w:r>
      <w:r>
        <w:rPr>
          <w:lang w:eastAsia="en-AU"/>
        </w:rPr>
        <w:t xml:space="preserve"> </w:t>
      </w:r>
      <w:r w:rsidR="0030544D">
        <w:rPr>
          <w:lang w:eastAsia="en-AU"/>
        </w:rPr>
        <w:t>IM</w:t>
      </w:r>
      <w:r>
        <w:rPr>
          <w:lang w:eastAsia="en-AU"/>
        </w:rPr>
        <w:t xml:space="preserve"> </w:t>
      </w:r>
      <w:r w:rsidR="00D30046">
        <w:rPr>
          <w:lang w:eastAsia="en-AU"/>
        </w:rPr>
        <w:t>i</w:t>
      </w:r>
      <w:r>
        <w:rPr>
          <w:lang w:eastAsia="en-AU"/>
        </w:rPr>
        <w:t xml:space="preserve">s a </w:t>
      </w:r>
      <w:r w:rsidR="003854D6">
        <w:rPr>
          <w:lang w:eastAsia="en-AU"/>
        </w:rPr>
        <w:t xml:space="preserve">voluntary </w:t>
      </w:r>
      <w:r>
        <w:rPr>
          <w:lang w:eastAsia="en-AU"/>
        </w:rPr>
        <w:t>tool to help build capacity and provide protective factors for those w</w:t>
      </w:r>
      <w:r w:rsidR="00222D00">
        <w:rPr>
          <w:lang w:eastAsia="en-AU"/>
        </w:rPr>
        <w:t xml:space="preserve">ho need it and choose it. A more positive framing of this program aligned with better-connected supports for financial literacy and management may result in greater demand beyond the </w:t>
      </w:r>
      <w:r w:rsidR="00D30046">
        <w:rPr>
          <w:lang w:eastAsia="en-AU"/>
        </w:rPr>
        <w:t>estimates</w:t>
      </w:r>
      <w:r w:rsidR="00FD2793">
        <w:rPr>
          <w:lang w:eastAsia="en-AU"/>
        </w:rPr>
        <w:t xml:space="preserve"> in this section.</w:t>
      </w:r>
    </w:p>
    <w:p w14:paraId="494D9ADB" w14:textId="77777777" w:rsidR="00A7693B" w:rsidRDefault="00A7693B" w:rsidP="00A7693B">
      <w:pPr>
        <w:pStyle w:val="NormalWeb"/>
        <w:spacing w:before="0" w:beforeAutospacing="0" w:after="0" w:afterAutospacing="0"/>
        <w:rPr>
          <w:sz w:val="18"/>
        </w:rPr>
      </w:pPr>
    </w:p>
    <w:p w14:paraId="413AB214" w14:textId="3083527C" w:rsidR="00D66643" w:rsidRDefault="00A7693B" w:rsidP="00D75D59">
      <w:pPr>
        <w:pStyle w:val="NormalWeb"/>
        <w:spacing w:before="0" w:beforeAutospacing="0" w:after="0" w:afterAutospacing="0"/>
      </w:pPr>
      <w:r w:rsidRPr="00254CCC">
        <w:t xml:space="preserve">*These numbers are contingent on further consideration </w:t>
      </w:r>
      <w:r w:rsidR="005E6424">
        <w:t xml:space="preserve">of program arrangements </w:t>
      </w:r>
      <w:r w:rsidRPr="00254CCC">
        <w:t xml:space="preserve">by </w:t>
      </w:r>
      <w:r w:rsidR="007E6BCB">
        <w:t>G</w:t>
      </w:r>
      <w:r w:rsidRPr="00254CCC">
        <w:t>overnment.</w:t>
      </w:r>
    </w:p>
    <w:p w14:paraId="03CE8009" w14:textId="77777777" w:rsidR="0042167E" w:rsidRDefault="00FC667A" w:rsidP="005E3C47">
      <w:pPr>
        <w:pStyle w:val="Heading4"/>
        <w:rPr>
          <w:lang w:eastAsia="en-AU"/>
        </w:rPr>
      </w:pPr>
      <w:r>
        <w:rPr>
          <w:lang w:eastAsia="en-AU"/>
        </w:rPr>
        <w:t xml:space="preserve">4.2.2.1.1 </w:t>
      </w:r>
      <w:r w:rsidR="00C669CB">
        <w:rPr>
          <w:lang w:eastAsia="en-AU"/>
        </w:rPr>
        <w:t xml:space="preserve">Abolishing the </w:t>
      </w:r>
      <w:r w:rsidR="00FE46AB">
        <w:rPr>
          <w:lang w:eastAsia="en-AU"/>
        </w:rPr>
        <w:t>CDC</w:t>
      </w:r>
      <w:r w:rsidR="00C669CB">
        <w:rPr>
          <w:lang w:eastAsia="en-AU"/>
        </w:rPr>
        <w:t xml:space="preserve"> </w:t>
      </w:r>
      <w:r w:rsidR="00E57D0D">
        <w:rPr>
          <w:lang w:eastAsia="en-AU"/>
        </w:rPr>
        <w:t xml:space="preserve">and reforming IM </w:t>
      </w:r>
      <w:r w:rsidR="00C669CB">
        <w:rPr>
          <w:lang w:eastAsia="en-AU"/>
        </w:rPr>
        <w:t>for participants</w:t>
      </w:r>
    </w:p>
    <w:p w14:paraId="241299C9" w14:textId="77777777" w:rsidR="00162C8F" w:rsidRPr="00DE2DA9" w:rsidRDefault="00162C8F" w:rsidP="007920A6">
      <w:pPr>
        <w:spacing w:before="120" w:after="180" w:line="276" w:lineRule="auto"/>
        <w:rPr>
          <w:lang w:eastAsia="en-AU"/>
        </w:rPr>
      </w:pPr>
      <w:r w:rsidRPr="00DE2DA9">
        <w:rPr>
          <w:lang w:eastAsia="en-AU"/>
        </w:rPr>
        <w:t>This section covers participants who leave the CDC and move off the program or onto voluntary IM.</w:t>
      </w:r>
      <w:r w:rsidR="00043626" w:rsidRPr="00DE2DA9">
        <w:rPr>
          <w:lang w:eastAsia="en-AU"/>
        </w:rPr>
        <w:t xml:space="preserve"> Note that there are 3,500 participants living outside current CDC location who will not be given the option to going onto </w:t>
      </w:r>
      <w:r w:rsidR="0030544D">
        <w:rPr>
          <w:lang w:eastAsia="en-AU"/>
        </w:rPr>
        <w:t>v</w:t>
      </w:r>
      <w:r w:rsidR="00043626" w:rsidRPr="00DE2DA9">
        <w:rPr>
          <w:lang w:eastAsia="en-AU"/>
        </w:rPr>
        <w:t>oluntary IM.</w:t>
      </w:r>
    </w:p>
    <w:p w14:paraId="78A2768D" w14:textId="77777777" w:rsidR="007920A6" w:rsidRDefault="007920A6" w:rsidP="007920A6">
      <w:pPr>
        <w:spacing w:before="120" w:after="180" w:line="276" w:lineRule="auto"/>
        <w:rPr>
          <w:rFonts w:ascii="Calibri" w:eastAsia="Calibri" w:hAnsi="Calibri" w:cs="Calibri"/>
          <w:b/>
          <w:color w:val="262626"/>
          <w:spacing w:val="4"/>
          <w:lang w:eastAsia="en-AU"/>
        </w:rPr>
      </w:pPr>
      <w:r w:rsidRPr="003E233F">
        <w:rPr>
          <w:rFonts w:ascii="Calibri" w:eastAsia="Calibri" w:hAnsi="Calibri" w:cs="Calibri"/>
          <w:b/>
          <w:color w:val="262626"/>
          <w:spacing w:val="4"/>
          <w:lang w:eastAsia="en-AU"/>
        </w:rPr>
        <w:t>Benefits</w:t>
      </w:r>
    </w:p>
    <w:p w14:paraId="0BAB0AD1" w14:textId="77777777" w:rsidR="00C633FA" w:rsidRPr="00102F36" w:rsidRDefault="007920A6" w:rsidP="00357D26">
      <w:pPr>
        <w:pStyle w:val="BulletedListlvl1"/>
        <w:rPr>
          <w:lang w:eastAsia="en-AU"/>
        </w:rPr>
      </w:pPr>
      <w:r w:rsidRPr="000D05F5">
        <w:rPr>
          <w:b/>
          <w:lang w:eastAsia="en-AU"/>
        </w:rPr>
        <w:t>Provides more personal autonomy</w:t>
      </w:r>
      <w:r w:rsidRPr="000D05F5">
        <w:rPr>
          <w:lang w:eastAsia="en-AU"/>
        </w:rPr>
        <w:t xml:space="preserve"> </w:t>
      </w:r>
      <w:r w:rsidR="00CC351E">
        <w:rPr>
          <w:b/>
          <w:lang w:eastAsia="en-AU"/>
        </w:rPr>
        <w:t>and increases access to potentially cheaper goods and services</w:t>
      </w:r>
      <w:r w:rsidR="000D05F5">
        <w:rPr>
          <w:lang w:eastAsia="en-AU"/>
        </w:rPr>
        <w:t>.</w:t>
      </w:r>
      <w:r w:rsidR="00CC351E">
        <w:rPr>
          <w:lang w:eastAsia="en-AU"/>
        </w:rPr>
        <w:t xml:space="preserve"> Under the new system, </w:t>
      </w:r>
      <w:r w:rsidR="00621BEB">
        <w:rPr>
          <w:lang w:eastAsia="en-AU"/>
        </w:rPr>
        <w:t xml:space="preserve">more people </w:t>
      </w:r>
      <w:r w:rsidR="00CC351E">
        <w:rPr>
          <w:lang w:eastAsia="en-AU"/>
        </w:rPr>
        <w:t xml:space="preserve">will have control over their finances, including the ability to </w:t>
      </w:r>
      <w:r w:rsidR="00AA3630">
        <w:rPr>
          <w:lang w:eastAsia="en-AU"/>
        </w:rPr>
        <w:t xml:space="preserve">use cash </w:t>
      </w:r>
      <w:r w:rsidR="00C633FA">
        <w:rPr>
          <w:lang w:eastAsia="en-AU"/>
        </w:rPr>
        <w:t>to purch</w:t>
      </w:r>
      <w:r w:rsidR="00AA3630">
        <w:rPr>
          <w:lang w:eastAsia="en-AU"/>
        </w:rPr>
        <w:t xml:space="preserve">ase second hand goods. </w:t>
      </w:r>
      <w:r w:rsidR="00C633FA" w:rsidRPr="00E83ED2">
        <w:rPr>
          <w:lang w:eastAsia="en-AU"/>
        </w:rPr>
        <w:t>People have said</w:t>
      </w:r>
      <w:r w:rsidR="0047439D" w:rsidRPr="00E83ED2">
        <w:rPr>
          <w:lang w:eastAsia="en-AU"/>
        </w:rPr>
        <w:t xml:space="preserve"> during consultations,</w:t>
      </w:r>
      <w:r w:rsidR="00C633FA" w:rsidRPr="00E83ED2">
        <w:rPr>
          <w:lang w:eastAsia="en-AU"/>
        </w:rPr>
        <w:t xml:space="preserve"> that the ability</w:t>
      </w:r>
      <w:r w:rsidR="00C633FA">
        <w:rPr>
          <w:lang w:eastAsia="en-AU"/>
        </w:rPr>
        <w:t xml:space="preserve"> to purchase cheaper second hand goods is one way which they can save on expenses which is important </w:t>
      </w:r>
      <w:r w:rsidR="008B6EFB">
        <w:rPr>
          <w:lang w:eastAsia="en-AU"/>
        </w:rPr>
        <w:t>for people on welfare payments.</w:t>
      </w:r>
    </w:p>
    <w:p w14:paraId="3BCAB6B0" w14:textId="325B79D0" w:rsidR="00156202" w:rsidRDefault="00156202" w:rsidP="00156202">
      <w:pPr>
        <w:pStyle w:val="BulletedListlvl1"/>
        <w:rPr>
          <w:lang w:eastAsia="en-AU"/>
        </w:rPr>
      </w:pPr>
      <w:r w:rsidRPr="00156875">
        <w:rPr>
          <w:b/>
          <w:lang w:eastAsia="en-AU"/>
        </w:rPr>
        <w:t xml:space="preserve">Increased access to cash </w:t>
      </w:r>
      <w:r w:rsidR="00D32986">
        <w:rPr>
          <w:b/>
          <w:lang w:eastAsia="en-AU"/>
        </w:rPr>
        <w:t xml:space="preserve">for activities </w:t>
      </w:r>
      <w:r w:rsidR="00AA1850">
        <w:rPr>
          <w:b/>
          <w:lang w:eastAsia="en-AU"/>
        </w:rPr>
        <w:t>where</w:t>
      </w:r>
      <w:r w:rsidR="00D32986">
        <w:rPr>
          <w:b/>
          <w:lang w:eastAsia="en-AU"/>
        </w:rPr>
        <w:t xml:space="preserve"> digital payments</w:t>
      </w:r>
      <w:r w:rsidR="00AA1850">
        <w:rPr>
          <w:b/>
          <w:lang w:eastAsia="en-AU"/>
        </w:rPr>
        <w:t xml:space="preserve"> are</w:t>
      </w:r>
      <w:r w:rsidR="00D32986">
        <w:rPr>
          <w:b/>
          <w:lang w:eastAsia="en-AU"/>
        </w:rPr>
        <w:t xml:space="preserve"> not available</w:t>
      </w:r>
      <w:r w:rsidRPr="00156875">
        <w:rPr>
          <w:b/>
          <w:lang w:eastAsia="en-AU"/>
        </w:rPr>
        <w:t xml:space="preserve">: </w:t>
      </w:r>
      <w:r w:rsidRPr="00156875">
        <w:rPr>
          <w:lang w:eastAsia="en-AU"/>
        </w:rPr>
        <w:t>the</w:t>
      </w:r>
      <w:r w:rsidR="001507C8" w:rsidRPr="00156875">
        <w:rPr>
          <w:lang w:eastAsia="en-AU"/>
        </w:rPr>
        <w:t xml:space="preserve"> </w:t>
      </w:r>
      <w:r w:rsidRPr="00156875">
        <w:rPr>
          <w:lang w:eastAsia="en-AU"/>
        </w:rPr>
        <w:t>evaluation</w:t>
      </w:r>
      <w:r w:rsidR="009E0D6E">
        <w:rPr>
          <w:lang w:eastAsia="en-AU"/>
        </w:rPr>
        <w:t xml:space="preserve"> </w:t>
      </w:r>
      <w:r w:rsidRPr="00156875">
        <w:rPr>
          <w:lang w:eastAsia="en-AU"/>
        </w:rPr>
        <w:t>of the CDC in the Ceduna, East Kimberley and Goldfields regions</w:t>
      </w:r>
      <w:r w:rsidR="001507C8" w:rsidRPr="00156875">
        <w:rPr>
          <w:lang w:eastAsia="en-AU"/>
        </w:rPr>
        <w:t xml:space="preserve"> </w:t>
      </w:r>
      <w:r w:rsidRPr="00156875">
        <w:rPr>
          <w:lang w:eastAsia="en-AU"/>
        </w:rPr>
        <w:t>conducted by the University of Adelaide</w:t>
      </w:r>
      <w:r w:rsidR="009E0D6E">
        <w:rPr>
          <w:rStyle w:val="FootnoteReference"/>
          <w:lang w:eastAsia="en-AU"/>
        </w:rPr>
        <w:footnoteReference w:id="23"/>
      </w:r>
      <w:r w:rsidR="00621BEB">
        <w:rPr>
          <w:lang w:eastAsia="en-AU"/>
        </w:rPr>
        <w:t>, found that many CDC participants</w:t>
      </w:r>
      <w:r w:rsidR="00621BEB" w:rsidRPr="00156875">
        <w:rPr>
          <w:lang w:eastAsia="en-AU"/>
        </w:rPr>
        <w:t xml:space="preserve"> </w:t>
      </w:r>
      <w:r w:rsidRPr="00156875">
        <w:rPr>
          <w:lang w:eastAsia="en-AU"/>
        </w:rPr>
        <w:t xml:space="preserve">considered </w:t>
      </w:r>
      <w:r w:rsidR="006A4670">
        <w:rPr>
          <w:lang w:eastAsia="en-AU"/>
        </w:rPr>
        <w:t xml:space="preserve">not being able to </w:t>
      </w:r>
      <w:r w:rsidR="009E0D6E">
        <w:rPr>
          <w:lang w:eastAsia="en-AU"/>
        </w:rPr>
        <w:t>access cash</w:t>
      </w:r>
      <w:r w:rsidRPr="00156875">
        <w:rPr>
          <w:lang w:eastAsia="en-AU"/>
        </w:rPr>
        <w:t xml:space="preserve"> problematic. The concerns expressed included the </w:t>
      </w:r>
      <w:r w:rsidR="006A4670">
        <w:rPr>
          <w:lang w:eastAsia="en-AU"/>
        </w:rPr>
        <w:t>in</w:t>
      </w:r>
      <w:r w:rsidRPr="00156875">
        <w:rPr>
          <w:lang w:eastAsia="en-AU"/>
        </w:rPr>
        <w:t xml:space="preserve">ability to provide money to children for pocket money, school lunches and excursions, and </w:t>
      </w:r>
      <w:r w:rsidR="006A4670">
        <w:rPr>
          <w:lang w:eastAsia="en-AU"/>
        </w:rPr>
        <w:t xml:space="preserve">not being able to </w:t>
      </w:r>
      <w:r w:rsidR="00D32986">
        <w:rPr>
          <w:lang w:eastAsia="en-AU"/>
        </w:rPr>
        <w:t>attend community activities.</w:t>
      </w:r>
    </w:p>
    <w:p w14:paraId="6ACF51B4" w14:textId="77777777" w:rsidR="00156202" w:rsidRDefault="00156202" w:rsidP="00156202">
      <w:pPr>
        <w:pStyle w:val="BulletedListlvl1"/>
        <w:rPr>
          <w:lang w:eastAsia="en-AU"/>
        </w:rPr>
      </w:pPr>
      <w:r w:rsidRPr="00156875">
        <w:rPr>
          <w:b/>
          <w:lang w:eastAsia="en-AU"/>
        </w:rPr>
        <w:t>Improves wellbeing by reducing stigma</w:t>
      </w:r>
      <w:r w:rsidRPr="00156875">
        <w:rPr>
          <w:lang w:eastAsia="en-AU"/>
        </w:rPr>
        <w:t>. A high percentage of</w:t>
      </w:r>
      <w:r w:rsidR="007A099E">
        <w:rPr>
          <w:lang w:eastAsia="en-AU"/>
        </w:rPr>
        <w:t xml:space="preserve"> CDC participants surveyed </w:t>
      </w:r>
      <w:r>
        <w:rPr>
          <w:lang w:eastAsia="en-AU"/>
        </w:rPr>
        <w:t>in the</w:t>
      </w:r>
      <w:r w:rsidRPr="00ED20BC">
        <w:rPr>
          <w:lang w:eastAsia="en-AU"/>
        </w:rPr>
        <w:t xml:space="preserve"> </w:t>
      </w:r>
      <w:r>
        <w:rPr>
          <w:lang w:eastAsia="en-AU"/>
        </w:rPr>
        <w:t>second impact evaluation into the CDC in the Ceduna, East Kimberley and Goldfields regions</w:t>
      </w:r>
      <w:r>
        <w:rPr>
          <w:rStyle w:val="FootnoteReference"/>
          <w:lang w:eastAsia="en-AU"/>
        </w:rPr>
        <w:footnoteReference w:id="24"/>
      </w:r>
      <w:r>
        <w:rPr>
          <w:lang w:eastAsia="en-AU"/>
        </w:rPr>
        <w:t xml:space="preserve"> said they felt a </w:t>
      </w:r>
      <w:r w:rsidRPr="00ED20BC">
        <w:rPr>
          <w:lang w:eastAsia="en-AU"/>
        </w:rPr>
        <w:t xml:space="preserve">stigma </w:t>
      </w:r>
      <w:r>
        <w:rPr>
          <w:lang w:eastAsia="en-AU"/>
        </w:rPr>
        <w:t xml:space="preserve">due to </w:t>
      </w:r>
      <w:r w:rsidRPr="00ED20BC">
        <w:rPr>
          <w:lang w:eastAsia="en-AU"/>
        </w:rPr>
        <w:t xml:space="preserve">being on the CDC. </w:t>
      </w:r>
      <w:r>
        <w:rPr>
          <w:lang w:eastAsia="en-AU"/>
        </w:rPr>
        <w:t>A</w:t>
      </w:r>
      <w:r w:rsidR="006A4670">
        <w:rPr>
          <w:lang w:eastAsia="en-AU"/>
        </w:rPr>
        <w:t xml:space="preserve"> large majority of respondents, </w:t>
      </w:r>
      <w:r>
        <w:rPr>
          <w:lang w:eastAsia="en-AU"/>
        </w:rPr>
        <w:t>75 per</w:t>
      </w:r>
      <w:r w:rsidR="0053512C">
        <w:rPr>
          <w:lang w:eastAsia="en-AU"/>
        </w:rPr>
        <w:t xml:space="preserve"> </w:t>
      </w:r>
      <w:r>
        <w:rPr>
          <w:lang w:eastAsia="en-AU"/>
        </w:rPr>
        <w:t xml:space="preserve">cent felt discriminated against as a result of being on the CDC, </w:t>
      </w:r>
      <w:r w:rsidR="006A4670">
        <w:rPr>
          <w:lang w:eastAsia="en-AU"/>
        </w:rPr>
        <w:t>73 per</w:t>
      </w:r>
      <w:r w:rsidR="0053512C">
        <w:rPr>
          <w:lang w:eastAsia="en-AU"/>
        </w:rPr>
        <w:t xml:space="preserve"> </w:t>
      </w:r>
      <w:r w:rsidR="006A4670">
        <w:rPr>
          <w:lang w:eastAsia="en-AU"/>
        </w:rPr>
        <w:t xml:space="preserve">cent </w:t>
      </w:r>
      <w:r>
        <w:rPr>
          <w:lang w:eastAsia="en-AU"/>
        </w:rPr>
        <w:t xml:space="preserve">reported that they felt embarrassed and </w:t>
      </w:r>
      <w:r w:rsidR="006A4670">
        <w:rPr>
          <w:lang w:eastAsia="en-AU"/>
        </w:rPr>
        <w:t>75 per</w:t>
      </w:r>
      <w:r w:rsidR="0053512C">
        <w:rPr>
          <w:lang w:eastAsia="en-AU"/>
        </w:rPr>
        <w:t xml:space="preserve"> </w:t>
      </w:r>
      <w:r w:rsidR="006A4670">
        <w:rPr>
          <w:lang w:eastAsia="en-AU"/>
        </w:rPr>
        <w:t xml:space="preserve">cent said </w:t>
      </w:r>
      <w:r>
        <w:rPr>
          <w:lang w:eastAsia="en-AU"/>
        </w:rPr>
        <w:t>it was not fair that th</w:t>
      </w:r>
      <w:r w:rsidR="006A4670">
        <w:rPr>
          <w:lang w:eastAsia="en-AU"/>
        </w:rPr>
        <w:t>ey were on the CDC</w:t>
      </w:r>
      <w:r>
        <w:rPr>
          <w:lang w:eastAsia="en-AU"/>
        </w:rPr>
        <w:t>. In-depth interviews further highlighted that being on the card resulted in CDC participants being easily identified as welfare recipients in the community and created misperceptions of them as being either ‘dole bludgers’ or ‘addicts’, creating feelings of shame and embarrassment.</w:t>
      </w:r>
      <w:r w:rsidR="006A4670">
        <w:rPr>
          <w:lang w:eastAsia="en-AU"/>
        </w:rPr>
        <w:t xml:space="preserve"> </w:t>
      </w:r>
      <w:r w:rsidR="00971560">
        <w:rPr>
          <w:lang w:eastAsia="en-AU"/>
        </w:rPr>
        <w:t xml:space="preserve">People on the CDC also reported </w:t>
      </w:r>
      <w:r>
        <w:rPr>
          <w:lang w:eastAsia="en-AU"/>
        </w:rPr>
        <w:t xml:space="preserve">an inability to participate in some social and community activities due to the restriction of their </w:t>
      </w:r>
      <w:r w:rsidR="00971560">
        <w:rPr>
          <w:lang w:eastAsia="en-AU"/>
        </w:rPr>
        <w:t>finances</w:t>
      </w:r>
      <w:r>
        <w:rPr>
          <w:lang w:eastAsia="en-AU"/>
        </w:rPr>
        <w:t xml:space="preserve">, and being treated differently by other community members and in shops and businesses. Under Option 2 </w:t>
      </w:r>
      <w:r w:rsidR="00D10770">
        <w:rPr>
          <w:lang w:eastAsia="en-AU"/>
        </w:rPr>
        <w:t xml:space="preserve">there is a </w:t>
      </w:r>
      <w:r w:rsidR="003854D6">
        <w:rPr>
          <w:lang w:eastAsia="en-AU"/>
        </w:rPr>
        <w:t xml:space="preserve">strong </w:t>
      </w:r>
      <w:r w:rsidR="00D10770">
        <w:rPr>
          <w:lang w:eastAsia="en-AU"/>
        </w:rPr>
        <w:t xml:space="preserve">likelihood that </w:t>
      </w:r>
      <w:r>
        <w:rPr>
          <w:lang w:eastAsia="en-AU"/>
        </w:rPr>
        <w:t>these participants will no longer feel the stigma, increasing their sense of</w:t>
      </w:r>
      <w:r w:rsidR="009B0410">
        <w:rPr>
          <w:lang w:eastAsia="en-AU"/>
        </w:rPr>
        <w:t xml:space="preserve"> </w:t>
      </w:r>
      <w:r w:rsidR="008B6EFB">
        <w:rPr>
          <w:lang w:eastAsia="en-AU"/>
        </w:rPr>
        <w:t>wellbeing.</w:t>
      </w:r>
    </w:p>
    <w:p w14:paraId="2E7E6971" w14:textId="77777777" w:rsidR="007920A6" w:rsidRPr="001F3FA9" w:rsidRDefault="00D43F6A" w:rsidP="00D27C7B">
      <w:pPr>
        <w:pStyle w:val="BulletedListlvl1"/>
        <w:rPr>
          <w:rFonts w:cs="Calibri"/>
          <w:color w:val="262626"/>
          <w:spacing w:val="4"/>
          <w:lang w:eastAsia="en-AU"/>
        </w:rPr>
      </w:pPr>
      <w:r>
        <w:rPr>
          <w:b/>
        </w:rPr>
        <w:t xml:space="preserve">Services that are targeted to support the needs of individuals. </w:t>
      </w:r>
      <w:r w:rsidR="00FE46AB">
        <w:t xml:space="preserve">Co-designed </w:t>
      </w:r>
      <w:r w:rsidR="009C0BF6">
        <w:t>s</w:t>
      </w:r>
      <w:r w:rsidR="00FE46AB">
        <w:t>upports will provide a range of benefits to individuals, families and the broader community, from initia</w:t>
      </w:r>
      <w:r w:rsidR="00C671CB">
        <w:t>ti</w:t>
      </w:r>
      <w:r w:rsidR="00FE46AB">
        <w:t>ves supporting fi</w:t>
      </w:r>
      <w:r w:rsidR="00C671CB">
        <w:t xml:space="preserve">nancial </w:t>
      </w:r>
      <w:r w:rsidR="00FE46AB">
        <w:t>literacy and money management, targeted support to address addiction to alcohol and other drugs, and programs that support pathways to greater economic independence.</w:t>
      </w:r>
      <w:r w:rsidR="00051258">
        <w:t xml:space="preserve"> A clear finding from the consultations is that </w:t>
      </w:r>
      <w:r w:rsidR="003854D6">
        <w:t xml:space="preserve">in many cases, </w:t>
      </w:r>
      <w:r w:rsidR="00051258">
        <w:t>support services</w:t>
      </w:r>
      <w:r w:rsidR="00E1046F">
        <w:t xml:space="preserve"> </w:t>
      </w:r>
      <w:r w:rsidR="00051258">
        <w:t xml:space="preserve">are more highly valued than the </w:t>
      </w:r>
      <w:r w:rsidR="003854D6">
        <w:t xml:space="preserve">actual </w:t>
      </w:r>
      <w:r w:rsidR="00051258">
        <w:t>card.</w:t>
      </w:r>
      <w:r>
        <w:t xml:space="preserve"> </w:t>
      </w:r>
      <w:r w:rsidR="007016F5" w:rsidRPr="007016F5">
        <w:rPr>
          <w:color w:val="auto"/>
        </w:rPr>
        <w:t xml:space="preserve">In Ceduna, </w:t>
      </w:r>
      <w:r w:rsidR="006A4670">
        <w:rPr>
          <w:color w:val="auto"/>
        </w:rPr>
        <w:t xml:space="preserve">the consultations </w:t>
      </w:r>
      <w:r w:rsidR="007016F5" w:rsidRPr="007016F5">
        <w:rPr>
          <w:color w:val="auto"/>
        </w:rPr>
        <w:t xml:space="preserve">found that community programs foster cooperation and collaboration </w:t>
      </w:r>
      <w:r w:rsidR="007016F5" w:rsidRPr="00E83ED2">
        <w:rPr>
          <w:color w:val="auto"/>
        </w:rPr>
        <w:t xml:space="preserve">between service providers and communities, which can be critical in </w:t>
      </w:r>
      <w:r w:rsidR="00E15051">
        <w:rPr>
          <w:color w:val="auto"/>
        </w:rPr>
        <w:t xml:space="preserve">the success of such services. </w:t>
      </w:r>
      <w:r w:rsidR="00A53A9A" w:rsidRPr="00E83ED2">
        <w:rPr>
          <w:color w:val="auto"/>
        </w:rPr>
        <w:t>As previously noted, e</w:t>
      </w:r>
      <w:r w:rsidR="007016F5" w:rsidRPr="00E83ED2">
        <w:rPr>
          <w:color w:val="auto"/>
        </w:rPr>
        <w:t>vidence indicates that successful community-driven programs in First Nations communities allow for the solutions to be individualised, culturally appropriate and for the community to hav</w:t>
      </w:r>
      <w:r w:rsidR="00621BEB" w:rsidRPr="00E83ED2">
        <w:rPr>
          <w:color w:val="auto"/>
        </w:rPr>
        <w:t>e ownership of and control over</w:t>
      </w:r>
      <w:r w:rsidR="00971560" w:rsidRPr="00E83ED2">
        <w:rPr>
          <w:color w:val="auto"/>
        </w:rPr>
        <w:t xml:space="preserve"> decisions</w:t>
      </w:r>
      <w:r w:rsidR="00621BEB" w:rsidRPr="00E83ED2">
        <w:rPr>
          <w:color w:val="auto"/>
        </w:rPr>
        <w:t xml:space="preserve"> about the allocation of resources</w:t>
      </w:r>
      <w:r w:rsidR="00971560" w:rsidRPr="00E83ED2">
        <w:rPr>
          <w:color w:val="auto"/>
        </w:rPr>
        <w:t>.</w:t>
      </w:r>
      <w:r w:rsidR="00F53D21" w:rsidRPr="00E83ED2" w:rsidDel="00A20777">
        <w:rPr>
          <w:rFonts w:ascii="Calibri" w:eastAsia="Calibri" w:hAnsi="Calibri" w:cs="Times New Roman"/>
          <w:lang w:eastAsia="en-AU"/>
        </w:rPr>
        <w:t xml:space="preserve"> </w:t>
      </w:r>
      <w:r w:rsidR="0030544D">
        <w:rPr>
          <w:rFonts w:ascii="Calibri" w:eastAsia="Calibri" w:hAnsi="Calibri" w:cs="Times New Roman"/>
          <w:lang w:eastAsia="en-AU"/>
        </w:rPr>
        <w:t>In addition,</w:t>
      </w:r>
      <w:r w:rsidR="00F53D21" w:rsidRPr="00E83ED2">
        <w:rPr>
          <w:rFonts w:ascii="Calibri" w:eastAsia="Calibri" w:hAnsi="Calibri" w:cs="Times New Roman"/>
          <w:lang w:eastAsia="en-AU"/>
        </w:rPr>
        <w:t xml:space="preserve"> IM evaluations highlighted better results when a person volunteered for the program</w:t>
      </w:r>
      <w:r w:rsidR="00F53D21" w:rsidRPr="00E83ED2">
        <w:rPr>
          <w:rStyle w:val="FootnoteReference"/>
          <w:rFonts w:ascii="Calibri" w:eastAsia="Calibri" w:hAnsi="Calibri" w:cs="Times New Roman"/>
          <w:lang w:eastAsia="en-AU"/>
        </w:rPr>
        <w:footnoteReference w:id="25"/>
      </w:r>
      <w:r w:rsidR="00F53D21" w:rsidRPr="00E83ED2">
        <w:rPr>
          <w:rFonts w:ascii="Calibri" w:eastAsia="Calibri" w:hAnsi="Calibri" w:cs="Times New Roman"/>
          <w:lang w:eastAsia="en-AU"/>
        </w:rPr>
        <w:t>.</w:t>
      </w:r>
    </w:p>
    <w:p w14:paraId="429FE20D" w14:textId="77777777" w:rsidR="007920A6" w:rsidRPr="000D05F5" w:rsidRDefault="007920A6" w:rsidP="001F30CA">
      <w:pPr>
        <w:spacing w:before="120" w:after="180" w:line="276" w:lineRule="auto"/>
        <w:rPr>
          <w:rFonts w:ascii="Calibri" w:eastAsia="Calibri" w:hAnsi="Calibri" w:cs="Calibri"/>
          <w:color w:val="auto"/>
        </w:rPr>
      </w:pPr>
      <w:r w:rsidRPr="000D05F5">
        <w:rPr>
          <w:rFonts w:ascii="Calibri" w:eastAsia="Calibri" w:hAnsi="Calibri" w:cs="Times New Roman"/>
          <w:b/>
          <w:color w:val="262626"/>
        </w:rPr>
        <w:t>Costs</w:t>
      </w:r>
    </w:p>
    <w:p w14:paraId="0AAFE9F0" w14:textId="77777777" w:rsidR="001F3FA9" w:rsidRPr="000A0377" w:rsidRDefault="001C1D57" w:rsidP="0090175C">
      <w:pPr>
        <w:pStyle w:val="BulletedListlvl1"/>
        <w:rPr>
          <w:color w:val="auto"/>
        </w:rPr>
      </w:pPr>
      <w:r w:rsidRPr="000A0377">
        <w:rPr>
          <w:rFonts w:ascii="Calibri" w:eastAsia="Calibri" w:hAnsi="Calibri" w:cs="Times New Roman"/>
        </w:rPr>
        <w:t>T</w:t>
      </w:r>
      <w:r w:rsidR="007920A6" w:rsidRPr="000A0377">
        <w:t xml:space="preserve">here </w:t>
      </w:r>
      <w:r w:rsidR="00F81870" w:rsidRPr="000A0377">
        <w:t>may be a</w:t>
      </w:r>
      <w:r w:rsidR="007920A6" w:rsidRPr="000A0377">
        <w:t xml:space="preserve"> </w:t>
      </w:r>
      <w:r w:rsidR="000C2C6C" w:rsidRPr="000A0377">
        <w:t xml:space="preserve">perception </w:t>
      </w:r>
      <w:r w:rsidRPr="000A0377">
        <w:t xml:space="preserve">that </w:t>
      </w:r>
      <w:r w:rsidR="000C2C6C" w:rsidRPr="000A0377">
        <w:t xml:space="preserve">the removal of CDC </w:t>
      </w:r>
      <w:r w:rsidR="00E15051">
        <w:t>could</w:t>
      </w:r>
      <w:r w:rsidR="000C2C6C" w:rsidRPr="000A0377">
        <w:t xml:space="preserve"> lead to </w:t>
      </w:r>
      <w:r w:rsidRPr="000A0377">
        <w:t xml:space="preserve">more drinking, gambling and drug taking within </w:t>
      </w:r>
      <w:r w:rsidR="00D96A49" w:rsidRPr="000A0377">
        <w:t xml:space="preserve">communities. </w:t>
      </w:r>
      <w:r w:rsidR="00E15051">
        <w:t xml:space="preserve">The evidence from the evaluations do not support this view. </w:t>
      </w:r>
      <w:r w:rsidR="00D96A49" w:rsidRPr="000A0377">
        <w:t>The Department is</w:t>
      </w:r>
      <w:r w:rsidR="00017A75" w:rsidRPr="000A0377">
        <w:t xml:space="preserve"> unable to estimate </w:t>
      </w:r>
      <w:r w:rsidR="00E15051">
        <w:t xml:space="preserve">such an impact and note that </w:t>
      </w:r>
      <w:r w:rsidR="00017A75" w:rsidRPr="000A0377">
        <w:t xml:space="preserve">there is </w:t>
      </w:r>
      <w:r w:rsidR="006A4670" w:rsidRPr="000A0377">
        <w:t>e</w:t>
      </w:r>
      <w:r w:rsidR="00017A75" w:rsidRPr="000A0377">
        <w:t xml:space="preserve">vidence from the consultations that people </w:t>
      </w:r>
      <w:r w:rsidR="00E15051">
        <w:t>have still found ways to circumvent the card to access a</w:t>
      </w:r>
      <w:r w:rsidR="00017A75" w:rsidRPr="000A0377">
        <w:t xml:space="preserve">lcohol. </w:t>
      </w:r>
      <w:r w:rsidR="0090175C" w:rsidRPr="000A0377">
        <w:t>As a result, we consider the impacts from any increased drug and alcohol consumption are likely to be minimal.</w:t>
      </w:r>
    </w:p>
    <w:p w14:paraId="19AE4E2B" w14:textId="77777777" w:rsidR="005A4E6F" w:rsidRPr="000A0377" w:rsidRDefault="005A4E6F" w:rsidP="0090175C">
      <w:pPr>
        <w:pStyle w:val="BulletedListlvl1"/>
        <w:rPr>
          <w:color w:val="auto"/>
        </w:rPr>
      </w:pPr>
      <w:r w:rsidRPr="000A0377">
        <w:rPr>
          <w:rFonts w:ascii="Calibri" w:eastAsia="Calibri" w:hAnsi="Calibri" w:cs="Times New Roman"/>
        </w:rPr>
        <w:t xml:space="preserve">Participants outside CDC locations will not be offered </w:t>
      </w:r>
      <w:r w:rsidR="000A0377" w:rsidRPr="000A0377">
        <w:rPr>
          <w:rFonts w:ascii="Calibri" w:eastAsia="Calibri" w:hAnsi="Calibri" w:cs="Times New Roman"/>
        </w:rPr>
        <w:t xml:space="preserve">the </w:t>
      </w:r>
      <w:r w:rsidRPr="000A0377">
        <w:rPr>
          <w:rFonts w:ascii="Calibri" w:eastAsia="Calibri" w:hAnsi="Calibri" w:cs="Times New Roman"/>
        </w:rPr>
        <w:t>option to transition to voluntary IM. However, the</w:t>
      </w:r>
      <w:r w:rsidR="000D4CFB">
        <w:rPr>
          <w:rFonts w:ascii="Calibri" w:eastAsia="Calibri" w:hAnsi="Calibri" w:cs="Times New Roman"/>
        </w:rPr>
        <w:t>re</w:t>
      </w:r>
      <w:r w:rsidRPr="000A0377">
        <w:rPr>
          <w:rFonts w:ascii="Calibri" w:eastAsia="Calibri" w:hAnsi="Calibri" w:cs="Times New Roman"/>
        </w:rPr>
        <w:t xml:space="preserve"> may be an option for these individuals to join IM through </w:t>
      </w:r>
      <w:r w:rsidR="00E15051">
        <w:rPr>
          <w:rFonts w:ascii="Calibri" w:eastAsia="Calibri" w:hAnsi="Calibri" w:cs="Times New Roman"/>
        </w:rPr>
        <w:t xml:space="preserve">a subsequent national rollout of </w:t>
      </w:r>
      <w:r w:rsidR="000D4CFB">
        <w:rPr>
          <w:rFonts w:ascii="Calibri" w:eastAsia="Calibri" w:hAnsi="Calibri" w:cs="Times New Roman"/>
        </w:rPr>
        <w:t xml:space="preserve">the </w:t>
      </w:r>
      <w:r w:rsidR="00E15051">
        <w:rPr>
          <w:rFonts w:ascii="Calibri" w:eastAsia="Calibri" w:hAnsi="Calibri" w:cs="Times New Roman"/>
        </w:rPr>
        <w:t xml:space="preserve">voluntary </w:t>
      </w:r>
      <w:r w:rsidRPr="000A0377">
        <w:rPr>
          <w:rFonts w:ascii="Calibri" w:eastAsia="Calibri" w:hAnsi="Calibri" w:cs="Times New Roman"/>
        </w:rPr>
        <w:t>IM program</w:t>
      </w:r>
      <w:r w:rsidR="00F46D45">
        <w:rPr>
          <w:rFonts w:ascii="Calibri" w:eastAsia="Calibri" w:hAnsi="Calibri" w:cs="Times New Roman"/>
        </w:rPr>
        <w:t>, subject to further government consideration</w:t>
      </w:r>
      <w:r w:rsidRPr="000A0377">
        <w:rPr>
          <w:rFonts w:ascii="Calibri" w:eastAsia="Calibri" w:hAnsi="Calibri" w:cs="Times New Roman"/>
        </w:rPr>
        <w:t>.</w:t>
      </w:r>
    </w:p>
    <w:p w14:paraId="4EF98104" w14:textId="77777777" w:rsidR="001F3FA9" w:rsidRPr="000A0377" w:rsidRDefault="001F3FA9" w:rsidP="001F3FA9">
      <w:pPr>
        <w:pStyle w:val="BulletedListlvl1"/>
        <w:rPr>
          <w:color w:val="auto"/>
        </w:rPr>
      </w:pPr>
      <w:r w:rsidRPr="000A0377">
        <w:rPr>
          <w:color w:val="auto"/>
        </w:rPr>
        <w:t xml:space="preserve">As part of the staged transition from </w:t>
      </w:r>
      <w:r w:rsidR="005F0392" w:rsidRPr="000A0377">
        <w:rPr>
          <w:color w:val="auto"/>
        </w:rPr>
        <w:t xml:space="preserve">the </w:t>
      </w:r>
      <w:r w:rsidRPr="000A0377">
        <w:rPr>
          <w:color w:val="auto"/>
        </w:rPr>
        <w:t>CDC</w:t>
      </w:r>
      <w:r w:rsidR="00F63186" w:rsidRPr="000A0377">
        <w:rPr>
          <w:color w:val="auto"/>
        </w:rPr>
        <w:t>,</w:t>
      </w:r>
      <w:r w:rsidRPr="000A0377">
        <w:rPr>
          <w:color w:val="auto"/>
        </w:rPr>
        <w:t xml:space="preserve"> </w:t>
      </w:r>
      <w:r w:rsidR="00621BEB" w:rsidRPr="000A0377">
        <w:rPr>
          <w:color w:val="auto"/>
        </w:rPr>
        <w:t>current participants may opt in</w:t>
      </w:r>
      <w:r w:rsidR="001F47CB" w:rsidRPr="000A0377">
        <w:rPr>
          <w:color w:val="auto"/>
        </w:rPr>
        <w:t xml:space="preserve">to voluntary IM </w:t>
      </w:r>
      <w:r w:rsidR="00621BEB" w:rsidRPr="000A0377">
        <w:rPr>
          <w:color w:val="auto"/>
        </w:rPr>
        <w:t xml:space="preserve">or </w:t>
      </w:r>
      <w:r w:rsidR="005F0392" w:rsidRPr="000A0377">
        <w:rPr>
          <w:color w:val="auto"/>
        </w:rPr>
        <w:t xml:space="preserve">will </w:t>
      </w:r>
      <w:r w:rsidR="00621BEB" w:rsidRPr="000A0377">
        <w:rPr>
          <w:color w:val="auto"/>
        </w:rPr>
        <w:t xml:space="preserve">engage with Services Australia </w:t>
      </w:r>
      <w:r w:rsidR="005F0392" w:rsidRPr="000A0377">
        <w:rPr>
          <w:color w:val="auto"/>
        </w:rPr>
        <w:t xml:space="preserve">for assistance. This </w:t>
      </w:r>
      <w:r w:rsidR="00621BEB" w:rsidRPr="000A0377">
        <w:rPr>
          <w:color w:val="auto"/>
        </w:rPr>
        <w:t>will include time taken to discuss the changes and make necessary decisions</w:t>
      </w:r>
      <w:r w:rsidR="005F0392" w:rsidRPr="000A0377">
        <w:rPr>
          <w:color w:val="auto"/>
        </w:rPr>
        <w:t xml:space="preserve"> which is </w:t>
      </w:r>
      <w:r w:rsidR="00621BEB" w:rsidRPr="000A0377">
        <w:rPr>
          <w:color w:val="auto"/>
        </w:rPr>
        <w:t>anticipated to take</w:t>
      </w:r>
      <w:r w:rsidR="00074191" w:rsidRPr="000A0377">
        <w:rPr>
          <w:color w:val="auto"/>
        </w:rPr>
        <w:t xml:space="preserve"> on average </w:t>
      </w:r>
      <w:r w:rsidR="00A53A9A" w:rsidRPr="000A0377">
        <w:rPr>
          <w:color w:val="auto"/>
        </w:rPr>
        <w:t xml:space="preserve">30 </w:t>
      </w:r>
      <w:r w:rsidR="00621BEB" w:rsidRPr="000A0377">
        <w:rPr>
          <w:color w:val="auto"/>
        </w:rPr>
        <w:t xml:space="preserve">minutes per participant which </w:t>
      </w:r>
      <w:r w:rsidR="00E15051">
        <w:rPr>
          <w:color w:val="auto"/>
        </w:rPr>
        <w:t>could</w:t>
      </w:r>
      <w:r w:rsidR="00074191" w:rsidRPr="000A0377">
        <w:rPr>
          <w:color w:val="auto"/>
        </w:rPr>
        <w:t xml:space="preserve"> </w:t>
      </w:r>
      <w:r w:rsidR="00621BEB" w:rsidRPr="000A0377">
        <w:rPr>
          <w:color w:val="auto"/>
        </w:rPr>
        <w:t>include</w:t>
      </w:r>
      <w:r w:rsidR="00074191" w:rsidRPr="000A0377">
        <w:rPr>
          <w:color w:val="auto"/>
        </w:rPr>
        <w:t xml:space="preserve"> a </w:t>
      </w:r>
      <w:r w:rsidR="00621BEB" w:rsidRPr="000A0377">
        <w:rPr>
          <w:color w:val="auto"/>
        </w:rPr>
        <w:t>Services Australia interview (conducted either</w:t>
      </w:r>
      <w:r w:rsidR="00A031FC" w:rsidRPr="000A0377">
        <w:rPr>
          <w:color w:val="auto"/>
        </w:rPr>
        <w:t xml:space="preserve"> face-to-face or by telephone).</w:t>
      </w:r>
      <w:r w:rsidRPr="000A0377">
        <w:rPr>
          <w:color w:val="auto"/>
        </w:rPr>
        <w:t xml:space="preserve"> This will </w:t>
      </w:r>
      <w:r w:rsidR="00E747C0" w:rsidRPr="000A0377">
        <w:rPr>
          <w:color w:val="auto"/>
        </w:rPr>
        <w:t xml:space="preserve">have a regulatory </w:t>
      </w:r>
      <w:r w:rsidRPr="000A0377">
        <w:rPr>
          <w:color w:val="auto"/>
        </w:rPr>
        <w:t xml:space="preserve">cost </w:t>
      </w:r>
      <w:r w:rsidR="00E747C0" w:rsidRPr="000A0377">
        <w:rPr>
          <w:color w:val="auto"/>
        </w:rPr>
        <w:t xml:space="preserve">of </w:t>
      </w:r>
      <w:r w:rsidR="006D2F68" w:rsidRPr="000A0377">
        <w:rPr>
          <w:color w:val="auto"/>
        </w:rPr>
        <w:t>$</w:t>
      </w:r>
      <w:r w:rsidR="007F5A0F" w:rsidRPr="000A0377">
        <w:rPr>
          <w:color w:val="auto"/>
        </w:rPr>
        <w:t>311,400</w:t>
      </w:r>
      <w:r w:rsidR="00067F72" w:rsidRPr="000A0377">
        <w:rPr>
          <w:color w:val="auto"/>
        </w:rPr>
        <w:t xml:space="preserve"> </w:t>
      </w:r>
      <w:r w:rsidR="006D2F68" w:rsidRPr="000A0377">
        <w:rPr>
          <w:color w:val="auto"/>
        </w:rPr>
        <w:t>to transition from CDC</w:t>
      </w:r>
      <w:r w:rsidR="00074191" w:rsidRPr="000A0377">
        <w:rPr>
          <w:color w:val="auto"/>
        </w:rPr>
        <w:t xml:space="preserve"> program</w:t>
      </w:r>
      <w:r w:rsidR="005536A9" w:rsidRPr="000A0377">
        <w:rPr>
          <w:color w:val="auto"/>
        </w:rPr>
        <w:t xml:space="preserve"> based on a population of 17,300 participants at 0.5 of an hour at the rate of $36.00 per hour.</w:t>
      </w:r>
    </w:p>
    <w:p w14:paraId="54D75589" w14:textId="77777777" w:rsidR="00074191" w:rsidRPr="000A0377" w:rsidRDefault="00074191" w:rsidP="00470B1C">
      <w:pPr>
        <w:pStyle w:val="BulletedListlvl1"/>
      </w:pPr>
      <w:r w:rsidRPr="000A0377">
        <w:t xml:space="preserve">As the </w:t>
      </w:r>
      <w:r w:rsidR="00954DDB" w:rsidRPr="000A0377">
        <w:t>current IM program</w:t>
      </w:r>
      <w:r w:rsidRPr="000A0377">
        <w:t xml:space="preserve"> </w:t>
      </w:r>
      <w:r w:rsidR="00954DDB" w:rsidRPr="000A0377">
        <w:t xml:space="preserve">has a </w:t>
      </w:r>
      <w:r w:rsidR="00957BBD" w:rsidRPr="000A0377">
        <w:t>B</w:t>
      </w:r>
      <w:r w:rsidR="00954DDB" w:rsidRPr="000A0377">
        <w:t>asic</w:t>
      </w:r>
      <w:r w:rsidR="00EC42FD" w:rsidRPr="000A0377">
        <w:t>s</w:t>
      </w:r>
      <w:r w:rsidR="00957BBD" w:rsidRPr="000A0377">
        <w:t>C</w:t>
      </w:r>
      <w:r w:rsidR="00954DDB" w:rsidRPr="000A0377">
        <w:t xml:space="preserve">ard functionality </w:t>
      </w:r>
      <w:r w:rsidR="00957BBD" w:rsidRPr="000A0377">
        <w:t xml:space="preserve">the </w:t>
      </w:r>
      <w:r w:rsidRPr="000A0377">
        <w:t>transition</w:t>
      </w:r>
      <w:r w:rsidR="00957BBD" w:rsidRPr="000A0377">
        <w:t xml:space="preserve"> off</w:t>
      </w:r>
      <w:r w:rsidR="00954DDB" w:rsidRPr="000A0377">
        <w:t>,</w:t>
      </w:r>
      <w:r w:rsidRPr="000A0377">
        <w:t xml:space="preserve"> on average</w:t>
      </w:r>
      <w:r w:rsidR="00954DDB" w:rsidRPr="000A0377">
        <w:t>,</w:t>
      </w:r>
      <w:r w:rsidRPr="000A0377">
        <w:t xml:space="preserve"> will </w:t>
      </w:r>
      <w:r w:rsidR="00954DDB" w:rsidRPr="000A0377">
        <w:t xml:space="preserve">not </w:t>
      </w:r>
      <w:r w:rsidRPr="000A0377">
        <w:t xml:space="preserve">take </w:t>
      </w:r>
      <w:r w:rsidR="00F63186" w:rsidRPr="000A0377">
        <w:t xml:space="preserve">as </w:t>
      </w:r>
      <w:r w:rsidRPr="000A0377">
        <w:t>long</w:t>
      </w:r>
      <w:r w:rsidR="008B6EFB" w:rsidRPr="000A0377">
        <w:t xml:space="preserve"> as for CDC par</w:t>
      </w:r>
      <w:r w:rsidR="00957BBD" w:rsidRPr="000A0377">
        <w:t>ticipants</w:t>
      </w:r>
      <w:r w:rsidRPr="000A0377">
        <w:t xml:space="preserve">. </w:t>
      </w:r>
      <w:r w:rsidR="00470B1C" w:rsidRPr="000A0377">
        <w:t>Based on a population of 28,200 participants at 0.5 of an hour at the rate of $36.00 per hour the estimated regulatory cost to transition from the IM program is $507,600.</w:t>
      </w:r>
    </w:p>
    <w:p w14:paraId="63F955DD" w14:textId="77777777" w:rsidR="00B859A1" w:rsidRPr="00104DF1" w:rsidRDefault="00B859A1" w:rsidP="00B859A1">
      <w:pPr>
        <w:pStyle w:val="BodyText"/>
        <w:spacing w:before="120" w:after="180"/>
        <w:rPr>
          <w:b/>
        </w:rPr>
      </w:pPr>
      <w:r w:rsidRPr="00104DF1">
        <w:rPr>
          <w:b/>
        </w:rPr>
        <w:t xml:space="preserve">Reduction in costs for </w:t>
      </w:r>
      <w:r w:rsidR="000011FF">
        <w:rPr>
          <w:b/>
        </w:rPr>
        <w:t xml:space="preserve">abolishing the </w:t>
      </w:r>
      <w:r w:rsidRPr="00104DF1">
        <w:rPr>
          <w:b/>
        </w:rPr>
        <w:t>CDC over 10 years</w:t>
      </w:r>
    </w:p>
    <w:tbl>
      <w:tblPr>
        <w:tblStyle w:val="TableGrid1"/>
        <w:tblW w:w="0" w:type="auto"/>
        <w:tblLook w:val="04A0" w:firstRow="1" w:lastRow="0" w:firstColumn="1" w:lastColumn="0" w:noHBand="0" w:noVBand="1"/>
        <w:tblDescription w:val="Reduction in costs for abolishing the CDC over 10 years"/>
      </w:tblPr>
      <w:tblGrid>
        <w:gridCol w:w="6903"/>
        <w:gridCol w:w="3291"/>
      </w:tblGrid>
      <w:tr w:rsidR="00E26AD9" w:rsidRPr="00884F2C" w14:paraId="0C45ECE9" w14:textId="77777777" w:rsidTr="006D419E">
        <w:trPr>
          <w:trHeight w:val="263"/>
          <w:tblHeader/>
        </w:trPr>
        <w:tc>
          <w:tcPr>
            <w:tcW w:w="0" w:type="auto"/>
          </w:tcPr>
          <w:p w14:paraId="6F5FEB1B" w14:textId="77777777" w:rsidR="00E26AD9" w:rsidRPr="00884F2C" w:rsidRDefault="00E26AD9" w:rsidP="00B3605F">
            <w:pPr>
              <w:rPr>
                <w:rFonts w:ascii="Calibri" w:eastAsia="Calibri" w:hAnsi="Calibri" w:cs="Times New Roman"/>
                <w:b/>
                <w:sz w:val="16"/>
                <w:szCs w:val="16"/>
              </w:rPr>
            </w:pPr>
          </w:p>
        </w:tc>
        <w:tc>
          <w:tcPr>
            <w:tcW w:w="3291" w:type="dxa"/>
          </w:tcPr>
          <w:p w14:paraId="4DCB5342" w14:textId="77777777" w:rsidR="00E26AD9" w:rsidRPr="00884F2C" w:rsidRDefault="00E26AD9" w:rsidP="00B3605F">
            <w:pPr>
              <w:rPr>
                <w:rFonts w:ascii="Calibri" w:eastAsia="Calibri" w:hAnsi="Calibri" w:cs="Times New Roman"/>
                <w:b/>
                <w:sz w:val="16"/>
                <w:szCs w:val="16"/>
              </w:rPr>
            </w:pPr>
            <w:r w:rsidRPr="00884F2C">
              <w:rPr>
                <w:rFonts w:ascii="Calibri" w:eastAsia="Calibri" w:hAnsi="Calibri" w:cs="Times New Roman"/>
                <w:b/>
                <w:sz w:val="16"/>
                <w:szCs w:val="16"/>
              </w:rPr>
              <w:t xml:space="preserve">New entrants on IM and CDC </w:t>
            </w:r>
          </w:p>
        </w:tc>
      </w:tr>
      <w:tr w:rsidR="00E26AD9" w:rsidRPr="00957BBD" w14:paraId="069EAE97" w14:textId="77777777" w:rsidTr="006D419E">
        <w:trPr>
          <w:trHeight w:val="596"/>
        </w:trPr>
        <w:tc>
          <w:tcPr>
            <w:tcW w:w="0" w:type="auto"/>
          </w:tcPr>
          <w:p w14:paraId="719E69A1" w14:textId="77777777" w:rsidR="00E26AD9" w:rsidRPr="00957BBD" w:rsidRDefault="00E26AD9" w:rsidP="00B3605F">
            <w:pPr>
              <w:rPr>
                <w:rFonts w:ascii="Calibri" w:eastAsia="Calibri" w:hAnsi="Calibri" w:cs="Times New Roman"/>
                <w:b/>
                <w:sz w:val="16"/>
                <w:szCs w:val="16"/>
              </w:rPr>
            </w:pPr>
            <w:r w:rsidRPr="00957BBD">
              <w:rPr>
                <w:rFonts w:ascii="Calibri" w:eastAsia="Calibri" w:hAnsi="Calibri" w:cs="Times New Roman"/>
                <w:b/>
                <w:sz w:val="16"/>
                <w:szCs w:val="16"/>
              </w:rPr>
              <w:t>Learning</w:t>
            </w:r>
            <w:r w:rsidR="002079EF">
              <w:rPr>
                <w:rFonts w:ascii="Calibri" w:eastAsia="Calibri" w:hAnsi="Calibri" w:cs="Times New Roman"/>
                <w:b/>
                <w:sz w:val="16"/>
                <w:szCs w:val="16"/>
              </w:rPr>
              <w:t xml:space="preserve"> how to use the card (CDC</w:t>
            </w:r>
            <w:r w:rsidRPr="00957BBD">
              <w:rPr>
                <w:rFonts w:ascii="Calibri" w:eastAsia="Calibri" w:hAnsi="Calibri" w:cs="Times New Roman"/>
                <w:b/>
                <w:sz w:val="16"/>
                <w:szCs w:val="16"/>
              </w:rPr>
              <w:t>)</w:t>
            </w:r>
          </w:p>
          <w:p w14:paraId="76C2D1A7" w14:textId="5C941EA1" w:rsidR="00E26AD9" w:rsidRPr="00DE72BF" w:rsidRDefault="00E26AD9" w:rsidP="00DE72BF">
            <w:pPr>
              <w:numPr>
                <w:ilvl w:val="0"/>
                <w:numId w:val="19"/>
              </w:numPr>
              <w:contextualSpacing/>
              <w:rPr>
                <w:rFonts w:ascii="Calibri" w:eastAsia="Calibri" w:hAnsi="Calibri" w:cs="Times New Roman"/>
                <w:sz w:val="16"/>
                <w:szCs w:val="16"/>
              </w:rPr>
            </w:pPr>
            <w:r w:rsidRPr="00957BBD">
              <w:rPr>
                <w:rFonts w:ascii="Calibri" w:eastAsia="Calibri" w:hAnsi="Calibri" w:cs="Times New Roman"/>
                <w:sz w:val="16"/>
                <w:szCs w:val="16"/>
              </w:rPr>
              <w:t>E.g. Looking up approved merchants and changing shopping behaviour, learning the features of the card</w:t>
            </w:r>
          </w:p>
        </w:tc>
        <w:tc>
          <w:tcPr>
            <w:tcW w:w="3291" w:type="dxa"/>
          </w:tcPr>
          <w:p w14:paraId="2AF1F00D" w14:textId="77777777" w:rsidR="00E26AD9" w:rsidRPr="00957BBD" w:rsidRDefault="00E26AD9"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1hr 15 mins for new entrants onto the card </w:t>
            </w:r>
          </w:p>
          <w:p w14:paraId="1E92EA48" w14:textId="77777777" w:rsidR="00E26AD9" w:rsidRPr="00957BBD" w:rsidRDefault="00E26AD9"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1.25 x -$36 = </w:t>
            </w:r>
            <w:r w:rsidR="00E873F1" w:rsidRPr="00957BBD">
              <w:rPr>
                <w:rFonts w:ascii="Calibri" w:eastAsia="Calibri" w:hAnsi="Calibri" w:cs="Times New Roman"/>
                <w:i/>
                <w:sz w:val="16"/>
                <w:szCs w:val="16"/>
              </w:rPr>
              <w:t>-</w:t>
            </w:r>
            <w:r w:rsidRPr="00957BBD">
              <w:rPr>
                <w:rFonts w:ascii="Calibri" w:eastAsia="Calibri" w:hAnsi="Calibri" w:cs="Times New Roman"/>
                <w:i/>
                <w:sz w:val="16"/>
                <w:szCs w:val="16"/>
              </w:rPr>
              <w:t>$45.00 per participant</w:t>
            </w:r>
          </w:p>
          <w:p w14:paraId="0532918B" w14:textId="77777777" w:rsidR="00E26AD9" w:rsidRPr="00957BBD" w:rsidRDefault="00E26AD9" w:rsidP="00B3605F">
            <w:pPr>
              <w:contextualSpacing/>
              <w:jc w:val="right"/>
              <w:rPr>
                <w:rFonts w:ascii="Calibri" w:eastAsia="Calibri" w:hAnsi="Calibri" w:cs="Times New Roman"/>
                <w:i/>
                <w:sz w:val="16"/>
                <w:szCs w:val="16"/>
              </w:rPr>
            </w:pPr>
          </w:p>
          <w:p w14:paraId="00063C9E" w14:textId="77777777" w:rsidR="00E26AD9" w:rsidRPr="00957BBD" w:rsidRDefault="00E26AD9"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(CDC) </w:t>
            </w:r>
            <w:r w:rsidR="00E873F1" w:rsidRPr="00957BBD">
              <w:rPr>
                <w:rFonts w:ascii="Calibri" w:eastAsia="Calibri" w:hAnsi="Calibri" w:cs="Times New Roman"/>
                <w:i/>
                <w:sz w:val="16"/>
                <w:szCs w:val="16"/>
              </w:rPr>
              <w:t>=</w:t>
            </w:r>
            <w:r w:rsidR="0052007B" w:rsidRPr="00957BBD">
              <w:rPr>
                <w:rFonts w:ascii="Calibri" w:eastAsia="Calibri" w:hAnsi="Calibri" w:cs="Times New Roman"/>
                <w:i/>
                <w:sz w:val="16"/>
                <w:szCs w:val="16"/>
              </w:rPr>
              <w:t>-</w:t>
            </w:r>
            <w:r w:rsidRPr="00957BBD">
              <w:rPr>
                <w:rFonts w:ascii="Calibri" w:eastAsia="Calibri" w:hAnsi="Calibri" w:cs="Times New Roman"/>
                <w:i/>
                <w:sz w:val="16"/>
                <w:szCs w:val="16"/>
              </w:rPr>
              <w:t xml:space="preserve">$45.00 x 8,500 = </w:t>
            </w:r>
            <w:r w:rsidR="00E873F1" w:rsidRPr="00957BBD">
              <w:rPr>
                <w:rFonts w:ascii="Calibri" w:eastAsia="Calibri" w:hAnsi="Calibri" w:cs="Times New Roman"/>
                <w:i/>
                <w:sz w:val="16"/>
                <w:szCs w:val="16"/>
              </w:rPr>
              <w:t>-</w:t>
            </w:r>
            <w:r w:rsidRPr="00957BBD">
              <w:rPr>
                <w:rFonts w:ascii="Calibri" w:eastAsia="Calibri" w:hAnsi="Calibri" w:cs="Times New Roman"/>
                <w:i/>
                <w:sz w:val="16"/>
                <w:szCs w:val="16"/>
              </w:rPr>
              <w:t>$382,500</w:t>
            </w:r>
          </w:p>
          <w:p w14:paraId="0A5038F1" w14:textId="77777777" w:rsidR="00E26AD9" w:rsidRPr="00957BBD" w:rsidRDefault="00E26AD9" w:rsidP="00B3605F">
            <w:pPr>
              <w:contextualSpacing/>
              <w:jc w:val="right"/>
              <w:rPr>
                <w:rFonts w:ascii="Calibri" w:eastAsia="Calibri" w:hAnsi="Calibri" w:cs="Times New Roman"/>
                <w:i/>
                <w:sz w:val="16"/>
                <w:szCs w:val="16"/>
              </w:rPr>
            </w:pPr>
          </w:p>
          <w:p w14:paraId="42A52A3A" w14:textId="77777777" w:rsidR="00E26AD9" w:rsidRPr="00957BBD" w:rsidRDefault="00E26AD9" w:rsidP="00B3605F">
            <w:pPr>
              <w:contextualSpacing/>
              <w:jc w:val="right"/>
              <w:rPr>
                <w:rFonts w:ascii="Calibri" w:eastAsia="Calibri" w:hAnsi="Calibri" w:cs="Times New Roman"/>
                <w:i/>
                <w:sz w:val="16"/>
                <w:szCs w:val="16"/>
              </w:rPr>
            </w:pPr>
          </w:p>
          <w:p w14:paraId="3E776D08" w14:textId="2EF40053" w:rsidR="00E26AD9" w:rsidRPr="00DE72BF" w:rsidRDefault="00E26AD9" w:rsidP="00DE72BF">
            <w:pPr>
              <w:contextualSpacing/>
              <w:jc w:val="right"/>
              <w:rPr>
                <w:rFonts w:ascii="Calibri" w:eastAsia="Calibri" w:hAnsi="Calibri" w:cs="Times New Roman"/>
                <w:i/>
                <w:color w:val="auto"/>
                <w:sz w:val="16"/>
                <w:szCs w:val="16"/>
              </w:rPr>
            </w:pPr>
            <w:r w:rsidRPr="00957BBD">
              <w:rPr>
                <w:rFonts w:ascii="Calibri" w:eastAsia="Calibri" w:hAnsi="Calibri" w:cs="Times New Roman"/>
                <w:i/>
                <w:sz w:val="16"/>
                <w:szCs w:val="16"/>
              </w:rPr>
              <w:t>Total</w:t>
            </w:r>
            <w:r w:rsidR="00FD2793">
              <w:rPr>
                <w:rFonts w:ascii="Calibri" w:eastAsia="Calibri" w:hAnsi="Calibri" w:cs="Times New Roman"/>
                <w:i/>
                <w:sz w:val="16"/>
                <w:szCs w:val="16"/>
              </w:rPr>
              <w:t xml:space="preserve"> </w:t>
            </w:r>
            <w:r w:rsidRPr="00957BBD">
              <w:rPr>
                <w:rFonts w:ascii="Calibri" w:eastAsia="Calibri" w:hAnsi="Calibri" w:cs="Times New Roman"/>
                <w:i/>
                <w:sz w:val="16"/>
                <w:szCs w:val="16"/>
              </w:rPr>
              <w:t xml:space="preserve">= </w:t>
            </w:r>
            <w:r w:rsidR="00E873F1" w:rsidRPr="00957BBD">
              <w:rPr>
                <w:rFonts w:ascii="Calibri" w:eastAsia="Calibri" w:hAnsi="Calibri" w:cs="Times New Roman"/>
                <w:i/>
                <w:sz w:val="16"/>
                <w:szCs w:val="16"/>
              </w:rPr>
              <w:t>-</w:t>
            </w:r>
            <w:r w:rsidR="00F429E9" w:rsidRPr="00957BBD">
              <w:rPr>
                <w:rFonts w:ascii="Calibri" w:eastAsia="Calibri" w:hAnsi="Calibri" w:cs="Times New Roman"/>
                <w:i/>
                <w:sz w:val="16"/>
                <w:szCs w:val="16"/>
              </w:rPr>
              <w:t>$382,500</w:t>
            </w:r>
          </w:p>
        </w:tc>
      </w:tr>
      <w:tr w:rsidR="00E26AD9" w:rsidRPr="00957BBD" w14:paraId="7782DCE1" w14:textId="77777777" w:rsidTr="006D419E">
        <w:trPr>
          <w:trHeight w:val="596"/>
        </w:trPr>
        <w:tc>
          <w:tcPr>
            <w:tcW w:w="0" w:type="auto"/>
          </w:tcPr>
          <w:p w14:paraId="109C92CD" w14:textId="77777777" w:rsidR="00E26AD9" w:rsidRPr="00957BBD" w:rsidRDefault="00E26AD9" w:rsidP="00B3605F">
            <w:pPr>
              <w:rPr>
                <w:rFonts w:ascii="Calibri" w:eastAsia="Calibri" w:hAnsi="Calibri" w:cs="Times New Roman"/>
                <w:b/>
                <w:sz w:val="16"/>
                <w:szCs w:val="16"/>
              </w:rPr>
            </w:pPr>
            <w:r w:rsidRPr="00957BBD">
              <w:rPr>
                <w:rFonts w:ascii="Calibri" w:eastAsia="Calibri" w:hAnsi="Calibri" w:cs="Times New Roman"/>
                <w:b/>
                <w:sz w:val="16"/>
                <w:szCs w:val="16"/>
              </w:rPr>
              <w:t xml:space="preserve">Exit application (CDC) </w:t>
            </w:r>
          </w:p>
          <w:p w14:paraId="7E5DA841" w14:textId="589793A4" w:rsidR="00E26AD9" w:rsidRPr="00DE72BF" w:rsidRDefault="00E26AD9" w:rsidP="00B3605F">
            <w:pPr>
              <w:pStyle w:val="ListParagraph"/>
              <w:numPr>
                <w:ilvl w:val="0"/>
                <w:numId w:val="19"/>
              </w:numPr>
              <w:rPr>
                <w:rFonts w:ascii="Calibri" w:eastAsia="Calibri" w:hAnsi="Calibri" w:cs="Times New Roman"/>
                <w:sz w:val="16"/>
                <w:szCs w:val="16"/>
              </w:rPr>
            </w:pPr>
            <w:r w:rsidRPr="00957BBD">
              <w:rPr>
                <w:rFonts w:ascii="Calibri" w:eastAsia="Calibri" w:hAnsi="Calibri" w:cs="Times New Roman"/>
                <w:sz w:val="16"/>
                <w:szCs w:val="16"/>
              </w:rPr>
              <w:t>Only 15 per cent of the total population will seek an exit appli</w:t>
            </w:r>
            <w:r w:rsidR="00DE72BF">
              <w:rPr>
                <w:rFonts w:ascii="Calibri" w:eastAsia="Calibri" w:hAnsi="Calibri" w:cs="Times New Roman"/>
                <w:sz w:val="16"/>
                <w:szCs w:val="16"/>
              </w:rPr>
              <w:t>cation based on current trends.</w:t>
            </w:r>
          </w:p>
        </w:tc>
        <w:tc>
          <w:tcPr>
            <w:tcW w:w="3291" w:type="dxa"/>
          </w:tcPr>
          <w:p w14:paraId="6A0CBE2C" w14:textId="77777777" w:rsidR="00E26AD9" w:rsidRPr="00957BBD" w:rsidRDefault="00E26AD9"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1,275 = 15% of CDC participants will apply per year from 2023 </w:t>
            </w:r>
          </w:p>
          <w:p w14:paraId="05E881DE" w14:textId="77777777" w:rsidR="00E26AD9" w:rsidRPr="00957BBD" w:rsidRDefault="00E26AD9" w:rsidP="00B3605F">
            <w:pPr>
              <w:contextualSpacing/>
              <w:jc w:val="right"/>
              <w:rPr>
                <w:rFonts w:ascii="Calibri" w:eastAsia="Calibri" w:hAnsi="Calibri" w:cs="Times New Roman"/>
                <w:i/>
                <w:sz w:val="16"/>
                <w:szCs w:val="16"/>
              </w:rPr>
            </w:pPr>
          </w:p>
          <w:p w14:paraId="43CAD9FF" w14:textId="77777777" w:rsidR="00E26AD9" w:rsidRPr="00957BBD" w:rsidRDefault="00E26AD9"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 1hr x </w:t>
            </w:r>
            <w:r w:rsidR="00E873F1" w:rsidRPr="00957BBD">
              <w:rPr>
                <w:rFonts w:ascii="Calibri" w:eastAsia="Calibri" w:hAnsi="Calibri" w:cs="Times New Roman"/>
                <w:i/>
                <w:sz w:val="16"/>
                <w:szCs w:val="16"/>
              </w:rPr>
              <w:t>-</w:t>
            </w:r>
            <w:r w:rsidRPr="00957BBD">
              <w:rPr>
                <w:rFonts w:ascii="Calibri" w:eastAsia="Calibri" w:hAnsi="Calibri" w:cs="Times New Roman"/>
                <w:i/>
                <w:sz w:val="16"/>
                <w:szCs w:val="16"/>
              </w:rPr>
              <w:t>$36.00=</w:t>
            </w:r>
            <w:r w:rsidR="00E873F1" w:rsidRPr="00957BBD">
              <w:rPr>
                <w:rFonts w:ascii="Calibri" w:eastAsia="Calibri" w:hAnsi="Calibri" w:cs="Times New Roman"/>
                <w:i/>
                <w:sz w:val="16"/>
                <w:szCs w:val="16"/>
              </w:rPr>
              <w:t>-</w:t>
            </w:r>
            <w:r w:rsidRPr="00957BBD">
              <w:rPr>
                <w:rFonts w:ascii="Calibri" w:eastAsia="Calibri" w:hAnsi="Calibri" w:cs="Times New Roman"/>
                <w:i/>
                <w:sz w:val="16"/>
                <w:szCs w:val="16"/>
              </w:rPr>
              <w:t>$36.00</w:t>
            </w:r>
          </w:p>
          <w:p w14:paraId="5819D5E4" w14:textId="77777777" w:rsidR="00E26AD9" w:rsidRPr="00957BBD" w:rsidRDefault="00E26AD9" w:rsidP="00B3605F">
            <w:pPr>
              <w:contextualSpacing/>
              <w:jc w:val="right"/>
              <w:rPr>
                <w:rFonts w:ascii="Calibri" w:eastAsia="Calibri" w:hAnsi="Calibri" w:cs="Times New Roman"/>
                <w:i/>
                <w:sz w:val="16"/>
                <w:szCs w:val="16"/>
              </w:rPr>
            </w:pPr>
          </w:p>
          <w:p w14:paraId="1F64C268" w14:textId="571EE7CE" w:rsidR="00E26AD9" w:rsidRPr="00957BBD" w:rsidRDefault="00E26AD9" w:rsidP="00DE72B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 </w:t>
            </w:r>
            <w:r w:rsidR="00E873F1" w:rsidRPr="00957BBD">
              <w:rPr>
                <w:rFonts w:ascii="Calibri" w:eastAsia="Calibri" w:hAnsi="Calibri" w:cs="Times New Roman"/>
                <w:i/>
                <w:sz w:val="16"/>
                <w:szCs w:val="16"/>
              </w:rPr>
              <w:t>-</w:t>
            </w:r>
            <w:r w:rsidRPr="00957BBD">
              <w:rPr>
                <w:rFonts w:ascii="Calibri" w:eastAsia="Calibri" w:hAnsi="Calibri" w:cs="Times New Roman"/>
                <w:i/>
                <w:sz w:val="16"/>
                <w:szCs w:val="16"/>
              </w:rPr>
              <w:t xml:space="preserve">$36.00 x 1,275 = </w:t>
            </w:r>
            <w:r w:rsidR="00E873F1" w:rsidRPr="00957BBD">
              <w:rPr>
                <w:rFonts w:ascii="Calibri" w:eastAsia="Calibri" w:hAnsi="Calibri" w:cs="Times New Roman"/>
                <w:i/>
                <w:sz w:val="16"/>
                <w:szCs w:val="16"/>
              </w:rPr>
              <w:t>-</w:t>
            </w:r>
            <w:r w:rsidR="00DE72BF">
              <w:rPr>
                <w:rFonts w:ascii="Calibri" w:eastAsia="Calibri" w:hAnsi="Calibri" w:cs="Times New Roman"/>
                <w:i/>
                <w:sz w:val="16"/>
                <w:szCs w:val="16"/>
              </w:rPr>
              <w:t>$45,900</w:t>
            </w:r>
          </w:p>
        </w:tc>
      </w:tr>
      <w:tr w:rsidR="00E26AD9" w:rsidRPr="00957BBD" w14:paraId="428A5C16" w14:textId="77777777" w:rsidTr="006D419E">
        <w:trPr>
          <w:trHeight w:val="263"/>
        </w:trPr>
        <w:tc>
          <w:tcPr>
            <w:tcW w:w="0" w:type="auto"/>
          </w:tcPr>
          <w:p w14:paraId="7260A06B" w14:textId="77777777" w:rsidR="00E26AD9" w:rsidRPr="00957BBD" w:rsidRDefault="00E26AD9" w:rsidP="00B3605F">
            <w:pPr>
              <w:rPr>
                <w:rFonts w:ascii="Calibri" w:eastAsia="Calibri" w:hAnsi="Calibri" w:cs="Times New Roman"/>
                <w:sz w:val="16"/>
                <w:szCs w:val="16"/>
              </w:rPr>
            </w:pPr>
            <w:r w:rsidRPr="00957BBD">
              <w:rPr>
                <w:rFonts w:ascii="Calibri" w:eastAsia="Calibri" w:hAnsi="Calibri" w:cs="Times New Roman"/>
                <w:b/>
                <w:sz w:val="16"/>
                <w:szCs w:val="16"/>
              </w:rPr>
              <w:t xml:space="preserve">Exit interview (CDC) </w:t>
            </w:r>
          </w:p>
          <w:p w14:paraId="7FF70C4C" w14:textId="415034D4" w:rsidR="00E26AD9" w:rsidRPr="00957BBD" w:rsidRDefault="00E26AD9" w:rsidP="00B3605F">
            <w:pPr>
              <w:pStyle w:val="ListParagraph"/>
              <w:numPr>
                <w:ilvl w:val="0"/>
                <w:numId w:val="19"/>
              </w:numPr>
              <w:rPr>
                <w:rFonts w:ascii="Calibri" w:eastAsia="Calibri" w:hAnsi="Calibri" w:cs="Times New Roman"/>
                <w:sz w:val="16"/>
                <w:szCs w:val="16"/>
              </w:rPr>
            </w:pPr>
            <w:r w:rsidRPr="00957BBD">
              <w:rPr>
                <w:rFonts w:ascii="Calibri" w:eastAsia="Calibri" w:hAnsi="Calibri" w:cs="Times New Roman"/>
                <w:sz w:val="16"/>
                <w:szCs w:val="16"/>
              </w:rPr>
              <w:t>Only half of those who seek an exit application will continue the process to exit int</w:t>
            </w:r>
            <w:r w:rsidR="00DE72BF">
              <w:rPr>
                <w:rFonts w:ascii="Calibri" w:eastAsia="Calibri" w:hAnsi="Calibri" w:cs="Times New Roman"/>
                <w:sz w:val="16"/>
                <w:szCs w:val="16"/>
              </w:rPr>
              <w:t>erview based on current trends.</w:t>
            </w:r>
          </w:p>
        </w:tc>
        <w:tc>
          <w:tcPr>
            <w:tcW w:w="3291" w:type="dxa"/>
          </w:tcPr>
          <w:p w14:paraId="439FC14F" w14:textId="77777777" w:rsidR="00E26AD9" w:rsidRPr="00957BBD" w:rsidRDefault="00E26AD9" w:rsidP="00B3605F">
            <w:pPr>
              <w:contextualSpacing/>
              <w:jc w:val="right"/>
              <w:rPr>
                <w:rFonts w:ascii="Calibri" w:eastAsia="Calibri" w:hAnsi="Calibri" w:cs="Times New Roman"/>
                <w:i/>
                <w:color w:val="auto"/>
                <w:sz w:val="16"/>
                <w:szCs w:val="16"/>
              </w:rPr>
            </w:pPr>
            <w:r w:rsidRPr="00957BBD">
              <w:rPr>
                <w:rFonts w:ascii="Calibri" w:eastAsia="Calibri" w:hAnsi="Calibri" w:cs="Times New Roman"/>
                <w:i/>
                <w:color w:val="auto"/>
                <w:sz w:val="16"/>
                <w:szCs w:val="16"/>
              </w:rPr>
              <w:t>637 = 50% of 1275 will proceed to interview</w:t>
            </w:r>
          </w:p>
          <w:p w14:paraId="62C7DDB9" w14:textId="77777777" w:rsidR="00E26AD9" w:rsidRPr="00957BBD" w:rsidRDefault="00E26AD9" w:rsidP="00B3605F">
            <w:pPr>
              <w:contextualSpacing/>
              <w:jc w:val="right"/>
              <w:rPr>
                <w:rFonts w:ascii="Calibri" w:eastAsia="Calibri" w:hAnsi="Calibri" w:cs="Times New Roman"/>
                <w:i/>
                <w:color w:val="auto"/>
                <w:sz w:val="16"/>
                <w:szCs w:val="16"/>
              </w:rPr>
            </w:pPr>
            <w:r w:rsidRPr="00957BBD">
              <w:rPr>
                <w:rFonts w:ascii="Calibri" w:eastAsia="Calibri" w:hAnsi="Calibri" w:cs="Times New Roman"/>
                <w:i/>
                <w:color w:val="auto"/>
                <w:sz w:val="16"/>
                <w:szCs w:val="16"/>
              </w:rPr>
              <w:t xml:space="preserve">1.5 x </w:t>
            </w:r>
            <w:r w:rsidR="00E873F1" w:rsidRPr="00957BBD">
              <w:rPr>
                <w:rFonts w:ascii="Calibri" w:eastAsia="Calibri" w:hAnsi="Calibri" w:cs="Times New Roman"/>
                <w:i/>
                <w:color w:val="auto"/>
                <w:sz w:val="16"/>
                <w:szCs w:val="16"/>
              </w:rPr>
              <w:t>-</w:t>
            </w:r>
            <w:r w:rsidRPr="00957BBD">
              <w:rPr>
                <w:rFonts w:ascii="Calibri" w:eastAsia="Calibri" w:hAnsi="Calibri" w:cs="Times New Roman"/>
                <w:i/>
                <w:color w:val="auto"/>
                <w:sz w:val="16"/>
                <w:szCs w:val="16"/>
              </w:rPr>
              <w:t>$36 applications that go through to interview</w:t>
            </w:r>
          </w:p>
          <w:p w14:paraId="2891DCDF" w14:textId="77777777" w:rsidR="00E26AD9" w:rsidRPr="00957BBD" w:rsidRDefault="00E26AD9" w:rsidP="00B3605F">
            <w:pPr>
              <w:contextualSpacing/>
              <w:jc w:val="right"/>
              <w:rPr>
                <w:rFonts w:ascii="Calibri" w:eastAsia="Calibri" w:hAnsi="Calibri" w:cs="Times New Roman"/>
                <w:i/>
                <w:color w:val="auto"/>
                <w:sz w:val="16"/>
                <w:szCs w:val="16"/>
              </w:rPr>
            </w:pPr>
          </w:p>
          <w:p w14:paraId="7ED3289B" w14:textId="77777777" w:rsidR="00E26AD9" w:rsidRPr="00957BBD" w:rsidRDefault="00E26AD9" w:rsidP="00B3605F">
            <w:pPr>
              <w:contextualSpacing/>
              <w:jc w:val="right"/>
              <w:rPr>
                <w:rFonts w:ascii="Calibri" w:eastAsia="Calibri" w:hAnsi="Calibri" w:cs="Times New Roman"/>
                <w:i/>
                <w:color w:val="auto"/>
                <w:sz w:val="16"/>
                <w:szCs w:val="16"/>
              </w:rPr>
            </w:pPr>
            <w:r w:rsidRPr="00957BBD">
              <w:rPr>
                <w:rFonts w:ascii="Calibri" w:eastAsia="Calibri" w:hAnsi="Calibri" w:cs="Times New Roman"/>
                <w:i/>
                <w:color w:val="auto"/>
                <w:sz w:val="16"/>
                <w:szCs w:val="16"/>
              </w:rPr>
              <w:t xml:space="preserve">1.5 x </w:t>
            </w:r>
            <w:r w:rsidR="00E873F1" w:rsidRPr="00957BBD">
              <w:rPr>
                <w:rFonts w:ascii="Calibri" w:eastAsia="Calibri" w:hAnsi="Calibri" w:cs="Times New Roman"/>
                <w:i/>
                <w:color w:val="auto"/>
                <w:sz w:val="16"/>
                <w:szCs w:val="16"/>
              </w:rPr>
              <w:t>-</w:t>
            </w:r>
            <w:r w:rsidRPr="00957BBD">
              <w:rPr>
                <w:rFonts w:ascii="Calibri" w:eastAsia="Calibri" w:hAnsi="Calibri" w:cs="Times New Roman"/>
                <w:i/>
                <w:color w:val="auto"/>
                <w:sz w:val="16"/>
                <w:szCs w:val="16"/>
              </w:rPr>
              <w:t xml:space="preserve">$36 = </w:t>
            </w:r>
            <w:r w:rsidR="00E873F1" w:rsidRPr="00957BBD">
              <w:rPr>
                <w:rFonts w:ascii="Calibri" w:eastAsia="Calibri" w:hAnsi="Calibri" w:cs="Times New Roman"/>
                <w:i/>
                <w:color w:val="auto"/>
                <w:sz w:val="16"/>
                <w:szCs w:val="16"/>
              </w:rPr>
              <w:t>-</w:t>
            </w:r>
            <w:r w:rsidRPr="00957BBD">
              <w:rPr>
                <w:rFonts w:ascii="Calibri" w:eastAsia="Calibri" w:hAnsi="Calibri" w:cs="Times New Roman"/>
                <w:i/>
                <w:color w:val="auto"/>
                <w:sz w:val="16"/>
                <w:szCs w:val="16"/>
              </w:rPr>
              <w:t>$54 per participant</w:t>
            </w:r>
          </w:p>
          <w:p w14:paraId="05C9BB19" w14:textId="77777777" w:rsidR="00E26AD9" w:rsidRPr="00957BBD" w:rsidRDefault="00E26AD9" w:rsidP="00B3605F">
            <w:pPr>
              <w:contextualSpacing/>
              <w:jc w:val="right"/>
              <w:rPr>
                <w:rFonts w:ascii="Calibri" w:eastAsia="Calibri" w:hAnsi="Calibri" w:cs="Times New Roman"/>
                <w:i/>
                <w:color w:val="auto"/>
                <w:sz w:val="16"/>
                <w:szCs w:val="16"/>
              </w:rPr>
            </w:pPr>
          </w:p>
          <w:p w14:paraId="5F5B098D" w14:textId="369D9EA6" w:rsidR="00E26AD9" w:rsidRPr="00DE72BF" w:rsidRDefault="00E873F1" w:rsidP="00DE72BF">
            <w:pPr>
              <w:contextualSpacing/>
              <w:jc w:val="right"/>
              <w:rPr>
                <w:rFonts w:ascii="Calibri" w:eastAsia="Calibri" w:hAnsi="Calibri" w:cs="Times New Roman"/>
                <w:i/>
                <w:color w:val="auto"/>
                <w:sz w:val="16"/>
                <w:szCs w:val="16"/>
              </w:rPr>
            </w:pPr>
            <w:r w:rsidRPr="00957BBD">
              <w:rPr>
                <w:rFonts w:ascii="Calibri" w:eastAsia="Calibri" w:hAnsi="Calibri" w:cs="Times New Roman"/>
                <w:i/>
                <w:color w:val="auto"/>
                <w:sz w:val="16"/>
                <w:szCs w:val="16"/>
              </w:rPr>
              <w:t>-</w:t>
            </w:r>
            <w:r w:rsidR="00E26AD9" w:rsidRPr="00957BBD">
              <w:rPr>
                <w:rFonts w:ascii="Calibri" w:eastAsia="Calibri" w:hAnsi="Calibri" w:cs="Times New Roman"/>
                <w:i/>
                <w:color w:val="auto"/>
                <w:sz w:val="16"/>
                <w:szCs w:val="16"/>
              </w:rPr>
              <w:t xml:space="preserve">$54 x 637 = </w:t>
            </w:r>
            <w:r w:rsidRPr="00957BBD">
              <w:rPr>
                <w:rFonts w:ascii="Calibri" w:eastAsia="Calibri" w:hAnsi="Calibri" w:cs="Times New Roman"/>
                <w:i/>
                <w:color w:val="auto"/>
                <w:sz w:val="16"/>
                <w:szCs w:val="16"/>
              </w:rPr>
              <w:t>-</w:t>
            </w:r>
            <w:r w:rsidR="00DE72BF">
              <w:rPr>
                <w:rFonts w:ascii="Calibri" w:eastAsia="Calibri" w:hAnsi="Calibri" w:cs="Times New Roman"/>
                <w:i/>
                <w:color w:val="auto"/>
                <w:sz w:val="16"/>
                <w:szCs w:val="16"/>
              </w:rPr>
              <w:t>$34,398</w:t>
            </w:r>
          </w:p>
        </w:tc>
      </w:tr>
      <w:tr w:rsidR="00E26AD9" w:rsidRPr="00884F2C" w14:paraId="5EAAC2D3" w14:textId="77777777" w:rsidTr="006D419E">
        <w:trPr>
          <w:trHeight w:val="407"/>
        </w:trPr>
        <w:tc>
          <w:tcPr>
            <w:tcW w:w="0" w:type="auto"/>
          </w:tcPr>
          <w:p w14:paraId="50FB871E" w14:textId="77777777" w:rsidR="00E26AD9" w:rsidRPr="00957BBD" w:rsidRDefault="00E26AD9" w:rsidP="00B3605F">
            <w:pPr>
              <w:rPr>
                <w:rFonts w:ascii="Calibri" w:eastAsia="Calibri" w:hAnsi="Calibri" w:cs="Times New Roman"/>
                <w:b/>
                <w:sz w:val="16"/>
                <w:szCs w:val="16"/>
              </w:rPr>
            </w:pPr>
            <w:r w:rsidRPr="00957BBD">
              <w:rPr>
                <w:rFonts w:ascii="Calibri" w:eastAsia="Calibri" w:hAnsi="Calibri" w:cs="Times New Roman"/>
                <w:b/>
                <w:sz w:val="16"/>
                <w:szCs w:val="16"/>
              </w:rPr>
              <w:t>Total ($)</w:t>
            </w:r>
          </w:p>
        </w:tc>
        <w:tc>
          <w:tcPr>
            <w:tcW w:w="3291" w:type="dxa"/>
          </w:tcPr>
          <w:p w14:paraId="5C7B5C8B" w14:textId="77777777" w:rsidR="00E26AD9" w:rsidRPr="00957BBD" w:rsidRDefault="00E26AD9" w:rsidP="00B3605F">
            <w:pPr>
              <w:jc w:val="right"/>
              <w:rPr>
                <w:rFonts w:ascii="Calibri" w:hAnsi="Calibri" w:cs="Calibri"/>
                <w:b/>
                <w:bCs/>
                <w:color w:val="000000"/>
                <w:sz w:val="16"/>
                <w:szCs w:val="16"/>
              </w:rPr>
            </w:pPr>
            <w:r w:rsidRPr="00957BBD">
              <w:rPr>
                <w:rFonts w:ascii="Calibri" w:hAnsi="Calibri" w:cs="Calibri"/>
                <w:b/>
                <w:bCs/>
                <w:color w:val="000000"/>
                <w:sz w:val="16"/>
                <w:szCs w:val="16"/>
              </w:rPr>
              <w:t xml:space="preserve">Yr1 = </w:t>
            </w:r>
            <w:r w:rsidR="00E873F1" w:rsidRPr="00957BBD">
              <w:rPr>
                <w:rFonts w:ascii="Calibri" w:hAnsi="Calibri" w:cs="Calibri"/>
                <w:b/>
                <w:bCs/>
                <w:color w:val="000000"/>
                <w:sz w:val="16"/>
                <w:szCs w:val="16"/>
              </w:rPr>
              <w:t>-</w:t>
            </w:r>
            <w:r w:rsidRPr="00957BBD">
              <w:rPr>
                <w:rFonts w:ascii="Calibri" w:hAnsi="Calibri" w:cs="Calibri"/>
                <w:b/>
                <w:bCs/>
                <w:color w:val="000000"/>
                <w:sz w:val="16"/>
                <w:szCs w:val="16"/>
              </w:rPr>
              <w:t>$</w:t>
            </w:r>
            <w:r w:rsidR="006B7ECD" w:rsidRPr="00957BBD">
              <w:rPr>
                <w:rFonts w:ascii="Calibri" w:hAnsi="Calibri" w:cs="Calibri"/>
                <w:b/>
                <w:bCs/>
                <w:color w:val="000000"/>
                <w:sz w:val="16"/>
                <w:szCs w:val="16"/>
              </w:rPr>
              <w:t xml:space="preserve">462,798 </w:t>
            </w:r>
            <w:r w:rsidRPr="00957BBD">
              <w:rPr>
                <w:rFonts w:ascii="Calibri" w:hAnsi="Calibri" w:cs="Calibri"/>
                <w:b/>
                <w:bCs/>
                <w:color w:val="000000"/>
                <w:sz w:val="16"/>
                <w:szCs w:val="16"/>
              </w:rPr>
              <w:t>per year</w:t>
            </w:r>
          </w:p>
          <w:p w14:paraId="4BF3AFC4" w14:textId="3AFBE996" w:rsidR="00E26AD9" w:rsidRPr="00DE72BF" w:rsidRDefault="00E26AD9" w:rsidP="00DE72BF">
            <w:pPr>
              <w:jc w:val="right"/>
              <w:rPr>
                <w:rFonts w:ascii="Calibri" w:hAnsi="Calibri" w:cs="Calibri"/>
                <w:b/>
                <w:bCs/>
                <w:color w:val="000000"/>
                <w:sz w:val="16"/>
                <w:szCs w:val="16"/>
              </w:rPr>
            </w:pPr>
            <w:r w:rsidRPr="00957BBD">
              <w:rPr>
                <w:rFonts w:ascii="Calibri" w:hAnsi="Calibri" w:cs="Calibri"/>
                <w:b/>
                <w:bCs/>
                <w:color w:val="000000"/>
                <w:sz w:val="16"/>
                <w:szCs w:val="16"/>
              </w:rPr>
              <w:t>10 Years = -</w:t>
            </w:r>
            <w:r w:rsidR="006B7ECD" w:rsidRPr="00957BBD">
              <w:rPr>
                <w:rFonts w:ascii="Calibri" w:hAnsi="Calibri" w:cs="Calibri"/>
                <w:b/>
                <w:bCs/>
                <w:color w:val="000000"/>
                <w:sz w:val="16"/>
                <w:szCs w:val="16"/>
              </w:rPr>
              <w:t>$4,627,980</w:t>
            </w:r>
          </w:p>
        </w:tc>
      </w:tr>
    </w:tbl>
    <w:p w14:paraId="58010393" w14:textId="77777777" w:rsidR="00B859A1" w:rsidRPr="00C96D48" w:rsidRDefault="00B859A1" w:rsidP="00B859A1">
      <w:pPr>
        <w:pStyle w:val="NormalWeb"/>
        <w:spacing w:before="120" w:beforeAutospacing="0" w:after="180" w:afterAutospacing="0"/>
        <w:rPr>
          <w:b/>
        </w:rPr>
      </w:pPr>
      <w:r w:rsidRPr="00C96D48">
        <w:rPr>
          <w:b/>
        </w:rPr>
        <w:t>Costs for transitioning off CDC over 10 years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st for transitioning off CDC over 10 years"/>
      </w:tblPr>
      <w:tblGrid>
        <w:gridCol w:w="1208"/>
        <w:gridCol w:w="878"/>
        <w:gridCol w:w="867"/>
        <w:gridCol w:w="805"/>
        <w:gridCol w:w="805"/>
        <w:gridCol w:w="805"/>
        <w:gridCol w:w="720"/>
        <w:gridCol w:w="829"/>
        <w:gridCol w:w="828"/>
        <w:gridCol w:w="829"/>
        <w:gridCol w:w="688"/>
        <w:gridCol w:w="1056"/>
      </w:tblGrid>
      <w:tr w:rsidR="0052007B" w:rsidRPr="00957BBD" w14:paraId="184DA23A" w14:textId="77777777" w:rsidTr="00552793">
        <w:trPr>
          <w:trHeight w:val="854"/>
        </w:trPr>
        <w:tc>
          <w:tcPr>
            <w:tcW w:w="1208" w:type="dxa"/>
          </w:tcPr>
          <w:p w14:paraId="39F2FFF6"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 xml:space="preserve">Cost to individuals </w:t>
            </w:r>
          </w:p>
        </w:tc>
        <w:tc>
          <w:tcPr>
            <w:tcW w:w="878" w:type="dxa"/>
          </w:tcPr>
          <w:p w14:paraId="3A5246E0"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Y1</w:t>
            </w:r>
          </w:p>
        </w:tc>
        <w:tc>
          <w:tcPr>
            <w:tcW w:w="867" w:type="dxa"/>
          </w:tcPr>
          <w:p w14:paraId="0175D64C"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Y2</w:t>
            </w:r>
          </w:p>
        </w:tc>
        <w:tc>
          <w:tcPr>
            <w:tcW w:w="805" w:type="dxa"/>
          </w:tcPr>
          <w:p w14:paraId="20AAC9B3"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Y3</w:t>
            </w:r>
          </w:p>
        </w:tc>
        <w:tc>
          <w:tcPr>
            <w:tcW w:w="805" w:type="dxa"/>
          </w:tcPr>
          <w:p w14:paraId="53089252"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Y4</w:t>
            </w:r>
          </w:p>
        </w:tc>
        <w:tc>
          <w:tcPr>
            <w:tcW w:w="805" w:type="dxa"/>
          </w:tcPr>
          <w:p w14:paraId="0AE24546"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Y5</w:t>
            </w:r>
          </w:p>
        </w:tc>
        <w:tc>
          <w:tcPr>
            <w:tcW w:w="720" w:type="dxa"/>
          </w:tcPr>
          <w:p w14:paraId="25883266"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Y6</w:t>
            </w:r>
          </w:p>
        </w:tc>
        <w:tc>
          <w:tcPr>
            <w:tcW w:w="829" w:type="dxa"/>
          </w:tcPr>
          <w:p w14:paraId="75022DB8"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Y7</w:t>
            </w:r>
          </w:p>
        </w:tc>
        <w:tc>
          <w:tcPr>
            <w:tcW w:w="828" w:type="dxa"/>
          </w:tcPr>
          <w:p w14:paraId="6FA0F4A9"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Y8</w:t>
            </w:r>
          </w:p>
        </w:tc>
        <w:tc>
          <w:tcPr>
            <w:tcW w:w="829" w:type="dxa"/>
          </w:tcPr>
          <w:p w14:paraId="0CD6EB50"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Y9</w:t>
            </w:r>
          </w:p>
        </w:tc>
        <w:tc>
          <w:tcPr>
            <w:tcW w:w="688" w:type="dxa"/>
          </w:tcPr>
          <w:p w14:paraId="2C0E0F8A"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Y10</w:t>
            </w:r>
          </w:p>
        </w:tc>
        <w:tc>
          <w:tcPr>
            <w:tcW w:w="1056" w:type="dxa"/>
          </w:tcPr>
          <w:p w14:paraId="3276F2CE" w14:textId="77777777" w:rsidR="0052007B" w:rsidRPr="00957BBD" w:rsidRDefault="0052007B" w:rsidP="00B3605F">
            <w:pPr>
              <w:rPr>
                <w:rFonts w:ascii="Calibri" w:eastAsia="Calibri" w:hAnsi="Calibri" w:cs="Times New Roman"/>
                <w:sz w:val="16"/>
                <w:szCs w:val="16"/>
              </w:rPr>
            </w:pPr>
            <w:r w:rsidRPr="00957BBD">
              <w:rPr>
                <w:rFonts w:ascii="Calibri" w:eastAsia="Calibri" w:hAnsi="Calibri" w:cs="Times New Roman"/>
                <w:sz w:val="16"/>
                <w:szCs w:val="16"/>
              </w:rPr>
              <w:t>TOTAL</w:t>
            </w:r>
          </w:p>
        </w:tc>
      </w:tr>
      <w:tr w:rsidR="004E515E" w:rsidRPr="000A0377" w14:paraId="1D34A542" w14:textId="77777777" w:rsidTr="00552793">
        <w:trPr>
          <w:trHeight w:val="847"/>
        </w:trPr>
        <w:tc>
          <w:tcPr>
            <w:tcW w:w="1208" w:type="dxa"/>
          </w:tcPr>
          <w:p w14:paraId="7555594B" w14:textId="77777777" w:rsidR="004E515E" w:rsidRPr="000A0377" w:rsidRDefault="00074191" w:rsidP="00074191">
            <w:pPr>
              <w:rPr>
                <w:sz w:val="16"/>
                <w:szCs w:val="16"/>
              </w:rPr>
            </w:pPr>
            <w:r w:rsidRPr="000A0377">
              <w:rPr>
                <w:sz w:val="16"/>
                <w:szCs w:val="16"/>
              </w:rPr>
              <w:t>Average t</w:t>
            </w:r>
            <w:r w:rsidR="004E515E" w:rsidRPr="000A0377">
              <w:rPr>
                <w:sz w:val="16"/>
                <w:szCs w:val="16"/>
              </w:rPr>
              <w:t xml:space="preserve">ransitional support </w:t>
            </w:r>
          </w:p>
        </w:tc>
        <w:tc>
          <w:tcPr>
            <w:tcW w:w="878" w:type="dxa"/>
            <w:vAlign w:val="center"/>
          </w:tcPr>
          <w:p w14:paraId="664F845C" w14:textId="77777777" w:rsidR="004E515E" w:rsidRPr="000A0377" w:rsidRDefault="007F5A0F" w:rsidP="004E515E">
            <w:pPr>
              <w:jc w:val="right"/>
              <w:rPr>
                <w:rFonts w:ascii="Calibri" w:hAnsi="Calibri" w:cs="Calibri"/>
                <w:sz w:val="16"/>
                <w:szCs w:val="16"/>
              </w:rPr>
            </w:pPr>
            <w:r w:rsidRPr="000A0377">
              <w:rPr>
                <w:rFonts w:ascii="Calibri" w:hAnsi="Calibri" w:cs="Calibri"/>
                <w:sz w:val="16"/>
                <w:szCs w:val="16"/>
              </w:rPr>
              <w:t>$311,400</w:t>
            </w:r>
          </w:p>
        </w:tc>
        <w:tc>
          <w:tcPr>
            <w:tcW w:w="867" w:type="dxa"/>
            <w:vAlign w:val="center"/>
          </w:tcPr>
          <w:p w14:paraId="1395AFD7" w14:textId="77777777" w:rsidR="004E515E" w:rsidRPr="000A0377" w:rsidRDefault="004E515E" w:rsidP="004E515E">
            <w:pPr>
              <w:jc w:val="right"/>
              <w:rPr>
                <w:rFonts w:ascii="Calibri" w:hAnsi="Calibri" w:cs="Calibri"/>
                <w:sz w:val="16"/>
                <w:szCs w:val="16"/>
              </w:rPr>
            </w:pPr>
            <w:r w:rsidRPr="000A0377">
              <w:rPr>
                <w:rFonts w:ascii="Calibri" w:hAnsi="Calibri" w:cs="Calibri"/>
                <w:sz w:val="16"/>
                <w:szCs w:val="16"/>
              </w:rPr>
              <w:t>$0</w:t>
            </w:r>
          </w:p>
        </w:tc>
        <w:tc>
          <w:tcPr>
            <w:tcW w:w="805" w:type="dxa"/>
            <w:vAlign w:val="center"/>
          </w:tcPr>
          <w:p w14:paraId="70878C97" w14:textId="77777777" w:rsidR="004E515E" w:rsidRPr="000A0377" w:rsidRDefault="004E515E" w:rsidP="004E515E">
            <w:pPr>
              <w:jc w:val="right"/>
              <w:rPr>
                <w:rFonts w:ascii="Calibri" w:hAnsi="Calibri" w:cs="Calibri"/>
                <w:sz w:val="16"/>
                <w:szCs w:val="16"/>
              </w:rPr>
            </w:pPr>
            <w:r w:rsidRPr="000A0377">
              <w:rPr>
                <w:rFonts w:ascii="Calibri" w:hAnsi="Calibri" w:cs="Calibri"/>
                <w:sz w:val="16"/>
                <w:szCs w:val="16"/>
              </w:rPr>
              <w:t>$0</w:t>
            </w:r>
          </w:p>
        </w:tc>
        <w:tc>
          <w:tcPr>
            <w:tcW w:w="805" w:type="dxa"/>
            <w:vAlign w:val="center"/>
          </w:tcPr>
          <w:p w14:paraId="1B29739F" w14:textId="77777777" w:rsidR="004E515E" w:rsidRPr="000A0377" w:rsidRDefault="004E515E" w:rsidP="004E515E">
            <w:pPr>
              <w:jc w:val="right"/>
              <w:rPr>
                <w:rFonts w:ascii="Calibri" w:hAnsi="Calibri" w:cs="Calibri"/>
                <w:sz w:val="16"/>
                <w:szCs w:val="16"/>
              </w:rPr>
            </w:pPr>
            <w:r w:rsidRPr="000A0377">
              <w:rPr>
                <w:rFonts w:ascii="Calibri" w:hAnsi="Calibri" w:cs="Calibri"/>
                <w:sz w:val="16"/>
                <w:szCs w:val="16"/>
              </w:rPr>
              <w:t>$0</w:t>
            </w:r>
          </w:p>
        </w:tc>
        <w:tc>
          <w:tcPr>
            <w:tcW w:w="805" w:type="dxa"/>
            <w:vAlign w:val="center"/>
          </w:tcPr>
          <w:p w14:paraId="20454A7E" w14:textId="77777777" w:rsidR="004E515E" w:rsidRPr="000A0377" w:rsidRDefault="004E515E" w:rsidP="004E515E">
            <w:pPr>
              <w:jc w:val="right"/>
              <w:rPr>
                <w:rFonts w:ascii="Calibri" w:hAnsi="Calibri" w:cs="Calibri"/>
                <w:sz w:val="16"/>
                <w:szCs w:val="16"/>
              </w:rPr>
            </w:pPr>
            <w:r w:rsidRPr="000A0377">
              <w:rPr>
                <w:rFonts w:ascii="Calibri" w:hAnsi="Calibri" w:cs="Calibri"/>
                <w:sz w:val="16"/>
                <w:szCs w:val="16"/>
              </w:rPr>
              <w:t>$0</w:t>
            </w:r>
          </w:p>
        </w:tc>
        <w:tc>
          <w:tcPr>
            <w:tcW w:w="720" w:type="dxa"/>
            <w:vAlign w:val="center"/>
          </w:tcPr>
          <w:p w14:paraId="1D47924D" w14:textId="77777777" w:rsidR="004E515E" w:rsidRPr="000A0377" w:rsidRDefault="004E515E" w:rsidP="004E515E">
            <w:pPr>
              <w:jc w:val="center"/>
              <w:rPr>
                <w:rFonts w:ascii="Calibri" w:hAnsi="Calibri" w:cs="Calibri"/>
                <w:sz w:val="16"/>
                <w:szCs w:val="16"/>
              </w:rPr>
            </w:pPr>
            <w:r w:rsidRPr="000A0377">
              <w:rPr>
                <w:rFonts w:ascii="Calibri" w:hAnsi="Calibri" w:cs="Calibri"/>
                <w:sz w:val="16"/>
                <w:szCs w:val="16"/>
              </w:rPr>
              <w:t>$0</w:t>
            </w:r>
          </w:p>
        </w:tc>
        <w:tc>
          <w:tcPr>
            <w:tcW w:w="829" w:type="dxa"/>
            <w:vAlign w:val="center"/>
          </w:tcPr>
          <w:p w14:paraId="5DC4553C" w14:textId="77777777" w:rsidR="004E515E" w:rsidRPr="000A0377" w:rsidRDefault="004E515E" w:rsidP="004E515E">
            <w:pPr>
              <w:jc w:val="center"/>
              <w:rPr>
                <w:rFonts w:ascii="Calibri" w:hAnsi="Calibri" w:cs="Calibri"/>
                <w:sz w:val="16"/>
                <w:szCs w:val="16"/>
              </w:rPr>
            </w:pPr>
            <w:r w:rsidRPr="000A0377">
              <w:rPr>
                <w:rFonts w:ascii="Calibri" w:hAnsi="Calibri" w:cs="Calibri"/>
                <w:sz w:val="16"/>
                <w:szCs w:val="16"/>
              </w:rPr>
              <w:t>$0</w:t>
            </w:r>
          </w:p>
        </w:tc>
        <w:tc>
          <w:tcPr>
            <w:tcW w:w="828" w:type="dxa"/>
            <w:vAlign w:val="center"/>
          </w:tcPr>
          <w:p w14:paraId="5006C0A7" w14:textId="77777777" w:rsidR="004E515E" w:rsidRPr="000A0377" w:rsidRDefault="004E515E" w:rsidP="004E515E">
            <w:pPr>
              <w:jc w:val="center"/>
              <w:rPr>
                <w:rFonts w:ascii="Calibri" w:hAnsi="Calibri" w:cs="Calibri"/>
                <w:sz w:val="16"/>
                <w:szCs w:val="16"/>
              </w:rPr>
            </w:pPr>
            <w:r w:rsidRPr="000A0377">
              <w:rPr>
                <w:rFonts w:ascii="Calibri" w:hAnsi="Calibri" w:cs="Calibri"/>
                <w:sz w:val="16"/>
                <w:szCs w:val="16"/>
              </w:rPr>
              <w:t>$0</w:t>
            </w:r>
          </w:p>
        </w:tc>
        <w:tc>
          <w:tcPr>
            <w:tcW w:w="829" w:type="dxa"/>
            <w:vAlign w:val="center"/>
          </w:tcPr>
          <w:p w14:paraId="2E19A90D" w14:textId="77777777" w:rsidR="004E515E" w:rsidRPr="000A0377" w:rsidRDefault="004E515E" w:rsidP="004E515E">
            <w:pPr>
              <w:jc w:val="center"/>
              <w:rPr>
                <w:rFonts w:ascii="Calibri" w:hAnsi="Calibri" w:cs="Calibri"/>
                <w:sz w:val="16"/>
                <w:szCs w:val="16"/>
              </w:rPr>
            </w:pPr>
            <w:r w:rsidRPr="000A0377">
              <w:rPr>
                <w:rFonts w:ascii="Calibri" w:hAnsi="Calibri" w:cs="Calibri"/>
                <w:sz w:val="16"/>
                <w:szCs w:val="16"/>
              </w:rPr>
              <w:t>$0</w:t>
            </w:r>
          </w:p>
        </w:tc>
        <w:tc>
          <w:tcPr>
            <w:tcW w:w="688" w:type="dxa"/>
            <w:vAlign w:val="center"/>
          </w:tcPr>
          <w:p w14:paraId="29771E28" w14:textId="77777777" w:rsidR="004E515E" w:rsidRPr="000A0377" w:rsidRDefault="004E515E" w:rsidP="004E515E">
            <w:pPr>
              <w:jc w:val="center"/>
              <w:rPr>
                <w:rFonts w:ascii="Calibri" w:hAnsi="Calibri" w:cs="Calibri"/>
                <w:sz w:val="16"/>
                <w:szCs w:val="16"/>
              </w:rPr>
            </w:pPr>
            <w:r w:rsidRPr="000A0377">
              <w:rPr>
                <w:rFonts w:ascii="Calibri" w:hAnsi="Calibri" w:cs="Calibri"/>
                <w:sz w:val="16"/>
                <w:szCs w:val="16"/>
              </w:rPr>
              <w:t>$0</w:t>
            </w:r>
          </w:p>
        </w:tc>
        <w:tc>
          <w:tcPr>
            <w:tcW w:w="1056" w:type="dxa"/>
            <w:vAlign w:val="center"/>
          </w:tcPr>
          <w:p w14:paraId="59CCB47A" w14:textId="77777777" w:rsidR="004E515E" w:rsidRPr="000A0377" w:rsidRDefault="007F5A0F" w:rsidP="004E515E">
            <w:pPr>
              <w:jc w:val="right"/>
              <w:rPr>
                <w:rFonts w:ascii="Calibri" w:hAnsi="Calibri" w:cs="Calibri"/>
                <w:sz w:val="16"/>
                <w:szCs w:val="16"/>
              </w:rPr>
            </w:pPr>
            <w:r w:rsidRPr="000A0377">
              <w:rPr>
                <w:rFonts w:ascii="Calibri" w:hAnsi="Calibri" w:cs="Calibri"/>
                <w:sz w:val="16"/>
                <w:szCs w:val="16"/>
              </w:rPr>
              <w:t>$311,400</w:t>
            </w:r>
          </w:p>
        </w:tc>
      </w:tr>
      <w:tr w:rsidR="00074191" w:rsidRPr="000A0377" w14:paraId="6BCF74F7" w14:textId="77777777" w:rsidTr="00552793">
        <w:trPr>
          <w:trHeight w:val="398"/>
        </w:trPr>
        <w:tc>
          <w:tcPr>
            <w:tcW w:w="1208" w:type="dxa"/>
          </w:tcPr>
          <w:p w14:paraId="07B48EE6" w14:textId="77777777" w:rsidR="00074191" w:rsidRPr="000A0377" w:rsidRDefault="00074191" w:rsidP="00074191">
            <w:pPr>
              <w:rPr>
                <w:rFonts w:ascii="Calibri" w:eastAsia="Calibri" w:hAnsi="Calibri" w:cs="Times New Roman"/>
                <w:sz w:val="16"/>
                <w:szCs w:val="16"/>
              </w:rPr>
            </w:pPr>
            <w:r w:rsidRPr="000A0377">
              <w:rPr>
                <w:rFonts w:ascii="Calibri" w:eastAsia="Calibri" w:hAnsi="Calibri" w:cs="Times New Roman"/>
                <w:sz w:val="16"/>
                <w:szCs w:val="16"/>
              </w:rPr>
              <w:t>TOTAL ($)</w:t>
            </w:r>
          </w:p>
        </w:tc>
        <w:tc>
          <w:tcPr>
            <w:tcW w:w="878" w:type="dxa"/>
            <w:vAlign w:val="center"/>
          </w:tcPr>
          <w:p w14:paraId="34DAD0B1" w14:textId="77777777" w:rsidR="00074191" w:rsidRPr="000A0377" w:rsidRDefault="007F5A0F" w:rsidP="00074191">
            <w:pPr>
              <w:jc w:val="right"/>
              <w:rPr>
                <w:rFonts w:ascii="Calibri" w:eastAsia="Calibri" w:hAnsi="Calibri" w:cs="Times New Roman"/>
                <w:sz w:val="16"/>
                <w:szCs w:val="16"/>
              </w:rPr>
            </w:pPr>
            <w:r w:rsidRPr="000A0377">
              <w:rPr>
                <w:rFonts w:ascii="Calibri" w:hAnsi="Calibri" w:cs="Calibri"/>
                <w:sz w:val="16"/>
                <w:szCs w:val="16"/>
              </w:rPr>
              <w:t>$311,400</w:t>
            </w:r>
          </w:p>
        </w:tc>
        <w:tc>
          <w:tcPr>
            <w:tcW w:w="867" w:type="dxa"/>
            <w:vAlign w:val="center"/>
          </w:tcPr>
          <w:p w14:paraId="4984E68C" w14:textId="77777777" w:rsidR="00074191" w:rsidRPr="000A0377" w:rsidRDefault="00074191" w:rsidP="00074191">
            <w:pPr>
              <w:jc w:val="right"/>
              <w:rPr>
                <w:rFonts w:ascii="Calibri" w:eastAsia="Calibri" w:hAnsi="Calibri" w:cs="Times New Roman"/>
                <w:sz w:val="16"/>
                <w:szCs w:val="16"/>
              </w:rPr>
            </w:pPr>
            <w:r w:rsidRPr="000A0377">
              <w:rPr>
                <w:rFonts w:ascii="Calibri" w:hAnsi="Calibri" w:cs="Calibri"/>
                <w:sz w:val="16"/>
                <w:szCs w:val="16"/>
              </w:rPr>
              <w:t>$0</w:t>
            </w:r>
          </w:p>
        </w:tc>
        <w:tc>
          <w:tcPr>
            <w:tcW w:w="805" w:type="dxa"/>
            <w:vAlign w:val="center"/>
          </w:tcPr>
          <w:p w14:paraId="0A8D774F" w14:textId="77777777" w:rsidR="00074191" w:rsidRPr="000A0377" w:rsidRDefault="00074191" w:rsidP="00074191">
            <w:pPr>
              <w:jc w:val="right"/>
              <w:rPr>
                <w:rFonts w:ascii="Calibri" w:eastAsia="Calibri" w:hAnsi="Calibri" w:cs="Times New Roman"/>
                <w:sz w:val="16"/>
                <w:szCs w:val="16"/>
              </w:rPr>
            </w:pPr>
            <w:r w:rsidRPr="000A0377">
              <w:rPr>
                <w:rFonts w:ascii="Calibri" w:hAnsi="Calibri" w:cs="Calibri"/>
                <w:sz w:val="16"/>
                <w:szCs w:val="16"/>
              </w:rPr>
              <w:t>$0</w:t>
            </w:r>
          </w:p>
        </w:tc>
        <w:tc>
          <w:tcPr>
            <w:tcW w:w="805" w:type="dxa"/>
            <w:vAlign w:val="center"/>
          </w:tcPr>
          <w:p w14:paraId="7026BB22"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805" w:type="dxa"/>
            <w:vAlign w:val="center"/>
          </w:tcPr>
          <w:p w14:paraId="18E5F25A"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720" w:type="dxa"/>
            <w:vAlign w:val="center"/>
          </w:tcPr>
          <w:p w14:paraId="488F28DB"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829" w:type="dxa"/>
            <w:vAlign w:val="center"/>
          </w:tcPr>
          <w:p w14:paraId="371F424F"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828" w:type="dxa"/>
            <w:vAlign w:val="center"/>
          </w:tcPr>
          <w:p w14:paraId="453FA7FE"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829" w:type="dxa"/>
            <w:vAlign w:val="center"/>
          </w:tcPr>
          <w:p w14:paraId="361C8634"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688" w:type="dxa"/>
            <w:vAlign w:val="center"/>
          </w:tcPr>
          <w:p w14:paraId="7F5544F0" w14:textId="77777777" w:rsidR="00074191" w:rsidRPr="000A0377" w:rsidRDefault="00074191" w:rsidP="00074191">
            <w:pPr>
              <w:jc w:val="center"/>
              <w:rPr>
                <w:rFonts w:ascii="Calibri" w:eastAsia="Calibri" w:hAnsi="Calibri" w:cs="Times New Roman"/>
                <w:sz w:val="16"/>
                <w:szCs w:val="16"/>
              </w:rPr>
            </w:pPr>
            <w:r w:rsidRPr="000A0377">
              <w:rPr>
                <w:rFonts w:ascii="Calibri" w:hAnsi="Calibri" w:cs="Calibri"/>
                <w:sz w:val="16"/>
                <w:szCs w:val="16"/>
              </w:rPr>
              <w:t>$0</w:t>
            </w:r>
          </w:p>
        </w:tc>
        <w:tc>
          <w:tcPr>
            <w:tcW w:w="1056" w:type="dxa"/>
            <w:vAlign w:val="center"/>
          </w:tcPr>
          <w:p w14:paraId="0542B968" w14:textId="77777777" w:rsidR="00074191" w:rsidRPr="000A0377" w:rsidRDefault="007F5A0F" w:rsidP="00074191">
            <w:pPr>
              <w:jc w:val="right"/>
              <w:rPr>
                <w:rFonts w:ascii="Calibri" w:eastAsia="Calibri" w:hAnsi="Calibri" w:cs="Times New Roman"/>
                <w:sz w:val="16"/>
                <w:szCs w:val="16"/>
              </w:rPr>
            </w:pPr>
            <w:r w:rsidRPr="000A0377">
              <w:rPr>
                <w:rFonts w:ascii="Calibri" w:hAnsi="Calibri" w:cs="Calibri"/>
                <w:sz w:val="16"/>
                <w:szCs w:val="16"/>
              </w:rPr>
              <w:t>$311,400</w:t>
            </w:r>
          </w:p>
        </w:tc>
      </w:tr>
    </w:tbl>
    <w:p w14:paraId="10C70BB0" w14:textId="77777777" w:rsidR="003E233F" w:rsidRPr="000A0377" w:rsidRDefault="003E233F" w:rsidP="00B859A1">
      <w:pPr>
        <w:pStyle w:val="BulletedListlvl1"/>
        <w:numPr>
          <w:ilvl w:val="0"/>
          <w:numId w:val="0"/>
        </w:numPr>
        <w:rPr>
          <w:lang w:eastAsia="en-AU"/>
        </w:rPr>
      </w:pPr>
    </w:p>
    <w:tbl>
      <w:tblPr>
        <w:tblW w:w="10343" w:type="dxa"/>
        <w:tblLook w:val="04A0" w:firstRow="1" w:lastRow="0" w:firstColumn="1" w:lastColumn="0" w:noHBand="0" w:noVBand="1"/>
        <w:tblDescription w:val="Additional transitional support required"/>
      </w:tblPr>
      <w:tblGrid>
        <w:gridCol w:w="4390"/>
        <w:gridCol w:w="850"/>
        <w:gridCol w:w="1701"/>
        <w:gridCol w:w="1134"/>
        <w:gridCol w:w="992"/>
        <w:gridCol w:w="1276"/>
      </w:tblGrid>
      <w:tr w:rsidR="003E233F" w:rsidRPr="000A0377" w14:paraId="692A9846" w14:textId="77777777" w:rsidTr="00505F3E">
        <w:trPr>
          <w:trHeight w:val="30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81E67" w14:textId="77777777" w:rsidR="003E233F" w:rsidRPr="000A0377" w:rsidRDefault="003E233F" w:rsidP="003E233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53297D" w14:textId="77777777" w:rsidR="003E233F" w:rsidRPr="000A0377" w:rsidRDefault="003E233F" w:rsidP="003E233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14:paraId="606B729B" w14:textId="77777777" w:rsidR="003E233F" w:rsidRPr="000A0377" w:rsidRDefault="003E233F" w:rsidP="003E233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881E" w14:textId="77777777" w:rsidR="003E233F" w:rsidRPr="000A0377" w:rsidRDefault="003E233F" w:rsidP="003E233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r>
      <w:tr w:rsidR="003E233F" w:rsidRPr="000A0377" w14:paraId="7A5B8D6E" w14:textId="77777777" w:rsidTr="00505F3E">
        <w:trPr>
          <w:trHeight w:val="300"/>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2220AA2C"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5A2D0D4F"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01" w:type="dxa"/>
            <w:tcBorders>
              <w:top w:val="nil"/>
              <w:left w:val="nil"/>
              <w:bottom w:val="single" w:sz="4" w:space="0" w:color="auto"/>
              <w:right w:val="single" w:sz="4" w:space="0" w:color="auto"/>
            </w:tcBorders>
            <w:shd w:val="clear" w:color="auto" w:fill="auto"/>
            <w:vAlign w:val="bottom"/>
            <w:hideMark/>
          </w:tcPr>
          <w:p w14:paraId="0D6479CD"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population</w:t>
            </w:r>
          </w:p>
        </w:tc>
        <w:tc>
          <w:tcPr>
            <w:tcW w:w="1134" w:type="dxa"/>
            <w:tcBorders>
              <w:top w:val="nil"/>
              <w:left w:val="nil"/>
              <w:bottom w:val="single" w:sz="4" w:space="0" w:color="auto"/>
              <w:right w:val="single" w:sz="4" w:space="0" w:color="auto"/>
            </w:tcBorders>
            <w:shd w:val="clear" w:color="auto" w:fill="auto"/>
            <w:noWrap/>
            <w:vAlign w:val="bottom"/>
            <w:hideMark/>
          </w:tcPr>
          <w:p w14:paraId="62A168BD"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time</w:t>
            </w:r>
          </w:p>
        </w:tc>
        <w:tc>
          <w:tcPr>
            <w:tcW w:w="992" w:type="dxa"/>
            <w:tcBorders>
              <w:top w:val="nil"/>
              <w:left w:val="nil"/>
              <w:bottom w:val="single" w:sz="4" w:space="0" w:color="auto"/>
              <w:right w:val="single" w:sz="4" w:space="0" w:color="auto"/>
            </w:tcBorders>
            <w:shd w:val="clear" w:color="auto" w:fill="auto"/>
            <w:noWrap/>
            <w:vAlign w:val="bottom"/>
            <w:hideMark/>
          </w:tcPr>
          <w:p w14:paraId="653C0E7F"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cost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05174C"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p>
        </w:tc>
      </w:tr>
      <w:tr w:rsidR="003E233F" w:rsidRPr="003E233F" w14:paraId="68AB8CF0" w14:textId="77777777" w:rsidTr="00505F3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54DB876" w14:textId="77777777" w:rsidR="003E233F" w:rsidRPr="000A0377" w:rsidRDefault="003E233F" w:rsidP="003E233F">
            <w:pPr>
              <w:spacing w:after="0" w:line="240" w:lineRule="auto"/>
              <w:rPr>
                <w:rFonts w:ascii="Calibri" w:eastAsia="Times New Roman" w:hAnsi="Calibri" w:cs="Calibri"/>
                <w:bCs/>
                <w:color w:val="000000"/>
                <w:sz w:val="16"/>
                <w:szCs w:val="16"/>
                <w:lang w:eastAsia="en-AU"/>
              </w:rPr>
            </w:pPr>
            <w:r w:rsidRPr="000A0377">
              <w:rPr>
                <w:rFonts w:ascii="Calibri" w:eastAsia="Times New Roman" w:hAnsi="Calibri" w:cs="Calibri"/>
                <w:bCs/>
                <w:color w:val="000000"/>
                <w:sz w:val="16"/>
                <w:szCs w:val="16"/>
                <w:lang w:eastAsia="en-AU"/>
              </w:rPr>
              <w:t xml:space="preserve">Additional transitional support required </w:t>
            </w:r>
          </w:p>
        </w:tc>
        <w:tc>
          <w:tcPr>
            <w:tcW w:w="850" w:type="dxa"/>
            <w:tcBorders>
              <w:top w:val="nil"/>
              <w:left w:val="nil"/>
              <w:bottom w:val="single" w:sz="4" w:space="0" w:color="auto"/>
              <w:right w:val="single" w:sz="4" w:space="0" w:color="auto"/>
            </w:tcBorders>
            <w:shd w:val="clear" w:color="auto" w:fill="auto"/>
            <w:noWrap/>
            <w:vAlign w:val="bottom"/>
            <w:hideMark/>
          </w:tcPr>
          <w:p w14:paraId="31AA5851" w14:textId="77777777" w:rsidR="003E233F" w:rsidRPr="000A0377" w:rsidRDefault="003E233F" w:rsidP="003E233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0ADFE8" w14:textId="77777777" w:rsidR="003E233F" w:rsidRPr="000A0377" w:rsidRDefault="00176CD1" w:rsidP="003E233F">
            <w:pPr>
              <w:spacing w:after="0" w:line="240" w:lineRule="auto"/>
              <w:jc w:val="right"/>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17300</w:t>
            </w:r>
          </w:p>
        </w:tc>
        <w:tc>
          <w:tcPr>
            <w:tcW w:w="1134" w:type="dxa"/>
            <w:tcBorders>
              <w:top w:val="nil"/>
              <w:left w:val="nil"/>
              <w:bottom w:val="single" w:sz="4" w:space="0" w:color="auto"/>
              <w:right w:val="single" w:sz="4" w:space="0" w:color="auto"/>
            </w:tcBorders>
            <w:shd w:val="clear" w:color="auto" w:fill="auto"/>
            <w:noWrap/>
            <w:vAlign w:val="bottom"/>
            <w:hideMark/>
          </w:tcPr>
          <w:p w14:paraId="0F3CC83C" w14:textId="77777777" w:rsidR="003E233F" w:rsidRPr="00176CD1" w:rsidRDefault="003E233F" w:rsidP="003E233F">
            <w:pPr>
              <w:spacing w:after="0" w:line="240" w:lineRule="auto"/>
              <w:jc w:val="right"/>
              <w:rPr>
                <w:rFonts w:ascii="Calibri" w:eastAsia="Times New Roman" w:hAnsi="Calibri" w:cs="Calibri"/>
                <w:bCs/>
                <w:color w:val="FF0000"/>
                <w:sz w:val="16"/>
                <w:szCs w:val="16"/>
                <w:lang w:eastAsia="en-AU"/>
              </w:rPr>
            </w:pPr>
            <w:r w:rsidRPr="00176CD1">
              <w:rPr>
                <w:rFonts w:ascii="Calibri" w:eastAsia="Times New Roman" w:hAnsi="Calibri" w:cs="Calibri"/>
                <w:bCs/>
                <w:color w:val="auto"/>
                <w:sz w:val="16"/>
                <w:szCs w:val="16"/>
                <w:lang w:eastAsia="en-AU"/>
              </w:rPr>
              <w:t>0.50</w:t>
            </w:r>
          </w:p>
        </w:tc>
        <w:tc>
          <w:tcPr>
            <w:tcW w:w="992" w:type="dxa"/>
            <w:tcBorders>
              <w:top w:val="nil"/>
              <w:left w:val="nil"/>
              <w:bottom w:val="single" w:sz="4" w:space="0" w:color="auto"/>
              <w:right w:val="single" w:sz="4" w:space="0" w:color="auto"/>
            </w:tcBorders>
            <w:shd w:val="clear" w:color="auto" w:fill="auto"/>
            <w:noWrap/>
            <w:vAlign w:val="bottom"/>
            <w:hideMark/>
          </w:tcPr>
          <w:p w14:paraId="29DA7081" w14:textId="77777777" w:rsidR="003E233F" w:rsidRPr="000A0377" w:rsidRDefault="003E233F" w:rsidP="003E233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$36</w:t>
            </w:r>
          </w:p>
        </w:tc>
        <w:tc>
          <w:tcPr>
            <w:tcW w:w="1276" w:type="dxa"/>
            <w:tcBorders>
              <w:top w:val="nil"/>
              <w:left w:val="nil"/>
              <w:bottom w:val="single" w:sz="4" w:space="0" w:color="auto"/>
              <w:right w:val="single" w:sz="4" w:space="0" w:color="auto"/>
            </w:tcBorders>
            <w:shd w:val="clear" w:color="auto" w:fill="auto"/>
            <w:noWrap/>
            <w:vAlign w:val="bottom"/>
            <w:hideMark/>
          </w:tcPr>
          <w:p w14:paraId="3C1ABC03" w14:textId="77777777" w:rsidR="003E233F" w:rsidRPr="003E233F" w:rsidRDefault="003E233F" w:rsidP="003E233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$311,400</w:t>
            </w:r>
          </w:p>
        </w:tc>
      </w:tr>
    </w:tbl>
    <w:p w14:paraId="18D8348D" w14:textId="77777777" w:rsidR="004A6F5F" w:rsidRDefault="004A6F5F">
      <w:pPr>
        <w:rPr>
          <w:lang w:eastAsia="en-AU"/>
        </w:rPr>
      </w:pPr>
      <w:r>
        <w:rPr>
          <w:lang w:eastAsia="en-AU"/>
        </w:rPr>
        <w:br w:type="page"/>
      </w:r>
    </w:p>
    <w:p w14:paraId="5F2D4FF6" w14:textId="147F3D62" w:rsidR="00AD33F6" w:rsidRPr="00104DF1" w:rsidRDefault="00AD33F6" w:rsidP="00AD33F6">
      <w:pPr>
        <w:pStyle w:val="BodyText"/>
        <w:spacing w:before="120" w:after="180"/>
        <w:rPr>
          <w:b/>
        </w:rPr>
      </w:pPr>
      <w:r w:rsidRPr="00104DF1">
        <w:rPr>
          <w:b/>
        </w:rPr>
        <w:t xml:space="preserve">Reduction in costs for </w:t>
      </w:r>
      <w:r w:rsidR="003F3E3D">
        <w:rPr>
          <w:b/>
        </w:rPr>
        <w:t>reforming IM</w:t>
      </w:r>
      <w:r w:rsidRPr="00104DF1">
        <w:rPr>
          <w:b/>
        </w:rPr>
        <w:t xml:space="preserve"> over 10 years</w:t>
      </w:r>
    </w:p>
    <w:tbl>
      <w:tblPr>
        <w:tblStyle w:val="TableGrid1"/>
        <w:tblW w:w="10332" w:type="dxa"/>
        <w:tblLook w:val="04A0" w:firstRow="1" w:lastRow="0" w:firstColumn="1" w:lastColumn="0" w:noHBand="0" w:noVBand="1"/>
        <w:tblDescription w:val="Reduction in costs for reforming IM over 10 years"/>
      </w:tblPr>
      <w:tblGrid>
        <w:gridCol w:w="7083"/>
        <w:gridCol w:w="3249"/>
      </w:tblGrid>
      <w:tr w:rsidR="00AD33F6" w:rsidRPr="00884F2C" w14:paraId="0F69173C" w14:textId="77777777" w:rsidTr="006D419E">
        <w:trPr>
          <w:trHeight w:val="281"/>
          <w:tblHeader/>
        </w:trPr>
        <w:tc>
          <w:tcPr>
            <w:tcW w:w="7083" w:type="dxa"/>
          </w:tcPr>
          <w:p w14:paraId="6861804F" w14:textId="77777777" w:rsidR="00AD33F6" w:rsidRPr="00884F2C" w:rsidRDefault="00AD33F6" w:rsidP="00B3605F">
            <w:pPr>
              <w:rPr>
                <w:rFonts w:ascii="Calibri" w:eastAsia="Calibri" w:hAnsi="Calibri" w:cs="Times New Roman"/>
                <w:b/>
                <w:sz w:val="16"/>
                <w:szCs w:val="16"/>
              </w:rPr>
            </w:pPr>
          </w:p>
        </w:tc>
        <w:tc>
          <w:tcPr>
            <w:tcW w:w="3249" w:type="dxa"/>
          </w:tcPr>
          <w:p w14:paraId="7F843EC5" w14:textId="77777777" w:rsidR="00AD33F6" w:rsidRPr="00884F2C" w:rsidRDefault="00AD33F6" w:rsidP="00B3605F">
            <w:pPr>
              <w:rPr>
                <w:rFonts w:ascii="Calibri" w:eastAsia="Calibri" w:hAnsi="Calibri" w:cs="Times New Roman"/>
                <w:b/>
                <w:sz w:val="16"/>
                <w:szCs w:val="16"/>
              </w:rPr>
            </w:pPr>
            <w:r w:rsidRPr="00884F2C">
              <w:rPr>
                <w:rFonts w:ascii="Calibri" w:eastAsia="Calibri" w:hAnsi="Calibri" w:cs="Times New Roman"/>
                <w:b/>
                <w:sz w:val="16"/>
                <w:szCs w:val="16"/>
              </w:rPr>
              <w:t xml:space="preserve">New entrants on IM and CDC </w:t>
            </w:r>
          </w:p>
        </w:tc>
      </w:tr>
      <w:tr w:rsidR="00AD33F6" w:rsidRPr="00957BBD" w14:paraId="2232AF5E" w14:textId="77777777" w:rsidTr="006D419E">
        <w:trPr>
          <w:trHeight w:val="638"/>
        </w:trPr>
        <w:tc>
          <w:tcPr>
            <w:tcW w:w="7083" w:type="dxa"/>
          </w:tcPr>
          <w:p w14:paraId="4DAD2273" w14:textId="77777777" w:rsidR="00AD33F6" w:rsidRPr="00957BBD" w:rsidRDefault="00AD33F6" w:rsidP="00B3605F">
            <w:pPr>
              <w:rPr>
                <w:rFonts w:ascii="Calibri" w:eastAsia="Calibri" w:hAnsi="Calibri" w:cs="Times New Roman"/>
                <w:b/>
                <w:sz w:val="16"/>
                <w:szCs w:val="16"/>
              </w:rPr>
            </w:pPr>
            <w:r w:rsidRPr="00957BBD">
              <w:rPr>
                <w:rFonts w:ascii="Calibri" w:eastAsia="Calibri" w:hAnsi="Calibri" w:cs="Times New Roman"/>
                <w:b/>
                <w:sz w:val="16"/>
                <w:szCs w:val="16"/>
              </w:rPr>
              <w:t>Learning how to use the card (IM)</w:t>
            </w:r>
          </w:p>
          <w:p w14:paraId="1C674D79" w14:textId="40DAEDC8" w:rsidR="00AD33F6" w:rsidRPr="00603546" w:rsidRDefault="00AD33F6" w:rsidP="00603546">
            <w:pPr>
              <w:numPr>
                <w:ilvl w:val="0"/>
                <w:numId w:val="19"/>
              </w:numPr>
              <w:contextualSpacing/>
              <w:rPr>
                <w:rFonts w:ascii="Calibri" w:eastAsia="Calibri" w:hAnsi="Calibri" w:cs="Times New Roman"/>
                <w:sz w:val="16"/>
                <w:szCs w:val="16"/>
              </w:rPr>
            </w:pPr>
            <w:r w:rsidRPr="00957BBD">
              <w:rPr>
                <w:rFonts w:ascii="Calibri" w:eastAsia="Calibri" w:hAnsi="Calibri" w:cs="Times New Roman"/>
                <w:sz w:val="16"/>
                <w:szCs w:val="16"/>
              </w:rPr>
              <w:t>E.g. Looking up approved merchants and changing shopping behaviour, learning the features of the card</w:t>
            </w:r>
          </w:p>
        </w:tc>
        <w:tc>
          <w:tcPr>
            <w:tcW w:w="3249" w:type="dxa"/>
          </w:tcPr>
          <w:p w14:paraId="4213E4FD" w14:textId="77777777" w:rsidR="00AD33F6" w:rsidRPr="00957BBD" w:rsidRDefault="00AD33F6"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1hr 15 mins for new entrants onto the card </w:t>
            </w:r>
          </w:p>
          <w:p w14:paraId="10448312" w14:textId="77777777" w:rsidR="00AD33F6" w:rsidRPr="00957BBD" w:rsidRDefault="00AD33F6"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1.25 x -$36 = -$45.00 per participant</w:t>
            </w:r>
          </w:p>
          <w:p w14:paraId="2F65161E" w14:textId="77777777" w:rsidR="00AD33F6" w:rsidRPr="00957BBD" w:rsidRDefault="00AD33F6" w:rsidP="00B3605F">
            <w:pPr>
              <w:contextualSpacing/>
              <w:jc w:val="right"/>
              <w:rPr>
                <w:rFonts w:ascii="Calibri" w:eastAsia="Calibri" w:hAnsi="Calibri" w:cs="Times New Roman"/>
                <w:i/>
                <w:sz w:val="16"/>
                <w:szCs w:val="16"/>
              </w:rPr>
            </w:pPr>
          </w:p>
          <w:p w14:paraId="540E48CD" w14:textId="77777777" w:rsidR="00AD33F6" w:rsidRPr="00957BBD" w:rsidRDefault="00AD33F6" w:rsidP="00B3605F">
            <w:pPr>
              <w:contextualSpacing/>
              <w:jc w:val="right"/>
              <w:rPr>
                <w:rFonts w:ascii="Calibri" w:eastAsia="Calibri" w:hAnsi="Calibri" w:cs="Times New Roman"/>
                <w:i/>
                <w:sz w:val="16"/>
                <w:szCs w:val="16"/>
              </w:rPr>
            </w:pPr>
            <w:r w:rsidRPr="00957BBD">
              <w:rPr>
                <w:rFonts w:ascii="Calibri" w:eastAsia="Calibri" w:hAnsi="Calibri" w:cs="Times New Roman"/>
                <w:i/>
                <w:sz w:val="16"/>
                <w:szCs w:val="16"/>
              </w:rPr>
              <w:t xml:space="preserve"> (IM) -$45.00 x 4206 = -$189,270</w:t>
            </w:r>
          </w:p>
          <w:p w14:paraId="430BBA63" w14:textId="77777777" w:rsidR="00AD33F6" w:rsidRPr="00957BBD" w:rsidRDefault="00AD33F6" w:rsidP="00B3605F">
            <w:pPr>
              <w:contextualSpacing/>
              <w:jc w:val="right"/>
              <w:rPr>
                <w:rFonts w:ascii="Calibri" w:eastAsia="Calibri" w:hAnsi="Calibri" w:cs="Times New Roman"/>
                <w:i/>
                <w:sz w:val="16"/>
                <w:szCs w:val="16"/>
              </w:rPr>
            </w:pPr>
          </w:p>
          <w:p w14:paraId="228D4F94" w14:textId="6922872E" w:rsidR="00AD33F6" w:rsidRPr="00603546" w:rsidRDefault="00AD33F6" w:rsidP="00603546">
            <w:pPr>
              <w:contextualSpacing/>
              <w:jc w:val="right"/>
              <w:rPr>
                <w:rFonts w:ascii="Calibri" w:eastAsia="Calibri" w:hAnsi="Calibri" w:cs="Times New Roman"/>
                <w:i/>
                <w:color w:val="auto"/>
                <w:sz w:val="16"/>
                <w:szCs w:val="16"/>
              </w:rPr>
            </w:pPr>
            <w:r w:rsidRPr="00957BBD">
              <w:rPr>
                <w:rFonts w:ascii="Calibri" w:eastAsia="Calibri" w:hAnsi="Calibri" w:cs="Times New Roman"/>
                <w:i/>
                <w:sz w:val="16"/>
                <w:szCs w:val="16"/>
              </w:rPr>
              <w:t>Total</w:t>
            </w:r>
            <w:r w:rsidR="00FD2793">
              <w:rPr>
                <w:rFonts w:ascii="Calibri" w:eastAsia="Calibri" w:hAnsi="Calibri" w:cs="Times New Roman"/>
                <w:i/>
                <w:sz w:val="16"/>
                <w:szCs w:val="16"/>
              </w:rPr>
              <w:t xml:space="preserve"> </w:t>
            </w:r>
            <w:r w:rsidRPr="00957BBD">
              <w:rPr>
                <w:rFonts w:ascii="Calibri" w:eastAsia="Calibri" w:hAnsi="Calibri" w:cs="Times New Roman"/>
                <w:i/>
                <w:sz w:val="16"/>
                <w:szCs w:val="16"/>
              </w:rPr>
              <w:t>= -$189,270</w:t>
            </w:r>
          </w:p>
        </w:tc>
      </w:tr>
      <w:tr w:rsidR="002079EF" w:rsidRPr="00957BBD" w14:paraId="0BCB568A" w14:textId="77777777" w:rsidTr="006D419E">
        <w:trPr>
          <w:trHeight w:val="139"/>
        </w:trPr>
        <w:tc>
          <w:tcPr>
            <w:tcW w:w="7083" w:type="dxa"/>
          </w:tcPr>
          <w:p w14:paraId="0D7E7162" w14:textId="77777777" w:rsidR="002079EF" w:rsidRDefault="002079EF" w:rsidP="002079EF">
            <w:pPr>
              <w:rPr>
                <w:rFonts w:ascii="Calibri" w:eastAsia="Calibri" w:hAnsi="Calibri" w:cs="Times New Roman"/>
                <w:b/>
                <w:sz w:val="16"/>
                <w:szCs w:val="16"/>
              </w:rPr>
            </w:pPr>
            <w:r>
              <w:rPr>
                <w:rFonts w:ascii="Calibri" w:eastAsia="Calibri" w:hAnsi="Calibri" w:cs="Times New Roman"/>
                <w:b/>
                <w:sz w:val="16"/>
                <w:szCs w:val="16"/>
              </w:rPr>
              <w:t>Exit application (IM)</w:t>
            </w:r>
          </w:p>
          <w:p w14:paraId="45FDFA36" w14:textId="0D825173" w:rsidR="002079EF" w:rsidRPr="00603546" w:rsidRDefault="00F63186" w:rsidP="002079EF">
            <w:pPr>
              <w:pStyle w:val="ListParagraph"/>
              <w:numPr>
                <w:ilvl w:val="0"/>
                <w:numId w:val="19"/>
              </w:numPr>
              <w:rPr>
                <w:rFonts w:ascii="Calibri" w:eastAsia="Calibri" w:hAnsi="Calibri" w:cs="Times New Roman"/>
                <w:sz w:val="16"/>
                <w:szCs w:val="16"/>
              </w:rPr>
            </w:pPr>
            <w:r>
              <w:rPr>
                <w:rFonts w:ascii="Calibri" w:eastAsia="Calibri" w:hAnsi="Calibri" w:cs="Times New Roman"/>
                <w:sz w:val="16"/>
                <w:szCs w:val="16"/>
              </w:rPr>
              <w:t>No similar process in IM as in CDC</w:t>
            </w:r>
          </w:p>
        </w:tc>
        <w:tc>
          <w:tcPr>
            <w:tcW w:w="3249" w:type="dxa"/>
          </w:tcPr>
          <w:p w14:paraId="3B74D2E4" w14:textId="77777777" w:rsidR="002079EF" w:rsidRPr="00957BBD" w:rsidRDefault="002C7986" w:rsidP="002079EF">
            <w:pPr>
              <w:contextualSpacing/>
              <w:jc w:val="right"/>
              <w:rPr>
                <w:rFonts w:ascii="Calibri" w:eastAsia="Calibri" w:hAnsi="Calibri" w:cs="Times New Roman"/>
                <w:i/>
                <w:sz w:val="16"/>
                <w:szCs w:val="16"/>
              </w:rPr>
            </w:pPr>
            <w:r>
              <w:rPr>
                <w:rFonts w:ascii="Calibri" w:eastAsia="Calibri" w:hAnsi="Calibri" w:cs="Times New Roman"/>
                <w:i/>
                <w:sz w:val="16"/>
                <w:szCs w:val="16"/>
              </w:rPr>
              <w:t>$</w:t>
            </w:r>
            <w:r w:rsidR="002079EF">
              <w:rPr>
                <w:rFonts w:ascii="Calibri" w:eastAsia="Calibri" w:hAnsi="Calibri" w:cs="Times New Roman"/>
                <w:i/>
                <w:sz w:val="16"/>
                <w:szCs w:val="16"/>
              </w:rPr>
              <w:t>0</w:t>
            </w:r>
          </w:p>
        </w:tc>
      </w:tr>
      <w:tr w:rsidR="002079EF" w:rsidRPr="00957BBD" w14:paraId="2B87AE5D" w14:textId="77777777" w:rsidTr="006D419E">
        <w:trPr>
          <w:trHeight w:val="72"/>
        </w:trPr>
        <w:tc>
          <w:tcPr>
            <w:tcW w:w="7083" w:type="dxa"/>
          </w:tcPr>
          <w:p w14:paraId="12C39A38" w14:textId="77777777" w:rsidR="002079EF" w:rsidRDefault="002079EF" w:rsidP="002079EF">
            <w:pPr>
              <w:rPr>
                <w:rFonts w:ascii="Calibri" w:eastAsia="Calibri" w:hAnsi="Calibri" w:cs="Times New Roman"/>
                <w:b/>
                <w:sz w:val="16"/>
                <w:szCs w:val="16"/>
              </w:rPr>
            </w:pPr>
            <w:r w:rsidRPr="00957BBD">
              <w:rPr>
                <w:rFonts w:ascii="Calibri" w:eastAsia="Calibri" w:hAnsi="Calibri" w:cs="Times New Roman"/>
                <w:b/>
                <w:sz w:val="16"/>
                <w:szCs w:val="16"/>
              </w:rPr>
              <w:t xml:space="preserve">Exit </w:t>
            </w:r>
            <w:r w:rsidR="00F63186">
              <w:rPr>
                <w:rFonts w:ascii="Calibri" w:eastAsia="Calibri" w:hAnsi="Calibri" w:cs="Times New Roman"/>
                <w:b/>
                <w:sz w:val="16"/>
                <w:szCs w:val="16"/>
              </w:rPr>
              <w:t xml:space="preserve">application </w:t>
            </w:r>
            <w:r w:rsidRPr="00957BBD">
              <w:rPr>
                <w:rFonts w:ascii="Calibri" w:eastAsia="Calibri" w:hAnsi="Calibri" w:cs="Times New Roman"/>
                <w:b/>
                <w:sz w:val="16"/>
                <w:szCs w:val="16"/>
              </w:rPr>
              <w:t xml:space="preserve">interview </w:t>
            </w:r>
            <w:r>
              <w:rPr>
                <w:rFonts w:ascii="Calibri" w:eastAsia="Calibri" w:hAnsi="Calibri" w:cs="Times New Roman"/>
                <w:b/>
                <w:sz w:val="16"/>
                <w:szCs w:val="16"/>
              </w:rPr>
              <w:t>(IM)</w:t>
            </w:r>
          </w:p>
          <w:p w14:paraId="1BD9423C" w14:textId="7CCB6433" w:rsidR="002C7986" w:rsidRPr="00603546" w:rsidRDefault="00F63186" w:rsidP="00603546">
            <w:pPr>
              <w:pStyle w:val="ListParagraph"/>
              <w:numPr>
                <w:ilvl w:val="0"/>
                <w:numId w:val="19"/>
              </w:numPr>
              <w:rPr>
                <w:rFonts w:ascii="Calibri" w:eastAsia="Calibri" w:hAnsi="Calibri" w:cs="Times New Roman"/>
                <w:sz w:val="16"/>
                <w:szCs w:val="16"/>
              </w:rPr>
            </w:pPr>
            <w:r>
              <w:rPr>
                <w:rFonts w:ascii="Calibri" w:eastAsia="Calibri" w:hAnsi="Calibri" w:cs="Times New Roman"/>
                <w:sz w:val="16"/>
                <w:szCs w:val="16"/>
              </w:rPr>
              <w:t>No similar process in IM as in CDC</w:t>
            </w:r>
          </w:p>
        </w:tc>
        <w:tc>
          <w:tcPr>
            <w:tcW w:w="3249" w:type="dxa"/>
          </w:tcPr>
          <w:p w14:paraId="78CEAB1F" w14:textId="77777777" w:rsidR="002079EF" w:rsidRPr="00957BBD" w:rsidRDefault="002C7986" w:rsidP="002079EF">
            <w:pPr>
              <w:contextualSpacing/>
              <w:jc w:val="right"/>
              <w:rPr>
                <w:rFonts w:ascii="Calibri" w:hAnsi="Calibri"/>
                <w:i/>
                <w:color w:val="auto"/>
                <w:sz w:val="16"/>
                <w:szCs w:val="16"/>
              </w:rPr>
            </w:pPr>
            <w:r>
              <w:rPr>
                <w:rFonts w:ascii="Calibri" w:hAnsi="Calibri"/>
                <w:i/>
                <w:color w:val="auto"/>
                <w:sz w:val="16"/>
                <w:szCs w:val="16"/>
              </w:rPr>
              <w:t>$</w:t>
            </w:r>
            <w:r w:rsidR="002079EF">
              <w:rPr>
                <w:rFonts w:ascii="Calibri" w:hAnsi="Calibri"/>
                <w:i/>
                <w:color w:val="auto"/>
                <w:sz w:val="16"/>
                <w:szCs w:val="16"/>
              </w:rPr>
              <w:t>0</w:t>
            </w:r>
          </w:p>
        </w:tc>
      </w:tr>
      <w:tr w:rsidR="00AD33F6" w:rsidRPr="00884F2C" w14:paraId="305F21C6" w14:textId="77777777" w:rsidTr="006D419E">
        <w:trPr>
          <w:trHeight w:val="435"/>
        </w:trPr>
        <w:tc>
          <w:tcPr>
            <w:tcW w:w="7083" w:type="dxa"/>
          </w:tcPr>
          <w:p w14:paraId="0F38E10F" w14:textId="77777777" w:rsidR="00AD33F6" w:rsidRPr="00957BBD" w:rsidRDefault="00AD33F6" w:rsidP="00B3605F">
            <w:pPr>
              <w:rPr>
                <w:rFonts w:ascii="Calibri" w:eastAsia="Calibri" w:hAnsi="Calibri" w:cs="Times New Roman"/>
                <w:b/>
                <w:sz w:val="16"/>
                <w:szCs w:val="16"/>
              </w:rPr>
            </w:pPr>
            <w:r w:rsidRPr="00957BBD">
              <w:rPr>
                <w:rFonts w:ascii="Calibri" w:eastAsia="Calibri" w:hAnsi="Calibri" w:cs="Times New Roman"/>
                <w:b/>
                <w:sz w:val="16"/>
                <w:szCs w:val="16"/>
              </w:rPr>
              <w:t>Total ($)</w:t>
            </w:r>
          </w:p>
        </w:tc>
        <w:tc>
          <w:tcPr>
            <w:tcW w:w="3249" w:type="dxa"/>
          </w:tcPr>
          <w:p w14:paraId="141EA391" w14:textId="77777777" w:rsidR="00AD33F6" w:rsidRPr="00957BBD" w:rsidRDefault="00AD33F6" w:rsidP="00B3605F">
            <w:pPr>
              <w:jc w:val="right"/>
              <w:rPr>
                <w:rFonts w:ascii="Calibri" w:hAnsi="Calibri" w:cs="Calibri"/>
                <w:b/>
                <w:bCs/>
                <w:color w:val="000000"/>
                <w:sz w:val="16"/>
                <w:szCs w:val="16"/>
              </w:rPr>
            </w:pPr>
            <w:r w:rsidRPr="00957BBD">
              <w:rPr>
                <w:rFonts w:ascii="Calibri" w:hAnsi="Calibri" w:cs="Calibri"/>
                <w:b/>
                <w:bCs/>
                <w:color w:val="000000"/>
                <w:sz w:val="16"/>
                <w:szCs w:val="16"/>
              </w:rPr>
              <w:t>Yr1 = -$189,270 per year</w:t>
            </w:r>
          </w:p>
          <w:p w14:paraId="193F6700" w14:textId="0519FB39" w:rsidR="00AD33F6" w:rsidRPr="00603546" w:rsidRDefault="00AD33F6" w:rsidP="00603546">
            <w:pPr>
              <w:jc w:val="right"/>
              <w:rPr>
                <w:rFonts w:ascii="Calibri" w:hAnsi="Calibri" w:cs="Calibri"/>
                <w:b/>
                <w:bCs/>
                <w:color w:val="000000"/>
                <w:sz w:val="16"/>
                <w:szCs w:val="16"/>
              </w:rPr>
            </w:pPr>
            <w:r w:rsidRPr="00957BBD">
              <w:rPr>
                <w:rFonts w:ascii="Calibri" w:hAnsi="Calibri" w:cs="Calibri"/>
                <w:b/>
                <w:bCs/>
                <w:color w:val="000000"/>
                <w:sz w:val="16"/>
                <w:szCs w:val="16"/>
              </w:rPr>
              <w:t>10 Years = -$1,892,700</w:t>
            </w:r>
          </w:p>
        </w:tc>
      </w:tr>
    </w:tbl>
    <w:p w14:paraId="4C9F7A4D" w14:textId="77777777" w:rsidR="00C92B32" w:rsidRDefault="00C92B32" w:rsidP="00C92B32">
      <w:pPr>
        <w:pStyle w:val="NormalWeb"/>
        <w:spacing w:before="120" w:beforeAutospacing="0" w:after="180" w:afterAutospacing="0"/>
        <w:rPr>
          <w:b/>
        </w:rPr>
      </w:pPr>
      <w:r w:rsidRPr="00C96D48">
        <w:rPr>
          <w:b/>
        </w:rPr>
        <w:t xml:space="preserve">Costs for transitioning off </w:t>
      </w:r>
      <w:r>
        <w:rPr>
          <w:b/>
        </w:rPr>
        <w:t xml:space="preserve">IM </w:t>
      </w:r>
      <w:r w:rsidRPr="00C96D48">
        <w:rPr>
          <w:b/>
        </w:rPr>
        <w:t>over 10 years</w:t>
      </w: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st for transitioning off IM over 10 years"/>
      </w:tblPr>
      <w:tblGrid>
        <w:gridCol w:w="1229"/>
        <w:gridCol w:w="893"/>
        <w:gridCol w:w="708"/>
        <w:gridCol w:w="851"/>
        <w:gridCol w:w="819"/>
        <w:gridCol w:w="819"/>
        <w:gridCol w:w="733"/>
        <w:gridCol w:w="843"/>
        <w:gridCol w:w="842"/>
        <w:gridCol w:w="843"/>
        <w:gridCol w:w="700"/>
        <w:gridCol w:w="1074"/>
      </w:tblGrid>
      <w:tr w:rsidR="00E873F1" w:rsidRPr="0010383A" w14:paraId="216F894B" w14:textId="77777777" w:rsidTr="00D03FBF">
        <w:trPr>
          <w:trHeight w:val="620"/>
        </w:trPr>
        <w:tc>
          <w:tcPr>
            <w:tcW w:w="1229" w:type="dxa"/>
          </w:tcPr>
          <w:p w14:paraId="1D23BFDB"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 xml:space="preserve">Cost to individuals </w:t>
            </w:r>
          </w:p>
        </w:tc>
        <w:tc>
          <w:tcPr>
            <w:tcW w:w="893" w:type="dxa"/>
          </w:tcPr>
          <w:p w14:paraId="7F83ECE7"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Y1</w:t>
            </w:r>
          </w:p>
        </w:tc>
        <w:tc>
          <w:tcPr>
            <w:tcW w:w="708" w:type="dxa"/>
          </w:tcPr>
          <w:p w14:paraId="03244A8A"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Y2</w:t>
            </w:r>
          </w:p>
        </w:tc>
        <w:tc>
          <w:tcPr>
            <w:tcW w:w="851" w:type="dxa"/>
          </w:tcPr>
          <w:p w14:paraId="224C43E9"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Y3</w:t>
            </w:r>
          </w:p>
        </w:tc>
        <w:tc>
          <w:tcPr>
            <w:tcW w:w="819" w:type="dxa"/>
          </w:tcPr>
          <w:p w14:paraId="62D608D4"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Y4</w:t>
            </w:r>
          </w:p>
        </w:tc>
        <w:tc>
          <w:tcPr>
            <w:tcW w:w="819" w:type="dxa"/>
          </w:tcPr>
          <w:p w14:paraId="481D8CEC"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Y5</w:t>
            </w:r>
          </w:p>
        </w:tc>
        <w:tc>
          <w:tcPr>
            <w:tcW w:w="733" w:type="dxa"/>
          </w:tcPr>
          <w:p w14:paraId="30B426C2"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Y6</w:t>
            </w:r>
          </w:p>
        </w:tc>
        <w:tc>
          <w:tcPr>
            <w:tcW w:w="843" w:type="dxa"/>
          </w:tcPr>
          <w:p w14:paraId="0A3F9EF8"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Y7</w:t>
            </w:r>
          </w:p>
        </w:tc>
        <w:tc>
          <w:tcPr>
            <w:tcW w:w="842" w:type="dxa"/>
          </w:tcPr>
          <w:p w14:paraId="45C2564D"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Y8</w:t>
            </w:r>
          </w:p>
        </w:tc>
        <w:tc>
          <w:tcPr>
            <w:tcW w:w="843" w:type="dxa"/>
          </w:tcPr>
          <w:p w14:paraId="4B75A961"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Y9</w:t>
            </w:r>
          </w:p>
        </w:tc>
        <w:tc>
          <w:tcPr>
            <w:tcW w:w="700" w:type="dxa"/>
          </w:tcPr>
          <w:p w14:paraId="7BEFCD2B"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Y10</w:t>
            </w:r>
          </w:p>
        </w:tc>
        <w:tc>
          <w:tcPr>
            <w:tcW w:w="1074" w:type="dxa"/>
          </w:tcPr>
          <w:p w14:paraId="399EF025" w14:textId="77777777" w:rsidR="00E873F1" w:rsidRPr="0010383A" w:rsidRDefault="00E873F1" w:rsidP="00B3605F">
            <w:pPr>
              <w:rPr>
                <w:rFonts w:ascii="Calibri" w:eastAsia="Calibri" w:hAnsi="Calibri" w:cs="Times New Roman"/>
                <w:sz w:val="16"/>
                <w:szCs w:val="16"/>
              </w:rPr>
            </w:pPr>
            <w:r w:rsidRPr="0010383A">
              <w:rPr>
                <w:rFonts w:ascii="Calibri" w:eastAsia="Calibri" w:hAnsi="Calibri" w:cs="Times New Roman"/>
                <w:sz w:val="16"/>
                <w:szCs w:val="16"/>
              </w:rPr>
              <w:t>TOTAL</w:t>
            </w:r>
          </w:p>
        </w:tc>
      </w:tr>
      <w:tr w:rsidR="0088350D" w:rsidRPr="000A0377" w14:paraId="594E3117" w14:textId="77777777" w:rsidTr="00D03FBF">
        <w:trPr>
          <w:trHeight w:val="832"/>
        </w:trPr>
        <w:tc>
          <w:tcPr>
            <w:tcW w:w="1229" w:type="dxa"/>
            <w:vAlign w:val="center"/>
          </w:tcPr>
          <w:p w14:paraId="4EF2D185" w14:textId="77777777" w:rsidR="0088350D" w:rsidRPr="000A0377" w:rsidRDefault="0088350D" w:rsidP="002279DD">
            <w:pPr>
              <w:rPr>
                <w:sz w:val="16"/>
                <w:szCs w:val="16"/>
              </w:rPr>
            </w:pPr>
            <w:r w:rsidRPr="000A0377">
              <w:rPr>
                <w:sz w:val="16"/>
                <w:szCs w:val="16"/>
              </w:rPr>
              <w:t>Transition requirement</w:t>
            </w:r>
          </w:p>
        </w:tc>
        <w:tc>
          <w:tcPr>
            <w:tcW w:w="893" w:type="dxa"/>
            <w:vAlign w:val="center"/>
          </w:tcPr>
          <w:p w14:paraId="545CBBE6"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708" w:type="dxa"/>
            <w:vAlign w:val="center"/>
          </w:tcPr>
          <w:p w14:paraId="04A14591"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851" w:type="dxa"/>
            <w:vAlign w:val="center"/>
          </w:tcPr>
          <w:p w14:paraId="39F68B71" w14:textId="77777777" w:rsidR="0088350D" w:rsidRPr="000A0377" w:rsidRDefault="0096567B" w:rsidP="0096567B">
            <w:pPr>
              <w:jc w:val="right"/>
              <w:rPr>
                <w:rFonts w:ascii="Calibri" w:hAnsi="Calibri" w:cs="Calibri"/>
                <w:sz w:val="16"/>
                <w:szCs w:val="16"/>
              </w:rPr>
            </w:pPr>
            <w:r w:rsidRPr="000A0377">
              <w:rPr>
                <w:color w:val="auto"/>
                <w:sz w:val="16"/>
                <w:szCs w:val="16"/>
              </w:rPr>
              <w:t>$507,600</w:t>
            </w:r>
          </w:p>
        </w:tc>
        <w:tc>
          <w:tcPr>
            <w:tcW w:w="819" w:type="dxa"/>
            <w:vAlign w:val="center"/>
          </w:tcPr>
          <w:p w14:paraId="425037A1"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819" w:type="dxa"/>
            <w:vAlign w:val="center"/>
          </w:tcPr>
          <w:p w14:paraId="1A730391"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733" w:type="dxa"/>
            <w:vAlign w:val="center"/>
          </w:tcPr>
          <w:p w14:paraId="495C909E"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843" w:type="dxa"/>
            <w:vAlign w:val="center"/>
          </w:tcPr>
          <w:p w14:paraId="7F24C70D"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842" w:type="dxa"/>
            <w:vAlign w:val="center"/>
          </w:tcPr>
          <w:p w14:paraId="40F52CC4"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843" w:type="dxa"/>
            <w:vAlign w:val="center"/>
          </w:tcPr>
          <w:p w14:paraId="18C33C8A"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700" w:type="dxa"/>
            <w:vAlign w:val="center"/>
          </w:tcPr>
          <w:p w14:paraId="14F62BBD" w14:textId="77777777" w:rsidR="0088350D" w:rsidRPr="000A0377" w:rsidRDefault="0088350D" w:rsidP="002279DD">
            <w:pPr>
              <w:jc w:val="right"/>
              <w:rPr>
                <w:rFonts w:ascii="Calibri" w:hAnsi="Calibri" w:cs="Calibri"/>
                <w:sz w:val="16"/>
                <w:szCs w:val="16"/>
              </w:rPr>
            </w:pPr>
            <w:r w:rsidRPr="000A0377">
              <w:rPr>
                <w:rFonts w:ascii="Calibri" w:hAnsi="Calibri" w:cs="Calibri"/>
                <w:sz w:val="16"/>
                <w:szCs w:val="16"/>
              </w:rPr>
              <w:t>$0</w:t>
            </w:r>
          </w:p>
        </w:tc>
        <w:tc>
          <w:tcPr>
            <w:tcW w:w="1074" w:type="dxa"/>
            <w:vAlign w:val="center"/>
          </w:tcPr>
          <w:p w14:paraId="42F8AE94" w14:textId="77777777" w:rsidR="0088350D" w:rsidRPr="000A0377" w:rsidRDefault="0096567B" w:rsidP="0088350D">
            <w:pPr>
              <w:jc w:val="right"/>
              <w:rPr>
                <w:rFonts w:ascii="Calibri" w:hAnsi="Calibri" w:cs="Calibri"/>
                <w:sz w:val="16"/>
                <w:szCs w:val="16"/>
              </w:rPr>
            </w:pPr>
            <w:r w:rsidRPr="000A0377">
              <w:rPr>
                <w:color w:val="auto"/>
                <w:sz w:val="16"/>
                <w:szCs w:val="16"/>
              </w:rPr>
              <w:t>$507,600</w:t>
            </w:r>
          </w:p>
        </w:tc>
      </w:tr>
      <w:tr w:rsidR="0088350D" w:rsidRPr="000A0377" w14:paraId="6D51760F" w14:textId="77777777" w:rsidTr="00D03FBF">
        <w:trPr>
          <w:trHeight w:val="391"/>
        </w:trPr>
        <w:tc>
          <w:tcPr>
            <w:tcW w:w="1229" w:type="dxa"/>
          </w:tcPr>
          <w:p w14:paraId="27BE2A94" w14:textId="77777777" w:rsidR="0088350D" w:rsidRPr="000A0377" w:rsidRDefault="0088350D" w:rsidP="0088350D">
            <w:pPr>
              <w:rPr>
                <w:rFonts w:ascii="Calibri" w:eastAsia="Calibri" w:hAnsi="Calibri" w:cs="Times New Roman"/>
                <w:sz w:val="16"/>
                <w:szCs w:val="16"/>
              </w:rPr>
            </w:pPr>
            <w:r w:rsidRPr="000A0377">
              <w:rPr>
                <w:rFonts w:ascii="Calibri" w:eastAsia="Calibri" w:hAnsi="Calibri" w:cs="Times New Roman"/>
                <w:sz w:val="16"/>
                <w:szCs w:val="16"/>
              </w:rPr>
              <w:t>TOTAL ($)</w:t>
            </w:r>
          </w:p>
        </w:tc>
        <w:tc>
          <w:tcPr>
            <w:tcW w:w="893" w:type="dxa"/>
            <w:vAlign w:val="center"/>
          </w:tcPr>
          <w:p w14:paraId="457446D5"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708" w:type="dxa"/>
            <w:vAlign w:val="center"/>
          </w:tcPr>
          <w:p w14:paraId="18CE35C5"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851" w:type="dxa"/>
            <w:vAlign w:val="center"/>
          </w:tcPr>
          <w:p w14:paraId="39F1789F" w14:textId="77777777" w:rsidR="0088350D" w:rsidRPr="000A0377" w:rsidRDefault="0096567B" w:rsidP="002279DD">
            <w:pPr>
              <w:jc w:val="right"/>
              <w:rPr>
                <w:rFonts w:ascii="Calibri" w:eastAsia="Calibri" w:hAnsi="Calibri" w:cs="Times New Roman"/>
                <w:sz w:val="16"/>
                <w:szCs w:val="16"/>
              </w:rPr>
            </w:pPr>
            <w:r w:rsidRPr="000A0377">
              <w:rPr>
                <w:color w:val="auto"/>
                <w:sz w:val="16"/>
                <w:szCs w:val="16"/>
              </w:rPr>
              <w:t>$507,600</w:t>
            </w:r>
          </w:p>
        </w:tc>
        <w:tc>
          <w:tcPr>
            <w:tcW w:w="819" w:type="dxa"/>
            <w:vAlign w:val="center"/>
          </w:tcPr>
          <w:p w14:paraId="7FAD2C1F"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819" w:type="dxa"/>
            <w:vAlign w:val="center"/>
          </w:tcPr>
          <w:p w14:paraId="3182A297"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733" w:type="dxa"/>
            <w:vAlign w:val="center"/>
          </w:tcPr>
          <w:p w14:paraId="7BA4421C"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843" w:type="dxa"/>
            <w:vAlign w:val="center"/>
          </w:tcPr>
          <w:p w14:paraId="67892268"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842" w:type="dxa"/>
            <w:vAlign w:val="center"/>
          </w:tcPr>
          <w:p w14:paraId="12F9E1E6"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843" w:type="dxa"/>
            <w:vAlign w:val="center"/>
          </w:tcPr>
          <w:p w14:paraId="175C0089"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700" w:type="dxa"/>
            <w:vAlign w:val="center"/>
          </w:tcPr>
          <w:p w14:paraId="3F8D424A" w14:textId="77777777" w:rsidR="0088350D" w:rsidRPr="000A0377" w:rsidRDefault="0088350D" w:rsidP="002279DD">
            <w:pPr>
              <w:jc w:val="right"/>
              <w:rPr>
                <w:rFonts w:ascii="Calibri" w:eastAsia="Calibri" w:hAnsi="Calibri" w:cs="Times New Roman"/>
                <w:sz w:val="16"/>
                <w:szCs w:val="16"/>
              </w:rPr>
            </w:pPr>
            <w:r w:rsidRPr="000A0377">
              <w:rPr>
                <w:rFonts w:ascii="Calibri" w:hAnsi="Calibri" w:cs="Calibri"/>
                <w:sz w:val="16"/>
                <w:szCs w:val="16"/>
              </w:rPr>
              <w:t>$0</w:t>
            </w:r>
          </w:p>
        </w:tc>
        <w:tc>
          <w:tcPr>
            <w:tcW w:w="1074" w:type="dxa"/>
            <w:vAlign w:val="center"/>
          </w:tcPr>
          <w:p w14:paraId="2934E567" w14:textId="77777777" w:rsidR="0088350D" w:rsidRPr="000A0377" w:rsidRDefault="0096567B" w:rsidP="0088350D">
            <w:pPr>
              <w:jc w:val="right"/>
              <w:rPr>
                <w:rFonts w:ascii="Calibri" w:eastAsia="Calibri" w:hAnsi="Calibri" w:cs="Times New Roman"/>
                <w:sz w:val="16"/>
                <w:szCs w:val="16"/>
              </w:rPr>
            </w:pPr>
            <w:r w:rsidRPr="000A0377">
              <w:rPr>
                <w:color w:val="auto"/>
                <w:sz w:val="16"/>
                <w:szCs w:val="16"/>
              </w:rPr>
              <w:t>$507,600</w:t>
            </w:r>
          </w:p>
        </w:tc>
      </w:tr>
    </w:tbl>
    <w:p w14:paraId="692B0EE3" w14:textId="77777777" w:rsidR="00E873F1" w:rsidRDefault="00FE14FE" w:rsidP="00FE14FE">
      <w:pPr>
        <w:spacing w:before="120" w:after="180"/>
        <w:rPr>
          <w:b/>
        </w:rPr>
      </w:pPr>
      <w:r w:rsidRPr="000A0377">
        <w:rPr>
          <w:b/>
        </w:rPr>
        <w:t>Net Benefit</w:t>
      </w:r>
    </w:p>
    <w:p w14:paraId="33E71AF8" w14:textId="0E01C5AE" w:rsidR="00F356C9" w:rsidRDefault="00E57D0D" w:rsidP="00E57D0D">
      <w:pPr>
        <w:spacing w:before="120" w:after="180"/>
      </w:pPr>
      <w:r w:rsidRPr="00F356C9">
        <w:t xml:space="preserve">Abolishing the CDC program and reforming IM gives people the opportunity to make their own decisions about how and when they use their income support payments. People who do not have drug, alcohol, or gambling issues will not have their payments quarantined and stigma of being on the CDC </w:t>
      </w:r>
      <w:r w:rsidR="00F63186">
        <w:t xml:space="preserve">or IM </w:t>
      </w:r>
      <w:r w:rsidRPr="00F356C9">
        <w:t xml:space="preserve">program will no longer exist. There is a </w:t>
      </w:r>
      <w:r w:rsidR="00E15051">
        <w:t>perceived</w:t>
      </w:r>
      <w:r w:rsidRPr="00F356C9">
        <w:t xml:space="preserve"> risk</w:t>
      </w:r>
      <w:r w:rsidR="00E15051">
        <w:t xml:space="preserve"> from some stakeholders of </w:t>
      </w:r>
      <w:r w:rsidRPr="00F356C9">
        <w:t xml:space="preserve">an increase in social </w:t>
      </w:r>
      <w:r w:rsidR="00E15051" w:rsidRPr="00F356C9">
        <w:t>harm;</w:t>
      </w:r>
      <w:r w:rsidRPr="00F356C9">
        <w:t xml:space="preserve"> </w:t>
      </w:r>
      <w:r w:rsidR="00E15051" w:rsidRPr="00F356C9">
        <w:t>however,</w:t>
      </w:r>
      <w:r w:rsidRPr="00F356C9">
        <w:t xml:space="preserve"> </w:t>
      </w:r>
      <w:r w:rsidR="00E15051">
        <w:t>this has been contested</w:t>
      </w:r>
      <w:r w:rsidR="00F63186">
        <w:t xml:space="preserve"> during the consultations with some people expecting no change in social harm an</w:t>
      </w:r>
      <w:r w:rsidR="00603546">
        <w:t>d others expecting an increase.</w:t>
      </w:r>
    </w:p>
    <w:p w14:paraId="44026347" w14:textId="77777777" w:rsidR="003B69B6" w:rsidRPr="000A0377" w:rsidRDefault="003B69B6" w:rsidP="00E57D0D">
      <w:pPr>
        <w:spacing w:before="120" w:after="180"/>
      </w:pPr>
      <w:r w:rsidRPr="000A0377">
        <w:t xml:space="preserve">There will be a </w:t>
      </w:r>
      <w:r w:rsidRPr="000A0377">
        <w:rPr>
          <w:b/>
        </w:rPr>
        <w:t>one off regulatory cost</w:t>
      </w:r>
      <w:r w:rsidRPr="000A0377">
        <w:t xml:space="preserve"> of transitioning participants from the </w:t>
      </w:r>
      <w:r w:rsidRPr="000A0377">
        <w:rPr>
          <w:b/>
        </w:rPr>
        <w:t>CDC program</w:t>
      </w:r>
      <w:r w:rsidRPr="000A0377">
        <w:t xml:space="preserve"> of </w:t>
      </w:r>
      <w:r w:rsidRPr="000A0377">
        <w:rPr>
          <w:b/>
        </w:rPr>
        <w:t>$311,400</w:t>
      </w:r>
      <w:r w:rsidRPr="000A0377">
        <w:t xml:space="preserve">. For IM it is </w:t>
      </w:r>
      <w:r w:rsidRPr="000A0377">
        <w:rPr>
          <w:b/>
        </w:rPr>
        <w:t>$507,600</w:t>
      </w:r>
      <w:r w:rsidRPr="000A0377">
        <w:t xml:space="preserve"> totalling a one off regulatory cost </w:t>
      </w:r>
      <w:r w:rsidRPr="000A0377">
        <w:rPr>
          <w:b/>
        </w:rPr>
        <w:t>$819,000.</w:t>
      </w:r>
      <w:r w:rsidRPr="000A0377">
        <w:t xml:space="preserve"> However, there is a </w:t>
      </w:r>
      <w:r w:rsidRPr="000A0377">
        <w:rPr>
          <w:b/>
        </w:rPr>
        <w:t>$4,627,980</w:t>
      </w:r>
      <w:r w:rsidRPr="000A0377">
        <w:t xml:space="preserve"> </w:t>
      </w:r>
      <w:r w:rsidRPr="000A0377">
        <w:rPr>
          <w:b/>
        </w:rPr>
        <w:t>regulatory save</w:t>
      </w:r>
      <w:r w:rsidRPr="000A0377">
        <w:t xml:space="preserve"> with abolishing the CDC program and a </w:t>
      </w:r>
      <w:r w:rsidRPr="000A0377">
        <w:rPr>
          <w:b/>
        </w:rPr>
        <w:t>$1,892,700 save</w:t>
      </w:r>
      <w:r w:rsidRPr="000A0377">
        <w:t xml:space="preserve"> for reforming IM, totalling a </w:t>
      </w:r>
      <w:r w:rsidRPr="000A0377">
        <w:rPr>
          <w:b/>
        </w:rPr>
        <w:t>regulatory save of $6,520,680</w:t>
      </w:r>
      <w:r w:rsidRPr="000A0377">
        <w:t xml:space="preserve">. With benefits outweighing the costs, abolishing the CDC program and reforming IM is expected to provide a net benefit for participants of </w:t>
      </w:r>
      <w:r w:rsidRPr="000A0377">
        <w:rPr>
          <w:b/>
        </w:rPr>
        <w:t>$5,701,680.</w:t>
      </w:r>
    </w:p>
    <w:tbl>
      <w:tblPr>
        <w:tblStyle w:val="TableGrid"/>
        <w:tblW w:w="0" w:type="auto"/>
        <w:tblLook w:val="04A0" w:firstRow="1" w:lastRow="0" w:firstColumn="1" w:lastColumn="0" w:noHBand="0" w:noVBand="1"/>
        <w:tblDescription w:val="Regulatory save for individuals."/>
      </w:tblPr>
      <w:tblGrid>
        <w:gridCol w:w="6374"/>
        <w:gridCol w:w="1276"/>
        <w:gridCol w:w="1134"/>
        <w:gridCol w:w="1410"/>
      </w:tblGrid>
      <w:tr w:rsidR="003B69B6" w:rsidRPr="000A0377" w14:paraId="0E3C7370" w14:textId="77777777" w:rsidTr="00691643">
        <w:trPr>
          <w:trHeight w:val="300"/>
          <w:tblHeader/>
        </w:trPr>
        <w:tc>
          <w:tcPr>
            <w:tcW w:w="6374" w:type="dxa"/>
            <w:noWrap/>
            <w:hideMark/>
          </w:tcPr>
          <w:p w14:paraId="2AA763B3" w14:textId="77777777" w:rsidR="007A79E3" w:rsidRPr="000A0377" w:rsidRDefault="003B69B6" w:rsidP="007A79E3">
            <w:pPr>
              <w:spacing w:before="120" w:after="180"/>
              <w:rPr>
                <w:b/>
              </w:rPr>
            </w:pPr>
            <w:r w:rsidRPr="000A0377">
              <w:rPr>
                <w:b/>
              </w:rPr>
              <w:t>Programs</w:t>
            </w:r>
          </w:p>
        </w:tc>
        <w:tc>
          <w:tcPr>
            <w:tcW w:w="1276" w:type="dxa"/>
            <w:noWrap/>
            <w:hideMark/>
          </w:tcPr>
          <w:p w14:paraId="72A899C0" w14:textId="77777777" w:rsidR="007A79E3" w:rsidRPr="000A0377" w:rsidRDefault="007A79E3" w:rsidP="007A79E3">
            <w:pPr>
              <w:spacing w:before="120" w:after="180"/>
              <w:rPr>
                <w:b/>
              </w:rPr>
            </w:pPr>
            <w:r w:rsidRPr="000A0377">
              <w:rPr>
                <w:b/>
              </w:rPr>
              <w:t>Save</w:t>
            </w:r>
          </w:p>
        </w:tc>
        <w:tc>
          <w:tcPr>
            <w:tcW w:w="1134" w:type="dxa"/>
            <w:noWrap/>
            <w:hideMark/>
          </w:tcPr>
          <w:p w14:paraId="491F3EC7" w14:textId="77777777" w:rsidR="007A79E3" w:rsidRPr="000A0377" w:rsidRDefault="007A79E3" w:rsidP="007A79E3">
            <w:pPr>
              <w:spacing w:before="120" w:after="180"/>
              <w:rPr>
                <w:b/>
              </w:rPr>
            </w:pPr>
            <w:r w:rsidRPr="000A0377">
              <w:rPr>
                <w:b/>
              </w:rPr>
              <w:t>Cost</w:t>
            </w:r>
          </w:p>
        </w:tc>
        <w:tc>
          <w:tcPr>
            <w:tcW w:w="1410" w:type="dxa"/>
            <w:noWrap/>
            <w:hideMark/>
          </w:tcPr>
          <w:p w14:paraId="4EB84503" w14:textId="77777777" w:rsidR="007A79E3" w:rsidRPr="000A0377" w:rsidRDefault="007A79E3" w:rsidP="007A79E3">
            <w:pPr>
              <w:spacing w:before="120" w:after="180"/>
              <w:rPr>
                <w:b/>
              </w:rPr>
            </w:pPr>
            <w:r w:rsidRPr="000A0377">
              <w:rPr>
                <w:b/>
              </w:rPr>
              <w:t>Total</w:t>
            </w:r>
          </w:p>
        </w:tc>
      </w:tr>
      <w:tr w:rsidR="007A79E3" w:rsidRPr="000A0377" w14:paraId="50A5945C" w14:textId="77777777" w:rsidTr="003B69B6">
        <w:trPr>
          <w:trHeight w:val="300"/>
        </w:trPr>
        <w:tc>
          <w:tcPr>
            <w:tcW w:w="6374" w:type="dxa"/>
            <w:noWrap/>
            <w:hideMark/>
          </w:tcPr>
          <w:p w14:paraId="40254004" w14:textId="77777777" w:rsidR="007A79E3" w:rsidRPr="000A0377" w:rsidRDefault="007A79E3" w:rsidP="007A79E3">
            <w:pPr>
              <w:spacing w:before="120" w:after="180"/>
              <w:rPr>
                <w:b/>
              </w:rPr>
            </w:pPr>
            <w:r w:rsidRPr="000A0377">
              <w:rPr>
                <w:b/>
              </w:rPr>
              <w:t>CDC</w:t>
            </w:r>
            <w:r w:rsidR="003B69B6" w:rsidRPr="000A0377">
              <w:rPr>
                <w:b/>
              </w:rPr>
              <w:t xml:space="preserve"> program</w:t>
            </w:r>
          </w:p>
        </w:tc>
        <w:tc>
          <w:tcPr>
            <w:tcW w:w="1276" w:type="dxa"/>
            <w:noWrap/>
            <w:hideMark/>
          </w:tcPr>
          <w:p w14:paraId="7015B95C" w14:textId="77777777" w:rsidR="007A79E3" w:rsidRPr="000A0377" w:rsidRDefault="007A79E3" w:rsidP="007A79E3">
            <w:pPr>
              <w:spacing w:before="120" w:after="180"/>
            </w:pPr>
            <w:r w:rsidRPr="000A0377">
              <w:t>-$4,627,980</w:t>
            </w:r>
          </w:p>
        </w:tc>
        <w:tc>
          <w:tcPr>
            <w:tcW w:w="1134" w:type="dxa"/>
            <w:noWrap/>
            <w:hideMark/>
          </w:tcPr>
          <w:p w14:paraId="0C74EB72" w14:textId="77777777" w:rsidR="007A79E3" w:rsidRPr="000A0377" w:rsidRDefault="007A79E3" w:rsidP="007A79E3">
            <w:pPr>
              <w:spacing w:before="120" w:after="180"/>
            </w:pPr>
            <w:r w:rsidRPr="000A0377">
              <w:t>$311,400</w:t>
            </w:r>
          </w:p>
        </w:tc>
        <w:tc>
          <w:tcPr>
            <w:tcW w:w="1410" w:type="dxa"/>
            <w:noWrap/>
            <w:hideMark/>
          </w:tcPr>
          <w:p w14:paraId="7C7932FA" w14:textId="77777777" w:rsidR="007A79E3" w:rsidRPr="000A0377" w:rsidRDefault="007A79E3" w:rsidP="007A79E3">
            <w:pPr>
              <w:spacing w:before="120" w:after="180"/>
            </w:pPr>
            <w:r w:rsidRPr="000A0377">
              <w:t>-$4,316,580</w:t>
            </w:r>
          </w:p>
        </w:tc>
      </w:tr>
      <w:tr w:rsidR="007A79E3" w:rsidRPr="000A0377" w14:paraId="3F52C70A" w14:textId="77777777" w:rsidTr="003B69B6">
        <w:trPr>
          <w:trHeight w:val="300"/>
        </w:trPr>
        <w:tc>
          <w:tcPr>
            <w:tcW w:w="6374" w:type="dxa"/>
            <w:noWrap/>
            <w:hideMark/>
          </w:tcPr>
          <w:p w14:paraId="7B396ADB" w14:textId="77777777" w:rsidR="007A79E3" w:rsidRPr="000A0377" w:rsidRDefault="007A79E3" w:rsidP="007A79E3">
            <w:pPr>
              <w:spacing w:before="120" w:after="180"/>
              <w:rPr>
                <w:b/>
              </w:rPr>
            </w:pPr>
            <w:r w:rsidRPr="000A0377">
              <w:rPr>
                <w:b/>
              </w:rPr>
              <w:t>IM</w:t>
            </w:r>
            <w:r w:rsidR="003B69B6" w:rsidRPr="000A0377">
              <w:rPr>
                <w:b/>
              </w:rPr>
              <w:t xml:space="preserve"> program</w:t>
            </w:r>
          </w:p>
        </w:tc>
        <w:tc>
          <w:tcPr>
            <w:tcW w:w="1276" w:type="dxa"/>
            <w:noWrap/>
            <w:hideMark/>
          </w:tcPr>
          <w:p w14:paraId="64C540CD" w14:textId="77777777" w:rsidR="007A79E3" w:rsidRPr="000A0377" w:rsidRDefault="007A79E3" w:rsidP="007A79E3">
            <w:pPr>
              <w:spacing w:before="120" w:after="180"/>
            </w:pPr>
            <w:r w:rsidRPr="000A0377">
              <w:t>-$1,892,700</w:t>
            </w:r>
          </w:p>
        </w:tc>
        <w:tc>
          <w:tcPr>
            <w:tcW w:w="1134" w:type="dxa"/>
            <w:noWrap/>
            <w:hideMark/>
          </w:tcPr>
          <w:p w14:paraId="7E53F261" w14:textId="77777777" w:rsidR="007A79E3" w:rsidRPr="000A0377" w:rsidRDefault="007A79E3" w:rsidP="007A79E3">
            <w:pPr>
              <w:spacing w:before="120" w:after="180"/>
            </w:pPr>
            <w:r w:rsidRPr="000A0377">
              <w:t>$507,600</w:t>
            </w:r>
          </w:p>
        </w:tc>
        <w:tc>
          <w:tcPr>
            <w:tcW w:w="1410" w:type="dxa"/>
            <w:noWrap/>
            <w:hideMark/>
          </w:tcPr>
          <w:p w14:paraId="75866161" w14:textId="77777777" w:rsidR="007A79E3" w:rsidRPr="000A0377" w:rsidRDefault="007A79E3" w:rsidP="007A79E3">
            <w:pPr>
              <w:spacing w:before="120" w:after="180"/>
            </w:pPr>
            <w:r w:rsidRPr="000A0377">
              <w:t>-$1,385,100</w:t>
            </w:r>
          </w:p>
        </w:tc>
      </w:tr>
      <w:tr w:rsidR="007A79E3" w:rsidRPr="007A79E3" w14:paraId="2259963E" w14:textId="77777777" w:rsidTr="003B69B6">
        <w:trPr>
          <w:trHeight w:val="300"/>
        </w:trPr>
        <w:tc>
          <w:tcPr>
            <w:tcW w:w="6374" w:type="dxa"/>
            <w:noWrap/>
            <w:hideMark/>
          </w:tcPr>
          <w:p w14:paraId="65AAADC3" w14:textId="77777777" w:rsidR="007A79E3" w:rsidRPr="000A0377" w:rsidRDefault="007A79E3" w:rsidP="007A79E3">
            <w:pPr>
              <w:spacing w:before="120" w:after="180"/>
              <w:rPr>
                <w:b/>
              </w:rPr>
            </w:pPr>
            <w:r w:rsidRPr="000A0377">
              <w:rPr>
                <w:b/>
              </w:rPr>
              <w:t>Total</w:t>
            </w:r>
          </w:p>
        </w:tc>
        <w:tc>
          <w:tcPr>
            <w:tcW w:w="1276" w:type="dxa"/>
            <w:noWrap/>
            <w:hideMark/>
          </w:tcPr>
          <w:p w14:paraId="5FD8F797" w14:textId="77777777" w:rsidR="007A79E3" w:rsidRPr="000A0377" w:rsidRDefault="007A79E3" w:rsidP="007A79E3">
            <w:pPr>
              <w:spacing w:before="120" w:after="180"/>
            </w:pPr>
            <w:r w:rsidRPr="000A0377">
              <w:t>-$6,520,680</w:t>
            </w:r>
          </w:p>
        </w:tc>
        <w:tc>
          <w:tcPr>
            <w:tcW w:w="1134" w:type="dxa"/>
            <w:noWrap/>
            <w:hideMark/>
          </w:tcPr>
          <w:p w14:paraId="219F4F52" w14:textId="77777777" w:rsidR="007A79E3" w:rsidRPr="000A0377" w:rsidRDefault="007A79E3" w:rsidP="007A79E3">
            <w:pPr>
              <w:spacing w:before="120" w:after="180"/>
            </w:pPr>
            <w:r w:rsidRPr="000A0377">
              <w:t>$819,000</w:t>
            </w:r>
          </w:p>
        </w:tc>
        <w:tc>
          <w:tcPr>
            <w:tcW w:w="1410" w:type="dxa"/>
            <w:noWrap/>
            <w:hideMark/>
          </w:tcPr>
          <w:p w14:paraId="77B2D31A" w14:textId="77777777" w:rsidR="007A79E3" w:rsidRPr="000A0377" w:rsidRDefault="007A79E3" w:rsidP="007A79E3">
            <w:pPr>
              <w:spacing w:before="120" w:after="180"/>
            </w:pPr>
            <w:r w:rsidRPr="000A0377">
              <w:t>-$5,701,680</w:t>
            </w:r>
          </w:p>
        </w:tc>
      </w:tr>
    </w:tbl>
    <w:p w14:paraId="6B6BE0FE" w14:textId="77777777" w:rsidR="004A6F5F" w:rsidRDefault="004A6F5F">
      <w:pPr>
        <w:rPr>
          <w:rFonts w:ascii="Calibri" w:eastAsia="Times New Roman" w:hAnsi="Calibri" w:cs="Times New Roman"/>
          <w:color w:val="auto"/>
          <w:szCs w:val="24"/>
          <w:lang w:eastAsia="en-AU"/>
        </w:rPr>
      </w:pPr>
      <w:r>
        <w:br w:type="page"/>
      </w:r>
    </w:p>
    <w:p w14:paraId="410F2EB0" w14:textId="57FAACF4" w:rsidR="0042167E" w:rsidRPr="00F90C71" w:rsidRDefault="00FB6FA4" w:rsidP="00A073CF">
      <w:pPr>
        <w:pStyle w:val="Heading4"/>
        <w:rPr>
          <w:lang w:eastAsia="en-AU"/>
        </w:rPr>
      </w:pPr>
      <w:r>
        <w:rPr>
          <w:lang w:eastAsia="en-AU"/>
        </w:rPr>
        <w:t xml:space="preserve">4.2.2.1.2 </w:t>
      </w:r>
      <w:r w:rsidR="0042167E" w:rsidRPr="00F90C71">
        <w:rPr>
          <w:lang w:eastAsia="en-AU"/>
        </w:rPr>
        <w:t>Participants who move to voluntary IM</w:t>
      </w:r>
    </w:p>
    <w:p w14:paraId="7E7EEBA7" w14:textId="77777777" w:rsidR="00B461DC" w:rsidRPr="001D1F3A" w:rsidRDefault="001D1F3A" w:rsidP="001F30CA">
      <w:pPr>
        <w:spacing w:before="120" w:after="180"/>
        <w:rPr>
          <w:color w:val="auto"/>
        </w:rPr>
      </w:pPr>
      <w:r w:rsidRPr="001D1F3A">
        <w:rPr>
          <w:color w:val="auto"/>
        </w:rPr>
        <w:t>This includes those that chose to volunteer from former CDC sites and I</w:t>
      </w:r>
      <w:r w:rsidR="00F448CF">
        <w:rPr>
          <w:color w:val="auto"/>
        </w:rPr>
        <w:t>M locations.</w:t>
      </w:r>
    </w:p>
    <w:p w14:paraId="66235E13" w14:textId="77777777" w:rsidR="0042167E" w:rsidRDefault="0042167E" w:rsidP="001F30CA">
      <w:pPr>
        <w:spacing w:before="120" w:after="180"/>
      </w:pPr>
      <w:r>
        <w:rPr>
          <w:b/>
        </w:rPr>
        <w:t>Benefits</w:t>
      </w:r>
    </w:p>
    <w:p w14:paraId="75DCFB35" w14:textId="77777777" w:rsidR="00097A77" w:rsidRPr="00C64EEF" w:rsidRDefault="001F3FA9" w:rsidP="00653DAB">
      <w:pPr>
        <w:pStyle w:val="BulletedListlvl1"/>
        <w:ind w:left="566"/>
        <w:rPr>
          <w:color w:val="auto"/>
        </w:rPr>
      </w:pPr>
      <w:r w:rsidRPr="00C64EEF">
        <w:rPr>
          <w:b/>
          <w:color w:val="auto"/>
        </w:rPr>
        <w:t>I</w:t>
      </w:r>
      <w:r w:rsidR="0030544D">
        <w:rPr>
          <w:b/>
          <w:color w:val="auto"/>
        </w:rPr>
        <w:t>M</w:t>
      </w:r>
      <w:r w:rsidRPr="00C64EEF">
        <w:rPr>
          <w:b/>
          <w:color w:val="auto"/>
        </w:rPr>
        <w:t xml:space="preserve"> can provide financial management support for those who want it:</w:t>
      </w:r>
      <w:r w:rsidRPr="00C64EEF">
        <w:rPr>
          <w:color w:val="auto"/>
        </w:rPr>
        <w:t xml:space="preserve"> Some participants may wish to continue cashless welfare arrangements as they experience the benefits of protection against financial harassment and increased fi</w:t>
      </w:r>
      <w:r w:rsidR="00097A77" w:rsidRPr="00C64EEF">
        <w:rPr>
          <w:color w:val="auto"/>
        </w:rPr>
        <w:t>nancial stability.</w:t>
      </w:r>
      <w:r w:rsidRPr="00C64EEF">
        <w:rPr>
          <w:color w:val="auto"/>
        </w:rPr>
        <w:t xml:space="preserve"> IM evaluations reflect some key positive findings such as 85.5 per cent of voluntary IM participants reporting improvements in their ability to pay rent and bills, 74.2 per cent reporting improvement in ability to manage money, and 54 per cent reporting improvement in ability to save money.</w:t>
      </w:r>
      <w:r w:rsidRPr="00C64EEF">
        <w:rPr>
          <w:rStyle w:val="FootnoteReference"/>
          <w:rFonts w:ascii="Calibri" w:eastAsia="Calibri" w:hAnsi="Calibri" w:cs="Calibri"/>
          <w:color w:val="auto"/>
        </w:rPr>
        <w:t xml:space="preserve"> </w:t>
      </w:r>
      <w:r w:rsidRPr="00C64EEF">
        <w:rPr>
          <w:rStyle w:val="FootnoteReference"/>
          <w:rFonts w:ascii="Calibri" w:eastAsia="Calibri" w:hAnsi="Calibri" w:cs="Calibri"/>
          <w:color w:val="auto"/>
        </w:rPr>
        <w:footnoteReference w:id="26"/>
      </w:r>
    </w:p>
    <w:p w14:paraId="399E0735" w14:textId="77777777" w:rsidR="00F12AD9" w:rsidRPr="00F12AD9" w:rsidRDefault="00C30717" w:rsidP="00227D10">
      <w:pPr>
        <w:pStyle w:val="BulletedListlvl1"/>
        <w:ind w:left="568" w:hanging="284"/>
        <w:rPr>
          <w:rFonts w:ascii="Calibri" w:eastAsia="Calibri" w:hAnsi="Calibri" w:cs="Calibri"/>
        </w:rPr>
      </w:pPr>
      <w:r>
        <w:rPr>
          <w:b/>
        </w:rPr>
        <w:t xml:space="preserve">Voluntary </w:t>
      </w:r>
      <w:r w:rsidR="001F3FA9" w:rsidRPr="00C64EEF">
        <w:rPr>
          <w:b/>
        </w:rPr>
        <w:t xml:space="preserve">IM participants could benefit from safeguards, </w:t>
      </w:r>
      <w:r w:rsidR="00D1538B" w:rsidRPr="00C64EEF">
        <w:t>such as protection from humbugging and other activities that seek to take advantage of welfare recipients in the community. Humbugging is a practice of demanding money from rela</w:t>
      </w:r>
      <w:r w:rsidR="00031315">
        <w:t>tives. Consultations have indicated that women</w:t>
      </w:r>
      <w:r w:rsidR="00D1538B" w:rsidRPr="00C64EEF">
        <w:t xml:space="preserve"> and the e</w:t>
      </w:r>
      <w:r w:rsidR="00F419F2">
        <w:t xml:space="preserve">lderly </w:t>
      </w:r>
      <w:r w:rsidR="00031315">
        <w:t>are common targets for such behaviour and a</w:t>
      </w:r>
      <w:r w:rsidR="00D1538B" w:rsidRPr="00C64EEF">
        <w:t xml:space="preserve">s cash is unable to be withdrawn from both the CDC and BasicsCard, the programs </w:t>
      </w:r>
      <w:r w:rsidR="00F57ECD">
        <w:t xml:space="preserve">may </w:t>
      </w:r>
      <w:r w:rsidR="00D1538B" w:rsidRPr="00C64EEF">
        <w:t xml:space="preserve">provide some protection against humbugging. The IM evaluations illustrates that recipients who use income management as a form of protection, usually </w:t>
      </w:r>
      <w:r w:rsidR="0030544D">
        <w:t>v</w:t>
      </w:r>
      <w:r w:rsidR="00D1538B" w:rsidRPr="00C64EEF">
        <w:t>oluntary I</w:t>
      </w:r>
      <w:r w:rsidR="0030544D">
        <w:t>M</w:t>
      </w:r>
      <w:r w:rsidR="00D1538B" w:rsidRPr="00C64EEF">
        <w:t xml:space="preserve">, are more likely to stay on it for a long period to ensure they remain protected. </w:t>
      </w:r>
      <w:r w:rsidR="00D1538B" w:rsidRPr="00F66EC6">
        <w:t>38.1 per cent of social workers</w:t>
      </w:r>
      <w:r w:rsidR="00F66EC6" w:rsidRPr="00F66EC6">
        <w:rPr>
          <w:rStyle w:val="FootnoteReference"/>
        </w:rPr>
        <w:footnoteReference w:id="27"/>
      </w:r>
      <w:r w:rsidR="00D1538B" w:rsidRPr="00F66EC6">
        <w:t xml:space="preserve">, customer service officers and IM contact officers found that voluntary </w:t>
      </w:r>
      <w:r w:rsidR="0030544D">
        <w:t>IM</w:t>
      </w:r>
      <w:r w:rsidR="00D1538B" w:rsidRPr="00F66EC6">
        <w:t xml:space="preserve"> is a useful tool to “reduce the likelihood that welfare payment recipients will be subject to harassment and abuse in relation to their welfare payments”. Allowing a person to volunteer for IM </w:t>
      </w:r>
      <w:r w:rsidR="00D10F06" w:rsidRPr="00F66EC6">
        <w:rPr>
          <w:color w:val="auto"/>
        </w:rPr>
        <w:t xml:space="preserve">allows a person to make a decision to keep quarantining </w:t>
      </w:r>
      <w:r w:rsidR="000D4CFB">
        <w:rPr>
          <w:color w:val="auto"/>
        </w:rPr>
        <w:t>their income support payments</w:t>
      </w:r>
      <w:r w:rsidR="00D10F06" w:rsidRPr="00F66EC6">
        <w:rPr>
          <w:color w:val="auto"/>
        </w:rPr>
        <w:t xml:space="preserve"> if it is in their interests</w:t>
      </w:r>
      <w:r w:rsidR="00D1538B" w:rsidRPr="00F66EC6">
        <w:t>.</w:t>
      </w:r>
      <w:r w:rsidR="00472739" w:rsidRPr="00F66EC6">
        <w:t xml:space="preserve"> There may be pressure from family members to cease an arrangement. Currently around 2,700 people volunteer for the IM program</w:t>
      </w:r>
      <w:r w:rsidR="00363E0A" w:rsidRPr="00F66EC6">
        <w:t xml:space="preserve"> which suggests that there is </w:t>
      </w:r>
      <w:r w:rsidR="00472739" w:rsidRPr="00F66EC6">
        <w:t xml:space="preserve">a demand for a voluntary arrangement even </w:t>
      </w:r>
      <w:r w:rsidR="00363E0A" w:rsidRPr="00F66EC6">
        <w:t>if pressure exists to leave the program.</w:t>
      </w:r>
    </w:p>
    <w:p w14:paraId="7E8745E8" w14:textId="77777777" w:rsidR="00E868DA" w:rsidRDefault="0042167E" w:rsidP="00227D10">
      <w:pPr>
        <w:spacing w:before="120" w:after="180" w:line="276" w:lineRule="auto"/>
      </w:pPr>
      <w:r w:rsidRPr="00DC3614">
        <w:rPr>
          <w:rFonts w:ascii="Calibri" w:eastAsia="Calibri" w:hAnsi="Calibri" w:cs="Times New Roman"/>
          <w:b/>
          <w:color w:val="262626"/>
        </w:rPr>
        <w:t>Costs</w:t>
      </w:r>
    </w:p>
    <w:p w14:paraId="2691C454" w14:textId="16DE5035" w:rsidR="00957BBD" w:rsidRPr="000A0377" w:rsidRDefault="00957BBD" w:rsidP="00957BBD">
      <w:pPr>
        <w:pStyle w:val="BulletedListlvl1"/>
        <w:rPr>
          <w:color w:val="auto"/>
        </w:rPr>
      </w:pPr>
      <w:r w:rsidRPr="00770D37">
        <w:rPr>
          <w:color w:val="auto"/>
        </w:rPr>
        <w:t xml:space="preserve">In </w:t>
      </w:r>
      <w:r w:rsidRPr="000A0377">
        <w:rPr>
          <w:color w:val="auto"/>
        </w:rPr>
        <w:t xml:space="preserve">year </w:t>
      </w:r>
      <w:r w:rsidR="004B36D4" w:rsidRPr="000A0377">
        <w:rPr>
          <w:color w:val="auto"/>
        </w:rPr>
        <w:t>3</w:t>
      </w:r>
      <w:r w:rsidR="001B6D65">
        <w:rPr>
          <w:color w:val="auto"/>
        </w:rPr>
        <w:t>*</w:t>
      </w:r>
      <w:r w:rsidR="004B36D4" w:rsidRPr="000A0377">
        <w:rPr>
          <w:color w:val="auto"/>
        </w:rPr>
        <w:t xml:space="preserve"> </w:t>
      </w:r>
      <w:r w:rsidRPr="000A0377">
        <w:rPr>
          <w:color w:val="auto"/>
        </w:rPr>
        <w:t>(202</w:t>
      </w:r>
      <w:r w:rsidR="004B36D4" w:rsidRPr="000A0377">
        <w:rPr>
          <w:color w:val="auto"/>
        </w:rPr>
        <w:t>4</w:t>
      </w:r>
      <w:r w:rsidRPr="000A0377">
        <w:rPr>
          <w:color w:val="auto"/>
        </w:rPr>
        <w:t>-2</w:t>
      </w:r>
      <w:r w:rsidR="004B36D4" w:rsidRPr="000A0377">
        <w:rPr>
          <w:color w:val="auto"/>
        </w:rPr>
        <w:t>5</w:t>
      </w:r>
      <w:r w:rsidRPr="000A0377">
        <w:rPr>
          <w:color w:val="auto"/>
        </w:rPr>
        <w:t>) there will be:</w:t>
      </w:r>
    </w:p>
    <w:p w14:paraId="4125857C" w14:textId="7D003F3D" w:rsidR="00705475" w:rsidRPr="000A0377" w:rsidRDefault="0077044C" w:rsidP="00CD3D0C">
      <w:pPr>
        <w:pStyle w:val="BulletedListlvl1"/>
        <w:numPr>
          <w:ilvl w:val="1"/>
          <w:numId w:val="2"/>
        </w:numPr>
        <w:rPr>
          <w:color w:val="auto"/>
        </w:rPr>
      </w:pPr>
      <w:r w:rsidRPr="000A0377">
        <w:rPr>
          <w:color w:val="auto"/>
        </w:rPr>
        <w:t>5,600</w:t>
      </w:r>
      <w:r w:rsidR="00705475" w:rsidRPr="000A0377">
        <w:rPr>
          <w:color w:val="auto"/>
        </w:rPr>
        <w:t xml:space="preserve"> </w:t>
      </w:r>
      <w:r w:rsidR="004716A2" w:rsidRPr="000A0377">
        <w:rPr>
          <w:color w:val="auto"/>
        </w:rPr>
        <w:t>new</w:t>
      </w:r>
      <w:r w:rsidR="00705475" w:rsidRPr="000A0377">
        <w:rPr>
          <w:color w:val="auto"/>
        </w:rPr>
        <w:t xml:space="preserve"> volunteer</w:t>
      </w:r>
      <w:r w:rsidR="00957BBD" w:rsidRPr="000A0377">
        <w:rPr>
          <w:color w:val="auto"/>
        </w:rPr>
        <w:t>s</w:t>
      </w:r>
      <w:r w:rsidR="008B02E4" w:rsidRPr="000A0377">
        <w:rPr>
          <w:color w:val="auto"/>
        </w:rPr>
        <w:t>, 4</w:t>
      </w:r>
      <w:r w:rsidR="000D4CFB">
        <w:rPr>
          <w:color w:val="auto"/>
        </w:rPr>
        <w:t>,</w:t>
      </w:r>
      <w:r w:rsidR="008B02E4" w:rsidRPr="000A0377">
        <w:rPr>
          <w:color w:val="auto"/>
        </w:rPr>
        <w:t>000 from current CDC and IM location and 1,600</w:t>
      </w:r>
      <w:r w:rsidR="00A7693B">
        <w:rPr>
          <w:color w:val="auto"/>
        </w:rPr>
        <w:t>*</w:t>
      </w:r>
      <w:r w:rsidR="008B02E4" w:rsidRPr="000A0377">
        <w:rPr>
          <w:color w:val="auto"/>
        </w:rPr>
        <w:t xml:space="preserve"> from other locations</w:t>
      </w:r>
      <w:r w:rsidR="00705475" w:rsidRPr="000A0377">
        <w:rPr>
          <w:color w:val="auto"/>
        </w:rPr>
        <w:t xml:space="preserve">. </w:t>
      </w:r>
      <w:r w:rsidR="00B24031" w:rsidRPr="000A0377">
        <w:rPr>
          <w:color w:val="auto"/>
        </w:rPr>
        <w:t xml:space="preserve">These participants will need to learn how they can use the </w:t>
      </w:r>
      <w:r w:rsidR="00974FFF">
        <w:rPr>
          <w:rFonts w:eastAsia="Calibri"/>
        </w:rPr>
        <w:t>contemporary card.</w:t>
      </w:r>
      <w:r w:rsidR="00BD0E0E">
        <w:rPr>
          <w:rFonts w:eastAsia="Calibri"/>
        </w:rPr>
        <w:t xml:space="preserve"> </w:t>
      </w:r>
      <w:r w:rsidR="00B24031" w:rsidRPr="000A0377">
        <w:rPr>
          <w:color w:val="auto"/>
        </w:rPr>
        <w:t xml:space="preserve">It is anticipated this will take </w:t>
      </w:r>
      <w:r w:rsidR="007F5046" w:rsidRPr="000A0377">
        <w:rPr>
          <w:color w:val="auto"/>
        </w:rPr>
        <w:t>0.75</w:t>
      </w:r>
      <w:r w:rsidR="00B24031" w:rsidRPr="000A0377">
        <w:rPr>
          <w:color w:val="auto"/>
        </w:rPr>
        <w:t xml:space="preserve"> hours which will have a regulatory cost o</w:t>
      </w:r>
      <w:r w:rsidR="00603546">
        <w:rPr>
          <w:color w:val="auto"/>
        </w:rPr>
        <w:t>f $36 per participant per hour.</w:t>
      </w:r>
    </w:p>
    <w:p w14:paraId="577EBE03" w14:textId="2C13DBF5" w:rsidR="00102FB0" w:rsidRPr="000A0377" w:rsidRDefault="00CF42CE" w:rsidP="007F5046">
      <w:pPr>
        <w:pStyle w:val="BulletedListlvl1"/>
        <w:numPr>
          <w:ilvl w:val="1"/>
          <w:numId w:val="2"/>
        </w:numPr>
        <w:rPr>
          <w:color w:val="auto"/>
        </w:rPr>
      </w:pPr>
      <w:r w:rsidRPr="000A0377">
        <w:rPr>
          <w:color w:val="auto"/>
        </w:rPr>
        <w:t xml:space="preserve">From year </w:t>
      </w:r>
      <w:r w:rsidR="0077044C" w:rsidRPr="000A0377">
        <w:rPr>
          <w:color w:val="auto"/>
        </w:rPr>
        <w:t>4</w:t>
      </w:r>
      <w:r w:rsidR="00102FB0" w:rsidRPr="000A0377">
        <w:rPr>
          <w:color w:val="auto"/>
        </w:rPr>
        <w:t xml:space="preserve"> </w:t>
      </w:r>
      <w:r w:rsidR="007F5046" w:rsidRPr="000A0377">
        <w:rPr>
          <w:color w:val="auto"/>
        </w:rPr>
        <w:t xml:space="preserve">onwards </w:t>
      </w:r>
      <w:r w:rsidR="00C266AF" w:rsidRPr="000A0377">
        <w:rPr>
          <w:color w:val="auto"/>
        </w:rPr>
        <w:t>there will be a total</w:t>
      </w:r>
      <w:r w:rsidR="00102FB0" w:rsidRPr="000A0377">
        <w:rPr>
          <w:color w:val="auto"/>
        </w:rPr>
        <w:t xml:space="preserve"> </w:t>
      </w:r>
      <w:r w:rsidR="000D4CFB">
        <w:rPr>
          <w:color w:val="auto"/>
        </w:rPr>
        <w:t xml:space="preserve">of </w:t>
      </w:r>
      <w:r w:rsidR="00837A73" w:rsidRPr="000A0377">
        <w:rPr>
          <w:color w:val="auto"/>
        </w:rPr>
        <w:t>84</w:t>
      </w:r>
      <w:r w:rsidR="00CD3D0C" w:rsidRPr="000A0377">
        <w:rPr>
          <w:color w:val="auto"/>
        </w:rPr>
        <w:t xml:space="preserve">0 </w:t>
      </w:r>
      <w:r w:rsidR="007F5046" w:rsidRPr="000A0377">
        <w:rPr>
          <w:color w:val="auto"/>
        </w:rPr>
        <w:t xml:space="preserve">new </w:t>
      </w:r>
      <w:r w:rsidR="0030544D">
        <w:rPr>
          <w:color w:val="auto"/>
        </w:rPr>
        <w:t xml:space="preserve">voluntary </w:t>
      </w:r>
      <w:r w:rsidR="00CD3D0C" w:rsidRPr="000A0377">
        <w:rPr>
          <w:color w:val="auto"/>
        </w:rPr>
        <w:t xml:space="preserve">IM </w:t>
      </w:r>
      <w:r w:rsidR="007F5046" w:rsidRPr="000A0377">
        <w:rPr>
          <w:color w:val="auto"/>
        </w:rPr>
        <w:t>participants</w:t>
      </w:r>
      <w:r w:rsidR="00102FB0" w:rsidRPr="000A0377">
        <w:rPr>
          <w:color w:val="auto"/>
        </w:rPr>
        <w:t xml:space="preserve">. These participants will need to learn how they can use the </w:t>
      </w:r>
      <w:r w:rsidR="00974FFF">
        <w:rPr>
          <w:rFonts w:eastAsia="Calibri"/>
        </w:rPr>
        <w:t>contemporary card</w:t>
      </w:r>
      <w:r w:rsidR="00102FB0" w:rsidRPr="000A0377">
        <w:rPr>
          <w:color w:val="auto"/>
        </w:rPr>
        <w:t xml:space="preserve">. It is anticipated this will take </w:t>
      </w:r>
      <w:r w:rsidR="007F5046" w:rsidRPr="000A0377">
        <w:rPr>
          <w:color w:val="auto"/>
        </w:rPr>
        <w:t>0.75</w:t>
      </w:r>
      <w:r w:rsidR="00102FB0" w:rsidRPr="000A0377">
        <w:rPr>
          <w:color w:val="auto"/>
        </w:rPr>
        <w:t xml:space="preserve"> hours which will have a regulatory cost o</w:t>
      </w:r>
      <w:r w:rsidR="00603546">
        <w:rPr>
          <w:color w:val="auto"/>
        </w:rPr>
        <w:t>f $36 per participant per hour.</w:t>
      </w:r>
    </w:p>
    <w:p w14:paraId="344C5C5F" w14:textId="7D4D1326" w:rsidR="00865531" w:rsidRDefault="0039559F" w:rsidP="00865531">
      <w:pPr>
        <w:pStyle w:val="BulletedListlvl1"/>
        <w:rPr>
          <w:color w:val="auto"/>
        </w:rPr>
      </w:pPr>
      <w:r w:rsidRPr="000A0377">
        <w:rPr>
          <w:color w:val="auto"/>
        </w:rPr>
        <w:t>As previously stated</w:t>
      </w:r>
      <w:r w:rsidR="00BF3522" w:rsidRPr="000A0377">
        <w:rPr>
          <w:color w:val="auto"/>
        </w:rPr>
        <w:t xml:space="preserve"> </w:t>
      </w:r>
      <w:r w:rsidR="00363E0A" w:rsidRPr="000A0377">
        <w:rPr>
          <w:color w:val="auto"/>
        </w:rPr>
        <w:t xml:space="preserve">it </w:t>
      </w:r>
      <w:r w:rsidR="00BF3522" w:rsidRPr="000A0377">
        <w:rPr>
          <w:color w:val="auto"/>
        </w:rPr>
        <w:t>is anticipated</w:t>
      </w:r>
      <w:r w:rsidRPr="000A0377">
        <w:rPr>
          <w:color w:val="auto"/>
        </w:rPr>
        <w:t xml:space="preserve"> there is a</w:t>
      </w:r>
      <w:r w:rsidR="00BF3522" w:rsidRPr="000A0377">
        <w:rPr>
          <w:color w:val="auto"/>
        </w:rPr>
        <w:t xml:space="preserve"> </w:t>
      </w:r>
      <w:r w:rsidR="007F5046" w:rsidRPr="000A0377">
        <w:rPr>
          <w:color w:val="auto"/>
        </w:rPr>
        <w:t>15 per cent turnover</w:t>
      </w:r>
      <w:r w:rsidR="007F5046" w:rsidRPr="00957BBD">
        <w:rPr>
          <w:color w:val="auto"/>
        </w:rPr>
        <w:t xml:space="preserve"> per year</w:t>
      </w:r>
      <w:r w:rsidR="00603546">
        <w:rPr>
          <w:color w:val="auto"/>
        </w:rPr>
        <w:t>.</w:t>
      </w:r>
    </w:p>
    <w:p w14:paraId="708075D6" w14:textId="77777777" w:rsidR="00A7693B" w:rsidRPr="00A7693B" w:rsidRDefault="00A7693B" w:rsidP="00A7693B">
      <w:pPr>
        <w:pStyle w:val="BulletedListlvl1"/>
        <w:numPr>
          <w:ilvl w:val="0"/>
          <w:numId w:val="0"/>
        </w:numPr>
        <w:ind w:left="284"/>
      </w:pPr>
      <w:r w:rsidRPr="00254CCC">
        <w:t>*These numbers are contingent on further consideration by government.</w:t>
      </w:r>
    </w:p>
    <w:p w14:paraId="0B357DF8" w14:textId="40D754D9" w:rsidR="004A6F5F" w:rsidRDefault="004A6F5F">
      <w:pPr>
        <w:rPr>
          <w:b/>
        </w:rPr>
      </w:pPr>
      <w:r>
        <w:rPr>
          <w:b/>
        </w:rPr>
        <w:br w:type="page"/>
      </w:r>
    </w:p>
    <w:p w14:paraId="1327836E" w14:textId="5792ACA0" w:rsidR="00C73641" w:rsidRPr="00104DF1" w:rsidRDefault="00C73641" w:rsidP="00C73641">
      <w:pPr>
        <w:pStyle w:val="BodyText"/>
        <w:spacing w:before="120" w:after="180"/>
        <w:rPr>
          <w:b/>
        </w:rPr>
      </w:pPr>
      <w:r>
        <w:rPr>
          <w:b/>
        </w:rPr>
        <w:t>Costs for particip</w:t>
      </w:r>
      <w:r w:rsidR="00603546">
        <w:rPr>
          <w:b/>
        </w:rPr>
        <w:t>ants who move onto voluntary IM</w:t>
      </w:r>
    </w:p>
    <w:tbl>
      <w:tblPr>
        <w:tblStyle w:val="TableGrid1"/>
        <w:tblW w:w="10613" w:type="dxa"/>
        <w:jc w:val="center"/>
        <w:tblLayout w:type="fixed"/>
        <w:tblLook w:val="04A0" w:firstRow="1" w:lastRow="0" w:firstColumn="1" w:lastColumn="0" w:noHBand="0" w:noVBand="1"/>
        <w:tblDescription w:val="Costs for participants who move onto voluntary IM "/>
      </w:tblPr>
      <w:tblGrid>
        <w:gridCol w:w="1271"/>
        <w:gridCol w:w="709"/>
        <w:gridCol w:w="978"/>
        <w:gridCol w:w="851"/>
        <w:gridCol w:w="850"/>
        <w:gridCol w:w="851"/>
        <w:gridCol w:w="850"/>
        <w:gridCol w:w="851"/>
        <w:gridCol w:w="850"/>
        <w:gridCol w:w="851"/>
        <w:gridCol w:w="850"/>
        <w:gridCol w:w="851"/>
      </w:tblGrid>
      <w:tr w:rsidR="008B19D1" w:rsidRPr="00693AF4" w14:paraId="59B2944C" w14:textId="77777777" w:rsidTr="00691643">
        <w:trPr>
          <w:trHeight w:val="464"/>
          <w:tblHeader/>
          <w:jc w:val="center"/>
        </w:trPr>
        <w:tc>
          <w:tcPr>
            <w:tcW w:w="1271" w:type="dxa"/>
          </w:tcPr>
          <w:p w14:paraId="6DE9D725" w14:textId="77777777" w:rsidR="00C0669B" w:rsidRPr="00693AF4" w:rsidRDefault="00C0669B">
            <w:pPr>
              <w:rPr>
                <w:rFonts w:ascii="Calibri" w:eastAsia="Calibri" w:hAnsi="Calibri" w:cs="Times New Roman"/>
                <w:b/>
                <w:sz w:val="16"/>
                <w:szCs w:val="16"/>
              </w:rPr>
            </w:pPr>
            <w:r w:rsidRPr="00693AF4">
              <w:rPr>
                <w:rFonts w:ascii="Calibri" w:eastAsia="Calibri" w:hAnsi="Calibri" w:cs="Times New Roman"/>
                <w:b/>
                <w:sz w:val="16"/>
                <w:szCs w:val="16"/>
              </w:rPr>
              <w:t>Cost to participant</w:t>
            </w:r>
          </w:p>
        </w:tc>
        <w:tc>
          <w:tcPr>
            <w:tcW w:w="709" w:type="dxa"/>
          </w:tcPr>
          <w:p w14:paraId="3EEF8B85"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Y1</w:t>
            </w:r>
          </w:p>
        </w:tc>
        <w:tc>
          <w:tcPr>
            <w:tcW w:w="978" w:type="dxa"/>
          </w:tcPr>
          <w:p w14:paraId="06C84882"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Y2</w:t>
            </w:r>
          </w:p>
        </w:tc>
        <w:tc>
          <w:tcPr>
            <w:tcW w:w="851" w:type="dxa"/>
          </w:tcPr>
          <w:p w14:paraId="4C9258E0"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Y3</w:t>
            </w:r>
          </w:p>
        </w:tc>
        <w:tc>
          <w:tcPr>
            <w:tcW w:w="850" w:type="dxa"/>
          </w:tcPr>
          <w:p w14:paraId="25686550"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Y4</w:t>
            </w:r>
          </w:p>
        </w:tc>
        <w:tc>
          <w:tcPr>
            <w:tcW w:w="851" w:type="dxa"/>
          </w:tcPr>
          <w:p w14:paraId="31038308"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Y5</w:t>
            </w:r>
          </w:p>
        </w:tc>
        <w:tc>
          <w:tcPr>
            <w:tcW w:w="850" w:type="dxa"/>
          </w:tcPr>
          <w:p w14:paraId="6EC6A2FE"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Y6</w:t>
            </w:r>
          </w:p>
        </w:tc>
        <w:tc>
          <w:tcPr>
            <w:tcW w:w="851" w:type="dxa"/>
          </w:tcPr>
          <w:p w14:paraId="5567E95A"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Y7</w:t>
            </w:r>
          </w:p>
        </w:tc>
        <w:tc>
          <w:tcPr>
            <w:tcW w:w="850" w:type="dxa"/>
          </w:tcPr>
          <w:p w14:paraId="0E6FFDEF"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Y8</w:t>
            </w:r>
          </w:p>
        </w:tc>
        <w:tc>
          <w:tcPr>
            <w:tcW w:w="851" w:type="dxa"/>
          </w:tcPr>
          <w:p w14:paraId="796D844D"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Y9</w:t>
            </w:r>
          </w:p>
        </w:tc>
        <w:tc>
          <w:tcPr>
            <w:tcW w:w="850" w:type="dxa"/>
          </w:tcPr>
          <w:p w14:paraId="79796CF0"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Y10</w:t>
            </w:r>
          </w:p>
        </w:tc>
        <w:tc>
          <w:tcPr>
            <w:tcW w:w="851" w:type="dxa"/>
          </w:tcPr>
          <w:p w14:paraId="425533D7" w14:textId="77777777" w:rsidR="00C0669B" w:rsidRPr="00693AF4" w:rsidRDefault="00C0669B" w:rsidP="00F70119">
            <w:pPr>
              <w:rPr>
                <w:rFonts w:ascii="Calibri" w:eastAsia="Calibri" w:hAnsi="Calibri" w:cs="Times New Roman"/>
                <w:b/>
                <w:sz w:val="16"/>
                <w:szCs w:val="16"/>
              </w:rPr>
            </w:pPr>
            <w:r w:rsidRPr="00693AF4">
              <w:rPr>
                <w:rFonts w:ascii="Calibri" w:eastAsia="Calibri" w:hAnsi="Calibri" w:cs="Times New Roman"/>
                <w:b/>
                <w:sz w:val="16"/>
                <w:szCs w:val="16"/>
              </w:rPr>
              <w:t>TOTAL</w:t>
            </w:r>
          </w:p>
        </w:tc>
      </w:tr>
      <w:tr w:rsidR="008B19D1" w:rsidRPr="00770D37" w14:paraId="60E8125A" w14:textId="77777777" w:rsidTr="00495D1B">
        <w:trPr>
          <w:trHeight w:val="281"/>
          <w:jc w:val="center"/>
        </w:trPr>
        <w:tc>
          <w:tcPr>
            <w:tcW w:w="1271" w:type="dxa"/>
          </w:tcPr>
          <w:p w14:paraId="32F0159B" w14:textId="4069661A" w:rsidR="003D1513" w:rsidRPr="00770D37" w:rsidRDefault="003D1513" w:rsidP="00495D1B">
            <w:pPr>
              <w:rPr>
                <w:rFonts w:ascii="Calibri" w:eastAsia="Calibri" w:hAnsi="Calibri" w:cs="Times New Roman"/>
                <w:sz w:val="16"/>
                <w:szCs w:val="16"/>
              </w:rPr>
            </w:pPr>
            <w:r w:rsidRPr="00770D37">
              <w:rPr>
                <w:rFonts w:ascii="Calibri" w:eastAsia="Calibri" w:hAnsi="Calibri" w:cs="Times New Roman"/>
                <w:sz w:val="16"/>
                <w:szCs w:val="16"/>
              </w:rPr>
              <w:t xml:space="preserve">Learn how to use the </w:t>
            </w:r>
            <w:r w:rsidR="00495D1B">
              <w:rPr>
                <w:rFonts w:ascii="Calibri" w:eastAsia="Calibri" w:hAnsi="Calibri" w:cs="Times New Roman"/>
                <w:sz w:val="16"/>
                <w:szCs w:val="16"/>
              </w:rPr>
              <w:t xml:space="preserve">contemporary </w:t>
            </w:r>
            <w:r w:rsidRPr="00770D37">
              <w:rPr>
                <w:rFonts w:ascii="Calibri" w:eastAsia="Calibri" w:hAnsi="Calibri" w:cs="Times New Roman"/>
                <w:sz w:val="16"/>
                <w:szCs w:val="16"/>
              </w:rPr>
              <w:t>Card</w:t>
            </w:r>
            <w:r w:rsidR="004716A2" w:rsidRPr="00770D37">
              <w:rPr>
                <w:rFonts w:ascii="Calibri" w:eastAsia="Calibri" w:hAnsi="Calibri" w:cs="Times New Roman"/>
                <w:sz w:val="16"/>
                <w:szCs w:val="16"/>
              </w:rPr>
              <w:t xml:space="preserve"> for ongoing </w:t>
            </w:r>
            <w:r w:rsidR="00693AF4" w:rsidRPr="00770D37">
              <w:rPr>
                <w:rFonts w:ascii="Calibri" w:eastAsia="Calibri" w:hAnsi="Calibri" w:cs="Times New Roman"/>
                <w:sz w:val="16"/>
                <w:szCs w:val="16"/>
              </w:rPr>
              <w:t>participants</w:t>
            </w:r>
          </w:p>
        </w:tc>
        <w:tc>
          <w:tcPr>
            <w:tcW w:w="709" w:type="dxa"/>
            <w:vAlign w:val="center"/>
          </w:tcPr>
          <w:p w14:paraId="3F79A7A9"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978" w:type="dxa"/>
            <w:vAlign w:val="center"/>
          </w:tcPr>
          <w:p w14:paraId="3921DBC2" w14:textId="77777777" w:rsidR="003D1513" w:rsidRPr="00770D37" w:rsidRDefault="00DE549B"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w:t>
            </w:r>
            <w:r w:rsidR="00866427" w:rsidRPr="00770D37">
              <w:rPr>
                <w:rFonts w:ascii="Calibri" w:eastAsia="Calibri" w:hAnsi="Calibri" w:cs="Times New Roman"/>
                <w:color w:val="auto"/>
                <w:sz w:val="16"/>
                <w:szCs w:val="16"/>
              </w:rPr>
              <w:t>7</w:t>
            </w:r>
            <w:r w:rsidRPr="00770D37">
              <w:rPr>
                <w:rFonts w:ascii="Calibri" w:eastAsia="Calibri" w:hAnsi="Calibri" w:cs="Times New Roman"/>
                <w:color w:val="auto"/>
                <w:sz w:val="16"/>
                <w:szCs w:val="16"/>
              </w:rPr>
              <w:t>,</w:t>
            </w:r>
            <w:r w:rsidR="008B19D1" w:rsidRPr="00770D37">
              <w:rPr>
                <w:rFonts w:ascii="Calibri" w:eastAsia="Calibri" w:hAnsi="Calibri" w:cs="Times New Roman"/>
                <w:color w:val="auto"/>
                <w:sz w:val="16"/>
                <w:szCs w:val="16"/>
              </w:rPr>
              <w:t>2</w:t>
            </w:r>
            <w:r w:rsidRPr="00770D37">
              <w:rPr>
                <w:rFonts w:ascii="Calibri" w:eastAsia="Calibri" w:hAnsi="Calibri" w:cs="Times New Roman"/>
                <w:color w:val="auto"/>
                <w:sz w:val="16"/>
                <w:szCs w:val="16"/>
              </w:rPr>
              <w:t>00</w:t>
            </w:r>
          </w:p>
        </w:tc>
        <w:tc>
          <w:tcPr>
            <w:tcW w:w="851" w:type="dxa"/>
            <w:vAlign w:val="center"/>
          </w:tcPr>
          <w:p w14:paraId="62F86163"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0" w:type="dxa"/>
            <w:vAlign w:val="center"/>
          </w:tcPr>
          <w:p w14:paraId="6DBD10D8"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1" w:type="dxa"/>
            <w:vAlign w:val="center"/>
          </w:tcPr>
          <w:p w14:paraId="093C0E4E"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0" w:type="dxa"/>
            <w:vAlign w:val="center"/>
          </w:tcPr>
          <w:p w14:paraId="5FFD8619"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1" w:type="dxa"/>
            <w:vAlign w:val="center"/>
          </w:tcPr>
          <w:p w14:paraId="1C0E5D07"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0" w:type="dxa"/>
            <w:vAlign w:val="center"/>
          </w:tcPr>
          <w:p w14:paraId="6E139741"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1" w:type="dxa"/>
            <w:vAlign w:val="center"/>
          </w:tcPr>
          <w:p w14:paraId="009E7DEC"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0" w:type="dxa"/>
            <w:vAlign w:val="center"/>
          </w:tcPr>
          <w:p w14:paraId="5B516A06" w14:textId="77777777" w:rsidR="003D1513" w:rsidRPr="00770D37" w:rsidRDefault="003D1513" w:rsidP="006050AD">
            <w:pPr>
              <w:jc w:val="center"/>
              <w:rPr>
                <w:rFonts w:ascii="Calibri" w:eastAsia="Calibri" w:hAnsi="Calibri" w:cs="Times New Roman"/>
                <w:color w:val="auto"/>
                <w:sz w:val="16"/>
                <w:szCs w:val="16"/>
              </w:rPr>
            </w:pPr>
            <w:r w:rsidRPr="00770D37">
              <w:rPr>
                <w:rFonts w:ascii="Calibri" w:eastAsia="Calibri" w:hAnsi="Calibri" w:cs="Times New Roman"/>
                <w:color w:val="auto"/>
                <w:sz w:val="16"/>
                <w:szCs w:val="16"/>
              </w:rPr>
              <w:t>$0</w:t>
            </w:r>
          </w:p>
        </w:tc>
        <w:tc>
          <w:tcPr>
            <w:tcW w:w="851" w:type="dxa"/>
            <w:vAlign w:val="center"/>
          </w:tcPr>
          <w:p w14:paraId="5D5D5739" w14:textId="77777777" w:rsidR="003D1513" w:rsidRPr="00770D37" w:rsidRDefault="00CF42CE" w:rsidP="006050AD">
            <w:pPr>
              <w:jc w:val="center"/>
              <w:rPr>
                <w:rFonts w:ascii="Calibri" w:eastAsia="Calibri" w:hAnsi="Calibri" w:cs="Times New Roman"/>
                <w:b/>
                <w:sz w:val="16"/>
                <w:szCs w:val="16"/>
              </w:rPr>
            </w:pPr>
            <w:r w:rsidRPr="00770D37">
              <w:rPr>
                <w:rFonts w:ascii="Calibri" w:eastAsia="Calibri" w:hAnsi="Calibri" w:cs="Times New Roman"/>
                <w:b/>
                <w:sz w:val="16"/>
                <w:szCs w:val="16"/>
              </w:rPr>
              <w:t>$</w:t>
            </w:r>
            <w:r w:rsidR="008B19D1" w:rsidRPr="00770D37">
              <w:rPr>
                <w:rFonts w:ascii="Calibri" w:eastAsia="Calibri" w:hAnsi="Calibri" w:cs="Times New Roman"/>
                <w:b/>
                <w:sz w:val="16"/>
                <w:szCs w:val="16"/>
              </w:rPr>
              <w:t>7,200</w:t>
            </w:r>
          </w:p>
        </w:tc>
      </w:tr>
      <w:tr w:rsidR="008B19D1" w:rsidRPr="000A0377" w14:paraId="039CCD6C" w14:textId="77777777" w:rsidTr="00495D1B">
        <w:trPr>
          <w:trHeight w:val="1131"/>
          <w:jc w:val="center"/>
        </w:trPr>
        <w:tc>
          <w:tcPr>
            <w:tcW w:w="1271" w:type="dxa"/>
          </w:tcPr>
          <w:p w14:paraId="4214EF12" w14:textId="1AB2FB7C" w:rsidR="008B19D1" w:rsidRPr="000A0377" w:rsidRDefault="008B19D1" w:rsidP="00517A64">
            <w:pPr>
              <w:rPr>
                <w:rFonts w:ascii="Calibri" w:eastAsia="Calibri" w:hAnsi="Calibri" w:cs="Times New Roman"/>
                <w:sz w:val="16"/>
                <w:szCs w:val="16"/>
              </w:rPr>
            </w:pPr>
            <w:r w:rsidRPr="000A0377">
              <w:rPr>
                <w:rFonts w:ascii="Calibri" w:eastAsia="Calibri" w:hAnsi="Calibri" w:cs="Times New Roman"/>
                <w:sz w:val="16"/>
                <w:szCs w:val="16"/>
              </w:rPr>
              <w:t xml:space="preserve">Learn how to use the </w:t>
            </w:r>
            <w:r w:rsidR="00BD0E0E">
              <w:rPr>
                <w:rFonts w:ascii="Calibri" w:eastAsia="Calibri" w:hAnsi="Calibri" w:cs="Times New Roman"/>
                <w:sz w:val="16"/>
                <w:szCs w:val="16"/>
              </w:rPr>
              <w:t>contemporary</w:t>
            </w:r>
            <w:r w:rsidR="007140E7">
              <w:rPr>
                <w:rFonts w:ascii="Calibri" w:eastAsia="Calibri" w:hAnsi="Calibri" w:cs="Times New Roman"/>
                <w:sz w:val="16"/>
                <w:szCs w:val="16"/>
              </w:rPr>
              <w:t xml:space="preserve"> </w:t>
            </w:r>
            <w:r w:rsidRPr="000A0377">
              <w:rPr>
                <w:rFonts w:ascii="Calibri" w:eastAsia="Calibri" w:hAnsi="Calibri" w:cs="Times New Roman"/>
                <w:sz w:val="16"/>
                <w:szCs w:val="16"/>
              </w:rPr>
              <w:t>Card new participants</w:t>
            </w:r>
            <w:r w:rsidR="001B6D65">
              <w:rPr>
                <w:rFonts w:ascii="Calibri" w:eastAsia="Calibri" w:hAnsi="Calibri" w:cs="Times New Roman"/>
                <w:sz w:val="16"/>
                <w:szCs w:val="16"/>
              </w:rPr>
              <w:t xml:space="preserve"> (subject to further consideration by government)</w:t>
            </w:r>
          </w:p>
        </w:tc>
        <w:tc>
          <w:tcPr>
            <w:tcW w:w="709" w:type="dxa"/>
            <w:vAlign w:val="center"/>
          </w:tcPr>
          <w:p w14:paraId="3824605A" w14:textId="77777777" w:rsidR="008B19D1" w:rsidRPr="000A0377" w:rsidRDefault="008B19D1" w:rsidP="006050A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978" w:type="dxa"/>
            <w:vAlign w:val="center"/>
          </w:tcPr>
          <w:p w14:paraId="66913C3A" w14:textId="77777777" w:rsidR="008B19D1" w:rsidRPr="000A0377" w:rsidRDefault="008B19D1" w:rsidP="006050A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2A3656" w:rsidRPr="000A0377">
              <w:rPr>
                <w:rFonts w:ascii="Calibri" w:eastAsia="Calibri" w:hAnsi="Calibri" w:cs="Times New Roman"/>
                <w:color w:val="auto"/>
                <w:sz w:val="16"/>
                <w:szCs w:val="16"/>
              </w:rPr>
              <w:t>0</w:t>
            </w:r>
          </w:p>
        </w:tc>
        <w:tc>
          <w:tcPr>
            <w:tcW w:w="851" w:type="dxa"/>
            <w:vAlign w:val="center"/>
          </w:tcPr>
          <w:p w14:paraId="6CC06D9C"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$151,200</w:t>
            </w:r>
          </w:p>
        </w:tc>
        <w:tc>
          <w:tcPr>
            <w:tcW w:w="850" w:type="dxa"/>
            <w:vAlign w:val="center"/>
          </w:tcPr>
          <w:p w14:paraId="2D39F322" w14:textId="77777777" w:rsidR="00C1208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233123C3"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2F35C376"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3C98549E"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3AF30791"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18761B2C"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05FD2421"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5B5FC1DB" w14:textId="77777777" w:rsidR="008B19D1" w:rsidRPr="000A0377" w:rsidRDefault="00C12081" w:rsidP="00C12081">
            <w:pPr>
              <w:jc w:val="center"/>
              <w:rPr>
                <w:rFonts w:ascii="Calibri" w:hAnsi="Calibri" w:cs="Calibri"/>
                <w:b/>
                <w:color w:val="000000"/>
                <w:sz w:val="16"/>
                <w:szCs w:val="16"/>
              </w:rPr>
            </w:pPr>
            <w:r w:rsidRPr="000A0377">
              <w:rPr>
                <w:rFonts w:ascii="Calibri" w:hAnsi="Calibri" w:cs="Calibri"/>
                <w:b/>
                <w:color w:val="000000"/>
                <w:sz w:val="16"/>
                <w:szCs w:val="16"/>
              </w:rPr>
              <w:t>$309,960</w:t>
            </w:r>
          </w:p>
        </w:tc>
      </w:tr>
      <w:tr w:rsidR="008B19D1" w:rsidRPr="000A0377" w14:paraId="3AFCF88A" w14:textId="77777777" w:rsidTr="00495D1B">
        <w:trPr>
          <w:trHeight w:val="227"/>
          <w:jc w:val="center"/>
        </w:trPr>
        <w:tc>
          <w:tcPr>
            <w:tcW w:w="1271" w:type="dxa"/>
            <w:vAlign w:val="center"/>
          </w:tcPr>
          <w:p w14:paraId="31815A10" w14:textId="77777777" w:rsidR="008B19D1" w:rsidRPr="000A0377" w:rsidRDefault="008B19D1" w:rsidP="008B19D1">
            <w:pPr>
              <w:rPr>
                <w:rFonts w:ascii="Calibri" w:eastAsia="Calibri" w:hAnsi="Calibri" w:cs="Times New Roman"/>
                <w:b/>
                <w:sz w:val="16"/>
                <w:szCs w:val="16"/>
              </w:rPr>
            </w:pPr>
            <w:r w:rsidRPr="000A0377">
              <w:rPr>
                <w:rFonts w:ascii="Calibri" w:eastAsia="Calibri" w:hAnsi="Calibri" w:cs="Times New Roman"/>
                <w:b/>
                <w:sz w:val="16"/>
                <w:szCs w:val="16"/>
              </w:rPr>
              <w:t>TOTAL ($)</w:t>
            </w:r>
          </w:p>
        </w:tc>
        <w:tc>
          <w:tcPr>
            <w:tcW w:w="709" w:type="dxa"/>
            <w:vAlign w:val="center"/>
          </w:tcPr>
          <w:p w14:paraId="4A68E9A2" w14:textId="77777777" w:rsidR="008B19D1" w:rsidRPr="000A0377" w:rsidRDefault="002A3656" w:rsidP="006050A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978" w:type="dxa"/>
            <w:vAlign w:val="center"/>
          </w:tcPr>
          <w:p w14:paraId="35D7D32E" w14:textId="77777777" w:rsidR="008B19D1" w:rsidRPr="000A0377" w:rsidRDefault="008B19D1" w:rsidP="006050A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2A3656" w:rsidRPr="000A0377">
              <w:rPr>
                <w:rFonts w:ascii="Calibri" w:eastAsia="Calibri" w:hAnsi="Calibri" w:cs="Times New Roman"/>
                <w:color w:val="auto"/>
                <w:sz w:val="16"/>
                <w:szCs w:val="16"/>
              </w:rPr>
              <w:t>7</w:t>
            </w:r>
            <w:r w:rsidRPr="000A0377">
              <w:rPr>
                <w:rFonts w:ascii="Calibri" w:eastAsia="Calibri" w:hAnsi="Calibri" w:cs="Times New Roman"/>
                <w:color w:val="auto"/>
                <w:sz w:val="16"/>
                <w:szCs w:val="16"/>
              </w:rPr>
              <w:t>,200</w:t>
            </w:r>
          </w:p>
        </w:tc>
        <w:tc>
          <w:tcPr>
            <w:tcW w:w="851" w:type="dxa"/>
            <w:vAlign w:val="center"/>
          </w:tcPr>
          <w:p w14:paraId="33CD51B2"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$151,200</w:t>
            </w:r>
          </w:p>
        </w:tc>
        <w:tc>
          <w:tcPr>
            <w:tcW w:w="850" w:type="dxa"/>
            <w:vAlign w:val="center"/>
          </w:tcPr>
          <w:p w14:paraId="66C3E62A"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0461C48F"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35BE599F"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62810107"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0A114256"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532A9A15"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0" w:type="dxa"/>
            <w:vAlign w:val="center"/>
          </w:tcPr>
          <w:p w14:paraId="2466045A" w14:textId="77777777" w:rsidR="008B19D1" w:rsidRPr="000A0377" w:rsidRDefault="00C12081" w:rsidP="00C12081">
            <w:pPr>
              <w:jc w:val="center"/>
              <w:rPr>
                <w:rFonts w:ascii="Calibri" w:hAnsi="Calibri" w:cs="Calibri"/>
                <w:color w:val="000000"/>
                <w:sz w:val="16"/>
                <w:szCs w:val="16"/>
              </w:rPr>
            </w:pPr>
            <w:r w:rsidRPr="000A0377">
              <w:rPr>
                <w:rFonts w:ascii="Calibri" w:hAnsi="Calibri" w:cs="Calibri"/>
                <w:color w:val="000000"/>
                <w:sz w:val="16"/>
                <w:szCs w:val="16"/>
              </w:rPr>
              <w:t>$22,680</w:t>
            </w:r>
          </w:p>
        </w:tc>
        <w:tc>
          <w:tcPr>
            <w:tcW w:w="851" w:type="dxa"/>
            <w:vAlign w:val="center"/>
          </w:tcPr>
          <w:p w14:paraId="78C1B9AC" w14:textId="77777777" w:rsidR="008B19D1" w:rsidRPr="000A0377" w:rsidRDefault="00C12081" w:rsidP="006050AD">
            <w:pPr>
              <w:jc w:val="center"/>
              <w:rPr>
                <w:rFonts w:ascii="Calibri" w:eastAsia="Calibri" w:hAnsi="Calibri" w:cs="Times New Roman"/>
                <w:b/>
                <w:color w:val="auto"/>
                <w:sz w:val="16"/>
                <w:szCs w:val="16"/>
              </w:rPr>
            </w:pPr>
            <w:r w:rsidRPr="000A0377">
              <w:rPr>
                <w:rFonts w:ascii="Calibri" w:eastAsia="Calibri" w:hAnsi="Calibri" w:cs="Times New Roman"/>
                <w:b/>
                <w:color w:val="auto"/>
                <w:sz w:val="16"/>
                <w:szCs w:val="16"/>
              </w:rPr>
              <w:t>$317,160</w:t>
            </w:r>
          </w:p>
        </w:tc>
      </w:tr>
    </w:tbl>
    <w:p w14:paraId="15D7A61E" w14:textId="3F076370" w:rsidR="000E3D90" w:rsidRPr="001F65BE" w:rsidRDefault="00D66643" w:rsidP="001F65BE">
      <w:pPr>
        <w:pStyle w:val="BodyText"/>
        <w:spacing w:before="120" w:after="180"/>
        <w:rPr>
          <w:b/>
        </w:rPr>
      </w:pPr>
      <w:r w:rsidRPr="001F65BE">
        <w:rPr>
          <w:b/>
        </w:rPr>
        <w:t>L</w:t>
      </w:r>
      <w:r w:rsidR="00227D10" w:rsidRPr="001F65BE">
        <w:rPr>
          <w:b/>
        </w:rPr>
        <w:t xml:space="preserve">earn how to use the </w:t>
      </w:r>
      <w:r w:rsidR="007F4D16" w:rsidRPr="007F4D16">
        <w:rPr>
          <w:b/>
        </w:rPr>
        <w:t>contemporary</w:t>
      </w:r>
      <w:r w:rsidR="007F4D16">
        <w:rPr>
          <w:b/>
        </w:rPr>
        <w:t xml:space="preserve"> </w:t>
      </w:r>
      <w:r w:rsidR="004C6E74">
        <w:rPr>
          <w:b/>
        </w:rPr>
        <w:t>c</w:t>
      </w:r>
      <w:r w:rsidR="00227D10" w:rsidRPr="001F65BE">
        <w:rPr>
          <w:b/>
        </w:rPr>
        <w:t>ard ongoing VIM in current CDC sites</w:t>
      </w:r>
    </w:p>
    <w:tbl>
      <w:tblPr>
        <w:tblW w:w="6140" w:type="dxa"/>
        <w:tblInd w:w="-5" w:type="dxa"/>
        <w:tblLook w:val="04A0" w:firstRow="1" w:lastRow="0" w:firstColumn="1" w:lastColumn="0" w:noHBand="0" w:noVBand="1"/>
        <w:tblDescription w:val="Learn how to use the contemporary card ongoing VIM in current CDC sites."/>
      </w:tblPr>
      <w:tblGrid>
        <w:gridCol w:w="1245"/>
        <w:gridCol w:w="1773"/>
        <w:gridCol w:w="787"/>
        <w:gridCol w:w="804"/>
        <w:gridCol w:w="1531"/>
      </w:tblGrid>
      <w:tr w:rsidR="00C02CBB" w:rsidRPr="000A0377" w14:paraId="147558DB" w14:textId="77777777" w:rsidTr="00227D10">
        <w:trPr>
          <w:trHeight w:val="3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9A87" w14:textId="77777777" w:rsidR="00C02CBB" w:rsidRPr="000A0377" w:rsidRDefault="00C02CBB" w:rsidP="00C02CBB">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14:paraId="3790E76A" w14:textId="77777777" w:rsidR="00C02CBB" w:rsidRPr="000A0377" w:rsidRDefault="00C02CBB" w:rsidP="00C02CBB">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591" w:type="dxa"/>
            <w:gridSpan w:val="2"/>
            <w:tcBorders>
              <w:top w:val="single" w:sz="4" w:space="0" w:color="auto"/>
              <w:left w:val="nil"/>
              <w:bottom w:val="single" w:sz="4" w:space="0" w:color="auto"/>
              <w:right w:val="single" w:sz="4" w:space="0" w:color="auto"/>
            </w:tcBorders>
            <w:shd w:val="clear" w:color="auto" w:fill="auto"/>
            <w:vAlign w:val="bottom"/>
            <w:hideMark/>
          </w:tcPr>
          <w:p w14:paraId="4D0A9417" w14:textId="77777777" w:rsidR="00C02CBB" w:rsidRPr="000A0377" w:rsidRDefault="00C02CBB" w:rsidP="00C02CBB">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143E" w14:textId="77777777" w:rsidR="00C02CBB" w:rsidRPr="000A0377" w:rsidRDefault="00C02CBB" w:rsidP="00C02CBB">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total</w:t>
            </w:r>
          </w:p>
        </w:tc>
      </w:tr>
      <w:tr w:rsidR="00C02CBB" w:rsidRPr="000A0377" w14:paraId="653809C2" w14:textId="77777777" w:rsidTr="00227D10">
        <w:trPr>
          <w:trHeight w:val="300"/>
        </w:trPr>
        <w:tc>
          <w:tcPr>
            <w:tcW w:w="1245" w:type="dxa"/>
            <w:vMerge/>
            <w:tcBorders>
              <w:top w:val="single" w:sz="4" w:space="0" w:color="auto"/>
              <w:left w:val="single" w:sz="4" w:space="0" w:color="auto"/>
              <w:bottom w:val="single" w:sz="4" w:space="0" w:color="auto"/>
              <w:right w:val="single" w:sz="4" w:space="0" w:color="auto"/>
            </w:tcBorders>
            <w:vAlign w:val="center"/>
            <w:hideMark/>
          </w:tcPr>
          <w:p w14:paraId="74DE8439"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p>
        </w:tc>
        <w:tc>
          <w:tcPr>
            <w:tcW w:w="1773" w:type="dxa"/>
            <w:tcBorders>
              <w:top w:val="nil"/>
              <w:left w:val="nil"/>
              <w:bottom w:val="single" w:sz="4" w:space="0" w:color="auto"/>
              <w:right w:val="single" w:sz="4" w:space="0" w:color="auto"/>
            </w:tcBorders>
            <w:shd w:val="clear" w:color="auto" w:fill="auto"/>
            <w:noWrap/>
            <w:vAlign w:val="bottom"/>
            <w:hideMark/>
          </w:tcPr>
          <w:p w14:paraId="17838787" w14:textId="77777777" w:rsidR="00C02CBB" w:rsidRPr="000A0377" w:rsidRDefault="00C02CBB" w:rsidP="00C02CBB">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population</w:t>
            </w:r>
          </w:p>
        </w:tc>
        <w:tc>
          <w:tcPr>
            <w:tcW w:w="787" w:type="dxa"/>
            <w:tcBorders>
              <w:top w:val="nil"/>
              <w:left w:val="nil"/>
              <w:bottom w:val="single" w:sz="4" w:space="0" w:color="auto"/>
              <w:right w:val="single" w:sz="4" w:space="0" w:color="auto"/>
            </w:tcBorders>
            <w:shd w:val="clear" w:color="auto" w:fill="auto"/>
            <w:noWrap/>
            <w:vAlign w:val="bottom"/>
            <w:hideMark/>
          </w:tcPr>
          <w:p w14:paraId="2BF31398"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time</w:t>
            </w:r>
          </w:p>
        </w:tc>
        <w:tc>
          <w:tcPr>
            <w:tcW w:w="804" w:type="dxa"/>
            <w:tcBorders>
              <w:top w:val="nil"/>
              <w:left w:val="nil"/>
              <w:bottom w:val="single" w:sz="4" w:space="0" w:color="auto"/>
              <w:right w:val="single" w:sz="4" w:space="0" w:color="auto"/>
            </w:tcBorders>
            <w:shd w:val="clear" w:color="auto" w:fill="auto"/>
            <w:noWrap/>
            <w:vAlign w:val="bottom"/>
            <w:hideMark/>
          </w:tcPr>
          <w:p w14:paraId="274387FC"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cost</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4C49940"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p>
        </w:tc>
      </w:tr>
      <w:tr w:rsidR="00C02CBB" w:rsidRPr="000A0377" w14:paraId="202A1810"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31DB4BB1"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1</w:t>
            </w:r>
          </w:p>
        </w:tc>
        <w:tc>
          <w:tcPr>
            <w:tcW w:w="1773" w:type="dxa"/>
            <w:tcBorders>
              <w:top w:val="nil"/>
              <w:left w:val="nil"/>
              <w:bottom w:val="single" w:sz="4" w:space="0" w:color="auto"/>
              <w:right w:val="single" w:sz="4" w:space="0" w:color="auto"/>
            </w:tcBorders>
            <w:shd w:val="clear" w:color="auto" w:fill="auto"/>
            <w:noWrap/>
            <w:vAlign w:val="bottom"/>
            <w:hideMark/>
          </w:tcPr>
          <w:p w14:paraId="44F39493"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4F97ABFC"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08ADC18F"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0CE74AB7"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74FD20A0"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9E9DF87"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2</w:t>
            </w:r>
          </w:p>
        </w:tc>
        <w:tc>
          <w:tcPr>
            <w:tcW w:w="1773" w:type="dxa"/>
            <w:tcBorders>
              <w:top w:val="nil"/>
              <w:left w:val="nil"/>
              <w:bottom w:val="single" w:sz="4" w:space="0" w:color="auto"/>
              <w:right w:val="single" w:sz="4" w:space="0" w:color="auto"/>
            </w:tcBorders>
            <w:shd w:val="clear" w:color="auto" w:fill="auto"/>
            <w:noWrap/>
            <w:vAlign w:val="bottom"/>
            <w:hideMark/>
          </w:tcPr>
          <w:p w14:paraId="6C30FCFB"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400</w:t>
            </w:r>
          </w:p>
        </w:tc>
        <w:tc>
          <w:tcPr>
            <w:tcW w:w="787" w:type="dxa"/>
            <w:tcBorders>
              <w:top w:val="nil"/>
              <w:left w:val="nil"/>
              <w:bottom w:val="single" w:sz="4" w:space="0" w:color="auto"/>
              <w:right w:val="single" w:sz="4" w:space="0" w:color="auto"/>
            </w:tcBorders>
            <w:shd w:val="clear" w:color="auto" w:fill="auto"/>
            <w:noWrap/>
            <w:vAlign w:val="bottom"/>
            <w:hideMark/>
          </w:tcPr>
          <w:p w14:paraId="2E661934"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0.5</w:t>
            </w:r>
          </w:p>
        </w:tc>
        <w:tc>
          <w:tcPr>
            <w:tcW w:w="804" w:type="dxa"/>
            <w:tcBorders>
              <w:top w:val="nil"/>
              <w:left w:val="nil"/>
              <w:bottom w:val="single" w:sz="4" w:space="0" w:color="auto"/>
              <w:right w:val="single" w:sz="4" w:space="0" w:color="auto"/>
            </w:tcBorders>
            <w:shd w:val="clear" w:color="auto" w:fill="auto"/>
            <w:noWrap/>
            <w:vAlign w:val="bottom"/>
            <w:hideMark/>
          </w:tcPr>
          <w:p w14:paraId="1DE1A8A6"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750FAA17"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$7,200</w:t>
            </w:r>
          </w:p>
        </w:tc>
      </w:tr>
      <w:tr w:rsidR="00C02CBB" w:rsidRPr="000A0377" w14:paraId="0106AB46"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2DD98619"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3</w:t>
            </w:r>
          </w:p>
        </w:tc>
        <w:tc>
          <w:tcPr>
            <w:tcW w:w="1773" w:type="dxa"/>
            <w:tcBorders>
              <w:top w:val="nil"/>
              <w:left w:val="nil"/>
              <w:bottom w:val="single" w:sz="4" w:space="0" w:color="auto"/>
              <w:right w:val="single" w:sz="4" w:space="0" w:color="auto"/>
            </w:tcBorders>
            <w:shd w:val="clear" w:color="auto" w:fill="auto"/>
            <w:noWrap/>
            <w:vAlign w:val="bottom"/>
            <w:hideMark/>
          </w:tcPr>
          <w:p w14:paraId="0CFA3D2F"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 0</w:t>
            </w:r>
          </w:p>
        </w:tc>
        <w:tc>
          <w:tcPr>
            <w:tcW w:w="787" w:type="dxa"/>
            <w:tcBorders>
              <w:top w:val="nil"/>
              <w:left w:val="nil"/>
              <w:bottom w:val="single" w:sz="4" w:space="0" w:color="auto"/>
              <w:right w:val="single" w:sz="4" w:space="0" w:color="auto"/>
            </w:tcBorders>
            <w:shd w:val="clear" w:color="auto" w:fill="auto"/>
            <w:noWrap/>
            <w:vAlign w:val="bottom"/>
            <w:hideMark/>
          </w:tcPr>
          <w:p w14:paraId="7709EE37"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 0</w:t>
            </w:r>
          </w:p>
        </w:tc>
        <w:tc>
          <w:tcPr>
            <w:tcW w:w="804" w:type="dxa"/>
            <w:tcBorders>
              <w:top w:val="nil"/>
              <w:left w:val="nil"/>
              <w:bottom w:val="single" w:sz="4" w:space="0" w:color="auto"/>
              <w:right w:val="single" w:sz="4" w:space="0" w:color="auto"/>
            </w:tcBorders>
            <w:shd w:val="clear" w:color="auto" w:fill="auto"/>
            <w:noWrap/>
            <w:vAlign w:val="bottom"/>
            <w:hideMark/>
          </w:tcPr>
          <w:p w14:paraId="5304B262"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 0</w:t>
            </w:r>
          </w:p>
        </w:tc>
        <w:tc>
          <w:tcPr>
            <w:tcW w:w="1531" w:type="dxa"/>
            <w:tcBorders>
              <w:top w:val="nil"/>
              <w:left w:val="nil"/>
              <w:bottom w:val="single" w:sz="4" w:space="0" w:color="auto"/>
              <w:right w:val="single" w:sz="4" w:space="0" w:color="auto"/>
            </w:tcBorders>
            <w:shd w:val="clear" w:color="auto" w:fill="auto"/>
            <w:noWrap/>
            <w:vAlign w:val="bottom"/>
            <w:hideMark/>
          </w:tcPr>
          <w:p w14:paraId="763C43EC" w14:textId="77777777" w:rsidR="00C02CBB" w:rsidRPr="000A0377" w:rsidRDefault="00C02CBB" w:rsidP="00C02CBB">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w:t>
            </w:r>
          </w:p>
        </w:tc>
      </w:tr>
      <w:tr w:rsidR="00C02CBB" w:rsidRPr="000A0377" w14:paraId="006DA4E0"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77E55DB0"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4</w:t>
            </w:r>
          </w:p>
        </w:tc>
        <w:tc>
          <w:tcPr>
            <w:tcW w:w="1773" w:type="dxa"/>
            <w:tcBorders>
              <w:top w:val="nil"/>
              <w:left w:val="nil"/>
              <w:bottom w:val="single" w:sz="4" w:space="0" w:color="auto"/>
              <w:right w:val="single" w:sz="4" w:space="0" w:color="auto"/>
            </w:tcBorders>
            <w:shd w:val="clear" w:color="auto" w:fill="auto"/>
            <w:noWrap/>
            <w:vAlign w:val="bottom"/>
            <w:hideMark/>
          </w:tcPr>
          <w:p w14:paraId="35483129"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2D92B974"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70E15C86"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10A7622A"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40D297B2"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95AE106"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5</w:t>
            </w:r>
          </w:p>
        </w:tc>
        <w:tc>
          <w:tcPr>
            <w:tcW w:w="1773" w:type="dxa"/>
            <w:tcBorders>
              <w:top w:val="nil"/>
              <w:left w:val="nil"/>
              <w:bottom w:val="single" w:sz="4" w:space="0" w:color="auto"/>
              <w:right w:val="single" w:sz="4" w:space="0" w:color="auto"/>
            </w:tcBorders>
            <w:shd w:val="clear" w:color="auto" w:fill="auto"/>
            <w:noWrap/>
            <w:vAlign w:val="bottom"/>
            <w:hideMark/>
          </w:tcPr>
          <w:p w14:paraId="7E7746C5"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40E2E39F"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5B432A25"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3AB4B00C"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648B2677"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6A12719C"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6</w:t>
            </w:r>
          </w:p>
        </w:tc>
        <w:tc>
          <w:tcPr>
            <w:tcW w:w="1773" w:type="dxa"/>
            <w:tcBorders>
              <w:top w:val="nil"/>
              <w:left w:val="nil"/>
              <w:bottom w:val="single" w:sz="4" w:space="0" w:color="auto"/>
              <w:right w:val="single" w:sz="4" w:space="0" w:color="auto"/>
            </w:tcBorders>
            <w:shd w:val="clear" w:color="auto" w:fill="auto"/>
            <w:noWrap/>
            <w:vAlign w:val="bottom"/>
            <w:hideMark/>
          </w:tcPr>
          <w:p w14:paraId="609D67BA"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11A146A8"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732046B6"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3845B059"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3137F985"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94F7ECB"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7</w:t>
            </w:r>
          </w:p>
        </w:tc>
        <w:tc>
          <w:tcPr>
            <w:tcW w:w="1773" w:type="dxa"/>
            <w:tcBorders>
              <w:top w:val="nil"/>
              <w:left w:val="nil"/>
              <w:bottom w:val="single" w:sz="4" w:space="0" w:color="auto"/>
              <w:right w:val="single" w:sz="4" w:space="0" w:color="auto"/>
            </w:tcBorders>
            <w:shd w:val="clear" w:color="auto" w:fill="auto"/>
            <w:noWrap/>
            <w:vAlign w:val="bottom"/>
            <w:hideMark/>
          </w:tcPr>
          <w:p w14:paraId="09C00A3D"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27558D7E"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1821F19E"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693F01E1"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00DE0B20"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B6C228E"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8</w:t>
            </w:r>
          </w:p>
        </w:tc>
        <w:tc>
          <w:tcPr>
            <w:tcW w:w="1773" w:type="dxa"/>
            <w:tcBorders>
              <w:top w:val="nil"/>
              <w:left w:val="nil"/>
              <w:bottom w:val="single" w:sz="4" w:space="0" w:color="auto"/>
              <w:right w:val="single" w:sz="4" w:space="0" w:color="auto"/>
            </w:tcBorders>
            <w:shd w:val="clear" w:color="auto" w:fill="auto"/>
            <w:noWrap/>
            <w:vAlign w:val="bottom"/>
            <w:hideMark/>
          </w:tcPr>
          <w:p w14:paraId="0E76871E"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742A4218"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14367567"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0842AC70"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1D123A73"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615D7435"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9</w:t>
            </w:r>
          </w:p>
        </w:tc>
        <w:tc>
          <w:tcPr>
            <w:tcW w:w="1773" w:type="dxa"/>
            <w:tcBorders>
              <w:top w:val="nil"/>
              <w:left w:val="nil"/>
              <w:bottom w:val="single" w:sz="4" w:space="0" w:color="auto"/>
              <w:right w:val="single" w:sz="4" w:space="0" w:color="auto"/>
            </w:tcBorders>
            <w:shd w:val="clear" w:color="auto" w:fill="auto"/>
            <w:noWrap/>
            <w:vAlign w:val="bottom"/>
            <w:hideMark/>
          </w:tcPr>
          <w:p w14:paraId="59400E30"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096D3330"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3D51738E"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78CAF47C"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0A0377" w14:paraId="775A2EA2"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5F591BED"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10</w:t>
            </w:r>
          </w:p>
        </w:tc>
        <w:tc>
          <w:tcPr>
            <w:tcW w:w="1773" w:type="dxa"/>
            <w:tcBorders>
              <w:top w:val="nil"/>
              <w:left w:val="nil"/>
              <w:bottom w:val="single" w:sz="4" w:space="0" w:color="auto"/>
              <w:right w:val="single" w:sz="4" w:space="0" w:color="auto"/>
            </w:tcBorders>
            <w:shd w:val="clear" w:color="auto" w:fill="auto"/>
            <w:noWrap/>
            <w:vAlign w:val="bottom"/>
            <w:hideMark/>
          </w:tcPr>
          <w:p w14:paraId="78913E3E"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770DC6FB"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66979221"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5FCDDB12"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C02CBB" w:rsidRPr="00C02CBB" w14:paraId="25BC23A8"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59BBE8AC"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73" w:type="dxa"/>
            <w:tcBorders>
              <w:top w:val="nil"/>
              <w:left w:val="nil"/>
              <w:bottom w:val="single" w:sz="4" w:space="0" w:color="auto"/>
              <w:right w:val="single" w:sz="4" w:space="0" w:color="auto"/>
            </w:tcBorders>
            <w:shd w:val="clear" w:color="auto" w:fill="auto"/>
            <w:noWrap/>
            <w:vAlign w:val="bottom"/>
            <w:hideMark/>
          </w:tcPr>
          <w:p w14:paraId="18D9F703"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787" w:type="dxa"/>
            <w:tcBorders>
              <w:top w:val="nil"/>
              <w:left w:val="nil"/>
              <w:bottom w:val="single" w:sz="4" w:space="0" w:color="auto"/>
              <w:right w:val="single" w:sz="4" w:space="0" w:color="auto"/>
            </w:tcBorders>
            <w:shd w:val="clear" w:color="auto" w:fill="auto"/>
            <w:noWrap/>
            <w:vAlign w:val="bottom"/>
            <w:hideMark/>
          </w:tcPr>
          <w:p w14:paraId="7CE5F079"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804" w:type="dxa"/>
            <w:tcBorders>
              <w:top w:val="nil"/>
              <w:left w:val="nil"/>
              <w:bottom w:val="single" w:sz="4" w:space="0" w:color="auto"/>
              <w:right w:val="single" w:sz="4" w:space="0" w:color="auto"/>
            </w:tcBorders>
            <w:shd w:val="clear" w:color="auto" w:fill="auto"/>
            <w:noWrap/>
            <w:vAlign w:val="bottom"/>
            <w:hideMark/>
          </w:tcPr>
          <w:p w14:paraId="1C474F9D" w14:textId="77777777" w:rsidR="00C02CBB" w:rsidRPr="000A0377" w:rsidRDefault="00C02CBB" w:rsidP="00C02CBB">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total</w:t>
            </w:r>
          </w:p>
        </w:tc>
        <w:tc>
          <w:tcPr>
            <w:tcW w:w="1531" w:type="dxa"/>
            <w:tcBorders>
              <w:top w:val="nil"/>
              <w:left w:val="nil"/>
              <w:bottom w:val="single" w:sz="4" w:space="0" w:color="auto"/>
              <w:right w:val="single" w:sz="4" w:space="0" w:color="auto"/>
            </w:tcBorders>
            <w:shd w:val="clear" w:color="auto" w:fill="auto"/>
            <w:noWrap/>
            <w:vAlign w:val="bottom"/>
            <w:hideMark/>
          </w:tcPr>
          <w:p w14:paraId="76C60509" w14:textId="77777777" w:rsidR="00C02CBB" w:rsidRPr="000A0377" w:rsidRDefault="00C02CBB" w:rsidP="00C02CBB">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$7,200</w:t>
            </w:r>
          </w:p>
        </w:tc>
      </w:tr>
    </w:tbl>
    <w:p w14:paraId="3DB0A166" w14:textId="55E47882" w:rsidR="00227D10" w:rsidRPr="001F65BE" w:rsidRDefault="00227D10" w:rsidP="001F65BE">
      <w:pPr>
        <w:pStyle w:val="BodyText"/>
        <w:spacing w:before="120" w:after="180"/>
        <w:rPr>
          <w:b/>
        </w:rPr>
      </w:pPr>
      <w:r w:rsidRPr="001F65BE">
        <w:rPr>
          <w:b/>
        </w:rPr>
        <w:t xml:space="preserve">Learn how to use the </w:t>
      </w:r>
      <w:r w:rsidR="007F4D16" w:rsidRPr="007F4D16">
        <w:rPr>
          <w:b/>
        </w:rPr>
        <w:t>contemporary</w:t>
      </w:r>
      <w:r w:rsidR="007F4D16">
        <w:rPr>
          <w:b/>
        </w:rPr>
        <w:t xml:space="preserve"> </w:t>
      </w:r>
      <w:r w:rsidR="004C6E74">
        <w:rPr>
          <w:b/>
        </w:rPr>
        <w:t>c</w:t>
      </w:r>
      <w:r w:rsidRPr="001F65BE">
        <w:rPr>
          <w:b/>
        </w:rPr>
        <w:t>ard new</w:t>
      </w:r>
      <w:r w:rsidR="001B6D65">
        <w:rPr>
          <w:b/>
        </w:rPr>
        <w:t xml:space="preserve"> (subject to further consideration by government)</w:t>
      </w:r>
    </w:p>
    <w:tbl>
      <w:tblPr>
        <w:tblW w:w="6140" w:type="dxa"/>
        <w:tblInd w:w="-10" w:type="dxa"/>
        <w:tblLook w:val="04A0" w:firstRow="1" w:lastRow="0" w:firstColumn="1" w:lastColumn="0" w:noHBand="0" w:noVBand="1"/>
        <w:tblDescription w:val="Learn how to use the contemporary card new (subject to further consideration by government)"/>
      </w:tblPr>
      <w:tblGrid>
        <w:gridCol w:w="1245"/>
        <w:gridCol w:w="1773"/>
        <w:gridCol w:w="787"/>
        <w:gridCol w:w="804"/>
        <w:gridCol w:w="1531"/>
      </w:tblGrid>
      <w:tr w:rsidR="00227D10" w:rsidRPr="000A0377" w14:paraId="7A323001" w14:textId="77777777" w:rsidTr="00227D10">
        <w:trPr>
          <w:trHeight w:val="3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C96D4" w14:textId="77777777" w:rsidR="00227D10" w:rsidRPr="000A0377" w:rsidRDefault="00227D10" w:rsidP="0090057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14:paraId="15A31584" w14:textId="77777777" w:rsidR="00227D10" w:rsidRPr="000A0377" w:rsidRDefault="00227D10" w:rsidP="0090057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591" w:type="dxa"/>
            <w:gridSpan w:val="2"/>
            <w:tcBorders>
              <w:top w:val="single" w:sz="4" w:space="0" w:color="auto"/>
              <w:left w:val="nil"/>
              <w:bottom w:val="single" w:sz="4" w:space="0" w:color="auto"/>
              <w:right w:val="single" w:sz="4" w:space="0" w:color="auto"/>
            </w:tcBorders>
            <w:shd w:val="clear" w:color="auto" w:fill="auto"/>
            <w:vAlign w:val="bottom"/>
            <w:hideMark/>
          </w:tcPr>
          <w:p w14:paraId="2C7D1BE8" w14:textId="77777777" w:rsidR="00227D10" w:rsidRPr="000A0377" w:rsidRDefault="00227D10" w:rsidP="0090057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5A89" w14:textId="77777777" w:rsidR="00227D10" w:rsidRPr="000A0377" w:rsidRDefault="00227D10" w:rsidP="0090057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total</w:t>
            </w:r>
          </w:p>
        </w:tc>
      </w:tr>
      <w:tr w:rsidR="00227D10" w:rsidRPr="000A0377" w14:paraId="0C575498" w14:textId="77777777" w:rsidTr="00227D10">
        <w:trPr>
          <w:trHeight w:val="300"/>
        </w:trPr>
        <w:tc>
          <w:tcPr>
            <w:tcW w:w="1245" w:type="dxa"/>
            <w:vMerge/>
            <w:tcBorders>
              <w:top w:val="single" w:sz="4" w:space="0" w:color="auto"/>
              <w:left w:val="single" w:sz="4" w:space="0" w:color="auto"/>
              <w:bottom w:val="single" w:sz="4" w:space="0" w:color="auto"/>
              <w:right w:val="single" w:sz="4" w:space="0" w:color="auto"/>
            </w:tcBorders>
            <w:vAlign w:val="center"/>
            <w:hideMark/>
          </w:tcPr>
          <w:p w14:paraId="72688854"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p>
        </w:tc>
        <w:tc>
          <w:tcPr>
            <w:tcW w:w="1773" w:type="dxa"/>
            <w:tcBorders>
              <w:top w:val="nil"/>
              <w:left w:val="nil"/>
              <w:bottom w:val="single" w:sz="4" w:space="0" w:color="auto"/>
              <w:right w:val="single" w:sz="4" w:space="0" w:color="auto"/>
            </w:tcBorders>
            <w:shd w:val="clear" w:color="auto" w:fill="auto"/>
            <w:noWrap/>
            <w:vAlign w:val="bottom"/>
            <w:hideMark/>
          </w:tcPr>
          <w:p w14:paraId="2F42E2FF" w14:textId="77777777" w:rsidR="00227D10" w:rsidRPr="000A0377" w:rsidRDefault="00227D10" w:rsidP="0090057F">
            <w:pPr>
              <w:spacing w:after="0" w:line="240" w:lineRule="auto"/>
              <w:jc w:val="center"/>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population</w:t>
            </w:r>
          </w:p>
        </w:tc>
        <w:tc>
          <w:tcPr>
            <w:tcW w:w="787" w:type="dxa"/>
            <w:tcBorders>
              <w:top w:val="nil"/>
              <w:left w:val="nil"/>
              <w:bottom w:val="single" w:sz="4" w:space="0" w:color="auto"/>
              <w:right w:val="single" w:sz="4" w:space="0" w:color="auto"/>
            </w:tcBorders>
            <w:shd w:val="clear" w:color="auto" w:fill="auto"/>
            <w:noWrap/>
            <w:vAlign w:val="bottom"/>
            <w:hideMark/>
          </w:tcPr>
          <w:p w14:paraId="340B1A71"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time</w:t>
            </w:r>
          </w:p>
        </w:tc>
        <w:tc>
          <w:tcPr>
            <w:tcW w:w="804" w:type="dxa"/>
            <w:tcBorders>
              <w:top w:val="nil"/>
              <w:left w:val="nil"/>
              <w:bottom w:val="single" w:sz="4" w:space="0" w:color="auto"/>
              <w:right w:val="single" w:sz="4" w:space="0" w:color="auto"/>
            </w:tcBorders>
            <w:shd w:val="clear" w:color="auto" w:fill="auto"/>
            <w:noWrap/>
            <w:vAlign w:val="bottom"/>
            <w:hideMark/>
          </w:tcPr>
          <w:p w14:paraId="290237AB"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cost</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551E740F"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p>
        </w:tc>
      </w:tr>
      <w:tr w:rsidR="00227D10" w:rsidRPr="000A0377" w14:paraId="17CB9483"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D550956"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1</w:t>
            </w:r>
          </w:p>
        </w:tc>
        <w:tc>
          <w:tcPr>
            <w:tcW w:w="1773" w:type="dxa"/>
            <w:tcBorders>
              <w:top w:val="nil"/>
              <w:left w:val="nil"/>
              <w:bottom w:val="single" w:sz="4" w:space="0" w:color="auto"/>
              <w:right w:val="single" w:sz="4" w:space="0" w:color="auto"/>
            </w:tcBorders>
            <w:shd w:val="clear" w:color="auto" w:fill="auto"/>
            <w:noWrap/>
            <w:vAlign w:val="bottom"/>
            <w:hideMark/>
          </w:tcPr>
          <w:p w14:paraId="1253F1FA"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3976AD1B"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18DBC1DF"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531" w:type="dxa"/>
            <w:tcBorders>
              <w:top w:val="nil"/>
              <w:left w:val="nil"/>
              <w:bottom w:val="single" w:sz="4" w:space="0" w:color="auto"/>
              <w:right w:val="single" w:sz="4" w:space="0" w:color="auto"/>
            </w:tcBorders>
            <w:shd w:val="clear" w:color="auto" w:fill="auto"/>
            <w:noWrap/>
            <w:vAlign w:val="bottom"/>
            <w:hideMark/>
          </w:tcPr>
          <w:p w14:paraId="41A9526A"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227D10" w:rsidRPr="000A0377" w14:paraId="7902F488"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780D1D8F"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2</w:t>
            </w:r>
          </w:p>
        </w:tc>
        <w:tc>
          <w:tcPr>
            <w:tcW w:w="1773" w:type="dxa"/>
            <w:tcBorders>
              <w:top w:val="nil"/>
              <w:left w:val="nil"/>
              <w:bottom w:val="single" w:sz="4" w:space="0" w:color="auto"/>
              <w:right w:val="single" w:sz="4" w:space="0" w:color="auto"/>
            </w:tcBorders>
            <w:shd w:val="clear" w:color="auto" w:fill="auto"/>
            <w:noWrap/>
            <w:vAlign w:val="bottom"/>
            <w:hideMark/>
          </w:tcPr>
          <w:p w14:paraId="2A33EB17"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787" w:type="dxa"/>
            <w:tcBorders>
              <w:top w:val="nil"/>
              <w:left w:val="nil"/>
              <w:bottom w:val="single" w:sz="4" w:space="0" w:color="auto"/>
              <w:right w:val="single" w:sz="4" w:space="0" w:color="auto"/>
            </w:tcBorders>
            <w:shd w:val="clear" w:color="auto" w:fill="auto"/>
            <w:noWrap/>
            <w:vAlign w:val="bottom"/>
            <w:hideMark/>
          </w:tcPr>
          <w:p w14:paraId="24CE99D0"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804" w:type="dxa"/>
            <w:tcBorders>
              <w:top w:val="nil"/>
              <w:left w:val="nil"/>
              <w:bottom w:val="single" w:sz="4" w:space="0" w:color="auto"/>
              <w:right w:val="single" w:sz="4" w:space="0" w:color="auto"/>
            </w:tcBorders>
            <w:shd w:val="clear" w:color="auto" w:fill="auto"/>
            <w:noWrap/>
            <w:vAlign w:val="bottom"/>
            <w:hideMark/>
          </w:tcPr>
          <w:p w14:paraId="24EF8CD7"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c>
          <w:tcPr>
            <w:tcW w:w="1531" w:type="dxa"/>
            <w:tcBorders>
              <w:top w:val="nil"/>
              <w:left w:val="nil"/>
              <w:bottom w:val="single" w:sz="4" w:space="0" w:color="auto"/>
              <w:right w:val="single" w:sz="4" w:space="0" w:color="auto"/>
            </w:tcBorders>
            <w:shd w:val="clear" w:color="auto" w:fill="auto"/>
            <w:noWrap/>
            <w:vAlign w:val="bottom"/>
            <w:hideMark/>
          </w:tcPr>
          <w:p w14:paraId="14FAEA80" w14:textId="77777777" w:rsidR="00227D10" w:rsidRPr="000A0377" w:rsidRDefault="00227D10" w:rsidP="0090057F">
            <w:pPr>
              <w:spacing w:after="0" w:line="240" w:lineRule="auto"/>
              <w:jc w:val="right"/>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$0</w:t>
            </w:r>
          </w:p>
        </w:tc>
      </w:tr>
      <w:tr w:rsidR="00227D10" w:rsidRPr="000A0377" w14:paraId="65FFF32F"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16C02EA"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3</w:t>
            </w:r>
          </w:p>
        </w:tc>
        <w:tc>
          <w:tcPr>
            <w:tcW w:w="1773" w:type="dxa"/>
            <w:tcBorders>
              <w:top w:val="nil"/>
              <w:left w:val="nil"/>
              <w:bottom w:val="single" w:sz="4" w:space="0" w:color="auto"/>
              <w:right w:val="single" w:sz="4" w:space="0" w:color="auto"/>
            </w:tcBorders>
            <w:shd w:val="clear" w:color="auto" w:fill="auto"/>
            <w:noWrap/>
            <w:vAlign w:val="bottom"/>
            <w:hideMark/>
          </w:tcPr>
          <w:p w14:paraId="27B88814"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5600</w:t>
            </w:r>
          </w:p>
        </w:tc>
        <w:tc>
          <w:tcPr>
            <w:tcW w:w="787" w:type="dxa"/>
            <w:tcBorders>
              <w:top w:val="nil"/>
              <w:left w:val="nil"/>
              <w:bottom w:val="single" w:sz="4" w:space="0" w:color="auto"/>
              <w:right w:val="single" w:sz="4" w:space="0" w:color="auto"/>
            </w:tcBorders>
            <w:shd w:val="clear" w:color="auto" w:fill="auto"/>
            <w:noWrap/>
            <w:vAlign w:val="bottom"/>
            <w:hideMark/>
          </w:tcPr>
          <w:p w14:paraId="6D491C2A"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28CA65BE"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77ADEA3C"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$151,200</w:t>
            </w:r>
          </w:p>
        </w:tc>
      </w:tr>
      <w:tr w:rsidR="00227D10" w:rsidRPr="000A0377" w14:paraId="6AF6ADE8"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272147CA"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4</w:t>
            </w:r>
          </w:p>
        </w:tc>
        <w:tc>
          <w:tcPr>
            <w:tcW w:w="1773" w:type="dxa"/>
            <w:tcBorders>
              <w:top w:val="nil"/>
              <w:left w:val="nil"/>
              <w:bottom w:val="single" w:sz="4" w:space="0" w:color="auto"/>
              <w:right w:val="single" w:sz="4" w:space="0" w:color="auto"/>
            </w:tcBorders>
            <w:shd w:val="clear" w:color="auto" w:fill="auto"/>
            <w:noWrap/>
            <w:vAlign w:val="bottom"/>
            <w:hideMark/>
          </w:tcPr>
          <w:p w14:paraId="42CBD192"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2033A8EE"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78E47299"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6F0D4400"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0B93CE93"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147A8B81"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5</w:t>
            </w:r>
          </w:p>
        </w:tc>
        <w:tc>
          <w:tcPr>
            <w:tcW w:w="1773" w:type="dxa"/>
            <w:tcBorders>
              <w:top w:val="nil"/>
              <w:left w:val="nil"/>
              <w:bottom w:val="single" w:sz="4" w:space="0" w:color="auto"/>
              <w:right w:val="single" w:sz="4" w:space="0" w:color="auto"/>
            </w:tcBorders>
            <w:shd w:val="clear" w:color="auto" w:fill="auto"/>
            <w:noWrap/>
            <w:vAlign w:val="bottom"/>
            <w:hideMark/>
          </w:tcPr>
          <w:p w14:paraId="3C468ED5"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79E25957"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7B8A683F"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07CE2CA8"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2AE39437"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06890F4"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6</w:t>
            </w:r>
          </w:p>
        </w:tc>
        <w:tc>
          <w:tcPr>
            <w:tcW w:w="1773" w:type="dxa"/>
            <w:tcBorders>
              <w:top w:val="nil"/>
              <w:left w:val="nil"/>
              <w:bottom w:val="single" w:sz="4" w:space="0" w:color="auto"/>
              <w:right w:val="single" w:sz="4" w:space="0" w:color="auto"/>
            </w:tcBorders>
            <w:shd w:val="clear" w:color="auto" w:fill="auto"/>
            <w:noWrap/>
            <w:vAlign w:val="bottom"/>
            <w:hideMark/>
          </w:tcPr>
          <w:p w14:paraId="068DB949"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0609D46E"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42272833"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733DF4C1"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1698DB81"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77B9BE72"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7</w:t>
            </w:r>
          </w:p>
        </w:tc>
        <w:tc>
          <w:tcPr>
            <w:tcW w:w="1773" w:type="dxa"/>
            <w:tcBorders>
              <w:top w:val="nil"/>
              <w:left w:val="nil"/>
              <w:bottom w:val="single" w:sz="4" w:space="0" w:color="auto"/>
              <w:right w:val="single" w:sz="4" w:space="0" w:color="auto"/>
            </w:tcBorders>
            <w:shd w:val="clear" w:color="auto" w:fill="auto"/>
            <w:noWrap/>
            <w:vAlign w:val="bottom"/>
            <w:hideMark/>
          </w:tcPr>
          <w:p w14:paraId="2BCC0BA9"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4DE809C4"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59CB86F5"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70054E47"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3298A18A"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012991F3"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8</w:t>
            </w:r>
          </w:p>
        </w:tc>
        <w:tc>
          <w:tcPr>
            <w:tcW w:w="1773" w:type="dxa"/>
            <w:tcBorders>
              <w:top w:val="nil"/>
              <w:left w:val="nil"/>
              <w:bottom w:val="single" w:sz="4" w:space="0" w:color="auto"/>
              <w:right w:val="single" w:sz="4" w:space="0" w:color="auto"/>
            </w:tcBorders>
            <w:shd w:val="clear" w:color="auto" w:fill="auto"/>
            <w:noWrap/>
            <w:vAlign w:val="bottom"/>
            <w:hideMark/>
          </w:tcPr>
          <w:p w14:paraId="32D0BF97"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0D52D30F"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3D77A534"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3209874F"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34F56D04"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2479FBAF"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9</w:t>
            </w:r>
          </w:p>
        </w:tc>
        <w:tc>
          <w:tcPr>
            <w:tcW w:w="1773" w:type="dxa"/>
            <w:tcBorders>
              <w:top w:val="nil"/>
              <w:left w:val="nil"/>
              <w:bottom w:val="single" w:sz="4" w:space="0" w:color="auto"/>
              <w:right w:val="single" w:sz="4" w:space="0" w:color="auto"/>
            </w:tcBorders>
            <w:shd w:val="clear" w:color="auto" w:fill="auto"/>
            <w:noWrap/>
            <w:vAlign w:val="bottom"/>
            <w:hideMark/>
          </w:tcPr>
          <w:p w14:paraId="76B9262A"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37F9FEF0"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0CB60366"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3DAD1B19"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0A0377" w14:paraId="7B58F8F1"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4664119D"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Year 10</w:t>
            </w:r>
          </w:p>
        </w:tc>
        <w:tc>
          <w:tcPr>
            <w:tcW w:w="1773" w:type="dxa"/>
            <w:tcBorders>
              <w:top w:val="nil"/>
              <w:left w:val="nil"/>
              <w:bottom w:val="single" w:sz="4" w:space="0" w:color="auto"/>
              <w:right w:val="single" w:sz="4" w:space="0" w:color="auto"/>
            </w:tcBorders>
            <w:shd w:val="clear" w:color="auto" w:fill="auto"/>
            <w:noWrap/>
            <w:vAlign w:val="bottom"/>
            <w:hideMark/>
          </w:tcPr>
          <w:p w14:paraId="080481BD" w14:textId="77777777" w:rsidR="00227D10" w:rsidRPr="000A0377" w:rsidRDefault="00227D10" w:rsidP="0090057F">
            <w:pPr>
              <w:spacing w:after="0" w:line="240" w:lineRule="auto"/>
              <w:jc w:val="right"/>
              <w:rPr>
                <w:rFonts w:ascii="Calibri" w:eastAsia="Times New Roman" w:hAnsi="Calibri" w:cs="Calibri"/>
                <w:bCs/>
                <w:color w:val="auto"/>
                <w:sz w:val="16"/>
                <w:szCs w:val="16"/>
                <w:lang w:eastAsia="en-AU"/>
              </w:rPr>
            </w:pPr>
            <w:r w:rsidRPr="000A0377">
              <w:rPr>
                <w:rFonts w:ascii="Calibri" w:eastAsia="Times New Roman" w:hAnsi="Calibri" w:cs="Calibri"/>
                <w:bCs/>
                <w:color w:val="auto"/>
                <w:sz w:val="16"/>
                <w:szCs w:val="16"/>
                <w:lang w:eastAsia="en-AU"/>
              </w:rPr>
              <w:t>840</w:t>
            </w:r>
          </w:p>
        </w:tc>
        <w:tc>
          <w:tcPr>
            <w:tcW w:w="787" w:type="dxa"/>
            <w:tcBorders>
              <w:top w:val="nil"/>
              <w:left w:val="nil"/>
              <w:bottom w:val="single" w:sz="4" w:space="0" w:color="auto"/>
              <w:right w:val="single" w:sz="4" w:space="0" w:color="auto"/>
            </w:tcBorders>
            <w:shd w:val="clear" w:color="auto" w:fill="auto"/>
            <w:noWrap/>
            <w:vAlign w:val="bottom"/>
            <w:hideMark/>
          </w:tcPr>
          <w:p w14:paraId="2FF1F100"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0.75</w:t>
            </w:r>
          </w:p>
        </w:tc>
        <w:tc>
          <w:tcPr>
            <w:tcW w:w="804" w:type="dxa"/>
            <w:tcBorders>
              <w:top w:val="nil"/>
              <w:left w:val="nil"/>
              <w:bottom w:val="single" w:sz="4" w:space="0" w:color="auto"/>
              <w:right w:val="single" w:sz="4" w:space="0" w:color="auto"/>
            </w:tcBorders>
            <w:shd w:val="clear" w:color="auto" w:fill="auto"/>
            <w:noWrap/>
            <w:vAlign w:val="bottom"/>
            <w:hideMark/>
          </w:tcPr>
          <w:p w14:paraId="6FB74F75"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36</w:t>
            </w:r>
          </w:p>
        </w:tc>
        <w:tc>
          <w:tcPr>
            <w:tcW w:w="1531" w:type="dxa"/>
            <w:tcBorders>
              <w:top w:val="nil"/>
              <w:left w:val="nil"/>
              <w:bottom w:val="single" w:sz="4" w:space="0" w:color="auto"/>
              <w:right w:val="single" w:sz="4" w:space="0" w:color="auto"/>
            </w:tcBorders>
            <w:shd w:val="clear" w:color="auto" w:fill="auto"/>
            <w:noWrap/>
            <w:vAlign w:val="bottom"/>
            <w:hideMark/>
          </w:tcPr>
          <w:p w14:paraId="66704020"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$22,680</w:t>
            </w:r>
          </w:p>
        </w:tc>
      </w:tr>
      <w:tr w:rsidR="00227D10" w:rsidRPr="00C02CBB" w14:paraId="0B19F7C4" w14:textId="77777777" w:rsidTr="00227D10">
        <w:trPr>
          <w:trHeight w:val="300"/>
        </w:trPr>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1F533648" w14:textId="77777777" w:rsidR="00227D10" w:rsidRPr="000A0377" w:rsidRDefault="00227D10" w:rsidP="0090057F">
            <w:pPr>
              <w:spacing w:after="0" w:line="240" w:lineRule="auto"/>
              <w:rPr>
                <w:rFonts w:ascii="Calibri" w:eastAsia="Times New Roman" w:hAnsi="Calibri" w:cs="Calibri"/>
                <w:color w:val="000000"/>
                <w:sz w:val="16"/>
                <w:szCs w:val="16"/>
                <w:lang w:eastAsia="en-AU"/>
              </w:rPr>
            </w:pPr>
            <w:r w:rsidRPr="000A0377">
              <w:rPr>
                <w:rFonts w:ascii="Calibri" w:eastAsia="Times New Roman" w:hAnsi="Calibri" w:cs="Calibri"/>
                <w:color w:val="000000"/>
                <w:sz w:val="16"/>
                <w:szCs w:val="16"/>
                <w:lang w:eastAsia="en-AU"/>
              </w:rPr>
              <w:t> </w:t>
            </w:r>
          </w:p>
        </w:tc>
        <w:tc>
          <w:tcPr>
            <w:tcW w:w="1773" w:type="dxa"/>
            <w:tcBorders>
              <w:top w:val="nil"/>
              <w:left w:val="nil"/>
              <w:bottom w:val="single" w:sz="4" w:space="0" w:color="auto"/>
              <w:right w:val="single" w:sz="4" w:space="0" w:color="auto"/>
            </w:tcBorders>
            <w:shd w:val="clear" w:color="auto" w:fill="auto"/>
            <w:noWrap/>
            <w:vAlign w:val="bottom"/>
            <w:hideMark/>
          </w:tcPr>
          <w:p w14:paraId="56561E07" w14:textId="77777777" w:rsidR="00227D10" w:rsidRPr="000A0377" w:rsidRDefault="00227D10" w:rsidP="0090057F">
            <w:pPr>
              <w:spacing w:after="0" w:line="240" w:lineRule="auto"/>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 </w:t>
            </w:r>
          </w:p>
        </w:tc>
        <w:tc>
          <w:tcPr>
            <w:tcW w:w="787" w:type="dxa"/>
            <w:tcBorders>
              <w:top w:val="nil"/>
              <w:left w:val="nil"/>
              <w:bottom w:val="single" w:sz="4" w:space="0" w:color="auto"/>
              <w:right w:val="single" w:sz="4" w:space="0" w:color="auto"/>
            </w:tcBorders>
            <w:shd w:val="clear" w:color="auto" w:fill="auto"/>
            <w:noWrap/>
            <w:vAlign w:val="bottom"/>
            <w:hideMark/>
          </w:tcPr>
          <w:p w14:paraId="40CAE363" w14:textId="77777777" w:rsidR="00227D10" w:rsidRPr="000A0377" w:rsidRDefault="00227D10" w:rsidP="0090057F">
            <w:pPr>
              <w:spacing w:after="0" w:line="240" w:lineRule="auto"/>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 </w:t>
            </w:r>
          </w:p>
        </w:tc>
        <w:tc>
          <w:tcPr>
            <w:tcW w:w="804" w:type="dxa"/>
            <w:tcBorders>
              <w:top w:val="nil"/>
              <w:left w:val="nil"/>
              <w:bottom w:val="single" w:sz="4" w:space="0" w:color="auto"/>
              <w:right w:val="single" w:sz="4" w:space="0" w:color="auto"/>
            </w:tcBorders>
            <w:shd w:val="clear" w:color="auto" w:fill="auto"/>
            <w:noWrap/>
            <w:vAlign w:val="bottom"/>
            <w:hideMark/>
          </w:tcPr>
          <w:p w14:paraId="42821592" w14:textId="77777777" w:rsidR="00227D10" w:rsidRPr="000A0377" w:rsidRDefault="00227D10" w:rsidP="0090057F">
            <w:pPr>
              <w:spacing w:after="0" w:line="240" w:lineRule="auto"/>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total</w:t>
            </w:r>
          </w:p>
        </w:tc>
        <w:tc>
          <w:tcPr>
            <w:tcW w:w="1531" w:type="dxa"/>
            <w:tcBorders>
              <w:top w:val="nil"/>
              <w:left w:val="nil"/>
              <w:bottom w:val="single" w:sz="4" w:space="0" w:color="auto"/>
              <w:right w:val="single" w:sz="4" w:space="0" w:color="auto"/>
            </w:tcBorders>
            <w:shd w:val="clear" w:color="auto" w:fill="auto"/>
            <w:noWrap/>
            <w:vAlign w:val="bottom"/>
            <w:hideMark/>
          </w:tcPr>
          <w:p w14:paraId="13825C41" w14:textId="77777777" w:rsidR="00227D10" w:rsidRPr="000A0377" w:rsidRDefault="00227D10" w:rsidP="0090057F">
            <w:pPr>
              <w:spacing w:after="0" w:line="240" w:lineRule="auto"/>
              <w:jc w:val="right"/>
              <w:rPr>
                <w:rFonts w:ascii="Calibri" w:eastAsia="Times New Roman" w:hAnsi="Calibri" w:cs="Calibri"/>
                <w:color w:val="auto"/>
                <w:sz w:val="16"/>
                <w:szCs w:val="16"/>
                <w:lang w:eastAsia="en-AU"/>
              </w:rPr>
            </w:pPr>
            <w:r w:rsidRPr="000A0377">
              <w:rPr>
                <w:rFonts w:ascii="Calibri" w:eastAsia="Times New Roman" w:hAnsi="Calibri" w:cs="Calibri"/>
                <w:color w:val="auto"/>
                <w:sz w:val="16"/>
                <w:szCs w:val="16"/>
                <w:lang w:eastAsia="en-AU"/>
              </w:rPr>
              <w:t>$309,960</w:t>
            </w:r>
          </w:p>
        </w:tc>
      </w:tr>
    </w:tbl>
    <w:p w14:paraId="66716002" w14:textId="3128263B" w:rsidR="00B3545C" w:rsidRPr="00BD5B94" w:rsidRDefault="00FB6FA4" w:rsidP="008B19D1">
      <w:pPr>
        <w:pStyle w:val="Heading4"/>
        <w:rPr>
          <w:color w:val="auto"/>
        </w:rPr>
      </w:pPr>
      <w:r>
        <w:t xml:space="preserve">4.2.2.1.3 </w:t>
      </w:r>
      <w:r w:rsidR="002F0974" w:rsidRPr="00BD5B94">
        <w:t xml:space="preserve">Participants who go onto </w:t>
      </w:r>
      <w:r w:rsidR="00643DC5">
        <w:t>IM</w:t>
      </w:r>
      <w:r w:rsidR="006B3EFE" w:rsidRPr="00BD5B94">
        <w:t xml:space="preserve"> (</w:t>
      </w:r>
      <w:r w:rsidR="003B0A20" w:rsidRPr="00BD5B94">
        <w:t>NT</w:t>
      </w:r>
      <w:r w:rsidR="006B3EFE" w:rsidRPr="00BD5B94">
        <w:t>)</w:t>
      </w:r>
    </w:p>
    <w:p w14:paraId="267D0D50" w14:textId="77777777" w:rsidR="001C3423" w:rsidRPr="008523CC" w:rsidRDefault="00070411" w:rsidP="00070411">
      <w:pPr>
        <w:spacing w:before="120"/>
      </w:pPr>
      <w:r w:rsidRPr="008523CC">
        <w:t xml:space="preserve">3,800 people in the </w:t>
      </w:r>
      <w:r w:rsidR="0030544D">
        <w:t>NT</w:t>
      </w:r>
      <w:r w:rsidRPr="008523CC">
        <w:t xml:space="preserve"> have chosen to move from IM to CDC</w:t>
      </w:r>
      <w:r w:rsidR="003D3659">
        <w:t xml:space="preserve"> since March 2021</w:t>
      </w:r>
      <w:r w:rsidRPr="008523CC">
        <w:t>. These participants may have on-going eligibility for IM</w:t>
      </w:r>
      <w:r w:rsidR="00BB12CA" w:rsidRPr="008523CC">
        <w:t xml:space="preserve"> </w:t>
      </w:r>
      <w:r w:rsidRPr="008523CC">
        <w:t>under existing legislation</w:t>
      </w:r>
      <w:r w:rsidR="00BB12CA" w:rsidRPr="008523CC">
        <w:t>.</w:t>
      </w:r>
      <w:r w:rsidRPr="008523CC">
        <w:t xml:space="preserve"> CDC participants in the NT will revert back to IM following their transition off the CDC.</w:t>
      </w:r>
      <w:r w:rsidR="00BB12CA" w:rsidRPr="008523CC">
        <w:t xml:space="preserve"> </w:t>
      </w:r>
      <w:r w:rsidR="001C3423" w:rsidRPr="008523CC">
        <w:t xml:space="preserve">The NT is the only place with </w:t>
      </w:r>
      <w:r w:rsidR="00D96A49" w:rsidRPr="008523CC">
        <w:t xml:space="preserve">multiple </w:t>
      </w:r>
      <w:r w:rsidR="001C3423" w:rsidRPr="008523CC">
        <w:t xml:space="preserve">participants on both the CDC and IM programs in the same communities. </w:t>
      </w:r>
      <w:r w:rsidR="00363E0A" w:rsidRPr="008523CC">
        <w:t xml:space="preserve">In one example, a town in the NT has 140 CDC participants and 280 IM participants. </w:t>
      </w:r>
      <w:r w:rsidR="001C3423" w:rsidRPr="008523CC">
        <w:t xml:space="preserve">Reverting CDC participants back to IM will allow the Government to have a coordinated transition of participants in both programs at the same time. IM is the dominant program in the NT </w:t>
      </w:r>
      <w:r w:rsidR="00D96A49" w:rsidRPr="008523CC">
        <w:t>in</w:t>
      </w:r>
      <w:r w:rsidR="001C3423" w:rsidRPr="008523CC">
        <w:t xml:space="preserve"> the overw</w:t>
      </w:r>
      <w:r w:rsidR="00D96A49" w:rsidRPr="008523CC">
        <w:t>helming majority of communities.</w:t>
      </w:r>
      <w:r w:rsidR="001C3423" w:rsidRPr="008523CC">
        <w:t xml:space="preserve"> The provision of support services will be more effective if they are designed for the community as a whole, includin</w:t>
      </w:r>
      <w:r w:rsidR="00A359D9">
        <w:t>g both IM and CDC participants.</w:t>
      </w:r>
    </w:p>
    <w:p w14:paraId="26746EB6" w14:textId="0897ACED" w:rsidR="009B7D2F" w:rsidRPr="008523CC" w:rsidRDefault="009B7D2F" w:rsidP="00070411">
      <w:pPr>
        <w:spacing w:before="120"/>
      </w:pPr>
      <w:r>
        <w:t>T</w:t>
      </w:r>
      <w:r w:rsidR="00BB12CA" w:rsidRPr="008523CC">
        <w:t>hose participants moving back to I</w:t>
      </w:r>
      <w:r w:rsidR="00051F7B">
        <w:t>M</w:t>
      </w:r>
      <w:r w:rsidR="00BB12CA" w:rsidRPr="008523CC">
        <w:t xml:space="preserve"> in the </w:t>
      </w:r>
      <w:r w:rsidR="00051F7B">
        <w:t>NT</w:t>
      </w:r>
      <w:r w:rsidR="00BB12CA" w:rsidRPr="008523CC">
        <w:t xml:space="preserve"> </w:t>
      </w:r>
      <w:r>
        <w:t xml:space="preserve">will not return </w:t>
      </w:r>
      <w:r w:rsidRPr="009B7D2F">
        <w:rPr>
          <w:bCs/>
          <w:color w:val="auto"/>
        </w:rPr>
        <w:t>to the BasicsCard but will have similar card functionality to what they are currently using</w:t>
      </w:r>
      <w:r w:rsidR="00BB12CA" w:rsidRPr="008523CC">
        <w:t xml:space="preserve"> but under the I</w:t>
      </w:r>
      <w:r w:rsidR="00051F7B">
        <w:t>M</w:t>
      </w:r>
      <w:r w:rsidR="00BB12CA" w:rsidRPr="008523CC">
        <w:t xml:space="preserve"> program.</w:t>
      </w:r>
    </w:p>
    <w:p w14:paraId="5BC7FBE1" w14:textId="12D2ABEB" w:rsidR="00BB12CA" w:rsidRDefault="00BB12CA" w:rsidP="00070411">
      <w:pPr>
        <w:spacing w:before="120"/>
      </w:pPr>
      <w:r w:rsidRPr="008523CC">
        <w:t>Therefore</w:t>
      </w:r>
      <w:r w:rsidR="00092DFE">
        <w:t>,</w:t>
      </w:r>
      <w:r w:rsidRPr="008523CC">
        <w:t xml:space="preserve"> there is no regulatory costs associated with this change in policy</w:t>
      </w:r>
      <w:r w:rsidR="00747009">
        <w:t>.</w:t>
      </w:r>
    </w:p>
    <w:p w14:paraId="2216D6AF" w14:textId="4F92F6E8" w:rsidR="00B5694D" w:rsidRPr="00091D5F" w:rsidRDefault="00FB6FA4" w:rsidP="00BC08B3">
      <w:pPr>
        <w:pStyle w:val="Heading4"/>
      </w:pPr>
      <w:r>
        <w:t xml:space="preserve">4.2.2.1.4 </w:t>
      </w:r>
      <w:r w:rsidR="00B5694D" w:rsidRPr="00091D5F">
        <w:t xml:space="preserve">Participants who go </w:t>
      </w:r>
      <w:r w:rsidR="0047046B" w:rsidRPr="00091D5F">
        <w:t xml:space="preserve">onto </w:t>
      </w:r>
      <w:r w:rsidR="00602EC1" w:rsidRPr="00091D5F">
        <w:t xml:space="preserve">IM through </w:t>
      </w:r>
      <w:r w:rsidR="00693AF4">
        <w:t xml:space="preserve">a </w:t>
      </w:r>
      <w:r w:rsidR="00602EC1" w:rsidRPr="00091D5F">
        <w:t xml:space="preserve">community led </w:t>
      </w:r>
      <w:r w:rsidR="00693AF4">
        <w:t xml:space="preserve">model </w:t>
      </w:r>
      <w:r w:rsidR="00602EC1" w:rsidRPr="00091D5F">
        <w:t xml:space="preserve">or </w:t>
      </w:r>
      <w:r w:rsidR="007B5FB1" w:rsidRPr="00091D5F">
        <w:t xml:space="preserve">SPaR </w:t>
      </w:r>
      <w:r w:rsidR="00602EC1" w:rsidRPr="00091D5F">
        <w:t xml:space="preserve">or </w:t>
      </w:r>
      <w:r w:rsidR="00603546">
        <w:t>Child Protection</w:t>
      </w:r>
    </w:p>
    <w:p w14:paraId="6136B949" w14:textId="77777777" w:rsidR="00E526C4" w:rsidRDefault="004B3A1F" w:rsidP="00E471FE">
      <w:pPr>
        <w:rPr>
          <w:color w:val="auto"/>
        </w:rPr>
      </w:pPr>
      <w:r>
        <w:t xml:space="preserve">The </w:t>
      </w:r>
      <w:r w:rsidR="0002754C">
        <w:t xml:space="preserve">FRC </w:t>
      </w:r>
      <w:r>
        <w:t>will still be able to place people onto the IM program. This allows the FRC to make determinations on who should be on the program, how long they should be on it and what level of quarantining should apply</w:t>
      </w:r>
      <w:r w:rsidR="00A359D9">
        <w:t>.</w:t>
      </w:r>
    </w:p>
    <w:p w14:paraId="4B0E8094" w14:textId="77777777" w:rsidR="00603546" w:rsidRDefault="004B3A1F" w:rsidP="00227D10">
      <w:pPr>
        <w:spacing w:before="120" w:after="180"/>
      </w:pPr>
      <w:r>
        <w:t>The Gov</w:t>
      </w:r>
      <w:r w:rsidR="008523CC">
        <w:t xml:space="preserve">ernment will consult with </w:t>
      </w:r>
      <w:r>
        <w:t xml:space="preserve">communities whether they </w:t>
      </w:r>
      <w:r w:rsidR="00B71FC1">
        <w:t>want to have similar arrangements in place</w:t>
      </w:r>
      <w:r w:rsidR="003D3659">
        <w:t>, noting that these complex consultations will take several month</w:t>
      </w:r>
      <w:r w:rsidR="000D4CFB">
        <w:t>s</w:t>
      </w:r>
      <w:r w:rsidR="00B71FC1">
        <w:t>.</w:t>
      </w:r>
      <w:r w:rsidR="003D3659">
        <w:t xml:space="preserve"> Consultation will also be held with </w:t>
      </w:r>
      <w:r w:rsidR="00E526C4">
        <w:t xml:space="preserve">state and territory government agencies </w:t>
      </w:r>
      <w:r w:rsidR="003D3659">
        <w:t xml:space="preserve">who may seek ongoing arrangements </w:t>
      </w:r>
      <w:r w:rsidR="00E526C4">
        <w:t xml:space="preserve">to </w:t>
      </w:r>
      <w:r w:rsidR="00E90A1C">
        <w:t>refer people to IM for such things as child protection or because they are something like the banned drinkers register in the NT</w:t>
      </w:r>
      <w:r w:rsidR="003D3725">
        <w:t xml:space="preserve"> (ie SPaR)</w:t>
      </w:r>
      <w:r w:rsidR="004E1125">
        <w:t xml:space="preserve"> </w:t>
      </w:r>
      <w:r w:rsidR="004E1125">
        <w:rPr>
          <w:color w:val="auto"/>
        </w:rPr>
        <w:t>(subject to future consideration by government)</w:t>
      </w:r>
      <w:r w:rsidR="00E90A1C">
        <w:t>.</w:t>
      </w:r>
    </w:p>
    <w:p w14:paraId="3DFF0A4F" w14:textId="74CBD746" w:rsidR="004B3A1F" w:rsidRPr="004B3A1F" w:rsidRDefault="004B3A1F" w:rsidP="00227D10">
      <w:pPr>
        <w:spacing w:before="120" w:after="180"/>
        <w:rPr>
          <w:b/>
        </w:rPr>
      </w:pPr>
      <w:r w:rsidRPr="004B3A1F">
        <w:rPr>
          <w:b/>
        </w:rPr>
        <w:t>Benefits</w:t>
      </w:r>
    </w:p>
    <w:p w14:paraId="7C3B4160" w14:textId="77777777" w:rsidR="004D7714" w:rsidRPr="008523CC" w:rsidRDefault="004B3A1F" w:rsidP="003D3725">
      <w:pPr>
        <w:pStyle w:val="BulletedListlvl1"/>
      </w:pPr>
      <w:r w:rsidRPr="008523CC">
        <w:t xml:space="preserve">These determinations are different to the triggers that apply in the CDC and IM programs as they are made after taking into account a person’s </w:t>
      </w:r>
      <w:r w:rsidR="003D3659">
        <w:t xml:space="preserve">or communities </w:t>
      </w:r>
      <w:r w:rsidRPr="008523CC">
        <w:t>circumstances and whether the IM program will benefit the</w:t>
      </w:r>
      <w:r w:rsidR="003D3725" w:rsidRPr="008523CC">
        <w:t xml:space="preserve"> </w:t>
      </w:r>
      <w:r w:rsidR="003D3659">
        <w:t xml:space="preserve">individual or community. An individual or communities </w:t>
      </w:r>
      <w:r w:rsidR="00B71FC1" w:rsidRPr="008523CC">
        <w:t xml:space="preserve">ongoing participation on the program </w:t>
      </w:r>
      <w:r w:rsidR="00E90A1C" w:rsidRPr="008523CC">
        <w:t xml:space="preserve">can be </w:t>
      </w:r>
      <w:r w:rsidR="00B71FC1" w:rsidRPr="008523CC">
        <w:t xml:space="preserve">assessed by the </w:t>
      </w:r>
      <w:r w:rsidR="00E90A1C" w:rsidRPr="008523CC">
        <w:t xml:space="preserve">referring authority </w:t>
      </w:r>
      <w:r w:rsidR="00805A26">
        <w:t xml:space="preserve">or community </w:t>
      </w:r>
      <w:r w:rsidR="00B71FC1" w:rsidRPr="008523CC">
        <w:t xml:space="preserve">so </w:t>
      </w:r>
      <w:r w:rsidR="00805A26" w:rsidRPr="008523CC">
        <w:t>participants</w:t>
      </w:r>
      <w:r w:rsidR="00805A26">
        <w:t xml:space="preserve"> may </w:t>
      </w:r>
      <w:r w:rsidR="00B71FC1" w:rsidRPr="008523CC">
        <w:t xml:space="preserve">come off </w:t>
      </w:r>
      <w:r w:rsidR="00805A26">
        <w:t xml:space="preserve">the program </w:t>
      </w:r>
      <w:r w:rsidR="00B71FC1" w:rsidRPr="008523CC">
        <w:t>if they show improvements in their circumstance</w:t>
      </w:r>
      <w:r w:rsidR="00E526C4" w:rsidRPr="008523CC">
        <w:t>s</w:t>
      </w:r>
      <w:r w:rsidR="00B71FC1" w:rsidRPr="008523CC">
        <w:t>.</w:t>
      </w:r>
      <w:r w:rsidR="003D3725" w:rsidRPr="008523CC">
        <w:t xml:space="preserve"> Whether those under child protection orders or SPaR can exit is determined by the relevant jurisdiction that has referred the individual to the IM program.</w:t>
      </w:r>
    </w:p>
    <w:p w14:paraId="0848076D" w14:textId="15A2B24C" w:rsidR="0047046B" w:rsidRPr="00C64EEF" w:rsidRDefault="0047046B" w:rsidP="0047046B">
      <w:pPr>
        <w:pStyle w:val="BulletedListlvl1"/>
        <w:ind w:left="643"/>
        <w:rPr>
          <w:color w:val="auto"/>
        </w:rPr>
      </w:pPr>
      <w:r w:rsidRPr="00805A26">
        <w:rPr>
          <w:color w:val="auto"/>
        </w:rPr>
        <w:t>I</w:t>
      </w:r>
      <w:r w:rsidR="00051F7B">
        <w:rPr>
          <w:color w:val="auto"/>
        </w:rPr>
        <w:t>M</w:t>
      </w:r>
      <w:r w:rsidRPr="00805A26">
        <w:rPr>
          <w:color w:val="auto"/>
        </w:rPr>
        <w:t xml:space="preserve"> can provide </w:t>
      </w:r>
      <w:r w:rsidR="000D4CFB">
        <w:rPr>
          <w:color w:val="auto"/>
        </w:rPr>
        <w:t xml:space="preserve">a </w:t>
      </w:r>
      <w:r w:rsidRPr="00805A26">
        <w:rPr>
          <w:color w:val="auto"/>
        </w:rPr>
        <w:t>secondary benefit of improved health and wellbeing outcomes for children:</w:t>
      </w:r>
      <w:r w:rsidRPr="00C64EEF">
        <w:rPr>
          <w:color w:val="auto"/>
        </w:rPr>
        <w:t xml:space="preserve"> I</w:t>
      </w:r>
      <w:r w:rsidR="00051F7B">
        <w:rPr>
          <w:color w:val="auto"/>
        </w:rPr>
        <w:t>M</w:t>
      </w:r>
      <w:r w:rsidRPr="00C64EEF">
        <w:rPr>
          <w:color w:val="auto"/>
        </w:rPr>
        <w:t xml:space="preserve"> can support participants to allocate a proportion of their welfare payments towards groceries and educational needs of their children and dependents. Many recipients on the Child Protection measure acknowledged that </w:t>
      </w:r>
      <w:r w:rsidR="00051F7B">
        <w:rPr>
          <w:color w:val="auto"/>
        </w:rPr>
        <w:t>IM</w:t>
      </w:r>
      <w:r w:rsidRPr="00C64EEF">
        <w:rPr>
          <w:color w:val="auto"/>
        </w:rPr>
        <w:t xml:space="preserve"> had helped improve their ability to meet their basic needs. About a third of interviewed recipients on Child Protection </w:t>
      </w:r>
      <w:r w:rsidR="00051F7B">
        <w:rPr>
          <w:color w:val="auto"/>
        </w:rPr>
        <w:t>IM</w:t>
      </w:r>
      <w:r w:rsidRPr="00C64EEF">
        <w:rPr>
          <w:color w:val="auto"/>
        </w:rPr>
        <w:t xml:space="preserve"> wanted to remain on it, and a further third wanted to go off once their income managed period was over but retain the opportunity to return to it in future if they needed to. The remaining third wanted nothing more to do with income management.</w:t>
      </w:r>
      <w:r w:rsidRPr="00C64EEF">
        <w:rPr>
          <w:rStyle w:val="FootnoteReference"/>
          <w:color w:val="auto"/>
        </w:rPr>
        <w:footnoteReference w:id="28"/>
      </w:r>
    </w:p>
    <w:p w14:paraId="4E518457" w14:textId="77777777" w:rsidR="0047046B" w:rsidRDefault="0047046B" w:rsidP="0047046B">
      <w:pPr>
        <w:pStyle w:val="BulletedListlvl1"/>
        <w:ind w:left="643"/>
        <w:rPr>
          <w:color w:val="auto"/>
        </w:rPr>
      </w:pPr>
      <w:r w:rsidRPr="00C64EEF">
        <w:rPr>
          <w:color w:val="auto"/>
          <w:shd w:val="clear" w:color="auto" w:fill="FFFFFF"/>
        </w:rPr>
        <w:t xml:space="preserve">Evaluation of the impact of the Child Protection measure </w:t>
      </w:r>
      <w:r w:rsidRPr="00C64EEF">
        <w:rPr>
          <w:color w:val="auto"/>
        </w:rPr>
        <w:t xml:space="preserve">for parents, carers or young people referred for IM has found that IM had the potential to positively impact on children’s welfare, mainly due to improving individual’s housing stability. Stable accommodation for customers and their children meant there were fewer occurrences of families sleeping rough and children being placed in out of home or kinship care. It was also noted it had a positive influence on children’s attendance at school and educational attainment. </w:t>
      </w:r>
      <w:r w:rsidR="00051F7B">
        <w:rPr>
          <w:color w:val="auto"/>
        </w:rPr>
        <w:t>I</w:t>
      </w:r>
      <w:r w:rsidRPr="00C64EEF">
        <w:rPr>
          <w:color w:val="auto"/>
        </w:rPr>
        <w:t>t was noted that stable housing for families reduced the need for child protection interventions, as children living in stable accommodation were more likely to be clothed, fed and attending school</w:t>
      </w:r>
      <w:r>
        <w:rPr>
          <w:color w:val="auto"/>
        </w:rPr>
        <w:t>.</w:t>
      </w:r>
      <w:r w:rsidRPr="00C64EEF">
        <w:rPr>
          <w:rStyle w:val="FootnoteReference"/>
          <w:color w:val="auto"/>
        </w:rPr>
        <w:footnoteReference w:id="29"/>
      </w:r>
    </w:p>
    <w:p w14:paraId="284EC9BC" w14:textId="77777777" w:rsidR="00BD65D0" w:rsidRPr="00227D10" w:rsidRDefault="0047046B" w:rsidP="00227D10">
      <w:pPr>
        <w:pStyle w:val="BulletedListlvl1"/>
      </w:pPr>
      <w:r w:rsidRPr="00BD5B94">
        <w:t>Social workers interviewed said that they saw a reduction in drug or alcohol consumption, a stabilisation of living situation, and improved access to other community services (e.g. Home and Community Care and Meals on Wheels)</w:t>
      </w:r>
      <w:r w:rsidRPr="00C30717">
        <w:rPr>
          <w:rStyle w:val="FootnoteReference"/>
        </w:rPr>
        <w:footnoteReference w:id="30"/>
      </w:r>
      <w:r w:rsidRPr="00BD5B94">
        <w:t>.</w:t>
      </w:r>
    </w:p>
    <w:p w14:paraId="719DF9C0" w14:textId="77777777" w:rsidR="00B71FC1" w:rsidRPr="00B71FC1" w:rsidRDefault="00B71FC1" w:rsidP="00227D10">
      <w:pPr>
        <w:pStyle w:val="BulletedListlvl1"/>
        <w:numPr>
          <w:ilvl w:val="0"/>
          <w:numId w:val="0"/>
        </w:numPr>
        <w:spacing w:before="120" w:after="180"/>
        <w:ind w:left="284"/>
        <w:rPr>
          <w:b/>
          <w:color w:val="auto"/>
        </w:rPr>
      </w:pPr>
      <w:r w:rsidRPr="00B71FC1">
        <w:rPr>
          <w:b/>
          <w:color w:val="auto"/>
        </w:rPr>
        <w:t>Costs</w:t>
      </w:r>
    </w:p>
    <w:p w14:paraId="54832D64" w14:textId="2812EC7A" w:rsidR="00AC6410" w:rsidRPr="00FD4AE4" w:rsidRDefault="006A7177" w:rsidP="00C0669B">
      <w:pPr>
        <w:pStyle w:val="BulletedListlvl1"/>
        <w:spacing w:after="120"/>
        <w:ind w:left="568" w:hanging="284"/>
        <w:rPr>
          <w:color w:val="auto"/>
        </w:rPr>
      </w:pPr>
      <w:r>
        <w:rPr>
          <w:color w:val="auto"/>
        </w:rPr>
        <w:t>Cape York:</w:t>
      </w:r>
    </w:p>
    <w:p w14:paraId="47712BDF" w14:textId="0E32F8CA" w:rsidR="00AC6410" w:rsidRPr="000D3979" w:rsidRDefault="00362810" w:rsidP="00AC6410">
      <w:pPr>
        <w:pStyle w:val="BulletedListlvl1"/>
        <w:numPr>
          <w:ilvl w:val="1"/>
          <w:numId w:val="2"/>
        </w:numPr>
        <w:spacing w:after="120"/>
      </w:pPr>
      <w:r w:rsidRPr="000D3979">
        <w:rPr>
          <w:color w:val="auto"/>
        </w:rPr>
        <w:t>There are currently just over 100 people on the C</w:t>
      </w:r>
      <w:r w:rsidR="005B1A2F" w:rsidRPr="000D3979">
        <w:rPr>
          <w:color w:val="auto"/>
        </w:rPr>
        <w:t>DC program in the Cape York area</w:t>
      </w:r>
      <w:r w:rsidRPr="000D3979">
        <w:rPr>
          <w:color w:val="auto"/>
        </w:rPr>
        <w:t xml:space="preserve">. These </w:t>
      </w:r>
      <w:r w:rsidR="00AC6410" w:rsidRPr="000D3979">
        <w:rPr>
          <w:color w:val="auto"/>
        </w:rPr>
        <w:t xml:space="preserve">individuals </w:t>
      </w:r>
      <w:r w:rsidRPr="000D3979">
        <w:rPr>
          <w:color w:val="auto"/>
        </w:rPr>
        <w:t>were only eligible for</w:t>
      </w:r>
      <w:r w:rsidR="005B1A2F" w:rsidRPr="000D3979">
        <w:rPr>
          <w:color w:val="auto"/>
        </w:rPr>
        <w:t xml:space="preserve"> </w:t>
      </w:r>
      <w:r w:rsidR="00AA1E0B" w:rsidRPr="000D3979">
        <w:rPr>
          <w:color w:val="auto"/>
        </w:rPr>
        <w:t xml:space="preserve">the </w:t>
      </w:r>
      <w:r w:rsidR="005B1A2F" w:rsidRPr="000D3979">
        <w:rPr>
          <w:color w:val="auto"/>
        </w:rPr>
        <w:t>CDC program from 17 March 2021 and before this, they</w:t>
      </w:r>
      <w:r w:rsidRPr="000D3979">
        <w:rPr>
          <w:color w:val="auto"/>
        </w:rPr>
        <w:t xml:space="preserve"> </w:t>
      </w:r>
      <w:r w:rsidR="005B1A2F" w:rsidRPr="000D3979">
        <w:rPr>
          <w:color w:val="auto"/>
        </w:rPr>
        <w:t xml:space="preserve">were participating </w:t>
      </w:r>
      <w:r w:rsidRPr="000D3979">
        <w:rPr>
          <w:color w:val="auto"/>
        </w:rPr>
        <w:t>in IM.</w:t>
      </w:r>
      <w:r w:rsidR="00D96A49" w:rsidRPr="000D3979">
        <w:rPr>
          <w:color w:val="auto"/>
        </w:rPr>
        <w:t xml:space="preserve"> </w:t>
      </w:r>
      <w:r w:rsidR="00E2144D" w:rsidRPr="000D3979">
        <w:rPr>
          <w:color w:val="auto"/>
        </w:rPr>
        <w:t>There is no regul</w:t>
      </w:r>
      <w:r w:rsidR="00445703" w:rsidRPr="000D3979">
        <w:rPr>
          <w:color w:val="auto"/>
        </w:rPr>
        <w:t xml:space="preserve">atory impact as the participants will continue </w:t>
      </w:r>
      <w:r w:rsidR="00445703" w:rsidRPr="000D3979">
        <w:t xml:space="preserve">to access </w:t>
      </w:r>
      <w:r w:rsidR="00445703" w:rsidRPr="00E949C5">
        <w:t>the functionality of the CDC card</w:t>
      </w:r>
      <w:r w:rsidR="00445703" w:rsidRPr="000D3979">
        <w:t xml:space="preserve"> but under the IM program.</w:t>
      </w:r>
    </w:p>
    <w:p w14:paraId="5BACDBFB" w14:textId="77777777" w:rsidR="00362810" w:rsidRPr="000D3979" w:rsidRDefault="00AC6410" w:rsidP="00AC6410">
      <w:pPr>
        <w:pStyle w:val="BulletedListlvl1"/>
        <w:numPr>
          <w:ilvl w:val="1"/>
          <w:numId w:val="2"/>
        </w:numPr>
        <w:spacing w:after="120"/>
      </w:pPr>
      <w:r w:rsidRPr="000D3979">
        <w:rPr>
          <w:color w:val="auto"/>
        </w:rPr>
        <w:t xml:space="preserve">From year </w:t>
      </w:r>
      <w:r w:rsidR="00535B2C" w:rsidRPr="000D3979">
        <w:rPr>
          <w:color w:val="auto"/>
        </w:rPr>
        <w:t>2,</w:t>
      </w:r>
      <w:r w:rsidRPr="000D3979">
        <w:rPr>
          <w:color w:val="auto"/>
        </w:rPr>
        <w:t xml:space="preserve"> i</w:t>
      </w:r>
      <w:r w:rsidR="00362810" w:rsidRPr="000D3979">
        <w:t xml:space="preserve">t </w:t>
      </w:r>
      <w:r w:rsidR="000D4CFB">
        <w:t>is</w:t>
      </w:r>
      <w:r w:rsidR="00362810" w:rsidRPr="000D3979">
        <w:t xml:space="preserve"> expected there </w:t>
      </w:r>
      <w:r w:rsidR="00331FB1" w:rsidRPr="000D3979">
        <w:t>would</w:t>
      </w:r>
      <w:r w:rsidR="000D3979" w:rsidRPr="000D3979">
        <w:t xml:space="preserve"> </w:t>
      </w:r>
      <w:r w:rsidR="00362810" w:rsidRPr="000D3979">
        <w:t xml:space="preserve">be </w:t>
      </w:r>
      <w:r w:rsidR="003E233F" w:rsidRPr="000D3979">
        <w:t>32</w:t>
      </w:r>
      <w:r w:rsidR="00362810" w:rsidRPr="000D3979">
        <w:t xml:space="preserve"> </w:t>
      </w:r>
      <w:r w:rsidR="008D7AA2" w:rsidRPr="000D3979">
        <w:t xml:space="preserve">new </w:t>
      </w:r>
      <w:r w:rsidR="00362810" w:rsidRPr="000D3979">
        <w:t xml:space="preserve">Cape York IM participants per year. These new participants will not have experience with IM and therefore require more time to understand the </w:t>
      </w:r>
      <w:r w:rsidR="00AA1E0B" w:rsidRPr="000D3979">
        <w:t xml:space="preserve">IM </w:t>
      </w:r>
      <w:r w:rsidR="00362810" w:rsidRPr="000D3979">
        <w:t xml:space="preserve">program. As a </w:t>
      </w:r>
      <w:r w:rsidR="00DD514B" w:rsidRPr="000D3979">
        <w:t>result,</w:t>
      </w:r>
      <w:r w:rsidR="00362810" w:rsidRPr="000D3979">
        <w:t xml:space="preserve"> it will take 1.25 hours </w:t>
      </w:r>
      <w:r w:rsidR="00AA1E0B" w:rsidRPr="000D3979">
        <w:t>with</w:t>
      </w:r>
      <w:r w:rsidR="00362810" w:rsidRPr="000D3979">
        <w:t xml:space="preserve"> a regulatory cost of $45 per participant. </w:t>
      </w:r>
      <w:r w:rsidR="003E233F" w:rsidRPr="000D3979">
        <w:t>This represents the net flow of participants into the IM program.</w:t>
      </w:r>
    </w:p>
    <w:p w14:paraId="11802173" w14:textId="77777777" w:rsidR="00AE3BD3" w:rsidRDefault="00535B2C" w:rsidP="00535B2C">
      <w:pPr>
        <w:pStyle w:val="BulletedListlvl1"/>
      </w:pPr>
      <w:r>
        <w:t>New community led model:</w:t>
      </w:r>
    </w:p>
    <w:p w14:paraId="7B8FF684" w14:textId="2045C649" w:rsidR="00AA1E0B" w:rsidRPr="00FD4AE4" w:rsidRDefault="00535B2C" w:rsidP="00535B2C">
      <w:pPr>
        <w:pStyle w:val="BulletedListlvl1"/>
        <w:numPr>
          <w:ilvl w:val="1"/>
          <w:numId w:val="2"/>
        </w:numPr>
        <w:rPr>
          <w:color w:val="auto"/>
        </w:rPr>
      </w:pPr>
      <w:r w:rsidRPr="00FD4AE4">
        <w:t>It is anticipa</w:t>
      </w:r>
      <w:r w:rsidR="00FD4AE4" w:rsidRPr="00FD4AE4">
        <w:t>ted</w:t>
      </w:r>
      <w:r w:rsidRPr="00FD4AE4">
        <w:t xml:space="preserve"> </w:t>
      </w:r>
      <w:r w:rsidRPr="00770D37">
        <w:rPr>
          <w:color w:val="auto"/>
        </w:rPr>
        <w:t xml:space="preserve">from year </w:t>
      </w:r>
      <w:r w:rsidR="0009645C" w:rsidRPr="00770D37">
        <w:rPr>
          <w:color w:val="auto"/>
        </w:rPr>
        <w:t>3</w:t>
      </w:r>
      <w:r w:rsidRPr="00770D37">
        <w:rPr>
          <w:color w:val="auto"/>
        </w:rPr>
        <w:t xml:space="preserve"> (202</w:t>
      </w:r>
      <w:r w:rsidR="0009645C" w:rsidRPr="00770D37">
        <w:rPr>
          <w:color w:val="auto"/>
        </w:rPr>
        <w:t>4</w:t>
      </w:r>
      <w:r w:rsidRPr="00770D37">
        <w:rPr>
          <w:color w:val="auto"/>
        </w:rPr>
        <w:t>-2</w:t>
      </w:r>
      <w:r w:rsidR="0009645C" w:rsidRPr="00770D37">
        <w:rPr>
          <w:color w:val="auto"/>
        </w:rPr>
        <w:t>5</w:t>
      </w:r>
      <w:r w:rsidRPr="00770D37">
        <w:rPr>
          <w:color w:val="auto"/>
        </w:rPr>
        <w:t>) there</w:t>
      </w:r>
      <w:r w:rsidRPr="00FD4AE4">
        <w:rPr>
          <w:color w:val="auto"/>
        </w:rPr>
        <w:t xml:space="preserve"> will be 1,340 participants</w:t>
      </w:r>
      <w:r w:rsidR="00AA1E0B" w:rsidRPr="00FD4AE4">
        <w:rPr>
          <w:color w:val="auto"/>
        </w:rPr>
        <w:t xml:space="preserve"> through a community led model who will require </w:t>
      </w:r>
      <w:r w:rsidR="008E35AA">
        <w:rPr>
          <w:color w:val="auto"/>
        </w:rPr>
        <w:t>0.5</w:t>
      </w:r>
      <w:r w:rsidR="00AA1E0B" w:rsidRPr="00FD4AE4">
        <w:rPr>
          <w:color w:val="auto"/>
        </w:rPr>
        <w:t xml:space="preserve"> hours to become familiar with the IM program with a regulatory cost of $45 per participant</w:t>
      </w:r>
      <w:r w:rsidR="006A7177">
        <w:rPr>
          <w:color w:val="auto"/>
        </w:rPr>
        <w:t>.</w:t>
      </w:r>
    </w:p>
    <w:p w14:paraId="5CF11991" w14:textId="77777777" w:rsidR="00805A26" w:rsidRPr="00805A26" w:rsidRDefault="00535B2C" w:rsidP="00805A26">
      <w:pPr>
        <w:pStyle w:val="BulletedListlvl1"/>
        <w:numPr>
          <w:ilvl w:val="1"/>
          <w:numId w:val="2"/>
        </w:numPr>
      </w:pPr>
      <w:r w:rsidRPr="00805A26">
        <w:t>As previously s</w:t>
      </w:r>
      <w:r w:rsidR="00F6046E" w:rsidRPr="00805A26">
        <w:t xml:space="preserve">tated it </w:t>
      </w:r>
      <w:r w:rsidR="00FD4AE4" w:rsidRPr="00805A26">
        <w:t xml:space="preserve">is </w:t>
      </w:r>
      <w:r w:rsidR="00AA1E0B" w:rsidRPr="00805A26">
        <w:t>assum</w:t>
      </w:r>
      <w:r w:rsidR="00FD4AE4" w:rsidRPr="00805A26">
        <w:t>ed</w:t>
      </w:r>
      <w:r w:rsidR="00AA1E0B" w:rsidRPr="00805A26">
        <w:t xml:space="preserve"> </w:t>
      </w:r>
      <w:r w:rsidR="00F6046E" w:rsidRPr="00805A26">
        <w:t xml:space="preserve">there will be a </w:t>
      </w:r>
      <w:r w:rsidRPr="00805A26">
        <w:t xml:space="preserve">15 per cent </w:t>
      </w:r>
      <w:r w:rsidR="00AA1E0B" w:rsidRPr="00805A26">
        <w:t xml:space="preserve">turnover per year </w:t>
      </w:r>
      <w:r w:rsidRPr="00805A26">
        <w:t>from year 3 (2024-25) onwards</w:t>
      </w:r>
      <w:r w:rsidR="00AA1E0B" w:rsidRPr="00805A26">
        <w:t>. A</w:t>
      </w:r>
      <w:r w:rsidR="00F6046E" w:rsidRPr="00805A26">
        <w:t xml:space="preserve">s a result, </w:t>
      </w:r>
      <w:r w:rsidR="00AA1E0B" w:rsidRPr="00805A26">
        <w:t xml:space="preserve">it is estimated </w:t>
      </w:r>
      <w:r w:rsidR="00CA64AA" w:rsidRPr="00805A26">
        <w:t>195</w:t>
      </w:r>
      <w:r w:rsidRPr="00805A26">
        <w:t xml:space="preserve"> new participants each year</w:t>
      </w:r>
      <w:r w:rsidR="00AA1E0B" w:rsidRPr="00805A26">
        <w:t xml:space="preserve"> with a regulatory of $45</w:t>
      </w:r>
      <w:r w:rsidR="00500FA6" w:rsidRPr="00805A26">
        <w:t xml:space="preserve"> per participant</w:t>
      </w:r>
      <w:r w:rsidR="00AA1E0B" w:rsidRPr="00805A26">
        <w:t xml:space="preserve">. </w:t>
      </w:r>
      <w:r w:rsidR="003E233F" w:rsidRPr="000D3979">
        <w:t>This represents the net flow of participants into the IM program.</w:t>
      </w:r>
    </w:p>
    <w:p w14:paraId="286EB402" w14:textId="174544E6" w:rsidR="00F6046E" w:rsidRPr="00805A26" w:rsidRDefault="00F6046E" w:rsidP="00805A26">
      <w:pPr>
        <w:pStyle w:val="BulletedListlvl1"/>
        <w:numPr>
          <w:ilvl w:val="1"/>
          <w:numId w:val="2"/>
        </w:numPr>
      </w:pPr>
      <w:r w:rsidRPr="00805A26">
        <w:t>Over the 10 years it is anti</w:t>
      </w:r>
      <w:r w:rsidR="00FD4AE4" w:rsidRPr="00805A26">
        <w:t>cipat</w:t>
      </w:r>
      <w:r w:rsidRPr="00805A26">
        <w:t>ed a community led model may have a regulatory impact totalling $</w:t>
      </w:r>
      <w:r w:rsidR="00500FA6" w:rsidRPr="00805A26">
        <w:t>85,545</w:t>
      </w:r>
      <w:r w:rsidR="006A7177">
        <w:t>.</w:t>
      </w:r>
    </w:p>
    <w:p w14:paraId="39FC6C85" w14:textId="77777777" w:rsidR="00331FB1" w:rsidRPr="00FD4AE4" w:rsidRDefault="00331FB1" w:rsidP="000A025F">
      <w:pPr>
        <w:pStyle w:val="BulletedListlvl1"/>
        <w:numPr>
          <w:ilvl w:val="0"/>
          <w:numId w:val="45"/>
        </w:numPr>
      </w:pPr>
      <w:r w:rsidRPr="00FD4AE4">
        <w:t>SPaR</w:t>
      </w:r>
      <w:r w:rsidR="00051F7B">
        <w:t>:</w:t>
      </w:r>
    </w:p>
    <w:p w14:paraId="23DC0236" w14:textId="2397C392" w:rsidR="00F6046E" w:rsidRPr="00FD4AE4" w:rsidRDefault="00F6046E" w:rsidP="001304E9">
      <w:pPr>
        <w:pStyle w:val="BulletedListlvl1"/>
        <w:numPr>
          <w:ilvl w:val="1"/>
          <w:numId w:val="2"/>
        </w:numPr>
        <w:rPr>
          <w:color w:val="auto"/>
        </w:rPr>
      </w:pPr>
      <w:r w:rsidRPr="00FD4AE4">
        <w:rPr>
          <w:color w:val="auto"/>
        </w:rPr>
        <w:t>It is anticipa</w:t>
      </w:r>
      <w:r w:rsidR="00FD4AE4" w:rsidRPr="00FD4AE4">
        <w:rPr>
          <w:color w:val="auto"/>
        </w:rPr>
        <w:t>ted from year 3 (2024-25</w:t>
      </w:r>
      <w:r w:rsidRPr="00FD4AE4">
        <w:rPr>
          <w:color w:val="auto"/>
        </w:rPr>
        <w:t>) there will be 50 participants through SPaR who will require 1.25 hours to become familiar with the IM</w:t>
      </w:r>
      <w:r w:rsidR="008F28C5" w:rsidRPr="00FD4AE4">
        <w:rPr>
          <w:color w:val="auto"/>
        </w:rPr>
        <w:t xml:space="preserve"> program, </w:t>
      </w:r>
      <w:r w:rsidRPr="00FD4AE4">
        <w:rPr>
          <w:color w:val="auto"/>
        </w:rPr>
        <w:t xml:space="preserve">with a regulatory cost of $45 per participant. As previously stated it </w:t>
      </w:r>
      <w:r w:rsidR="008F28C5" w:rsidRPr="00FD4AE4">
        <w:rPr>
          <w:color w:val="auto"/>
        </w:rPr>
        <w:t xml:space="preserve">is assumed </w:t>
      </w:r>
      <w:r w:rsidRPr="00FD4AE4">
        <w:rPr>
          <w:color w:val="auto"/>
        </w:rPr>
        <w:t>there will be a 15 per cent tur</w:t>
      </w:r>
      <w:r w:rsidR="00FD4AE4">
        <w:rPr>
          <w:color w:val="auto"/>
        </w:rPr>
        <w:t>nover per year from year 4 (2025-26</w:t>
      </w:r>
      <w:r w:rsidRPr="00FD4AE4">
        <w:rPr>
          <w:color w:val="auto"/>
        </w:rPr>
        <w:t xml:space="preserve">) onwards. As a result, it is estimated </w:t>
      </w:r>
      <w:r w:rsidR="008F28C5" w:rsidRPr="00FD4AE4">
        <w:rPr>
          <w:color w:val="auto"/>
        </w:rPr>
        <w:t>7 to 8</w:t>
      </w:r>
      <w:r w:rsidRPr="00FD4AE4">
        <w:rPr>
          <w:color w:val="auto"/>
        </w:rPr>
        <w:t xml:space="preserve"> new participants </w:t>
      </w:r>
      <w:r w:rsidR="00125B9B" w:rsidRPr="00FD4AE4">
        <w:rPr>
          <w:color w:val="auto"/>
        </w:rPr>
        <w:t xml:space="preserve">in total </w:t>
      </w:r>
      <w:r w:rsidRPr="00FD4AE4">
        <w:rPr>
          <w:color w:val="auto"/>
        </w:rPr>
        <w:t xml:space="preserve">each year with a regulatory </w:t>
      </w:r>
      <w:r w:rsidR="00FD4AE4">
        <w:rPr>
          <w:color w:val="auto"/>
        </w:rPr>
        <w:t xml:space="preserve">cost </w:t>
      </w:r>
      <w:r w:rsidRPr="00FD4AE4">
        <w:rPr>
          <w:color w:val="auto"/>
        </w:rPr>
        <w:t>of $45</w:t>
      </w:r>
      <w:r w:rsidR="00500FA6">
        <w:rPr>
          <w:color w:val="auto"/>
        </w:rPr>
        <w:t xml:space="preserve"> per participant</w:t>
      </w:r>
      <w:r w:rsidR="006A7177">
        <w:rPr>
          <w:color w:val="auto"/>
        </w:rPr>
        <w:t>.</w:t>
      </w:r>
    </w:p>
    <w:p w14:paraId="4A4D8791" w14:textId="0BB69A12" w:rsidR="00F6046E" w:rsidRPr="00FD4AE4" w:rsidRDefault="00F6046E" w:rsidP="000A025F">
      <w:pPr>
        <w:pStyle w:val="BulletedListlvl1"/>
        <w:numPr>
          <w:ilvl w:val="0"/>
          <w:numId w:val="45"/>
        </w:numPr>
        <w:rPr>
          <w:color w:val="auto"/>
        </w:rPr>
      </w:pPr>
      <w:r w:rsidRPr="00FD4AE4">
        <w:rPr>
          <w:color w:val="auto"/>
        </w:rPr>
        <w:t>Child Protection</w:t>
      </w:r>
      <w:r w:rsidR="00051F7B">
        <w:rPr>
          <w:color w:val="auto"/>
        </w:rPr>
        <w:t>:</w:t>
      </w:r>
    </w:p>
    <w:p w14:paraId="1B569720" w14:textId="34C155FB" w:rsidR="00F6046E" w:rsidRPr="00FD4AE4" w:rsidRDefault="00F6046E" w:rsidP="001304E9">
      <w:pPr>
        <w:pStyle w:val="BulletedListlvl1"/>
        <w:numPr>
          <w:ilvl w:val="1"/>
          <w:numId w:val="2"/>
        </w:numPr>
        <w:rPr>
          <w:color w:val="auto"/>
        </w:rPr>
      </w:pPr>
      <w:r w:rsidRPr="00FD4AE4">
        <w:rPr>
          <w:color w:val="auto"/>
        </w:rPr>
        <w:t>It is anticipa</w:t>
      </w:r>
      <w:r w:rsidR="00FD4AE4" w:rsidRPr="00FD4AE4">
        <w:rPr>
          <w:color w:val="auto"/>
        </w:rPr>
        <w:t>ted</w:t>
      </w:r>
      <w:r w:rsidRPr="00FD4AE4">
        <w:rPr>
          <w:color w:val="auto"/>
        </w:rPr>
        <w:t xml:space="preserve"> from </w:t>
      </w:r>
      <w:r w:rsidR="00FD4AE4" w:rsidRPr="00FD4AE4">
        <w:rPr>
          <w:color w:val="auto"/>
        </w:rPr>
        <w:t>year 3 (2024-25</w:t>
      </w:r>
      <w:r w:rsidR="00891CB5">
        <w:rPr>
          <w:color w:val="auto"/>
        </w:rPr>
        <w:t xml:space="preserve">) </w:t>
      </w:r>
      <w:r w:rsidRPr="00FD4AE4">
        <w:rPr>
          <w:color w:val="auto"/>
        </w:rPr>
        <w:t>there will be 60 participants referred through Child Protection State and Territory Authorities who will require 1.25 hours to become familiar with the IM program</w:t>
      </w:r>
      <w:r w:rsidR="00125B9B" w:rsidRPr="00FD4AE4">
        <w:rPr>
          <w:color w:val="auto"/>
        </w:rPr>
        <w:t>,</w:t>
      </w:r>
      <w:r w:rsidRPr="00FD4AE4">
        <w:rPr>
          <w:color w:val="auto"/>
        </w:rPr>
        <w:t xml:space="preserve"> with a regulatory cost of $45 per participant. As previously stated it </w:t>
      </w:r>
      <w:r w:rsidR="00FD4AE4" w:rsidRPr="00FD4AE4">
        <w:rPr>
          <w:color w:val="auto"/>
        </w:rPr>
        <w:t xml:space="preserve">is </w:t>
      </w:r>
      <w:r w:rsidR="00125B9B" w:rsidRPr="00FD4AE4">
        <w:rPr>
          <w:color w:val="auto"/>
        </w:rPr>
        <w:t>assumed</w:t>
      </w:r>
      <w:r w:rsidRPr="00FD4AE4">
        <w:rPr>
          <w:color w:val="auto"/>
        </w:rPr>
        <w:t xml:space="preserve"> there will be a 15 per ce</w:t>
      </w:r>
      <w:r w:rsidR="00FD4AE4" w:rsidRPr="00FD4AE4">
        <w:rPr>
          <w:color w:val="auto"/>
        </w:rPr>
        <w:t>nt turnover per year from year 4 (2025-26</w:t>
      </w:r>
      <w:r w:rsidRPr="00FD4AE4">
        <w:rPr>
          <w:color w:val="auto"/>
        </w:rPr>
        <w:t xml:space="preserve">) onwards. As a result, it is estimated </w:t>
      </w:r>
      <w:r w:rsidR="008F28C5" w:rsidRPr="00FD4AE4">
        <w:rPr>
          <w:color w:val="auto"/>
        </w:rPr>
        <w:t xml:space="preserve">there will be 9 </w:t>
      </w:r>
      <w:r w:rsidRPr="00FD4AE4">
        <w:rPr>
          <w:color w:val="auto"/>
        </w:rPr>
        <w:t xml:space="preserve">new participants </w:t>
      </w:r>
      <w:r w:rsidR="008F28C5" w:rsidRPr="00FD4AE4">
        <w:rPr>
          <w:color w:val="auto"/>
        </w:rPr>
        <w:t xml:space="preserve">in total </w:t>
      </w:r>
      <w:r w:rsidRPr="00FD4AE4">
        <w:rPr>
          <w:color w:val="auto"/>
        </w:rPr>
        <w:t xml:space="preserve">each year with a regulatory </w:t>
      </w:r>
      <w:r w:rsidR="00FD4AE4">
        <w:rPr>
          <w:color w:val="auto"/>
        </w:rPr>
        <w:t xml:space="preserve">cost </w:t>
      </w:r>
      <w:r w:rsidR="006A7177">
        <w:rPr>
          <w:color w:val="auto"/>
        </w:rPr>
        <w:t>of $45.</w:t>
      </w:r>
    </w:p>
    <w:p w14:paraId="63F06B1C" w14:textId="77777777" w:rsidR="00331FB1" w:rsidRDefault="00331FB1" w:rsidP="00125B9B">
      <w:pPr>
        <w:pStyle w:val="BulletedListlvl1"/>
        <w:numPr>
          <w:ilvl w:val="0"/>
          <w:numId w:val="0"/>
        </w:numPr>
      </w:pPr>
    </w:p>
    <w:tbl>
      <w:tblPr>
        <w:tblStyle w:val="TableGrid1"/>
        <w:tblW w:w="9579" w:type="dxa"/>
        <w:jc w:val="center"/>
        <w:tblLayout w:type="fixed"/>
        <w:tblLook w:val="04A0" w:firstRow="1" w:lastRow="0" w:firstColumn="1" w:lastColumn="0" w:noHBand="0" w:noVBand="1"/>
        <w:tblDescription w:val="Participants who go onto IM through a community led model or SPaR or Child Protection "/>
      </w:tblPr>
      <w:tblGrid>
        <w:gridCol w:w="1096"/>
        <w:gridCol w:w="745"/>
        <w:gridCol w:w="840"/>
        <w:gridCol w:w="745"/>
        <w:gridCol w:w="746"/>
        <w:gridCol w:w="746"/>
        <w:gridCol w:w="746"/>
        <w:gridCol w:w="746"/>
        <w:gridCol w:w="746"/>
        <w:gridCol w:w="746"/>
        <w:gridCol w:w="746"/>
        <w:gridCol w:w="931"/>
      </w:tblGrid>
      <w:tr w:rsidR="000A0194" w:rsidRPr="000A0377" w14:paraId="654E3BDE" w14:textId="77777777" w:rsidTr="000A0194">
        <w:trPr>
          <w:trHeight w:val="762"/>
          <w:tblHeader/>
          <w:jc w:val="center"/>
        </w:trPr>
        <w:tc>
          <w:tcPr>
            <w:tcW w:w="1096" w:type="dxa"/>
          </w:tcPr>
          <w:p w14:paraId="1949EBC3"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Cost to participant</w:t>
            </w:r>
          </w:p>
        </w:tc>
        <w:tc>
          <w:tcPr>
            <w:tcW w:w="745" w:type="dxa"/>
          </w:tcPr>
          <w:p w14:paraId="43E66278"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Y1</w:t>
            </w:r>
          </w:p>
        </w:tc>
        <w:tc>
          <w:tcPr>
            <w:tcW w:w="840" w:type="dxa"/>
          </w:tcPr>
          <w:p w14:paraId="785C6C22"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Y2</w:t>
            </w:r>
          </w:p>
        </w:tc>
        <w:tc>
          <w:tcPr>
            <w:tcW w:w="745" w:type="dxa"/>
          </w:tcPr>
          <w:p w14:paraId="0CAD4CB1"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Y3</w:t>
            </w:r>
          </w:p>
        </w:tc>
        <w:tc>
          <w:tcPr>
            <w:tcW w:w="746" w:type="dxa"/>
          </w:tcPr>
          <w:p w14:paraId="6F63CAFC"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Y4</w:t>
            </w:r>
          </w:p>
        </w:tc>
        <w:tc>
          <w:tcPr>
            <w:tcW w:w="746" w:type="dxa"/>
          </w:tcPr>
          <w:p w14:paraId="626F1796"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Y5</w:t>
            </w:r>
          </w:p>
        </w:tc>
        <w:tc>
          <w:tcPr>
            <w:tcW w:w="746" w:type="dxa"/>
          </w:tcPr>
          <w:p w14:paraId="5AE8C103"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Y6</w:t>
            </w:r>
          </w:p>
        </w:tc>
        <w:tc>
          <w:tcPr>
            <w:tcW w:w="746" w:type="dxa"/>
          </w:tcPr>
          <w:p w14:paraId="2E418308"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Y7</w:t>
            </w:r>
          </w:p>
        </w:tc>
        <w:tc>
          <w:tcPr>
            <w:tcW w:w="746" w:type="dxa"/>
          </w:tcPr>
          <w:p w14:paraId="224C95D0"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Y8</w:t>
            </w:r>
          </w:p>
        </w:tc>
        <w:tc>
          <w:tcPr>
            <w:tcW w:w="746" w:type="dxa"/>
          </w:tcPr>
          <w:p w14:paraId="6F1C001C"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Y9</w:t>
            </w:r>
          </w:p>
        </w:tc>
        <w:tc>
          <w:tcPr>
            <w:tcW w:w="746" w:type="dxa"/>
          </w:tcPr>
          <w:p w14:paraId="203D312D"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Y10</w:t>
            </w:r>
          </w:p>
        </w:tc>
        <w:tc>
          <w:tcPr>
            <w:tcW w:w="931" w:type="dxa"/>
          </w:tcPr>
          <w:p w14:paraId="669460B0" w14:textId="77777777" w:rsidR="00C0669B" w:rsidRPr="000A0377" w:rsidRDefault="00C0669B" w:rsidP="00F70119">
            <w:pPr>
              <w:rPr>
                <w:rFonts w:ascii="Calibri" w:eastAsia="Calibri" w:hAnsi="Calibri" w:cs="Times New Roman"/>
                <w:b/>
                <w:sz w:val="16"/>
                <w:szCs w:val="16"/>
              </w:rPr>
            </w:pPr>
            <w:r w:rsidRPr="000A0377">
              <w:rPr>
                <w:rFonts w:ascii="Calibri" w:eastAsia="Calibri" w:hAnsi="Calibri" w:cs="Times New Roman"/>
                <w:b/>
                <w:sz w:val="16"/>
                <w:szCs w:val="16"/>
              </w:rPr>
              <w:t>TOTAL</w:t>
            </w:r>
          </w:p>
        </w:tc>
      </w:tr>
      <w:tr w:rsidR="000A0194" w:rsidRPr="000A0377" w14:paraId="69AB1001" w14:textId="77777777" w:rsidTr="000A0194">
        <w:trPr>
          <w:trHeight w:val="762"/>
          <w:jc w:val="center"/>
        </w:trPr>
        <w:tc>
          <w:tcPr>
            <w:tcW w:w="1096" w:type="dxa"/>
            <w:vAlign w:val="center"/>
          </w:tcPr>
          <w:p w14:paraId="055B9E20" w14:textId="77777777" w:rsidR="008D7AA2" w:rsidRPr="000A0377" w:rsidRDefault="008D7AA2" w:rsidP="008D7AA2">
            <w:pPr>
              <w:rPr>
                <w:rFonts w:ascii="Calibri" w:eastAsia="Calibri" w:hAnsi="Calibri" w:cs="Times New Roman"/>
                <w:b/>
                <w:sz w:val="16"/>
                <w:szCs w:val="16"/>
              </w:rPr>
            </w:pPr>
            <w:r w:rsidRPr="000A0377">
              <w:rPr>
                <w:rFonts w:ascii="Calibri" w:eastAsia="Calibri" w:hAnsi="Calibri" w:cs="Times New Roman"/>
                <w:b/>
                <w:sz w:val="16"/>
                <w:szCs w:val="16"/>
              </w:rPr>
              <w:t>Cape York</w:t>
            </w:r>
          </w:p>
        </w:tc>
        <w:tc>
          <w:tcPr>
            <w:tcW w:w="745" w:type="dxa"/>
            <w:vAlign w:val="center"/>
          </w:tcPr>
          <w:p w14:paraId="26CDE960" w14:textId="77777777" w:rsidR="008D7AA2" w:rsidRPr="000A0377" w:rsidRDefault="008D7AA2" w:rsidP="00E2144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3D3725" w:rsidRPr="000A0377">
              <w:rPr>
                <w:rFonts w:ascii="Calibri" w:eastAsia="Calibri" w:hAnsi="Calibri" w:cs="Times New Roman"/>
                <w:color w:val="auto"/>
                <w:sz w:val="16"/>
                <w:szCs w:val="16"/>
              </w:rPr>
              <w:t>0</w:t>
            </w:r>
          </w:p>
        </w:tc>
        <w:tc>
          <w:tcPr>
            <w:tcW w:w="840" w:type="dxa"/>
            <w:vAlign w:val="center"/>
          </w:tcPr>
          <w:p w14:paraId="447EC0BF"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$1,400</w:t>
            </w:r>
          </w:p>
        </w:tc>
        <w:tc>
          <w:tcPr>
            <w:tcW w:w="745" w:type="dxa"/>
            <w:vAlign w:val="center"/>
          </w:tcPr>
          <w:p w14:paraId="4DB5340E"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3B9AE0AB"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3FA9C2F5"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6EA90BBD"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66345096"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00047F4F"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4794B3FE"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746" w:type="dxa"/>
            <w:vAlign w:val="center"/>
          </w:tcPr>
          <w:p w14:paraId="2EC9FD41" w14:textId="77777777" w:rsidR="008D7AA2" w:rsidRPr="000A0377" w:rsidRDefault="008D7AA2" w:rsidP="008D7AA2">
            <w:pPr>
              <w:rPr>
                <w:rFonts w:ascii="Calibri" w:eastAsia="Calibri" w:hAnsi="Calibri" w:cs="Times New Roman"/>
                <w:color w:val="auto"/>
                <w:sz w:val="16"/>
                <w:szCs w:val="16"/>
              </w:rPr>
            </w:pPr>
            <w:r w:rsidRPr="000A0377">
              <w:rPr>
                <w:rFonts w:ascii="Calibri" w:eastAsia="Calibri" w:hAnsi="Calibri" w:cs="Times New Roman"/>
                <w:color w:val="auto"/>
                <w:sz w:val="16"/>
                <w:szCs w:val="16"/>
              </w:rPr>
              <w:t>$1,4</w:t>
            </w:r>
            <w:r w:rsidR="00500FA6" w:rsidRPr="000A0377">
              <w:rPr>
                <w:rFonts w:ascii="Calibri" w:eastAsia="Calibri" w:hAnsi="Calibri" w:cs="Times New Roman"/>
                <w:color w:val="auto"/>
                <w:sz w:val="16"/>
                <w:szCs w:val="16"/>
              </w:rPr>
              <w:t>4</w:t>
            </w:r>
            <w:r w:rsidRPr="000A0377">
              <w:rPr>
                <w:rFonts w:ascii="Calibri" w:eastAsia="Calibri" w:hAnsi="Calibri" w:cs="Times New Roman"/>
                <w:color w:val="auto"/>
                <w:sz w:val="16"/>
                <w:szCs w:val="16"/>
              </w:rPr>
              <w:t>0</w:t>
            </w:r>
          </w:p>
        </w:tc>
        <w:tc>
          <w:tcPr>
            <w:tcW w:w="931" w:type="dxa"/>
            <w:vAlign w:val="center"/>
          </w:tcPr>
          <w:p w14:paraId="1605701F" w14:textId="77777777" w:rsidR="008D7AA2" w:rsidRPr="000A0377" w:rsidRDefault="008D7AA2" w:rsidP="003D3725">
            <w:pP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3D3725" w:rsidRPr="000A0377">
              <w:rPr>
                <w:rFonts w:ascii="Calibri" w:eastAsia="Calibri" w:hAnsi="Calibri" w:cs="Times New Roman"/>
                <w:color w:val="auto"/>
                <w:sz w:val="16"/>
                <w:szCs w:val="16"/>
              </w:rPr>
              <w:t>12,960</w:t>
            </w:r>
          </w:p>
        </w:tc>
      </w:tr>
      <w:tr w:rsidR="000A0194" w:rsidRPr="000A0377" w14:paraId="7A7DD140" w14:textId="77777777" w:rsidTr="000A0194">
        <w:trPr>
          <w:trHeight w:val="762"/>
          <w:jc w:val="center"/>
        </w:trPr>
        <w:tc>
          <w:tcPr>
            <w:tcW w:w="1096" w:type="dxa"/>
            <w:vAlign w:val="center"/>
          </w:tcPr>
          <w:p w14:paraId="6291DFC9" w14:textId="77777777" w:rsidR="00304C19" w:rsidRPr="000A0377" w:rsidRDefault="00304C19" w:rsidP="00304C19">
            <w:pPr>
              <w:rPr>
                <w:rFonts w:ascii="Calibri" w:eastAsia="Calibri" w:hAnsi="Calibri" w:cs="Times New Roman"/>
                <w:b/>
                <w:sz w:val="16"/>
                <w:szCs w:val="16"/>
              </w:rPr>
            </w:pPr>
            <w:r w:rsidRPr="000A0377">
              <w:rPr>
                <w:rFonts w:ascii="Calibri" w:eastAsia="Calibri" w:hAnsi="Calibri" w:cs="Times New Roman"/>
                <w:b/>
                <w:sz w:val="16"/>
                <w:szCs w:val="16"/>
              </w:rPr>
              <w:t>New community led model</w:t>
            </w:r>
          </w:p>
        </w:tc>
        <w:tc>
          <w:tcPr>
            <w:tcW w:w="745" w:type="dxa"/>
            <w:vAlign w:val="center"/>
          </w:tcPr>
          <w:p w14:paraId="114311AA" w14:textId="77777777" w:rsidR="00304C19" w:rsidRPr="000A0377" w:rsidRDefault="00304C19" w:rsidP="000A0194">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840" w:type="dxa"/>
            <w:vAlign w:val="center"/>
          </w:tcPr>
          <w:p w14:paraId="550972F5" w14:textId="77777777" w:rsidR="00304C19" w:rsidRPr="000A0377" w:rsidRDefault="000A0194" w:rsidP="000A0194">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745" w:type="dxa"/>
            <w:vAlign w:val="center"/>
          </w:tcPr>
          <w:p w14:paraId="668C16CA" w14:textId="77777777" w:rsidR="00304C19" w:rsidRPr="000A0377" w:rsidRDefault="00304C19" w:rsidP="002279DD">
            <w:pP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0A0194" w:rsidRPr="000A0377">
              <w:rPr>
                <w:rFonts w:ascii="Calibri" w:eastAsia="Calibri" w:hAnsi="Calibri" w:cs="Times New Roman"/>
                <w:color w:val="auto"/>
                <w:sz w:val="16"/>
                <w:szCs w:val="16"/>
              </w:rPr>
              <w:t>24,120</w:t>
            </w:r>
          </w:p>
        </w:tc>
        <w:tc>
          <w:tcPr>
            <w:tcW w:w="746" w:type="dxa"/>
            <w:vAlign w:val="center"/>
          </w:tcPr>
          <w:p w14:paraId="275331E7"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3DAE41AF"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611ABD73"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59E2CDAD"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6CF94B13"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32C200F4"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746" w:type="dxa"/>
            <w:vAlign w:val="center"/>
          </w:tcPr>
          <w:p w14:paraId="57AB5D97"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$8,775</w:t>
            </w:r>
          </w:p>
        </w:tc>
        <w:tc>
          <w:tcPr>
            <w:tcW w:w="931" w:type="dxa"/>
            <w:vAlign w:val="center"/>
          </w:tcPr>
          <w:p w14:paraId="64325899" w14:textId="77777777" w:rsidR="00304C19" w:rsidRPr="000A0377" w:rsidRDefault="00304C19" w:rsidP="00304C19">
            <w:pPr>
              <w:rPr>
                <w:rFonts w:ascii="Calibri" w:eastAsia="Calibri" w:hAnsi="Calibri" w:cs="Times New Roman"/>
                <w:color w:val="auto"/>
                <w:sz w:val="16"/>
                <w:szCs w:val="16"/>
              </w:rPr>
            </w:pPr>
            <w:r w:rsidRPr="000A0377">
              <w:rPr>
                <w:rFonts w:ascii="Calibri" w:eastAsia="Calibri" w:hAnsi="Calibri" w:cs="Times New Roman"/>
                <w:color w:val="auto"/>
                <w:sz w:val="16"/>
                <w:szCs w:val="16"/>
              </w:rPr>
              <w:t>$</w:t>
            </w:r>
            <w:r w:rsidR="000A0194" w:rsidRPr="000A0377">
              <w:rPr>
                <w:rFonts w:ascii="Calibri" w:eastAsia="Calibri" w:hAnsi="Calibri" w:cs="Times New Roman"/>
                <w:color w:val="auto"/>
                <w:sz w:val="16"/>
                <w:szCs w:val="16"/>
              </w:rPr>
              <w:t>85,545</w:t>
            </w:r>
          </w:p>
        </w:tc>
      </w:tr>
      <w:tr w:rsidR="000A0194" w:rsidRPr="000A0377" w14:paraId="6BA4E2F8" w14:textId="77777777" w:rsidTr="000A0194">
        <w:trPr>
          <w:trHeight w:val="762"/>
          <w:jc w:val="center"/>
        </w:trPr>
        <w:tc>
          <w:tcPr>
            <w:tcW w:w="1096" w:type="dxa"/>
            <w:vAlign w:val="center"/>
          </w:tcPr>
          <w:p w14:paraId="47D18520" w14:textId="77777777" w:rsidR="000A0194" w:rsidRPr="000A0377" w:rsidRDefault="000A0194" w:rsidP="000A0194">
            <w:pPr>
              <w:rPr>
                <w:rFonts w:ascii="Calibri" w:eastAsia="Calibri" w:hAnsi="Calibri" w:cs="Times New Roman"/>
                <w:b/>
                <w:sz w:val="16"/>
                <w:szCs w:val="16"/>
              </w:rPr>
            </w:pPr>
            <w:r w:rsidRPr="000A0377">
              <w:rPr>
                <w:rFonts w:ascii="Calibri" w:eastAsia="Calibri" w:hAnsi="Calibri" w:cs="Times New Roman"/>
                <w:b/>
                <w:sz w:val="16"/>
                <w:szCs w:val="16"/>
              </w:rPr>
              <w:t>SPaR</w:t>
            </w:r>
          </w:p>
        </w:tc>
        <w:tc>
          <w:tcPr>
            <w:tcW w:w="745" w:type="dxa"/>
            <w:vAlign w:val="center"/>
          </w:tcPr>
          <w:p w14:paraId="4BED06A6" w14:textId="77777777" w:rsidR="000A0194" w:rsidRPr="000A0377" w:rsidRDefault="000A0194" w:rsidP="000A0194">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840" w:type="dxa"/>
            <w:vAlign w:val="center"/>
          </w:tcPr>
          <w:p w14:paraId="5F24E8F7" w14:textId="77777777" w:rsidR="000A0194" w:rsidRPr="000A0377" w:rsidRDefault="000A0194" w:rsidP="006050AD">
            <w:pPr>
              <w:jc w:val="center"/>
              <w:rPr>
                <w:rFonts w:ascii="Calibri" w:hAnsi="Calibri" w:cs="Calibri"/>
                <w:color w:val="000000"/>
                <w:sz w:val="16"/>
                <w:szCs w:val="16"/>
              </w:rPr>
            </w:pPr>
            <w:r w:rsidRPr="000A0377">
              <w:rPr>
                <w:rFonts w:ascii="Calibri" w:hAnsi="Calibri" w:cs="Calibri"/>
                <w:color w:val="000000"/>
                <w:sz w:val="16"/>
                <w:szCs w:val="16"/>
              </w:rPr>
              <w:t>$0</w:t>
            </w:r>
          </w:p>
        </w:tc>
        <w:tc>
          <w:tcPr>
            <w:tcW w:w="745" w:type="dxa"/>
            <w:vAlign w:val="center"/>
          </w:tcPr>
          <w:p w14:paraId="260A43B1" w14:textId="77777777" w:rsidR="000A0194" w:rsidRPr="000A0377" w:rsidRDefault="000A0194" w:rsidP="000A0194">
            <w:pPr>
              <w:rPr>
                <w:rFonts w:ascii="Calibri" w:hAnsi="Calibri" w:cs="Calibri"/>
                <w:color w:val="000000"/>
                <w:sz w:val="16"/>
                <w:szCs w:val="16"/>
              </w:rPr>
            </w:pPr>
            <w:r w:rsidRPr="000A0377">
              <w:rPr>
                <w:rFonts w:ascii="Calibri" w:hAnsi="Calibri" w:cs="Calibri"/>
                <w:color w:val="000000"/>
                <w:sz w:val="16"/>
                <w:szCs w:val="16"/>
              </w:rPr>
              <w:t xml:space="preserve">$2,250 </w:t>
            </w:r>
          </w:p>
        </w:tc>
        <w:tc>
          <w:tcPr>
            <w:tcW w:w="746" w:type="dxa"/>
            <w:vAlign w:val="center"/>
          </w:tcPr>
          <w:p w14:paraId="72D3AFB8"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3E091E8E"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7EE5F909"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578FCB19"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426F6F99"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4819218A"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746" w:type="dxa"/>
            <w:vAlign w:val="center"/>
          </w:tcPr>
          <w:p w14:paraId="072886A0" w14:textId="77777777" w:rsidR="000A0194" w:rsidRPr="000A0377" w:rsidRDefault="000A0194" w:rsidP="000A0194">
            <w:pPr>
              <w:rPr>
                <w:rFonts w:ascii="Calibri" w:eastAsia="Calibri" w:hAnsi="Calibri" w:cs="Times New Roman"/>
                <w:color w:val="auto"/>
                <w:sz w:val="16"/>
                <w:szCs w:val="16"/>
              </w:rPr>
            </w:pPr>
            <w:r w:rsidRPr="000A0377">
              <w:rPr>
                <w:rFonts w:ascii="Calibri" w:hAnsi="Calibri" w:cs="Calibri"/>
                <w:color w:val="000000"/>
                <w:sz w:val="16"/>
                <w:szCs w:val="16"/>
              </w:rPr>
              <w:t>$338</w:t>
            </w:r>
          </w:p>
        </w:tc>
        <w:tc>
          <w:tcPr>
            <w:tcW w:w="931" w:type="dxa"/>
            <w:vAlign w:val="center"/>
          </w:tcPr>
          <w:p w14:paraId="38C15349"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$4,613</w:t>
            </w:r>
          </w:p>
        </w:tc>
      </w:tr>
      <w:tr w:rsidR="000A0194" w:rsidRPr="000A0377" w14:paraId="4DD4F498" w14:textId="77777777" w:rsidTr="000A0194">
        <w:trPr>
          <w:trHeight w:val="762"/>
          <w:jc w:val="center"/>
        </w:trPr>
        <w:tc>
          <w:tcPr>
            <w:tcW w:w="1096" w:type="dxa"/>
            <w:vAlign w:val="center"/>
          </w:tcPr>
          <w:p w14:paraId="2FA440ED" w14:textId="77777777" w:rsidR="000A0194" w:rsidRPr="000A0377" w:rsidRDefault="000A0194" w:rsidP="000A0194">
            <w:pPr>
              <w:rPr>
                <w:rFonts w:ascii="Calibri" w:eastAsia="Calibri" w:hAnsi="Calibri" w:cs="Times New Roman"/>
                <w:b/>
                <w:sz w:val="16"/>
                <w:szCs w:val="16"/>
              </w:rPr>
            </w:pPr>
            <w:r w:rsidRPr="000A0377">
              <w:rPr>
                <w:rFonts w:ascii="Calibri" w:eastAsia="Calibri" w:hAnsi="Calibri" w:cs="Times New Roman"/>
                <w:b/>
                <w:sz w:val="16"/>
                <w:szCs w:val="16"/>
              </w:rPr>
              <w:t>Child Protection</w:t>
            </w:r>
          </w:p>
        </w:tc>
        <w:tc>
          <w:tcPr>
            <w:tcW w:w="745" w:type="dxa"/>
            <w:vAlign w:val="center"/>
          </w:tcPr>
          <w:p w14:paraId="4B5B8F40" w14:textId="77777777" w:rsidR="000A0194" w:rsidRPr="000A0377" w:rsidRDefault="000A0194" w:rsidP="000A0194">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840" w:type="dxa"/>
            <w:vAlign w:val="center"/>
          </w:tcPr>
          <w:p w14:paraId="12936B36" w14:textId="77777777" w:rsidR="000A0194" w:rsidRPr="000A0377" w:rsidRDefault="000A0194" w:rsidP="006050AD">
            <w:pPr>
              <w:jc w:val="center"/>
              <w:rPr>
                <w:rFonts w:ascii="Calibri" w:eastAsia="Calibri" w:hAnsi="Calibri" w:cs="Times New Roman"/>
                <w:color w:val="auto"/>
                <w:sz w:val="16"/>
                <w:szCs w:val="16"/>
              </w:rPr>
            </w:pPr>
            <w:r w:rsidRPr="000A0377">
              <w:rPr>
                <w:rFonts w:ascii="Calibri" w:eastAsia="Calibri" w:hAnsi="Calibri" w:cs="Times New Roman"/>
                <w:color w:val="auto"/>
                <w:sz w:val="16"/>
                <w:szCs w:val="16"/>
              </w:rPr>
              <w:t>$0</w:t>
            </w:r>
          </w:p>
        </w:tc>
        <w:tc>
          <w:tcPr>
            <w:tcW w:w="745" w:type="dxa"/>
            <w:vAlign w:val="center"/>
          </w:tcPr>
          <w:p w14:paraId="3C84ABBE"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$2,700</w:t>
            </w:r>
          </w:p>
        </w:tc>
        <w:tc>
          <w:tcPr>
            <w:tcW w:w="746" w:type="dxa"/>
            <w:vAlign w:val="center"/>
          </w:tcPr>
          <w:p w14:paraId="48BD698C"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2586EB50"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43FE3288"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09E5566A"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3E30CD2A"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713BA7FC"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746" w:type="dxa"/>
            <w:vAlign w:val="center"/>
          </w:tcPr>
          <w:p w14:paraId="18A865B0"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$405</w:t>
            </w:r>
          </w:p>
        </w:tc>
        <w:tc>
          <w:tcPr>
            <w:tcW w:w="931" w:type="dxa"/>
            <w:vAlign w:val="center"/>
          </w:tcPr>
          <w:p w14:paraId="0F51BD39" w14:textId="77777777" w:rsidR="000A0194" w:rsidRPr="000A0377" w:rsidRDefault="000A0194" w:rsidP="000A0194">
            <w:pPr>
              <w:rPr>
                <w:rFonts w:ascii="Calibri" w:eastAsia="Calibri" w:hAnsi="Calibri" w:cs="Times New Roman"/>
                <w:color w:val="auto"/>
                <w:sz w:val="16"/>
                <w:szCs w:val="16"/>
              </w:rPr>
            </w:pPr>
            <w:r w:rsidRPr="000A0377">
              <w:rPr>
                <w:rFonts w:ascii="Calibri" w:eastAsia="Calibri" w:hAnsi="Calibri" w:cs="Times New Roman"/>
                <w:color w:val="auto"/>
                <w:sz w:val="16"/>
                <w:szCs w:val="16"/>
              </w:rPr>
              <w:t>$5</w:t>
            </w:r>
            <w:r w:rsidR="00500FA6" w:rsidRPr="000A0377">
              <w:rPr>
                <w:rFonts w:ascii="Calibri" w:eastAsia="Calibri" w:hAnsi="Calibri" w:cs="Times New Roman"/>
                <w:color w:val="auto"/>
                <w:sz w:val="16"/>
                <w:szCs w:val="16"/>
              </w:rPr>
              <w:t>,535</w:t>
            </w:r>
          </w:p>
        </w:tc>
      </w:tr>
      <w:tr w:rsidR="00500FA6" w:rsidRPr="000A0377" w14:paraId="2A9B67F0" w14:textId="77777777" w:rsidTr="006050AD">
        <w:trPr>
          <w:trHeight w:val="762"/>
          <w:jc w:val="center"/>
        </w:trPr>
        <w:tc>
          <w:tcPr>
            <w:tcW w:w="1096" w:type="dxa"/>
            <w:vAlign w:val="center"/>
          </w:tcPr>
          <w:p w14:paraId="7DB85098" w14:textId="77777777" w:rsidR="00500FA6" w:rsidRPr="000A0377" w:rsidRDefault="00500FA6" w:rsidP="00500FA6">
            <w:pPr>
              <w:rPr>
                <w:rFonts w:ascii="Calibri" w:eastAsia="Calibri" w:hAnsi="Calibri" w:cs="Times New Roman"/>
                <w:b/>
                <w:sz w:val="16"/>
                <w:szCs w:val="16"/>
              </w:rPr>
            </w:pPr>
            <w:r w:rsidRPr="000A0377">
              <w:rPr>
                <w:rFonts w:ascii="Calibri" w:eastAsia="Calibri" w:hAnsi="Calibri" w:cs="Times New Roman"/>
                <w:b/>
                <w:sz w:val="16"/>
                <w:szCs w:val="16"/>
              </w:rPr>
              <w:t>TOTAL ($)</w:t>
            </w:r>
          </w:p>
        </w:tc>
        <w:tc>
          <w:tcPr>
            <w:tcW w:w="745" w:type="dxa"/>
            <w:vAlign w:val="center"/>
          </w:tcPr>
          <w:p w14:paraId="22F8CE35" w14:textId="77777777" w:rsidR="00500FA6" w:rsidRPr="000A0377" w:rsidRDefault="00500FA6" w:rsidP="00500FA6">
            <w:pPr>
              <w:jc w:val="both"/>
              <w:rPr>
                <w:rFonts w:ascii="Calibri" w:eastAsia="Calibri" w:hAnsi="Calibri" w:cs="Times New Roman"/>
                <w:color w:val="auto"/>
                <w:sz w:val="16"/>
                <w:szCs w:val="16"/>
              </w:rPr>
            </w:pPr>
            <w:r w:rsidRPr="000A0377">
              <w:rPr>
                <w:rFonts w:ascii="Calibri" w:eastAsia="Calibri" w:hAnsi="Calibri" w:cs="Times New Roman"/>
                <w:color w:val="auto"/>
                <w:sz w:val="16"/>
                <w:szCs w:val="16"/>
              </w:rPr>
              <w:t>$1,800</w:t>
            </w:r>
          </w:p>
        </w:tc>
        <w:tc>
          <w:tcPr>
            <w:tcW w:w="840" w:type="dxa"/>
            <w:vAlign w:val="center"/>
          </w:tcPr>
          <w:p w14:paraId="3E0B8BD0" w14:textId="77777777" w:rsidR="00500FA6" w:rsidRPr="000A0377" w:rsidRDefault="00500FA6" w:rsidP="006050AD">
            <w:pPr>
              <w:jc w:val="both"/>
              <w:rPr>
                <w:rFonts w:ascii="Calibri" w:eastAsia="Calibri" w:hAnsi="Calibri" w:cs="Times New Roman"/>
                <w:color w:val="auto"/>
                <w:sz w:val="16"/>
                <w:szCs w:val="16"/>
              </w:rPr>
            </w:pPr>
            <w:r w:rsidRPr="000A0377">
              <w:rPr>
                <w:rFonts w:ascii="Calibri" w:eastAsia="Calibri" w:hAnsi="Calibri" w:cs="Times New Roman"/>
                <w:color w:val="auto"/>
                <w:sz w:val="16"/>
                <w:szCs w:val="16"/>
              </w:rPr>
              <w:t>$1,400</w:t>
            </w:r>
          </w:p>
        </w:tc>
        <w:tc>
          <w:tcPr>
            <w:tcW w:w="745" w:type="dxa"/>
            <w:vAlign w:val="center"/>
          </w:tcPr>
          <w:p w14:paraId="5BFF8C1E"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$30,510</w:t>
            </w:r>
          </w:p>
        </w:tc>
        <w:tc>
          <w:tcPr>
            <w:tcW w:w="746" w:type="dxa"/>
            <w:vAlign w:val="center"/>
          </w:tcPr>
          <w:p w14:paraId="75AF47C4" w14:textId="77777777" w:rsidR="00500FA6" w:rsidRPr="000A0377" w:rsidRDefault="00500FA6" w:rsidP="002279DD">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6061277B"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0A348E80"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1D4B7ECC"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744C17B8"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2636F637"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746" w:type="dxa"/>
            <w:vAlign w:val="center"/>
          </w:tcPr>
          <w:p w14:paraId="259065F0" w14:textId="77777777" w:rsidR="00500FA6" w:rsidRPr="000A0377" w:rsidRDefault="00500FA6" w:rsidP="00500FA6">
            <w:pPr>
              <w:jc w:val="right"/>
              <w:rPr>
                <w:rFonts w:ascii="Calibri" w:eastAsia="Calibri" w:hAnsi="Calibri" w:cs="Times New Roman"/>
                <w:color w:val="auto"/>
                <w:sz w:val="16"/>
                <w:szCs w:val="16"/>
              </w:rPr>
            </w:pPr>
            <w:r w:rsidRPr="000A0377">
              <w:rPr>
                <w:rFonts w:ascii="Calibri" w:eastAsia="Calibri" w:hAnsi="Calibri" w:cs="Times New Roman"/>
                <w:color w:val="auto"/>
                <w:sz w:val="16"/>
                <w:szCs w:val="16"/>
              </w:rPr>
              <w:t>10,958</w:t>
            </w:r>
          </w:p>
        </w:tc>
        <w:tc>
          <w:tcPr>
            <w:tcW w:w="931" w:type="dxa"/>
            <w:vAlign w:val="center"/>
          </w:tcPr>
          <w:p w14:paraId="2FA36661" w14:textId="77777777" w:rsidR="00500FA6" w:rsidRPr="000A0377" w:rsidRDefault="00500FA6" w:rsidP="00500FA6">
            <w:pPr>
              <w:jc w:val="right"/>
              <w:rPr>
                <w:rFonts w:ascii="Calibri" w:eastAsia="Calibri" w:hAnsi="Calibri" w:cs="Times New Roman"/>
                <w:b/>
                <w:color w:val="auto"/>
                <w:sz w:val="16"/>
                <w:szCs w:val="16"/>
              </w:rPr>
            </w:pPr>
            <w:r w:rsidRPr="000A0377">
              <w:rPr>
                <w:rFonts w:ascii="Calibri" w:eastAsia="Calibri" w:hAnsi="Calibri" w:cs="Times New Roman"/>
                <w:b/>
                <w:color w:val="auto"/>
                <w:sz w:val="16"/>
                <w:szCs w:val="16"/>
              </w:rPr>
              <w:t>$1</w:t>
            </w:r>
            <w:r w:rsidR="003D3725" w:rsidRPr="000A0377">
              <w:rPr>
                <w:rFonts w:ascii="Calibri" w:eastAsia="Calibri" w:hAnsi="Calibri" w:cs="Times New Roman"/>
                <w:b/>
                <w:color w:val="auto"/>
                <w:sz w:val="16"/>
                <w:szCs w:val="16"/>
              </w:rPr>
              <w:t>08,6</w:t>
            </w:r>
            <w:r w:rsidRPr="000A0377">
              <w:rPr>
                <w:rFonts w:ascii="Calibri" w:eastAsia="Calibri" w:hAnsi="Calibri" w:cs="Times New Roman"/>
                <w:b/>
                <w:color w:val="auto"/>
                <w:sz w:val="16"/>
                <w:szCs w:val="16"/>
              </w:rPr>
              <w:t>53</w:t>
            </w:r>
          </w:p>
        </w:tc>
      </w:tr>
    </w:tbl>
    <w:p w14:paraId="26EF2DB8" w14:textId="77777777" w:rsidR="00B71FC1" w:rsidRPr="00227D10" w:rsidRDefault="00B71FC1" w:rsidP="00227D10">
      <w:pPr>
        <w:pStyle w:val="BulletedListlvl1"/>
        <w:numPr>
          <w:ilvl w:val="0"/>
          <w:numId w:val="0"/>
        </w:numPr>
        <w:spacing w:before="120" w:after="180"/>
        <w:ind w:left="284"/>
        <w:rPr>
          <w:b/>
          <w:color w:val="auto"/>
        </w:rPr>
      </w:pPr>
      <w:r w:rsidRPr="00B71FC1">
        <w:rPr>
          <w:b/>
          <w:color w:val="auto"/>
        </w:rPr>
        <w:t>Net Benefits</w:t>
      </w:r>
    </w:p>
    <w:p w14:paraId="40B9A2EB" w14:textId="4E9BF0DD" w:rsidR="00B71FC1" w:rsidRDefault="00B71FC1" w:rsidP="00B71FC1">
      <w:pPr>
        <w:pStyle w:val="BulletedListlvl1"/>
        <w:rPr>
          <w:color w:val="auto"/>
        </w:rPr>
      </w:pPr>
      <w:r>
        <w:rPr>
          <w:color w:val="auto"/>
        </w:rPr>
        <w:t>The addition of an independent community group</w:t>
      </w:r>
      <w:r w:rsidR="00E90A1C">
        <w:rPr>
          <w:color w:val="auto"/>
        </w:rPr>
        <w:t xml:space="preserve">, or government agency, </w:t>
      </w:r>
      <w:r>
        <w:rPr>
          <w:color w:val="auto"/>
        </w:rPr>
        <w:t>making decisions on whether a person should be a</w:t>
      </w:r>
      <w:r w:rsidR="00770D37">
        <w:rPr>
          <w:color w:val="auto"/>
        </w:rPr>
        <w:t>n</w:t>
      </w:r>
      <w:r>
        <w:rPr>
          <w:color w:val="auto"/>
        </w:rPr>
        <w:t xml:space="preserve"> </w:t>
      </w:r>
      <w:r w:rsidR="00500FA6">
        <w:rPr>
          <w:color w:val="auto"/>
        </w:rPr>
        <w:t xml:space="preserve">IM </w:t>
      </w:r>
      <w:r>
        <w:rPr>
          <w:color w:val="auto"/>
        </w:rPr>
        <w:t xml:space="preserve">participant should result in people joining the program because it is considered to be in their interests. </w:t>
      </w:r>
      <w:r w:rsidR="000D3979">
        <w:rPr>
          <w:color w:val="auto"/>
        </w:rPr>
        <w:t>Co-design will used to establish transparency arrangements for community referral</w:t>
      </w:r>
      <w:r w:rsidR="006A7177">
        <w:rPr>
          <w:color w:val="auto"/>
        </w:rPr>
        <w:t xml:space="preserve"> pathways.</w:t>
      </w:r>
    </w:p>
    <w:p w14:paraId="2CABD841" w14:textId="77777777" w:rsidR="00F47F4E" w:rsidRPr="00F12AD9" w:rsidRDefault="00346FA5" w:rsidP="00F12AD9">
      <w:pPr>
        <w:spacing w:before="120" w:after="180" w:line="276" w:lineRule="auto"/>
        <w:rPr>
          <w:rFonts w:ascii="Calibri" w:eastAsia="Calibri" w:hAnsi="Calibri" w:cs="Times New Roman"/>
          <w:b/>
          <w:color w:val="262626"/>
        </w:rPr>
      </w:pPr>
      <w:r w:rsidRPr="00F12AD9">
        <w:rPr>
          <w:rFonts w:ascii="Calibri" w:eastAsia="Calibri" w:hAnsi="Calibri" w:cs="Times New Roman"/>
          <w:b/>
          <w:color w:val="262626"/>
        </w:rPr>
        <w:t>Gender Impact</w:t>
      </w:r>
    </w:p>
    <w:p w14:paraId="57940902" w14:textId="77777777" w:rsidR="00E366CB" w:rsidRDefault="00C1399B" w:rsidP="00E366CB">
      <w:pPr>
        <w:rPr>
          <w:rFonts w:ascii="Calibri" w:eastAsia="Calibri" w:hAnsi="Calibri" w:cs="Calibri"/>
          <w:color w:val="262626"/>
          <w:spacing w:val="4"/>
          <w:lang w:eastAsia="en-AU"/>
        </w:rPr>
      </w:pPr>
      <w:r w:rsidRPr="00FD4AE4">
        <w:rPr>
          <w:rFonts w:ascii="Calibri" w:eastAsia="Calibri" w:hAnsi="Calibri" w:cs="Calibri"/>
          <w:color w:val="262626"/>
          <w:spacing w:val="4"/>
          <w:lang w:eastAsia="en-AU"/>
        </w:rPr>
        <w:t xml:space="preserve">As at 27 May 2022, </w:t>
      </w:r>
      <w:r w:rsidR="00EE26F8" w:rsidRPr="00FD4AE4">
        <w:rPr>
          <w:rFonts w:ascii="Calibri" w:eastAsia="Calibri" w:hAnsi="Calibri" w:cs="Calibri"/>
          <w:color w:val="262626"/>
          <w:spacing w:val="4"/>
          <w:lang w:eastAsia="en-AU"/>
        </w:rPr>
        <w:t xml:space="preserve">3 out of every 5 </w:t>
      </w:r>
      <w:r w:rsidR="00051F7B">
        <w:rPr>
          <w:rFonts w:ascii="Calibri" w:eastAsia="Calibri" w:hAnsi="Calibri" w:cs="Calibri"/>
          <w:color w:val="262626"/>
          <w:spacing w:val="4"/>
          <w:lang w:eastAsia="en-AU"/>
        </w:rPr>
        <w:t xml:space="preserve">voluntary </w:t>
      </w:r>
      <w:r w:rsidRPr="00FD4AE4">
        <w:rPr>
          <w:rFonts w:ascii="Calibri" w:eastAsia="Calibri" w:hAnsi="Calibri" w:cs="Calibri"/>
          <w:color w:val="262626"/>
          <w:spacing w:val="4"/>
          <w:lang w:eastAsia="en-AU"/>
        </w:rPr>
        <w:t xml:space="preserve">IM participants </w:t>
      </w:r>
      <w:r w:rsidR="00EE26F8" w:rsidRPr="00FD4AE4">
        <w:rPr>
          <w:rFonts w:ascii="Calibri" w:eastAsia="Calibri" w:hAnsi="Calibri" w:cs="Calibri"/>
          <w:color w:val="262626"/>
          <w:spacing w:val="4"/>
          <w:lang w:eastAsia="en-AU"/>
        </w:rPr>
        <w:t>(or 62 per cent</w:t>
      </w:r>
      <w:r w:rsidR="00E8493A" w:rsidRPr="00FD4AE4">
        <w:rPr>
          <w:rFonts w:ascii="Calibri" w:eastAsia="Calibri" w:hAnsi="Calibri" w:cs="Calibri"/>
          <w:color w:val="262626"/>
          <w:spacing w:val="4"/>
          <w:lang w:eastAsia="en-AU"/>
        </w:rPr>
        <w:t xml:space="preserve"> of the total </w:t>
      </w:r>
      <w:r w:rsidR="00051F7B">
        <w:rPr>
          <w:rFonts w:ascii="Calibri" w:eastAsia="Calibri" w:hAnsi="Calibri" w:cs="Calibri"/>
          <w:color w:val="262626"/>
          <w:spacing w:val="4"/>
          <w:lang w:eastAsia="en-AU"/>
        </w:rPr>
        <w:t xml:space="preserve">voluntary </w:t>
      </w:r>
      <w:r w:rsidR="00E8493A" w:rsidRPr="00FD4AE4">
        <w:rPr>
          <w:rFonts w:ascii="Calibri" w:eastAsia="Calibri" w:hAnsi="Calibri" w:cs="Calibri"/>
          <w:color w:val="262626"/>
          <w:spacing w:val="4"/>
          <w:lang w:eastAsia="en-AU"/>
        </w:rPr>
        <w:t>IM population</w:t>
      </w:r>
      <w:r w:rsidR="00EE26F8" w:rsidRPr="00FD4AE4">
        <w:rPr>
          <w:rFonts w:ascii="Calibri" w:eastAsia="Calibri" w:hAnsi="Calibri" w:cs="Calibri"/>
          <w:color w:val="262626"/>
          <w:spacing w:val="4"/>
          <w:lang w:eastAsia="en-AU"/>
        </w:rPr>
        <w:t xml:space="preserve">) </w:t>
      </w:r>
      <w:r w:rsidRPr="00FD4AE4">
        <w:rPr>
          <w:rFonts w:ascii="Calibri" w:eastAsia="Calibri" w:hAnsi="Calibri" w:cs="Calibri"/>
          <w:color w:val="262626"/>
          <w:spacing w:val="4"/>
          <w:lang w:eastAsia="en-AU"/>
        </w:rPr>
        <w:t xml:space="preserve">were </w:t>
      </w:r>
      <w:r w:rsidR="00F47F4E" w:rsidRPr="00FD4AE4">
        <w:rPr>
          <w:rFonts w:ascii="Calibri" w:eastAsia="Calibri" w:hAnsi="Calibri" w:cs="Calibri"/>
          <w:color w:val="262626"/>
          <w:spacing w:val="4"/>
          <w:lang w:eastAsia="en-AU"/>
        </w:rPr>
        <w:t xml:space="preserve">female. </w:t>
      </w:r>
      <w:r w:rsidR="00E8493A" w:rsidRPr="00FD4AE4">
        <w:rPr>
          <w:rFonts w:ascii="Calibri" w:eastAsia="Calibri" w:hAnsi="Calibri" w:cs="Calibri"/>
          <w:color w:val="262626"/>
          <w:spacing w:val="4"/>
          <w:lang w:eastAsia="en-AU"/>
        </w:rPr>
        <w:t>Therefore, it is</w:t>
      </w:r>
      <w:r w:rsidRPr="00FD4AE4">
        <w:rPr>
          <w:rFonts w:ascii="Calibri" w:eastAsia="Calibri" w:hAnsi="Calibri" w:cs="Calibri"/>
          <w:color w:val="262626"/>
          <w:spacing w:val="4"/>
          <w:lang w:eastAsia="en-AU"/>
        </w:rPr>
        <w:t xml:space="preserve"> expected with abolishing the CDC program and reforming IM </w:t>
      </w:r>
      <w:r w:rsidR="00E8493A" w:rsidRPr="00FD4AE4">
        <w:rPr>
          <w:rFonts w:ascii="Calibri" w:eastAsia="Calibri" w:hAnsi="Calibri" w:cs="Calibri"/>
          <w:color w:val="262626"/>
          <w:spacing w:val="4"/>
          <w:lang w:eastAsia="en-AU"/>
        </w:rPr>
        <w:t xml:space="preserve">the percentage of </w:t>
      </w:r>
      <w:r w:rsidR="00C95C46" w:rsidRPr="00FD4AE4">
        <w:rPr>
          <w:rFonts w:ascii="Calibri" w:eastAsia="Calibri" w:hAnsi="Calibri" w:cs="Calibri"/>
          <w:color w:val="262626"/>
          <w:spacing w:val="4"/>
          <w:lang w:eastAsia="en-AU"/>
        </w:rPr>
        <w:t xml:space="preserve">females will </w:t>
      </w:r>
      <w:r w:rsidRPr="00FD4AE4">
        <w:rPr>
          <w:rFonts w:ascii="Calibri" w:eastAsia="Calibri" w:hAnsi="Calibri" w:cs="Calibri"/>
          <w:color w:val="262626"/>
          <w:spacing w:val="4"/>
          <w:lang w:eastAsia="en-AU"/>
        </w:rPr>
        <w:t xml:space="preserve">continue to be </w:t>
      </w:r>
      <w:r w:rsidR="00E8493A" w:rsidRPr="00FD4AE4">
        <w:rPr>
          <w:rFonts w:ascii="Calibri" w:eastAsia="Calibri" w:hAnsi="Calibri" w:cs="Calibri"/>
          <w:color w:val="262626"/>
          <w:spacing w:val="4"/>
          <w:lang w:eastAsia="en-AU"/>
        </w:rPr>
        <w:t>strongly represented in the program</w:t>
      </w:r>
      <w:r w:rsidR="00C95C46" w:rsidRPr="00FD4AE4">
        <w:rPr>
          <w:rFonts w:ascii="Calibri" w:eastAsia="Calibri" w:hAnsi="Calibri" w:cs="Calibri"/>
          <w:color w:val="262626"/>
          <w:spacing w:val="4"/>
          <w:lang w:eastAsia="en-AU"/>
        </w:rPr>
        <w:t>.</w:t>
      </w:r>
      <w:r w:rsidR="00EE26F8">
        <w:rPr>
          <w:rFonts w:ascii="Calibri" w:eastAsia="Calibri" w:hAnsi="Calibri" w:cs="Calibri"/>
          <w:color w:val="262626"/>
          <w:spacing w:val="4"/>
          <w:lang w:eastAsia="en-AU"/>
        </w:rPr>
        <w:t xml:space="preserve"> </w:t>
      </w:r>
      <w:r w:rsidR="00E366CB">
        <w:rPr>
          <w:rFonts w:ascii="Calibri" w:eastAsia="Calibri" w:hAnsi="Calibri" w:cs="Calibri"/>
          <w:color w:val="262626"/>
          <w:spacing w:val="4"/>
          <w:lang w:eastAsia="en-AU"/>
        </w:rPr>
        <w:t>Under the new arrangements, female participants may benefit through:</w:t>
      </w:r>
    </w:p>
    <w:p w14:paraId="652A71EF" w14:textId="77777777" w:rsidR="00E366CB" w:rsidRPr="00E90A1C" w:rsidRDefault="00E366CB" w:rsidP="00E90A1C">
      <w:pPr>
        <w:pStyle w:val="BulletedListlvl1"/>
        <w:rPr>
          <w:b/>
          <w:color w:val="auto"/>
        </w:rPr>
      </w:pPr>
      <w:r w:rsidRPr="00E90A1C">
        <w:rPr>
          <w:b/>
          <w:color w:val="auto"/>
        </w:rPr>
        <w:t xml:space="preserve">Increased financial autonomy: </w:t>
      </w:r>
      <w:r w:rsidRPr="00E90A1C">
        <w:rPr>
          <w:color w:val="auto"/>
        </w:rPr>
        <w:t>participants will be able to make routine payments, such as rent</w:t>
      </w:r>
      <w:r w:rsidR="00B32036" w:rsidRPr="00E90A1C">
        <w:rPr>
          <w:color w:val="auto"/>
        </w:rPr>
        <w:t xml:space="preserve"> from one account rather than having to manage these payments from two accounts</w:t>
      </w:r>
      <w:r w:rsidRPr="00E90A1C">
        <w:rPr>
          <w:color w:val="auto"/>
        </w:rPr>
        <w:t xml:space="preserve">. </w:t>
      </w:r>
      <w:r w:rsidR="00B32036" w:rsidRPr="00E90A1C">
        <w:rPr>
          <w:color w:val="auto"/>
        </w:rPr>
        <w:t>This will make it easier for people to budget for large payments such as rents and utilities.</w:t>
      </w:r>
    </w:p>
    <w:p w14:paraId="2861C05B" w14:textId="77777777" w:rsidR="00E366CB" w:rsidRPr="00F12AD9" w:rsidRDefault="00E366CB" w:rsidP="00E366CB">
      <w:pPr>
        <w:pStyle w:val="BulletedListlvl1"/>
        <w:rPr>
          <w:rFonts w:cs="Calibri"/>
          <w:color w:val="auto"/>
          <w:spacing w:val="4"/>
          <w:lang w:eastAsia="en-AU"/>
        </w:rPr>
      </w:pPr>
      <w:r w:rsidRPr="00F12AD9">
        <w:rPr>
          <w:b/>
          <w:color w:val="auto"/>
        </w:rPr>
        <w:t xml:space="preserve">Reduced negative impact on those experiencing </w:t>
      </w:r>
      <w:r w:rsidR="00E8493A">
        <w:rPr>
          <w:b/>
          <w:color w:val="auto"/>
        </w:rPr>
        <w:t xml:space="preserve">family, </w:t>
      </w:r>
      <w:r w:rsidRPr="00F12AD9">
        <w:rPr>
          <w:b/>
          <w:color w:val="auto"/>
        </w:rPr>
        <w:t>domes</w:t>
      </w:r>
      <w:r w:rsidR="00E8493A">
        <w:rPr>
          <w:b/>
          <w:color w:val="auto"/>
        </w:rPr>
        <w:t xml:space="preserve">tic and sexual </w:t>
      </w:r>
      <w:r w:rsidRPr="00F12AD9">
        <w:rPr>
          <w:b/>
          <w:color w:val="auto"/>
        </w:rPr>
        <w:t>violence:</w:t>
      </w:r>
      <w:r w:rsidRPr="00F12AD9">
        <w:rPr>
          <w:rFonts w:cs="Calibri"/>
          <w:color w:val="auto"/>
          <w:spacing w:val="4"/>
          <w:lang w:eastAsia="en-AU"/>
        </w:rPr>
        <w:t xml:space="preserve"> Restrictions on cash withdrawals can reduce the flexibility </w:t>
      </w:r>
      <w:r w:rsidR="00B32036">
        <w:rPr>
          <w:rFonts w:cs="Calibri"/>
          <w:color w:val="auto"/>
          <w:spacing w:val="4"/>
          <w:lang w:eastAsia="en-AU"/>
        </w:rPr>
        <w:t xml:space="preserve">of women </w:t>
      </w:r>
      <w:r w:rsidR="00B32036" w:rsidRPr="00F12AD9">
        <w:rPr>
          <w:rFonts w:cs="Calibri"/>
          <w:color w:val="auto"/>
          <w:spacing w:val="4"/>
          <w:lang w:eastAsia="en-AU"/>
        </w:rPr>
        <w:t xml:space="preserve">experiencing family and/or domestic violence </w:t>
      </w:r>
      <w:r w:rsidRPr="00F12AD9">
        <w:rPr>
          <w:rFonts w:cs="Calibri"/>
          <w:color w:val="auto"/>
          <w:spacing w:val="4"/>
          <w:lang w:eastAsia="en-AU"/>
        </w:rPr>
        <w:t>to access funds to support and care for themselves and their children</w:t>
      </w:r>
      <w:r w:rsidR="00B32036">
        <w:rPr>
          <w:rFonts w:cs="Calibri"/>
          <w:color w:val="auto"/>
          <w:spacing w:val="4"/>
          <w:lang w:eastAsia="en-AU"/>
        </w:rPr>
        <w:t xml:space="preserve">. </w:t>
      </w:r>
      <w:r w:rsidRPr="00F12AD9">
        <w:rPr>
          <w:rFonts w:cs="Calibri"/>
          <w:color w:val="auto"/>
          <w:spacing w:val="4"/>
          <w:lang w:eastAsia="en-AU"/>
        </w:rPr>
        <w:t>Under the new system, participants experiencing domestic violence can have greater control over their finances in addition to accessing other crisis payments, such as the Escaping Violence Payment. By leaving the CDC</w:t>
      </w:r>
      <w:r w:rsidR="007C2536">
        <w:rPr>
          <w:rFonts w:cs="Calibri"/>
          <w:color w:val="auto"/>
          <w:spacing w:val="4"/>
          <w:lang w:eastAsia="en-AU"/>
        </w:rPr>
        <w:t xml:space="preserve"> program</w:t>
      </w:r>
      <w:r w:rsidRPr="00F12AD9">
        <w:rPr>
          <w:rFonts w:cs="Calibri"/>
          <w:color w:val="auto"/>
          <w:spacing w:val="4"/>
          <w:lang w:eastAsia="en-AU"/>
        </w:rPr>
        <w:t xml:space="preserve">, victim-survivors do not have the added burden of transferring a set amount of cash from their CDC </w:t>
      </w:r>
      <w:r w:rsidR="007C2536">
        <w:rPr>
          <w:rFonts w:cs="Calibri"/>
          <w:color w:val="auto"/>
          <w:spacing w:val="4"/>
          <w:lang w:eastAsia="en-AU"/>
        </w:rPr>
        <w:t xml:space="preserve">program </w:t>
      </w:r>
      <w:r w:rsidRPr="00F12AD9">
        <w:rPr>
          <w:rFonts w:cs="Calibri"/>
          <w:color w:val="auto"/>
          <w:spacing w:val="4"/>
          <w:lang w:eastAsia="en-AU"/>
        </w:rPr>
        <w:t>every 28 days to another bank account, or additional step of requesting access to the cash component by calling t</w:t>
      </w:r>
      <w:r w:rsidR="000E3D90">
        <w:rPr>
          <w:rFonts w:cs="Calibri"/>
          <w:color w:val="auto"/>
          <w:spacing w:val="4"/>
          <w:lang w:eastAsia="en-AU"/>
        </w:rPr>
        <w:t>he Services Australia Helpline.</w:t>
      </w:r>
      <w:r w:rsidR="00B32036">
        <w:rPr>
          <w:rFonts w:cs="Calibri"/>
          <w:color w:val="auto"/>
          <w:spacing w:val="4"/>
          <w:lang w:eastAsia="en-AU"/>
        </w:rPr>
        <w:t xml:space="preserve"> They will also have greater access to cash to purchase second ha</w:t>
      </w:r>
      <w:r w:rsidR="00FD2793">
        <w:rPr>
          <w:rFonts w:cs="Calibri"/>
          <w:color w:val="auto"/>
          <w:spacing w:val="4"/>
          <w:lang w:eastAsia="en-AU"/>
        </w:rPr>
        <w:t>nd goods to furnish a new home.</w:t>
      </w:r>
    </w:p>
    <w:p w14:paraId="491D376D" w14:textId="77777777" w:rsidR="00E366CB" w:rsidRPr="00F12AD9" w:rsidRDefault="00E366CB" w:rsidP="00E366CB">
      <w:pPr>
        <w:pStyle w:val="BulletedListlvl1"/>
        <w:rPr>
          <w:rFonts w:cs="Calibri"/>
          <w:color w:val="auto"/>
          <w:spacing w:val="4"/>
          <w:lang w:eastAsia="en-AU"/>
        </w:rPr>
      </w:pPr>
      <w:r w:rsidRPr="00F12AD9">
        <w:rPr>
          <w:b/>
          <w:color w:val="auto"/>
        </w:rPr>
        <w:t>Reduced social exclusion of parents with caring responsibilities:</w:t>
      </w:r>
      <w:r w:rsidRPr="00F12AD9">
        <w:rPr>
          <w:rFonts w:cs="Calibri"/>
          <w:color w:val="auto"/>
          <w:spacing w:val="4"/>
          <w:lang w:eastAsia="en-AU"/>
        </w:rPr>
        <w:t xml:space="preserve"> </w:t>
      </w:r>
      <w:r w:rsidR="00B32036">
        <w:rPr>
          <w:rFonts w:cs="Calibri"/>
          <w:color w:val="auto"/>
          <w:spacing w:val="4"/>
          <w:lang w:eastAsia="en-AU"/>
        </w:rPr>
        <w:t>P</w:t>
      </w:r>
      <w:r w:rsidRPr="00F12AD9">
        <w:rPr>
          <w:rFonts w:cs="Calibri"/>
          <w:color w:val="auto"/>
          <w:spacing w:val="4"/>
          <w:lang w:eastAsia="en-AU"/>
        </w:rPr>
        <w:t xml:space="preserve">arents have been quoted as saying that a lack of access to cash has meant their children have been unable to purchase food from their school canteens, are unable to go on school excursions, or buy items at school fetes. This has the ability for their children to also feel stigmatised </w:t>
      </w:r>
      <w:r w:rsidR="00B32036">
        <w:rPr>
          <w:rFonts w:cs="Calibri"/>
          <w:color w:val="auto"/>
          <w:spacing w:val="4"/>
          <w:lang w:eastAsia="en-AU"/>
        </w:rPr>
        <w:t xml:space="preserve">by other students because their </w:t>
      </w:r>
      <w:r w:rsidRPr="00F12AD9">
        <w:rPr>
          <w:rFonts w:cs="Calibri"/>
          <w:color w:val="auto"/>
          <w:spacing w:val="4"/>
          <w:lang w:eastAsia="en-AU"/>
        </w:rPr>
        <w:t xml:space="preserve">parents </w:t>
      </w:r>
      <w:r w:rsidR="00B32036">
        <w:rPr>
          <w:rFonts w:cs="Calibri"/>
          <w:color w:val="auto"/>
          <w:spacing w:val="4"/>
          <w:lang w:eastAsia="en-AU"/>
        </w:rPr>
        <w:t xml:space="preserve">are </w:t>
      </w:r>
      <w:r w:rsidR="00FD2793">
        <w:rPr>
          <w:rFonts w:cs="Calibri"/>
          <w:color w:val="auto"/>
          <w:spacing w:val="4"/>
          <w:lang w:eastAsia="en-AU"/>
        </w:rPr>
        <w:t>on the programs.</w:t>
      </w:r>
    </w:p>
    <w:p w14:paraId="00E43EAC" w14:textId="77777777" w:rsidR="00E366CB" w:rsidRPr="00F12AD9" w:rsidRDefault="00E366CB" w:rsidP="00E366CB">
      <w:pPr>
        <w:pStyle w:val="BulletedListlvl1"/>
        <w:rPr>
          <w:rFonts w:cs="Calibri"/>
          <w:color w:val="auto"/>
          <w:spacing w:val="4"/>
          <w:lang w:eastAsia="en-AU"/>
        </w:rPr>
      </w:pPr>
      <w:r w:rsidRPr="00F12AD9">
        <w:rPr>
          <w:b/>
          <w:color w:val="auto"/>
        </w:rPr>
        <w:t xml:space="preserve">Reduced stigma: </w:t>
      </w:r>
      <w:r w:rsidRPr="00A073CF">
        <w:rPr>
          <w:rFonts w:cs="Calibri"/>
          <w:color w:val="auto"/>
          <w:spacing w:val="4"/>
          <w:lang w:eastAsia="en-AU"/>
        </w:rPr>
        <w:t>Evidence from</w:t>
      </w:r>
      <w:r w:rsidRPr="00F12AD9">
        <w:rPr>
          <w:rFonts w:cs="Calibri"/>
          <w:color w:val="auto"/>
          <w:spacing w:val="4"/>
          <w:lang w:eastAsia="en-AU"/>
        </w:rPr>
        <w:t xml:space="preserve"> the Second Evaluation Report</w:t>
      </w:r>
      <w:r w:rsidR="00074990">
        <w:rPr>
          <w:rStyle w:val="FootnoteReference"/>
          <w:rFonts w:cs="Calibri"/>
          <w:color w:val="auto"/>
          <w:spacing w:val="4"/>
          <w:lang w:eastAsia="en-AU"/>
        </w:rPr>
        <w:footnoteReference w:id="31"/>
      </w:r>
      <w:r w:rsidRPr="00F12AD9">
        <w:rPr>
          <w:rFonts w:cs="Calibri"/>
          <w:color w:val="auto"/>
          <w:spacing w:val="4"/>
          <w:lang w:eastAsia="en-AU"/>
        </w:rPr>
        <w:t xml:space="preserve"> reflects that some single mothers felt they were being judged as an alcoholic or drug addict</w:t>
      </w:r>
      <w:r w:rsidR="00F14C19">
        <w:rPr>
          <w:rFonts w:cs="Calibri"/>
          <w:color w:val="auto"/>
          <w:spacing w:val="4"/>
          <w:lang w:eastAsia="en-AU"/>
        </w:rPr>
        <w:t>s</w:t>
      </w:r>
      <w:r w:rsidRPr="00F12AD9">
        <w:rPr>
          <w:rFonts w:cs="Calibri"/>
          <w:color w:val="auto"/>
          <w:spacing w:val="4"/>
          <w:lang w:eastAsia="en-AU"/>
        </w:rPr>
        <w:t xml:space="preserve"> despite not experiencing challenges with alcohol, drugs or gambling prior to being placed on the </w:t>
      </w:r>
      <w:r w:rsidR="00F14C19">
        <w:rPr>
          <w:rFonts w:cs="Calibri"/>
          <w:color w:val="auto"/>
          <w:spacing w:val="4"/>
          <w:lang w:eastAsia="en-AU"/>
        </w:rPr>
        <w:t>programs</w:t>
      </w:r>
      <w:r w:rsidRPr="00F12AD9">
        <w:rPr>
          <w:rFonts w:cs="Calibri"/>
          <w:color w:val="auto"/>
          <w:spacing w:val="4"/>
          <w:lang w:eastAsia="en-AU"/>
        </w:rPr>
        <w:t>.</w:t>
      </w:r>
      <w:r w:rsidR="00C67EC2">
        <w:rPr>
          <w:rFonts w:cs="Calibri"/>
          <w:color w:val="auto"/>
          <w:spacing w:val="4"/>
          <w:lang w:eastAsia="en-AU"/>
        </w:rPr>
        <w:t xml:space="preserve"> Option 2 will reduce this stigma.</w:t>
      </w:r>
    </w:p>
    <w:p w14:paraId="4F44F971" w14:textId="77777777" w:rsidR="005F62A4" w:rsidRPr="00F12AD9" w:rsidRDefault="005F62A4" w:rsidP="00F12AD9">
      <w:pPr>
        <w:spacing w:before="120" w:after="180" w:line="276" w:lineRule="auto"/>
        <w:rPr>
          <w:rFonts w:ascii="Calibri" w:eastAsia="Calibri" w:hAnsi="Calibri" w:cs="Times New Roman"/>
          <w:b/>
          <w:color w:val="262626"/>
        </w:rPr>
      </w:pPr>
      <w:r w:rsidRPr="00F12AD9">
        <w:rPr>
          <w:rFonts w:ascii="Calibri" w:eastAsia="Calibri" w:hAnsi="Calibri" w:cs="Times New Roman"/>
          <w:b/>
          <w:color w:val="262626"/>
        </w:rPr>
        <w:t>Costs</w:t>
      </w:r>
    </w:p>
    <w:p w14:paraId="24223D4B" w14:textId="77777777" w:rsidR="00227D10" w:rsidRPr="00285F5D" w:rsidRDefault="007315DE" w:rsidP="00285F5D">
      <w:pPr>
        <w:pStyle w:val="BulletedListlvl1"/>
        <w:rPr>
          <w:color w:val="auto"/>
        </w:rPr>
      </w:pPr>
      <w:r w:rsidRPr="00285F5D">
        <w:rPr>
          <w:color w:val="auto"/>
        </w:rPr>
        <w:t xml:space="preserve">Economic coercion: </w:t>
      </w:r>
      <w:r w:rsidR="00C67EC2" w:rsidRPr="00285F5D">
        <w:rPr>
          <w:color w:val="auto"/>
        </w:rPr>
        <w:t>S</w:t>
      </w:r>
      <w:r w:rsidRPr="00285F5D">
        <w:rPr>
          <w:color w:val="auto"/>
        </w:rPr>
        <w:t xml:space="preserve">ome women may risk increased pressure as their partners and families seek to increase control over their welfare payments. For example, a woman in an abusive relationship may be pressured to hand over welfare payments to a partner instead of allocating funds towards rent, bills, groceries or children’s educational needs. In such instances, women may opt </w:t>
      </w:r>
      <w:r w:rsidR="0001056A" w:rsidRPr="00285F5D">
        <w:rPr>
          <w:color w:val="auto"/>
        </w:rPr>
        <w:t xml:space="preserve">in </w:t>
      </w:r>
      <w:r w:rsidRPr="00285F5D">
        <w:rPr>
          <w:color w:val="auto"/>
        </w:rPr>
        <w:t>for voluntary IM</w:t>
      </w:r>
      <w:r w:rsidR="0001056A" w:rsidRPr="00285F5D">
        <w:rPr>
          <w:color w:val="auto"/>
        </w:rPr>
        <w:t>, if they cho</w:t>
      </w:r>
      <w:r w:rsidR="000D3979" w:rsidRPr="00285F5D">
        <w:rPr>
          <w:color w:val="auto"/>
        </w:rPr>
        <w:t>ose</w:t>
      </w:r>
      <w:r w:rsidR="0001056A" w:rsidRPr="00285F5D">
        <w:rPr>
          <w:color w:val="auto"/>
        </w:rPr>
        <w:t xml:space="preserve"> to do so,</w:t>
      </w:r>
      <w:r w:rsidR="00C67EC2" w:rsidRPr="00285F5D">
        <w:rPr>
          <w:color w:val="auto"/>
        </w:rPr>
        <w:t xml:space="preserve"> or </w:t>
      </w:r>
      <w:r w:rsidR="0001056A" w:rsidRPr="00285F5D">
        <w:rPr>
          <w:color w:val="auto"/>
        </w:rPr>
        <w:t>have a portion of their income support</w:t>
      </w:r>
      <w:r w:rsidR="00C67EC2" w:rsidRPr="00285F5D">
        <w:rPr>
          <w:color w:val="auto"/>
        </w:rPr>
        <w:t xml:space="preserve"> payments diverted to Centrepay to ensure </w:t>
      </w:r>
      <w:r w:rsidR="0001056A" w:rsidRPr="00285F5D">
        <w:rPr>
          <w:color w:val="auto"/>
        </w:rPr>
        <w:t xml:space="preserve">utilities like rent and electricity </w:t>
      </w:r>
      <w:r w:rsidR="00C67EC2" w:rsidRPr="00285F5D">
        <w:rPr>
          <w:color w:val="auto"/>
        </w:rPr>
        <w:t>get paid</w:t>
      </w:r>
      <w:r w:rsidR="0085148F" w:rsidRPr="00285F5D">
        <w:rPr>
          <w:color w:val="auto"/>
        </w:rPr>
        <w:t>.</w:t>
      </w:r>
      <w:r w:rsidR="000D3979" w:rsidRPr="00285F5D">
        <w:rPr>
          <w:color w:val="auto"/>
        </w:rPr>
        <w:t xml:space="preserve"> There is a risk that in a voluntary system that they may be pressured to cease these arrangements.</w:t>
      </w:r>
    </w:p>
    <w:p w14:paraId="509631FF" w14:textId="77777777" w:rsidR="00F56BE9" w:rsidRPr="00285F5D" w:rsidRDefault="00F56BE9" w:rsidP="00285F5D">
      <w:pPr>
        <w:spacing w:before="120" w:after="180" w:line="276" w:lineRule="auto"/>
        <w:rPr>
          <w:rFonts w:ascii="Calibri" w:eastAsia="Calibri" w:hAnsi="Calibri" w:cs="Times New Roman"/>
          <w:b/>
          <w:color w:val="262626"/>
        </w:rPr>
      </w:pPr>
      <w:r w:rsidRPr="00285F5D">
        <w:rPr>
          <w:rFonts w:ascii="Calibri" w:eastAsia="Calibri" w:hAnsi="Calibri" w:cs="Times New Roman"/>
          <w:b/>
          <w:color w:val="262626"/>
        </w:rPr>
        <w:t>First Nation people</w:t>
      </w:r>
    </w:p>
    <w:p w14:paraId="2D08F5FB" w14:textId="77777777" w:rsidR="00EA44C7" w:rsidRPr="000D3979" w:rsidRDefault="00F56BE9" w:rsidP="00EA44C7">
      <w:r>
        <w:t xml:space="preserve">Currently, </w:t>
      </w:r>
      <w:r w:rsidR="00673E43">
        <w:t>5</w:t>
      </w:r>
      <w:r w:rsidR="00B32036">
        <w:t>0</w:t>
      </w:r>
      <w:r>
        <w:t xml:space="preserve"> per cent of CDC participants</w:t>
      </w:r>
      <w:r w:rsidR="00673E43">
        <w:t xml:space="preserve"> and 82 per cent of IM participants</w:t>
      </w:r>
      <w:r>
        <w:t xml:space="preserve"> are First Nations people (as at 27 May 2022), compared with 3.2 per cent of people who identify as First Nations with the Australia community</w:t>
      </w:r>
      <w:r w:rsidR="00673E43">
        <w:rPr>
          <w:rStyle w:val="FootnoteReference"/>
        </w:rPr>
        <w:footnoteReference w:id="32"/>
      </w:r>
      <w:r>
        <w:t xml:space="preserve">. For example, </w:t>
      </w:r>
      <w:r w:rsidRPr="000D3979">
        <w:t xml:space="preserve">as at </w:t>
      </w:r>
      <w:r w:rsidR="00EB5C63">
        <w:t>27 May</w:t>
      </w:r>
      <w:r w:rsidRPr="000D3979">
        <w:t xml:space="preserve"> 2022 i</w:t>
      </w:r>
      <w:r w:rsidRPr="000D3979">
        <w:rPr>
          <w:lang w:eastAsia="en-AU"/>
        </w:rPr>
        <w:t xml:space="preserve">n Ceduna, </w:t>
      </w:r>
      <w:r w:rsidRPr="000D3979">
        <w:t>there were 700 CDC participants in the Ceduna region of which around 75 per cent of participants identify as Aboriginal or Torres Strait Islanders. This portion of First Nations people is higher in East Kimberley (84 per cen</w:t>
      </w:r>
      <w:r w:rsidR="00F12AD9" w:rsidRPr="000D3979">
        <w:t>t) and Cape York (95 per cent).</w:t>
      </w:r>
      <w:r w:rsidR="00EA44C7" w:rsidRPr="000D3979">
        <w:t xml:space="preserve"> In the Northern Territory 84 </w:t>
      </w:r>
      <w:r w:rsidR="000D4CFB">
        <w:t>per</w:t>
      </w:r>
      <w:r w:rsidR="00EA44C7" w:rsidRPr="000D3979">
        <w:t>cent of IM participants identify as First Nations with Western Australia and South Australia at 71 per cent, and 50 per cent, respectively.</w:t>
      </w:r>
    </w:p>
    <w:p w14:paraId="4BD158B4" w14:textId="77777777" w:rsidR="00EA44C7" w:rsidRPr="000D3979" w:rsidRDefault="00EA44C7" w:rsidP="00EA44C7">
      <w:r w:rsidRPr="000D3979">
        <w:t>Table 8 provides a breakdown of the number of first nations participants by current location.</w:t>
      </w:r>
    </w:p>
    <w:p w14:paraId="3944C5E9" w14:textId="77777777" w:rsidR="00EA44C7" w:rsidRPr="000D3979" w:rsidRDefault="00EA44C7" w:rsidP="00EA44C7">
      <w:pPr>
        <w:pStyle w:val="Caption"/>
        <w:rPr>
          <w:rFonts w:ascii="Calibri" w:hAnsi="Calibri" w:cs="Calibri"/>
          <w:b w:val="0"/>
          <w:bCs/>
        </w:rPr>
      </w:pPr>
      <w:bookmarkStart w:id="140" w:name="_Toc118103813"/>
      <w:r w:rsidRPr="00EB5C63">
        <w:t xml:space="preserve">Table </w:t>
      </w:r>
      <w:fldSimple w:instr=" SEQ Table \* ARABIC ">
        <w:r w:rsidRPr="00EB5C63">
          <w:rPr>
            <w:noProof/>
          </w:rPr>
          <w:t>8</w:t>
        </w:r>
      </w:fldSimple>
      <w:r w:rsidRPr="00EB5C63">
        <w:t xml:space="preserve">: Active CDC participants – current location (as at </w:t>
      </w:r>
      <w:r w:rsidR="00C151BF" w:rsidRPr="00EB5C63">
        <w:t>27 May</w:t>
      </w:r>
      <w:r w:rsidRPr="00EB5C63">
        <w:t xml:space="preserve"> 2022)</w:t>
      </w:r>
      <w:bookmarkEnd w:id="140"/>
    </w:p>
    <w:tbl>
      <w:tblPr>
        <w:tblW w:w="6794" w:type="dxa"/>
        <w:tblCellMar>
          <w:left w:w="0" w:type="dxa"/>
          <w:right w:w="0" w:type="dxa"/>
        </w:tblCellMar>
        <w:tblLook w:val="04A0" w:firstRow="1" w:lastRow="0" w:firstColumn="1" w:lastColumn="0" w:noHBand="0" w:noVBand="1"/>
        <w:tblDescription w:val="Table 8 - Active CDC participants - current location (as at 27 May 2022)"/>
      </w:tblPr>
      <w:tblGrid>
        <w:gridCol w:w="2830"/>
        <w:gridCol w:w="1525"/>
        <w:gridCol w:w="2439"/>
      </w:tblGrid>
      <w:tr w:rsidR="00EA44C7" w14:paraId="45873BAB" w14:textId="77777777" w:rsidTr="002B6A7E">
        <w:trPr>
          <w:trHeight w:val="580"/>
        </w:trPr>
        <w:tc>
          <w:tcPr>
            <w:tcW w:w="28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69514A" w14:textId="77777777" w:rsidR="00EA44C7" w:rsidRPr="000D3979" w:rsidRDefault="00EA44C7" w:rsidP="002B6A7E">
            <w:pPr>
              <w:rPr>
                <w:b/>
                <w:bCs/>
                <w:lang w:eastAsia="en-AU"/>
              </w:rPr>
            </w:pPr>
            <w:r w:rsidRPr="000D3979">
              <w:rPr>
                <w:b/>
                <w:bCs/>
                <w:lang w:eastAsia="en-AU"/>
              </w:rPr>
              <w:t>CDC region</w:t>
            </w:r>
          </w:p>
        </w:tc>
        <w:tc>
          <w:tcPr>
            <w:tcW w:w="15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04EF6" w14:textId="77777777" w:rsidR="00EA44C7" w:rsidRPr="000D3979" w:rsidRDefault="00EA44C7" w:rsidP="002B6A7E">
            <w:pPr>
              <w:rPr>
                <w:b/>
                <w:bCs/>
                <w:lang w:eastAsia="en-AU"/>
              </w:rPr>
            </w:pPr>
            <w:r w:rsidRPr="000D3979">
              <w:rPr>
                <w:b/>
                <w:bCs/>
                <w:lang w:eastAsia="en-AU"/>
              </w:rPr>
              <w:t>Number of participants</w:t>
            </w:r>
          </w:p>
        </w:tc>
        <w:tc>
          <w:tcPr>
            <w:tcW w:w="2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20D5C" w14:textId="77777777" w:rsidR="00EA44C7" w:rsidRDefault="00EA44C7" w:rsidP="002B6A7E">
            <w:pPr>
              <w:rPr>
                <w:b/>
                <w:bCs/>
                <w:lang w:eastAsia="en-AU"/>
              </w:rPr>
            </w:pPr>
            <w:r w:rsidRPr="000D3979">
              <w:rPr>
                <w:b/>
                <w:bCs/>
                <w:lang w:eastAsia="en-AU"/>
              </w:rPr>
              <w:t>First Nations participants</w:t>
            </w:r>
          </w:p>
        </w:tc>
      </w:tr>
      <w:tr w:rsidR="00EA44C7" w14:paraId="088D60A1"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08E044" w14:textId="77777777" w:rsidR="00EA44C7" w:rsidRDefault="00EA44C7" w:rsidP="002B6A7E">
            <w:pPr>
              <w:rPr>
                <w:lang w:eastAsia="en-AU"/>
              </w:rPr>
            </w:pPr>
            <w:r>
              <w:rPr>
                <w:lang w:eastAsia="en-AU"/>
              </w:rPr>
              <w:t>Bundaberg and Hervey Bay</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90860B" w14:textId="77777777" w:rsidR="00EA44C7" w:rsidRDefault="00EA44C7" w:rsidP="002B6A7E">
            <w:pPr>
              <w:jc w:val="right"/>
              <w:rPr>
                <w:lang w:eastAsia="en-AU"/>
              </w:rPr>
            </w:pPr>
            <w:r>
              <w:rPr>
                <w:lang w:eastAsia="en-AU"/>
              </w:rPr>
              <w:t>4,709</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067318DC" w14:textId="77777777" w:rsidR="00EA44C7" w:rsidRDefault="00EA44C7" w:rsidP="002B6A7E">
            <w:pPr>
              <w:jc w:val="right"/>
              <w:rPr>
                <w:lang w:eastAsia="en-AU"/>
              </w:rPr>
            </w:pPr>
            <w:r>
              <w:rPr>
                <w:lang w:eastAsia="en-AU"/>
              </w:rPr>
              <w:t>18%</w:t>
            </w:r>
          </w:p>
        </w:tc>
      </w:tr>
      <w:tr w:rsidR="00EA44C7" w14:paraId="39415E52"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C0B683" w14:textId="77777777" w:rsidR="00EA44C7" w:rsidRDefault="00EA44C7" w:rsidP="002B6A7E">
            <w:pPr>
              <w:rPr>
                <w:lang w:eastAsia="en-AU"/>
              </w:rPr>
            </w:pPr>
            <w:r>
              <w:rPr>
                <w:lang w:eastAsia="en-AU"/>
              </w:rPr>
              <w:t>Northern Territory</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269802" w14:textId="77777777" w:rsidR="00EA44C7" w:rsidRDefault="00EA44C7" w:rsidP="002B6A7E">
            <w:pPr>
              <w:jc w:val="right"/>
              <w:rPr>
                <w:lang w:eastAsia="en-AU"/>
              </w:rPr>
            </w:pPr>
            <w:r>
              <w:rPr>
                <w:lang w:eastAsia="en-AU"/>
              </w:rPr>
              <w:t>3,846</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31A24517" w14:textId="77777777" w:rsidR="00EA44C7" w:rsidRDefault="00EA44C7" w:rsidP="002B6A7E">
            <w:pPr>
              <w:jc w:val="right"/>
              <w:rPr>
                <w:lang w:eastAsia="en-AU"/>
              </w:rPr>
            </w:pPr>
            <w:r>
              <w:rPr>
                <w:lang w:eastAsia="en-AU"/>
              </w:rPr>
              <w:t>77%</w:t>
            </w:r>
          </w:p>
        </w:tc>
      </w:tr>
      <w:tr w:rsidR="00EA44C7" w14:paraId="7DDD210D"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CC36E6" w14:textId="77777777" w:rsidR="00EA44C7" w:rsidRDefault="00EA44C7" w:rsidP="002B6A7E">
            <w:pPr>
              <w:rPr>
                <w:lang w:eastAsia="en-AU"/>
              </w:rPr>
            </w:pPr>
            <w:r>
              <w:rPr>
                <w:lang w:eastAsia="en-AU"/>
              </w:rPr>
              <w:t>Out of area*</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62D77F" w14:textId="77777777" w:rsidR="00EA44C7" w:rsidRDefault="00EA44C7" w:rsidP="002B6A7E">
            <w:pPr>
              <w:jc w:val="right"/>
              <w:rPr>
                <w:lang w:eastAsia="en-AU"/>
              </w:rPr>
            </w:pPr>
            <w:r>
              <w:rPr>
                <w:lang w:eastAsia="en-AU"/>
              </w:rPr>
              <w:t>3,819</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5EF1D09E" w14:textId="77777777" w:rsidR="00EA44C7" w:rsidRDefault="00EA44C7" w:rsidP="002B6A7E">
            <w:pPr>
              <w:jc w:val="right"/>
              <w:rPr>
                <w:lang w:eastAsia="en-AU"/>
              </w:rPr>
            </w:pPr>
            <w:r>
              <w:rPr>
                <w:lang w:eastAsia="en-AU"/>
              </w:rPr>
              <w:t>46%</w:t>
            </w:r>
          </w:p>
        </w:tc>
      </w:tr>
      <w:tr w:rsidR="00EA44C7" w14:paraId="66E271BA"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49DFE4" w14:textId="77777777" w:rsidR="00EA44C7" w:rsidRDefault="00EA44C7" w:rsidP="002B6A7E">
            <w:pPr>
              <w:rPr>
                <w:lang w:eastAsia="en-AU"/>
              </w:rPr>
            </w:pPr>
            <w:r>
              <w:rPr>
                <w:lang w:eastAsia="en-AU"/>
              </w:rPr>
              <w:t>Goldfields</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F0485" w14:textId="77777777" w:rsidR="00EA44C7" w:rsidRDefault="00EA44C7" w:rsidP="002B6A7E">
            <w:pPr>
              <w:jc w:val="right"/>
              <w:rPr>
                <w:lang w:eastAsia="en-AU"/>
              </w:rPr>
            </w:pPr>
            <w:r>
              <w:rPr>
                <w:lang w:eastAsia="en-AU"/>
              </w:rPr>
              <w:t>2,805</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38FD423A" w14:textId="77777777" w:rsidR="00EA44C7" w:rsidRDefault="00EA44C7" w:rsidP="002B6A7E">
            <w:pPr>
              <w:jc w:val="right"/>
              <w:rPr>
                <w:lang w:eastAsia="en-AU"/>
              </w:rPr>
            </w:pPr>
            <w:r>
              <w:rPr>
                <w:lang w:eastAsia="en-AU"/>
              </w:rPr>
              <w:t>48%</w:t>
            </w:r>
          </w:p>
        </w:tc>
      </w:tr>
      <w:tr w:rsidR="00EA44C7" w14:paraId="0B853176"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31D16D" w14:textId="77777777" w:rsidR="00EA44C7" w:rsidRDefault="00EA44C7" w:rsidP="002B6A7E">
            <w:pPr>
              <w:rPr>
                <w:lang w:eastAsia="en-AU"/>
              </w:rPr>
            </w:pPr>
            <w:r>
              <w:rPr>
                <w:lang w:eastAsia="en-AU"/>
              </w:rPr>
              <w:t>East Kimberley</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3C08CE" w14:textId="77777777" w:rsidR="00EA44C7" w:rsidRDefault="00EA44C7" w:rsidP="002B6A7E">
            <w:pPr>
              <w:jc w:val="right"/>
              <w:rPr>
                <w:lang w:eastAsia="en-AU"/>
              </w:rPr>
            </w:pPr>
            <w:r>
              <w:rPr>
                <w:lang w:eastAsia="en-AU"/>
              </w:rPr>
              <w:t>1,335</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7C2AA83D" w14:textId="77777777" w:rsidR="00EA44C7" w:rsidRDefault="00EA44C7" w:rsidP="002B6A7E">
            <w:pPr>
              <w:jc w:val="right"/>
              <w:rPr>
                <w:lang w:eastAsia="en-AU"/>
              </w:rPr>
            </w:pPr>
            <w:r>
              <w:rPr>
                <w:lang w:eastAsia="en-AU"/>
              </w:rPr>
              <w:t>84%</w:t>
            </w:r>
          </w:p>
        </w:tc>
      </w:tr>
      <w:tr w:rsidR="00EA44C7" w14:paraId="550C76EB"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C734BE" w14:textId="77777777" w:rsidR="00EA44C7" w:rsidRDefault="00EA44C7" w:rsidP="002B6A7E">
            <w:pPr>
              <w:rPr>
                <w:lang w:eastAsia="en-AU"/>
              </w:rPr>
            </w:pPr>
            <w:r>
              <w:rPr>
                <w:lang w:eastAsia="en-AU"/>
              </w:rPr>
              <w:t xml:space="preserve">Ceduna </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3F0B54" w14:textId="77777777" w:rsidR="00EA44C7" w:rsidRDefault="00EA44C7" w:rsidP="002B6A7E">
            <w:pPr>
              <w:jc w:val="right"/>
              <w:rPr>
                <w:lang w:eastAsia="en-AU"/>
              </w:rPr>
            </w:pPr>
            <w:r>
              <w:rPr>
                <w:lang w:eastAsia="en-AU"/>
              </w:rPr>
              <w:t>700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55A27918" w14:textId="77777777" w:rsidR="00EA44C7" w:rsidRDefault="00EA44C7" w:rsidP="002B6A7E">
            <w:pPr>
              <w:jc w:val="right"/>
              <w:rPr>
                <w:lang w:eastAsia="en-AU"/>
              </w:rPr>
            </w:pPr>
            <w:r>
              <w:rPr>
                <w:lang w:eastAsia="en-AU"/>
              </w:rPr>
              <w:t>75%</w:t>
            </w:r>
          </w:p>
        </w:tc>
      </w:tr>
      <w:tr w:rsidR="00EA44C7" w14:paraId="7D4BDA16"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3AF01C" w14:textId="77777777" w:rsidR="00EA44C7" w:rsidRDefault="00EA44C7" w:rsidP="002B6A7E">
            <w:pPr>
              <w:rPr>
                <w:lang w:eastAsia="en-AU"/>
              </w:rPr>
            </w:pPr>
            <w:r>
              <w:rPr>
                <w:lang w:eastAsia="en-AU"/>
              </w:rPr>
              <w:t>Cape York</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1A3ABD" w14:textId="77777777" w:rsidR="00EA44C7" w:rsidRDefault="00EA44C7" w:rsidP="002B6A7E">
            <w:pPr>
              <w:jc w:val="right"/>
              <w:rPr>
                <w:lang w:eastAsia="en-AU"/>
              </w:rPr>
            </w:pPr>
            <w:r>
              <w:rPr>
                <w:lang w:eastAsia="en-AU"/>
              </w:rPr>
              <w:t>108</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634C32F5" w14:textId="77777777" w:rsidR="00EA44C7" w:rsidRDefault="00EA44C7" w:rsidP="002B6A7E">
            <w:pPr>
              <w:jc w:val="right"/>
              <w:rPr>
                <w:lang w:eastAsia="en-AU"/>
              </w:rPr>
            </w:pPr>
            <w:r>
              <w:rPr>
                <w:lang w:eastAsia="en-AU"/>
              </w:rPr>
              <w:t>95%</w:t>
            </w:r>
          </w:p>
        </w:tc>
      </w:tr>
      <w:tr w:rsidR="00EA44C7" w14:paraId="2499FBCE" w14:textId="77777777" w:rsidTr="002B6A7E">
        <w:trPr>
          <w:trHeight w:val="290"/>
        </w:trPr>
        <w:tc>
          <w:tcPr>
            <w:tcW w:w="2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FA6C36" w14:textId="77777777" w:rsidR="00EA44C7" w:rsidRDefault="00EA44C7" w:rsidP="002B6A7E">
            <w:pPr>
              <w:rPr>
                <w:b/>
                <w:bCs/>
                <w:lang w:eastAsia="en-AU"/>
              </w:rPr>
            </w:pPr>
            <w:r>
              <w:rPr>
                <w:b/>
                <w:bCs/>
                <w:lang w:eastAsia="en-AU"/>
              </w:rPr>
              <w:t>Total</w:t>
            </w:r>
          </w:p>
        </w:tc>
        <w:tc>
          <w:tcPr>
            <w:tcW w:w="15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1634F3" w14:textId="77777777" w:rsidR="00EA44C7" w:rsidRDefault="00EA44C7" w:rsidP="002B6A7E">
            <w:pPr>
              <w:jc w:val="right"/>
              <w:rPr>
                <w:b/>
                <w:bCs/>
                <w:lang w:eastAsia="en-AU"/>
              </w:rPr>
            </w:pPr>
            <w:r>
              <w:rPr>
                <w:b/>
                <w:bCs/>
                <w:lang w:eastAsia="en-AU"/>
              </w:rPr>
              <w:t>17,322</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14:paraId="71FA263E" w14:textId="77777777" w:rsidR="00EA44C7" w:rsidRDefault="00EA44C7" w:rsidP="002B6A7E">
            <w:pPr>
              <w:jc w:val="right"/>
              <w:rPr>
                <w:b/>
                <w:bCs/>
                <w:lang w:eastAsia="en-AU"/>
              </w:rPr>
            </w:pPr>
            <w:r>
              <w:rPr>
                <w:b/>
                <w:bCs/>
                <w:lang w:eastAsia="en-AU"/>
              </w:rPr>
              <w:t>50</w:t>
            </w:r>
            <w:r>
              <w:rPr>
                <w:lang w:eastAsia="en-AU"/>
              </w:rPr>
              <w:t>%</w:t>
            </w:r>
          </w:p>
        </w:tc>
      </w:tr>
    </w:tbl>
    <w:p w14:paraId="425DDB3D" w14:textId="77777777" w:rsidR="00EA44C7" w:rsidRPr="00C91606" w:rsidRDefault="00EA44C7" w:rsidP="00EA44C7">
      <w:pPr>
        <w:spacing w:after="0"/>
        <w:rPr>
          <w:rFonts w:ascii="Calibri" w:hAnsi="Calibri" w:cs="Calibri"/>
          <w:sz w:val="16"/>
          <w:szCs w:val="16"/>
        </w:rPr>
      </w:pPr>
      <w:r w:rsidRPr="00C91606">
        <w:rPr>
          <w:sz w:val="16"/>
          <w:szCs w:val="16"/>
        </w:rPr>
        <w:t>*Participants who have moved out of a CDC program region</w:t>
      </w:r>
      <w:r>
        <w:rPr>
          <w:sz w:val="16"/>
          <w:szCs w:val="16"/>
        </w:rPr>
        <w:t xml:space="preserve"> but remain on the program</w:t>
      </w:r>
    </w:p>
    <w:p w14:paraId="25B07EFD" w14:textId="3339DC97" w:rsidR="00EA44C7" w:rsidRPr="00C91606" w:rsidRDefault="00EA44C7" w:rsidP="00EA44C7">
      <w:pPr>
        <w:spacing w:after="0"/>
        <w:rPr>
          <w:sz w:val="16"/>
          <w:szCs w:val="16"/>
        </w:rPr>
      </w:pPr>
      <w:r w:rsidRPr="00C91606">
        <w:rPr>
          <w:sz w:val="16"/>
          <w:szCs w:val="16"/>
        </w:rPr>
        <w:t>In line with data confidentialisation requirements, numbers less than 5 have been suppressed and some other figures are not</w:t>
      </w:r>
      <w:r w:rsidR="006A7177">
        <w:rPr>
          <w:sz w:val="16"/>
          <w:szCs w:val="16"/>
        </w:rPr>
        <w:t xml:space="preserve"> provided (n.p.)</w:t>
      </w:r>
    </w:p>
    <w:p w14:paraId="7F0482DA" w14:textId="77777777" w:rsidR="00C42D6C" w:rsidRPr="00EA44C7" w:rsidRDefault="00EA44C7" w:rsidP="00EA44C7">
      <w:pPr>
        <w:spacing w:after="0"/>
        <w:rPr>
          <w:sz w:val="16"/>
          <w:szCs w:val="16"/>
        </w:rPr>
      </w:pPr>
      <w:r w:rsidRPr="00C91606">
        <w:rPr>
          <w:sz w:val="16"/>
          <w:szCs w:val="16"/>
        </w:rPr>
        <w:t xml:space="preserve">These point-in-time data show active CDC participants, as at </w:t>
      </w:r>
      <w:r w:rsidR="00EB5C63">
        <w:rPr>
          <w:sz w:val="16"/>
          <w:szCs w:val="16"/>
        </w:rPr>
        <w:t>27 May</w:t>
      </w:r>
      <w:r w:rsidRPr="00C91606">
        <w:rPr>
          <w:sz w:val="16"/>
          <w:szCs w:val="16"/>
        </w:rPr>
        <w:t xml:space="preserve"> 2022, based on their current location.</w:t>
      </w:r>
    </w:p>
    <w:p w14:paraId="6B1CE851" w14:textId="77777777" w:rsidR="00EA44C7" w:rsidRDefault="00EA44C7" w:rsidP="00F56BE9"/>
    <w:p w14:paraId="4F0966D5" w14:textId="77777777" w:rsidR="00D369DE" w:rsidRPr="00F12AD9" w:rsidRDefault="003421C2" w:rsidP="00F56BE9">
      <w:pPr>
        <w:rPr>
          <w:color w:val="auto"/>
        </w:rPr>
      </w:pPr>
      <w:r>
        <w:t>Both t</w:t>
      </w:r>
      <w:r w:rsidR="00F56BE9">
        <w:t xml:space="preserve">he CDC </w:t>
      </w:r>
      <w:r>
        <w:t xml:space="preserve">and IM </w:t>
      </w:r>
      <w:r w:rsidR="00F56BE9">
        <w:t>program</w:t>
      </w:r>
      <w:r>
        <w:t>s</w:t>
      </w:r>
      <w:r w:rsidR="00F56BE9">
        <w:t xml:space="preserve"> affects a high proportion of First Nations people and has attracted criticism</w:t>
      </w:r>
      <w:r w:rsidR="00D369DE">
        <w:t xml:space="preserve"> </w:t>
      </w:r>
      <w:r w:rsidR="00F56BE9">
        <w:t>that these programs</w:t>
      </w:r>
      <w:r w:rsidR="00D369DE">
        <w:t xml:space="preserve"> </w:t>
      </w:r>
      <w:r w:rsidR="00F56BE9">
        <w:t xml:space="preserve">could be </w:t>
      </w:r>
      <w:r w:rsidR="00F56BE9" w:rsidRPr="00F12AD9">
        <w:rPr>
          <w:color w:val="auto"/>
        </w:rPr>
        <w:t xml:space="preserve">in breach of the </w:t>
      </w:r>
      <w:r w:rsidR="00F56BE9" w:rsidRPr="00E90A1C">
        <w:rPr>
          <w:i/>
          <w:color w:val="auto"/>
        </w:rPr>
        <w:t>Racial Discrimination Act 1975</w:t>
      </w:r>
      <w:r w:rsidR="00F56BE9" w:rsidRPr="00F12AD9">
        <w:rPr>
          <w:color w:val="auto"/>
        </w:rPr>
        <w:t xml:space="preserve">. </w:t>
      </w:r>
      <w:r w:rsidR="00D369DE" w:rsidRPr="00D369DE">
        <w:rPr>
          <w:color w:val="auto"/>
        </w:rPr>
        <w:t xml:space="preserve">Some First Nations People </w:t>
      </w:r>
      <w:r w:rsidR="000D770C">
        <w:rPr>
          <w:color w:val="auto"/>
        </w:rPr>
        <w:t xml:space="preserve">have questioned whether the CDC is </w:t>
      </w:r>
      <w:r w:rsidR="00D369DE" w:rsidRPr="00D369DE">
        <w:rPr>
          <w:color w:val="auto"/>
        </w:rPr>
        <w:t>consistent with the right of self-determination</w:t>
      </w:r>
      <w:r w:rsidR="00C151BF">
        <w:rPr>
          <w:color w:val="auto"/>
        </w:rPr>
        <w:t>.</w:t>
      </w:r>
    </w:p>
    <w:p w14:paraId="36BAD983" w14:textId="77777777" w:rsidR="00F56BE9" w:rsidRPr="00F12AD9" w:rsidRDefault="00F56BE9" w:rsidP="00F56BE9">
      <w:pPr>
        <w:rPr>
          <w:color w:val="auto"/>
        </w:rPr>
      </w:pPr>
      <w:r w:rsidRPr="00F12AD9">
        <w:rPr>
          <w:color w:val="auto"/>
        </w:rPr>
        <w:t>Under the new arrangements, First Nations people may benefit through:</w:t>
      </w:r>
    </w:p>
    <w:p w14:paraId="39375227" w14:textId="60CD456D" w:rsidR="00AE5AC0" w:rsidRDefault="00AE5AC0" w:rsidP="000A025F">
      <w:pPr>
        <w:pStyle w:val="BulletedListlvl1"/>
        <w:numPr>
          <w:ilvl w:val="0"/>
          <w:numId w:val="37"/>
        </w:numPr>
        <w:ind w:left="643"/>
        <w:rPr>
          <w:color w:val="auto"/>
        </w:rPr>
      </w:pPr>
      <w:r w:rsidRPr="00197983">
        <w:rPr>
          <w:b/>
          <w:bCs/>
        </w:rPr>
        <w:t>Increased choice in their financial affairs</w:t>
      </w:r>
      <w:r w:rsidRPr="00F12AD9">
        <w:t xml:space="preserve">: First Nations participants will be able to opt into voluntary IM which can provide the benefit of increased financial stability through budgeting and financial management support. </w:t>
      </w:r>
      <w:r w:rsidRPr="00197983">
        <w:rPr>
          <w:color w:val="auto"/>
        </w:rPr>
        <w:t>Ministerial consultations recently conducted face-to-face in communities</w:t>
      </w:r>
      <w:r>
        <w:rPr>
          <w:color w:val="auto"/>
        </w:rPr>
        <w:t xml:space="preserve"> indicated a desire for more </w:t>
      </w:r>
      <w:r w:rsidRPr="00197983">
        <w:rPr>
          <w:color w:val="auto"/>
        </w:rPr>
        <w:t>financial litera</w:t>
      </w:r>
      <w:r>
        <w:rPr>
          <w:color w:val="auto"/>
        </w:rPr>
        <w:t>cy</w:t>
      </w:r>
      <w:r w:rsidRPr="00197983">
        <w:rPr>
          <w:color w:val="auto"/>
        </w:rPr>
        <w:t xml:space="preserve"> and digital supports for different First Nations cohorts in the communities</w:t>
      </w:r>
      <w:r>
        <w:rPr>
          <w:color w:val="auto"/>
        </w:rPr>
        <w:t>. These services will be co-designed with community leaders.</w:t>
      </w:r>
    </w:p>
    <w:p w14:paraId="1A577AA9" w14:textId="0BAD33F4" w:rsidR="00AE5AC0" w:rsidRPr="00197983" w:rsidRDefault="00AE5AC0" w:rsidP="000A025F">
      <w:pPr>
        <w:pStyle w:val="BulletedListlvl1"/>
        <w:numPr>
          <w:ilvl w:val="0"/>
          <w:numId w:val="37"/>
        </w:numPr>
        <w:ind w:left="643"/>
        <w:rPr>
          <w:color w:val="auto"/>
        </w:rPr>
      </w:pPr>
      <w:r w:rsidRPr="00197983">
        <w:rPr>
          <w:b/>
          <w:bCs/>
          <w:color w:val="auto"/>
        </w:rPr>
        <w:t>Stronger supports</w:t>
      </w:r>
      <w:r w:rsidR="005F6ADE">
        <w:rPr>
          <w:b/>
          <w:bCs/>
          <w:color w:val="auto"/>
        </w:rPr>
        <w:t xml:space="preserve"> services</w:t>
      </w:r>
      <w:r w:rsidRPr="00197983">
        <w:rPr>
          <w:color w:val="auto"/>
        </w:rPr>
        <w:t>: these will be co-designed with communities including the most effect</w:t>
      </w:r>
      <w:r w:rsidR="006A7177">
        <w:rPr>
          <w:color w:val="auto"/>
        </w:rPr>
        <w:t>ive way these can be delivered.</w:t>
      </w:r>
    </w:p>
    <w:p w14:paraId="29096CBA" w14:textId="77777777" w:rsidR="00AE5AC0" w:rsidRPr="00F12AD9" w:rsidRDefault="00AE5AC0" w:rsidP="000A025F">
      <w:pPr>
        <w:pStyle w:val="ListParagraph"/>
        <w:numPr>
          <w:ilvl w:val="0"/>
          <w:numId w:val="37"/>
        </w:numPr>
        <w:ind w:left="643"/>
        <w:rPr>
          <w:color w:val="auto"/>
        </w:rPr>
      </w:pPr>
      <w:r w:rsidRPr="00F12AD9">
        <w:rPr>
          <w:b/>
          <w:bCs/>
          <w:color w:val="auto"/>
        </w:rPr>
        <w:t>Removes stigma</w:t>
      </w:r>
      <w:r w:rsidRPr="00F12AD9">
        <w:rPr>
          <w:color w:val="auto"/>
        </w:rPr>
        <w:t xml:space="preserve">: </w:t>
      </w:r>
      <w:r>
        <w:rPr>
          <w:color w:val="auto"/>
        </w:rPr>
        <w:t xml:space="preserve">The majority of CDC and IM participants are </w:t>
      </w:r>
      <w:r w:rsidRPr="00F12AD9">
        <w:rPr>
          <w:color w:val="auto"/>
        </w:rPr>
        <w:t xml:space="preserve">First Nations </w:t>
      </w:r>
      <w:r>
        <w:rPr>
          <w:color w:val="auto"/>
        </w:rPr>
        <w:t>people. Updates to technology on the BasicsCard and allowing people to transition off the program will remove the need to identify themselves as a participant on these programs prior to purchasing goods.</w:t>
      </w:r>
    </w:p>
    <w:p w14:paraId="699CF269" w14:textId="77777777" w:rsidR="00AE5AC0" w:rsidRPr="00AE5AC0" w:rsidRDefault="00AE5AC0" w:rsidP="000A025F">
      <w:pPr>
        <w:pStyle w:val="BulletedListlvl1"/>
        <w:numPr>
          <w:ilvl w:val="0"/>
          <w:numId w:val="37"/>
        </w:numPr>
        <w:ind w:left="643"/>
        <w:rPr>
          <w:color w:val="auto"/>
        </w:rPr>
      </w:pPr>
      <w:r w:rsidRPr="00F12AD9">
        <w:rPr>
          <w:b/>
          <w:bCs/>
          <w:color w:val="auto"/>
        </w:rPr>
        <w:t>Protection from humbugging, family and domestic violence</w:t>
      </w:r>
      <w:r w:rsidRPr="00F12AD9">
        <w:rPr>
          <w:color w:val="auto"/>
        </w:rPr>
        <w:t xml:space="preserve">. First Nations people will </w:t>
      </w:r>
      <w:r>
        <w:rPr>
          <w:color w:val="auto"/>
        </w:rPr>
        <w:t xml:space="preserve">still </w:t>
      </w:r>
      <w:r w:rsidRPr="00F12AD9">
        <w:rPr>
          <w:color w:val="auto"/>
        </w:rPr>
        <w:t xml:space="preserve">be able to maintain quarantining of payments </w:t>
      </w:r>
      <w:r>
        <w:rPr>
          <w:color w:val="auto"/>
        </w:rPr>
        <w:t>through voluntary I</w:t>
      </w:r>
      <w:r w:rsidR="00051F7B">
        <w:rPr>
          <w:color w:val="auto"/>
        </w:rPr>
        <w:t>M</w:t>
      </w:r>
      <w:r>
        <w:rPr>
          <w:color w:val="auto"/>
        </w:rPr>
        <w:t xml:space="preserve">, </w:t>
      </w:r>
      <w:r w:rsidRPr="00F12AD9">
        <w:rPr>
          <w:color w:val="auto"/>
        </w:rPr>
        <w:t>which can reduce the cash that would leave them vuln</w:t>
      </w:r>
      <w:r w:rsidR="00767AD3">
        <w:rPr>
          <w:color w:val="auto"/>
        </w:rPr>
        <w:t>erable to these forms of abuse.</w:t>
      </w:r>
    </w:p>
    <w:p w14:paraId="450C93FD" w14:textId="77777777" w:rsidR="00AE5AC0" w:rsidRPr="00F12AD9" w:rsidRDefault="00AE5AC0" w:rsidP="000A025F">
      <w:pPr>
        <w:pStyle w:val="ListParagraph"/>
        <w:numPr>
          <w:ilvl w:val="0"/>
          <w:numId w:val="37"/>
        </w:numPr>
        <w:ind w:left="643"/>
        <w:rPr>
          <w:color w:val="auto"/>
        </w:rPr>
      </w:pPr>
      <w:r w:rsidRPr="00AE5AC0">
        <w:rPr>
          <w:b/>
          <w:color w:val="auto"/>
        </w:rPr>
        <w:t xml:space="preserve">Additional support services to </w:t>
      </w:r>
      <w:r w:rsidR="009A5DA4">
        <w:rPr>
          <w:b/>
          <w:color w:val="auto"/>
        </w:rPr>
        <w:t>meet service gaps and future priorities.</w:t>
      </w:r>
      <w:r w:rsidR="00FD2793">
        <w:rPr>
          <w:color w:val="auto"/>
        </w:rPr>
        <w:t xml:space="preserve"> </w:t>
      </w:r>
      <w:r>
        <w:rPr>
          <w:color w:val="auto"/>
        </w:rPr>
        <w:t>New s</w:t>
      </w:r>
      <w:r w:rsidRPr="00F12AD9">
        <w:rPr>
          <w:color w:val="auto"/>
        </w:rPr>
        <w:t>upport services that are designed in authentic partnership with First Nations people will deliver better outcomes for these</w:t>
      </w:r>
      <w:r w:rsidR="009A5DA4">
        <w:rPr>
          <w:color w:val="auto"/>
        </w:rPr>
        <w:t xml:space="preserve"> communities, including addressing social harms and providing pathways to economic independence.</w:t>
      </w:r>
    </w:p>
    <w:p w14:paraId="0E9635B1" w14:textId="77777777" w:rsidR="00F56BE9" w:rsidRPr="00F12AD9" w:rsidRDefault="00F56BE9" w:rsidP="00F56BE9">
      <w:pPr>
        <w:rPr>
          <w:b/>
        </w:rPr>
      </w:pPr>
      <w:r w:rsidRPr="00F12AD9">
        <w:rPr>
          <w:b/>
        </w:rPr>
        <w:t>Costs</w:t>
      </w:r>
    </w:p>
    <w:p w14:paraId="3396868B" w14:textId="77777777" w:rsidR="008F74AA" w:rsidRPr="009B0410" w:rsidRDefault="00F515E9" w:rsidP="000A025F">
      <w:pPr>
        <w:pStyle w:val="BulletedListlvl1"/>
        <w:numPr>
          <w:ilvl w:val="0"/>
          <w:numId w:val="38"/>
        </w:numPr>
        <w:rPr>
          <w:color w:val="auto"/>
        </w:rPr>
      </w:pPr>
      <w:r w:rsidRPr="00F515E9">
        <w:rPr>
          <w:b/>
          <w:color w:val="auto"/>
        </w:rPr>
        <w:t>Economic coercion:</w:t>
      </w:r>
      <w:r>
        <w:rPr>
          <w:color w:val="auto"/>
        </w:rPr>
        <w:t xml:space="preserve"> People may be pressure</w:t>
      </w:r>
      <w:r w:rsidR="00231A2C">
        <w:rPr>
          <w:color w:val="auto"/>
        </w:rPr>
        <w:t>d</w:t>
      </w:r>
      <w:r>
        <w:rPr>
          <w:color w:val="auto"/>
        </w:rPr>
        <w:t xml:space="preserve"> to cease a voluntary arrangement</w:t>
      </w:r>
      <w:r w:rsidR="00F56BE9" w:rsidRPr="00F12AD9">
        <w:rPr>
          <w:color w:val="auto"/>
        </w:rPr>
        <w:t>.</w:t>
      </w:r>
    </w:p>
    <w:p w14:paraId="30B441A9" w14:textId="77777777" w:rsidR="007920A6" w:rsidRPr="005C7470" w:rsidRDefault="00FB6FA4" w:rsidP="006318BC">
      <w:pPr>
        <w:pStyle w:val="Heading4"/>
      </w:pPr>
      <w:bookmarkStart w:id="141" w:name="_Toc108008509"/>
      <w:r>
        <w:t xml:space="preserve">4.2.2.2 </w:t>
      </w:r>
      <w:r w:rsidR="007920A6" w:rsidRPr="005C7470">
        <w:t>Merchants</w:t>
      </w:r>
      <w:bookmarkEnd w:id="141"/>
    </w:p>
    <w:p w14:paraId="0E47CEF5" w14:textId="71BECE94" w:rsidR="002A72A1" w:rsidRPr="009B0410" w:rsidRDefault="002A72A1" w:rsidP="002A72A1">
      <w:pPr>
        <w:spacing w:before="120" w:after="180" w:line="276" w:lineRule="auto"/>
        <w:rPr>
          <w:rFonts w:ascii="Calibri" w:eastAsia="Calibri" w:hAnsi="Calibri" w:cs="Times New Roman"/>
          <w:color w:val="262626"/>
        </w:rPr>
      </w:pPr>
      <w:r w:rsidRPr="009B0410">
        <w:rPr>
          <w:rFonts w:ascii="Calibri" w:eastAsia="Calibri" w:hAnsi="Calibri" w:cs="Times New Roman"/>
          <w:color w:val="262626"/>
        </w:rPr>
        <w:t xml:space="preserve">The impact of Option 2 on merchants will differ depending on the nature of their business, their engagement with the current CDC and IM programs, and whether they will be classified as </w:t>
      </w:r>
      <w:r w:rsidRPr="00FD4AE4">
        <w:rPr>
          <w:rFonts w:ascii="Calibri" w:eastAsia="Calibri" w:hAnsi="Calibri" w:cs="Times New Roman"/>
          <w:color w:val="262626"/>
        </w:rPr>
        <w:t>a ‘mixed merchant’</w:t>
      </w:r>
      <w:r w:rsidR="00747009">
        <w:rPr>
          <w:rFonts w:ascii="Calibri" w:eastAsia="Calibri" w:hAnsi="Calibri" w:cs="Times New Roman"/>
          <w:color w:val="262626"/>
        </w:rPr>
        <w:t>.</w:t>
      </w:r>
    </w:p>
    <w:p w14:paraId="73DB4951" w14:textId="77777777" w:rsidR="002A72A1" w:rsidRPr="009B0410" w:rsidRDefault="002A72A1" w:rsidP="002A72A1">
      <w:pPr>
        <w:spacing w:before="120" w:after="180" w:line="276" w:lineRule="auto"/>
      </w:pPr>
      <w:r w:rsidRPr="009B0410">
        <w:rPr>
          <w:rFonts w:ascii="Calibri" w:eastAsia="Calibri" w:hAnsi="Calibri" w:cs="Times New Roman"/>
          <w:color w:val="262626"/>
        </w:rPr>
        <w:t>Under the current CDC program, the CDC</w:t>
      </w:r>
      <w:r w:rsidR="00045000">
        <w:rPr>
          <w:rFonts w:ascii="Calibri" w:eastAsia="Calibri" w:hAnsi="Calibri" w:cs="Times New Roman"/>
          <w:color w:val="262626"/>
        </w:rPr>
        <w:t xml:space="preserve"> </w:t>
      </w:r>
      <w:r w:rsidR="0073517B">
        <w:rPr>
          <w:rFonts w:ascii="Calibri" w:eastAsia="Calibri" w:hAnsi="Calibri" w:cs="Times New Roman"/>
          <w:color w:val="262626"/>
        </w:rPr>
        <w:t xml:space="preserve">card </w:t>
      </w:r>
      <w:r w:rsidRPr="009B0410">
        <w:rPr>
          <w:rFonts w:ascii="Calibri" w:eastAsia="Calibri" w:hAnsi="Calibri" w:cs="Times New Roman"/>
          <w:color w:val="262626"/>
        </w:rPr>
        <w:t>automatically works at most merchants’ premises without these merchants signing up to the program. These businesses will be referred to as ‘general merchants’. There are</w:t>
      </w:r>
      <w:r w:rsidR="0053651D" w:rsidRPr="009B0410">
        <w:rPr>
          <w:rFonts w:ascii="Calibri" w:eastAsia="Calibri" w:hAnsi="Calibri" w:cs="Times New Roman"/>
          <w:color w:val="262626"/>
        </w:rPr>
        <w:t xml:space="preserve"> also </w:t>
      </w:r>
      <w:r w:rsidR="007F0F31" w:rsidRPr="009B0410">
        <w:rPr>
          <w:rFonts w:ascii="Calibri" w:eastAsia="Calibri" w:hAnsi="Calibri" w:cs="Times New Roman"/>
          <w:color w:val="262626"/>
        </w:rPr>
        <w:t>merchants</w:t>
      </w:r>
      <w:r w:rsidR="0053651D" w:rsidRPr="009B0410">
        <w:rPr>
          <w:rFonts w:ascii="Calibri" w:eastAsia="Calibri" w:hAnsi="Calibri" w:cs="Times New Roman"/>
          <w:color w:val="262626"/>
        </w:rPr>
        <w:t xml:space="preserve"> that sell both restricted items and unrestricted items. These are called </w:t>
      </w:r>
      <w:r w:rsidR="00FD69C4">
        <w:rPr>
          <w:rFonts w:ascii="Calibri" w:eastAsia="Calibri" w:hAnsi="Calibri" w:cs="Times New Roman"/>
          <w:color w:val="262626"/>
        </w:rPr>
        <w:t>‘</w:t>
      </w:r>
      <w:r w:rsidR="0053651D" w:rsidRPr="009B0410">
        <w:rPr>
          <w:rFonts w:ascii="Calibri" w:eastAsia="Calibri" w:hAnsi="Calibri" w:cs="Times New Roman"/>
          <w:color w:val="262626"/>
        </w:rPr>
        <w:t xml:space="preserve">mixed </w:t>
      </w:r>
      <w:r w:rsidR="00FD69C4">
        <w:rPr>
          <w:rFonts w:ascii="Calibri" w:eastAsia="Calibri" w:hAnsi="Calibri" w:cs="Times New Roman"/>
          <w:color w:val="262626"/>
        </w:rPr>
        <w:t xml:space="preserve">CDC </w:t>
      </w:r>
      <w:r w:rsidR="0053651D" w:rsidRPr="009B0410">
        <w:rPr>
          <w:rFonts w:ascii="Calibri" w:eastAsia="Calibri" w:hAnsi="Calibri" w:cs="Times New Roman"/>
          <w:color w:val="262626"/>
        </w:rPr>
        <w:t>merchants</w:t>
      </w:r>
      <w:r w:rsidR="00FD69C4">
        <w:rPr>
          <w:rFonts w:ascii="Calibri" w:eastAsia="Calibri" w:hAnsi="Calibri" w:cs="Times New Roman"/>
          <w:color w:val="262626"/>
        </w:rPr>
        <w:t>’</w:t>
      </w:r>
      <w:r w:rsidR="0053651D" w:rsidRPr="009B0410">
        <w:rPr>
          <w:rFonts w:ascii="Calibri" w:eastAsia="Calibri" w:hAnsi="Calibri" w:cs="Times New Roman"/>
          <w:color w:val="262626"/>
        </w:rPr>
        <w:t xml:space="preserve"> and there are approximately</w:t>
      </w:r>
      <w:r w:rsidRPr="009B0410">
        <w:rPr>
          <w:rFonts w:ascii="Calibri" w:eastAsia="Calibri" w:hAnsi="Calibri" w:cs="Times New Roman"/>
          <w:color w:val="262626"/>
        </w:rPr>
        <w:t xml:space="preserve"> </w:t>
      </w:r>
      <w:r w:rsidR="00F515E9">
        <w:rPr>
          <w:rFonts w:ascii="Calibri" w:eastAsia="Calibri" w:hAnsi="Calibri" w:cs="Times New Roman"/>
          <w:color w:val="262626"/>
        </w:rPr>
        <w:t>400</w:t>
      </w:r>
      <w:r w:rsidRPr="009B0410">
        <w:rPr>
          <w:rFonts w:ascii="Calibri" w:eastAsia="Calibri" w:hAnsi="Calibri" w:cs="Times New Roman"/>
          <w:color w:val="262626"/>
        </w:rPr>
        <w:t xml:space="preserve"> </w:t>
      </w:r>
      <w:r w:rsidR="0053651D" w:rsidRPr="009B0410">
        <w:rPr>
          <w:rFonts w:ascii="Calibri" w:eastAsia="Calibri" w:hAnsi="Calibri" w:cs="Times New Roman"/>
          <w:color w:val="262626"/>
        </w:rPr>
        <w:t xml:space="preserve">of these in the current CDC sites. These merchants can either </w:t>
      </w:r>
      <w:r w:rsidR="00F12AD9" w:rsidRPr="009B0410">
        <w:rPr>
          <w:rFonts w:ascii="Calibri" w:eastAsia="Calibri" w:hAnsi="Calibri" w:cs="Times New Roman"/>
          <w:color w:val="262626"/>
        </w:rPr>
        <w:t>c</w:t>
      </w:r>
      <w:r w:rsidRPr="009B0410">
        <w:rPr>
          <w:rFonts w:ascii="Calibri" w:eastAsia="Calibri" w:hAnsi="Calibri" w:cs="Times New Roman"/>
          <w:color w:val="262626"/>
        </w:rPr>
        <w:t xml:space="preserve">omplete a </w:t>
      </w:r>
      <w:r w:rsidR="006D4E82" w:rsidRPr="009B0410">
        <w:rPr>
          <w:rFonts w:ascii="Calibri" w:eastAsia="Calibri" w:hAnsi="Calibri" w:cs="Times New Roman"/>
          <w:color w:val="262626"/>
        </w:rPr>
        <w:t>participation</w:t>
      </w:r>
      <w:r w:rsidR="007F0F31" w:rsidRPr="009B0410">
        <w:rPr>
          <w:rFonts w:ascii="Calibri" w:eastAsia="Calibri" w:hAnsi="Calibri" w:cs="Times New Roman"/>
          <w:color w:val="262626"/>
        </w:rPr>
        <w:t xml:space="preserve"> agreement </w:t>
      </w:r>
      <w:r w:rsidRPr="009B0410">
        <w:rPr>
          <w:rFonts w:ascii="Calibri" w:eastAsia="Calibri" w:hAnsi="Calibri" w:cs="Times New Roman"/>
          <w:color w:val="262626"/>
        </w:rPr>
        <w:t xml:space="preserve">and install </w:t>
      </w:r>
      <w:r w:rsidR="0053651D" w:rsidRPr="009B0410">
        <w:rPr>
          <w:rFonts w:ascii="Calibri" w:eastAsia="Calibri" w:hAnsi="Calibri" w:cs="Times New Roman"/>
          <w:color w:val="262626"/>
        </w:rPr>
        <w:t xml:space="preserve">product level blocking </w:t>
      </w:r>
      <w:r w:rsidRPr="009B0410">
        <w:rPr>
          <w:rFonts w:ascii="Calibri" w:eastAsia="Calibri" w:hAnsi="Calibri" w:cs="Times New Roman"/>
          <w:color w:val="262626"/>
        </w:rPr>
        <w:t>technology</w:t>
      </w:r>
      <w:r w:rsidR="0053651D" w:rsidRPr="009B0410">
        <w:rPr>
          <w:rFonts w:ascii="Calibri" w:eastAsia="Calibri" w:hAnsi="Calibri" w:cs="Times New Roman"/>
          <w:color w:val="262626"/>
        </w:rPr>
        <w:t xml:space="preserve"> or enter into a mixed merchant agreement </w:t>
      </w:r>
      <w:r w:rsidR="007F0F31" w:rsidRPr="009B0410">
        <w:rPr>
          <w:rFonts w:ascii="Calibri" w:eastAsia="Calibri" w:hAnsi="Calibri" w:cs="Times New Roman"/>
          <w:color w:val="262626"/>
        </w:rPr>
        <w:t xml:space="preserve">where they agree not to sell restricted items to program participants. </w:t>
      </w:r>
      <w:r w:rsidRPr="009B0410">
        <w:rPr>
          <w:rFonts w:ascii="Calibri" w:eastAsia="Calibri" w:hAnsi="Calibri" w:cs="Times New Roman"/>
          <w:color w:val="262626"/>
        </w:rPr>
        <w:t xml:space="preserve">Under the </w:t>
      </w:r>
      <w:r w:rsidR="00D734AF">
        <w:rPr>
          <w:rFonts w:ascii="Calibri" w:eastAsia="Calibri" w:hAnsi="Calibri" w:cs="Times New Roman"/>
          <w:color w:val="262626"/>
        </w:rPr>
        <w:t xml:space="preserve">current </w:t>
      </w:r>
      <w:r w:rsidRPr="009B0410">
        <w:rPr>
          <w:rFonts w:ascii="Calibri" w:eastAsia="Calibri" w:hAnsi="Calibri" w:cs="Times New Roman"/>
          <w:color w:val="262626"/>
        </w:rPr>
        <w:t>IM program, the IM BasicsCard can only be used at ‘approved merchants’. Approved merchants must also complete a process and install technology in order to sell goods to CDC participants. There are 1</w:t>
      </w:r>
      <w:r w:rsidR="0053651D" w:rsidRPr="009B0410">
        <w:rPr>
          <w:rFonts w:ascii="Calibri" w:eastAsia="Calibri" w:hAnsi="Calibri" w:cs="Times New Roman"/>
          <w:color w:val="262626"/>
        </w:rPr>
        <w:t>8</w:t>
      </w:r>
      <w:r w:rsidRPr="009B0410">
        <w:rPr>
          <w:rFonts w:ascii="Calibri" w:eastAsia="Calibri" w:hAnsi="Calibri" w:cs="Times New Roman"/>
          <w:color w:val="262626"/>
        </w:rPr>
        <w:t>,000 approved</w:t>
      </w:r>
      <w:r w:rsidR="00026598">
        <w:rPr>
          <w:rFonts w:ascii="Calibri" w:eastAsia="Calibri" w:hAnsi="Calibri" w:cs="Times New Roman"/>
          <w:color w:val="262626"/>
        </w:rPr>
        <w:t xml:space="preserve"> IM</w:t>
      </w:r>
      <w:r w:rsidRPr="009B0410">
        <w:rPr>
          <w:rFonts w:ascii="Calibri" w:eastAsia="Calibri" w:hAnsi="Calibri" w:cs="Times New Roman"/>
          <w:color w:val="262626"/>
        </w:rPr>
        <w:t xml:space="preserve"> merchants nationally.</w:t>
      </w:r>
    </w:p>
    <w:p w14:paraId="3E98B118" w14:textId="6FE9D39E" w:rsidR="002A72A1" w:rsidRDefault="00176CD1" w:rsidP="002A72A1">
      <w:pPr>
        <w:spacing w:before="120" w:after="180" w:line="276" w:lineRule="auto"/>
        <w:rPr>
          <w:rFonts w:ascii="Calibri" w:eastAsia="Calibri" w:hAnsi="Calibri" w:cs="Times New Roman"/>
          <w:color w:val="262626"/>
        </w:rPr>
      </w:pPr>
      <w:r>
        <w:rPr>
          <w:rFonts w:ascii="Calibri" w:eastAsia="Calibri" w:hAnsi="Calibri" w:cs="Times New Roman"/>
          <w:color w:val="262626"/>
        </w:rPr>
        <w:t>Under Option 2, most</w:t>
      </w:r>
      <w:r w:rsidR="002A72A1" w:rsidRPr="00FD4AE4">
        <w:rPr>
          <w:rFonts w:ascii="Calibri" w:eastAsia="Calibri" w:hAnsi="Calibri" w:cs="Times New Roman"/>
          <w:color w:val="262626"/>
        </w:rPr>
        <w:t xml:space="preserve"> merchants </w:t>
      </w:r>
      <w:r w:rsidR="006312AA" w:rsidRPr="00FD4AE4">
        <w:rPr>
          <w:rFonts w:ascii="Calibri" w:eastAsia="Calibri" w:hAnsi="Calibri" w:cs="Times New Roman"/>
          <w:color w:val="262626"/>
        </w:rPr>
        <w:t xml:space="preserve">will </w:t>
      </w:r>
      <w:r w:rsidR="002A72A1" w:rsidRPr="00FD4AE4">
        <w:rPr>
          <w:rFonts w:ascii="Calibri" w:eastAsia="Calibri" w:hAnsi="Calibri" w:cs="Times New Roman"/>
          <w:color w:val="262626"/>
        </w:rPr>
        <w:t>leave the CDC and IM programs.</w:t>
      </w:r>
      <w:r w:rsidR="005E6424">
        <w:rPr>
          <w:rFonts w:ascii="Calibri" w:eastAsia="Calibri" w:hAnsi="Calibri" w:cs="Times New Roman"/>
          <w:color w:val="262626"/>
        </w:rPr>
        <w:t xml:space="preserve"> </w:t>
      </w:r>
      <w:r w:rsidR="002A72A1" w:rsidRPr="00FD4AE4">
        <w:rPr>
          <w:rFonts w:ascii="Calibri" w:eastAsia="Calibri" w:hAnsi="Calibri" w:cs="Times New Roman"/>
          <w:color w:val="262626"/>
        </w:rPr>
        <w:t xml:space="preserve">The </w:t>
      </w:r>
      <w:r w:rsidR="005E6424">
        <w:rPr>
          <w:rFonts w:ascii="Calibri" w:eastAsia="Calibri" w:hAnsi="Calibri" w:cs="Times New Roman"/>
          <w:color w:val="262626"/>
        </w:rPr>
        <w:t>contemporary card</w:t>
      </w:r>
      <w:r w:rsidR="00586CC6" w:rsidRPr="00FD4AE4">
        <w:rPr>
          <w:rFonts w:ascii="Calibri" w:eastAsia="Calibri" w:hAnsi="Calibri" w:cs="Times New Roman"/>
          <w:color w:val="262626"/>
        </w:rPr>
        <w:t xml:space="preserve"> </w:t>
      </w:r>
      <w:r w:rsidR="002A72A1" w:rsidRPr="00FD4AE4">
        <w:rPr>
          <w:rFonts w:ascii="Calibri" w:eastAsia="Calibri" w:hAnsi="Calibri" w:cs="Times New Roman"/>
          <w:color w:val="262626"/>
        </w:rPr>
        <w:t>will operate</w:t>
      </w:r>
      <w:r w:rsidR="00D734AF" w:rsidRPr="00FD4AE4">
        <w:rPr>
          <w:rFonts w:ascii="Calibri" w:eastAsia="Calibri" w:hAnsi="Calibri" w:cs="Times New Roman"/>
          <w:color w:val="262626"/>
        </w:rPr>
        <w:t xml:space="preserve"> in a similar manner as a normal </w:t>
      </w:r>
      <w:r w:rsidR="007F0F31" w:rsidRPr="00FD4AE4">
        <w:rPr>
          <w:rFonts w:ascii="Calibri" w:eastAsia="Calibri" w:hAnsi="Calibri" w:cs="Times New Roman"/>
          <w:color w:val="262626"/>
        </w:rPr>
        <w:t>debit card. Most</w:t>
      </w:r>
      <w:r w:rsidR="002A72A1" w:rsidRPr="00FD4AE4">
        <w:rPr>
          <w:rFonts w:ascii="Calibri" w:eastAsia="Calibri" w:hAnsi="Calibri" w:cs="Times New Roman"/>
          <w:color w:val="262626"/>
        </w:rPr>
        <w:t xml:space="preserve"> merchants </w:t>
      </w:r>
      <w:r w:rsidR="007F0F31" w:rsidRPr="00FD4AE4">
        <w:rPr>
          <w:rFonts w:ascii="Calibri" w:eastAsia="Calibri" w:hAnsi="Calibri" w:cs="Times New Roman"/>
          <w:color w:val="262626"/>
        </w:rPr>
        <w:t xml:space="preserve">will be able to accept the </w:t>
      </w:r>
      <w:r w:rsidR="00747009">
        <w:rPr>
          <w:rFonts w:ascii="Calibri" w:eastAsia="Calibri" w:hAnsi="Calibri" w:cs="Times New Roman"/>
          <w:color w:val="262626"/>
        </w:rPr>
        <w:t xml:space="preserve">contemporary </w:t>
      </w:r>
      <w:r w:rsidR="007F0F31" w:rsidRPr="00FD4AE4">
        <w:rPr>
          <w:rFonts w:ascii="Calibri" w:eastAsia="Calibri" w:hAnsi="Calibri" w:cs="Times New Roman"/>
          <w:color w:val="262626"/>
        </w:rPr>
        <w:t xml:space="preserve">card </w:t>
      </w:r>
      <w:r w:rsidR="002A72A1" w:rsidRPr="00FD4AE4">
        <w:rPr>
          <w:rFonts w:ascii="Calibri" w:eastAsia="Calibri" w:hAnsi="Calibri" w:cs="Times New Roman"/>
          <w:color w:val="262626"/>
        </w:rPr>
        <w:t xml:space="preserve">without having to sign up to the </w:t>
      </w:r>
      <w:r w:rsidR="00D734AF" w:rsidRPr="00FD4AE4">
        <w:rPr>
          <w:rFonts w:ascii="Calibri" w:eastAsia="Calibri" w:hAnsi="Calibri" w:cs="Times New Roman"/>
          <w:color w:val="262626"/>
        </w:rPr>
        <w:t>IM program</w:t>
      </w:r>
      <w:r w:rsidR="002A72A1" w:rsidRPr="00FD4AE4">
        <w:rPr>
          <w:rFonts w:ascii="Calibri" w:eastAsia="Calibri" w:hAnsi="Calibri" w:cs="Times New Roman"/>
          <w:color w:val="262626"/>
        </w:rPr>
        <w:t xml:space="preserve">, meaning they will operate as ‘general merchants’. Merchants that sell restricted products will be classified as a ‘mixed merchant’ and install </w:t>
      </w:r>
      <w:r w:rsidR="007F0F31" w:rsidRPr="00FD4AE4">
        <w:rPr>
          <w:rFonts w:ascii="Calibri" w:eastAsia="Calibri" w:hAnsi="Calibri" w:cs="Times New Roman"/>
          <w:color w:val="262626"/>
        </w:rPr>
        <w:t xml:space="preserve">product level blocking </w:t>
      </w:r>
      <w:r w:rsidR="002A72A1" w:rsidRPr="00FD4AE4">
        <w:rPr>
          <w:rFonts w:ascii="Calibri" w:eastAsia="Calibri" w:hAnsi="Calibri" w:cs="Times New Roman"/>
          <w:color w:val="262626"/>
        </w:rPr>
        <w:t xml:space="preserve">technology and train staff to accept the </w:t>
      </w:r>
      <w:r w:rsidR="00747009">
        <w:rPr>
          <w:rFonts w:ascii="Calibri" w:eastAsia="Calibri" w:hAnsi="Calibri" w:cs="Times New Roman"/>
          <w:color w:val="262626"/>
        </w:rPr>
        <w:t>contemporary card</w:t>
      </w:r>
      <w:r w:rsidR="007F0F31" w:rsidRPr="00FD4AE4">
        <w:rPr>
          <w:rFonts w:ascii="Calibri" w:eastAsia="Calibri" w:hAnsi="Calibri" w:cs="Times New Roman"/>
          <w:color w:val="262626"/>
        </w:rPr>
        <w:t xml:space="preserve">. Other options for merchants could be a mixed merchant agreement or choosing not to accept the card if the costs of implementing the </w:t>
      </w:r>
      <w:r w:rsidR="00D734AF" w:rsidRPr="00FD4AE4">
        <w:rPr>
          <w:rFonts w:ascii="Calibri" w:eastAsia="Calibri" w:hAnsi="Calibri" w:cs="Times New Roman"/>
          <w:color w:val="262626"/>
        </w:rPr>
        <w:t>technology</w:t>
      </w:r>
      <w:r w:rsidR="007F0F31" w:rsidRPr="00FD4AE4">
        <w:rPr>
          <w:rFonts w:ascii="Calibri" w:eastAsia="Calibri" w:hAnsi="Calibri" w:cs="Times New Roman"/>
          <w:color w:val="262626"/>
        </w:rPr>
        <w:t xml:space="preserve"> outweigh the benefits. </w:t>
      </w:r>
      <w:r w:rsidR="002A72A1" w:rsidRPr="00FD4AE4">
        <w:rPr>
          <w:rFonts w:ascii="Calibri" w:eastAsia="Calibri" w:hAnsi="Calibri" w:cs="Times New Roman"/>
          <w:color w:val="262626"/>
        </w:rPr>
        <w:t xml:space="preserve">In limited circumstances, mixed merchants in small communities </w:t>
      </w:r>
      <w:r w:rsidR="000A17FB">
        <w:rPr>
          <w:rFonts w:ascii="Calibri" w:eastAsia="Calibri" w:hAnsi="Calibri" w:cs="Times New Roman"/>
          <w:color w:val="262626"/>
        </w:rPr>
        <w:t xml:space="preserve">will be </w:t>
      </w:r>
      <w:r w:rsidR="001303BB">
        <w:rPr>
          <w:rFonts w:ascii="Calibri" w:eastAsia="Calibri" w:hAnsi="Calibri" w:cs="Times New Roman"/>
          <w:color w:val="262626"/>
        </w:rPr>
        <w:t xml:space="preserve">compensated </w:t>
      </w:r>
      <w:r w:rsidR="000A17FB">
        <w:rPr>
          <w:rFonts w:ascii="Calibri" w:eastAsia="Calibri" w:hAnsi="Calibri" w:cs="Times New Roman"/>
          <w:color w:val="262626"/>
        </w:rPr>
        <w:t xml:space="preserve">for implementing </w:t>
      </w:r>
      <w:r w:rsidR="000A17FB" w:rsidRPr="00FD4AE4">
        <w:rPr>
          <w:rFonts w:ascii="Calibri" w:eastAsia="Calibri" w:hAnsi="Calibri" w:cs="Times New Roman"/>
          <w:color w:val="262626"/>
        </w:rPr>
        <w:t xml:space="preserve">the technology to accept </w:t>
      </w:r>
      <w:r w:rsidR="002A72A1" w:rsidRPr="00FD4AE4">
        <w:rPr>
          <w:rFonts w:ascii="Calibri" w:eastAsia="Calibri" w:hAnsi="Calibri" w:cs="Times New Roman"/>
          <w:color w:val="262626"/>
        </w:rPr>
        <w:t xml:space="preserve">the </w:t>
      </w:r>
      <w:r w:rsidR="00747009">
        <w:rPr>
          <w:rFonts w:ascii="Calibri" w:eastAsia="Calibri" w:hAnsi="Calibri" w:cs="Times New Roman"/>
          <w:color w:val="262626"/>
        </w:rPr>
        <w:t>contemporary card</w:t>
      </w:r>
      <w:r w:rsidR="002A72A1" w:rsidRPr="00FD4AE4">
        <w:rPr>
          <w:rFonts w:ascii="Calibri" w:eastAsia="Calibri" w:hAnsi="Calibri" w:cs="Times New Roman"/>
          <w:color w:val="262626"/>
        </w:rPr>
        <w:t xml:space="preserve"> </w:t>
      </w:r>
      <w:r w:rsidR="000A17FB">
        <w:rPr>
          <w:rFonts w:ascii="Calibri" w:eastAsia="Calibri" w:hAnsi="Calibri" w:cs="Times New Roman"/>
          <w:color w:val="262626"/>
        </w:rPr>
        <w:t>due to their importance to the</w:t>
      </w:r>
      <w:r w:rsidR="001303BB">
        <w:rPr>
          <w:rFonts w:ascii="Calibri" w:eastAsia="Calibri" w:hAnsi="Calibri" w:cs="Times New Roman"/>
          <w:color w:val="262626"/>
        </w:rPr>
        <w:t xml:space="preserve"> community</w:t>
      </w:r>
      <w:r w:rsidR="002A72A1" w:rsidRPr="00FD4AE4">
        <w:rPr>
          <w:rFonts w:ascii="Calibri" w:eastAsia="Calibri" w:hAnsi="Calibri" w:cs="Times New Roman"/>
          <w:color w:val="262626"/>
        </w:rPr>
        <w:t>.</w:t>
      </w:r>
      <w:r w:rsidR="00F515E9">
        <w:rPr>
          <w:rFonts w:ascii="Calibri" w:eastAsia="Calibri" w:hAnsi="Calibri" w:cs="Times New Roman"/>
          <w:color w:val="262626"/>
        </w:rPr>
        <w:t xml:space="preserve"> The number of merchants compensated will depend on where people will volunteer for the program. We do not know what the</w:t>
      </w:r>
      <w:r w:rsidR="00FD2793">
        <w:rPr>
          <w:rFonts w:ascii="Calibri" w:eastAsia="Calibri" w:hAnsi="Calibri" w:cs="Times New Roman"/>
          <w:color w:val="262626"/>
        </w:rPr>
        <w:t>se places will be at this time.</w:t>
      </w:r>
    </w:p>
    <w:p w14:paraId="02CECB8D" w14:textId="77777777" w:rsidR="00F00F81" w:rsidRPr="009B0410" w:rsidRDefault="00114472" w:rsidP="002A72A1">
      <w:pPr>
        <w:spacing w:before="120" w:after="180" w:line="276" w:lineRule="auto"/>
        <w:rPr>
          <w:rFonts w:ascii="Calibri" w:eastAsia="Calibri" w:hAnsi="Calibri" w:cs="Times New Roman"/>
          <w:color w:val="262626"/>
        </w:rPr>
      </w:pPr>
      <w:r>
        <w:rPr>
          <w:rFonts w:ascii="Calibri" w:eastAsia="Calibri" w:hAnsi="Calibri" w:cs="Times New Roman"/>
          <w:color w:val="262626"/>
        </w:rPr>
        <w:t>D</w:t>
      </w:r>
      <w:r w:rsidR="00FE6563" w:rsidRPr="00114472">
        <w:rPr>
          <w:rFonts w:ascii="Calibri" w:eastAsia="Calibri" w:hAnsi="Calibri" w:cs="Times New Roman"/>
          <w:color w:val="262626"/>
        </w:rPr>
        <w:t>etails about Merchants can be found at</w:t>
      </w:r>
      <w:r w:rsidR="00F00F81" w:rsidRPr="00114472">
        <w:rPr>
          <w:rFonts w:ascii="Calibri" w:eastAsia="Calibri" w:hAnsi="Calibri" w:cs="Times New Roman"/>
          <w:color w:val="262626"/>
        </w:rPr>
        <w:t xml:space="preserve"> </w:t>
      </w:r>
      <w:r w:rsidR="00F00F81" w:rsidRPr="008E35AA">
        <w:rPr>
          <w:rFonts w:ascii="Calibri" w:eastAsia="Calibri" w:hAnsi="Calibri" w:cs="Times New Roman"/>
          <w:b/>
          <w:color w:val="262626"/>
        </w:rPr>
        <w:t>Attachment E</w:t>
      </w:r>
      <w:r w:rsidR="00F00F81" w:rsidRPr="00114472">
        <w:rPr>
          <w:rFonts w:ascii="Calibri" w:eastAsia="Calibri" w:hAnsi="Calibri" w:cs="Times New Roman"/>
          <w:color w:val="262626"/>
        </w:rPr>
        <w:t>.</w:t>
      </w:r>
    </w:p>
    <w:p w14:paraId="52638DEE" w14:textId="66671AE6" w:rsidR="002A72A1" w:rsidRPr="009B0410" w:rsidRDefault="004C374C" w:rsidP="002A72A1">
      <w:pPr>
        <w:spacing w:before="120" w:after="180" w:line="276" w:lineRule="auto"/>
        <w:rPr>
          <w:rFonts w:ascii="Calibri" w:eastAsia="Calibri" w:hAnsi="Calibri" w:cs="Times New Roman"/>
          <w:color w:val="262626"/>
        </w:rPr>
      </w:pPr>
      <w:r w:rsidRPr="009B0410">
        <w:rPr>
          <w:rFonts w:ascii="Calibri" w:eastAsia="Calibri" w:hAnsi="Calibri" w:cs="Times New Roman"/>
          <w:b/>
          <w:color w:val="262626"/>
        </w:rPr>
        <w:fldChar w:fldCharType="begin"/>
      </w:r>
      <w:r w:rsidRPr="009B0410">
        <w:rPr>
          <w:rFonts w:ascii="Calibri" w:eastAsia="Calibri" w:hAnsi="Calibri" w:cs="Times New Roman"/>
          <w:b/>
          <w:color w:val="262626"/>
        </w:rPr>
        <w:instrText xml:space="preserve"> REF _Ref109652639 \h </w:instrText>
      </w:r>
      <w:r w:rsidR="009B0410">
        <w:rPr>
          <w:rFonts w:ascii="Calibri" w:eastAsia="Calibri" w:hAnsi="Calibri" w:cs="Times New Roman"/>
          <w:b/>
          <w:color w:val="262626"/>
        </w:rPr>
        <w:instrText xml:space="preserve"> \* MERGEFORMAT </w:instrText>
      </w:r>
      <w:r w:rsidRPr="009B0410">
        <w:rPr>
          <w:rFonts w:ascii="Calibri" w:eastAsia="Calibri" w:hAnsi="Calibri" w:cs="Times New Roman"/>
          <w:b/>
          <w:color w:val="262626"/>
        </w:rPr>
      </w:r>
      <w:r w:rsidRPr="009B0410">
        <w:rPr>
          <w:rFonts w:ascii="Calibri" w:eastAsia="Calibri" w:hAnsi="Calibri" w:cs="Times New Roman"/>
          <w:b/>
          <w:color w:val="262626"/>
        </w:rPr>
        <w:fldChar w:fldCharType="separate"/>
      </w:r>
      <w:r w:rsidR="00112351" w:rsidRPr="00114472">
        <w:t xml:space="preserve">Figure </w:t>
      </w:r>
      <w:r w:rsidR="00112351">
        <w:rPr>
          <w:noProof/>
        </w:rPr>
        <w:t>9</w:t>
      </w:r>
      <w:r w:rsidR="00112351" w:rsidRPr="00114472">
        <w:t>: Summary of merchants requirements</w:t>
      </w:r>
      <w:r w:rsidRPr="009B0410">
        <w:rPr>
          <w:rFonts w:ascii="Calibri" w:eastAsia="Calibri" w:hAnsi="Calibri" w:cs="Times New Roman"/>
          <w:b/>
          <w:color w:val="262626"/>
        </w:rPr>
        <w:fldChar w:fldCharType="end"/>
      </w:r>
      <w:r w:rsidR="002A72A1" w:rsidRPr="009B0410">
        <w:rPr>
          <w:rFonts w:ascii="Calibri" w:eastAsia="Calibri" w:hAnsi="Calibri" w:cs="Times New Roman"/>
          <w:b/>
          <w:color w:val="262626"/>
        </w:rPr>
        <w:t xml:space="preserve"> </w:t>
      </w:r>
      <w:r w:rsidR="002A72A1" w:rsidRPr="009B0410">
        <w:rPr>
          <w:rFonts w:ascii="Calibri" w:eastAsia="Calibri" w:hAnsi="Calibri" w:cs="Times New Roman"/>
          <w:color w:val="262626"/>
        </w:rPr>
        <w:t xml:space="preserve">below demonstrates the types of merchants under the former and </w:t>
      </w:r>
      <w:r w:rsidR="00747009">
        <w:rPr>
          <w:rFonts w:ascii="Calibri" w:eastAsia="Calibri" w:hAnsi="Calibri" w:cs="Times New Roman"/>
          <w:color w:val="262626"/>
        </w:rPr>
        <w:t xml:space="preserve">contemporary card </w:t>
      </w:r>
      <w:r w:rsidR="006A7177">
        <w:rPr>
          <w:rFonts w:ascii="Calibri" w:eastAsia="Calibri" w:hAnsi="Calibri" w:cs="Times New Roman"/>
          <w:color w:val="262626"/>
        </w:rPr>
        <w:t>systems.</w:t>
      </w:r>
    </w:p>
    <w:p w14:paraId="5048B5A9" w14:textId="77777777" w:rsidR="004C374C" w:rsidRPr="00114472" w:rsidRDefault="004C374C" w:rsidP="004C374C">
      <w:pPr>
        <w:pStyle w:val="Caption"/>
        <w:rPr>
          <w:rFonts w:ascii="Calibri" w:eastAsia="Calibri" w:hAnsi="Calibri" w:cs="Times New Roman"/>
          <w:color w:val="262626"/>
        </w:rPr>
      </w:pPr>
      <w:bookmarkStart w:id="142" w:name="_Ref109652639"/>
      <w:bookmarkStart w:id="143" w:name="_Toc118103824"/>
      <w:r w:rsidRPr="00114472">
        <w:t xml:space="preserve">Figure </w:t>
      </w:r>
      <w:fldSimple w:instr=" SEQ Figure \* ARABIC ">
        <w:r w:rsidR="00015B47">
          <w:rPr>
            <w:noProof/>
          </w:rPr>
          <w:t>9</w:t>
        </w:r>
      </w:fldSimple>
      <w:r w:rsidRPr="00114472">
        <w:t>: Summary of merchants requirements</w:t>
      </w:r>
      <w:bookmarkEnd w:id="142"/>
      <w:bookmarkEnd w:id="143"/>
      <w:r w:rsidRPr="00114472">
        <w:t xml:space="preserve"> </w:t>
      </w:r>
    </w:p>
    <w:p w14:paraId="106DE8D8" w14:textId="77777777" w:rsidR="002A72A1" w:rsidRPr="00995DC8" w:rsidRDefault="0086565E" w:rsidP="0086565E">
      <w:pPr>
        <w:spacing w:before="120" w:after="180" w:line="276" w:lineRule="auto"/>
        <w:rPr>
          <w:rFonts w:ascii="Calibri" w:eastAsia="Calibri" w:hAnsi="Calibri" w:cs="Times New Roman"/>
          <w:color w:val="262626"/>
        </w:rPr>
      </w:pPr>
      <w:r>
        <w:rPr>
          <w:rFonts w:ascii="Calibri" w:eastAsia="Calibri" w:hAnsi="Calibri" w:cs="Times New Roman"/>
          <w:noProof/>
          <w:color w:val="262626"/>
          <w:lang w:eastAsia="en-AU"/>
        </w:rPr>
        <w:drawing>
          <wp:inline distT="0" distB="0" distL="0" distR="0" wp14:anchorId="6A1F7974" wp14:editId="2A80CAAA">
            <wp:extent cx="5736566" cy="3381375"/>
            <wp:effectExtent l="0" t="0" r="0" b="0"/>
            <wp:docPr id="56" name="Picture 56" descr="Figure 9: Summary of merchants requirements&#10;&#10;For an explanation of this figure please email. IMCOORD@dss.gov.au" title="Figure 9: Summary of merchants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2703" cy="3384992"/>
                    </a:xfrm>
                    <a:prstGeom prst="rect">
                      <a:avLst/>
                    </a:prstGeom>
                    <a:noFill/>
                  </pic:spPr>
                </pic:pic>
              </a:graphicData>
            </a:graphic>
          </wp:inline>
        </w:drawing>
      </w:r>
    </w:p>
    <w:p w14:paraId="4BFD1DDB" w14:textId="315F8404" w:rsidR="00C9199E" w:rsidRDefault="00FB6FA4" w:rsidP="002A72A1">
      <w:pPr>
        <w:pStyle w:val="Heading4"/>
        <w:rPr>
          <w:rFonts w:eastAsia="Calibri"/>
        </w:rPr>
      </w:pPr>
      <w:r>
        <w:rPr>
          <w:rFonts w:eastAsia="Calibri"/>
        </w:rPr>
        <w:t xml:space="preserve">4.2.2.2.1 </w:t>
      </w:r>
      <w:r w:rsidR="00C9199E">
        <w:rPr>
          <w:rFonts w:eastAsia="Calibri"/>
        </w:rPr>
        <w:t xml:space="preserve">Abolishing </w:t>
      </w:r>
      <w:r w:rsidR="00D57E29">
        <w:rPr>
          <w:rFonts w:eastAsia="Calibri"/>
        </w:rPr>
        <w:t xml:space="preserve">current </w:t>
      </w:r>
      <w:r w:rsidR="00C9199E">
        <w:rPr>
          <w:rFonts w:eastAsia="Calibri"/>
        </w:rPr>
        <w:t xml:space="preserve">CDC </w:t>
      </w:r>
      <w:r w:rsidR="00E47BE5">
        <w:rPr>
          <w:rFonts w:eastAsia="Calibri"/>
        </w:rPr>
        <w:t xml:space="preserve">and </w:t>
      </w:r>
      <w:r w:rsidR="006127F2">
        <w:rPr>
          <w:rFonts w:eastAsia="Calibri"/>
        </w:rPr>
        <w:t>IM compliance requirements</w:t>
      </w:r>
    </w:p>
    <w:p w14:paraId="486F342C" w14:textId="45CC0E05" w:rsidR="00190F8F" w:rsidRPr="001861CC" w:rsidRDefault="00D57E29" w:rsidP="00ED30C0">
      <w:r w:rsidRPr="001861CC">
        <w:t>This impacts the 400 mixed merchants and 18</w:t>
      </w:r>
      <w:r w:rsidR="00FC22E1" w:rsidRPr="001861CC">
        <w:t>,0</w:t>
      </w:r>
      <w:r w:rsidRPr="001861CC">
        <w:t xml:space="preserve">00 IM merchants. The impacts moving to the </w:t>
      </w:r>
      <w:r w:rsidR="000D04F3">
        <w:t xml:space="preserve">contemporary card </w:t>
      </w:r>
      <w:r w:rsidRPr="001861CC">
        <w:t xml:space="preserve">is considered in the next section. </w:t>
      </w:r>
      <w:r w:rsidR="00114472" w:rsidRPr="001861CC">
        <w:t xml:space="preserve">BasicsCard </w:t>
      </w:r>
      <w:r w:rsidR="00190F8F" w:rsidRPr="001861CC">
        <w:t>merchant</w:t>
      </w:r>
      <w:r w:rsidR="00114472" w:rsidRPr="001861CC">
        <w:t>s</w:t>
      </w:r>
      <w:r w:rsidR="00190F8F" w:rsidRPr="001861CC">
        <w:t xml:space="preserve"> will continue to service </w:t>
      </w:r>
      <w:r w:rsidR="008721CF" w:rsidRPr="001861CC">
        <w:t xml:space="preserve">IM </w:t>
      </w:r>
      <w:r w:rsidR="00190F8F" w:rsidRPr="001861CC">
        <w:t>participant</w:t>
      </w:r>
      <w:r w:rsidR="008721CF" w:rsidRPr="001861CC">
        <w:t>s</w:t>
      </w:r>
      <w:r w:rsidR="00114472" w:rsidRPr="001861CC">
        <w:t xml:space="preserve"> in year 1 </w:t>
      </w:r>
      <w:r w:rsidR="009F7A80" w:rsidRPr="001861CC">
        <w:t xml:space="preserve">with transitioning starting </w:t>
      </w:r>
      <w:r w:rsidR="00821124" w:rsidRPr="001861CC">
        <w:t xml:space="preserve">from </w:t>
      </w:r>
      <w:r w:rsidR="009F7A80" w:rsidRPr="001861CC">
        <w:t>year</w:t>
      </w:r>
      <w:r w:rsidR="00114472" w:rsidRPr="001861CC">
        <w:t xml:space="preserve"> </w:t>
      </w:r>
      <w:r w:rsidR="00FC22E1" w:rsidRPr="001861CC">
        <w:t>3</w:t>
      </w:r>
      <w:r w:rsidR="00114472" w:rsidRPr="001861CC">
        <w:t xml:space="preserve"> </w:t>
      </w:r>
      <w:r w:rsidR="009F7A80" w:rsidRPr="001861CC">
        <w:t xml:space="preserve">to accept the </w:t>
      </w:r>
      <w:r w:rsidR="000D04F3">
        <w:t>contemporary card</w:t>
      </w:r>
      <w:r w:rsidR="00190F8F" w:rsidRPr="001861CC">
        <w:t>. Therefore</w:t>
      </w:r>
      <w:r w:rsidR="008721CF" w:rsidRPr="001861CC">
        <w:t>,</w:t>
      </w:r>
      <w:r w:rsidR="00190F8F" w:rsidRPr="001861CC">
        <w:t xml:space="preserve"> current IM </w:t>
      </w:r>
      <w:r w:rsidR="009F7A80" w:rsidRPr="001861CC">
        <w:t xml:space="preserve">BasicsCard </w:t>
      </w:r>
      <w:r w:rsidR="00190F8F" w:rsidRPr="001861CC">
        <w:t>techn</w:t>
      </w:r>
      <w:r w:rsidR="00114472" w:rsidRPr="001861CC">
        <w:t xml:space="preserve">ology </w:t>
      </w:r>
      <w:r w:rsidR="00BD6F10" w:rsidRPr="001861CC">
        <w:t xml:space="preserve">will eventually </w:t>
      </w:r>
      <w:r w:rsidR="00114472" w:rsidRPr="001861CC">
        <w:t>become obsolete</w:t>
      </w:r>
      <w:r w:rsidR="00190F8F" w:rsidRPr="001861CC">
        <w:t>.</w:t>
      </w:r>
    </w:p>
    <w:p w14:paraId="6D315F1D" w14:textId="77777777" w:rsidR="0066222F" w:rsidRPr="00335A67" w:rsidRDefault="0066222F" w:rsidP="0066222F">
      <w:pPr>
        <w:spacing w:before="120" w:after="180" w:line="276" w:lineRule="auto"/>
        <w:rPr>
          <w:rFonts w:ascii="Calibri" w:eastAsia="Calibri" w:hAnsi="Calibri" w:cs="Times New Roman"/>
          <w:b/>
          <w:color w:val="262626"/>
        </w:rPr>
      </w:pPr>
      <w:r w:rsidRPr="00335A67">
        <w:rPr>
          <w:rFonts w:ascii="Calibri" w:eastAsia="Calibri" w:hAnsi="Calibri" w:cs="Times New Roman"/>
          <w:b/>
          <w:color w:val="262626"/>
        </w:rPr>
        <w:t>Benefits</w:t>
      </w:r>
    </w:p>
    <w:p w14:paraId="1A1AC14A" w14:textId="11DB0680" w:rsidR="0066222F" w:rsidRPr="00114472" w:rsidRDefault="0066222F" w:rsidP="0066222F">
      <w:pPr>
        <w:pStyle w:val="BulletedListlvl1"/>
      </w:pPr>
      <w:r w:rsidRPr="00114472">
        <w:rPr>
          <w:b/>
          <w:lang w:eastAsia="en-AU"/>
        </w:rPr>
        <w:t xml:space="preserve">Reduced onboarding costs: </w:t>
      </w:r>
      <w:r w:rsidRPr="00114472">
        <w:rPr>
          <w:lang w:eastAsia="en-AU"/>
        </w:rPr>
        <w:t>Under IM, if a merchant wants to join the program it typically will take each merchant on average 30 minutes to fill in the BasicsCard Merchant application form (a one-off regulatory cost). Under the enhanced IM program, these businesses no longer need to on board to IM res</w:t>
      </w:r>
      <w:r w:rsidR="006A7177">
        <w:rPr>
          <w:lang w:eastAsia="en-AU"/>
        </w:rPr>
        <w:t>ulting in a regulatory benefit.</w:t>
      </w:r>
    </w:p>
    <w:p w14:paraId="0F760123" w14:textId="77777777" w:rsidR="0066222F" w:rsidRPr="00114472" w:rsidRDefault="0066222F" w:rsidP="0066222F">
      <w:pPr>
        <w:pStyle w:val="BulletedListlvl1"/>
        <w:numPr>
          <w:ilvl w:val="1"/>
          <w:numId w:val="2"/>
        </w:numPr>
      </w:pPr>
      <w:r w:rsidRPr="00114472">
        <w:rPr>
          <w:lang w:eastAsia="en-AU"/>
        </w:rPr>
        <w:t>Reduced onboarding costs: 10 x $79.63 taking 0.5 hours, totalling -$398 per year</w:t>
      </w:r>
    </w:p>
    <w:p w14:paraId="3D16599B" w14:textId="1099F722" w:rsidR="00301A3A" w:rsidRPr="00114472" w:rsidRDefault="00BD6F10" w:rsidP="00E44B0A">
      <w:pPr>
        <w:pStyle w:val="BulletedListlvl1"/>
        <w:numPr>
          <w:ilvl w:val="1"/>
          <w:numId w:val="2"/>
        </w:numPr>
      </w:pPr>
      <w:r>
        <w:rPr>
          <w:lang w:eastAsia="en-AU"/>
        </w:rPr>
        <w:t>C</w:t>
      </w:r>
      <w:r w:rsidR="00301A3A" w:rsidRPr="00114472">
        <w:rPr>
          <w:lang w:eastAsia="en-AU"/>
        </w:rPr>
        <w:t>D</w:t>
      </w:r>
      <w:r>
        <w:rPr>
          <w:lang w:eastAsia="en-AU"/>
        </w:rPr>
        <w:t xml:space="preserve">C merchants will no longer </w:t>
      </w:r>
      <w:r w:rsidR="00DF42AE">
        <w:rPr>
          <w:lang w:eastAsia="en-AU"/>
        </w:rPr>
        <w:t>hav</w:t>
      </w:r>
      <w:r w:rsidR="006A7177">
        <w:rPr>
          <w:lang w:eastAsia="en-AU"/>
        </w:rPr>
        <w:t>e the costs of implementing PLB</w:t>
      </w:r>
    </w:p>
    <w:p w14:paraId="1D786A80" w14:textId="77777777" w:rsidR="0066222F" w:rsidRPr="00114472" w:rsidRDefault="0066222F" w:rsidP="0066222F">
      <w:pPr>
        <w:pStyle w:val="BulletedListlvl1"/>
      </w:pPr>
      <w:r w:rsidRPr="00114472">
        <w:rPr>
          <w:b/>
          <w:lang w:eastAsia="en-AU"/>
        </w:rPr>
        <w:t>Reduced ongoing compliance</w:t>
      </w:r>
      <w:r w:rsidRPr="00114472">
        <w:rPr>
          <w:lang w:eastAsia="en-AU"/>
        </w:rPr>
        <w:t xml:space="preserve"> </w:t>
      </w:r>
      <w:r w:rsidRPr="00114472">
        <w:rPr>
          <w:b/>
          <w:lang w:eastAsia="en-AU"/>
        </w:rPr>
        <w:t>costs</w:t>
      </w:r>
      <w:r w:rsidRPr="00114472">
        <w:rPr>
          <w:lang w:eastAsia="en-AU"/>
        </w:rPr>
        <w:t xml:space="preserve">: Under IM, each merchant has approximately </w:t>
      </w:r>
      <w:r w:rsidR="00314C9C">
        <w:rPr>
          <w:lang w:eastAsia="en-AU"/>
        </w:rPr>
        <w:t xml:space="preserve">1 </w:t>
      </w:r>
      <w:r w:rsidRPr="00114472">
        <w:rPr>
          <w:lang w:eastAsia="en-AU"/>
        </w:rPr>
        <w:t>hour of compliance cost per year. This includes training staff, record keeping and compliance reviews as required. They must also maintain a BasicsCard terminal to process sales. Under the enhanced IM program, these businesses no longer need to comply with the IM program.</w:t>
      </w:r>
    </w:p>
    <w:p w14:paraId="2F9A6626" w14:textId="77777777" w:rsidR="0066222F" w:rsidRPr="00114472" w:rsidRDefault="0066222F" w:rsidP="0066222F">
      <w:pPr>
        <w:pStyle w:val="BulletedListlvl1"/>
        <w:numPr>
          <w:ilvl w:val="1"/>
          <w:numId w:val="2"/>
        </w:numPr>
      </w:pPr>
      <w:r w:rsidRPr="00114472">
        <w:rPr>
          <w:lang w:eastAsia="en-AU"/>
        </w:rPr>
        <w:t>Reduced compliance costs: 18,000 x 1 instance x 2 staff x 0.5 hours x $79.63</w:t>
      </w:r>
      <w:r w:rsidR="00FD2793">
        <w:rPr>
          <w:lang w:eastAsia="en-AU"/>
        </w:rPr>
        <w:t xml:space="preserve"> </w:t>
      </w:r>
      <w:r w:rsidRPr="00114472">
        <w:rPr>
          <w:lang w:eastAsia="en-AU"/>
        </w:rPr>
        <w:t>= $1,433,000 per year</w:t>
      </w:r>
    </w:p>
    <w:p w14:paraId="514D9BBE" w14:textId="77777777" w:rsidR="00301A3A" w:rsidRPr="00114472" w:rsidRDefault="00301A3A" w:rsidP="004C00D5">
      <w:pPr>
        <w:pStyle w:val="BulletedListlvl1"/>
        <w:numPr>
          <w:ilvl w:val="1"/>
          <w:numId w:val="2"/>
        </w:numPr>
      </w:pPr>
      <w:r w:rsidRPr="00114472">
        <w:rPr>
          <w:lang w:eastAsia="en-AU"/>
        </w:rPr>
        <w:t xml:space="preserve">Under </w:t>
      </w:r>
      <w:r w:rsidR="00C82A8F">
        <w:rPr>
          <w:lang w:eastAsia="en-AU"/>
        </w:rPr>
        <w:t xml:space="preserve">the </w:t>
      </w:r>
      <w:r w:rsidRPr="00114472">
        <w:rPr>
          <w:lang w:eastAsia="en-AU"/>
        </w:rPr>
        <w:t>CDC program over 10 years</w:t>
      </w:r>
      <w:r w:rsidR="00C82A8F">
        <w:rPr>
          <w:lang w:eastAsia="en-AU"/>
        </w:rPr>
        <w:t>,</w:t>
      </w:r>
      <w:r w:rsidRPr="00114472">
        <w:rPr>
          <w:lang w:eastAsia="en-AU"/>
        </w:rPr>
        <w:t xml:space="preserve"> there is a reduced compliance cost of </w:t>
      </w:r>
      <w:r w:rsidR="004C00D5">
        <w:rPr>
          <w:lang w:eastAsia="en-AU"/>
        </w:rPr>
        <w:t>$</w:t>
      </w:r>
      <w:r w:rsidR="00E70F0B">
        <w:rPr>
          <w:lang w:eastAsia="en-AU"/>
        </w:rPr>
        <w:t>39,014</w:t>
      </w:r>
      <w:r w:rsidR="00FD2793">
        <w:rPr>
          <w:lang w:eastAsia="en-AU"/>
        </w:rPr>
        <w:t>.</w:t>
      </w:r>
    </w:p>
    <w:p w14:paraId="295C9CFE" w14:textId="77777777" w:rsidR="006236FA" w:rsidRPr="00DB33BD" w:rsidRDefault="0066222F" w:rsidP="0066222F">
      <w:pPr>
        <w:pStyle w:val="BulletedListlvl1"/>
      </w:pPr>
      <w:r w:rsidRPr="00DB33BD">
        <w:rPr>
          <w:b/>
          <w:lang w:eastAsia="en-AU"/>
        </w:rPr>
        <w:t>Removed complexities associated with running two separate programs:</w:t>
      </w:r>
      <w:r w:rsidRPr="00DB33BD">
        <w:rPr>
          <w:lang w:eastAsia="en-AU"/>
        </w:rPr>
        <w:t xml:space="preserve"> Some IM merchants may also operate as a CDC mixed merchant. These businesses need to identify the participants on both the IM and CDC and train their staff on the different items that cannot be purchased. Moving to a singl</w:t>
      </w:r>
      <w:r w:rsidR="00FD2793">
        <w:rPr>
          <w:lang w:eastAsia="en-AU"/>
        </w:rPr>
        <w:t>e card will reduce this burden.</w:t>
      </w:r>
    </w:p>
    <w:p w14:paraId="60FF955D" w14:textId="77777777" w:rsidR="009266D5" w:rsidRPr="00DB33BD" w:rsidRDefault="009266D5" w:rsidP="009266D5">
      <w:pPr>
        <w:pStyle w:val="BulletedListlvl1"/>
      </w:pPr>
      <w:r w:rsidRPr="00DB33BD">
        <w:rPr>
          <w:b/>
        </w:rPr>
        <w:t xml:space="preserve">Time cost of removing the IM BasicsCard technology and systems: </w:t>
      </w:r>
      <w:r w:rsidRPr="00DB33BD">
        <w:t>If the merchant is transitioning from IM they will need to remove the IM technology and educate th</w:t>
      </w:r>
      <w:r w:rsidR="00FD2793">
        <w:t>e staff on the process changes.</w:t>
      </w:r>
    </w:p>
    <w:p w14:paraId="4811E980" w14:textId="77777777" w:rsidR="0066222F" w:rsidRPr="00DB33BD" w:rsidRDefault="009266D5" w:rsidP="00A073CF">
      <w:pPr>
        <w:pStyle w:val="BulletedListlvl1"/>
        <w:numPr>
          <w:ilvl w:val="1"/>
          <w:numId w:val="2"/>
        </w:numPr>
      </w:pPr>
      <w:r w:rsidRPr="00DB33BD">
        <w:t>One off cost of removing the IM BasicsCard for 18,000 merchants</w:t>
      </w:r>
      <w:r w:rsidR="00CC23C1" w:rsidRPr="00DB33BD">
        <w:rPr>
          <w:lang w:eastAsia="en-AU"/>
        </w:rPr>
        <w:t xml:space="preserve"> that takes 0.25</w:t>
      </w:r>
      <w:r w:rsidRPr="00DB33BD">
        <w:rPr>
          <w:lang w:eastAsia="en-AU"/>
        </w:rPr>
        <w:t xml:space="preserve"> hours for </w:t>
      </w:r>
      <w:r w:rsidR="00051F7B">
        <w:rPr>
          <w:lang w:eastAsia="en-AU"/>
        </w:rPr>
        <w:t>one</w:t>
      </w:r>
      <w:r w:rsidRPr="00DB33BD">
        <w:rPr>
          <w:lang w:eastAsia="en-AU"/>
        </w:rPr>
        <w:t xml:space="preserve"> staff member at the rate of $79.63 per ho</w:t>
      </w:r>
      <w:r w:rsidR="00CC23C1" w:rsidRPr="00DB33BD">
        <w:rPr>
          <w:lang w:eastAsia="en-AU"/>
        </w:rPr>
        <w:t>ur, totalling a cost of $358,335</w:t>
      </w:r>
      <w:r w:rsidR="00FD2793">
        <w:rPr>
          <w:lang w:eastAsia="en-AU"/>
        </w:rPr>
        <w:t>.</w:t>
      </w:r>
    </w:p>
    <w:p w14:paraId="3D4EBA95" w14:textId="1B26EE34" w:rsidR="00ED42A9" w:rsidRDefault="00ED42A9">
      <w:pPr>
        <w:rPr>
          <w:rFonts w:ascii="Calibri" w:eastAsia="Calibri" w:hAnsi="Calibri" w:cs="Times New Roman"/>
          <w:b/>
          <w:color w:val="262626"/>
        </w:rPr>
      </w:pPr>
      <w:r>
        <w:rPr>
          <w:rFonts w:ascii="Calibri" w:eastAsia="Calibri" w:hAnsi="Calibri" w:cs="Times New Roman"/>
          <w:b/>
          <w:color w:val="262626"/>
        </w:rPr>
        <w:br w:type="page"/>
      </w:r>
    </w:p>
    <w:p w14:paraId="7237AFBC" w14:textId="49F46288" w:rsidR="0066222F" w:rsidRPr="00DB33BD" w:rsidRDefault="0066222F" w:rsidP="0066222F">
      <w:pPr>
        <w:spacing w:before="120" w:after="180" w:line="276" w:lineRule="auto"/>
        <w:rPr>
          <w:rFonts w:ascii="Calibri" w:eastAsia="Calibri" w:hAnsi="Calibri" w:cs="Times New Roman"/>
          <w:b/>
          <w:color w:val="262626"/>
        </w:rPr>
      </w:pPr>
      <w:r w:rsidRPr="00DB33BD">
        <w:rPr>
          <w:rFonts w:ascii="Calibri" w:eastAsia="Calibri" w:hAnsi="Calibri" w:cs="Times New Roman"/>
          <w:b/>
          <w:color w:val="262626"/>
        </w:rPr>
        <w:t>Costs</w:t>
      </w:r>
    </w:p>
    <w:p w14:paraId="5D5DB023" w14:textId="77777777" w:rsidR="0066222F" w:rsidRPr="00DB33BD" w:rsidRDefault="00301A3A" w:rsidP="00227D10">
      <w:pPr>
        <w:pStyle w:val="BulletedListlvl1"/>
        <w:spacing w:after="120"/>
        <w:ind w:left="568" w:hanging="284"/>
      </w:pPr>
      <w:r w:rsidRPr="00DB33BD">
        <w:rPr>
          <w:b/>
        </w:rPr>
        <w:t>Potential increase in c</w:t>
      </w:r>
      <w:r w:rsidR="0066222F" w:rsidRPr="00DB33BD">
        <w:rPr>
          <w:b/>
        </w:rPr>
        <w:t xml:space="preserve">rime: </w:t>
      </w:r>
      <w:r w:rsidR="00C82A8F" w:rsidRPr="00C82A8F">
        <w:t xml:space="preserve">There is </w:t>
      </w:r>
      <w:r w:rsidR="00C82A8F">
        <w:t>no clear</w:t>
      </w:r>
      <w:r w:rsidR="00C82A8F" w:rsidRPr="00C82A8F">
        <w:t xml:space="preserve"> evidence to suggest a link between the CDC or IM program</w:t>
      </w:r>
      <w:r w:rsidR="00C82A8F">
        <w:t>s</w:t>
      </w:r>
      <w:r w:rsidR="00C82A8F" w:rsidRPr="00C82A8F">
        <w:t xml:space="preserve"> and </w:t>
      </w:r>
      <w:r w:rsidR="00C82A8F">
        <w:t xml:space="preserve">the </w:t>
      </w:r>
      <w:r w:rsidR="00C82A8F" w:rsidRPr="00C82A8F">
        <w:t xml:space="preserve">incidence of crime. </w:t>
      </w:r>
      <w:r w:rsidR="00C82A8F">
        <w:t>F</w:t>
      </w:r>
      <w:r w:rsidR="0066222F" w:rsidRPr="00DB33BD">
        <w:t xml:space="preserve">eedback through Ministerial consultations </w:t>
      </w:r>
      <w:r w:rsidR="00C82A8F">
        <w:t>have expressed</w:t>
      </w:r>
      <w:r w:rsidR="0066222F" w:rsidRPr="00DB33BD">
        <w:t xml:space="preserve"> mixed views on whether crime will increase as a result of the CDC being abolished. </w:t>
      </w:r>
      <w:r w:rsidR="00C82A8F">
        <w:t xml:space="preserve">Stakeholder have stated that appropriate supports in communities where the CDC is removed will be critical to mitigate any </w:t>
      </w:r>
      <w:r w:rsidR="00841B94">
        <w:t>effects from the removal of card</w:t>
      </w:r>
      <w:r w:rsidR="00D539BD">
        <w:t>.</w:t>
      </w:r>
    </w:p>
    <w:p w14:paraId="6E3B1DD5" w14:textId="77777777" w:rsidR="00222D21" w:rsidRPr="00DB33BD" w:rsidRDefault="00ED30C0" w:rsidP="00A073CF">
      <w:r w:rsidRPr="00DB33BD">
        <w:rPr>
          <w:b/>
        </w:rPr>
        <w:t>Cost to CDC merchants over 10 years for program</w:t>
      </w:r>
    </w:p>
    <w:tbl>
      <w:tblPr>
        <w:tblStyle w:val="TableGrid1"/>
        <w:tblpPr w:leftFromText="180" w:rightFromText="180" w:vertAnchor="text" w:horzAnchor="margin" w:tblpY="61"/>
        <w:tblW w:w="10627" w:type="dxa"/>
        <w:tblLayout w:type="fixed"/>
        <w:tblLook w:val="04A0" w:firstRow="1" w:lastRow="0" w:firstColumn="1" w:lastColumn="0" w:noHBand="0" w:noVBand="1"/>
        <w:tblDescription w:val="Cost to CDC merchants over 10 years for program"/>
      </w:tblPr>
      <w:tblGrid>
        <w:gridCol w:w="1124"/>
        <w:gridCol w:w="865"/>
        <w:gridCol w:w="854"/>
        <w:gridCol w:w="855"/>
        <w:gridCol w:w="854"/>
        <w:gridCol w:w="855"/>
        <w:gridCol w:w="854"/>
        <w:gridCol w:w="855"/>
        <w:gridCol w:w="854"/>
        <w:gridCol w:w="855"/>
        <w:gridCol w:w="838"/>
        <w:gridCol w:w="964"/>
      </w:tblGrid>
      <w:tr w:rsidR="00222D21" w:rsidRPr="00231A2C" w:rsidDel="00684813" w14:paraId="2BCDCBD9" w14:textId="77777777" w:rsidTr="00691643">
        <w:trPr>
          <w:trHeight w:val="699"/>
          <w:tblHeader/>
        </w:trPr>
        <w:tc>
          <w:tcPr>
            <w:tcW w:w="1124" w:type="dxa"/>
          </w:tcPr>
          <w:p w14:paraId="6CF45C87"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Cost to merchants (</w:t>
            </w:r>
            <w:r w:rsidRPr="00231A2C">
              <w:rPr>
                <w:rFonts w:ascii="Calibri" w:eastAsia="Calibri" w:hAnsi="Calibri" w:cs="Times New Roman"/>
                <w:b/>
                <w:sz w:val="16"/>
                <w:szCs w:val="16"/>
              </w:rPr>
              <w:t>-$</w:t>
            </w:r>
            <w:r w:rsidRPr="00231A2C" w:rsidDel="00684813">
              <w:rPr>
                <w:rFonts w:ascii="Calibri" w:eastAsia="Calibri" w:hAnsi="Calibri" w:cs="Times New Roman"/>
                <w:b/>
                <w:sz w:val="16"/>
                <w:szCs w:val="16"/>
              </w:rPr>
              <w:t>m)</w:t>
            </w:r>
          </w:p>
        </w:tc>
        <w:tc>
          <w:tcPr>
            <w:tcW w:w="865" w:type="dxa"/>
          </w:tcPr>
          <w:p w14:paraId="758E9376"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Y1</w:t>
            </w:r>
          </w:p>
        </w:tc>
        <w:tc>
          <w:tcPr>
            <w:tcW w:w="854" w:type="dxa"/>
          </w:tcPr>
          <w:p w14:paraId="79BC0FC6"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Y2</w:t>
            </w:r>
          </w:p>
        </w:tc>
        <w:tc>
          <w:tcPr>
            <w:tcW w:w="855" w:type="dxa"/>
          </w:tcPr>
          <w:p w14:paraId="3EB60D26"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Y3</w:t>
            </w:r>
          </w:p>
        </w:tc>
        <w:tc>
          <w:tcPr>
            <w:tcW w:w="854" w:type="dxa"/>
          </w:tcPr>
          <w:p w14:paraId="69234C22"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Y4</w:t>
            </w:r>
          </w:p>
        </w:tc>
        <w:tc>
          <w:tcPr>
            <w:tcW w:w="855" w:type="dxa"/>
          </w:tcPr>
          <w:p w14:paraId="0A2CB2AF"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Y5</w:t>
            </w:r>
          </w:p>
        </w:tc>
        <w:tc>
          <w:tcPr>
            <w:tcW w:w="854" w:type="dxa"/>
          </w:tcPr>
          <w:p w14:paraId="6FCFA07D"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Y6</w:t>
            </w:r>
          </w:p>
        </w:tc>
        <w:tc>
          <w:tcPr>
            <w:tcW w:w="855" w:type="dxa"/>
          </w:tcPr>
          <w:p w14:paraId="0B4CCF1A"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Y7</w:t>
            </w:r>
          </w:p>
        </w:tc>
        <w:tc>
          <w:tcPr>
            <w:tcW w:w="854" w:type="dxa"/>
          </w:tcPr>
          <w:p w14:paraId="1CB1DD4F"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Y8</w:t>
            </w:r>
          </w:p>
        </w:tc>
        <w:tc>
          <w:tcPr>
            <w:tcW w:w="855" w:type="dxa"/>
          </w:tcPr>
          <w:p w14:paraId="6E83D066"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Y9</w:t>
            </w:r>
          </w:p>
        </w:tc>
        <w:tc>
          <w:tcPr>
            <w:tcW w:w="838" w:type="dxa"/>
          </w:tcPr>
          <w:p w14:paraId="51DEDBCE"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Y10</w:t>
            </w:r>
          </w:p>
        </w:tc>
        <w:tc>
          <w:tcPr>
            <w:tcW w:w="964" w:type="dxa"/>
          </w:tcPr>
          <w:p w14:paraId="6DA34653" w14:textId="77777777" w:rsidR="00222D21" w:rsidRPr="00231A2C" w:rsidDel="00684813" w:rsidRDefault="00222D21" w:rsidP="00C411B7">
            <w:pPr>
              <w:rPr>
                <w:rFonts w:ascii="Calibri" w:eastAsia="Calibri" w:hAnsi="Calibri" w:cs="Times New Roman"/>
                <w:b/>
                <w:sz w:val="16"/>
                <w:szCs w:val="16"/>
              </w:rPr>
            </w:pPr>
            <w:r w:rsidRPr="00231A2C" w:rsidDel="00684813">
              <w:rPr>
                <w:rFonts w:ascii="Calibri" w:eastAsia="Calibri" w:hAnsi="Calibri" w:cs="Times New Roman"/>
                <w:b/>
                <w:sz w:val="16"/>
                <w:szCs w:val="16"/>
              </w:rPr>
              <w:t>TOTAL</w:t>
            </w:r>
          </w:p>
        </w:tc>
      </w:tr>
      <w:tr w:rsidR="00222D21" w:rsidRPr="00231A2C" w:rsidDel="00684813" w14:paraId="21407DAE" w14:textId="77777777" w:rsidTr="00C411B7">
        <w:trPr>
          <w:trHeight w:val="695"/>
        </w:trPr>
        <w:tc>
          <w:tcPr>
            <w:tcW w:w="1124" w:type="dxa"/>
          </w:tcPr>
          <w:p w14:paraId="11121AAD" w14:textId="77777777" w:rsidR="00222D21" w:rsidRPr="00231A2C" w:rsidDel="00684813" w:rsidRDefault="00222D21" w:rsidP="00C411B7">
            <w:pPr>
              <w:rPr>
                <w:rFonts w:ascii="Calibri" w:eastAsia="Calibri" w:hAnsi="Calibri" w:cs="Times New Roman"/>
                <w:b/>
                <w:sz w:val="16"/>
                <w:szCs w:val="16"/>
              </w:rPr>
            </w:pPr>
            <w:r w:rsidRPr="00231A2C">
              <w:rPr>
                <w:rFonts w:ascii="Calibri" w:eastAsia="Calibri" w:hAnsi="Calibri" w:cs="Times New Roman"/>
                <w:b/>
                <w:sz w:val="16"/>
                <w:szCs w:val="16"/>
              </w:rPr>
              <w:t>W</w:t>
            </w:r>
            <w:r w:rsidRPr="00231A2C" w:rsidDel="00684813">
              <w:rPr>
                <w:rFonts w:ascii="Calibri" w:eastAsia="Calibri" w:hAnsi="Calibri" w:cs="Times New Roman"/>
                <w:b/>
                <w:sz w:val="16"/>
                <w:szCs w:val="16"/>
              </w:rPr>
              <w:t>ithout</w:t>
            </w:r>
            <w:r w:rsidRPr="00231A2C" w:rsidDel="00684813">
              <w:rPr>
                <w:rFonts w:ascii="Calibri" w:eastAsia="Calibri" w:hAnsi="Calibri" w:cs="Times New Roman"/>
                <w:sz w:val="16"/>
                <w:szCs w:val="16"/>
              </w:rPr>
              <w:t xml:space="preserve"> PLB technology roll out)</w:t>
            </w:r>
          </w:p>
        </w:tc>
        <w:tc>
          <w:tcPr>
            <w:tcW w:w="865" w:type="dxa"/>
            <w:vAlign w:val="center"/>
          </w:tcPr>
          <w:p w14:paraId="7E962653" w14:textId="77777777" w:rsidR="00222D21" w:rsidRPr="00231A2C" w:rsidDel="00684813" w:rsidRDefault="00222D21" w:rsidP="00C411B7">
            <w:pPr>
              <w:jc w:val="right"/>
              <w:rPr>
                <w:rFonts w:ascii="Calibri" w:eastAsia="Calibri" w:hAnsi="Calibri" w:cs="Times New Roman"/>
                <w:b/>
                <w:i/>
                <w:color w:val="FF0000"/>
                <w:sz w:val="16"/>
                <w:szCs w:val="16"/>
              </w:rPr>
            </w:pPr>
            <w:r w:rsidRPr="00231A2C">
              <w:rPr>
                <w:color w:val="000000"/>
                <w:sz w:val="16"/>
                <w:szCs w:val="16"/>
                <w:lang w:eastAsia="en-AU"/>
              </w:rPr>
              <w:t>-$2,070</w:t>
            </w:r>
          </w:p>
        </w:tc>
        <w:tc>
          <w:tcPr>
            <w:tcW w:w="854" w:type="dxa"/>
            <w:vAlign w:val="center"/>
          </w:tcPr>
          <w:p w14:paraId="6149494B"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 -$1,593</w:t>
            </w:r>
          </w:p>
        </w:tc>
        <w:tc>
          <w:tcPr>
            <w:tcW w:w="855" w:type="dxa"/>
            <w:vAlign w:val="center"/>
          </w:tcPr>
          <w:p w14:paraId="538DA7EC"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 -$1,593</w:t>
            </w:r>
          </w:p>
        </w:tc>
        <w:tc>
          <w:tcPr>
            <w:tcW w:w="854" w:type="dxa"/>
            <w:vAlign w:val="center"/>
          </w:tcPr>
          <w:p w14:paraId="7C6FF53A"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 -$1,593</w:t>
            </w:r>
          </w:p>
        </w:tc>
        <w:tc>
          <w:tcPr>
            <w:tcW w:w="855" w:type="dxa"/>
            <w:vAlign w:val="center"/>
          </w:tcPr>
          <w:p w14:paraId="6E1FB2DF"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 -$1,593</w:t>
            </w:r>
          </w:p>
        </w:tc>
        <w:tc>
          <w:tcPr>
            <w:tcW w:w="854" w:type="dxa"/>
            <w:vAlign w:val="center"/>
          </w:tcPr>
          <w:p w14:paraId="511DF824"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0</w:t>
            </w:r>
          </w:p>
        </w:tc>
        <w:tc>
          <w:tcPr>
            <w:tcW w:w="855" w:type="dxa"/>
            <w:vAlign w:val="center"/>
          </w:tcPr>
          <w:p w14:paraId="05C562E9"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0</w:t>
            </w:r>
          </w:p>
        </w:tc>
        <w:tc>
          <w:tcPr>
            <w:tcW w:w="854" w:type="dxa"/>
            <w:vAlign w:val="center"/>
          </w:tcPr>
          <w:p w14:paraId="0070325B"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0</w:t>
            </w:r>
          </w:p>
        </w:tc>
        <w:tc>
          <w:tcPr>
            <w:tcW w:w="855" w:type="dxa"/>
            <w:vAlign w:val="center"/>
          </w:tcPr>
          <w:p w14:paraId="6B4878E4"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0</w:t>
            </w:r>
          </w:p>
        </w:tc>
        <w:tc>
          <w:tcPr>
            <w:tcW w:w="838" w:type="dxa"/>
            <w:vAlign w:val="center"/>
          </w:tcPr>
          <w:p w14:paraId="5652A6A2"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0</w:t>
            </w:r>
          </w:p>
        </w:tc>
        <w:tc>
          <w:tcPr>
            <w:tcW w:w="964" w:type="dxa"/>
            <w:vAlign w:val="center"/>
          </w:tcPr>
          <w:p w14:paraId="3BCF7822" w14:textId="77777777" w:rsidR="00222D21" w:rsidRPr="00231A2C" w:rsidDel="00684813" w:rsidRDefault="00222D21" w:rsidP="00C411B7">
            <w:pPr>
              <w:jc w:val="right"/>
              <w:rPr>
                <w:rFonts w:ascii="Calibri" w:eastAsia="Calibri" w:hAnsi="Calibri" w:cs="Times New Roman"/>
                <w:b/>
                <w:sz w:val="16"/>
                <w:szCs w:val="16"/>
              </w:rPr>
            </w:pPr>
            <w:r w:rsidRPr="00231A2C">
              <w:rPr>
                <w:color w:val="000000"/>
                <w:sz w:val="16"/>
                <w:szCs w:val="16"/>
                <w:lang w:eastAsia="en-AU"/>
              </w:rPr>
              <w:t>-$8,441</w:t>
            </w:r>
          </w:p>
        </w:tc>
      </w:tr>
      <w:tr w:rsidR="00D37D84" w:rsidRPr="00231A2C" w:rsidDel="00684813" w14:paraId="6D0BF0A1" w14:textId="77777777" w:rsidTr="00C411B7">
        <w:trPr>
          <w:trHeight w:val="493"/>
        </w:trPr>
        <w:tc>
          <w:tcPr>
            <w:tcW w:w="1124" w:type="dxa"/>
          </w:tcPr>
          <w:p w14:paraId="42224112" w14:textId="77777777" w:rsidR="00D37D84" w:rsidRPr="00231A2C" w:rsidDel="00684813" w:rsidRDefault="00D37D84" w:rsidP="00D37D84">
            <w:pPr>
              <w:rPr>
                <w:rFonts w:ascii="Calibri" w:eastAsia="Calibri" w:hAnsi="Calibri" w:cs="Times New Roman"/>
                <w:b/>
                <w:sz w:val="16"/>
                <w:szCs w:val="16"/>
              </w:rPr>
            </w:pPr>
            <w:r w:rsidRPr="00231A2C">
              <w:rPr>
                <w:rFonts w:ascii="Calibri" w:eastAsia="Calibri" w:hAnsi="Calibri" w:cs="Times New Roman"/>
                <w:b/>
                <w:sz w:val="16"/>
                <w:szCs w:val="16"/>
              </w:rPr>
              <w:t>A</w:t>
            </w:r>
            <w:r w:rsidRPr="00231A2C" w:rsidDel="00684813">
              <w:rPr>
                <w:rFonts w:ascii="Calibri" w:eastAsia="Calibri" w:hAnsi="Calibri" w:cs="Times New Roman"/>
                <w:b/>
                <w:sz w:val="16"/>
                <w:szCs w:val="16"/>
              </w:rPr>
              <w:t>fter</w:t>
            </w:r>
            <w:r w:rsidRPr="00231A2C" w:rsidDel="00684813">
              <w:rPr>
                <w:rFonts w:ascii="Calibri" w:eastAsia="Calibri" w:hAnsi="Calibri" w:cs="Times New Roman"/>
                <w:sz w:val="16"/>
                <w:szCs w:val="16"/>
              </w:rPr>
              <w:t xml:space="preserve"> PLB technology roll out)</w:t>
            </w:r>
          </w:p>
        </w:tc>
        <w:tc>
          <w:tcPr>
            <w:tcW w:w="865" w:type="dxa"/>
            <w:vAlign w:val="center"/>
          </w:tcPr>
          <w:p w14:paraId="3727269B" w14:textId="77777777" w:rsidR="00D37D84" w:rsidRPr="00231A2C" w:rsidDel="00684813" w:rsidRDefault="00D37D84" w:rsidP="00D37D84">
            <w:pPr>
              <w:jc w:val="right"/>
              <w:rPr>
                <w:rFonts w:ascii="Calibri" w:eastAsia="Calibri" w:hAnsi="Calibri" w:cs="Arial"/>
                <w:i/>
                <w:color w:val="FF0000"/>
                <w:sz w:val="16"/>
                <w:szCs w:val="16"/>
              </w:rPr>
            </w:pPr>
            <w:r>
              <w:rPr>
                <w:sz w:val="16"/>
                <w:szCs w:val="16"/>
              </w:rPr>
              <w:t>-$2,166</w:t>
            </w:r>
          </w:p>
        </w:tc>
        <w:tc>
          <w:tcPr>
            <w:tcW w:w="854" w:type="dxa"/>
            <w:vAlign w:val="center"/>
          </w:tcPr>
          <w:p w14:paraId="7400E4B1" w14:textId="77777777" w:rsidR="00D37D84" w:rsidRPr="00231A2C" w:rsidDel="00684813" w:rsidRDefault="00D37D84" w:rsidP="00D37D84">
            <w:pPr>
              <w:jc w:val="right"/>
              <w:rPr>
                <w:rFonts w:ascii="Calibri" w:eastAsia="Calibri" w:hAnsi="Calibri" w:cs="Times New Roman"/>
                <w:b/>
                <w:sz w:val="16"/>
                <w:szCs w:val="16"/>
              </w:rPr>
            </w:pPr>
            <w:r>
              <w:rPr>
                <w:sz w:val="16"/>
                <w:szCs w:val="16"/>
              </w:rPr>
              <w:t>-$4,332</w:t>
            </w:r>
          </w:p>
        </w:tc>
        <w:tc>
          <w:tcPr>
            <w:tcW w:w="855" w:type="dxa"/>
            <w:vAlign w:val="center"/>
          </w:tcPr>
          <w:p w14:paraId="61525914" w14:textId="77777777" w:rsidR="00D37D84" w:rsidRPr="00231A2C" w:rsidDel="00684813" w:rsidRDefault="00D37D84" w:rsidP="00D37D84">
            <w:pPr>
              <w:jc w:val="right"/>
              <w:rPr>
                <w:rFonts w:ascii="Calibri" w:eastAsia="Calibri" w:hAnsi="Calibri" w:cs="Times New Roman"/>
                <w:b/>
                <w:sz w:val="16"/>
                <w:szCs w:val="16"/>
              </w:rPr>
            </w:pPr>
            <w:r>
              <w:rPr>
                <w:sz w:val="16"/>
                <w:szCs w:val="16"/>
              </w:rPr>
              <w:t>-$6,498</w:t>
            </w:r>
          </w:p>
        </w:tc>
        <w:tc>
          <w:tcPr>
            <w:tcW w:w="854" w:type="dxa"/>
            <w:vAlign w:val="center"/>
          </w:tcPr>
          <w:p w14:paraId="2F303AFE" w14:textId="77777777" w:rsidR="00D37D84" w:rsidRPr="00231A2C" w:rsidDel="00684813" w:rsidRDefault="00D37D84" w:rsidP="00D37D84">
            <w:pPr>
              <w:jc w:val="right"/>
              <w:rPr>
                <w:rFonts w:ascii="Calibri" w:eastAsia="Calibri" w:hAnsi="Calibri" w:cs="Times New Roman"/>
                <w:b/>
                <w:sz w:val="16"/>
                <w:szCs w:val="16"/>
              </w:rPr>
            </w:pPr>
            <w:r>
              <w:rPr>
                <w:sz w:val="16"/>
                <w:szCs w:val="16"/>
              </w:rPr>
              <w:t>-$8,664</w:t>
            </w:r>
          </w:p>
        </w:tc>
        <w:tc>
          <w:tcPr>
            <w:tcW w:w="855" w:type="dxa"/>
            <w:vAlign w:val="center"/>
          </w:tcPr>
          <w:p w14:paraId="6853FD3C"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4" w:type="dxa"/>
            <w:vAlign w:val="center"/>
          </w:tcPr>
          <w:p w14:paraId="7926D444"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5" w:type="dxa"/>
            <w:vAlign w:val="center"/>
          </w:tcPr>
          <w:p w14:paraId="61AA1D00"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4" w:type="dxa"/>
            <w:vAlign w:val="center"/>
          </w:tcPr>
          <w:p w14:paraId="56278335"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5" w:type="dxa"/>
            <w:vAlign w:val="center"/>
          </w:tcPr>
          <w:p w14:paraId="44E16BE9"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38" w:type="dxa"/>
            <w:vAlign w:val="center"/>
          </w:tcPr>
          <w:p w14:paraId="16F59374"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964" w:type="dxa"/>
            <w:vAlign w:val="center"/>
          </w:tcPr>
          <w:p w14:paraId="66267964" w14:textId="77777777" w:rsidR="00D37D84" w:rsidRPr="00231A2C" w:rsidDel="00684813" w:rsidRDefault="00D37D84" w:rsidP="00D37D84">
            <w:pPr>
              <w:jc w:val="right"/>
              <w:rPr>
                <w:sz w:val="16"/>
                <w:szCs w:val="16"/>
              </w:rPr>
            </w:pPr>
            <w:r>
              <w:rPr>
                <w:sz w:val="16"/>
                <w:szCs w:val="16"/>
              </w:rPr>
              <w:t>-$78,028</w:t>
            </w:r>
          </w:p>
        </w:tc>
      </w:tr>
      <w:tr w:rsidR="00D37D84" w:rsidRPr="00231A2C" w:rsidDel="00684813" w14:paraId="624AFB8C" w14:textId="77777777" w:rsidTr="00C411B7">
        <w:trPr>
          <w:trHeight w:val="306"/>
        </w:trPr>
        <w:tc>
          <w:tcPr>
            <w:tcW w:w="1124" w:type="dxa"/>
            <w:vAlign w:val="center"/>
          </w:tcPr>
          <w:p w14:paraId="7E1B41A0" w14:textId="77777777" w:rsidR="00D37D84" w:rsidRPr="00231A2C" w:rsidDel="00684813" w:rsidRDefault="00D37D84" w:rsidP="00D37D84">
            <w:pPr>
              <w:rPr>
                <w:rFonts w:ascii="Calibri" w:eastAsia="Calibri" w:hAnsi="Calibri" w:cs="Times New Roman"/>
                <w:b/>
                <w:sz w:val="16"/>
                <w:szCs w:val="16"/>
              </w:rPr>
            </w:pPr>
            <w:r w:rsidRPr="00231A2C" w:rsidDel="00684813">
              <w:rPr>
                <w:rFonts w:ascii="Calibri" w:eastAsia="Calibri" w:hAnsi="Calibri" w:cs="Times New Roman"/>
                <w:b/>
                <w:sz w:val="16"/>
                <w:szCs w:val="16"/>
              </w:rPr>
              <w:t>TOTAL ($)</w:t>
            </w:r>
          </w:p>
        </w:tc>
        <w:tc>
          <w:tcPr>
            <w:tcW w:w="865" w:type="dxa"/>
            <w:vAlign w:val="center"/>
          </w:tcPr>
          <w:p w14:paraId="76B1A21D"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Cs/>
                <w:sz w:val="16"/>
                <w:szCs w:val="16"/>
              </w:rPr>
              <w:t>-$4,236</w:t>
            </w:r>
          </w:p>
        </w:tc>
        <w:tc>
          <w:tcPr>
            <w:tcW w:w="854" w:type="dxa"/>
            <w:vAlign w:val="center"/>
          </w:tcPr>
          <w:p w14:paraId="17A530A4"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Cs/>
                <w:sz w:val="16"/>
                <w:szCs w:val="16"/>
              </w:rPr>
              <w:t>-$5,924</w:t>
            </w:r>
          </w:p>
        </w:tc>
        <w:tc>
          <w:tcPr>
            <w:tcW w:w="855" w:type="dxa"/>
            <w:vAlign w:val="center"/>
          </w:tcPr>
          <w:p w14:paraId="3747D207"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Cs/>
                <w:sz w:val="16"/>
                <w:szCs w:val="16"/>
              </w:rPr>
              <w:t>-$8,090</w:t>
            </w:r>
          </w:p>
        </w:tc>
        <w:tc>
          <w:tcPr>
            <w:tcW w:w="854" w:type="dxa"/>
            <w:vAlign w:val="center"/>
          </w:tcPr>
          <w:p w14:paraId="59513733"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Cs/>
                <w:sz w:val="16"/>
                <w:szCs w:val="16"/>
              </w:rPr>
              <w:t>-$10,256</w:t>
            </w:r>
          </w:p>
        </w:tc>
        <w:tc>
          <w:tcPr>
            <w:tcW w:w="855" w:type="dxa"/>
            <w:vAlign w:val="center"/>
          </w:tcPr>
          <w:p w14:paraId="1BBF8582"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Cs/>
                <w:sz w:val="16"/>
                <w:szCs w:val="16"/>
              </w:rPr>
              <w:t>-$10,987</w:t>
            </w:r>
          </w:p>
        </w:tc>
        <w:tc>
          <w:tcPr>
            <w:tcW w:w="854" w:type="dxa"/>
            <w:vAlign w:val="center"/>
          </w:tcPr>
          <w:p w14:paraId="1D7187DF"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5" w:type="dxa"/>
            <w:vAlign w:val="center"/>
          </w:tcPr>
          <w:p w14:paraId="27763FF8"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4" w:type="dxa"/>
            <w:vAlign w:val="center"/>
          </w:tcPr>
          <w:p w14:paraId="7E80CB48"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55" w:type="dxa"/>
            <w:vAlign w:val="center"/>
          </w:tcPr>
          <w:p w14:paraId="2E038038"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838" w:type="dxa"/>
            <w:vAlign w:val="center"/>
          </w:tcPr>
          <w:p w14:paraId="575AAFF2" w14:textId="77777777" w:rsidR="00D37D84" w:rsidRPr="00231A2C" w:rsidDel="00684813" w:rsidRDefault="00D37D84" w:rsidP="00D37D84">
            <w:pPr>
              <w:jc w:val="right"/>
              <w:rPr>
                <w:rFonts w:ascii="Calibri" w:eastAsia="Calibri" w:hAnsi="Calibri" w:cs="Times New Roman"/>
                <w:b/>
                <w:sz w:val="16"/>
                <w:szCs w:val="16"/>
              </w:rPr>
            </w:pPr>
            <w:r>
              <w:rPr>
                <w:sz w:val="16"/>
                <w:szCs w:val="16"/>
              </w:rPr>
              <w:t>-$9,395</w:t>
            </w:r>
          </w:p>
        </w:tc>
        <w:tc>
          <w:tcPr>
            <w:tcW w:w="964" w:type="dxa"/>
            <w:vAlign w:val="center"/>
          </w:tcPr>
          <w:p w14:paraId="4D1CBB51" w14:textId="77777777" w:rsidR="00D37D84" w:rsidRPr="00231A2C" w:rsidDel="00684813" w:rsidRDefault="00D37D84" w:rsidP="00D37D84">
            <w:pPr>
              <w:jc w:val="right"/>
              <w:rPr>
                <w:rFonts w:ascii="Calibri" w:eastAsia="Calibri" w:hAnsi="Calibri" w:cs="Times New Roman"/>
                <w:b/>
                <w:sz w:val="16"/>
                <w:szCs w:val="16"/>
              </w:rPr>
            </w:pPr>
            <w:r>
              <w:rPr>
                <w:rFonts w:ascii="Calibri" w:hAnsi="Calibri" w:cs="Calibri"/>
                <w:b/>
                <w:bCs/>
                <w:sz w:val="16"/>
                <w:szCs w:val="16"/>
              </w:rPr>
              <w:t>-$86,469</w:t>
            </w:r>
          </w:p>
        </w:tc>
      </w:tr>
    </w:tbl>
    <w:p w14:paraId="71A123FD" w14:textId="77777777" w:rsidR="00222D21" w:rsidRDefault="00222D21" w:rsidP="00222D21">
      <w:pPr>
        <w:pStyle w:val="BodyText"/>
        <w:spacing w:after="180"/>
        <w:rPr>
          <w:sz w:val="16"/>
          <w:szCs w:val="16"/>
        </w:rPr>
      </w:pPr>
      <w:r w:rsidRPr="00231A2C">
        <w:rPr>
          <w:sz w:val="16"/>
          <w:szCs w:val="16"/>
        </w:rPr>
        <w:t>Note, it is expected that the 53 merchants without PLB technology will transition to PLB over 5 years.</w:t>
      </w:r>
    </w:p>
    <w:p w14:paraId="4DEEA3F6" w14:textId="77777777" w:rsidR="00193BCE" w:rsidRPr="00DB33BD" w:rsidRDefault="00E44B0A" w:rsidP="00A073CF">
      <w:pPr>
        <w:pStyle w:val="BodyText"/>
        <w:rPr>
          <w:b/>
        </w:rPr>
      </w:pPr>
      <w:r w:rsidRPr="00DB33BD">
        <w:rPr>
          <w:b/>
        </w:rPr>
        <w:t>Cost to IM merchants over 10 years for program</w:t>
      </w:r>
    </w:p>
    <w:tbl>
      <w:tblPr>
        <w:tblW w:w="11533" w:type="dxa"/>
        <w:tblInd w:w="-714" w:type="dxa"/>
        <w:tblLook w:val="04A0" w:firstRow="1" w:lastRow="0" w:firstColumn="1" w:lastColumn="0" w:noHBand="0" w:noVBand="1"/>
        <w:tblDescription w:val="Cost to IM merchants over 10 years for program"/>
      </w:tblPr>
      <w:tblGrid>
        <w:gridCol w:w="1057"/>
        <w:gridCol w:w="945"/>
        <w:gridCol w:w="945"/>
        <w:gridCol w:w="945"/>
        <w:gridCol w:w="945"/>
        <w:gridCol w:w="945"/>
        <w:gridCol w:w="945"/>
        <w:gridCol w:w="945"/>
        <w:gridCol w:w="945"/>
        <w:gridCol w:w="945"/>
        <w:gridCol w:w="945"/>
        <w:gridCol w:w="1026"/>
      </w:tblGrid>
      <w:tr w:rsidR="00193BCE" w:rsidRPr="00DB33BD" w14:paraId="6547C731" w14:textId="77777777" w:rsidTr="002217B2">
        <w:trPr>
          <w:trHeight w:val="300"/>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E25E" w14:textId="77777777" w:rsidR="00193BCE" w:rsidRPr="00DB33BD" w:rsidRDefault="00193BCE" w:rsidP="002217B2">
            <w:pPr>
              <w:spacing w:after="0" w:line="240" w:lineRule="auto"/>
              <w:ind w:left="169" w:firstLine="142"/>
              <w:rPr>
                <w:rFonts w:eastAsia="Times New Roman" w:cstheme="minorHAnsi"/>
                <w:color w:val="000000"/>
                <w:sz w:val="16"/>
                <w:szCs w:val="16"/>
                <w:lang w:eastAsia="en-AU"/>
              </w:rPr>
            </w:pPr>
            <w:r w:rsidRPr="00DB33BD">
              <w:rPr>
                <w:rFonts w:eastAsia="Times New Roman" w:cstheme="minorHAnsi"/>
                <w:color w:val="000000"/>
                <w:sz w:val="16"/>
                <w:szCs w:val="16"/>
                <w:lang w:eastAsia="en-AU"/>
              </w:rPr>
              <w:t> </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573D0D5C"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yr1</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5C365AC3"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yr2</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2C44CA9A"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yr3</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661D2EAA"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yr4</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08941CDB"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yr5</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3523C305"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yr6</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37FD58E7"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yr7</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0D4877B4"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yr8</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3024E971"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yr9</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131C5E9C"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yr10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2662FE2" w14:textId="77777777" w:rsidR="00193BCE" w:rsidRPr="00DB33BD" w:rsidRDefault="00193BCE" w:rsidP="002217B2">
            <w:pPr>
              <w:spacing w:after="0" w:line="240" w:lineRule="auto"/>
              <w:rPr>
                <w:rFonts w:eastAsia="Times New Roman" w:cstheme="minorHAnsi"/>
                <w:color w:val="000000"/>
                <w:sz w:val="16"/>
                <w:szCs w:val="16"/>
                <w:lang w:eastAsia="en-AU"/>
              </w:rPr>
            </w:pPr>
            <w:r w:rsidRPr="00DB33BD">
              <w:rPr>
                <w:rFonts w:eastAsia="Times New Roman" w:cstheme="minorHAnsi"/>
                <w:color w:val="000000"/>
                <w:sz w:val="16"/>
                <w:szCs w:val="16"/>
                <w:lang w:eastAsia="en-AU"/>
              </w:rPr>
              <w:t>total</w:t>
            </w:r>
          </w:p>
        </w:tc>
      </w:tr>
      <w:tr w:rsidR="00193BCE" w:rsidRPr="00DB33BD" w14:paraId="5A1B3470" w14:textId="77777777" w:rsidTr="002217B2">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14:paraId="0DB197B1" w14:textId="77777777" w:rsidR="00193BCE" w:rsidRPr="00DB33BD" w:rsidRDefault="00193BCE" w:rsidP="002217B2">
            <w:pPr>
              <w:spacing w:after="0" w:line="240" w:lineRule="auto"/>
              <w:rPr>
                <w:rFonts w:eastAsia="Times New Roman" w:cstheme="minorHAnsi"/>
                <w:b/>
                <w:bCs/>
                <w:color w:val="262626"/>
                <w:sz w:val="16"/>
                <w:szCs w:val="16"/>
                <w:lang w:eastAsia="en-AU"/>
              </w:rPr>
            </w:pPr>
            <w:r w:rsidRPr="00DB33BD">
              <w:rPr>
                <w:rFonts w:eastAsia="Times New Roman" w:cstheme="minorHAnsi"/>
                <w:b/>
                <w:bCs/>
                <w:color w:val="262626"/>
                <w:sz w:val="16"/>
                <w:szCs w:val="16"/>
                <w:lang w:eastAsia="en-AU"/>
              </w:rPr>
              <w:t>Reduced onboarding</w:t>
            </w:r>
          </w:p>
        </w:tc>
        <w:tc>
          <w:tcPr>
            <w:tcW w:w="945" w:type="dxa"/>
            <w:tcBorders>
              <w:top w:val="nil"/>
              <w:left w:val="nil"/>
              <w:bottom w:val="single" w:sz="4" w:space="0" w:color="auto"/>
              <w:right w:val="single" w:sz="4" w:space="0" w:color="auto"/>
            </w:tcBorders>
            <w:shd w:val="clear" w:color="auto" w:fill="auto"/>
            <w:noWrap/>
            <w:vAlign w:val="bottom"/>
            <w:hideMark/>
          </w:tcPr>
          <w:p w14:paraId="7115229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52DBD02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55CDE427"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56B6808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326DF5D7"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3F7D0C6D"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3B528AD6"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68A51A64"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20F268B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945" w:type="dxa"/>
            <w:tcBorders>
              <w:top w:val="nil"/>
              <w:left w:val="nil"/>
              <w:bottom w:val="single" w:sz="4" w:space="0" w:color="auto"/>
              <w:right w:val="single" w:sz="4" w:space="0" w:color="auto"/>
            </w:tcBorders>
            <w:shd w:val="clear" w:color="auto" w:fill="auto"/>
            <w:noWrap/>
            <w:vAlign w:val="bottom"/>
            <w:hideMark/>
          </w:tcPr>
          <w:p w14:paraId="0EA6F32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w:t>
            </w:r>
          </w:p>
        </w:tc>
        <w:tc>
          <w:tcPr>
            <w:tcW w:w="1026" w:type="dxa"/>
            <w:tcBorders>
              <w:top w:val="nil"/>
              <w:left w:val="nil"/>
              <w:bottom w:val="single" w:sz="4" w:space="0" w:color="auto"/>
              <w:right w:val="single" w:sz="4" w:space="0" w:color="auto"/>
            </w:tcBorders>
            <w:shd w:val="clear" w:color="auto" w:fill="auto"/>
            <w:noWrap/>
            <w:vAlign w:val="bottom"/>
            <w:hideMark/>
          </w:tcPr>
          <w:p w14:paraId="35CB7A2F"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-$3,982</w:t>
            </w:r>
          </w:p>
        </w:tc>
      </w:tr>
      <w:tr w:rsidR="00193BCE" w:rsidRPr="00DB33BD" w14:paraId="13EB180C" w14:textId="77777777" w:rsidTr="002217B2">
        <w:trPr>
          <w:trHeight w:val="450"/>
        </w:trPr>
        <w:tc>
          <w:tcPr>
            <w:tcW w:w="1057" w:type="dxa"/>
            <w:tcBorders>
              <w:top w:val="nil"/>
              <w:left w:val="single" w:sz="4" w:space="0" w:color="auto"/>
              <w:bottom w:val="single" w:sz="4" w:space="0" w:color="auto"/>
              <w:right w:val="single" w:sz="4" w:space="0" w:color="auto"/>
            </w:tcBorders>
            <w:shd w:val="clear" w:color="auto" w:fill="auto"/>
            <w:vAlign w:val="center"/>
            <w:hideMark/>
          </w:tcPr>
          <w:p w14:paraId="60B7A4F2" w14:textId="77777777" w:rsidR="00193BCE" w:rsidRPr="00DB33BD" w:rsidRDefault="00193BCE" w:rsidP="002217B2">
            <w:pPr>
              <w:spacing w:after="0" w:line="240" w:lineRule="auto"/>
              <w:rPr>
                <w:rFonts w:eastAsia="Times New Roman" w:cstheme="minorHAnsi"/>
                <w:b/>
                <w:bCs/>
                <w:color w:val="262626"/>
                <w:sz w:val="16"/>
                <w:szCs w:val="16"/>
                <w:lang w:eastAsia="en-AU"/>
              </w:rPr>
            </w:pPr>
            <w:r w:rsidRPr="00DB33BD">
              <w:rPr>
                <w:rFonts w:eastAsia="Times New Roman" w:cstheme="minorHAnsi"/>
                <w:b/>
                <w:bCs/>
                <w:color w:val="262626"/>
                <w:sz w:val="16"/>
                <w:szCs w:val="16"/>
                <w:lang w:eastAsia="en-AU"/>
              </w:rPr>
              <w:t>Reduced ongoing compliance</w:t>
            </w:r>
          </w:p>
        </w:tc>
        <w:tc>
          <w:tcPr>
            <w:tcW w:w="945" w:type="dxa"/>
            <w:tcBorders>
              <w:top w:val="nil"/>
              <w:left w:val="nil"/>
              <w:bottom w:val="single" w:sz="4" w:space="0" w:color="auto"/>
              <w:right w:val="single" w:sz="4" w:space="0" w:color="auto"/>
            </w:tcBorders>
            <w:shd w:val="clear" w:color="auto" w:fill="auto"/>
            <w:noWrap/>
            <w:vAlign w:val="bottom"/>
            <w:hideMark/>
          </w:tcPr>
          <w:p w14:paraId="003FC636"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29A3C77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0B288691"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2CBF121D"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3926A72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1AE80526"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521A4531"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54DD4017"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46F0A3A6"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945" w:type="dxa"/>
            <w:tcBorders>
              <w:top w:val="nil"/>
              <w:left w:val="nil"/>
              <w:bottom w:val="single" w:sz="4" w:space="0" w:color="auto"/>
              <w:right w:val="single" w:sz="4" w:space="0" w:color="auto"/>
            </w:tcBorders>
            <w:shd w:val="clear" w:color="auto" w:fill="auto"/>
            <w:noWrap/>
            <w:vAlign w:val="bottom"/>
            <w:hideMark/>
          </w:tcPr>
          <w:p w14:paraId="18C2E35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w:t>
            </w:r>
          </w:p>
        </w:tc>
        <w:tc>
          <w:tcPr>
            <w:tcW w:w="1026" w:type="dxa"/>
            <w:tcBorders>
              <w:top w:val="nil"/>
              <w:left w:val="nil"/>
              <w:bottom w:val="single" w:sz="4" w:space="0" w:color="auto"/>
              <w:right w:val="single" w:sz="4" w:space="0" w:color="auto"/>
            </w:tcBorders>
            <w:shd w:val="clear" w:color="auto" w:fill="auto"/>
            <w:noWrap/>
            <w:vAlign w:val="bottom"/>
            <w:hideMark/>
          </w:tcPr>
          <w:p w14:paraId="079901EA"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-$14,333,400</w:t>
            </w:r>
          </w:p>
        </w:tc>
      </w:tr>
      <w:tr w:rsidR="00193BCE" w:rsidRPr="00DB33BD" w14:paraId="5E689084" w14:textId="77777777" w:rsidTr="002217B2">
        <w:trPr>
          <w:trHeight w:val="1350"/>
        </w:trPr>
        <w:tc>
          <w:tcPr>
            <w:tcW w:w="1057" w:type="dxa"/>
            <w:tcBorders>
              <w:top w:val="nil"/>
              <w:left w:val="single" w:sz="4" w:space="0" w:color="auto"/>
              <w:bottom w:val="single" w:sz="4" w:space="0" w:color="auto"/>
              <w:right w:val="single" w:sz="4" w:space="0" w:color="auto"/>
            </w:tcBorders>
            <w:shd w:val="clear" w:color="auto" w:fill="auto"/>
            <w:vAlign w:val="center"/>
            <w:hideMark/>
          </w:tcPr>
          <w:p w14:paraId="3D063404" w14:textId="77777777" w:rsidR="00193BCE" w:rsidRPr="00DB33BD" w:rsidRDefault="00193BCE" w:rsidP="002217B2">
            <w:pPr>
              <w:spacing w:after="0" w:line="240" w:lineRule="auto"/>
              <w:rPr>
                <w:rFonts w:eastAsia="Times New Roman" w:cstheme="minorHAnsi"/>
                <w:b/>
                <w:bCs/>
                <w:color w:val="262626"/>
                <w:sz w:val="16"/>
                <w:szCs w:val="16"/>
                <w:lang w:eastAsia="en-AU"/>
              </w:rPr>
            </w:pPr>
            <w:r w:rsidRPr="00DB33BD">
              <w:rPr>
                <w:rFonts w:eastAsia="Times New Roman" w:cstheme="minorHAnsi"/>
                <w:b/>
                <w:bCs/>
                <w:color w:val="262626"/>
                <w:sz w:val="16"/>
                <w:szCs w:val="16"/>
                <w:lang w:eastAsia="en-AU"/>
              </w:rPr>
              <w:t>Removed complexities associated with running two separate programs</w:t>
            </w:r>
          </w:p>
        </w:tc>
        <w:tc>
          <w:tcPr>
            <w:tcW w:w="945" w:type="dxa"/>
            <w:tcBorders>
              <w:top w:val="nil"/>
              <w:left w:val="nil"/>
              <w:bottom w:val="single" w:sz="4" w:space="0" w:color="auto"/>
              <w:right w:val="single" w:sz="4" w:space="0" w:color="auto"/>
            </w:tcBorders>
            <w:shd w:val="clear" w:color="auto" w:fill="auto"/>
            <w:noWrap/>
            <w:vAlign w:val="bottom"/>
            <w:hideMark/>
          </w:tcPr>
          <w:p w14:paraId="32064503"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3592497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4819887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16941698"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4A3379E5"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33D81445"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038E58E3"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06F4AA53"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7336EBE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945" w:type="dxa"/>
            <w:tcBorders>
              <w:top w:val="nil"/>
              <w:left w:val="nil"/>
              <w:bottom w:val="single" w:sz="4" w:space="0" w:color="auto"/>
              <w:right w:val="single" w:sz="4" w:space="0" w:color="auto"/>
            </w:tcBorders>
            <w:shd w:val="clear" w:color="auto" w:fill="auto"/>
            <w:noWrap/>
            <w:vAlign w:val="bottom"/>
            <w:hideMark/>
          </w:tcPr>
          <w:p w14:paraId="1D05984D"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w:t>
            </w:r>
          </w:p>
        </w:tc>
        <w:tc>
          <w:tcPr>
            <w:tcW w:w="1026" w:type="dxa"/>
            <w:tcBorders>
              <w:top w:val="nil"/>
              <w:left w:val="nil"/>
              <w:bottom w:val="single" w:sz="4" w:space="0" w:color="auto"/>
              <w:right w:val="single" w:sz="4" w:space="0" w:color="auto"/>
            </w:tcBorders>
            <w:shd w:val="clear" w:color="auto" w:fill="auto"/>
            <w:noWrap/>
            <w:vAlign w:val="bottom"/>
            <w:hideMark/>
          </w:tcPr>
          <w:p w14:paraId="7AB0743F"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-$7,960</w:t>
            </w:r>
          </w:p>
        </w:tc>
      </w:tr>
      <w:tr w:rsidR="00193BCE" w:rsidRPr="00DB33BD" w14:paraId="15D307FE" w14:textId="77777777" w:rsidTr="002217B2">
        <w:trPr>
          <w:trHeight w:val="675"/>
        </w:trPr>
        <w:tc>
          <w:tcPr>
            <w:tcW w:w="1057" w:type="dxa"/>
            <w:tcBorders>
              <w:top w:val="nil"/>
              <w:left w:val="single" w:sz="4" w:space="0" w:color="auto"/>
              <w:bottom w:val="single" w:sz="4" w:space="0" w:color="auto"/>
              <w:right w:val="single" w:sz="4" w:space="0" w:color="auto"/>
            </w:tcBorders>
            <w:shd w:val="clear" w:color="auto" w:fill="auto"/>
            <w:vAlign w:val="center"/>
            <w:hideMark/>
          </w:tcPr>
          <w:p w14:paraId="6C7D0D10" w14:textId="77777777" w:rsidR="00193BCE" w:rsidRPr="00DB33BD" w:rsidRDefault="006236FA" w:rsidP="002217B2">
            <w:pPr>
              <w:spacing w:after="0" w:line="240" w:lineRule="auto"/>
              <w:rPr>
                <w:rFonts w:eastAsia="Times New Roman" w:cstheme="minorHAnsi"/>
                <w:b/>
                <w:bCs/>
                <w:color w:val="262626"/>
                <w:sz w:val="16"/>
                <w:szCs w:val="16"/>
                <w:lang w:eastAsia="en-AU"/>
              </w:rPr>
            </w:pPr>
            <w:r w:rsidRPr="00DB33BD">
              <w:rPr>
                <w:rFonts w:eastAsia="Times New Roman" w:cstheme="minorHAnsi"/>
                <w:b/>
                <w:bCs/>
                <w:color w:val="262626"/>
                <w:sz w:val="16"/>
                <w:szCs w:val="16"/>
                <w:lang w:eastAsia="en-AU"/>
              </w:rPr>
              <w:t>Time cost of removing the IM BasicsCard technology and systems</w:t>
            </w:r>
          </w:p>
        </w:tc>
        <w:tc>
          <w:tcPr>
            <w:tcW w:w="945" w:type="dxa"/>
            <w:tcBorders>
              <w:top w:val="nil"/>
              <w:left w:val="nil"/>
              <w:bottom w:val="single" w:sz="4" w:space="0" w:color="auto"/>
              <w:right w:val="single" w:sz="4" w:space="0" w:color="auto"/>
            </w:tcBorders>
            <w:shd w:val="clear" w:color="auto" w:fill="auto"/>
            <w:noWrap/>
            <w:vAlign w:val="bottom"/>
            <w:hideMark/>
          </w:tcPr>
          <w:p w14:paraId="146B1B5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6C04D49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105D561E"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67BD70A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69986407"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16424FD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08FCAE4A"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60B70A8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691C8981"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945" w:type="dxa"/>
            <w:tcBorders>
              <w:top w:val="nil"/>
              <w:left w:val="nil"/>
              <w:bottom w:val="single" w:sz="4" w:space="0" w:color="auto"/>
              <w:right w:val="single" w:sz="4" w:space="0" w:color="auto"/>
            </w:tcBorders>
            <w:shd w:val="clear" w:color="auto" w:fill="auto"/>
            <w:noWrap/>
            <w:vAlign w:val="bottom"/>
            <w:hideMark/>
          </w:tcPr>
          <w:p w14:paraId="06D4023E"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w:t>
            </w:r>
          </w:p>
        </w:tc>
        <w:tc>
          <w:tcPr>
            <w:tcW w:w="1026" w:type="dxa"/>
            <w:tcBorders>
              <w:top w:val="nil"/>
              <w:left w:val="nil"/>
              <w:bottom w:val="single" w:sz="4" w:space="0" w:color="auto"/>
              <w:right w:val="single" w:sz="4" w:space="0" w:color="auto"/>
            </w:tcBorders>
            <w:shd w:val="clear" w:color="auto" w:fill="auto"/>
            <w:noWrap/>
            <w:vAlign w:val="bottom"/>
            <w:hideMark/>
          </w:tcPr>
          <w:p w14:paraId="0E66B8FA"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-$3,583,350</w:t>
            </w:r>
          </w:p>
        </w:tc>
      </w:tr>
      <w:tr w:rsidR="00193BCE" w:rsidRPr="00DB33BD" w14:paraId="26D8E6A6" w14:textId="77777777" w:rsidTr="002217B2">
        <w:trPr>
          <w:trHeight w:val="300"/>
        </w:trPr>
        <w:tc>
          <w:tcPr>
            <w:tcW w:w="1057" w:type="dxa"/>
            <w:tcBorders>
              <w:top w:val="nil"/>
              <w:left w:val="single" w:sz="4" w:space="0" w:color="auto"/>
              <w:bottom w:val="single" w:sz="4" w:space="0" w:color="auto"/>
              <w:right w:val="single" w:sz="4" w:space="0" w:color="auto"/>
            </w:tcBorders>
            <w:shd w:val="clear" w:color="auto" w:fill="auto"/>
            <w:vAlign w:val="center"/>
            <w:hideMark/>
          </w:tcPr>
          <w:p w14:paraId="5BE66573" w14:textId="77777777" w:rsidR="00193BCE" w:rsidRPr="00DB33BD" w:rsidRDefault="006236FA" w:rsidP="002217B2">
            <w:pPr>
              <w:spacing w:after="0" w:line="240" w:lineRule="auto"/>
              <w:rPr>
                <w:rFonts w:eastAsia="Times New Roman" w:cstheme="minorHAnsi"/>
                <w:b/>
                <w:bCs/>
                <w:color w:val="262626"/>
                <w:sz w:val="16"/>
                <w:szCs w:val="16"/>
                <w:lang w:eastAsia="en-AU"/>
              </w:rPr>
            </w:pPr>
            <w:r w:rsidRPr="00DB33BD">
              <w:rPr>
                <w:rFonts w:eastAsia="Times New Roman" w:cstheme="minorHAnsi"/>
                <w:b/>
                <w:bCs/>
                <w:color w:val="262626"/>
                <w:sz w:val="16"/>
                <w:szCs w:val="16"/>
                <w:lang w:eastAsia="en-AU"/>
              </w:rPr>
              <w:t>T</w:t>
            </w:r>
            <w:r w:rsidR="00193BCE" w:rsidRPr="00DB33BD">
              <w:rPr>
                <w:rFonts w:eastAsia="Times New Roman" w:cstheme="minorHAnsi"/>
                <w:b/>
                <w:bCs/>
                <w:color w:val="262626"/>
                <w:sz w:val="16"/>
                <w:szCs w:val="16"/>
                <w:lang w:eastAsia="en-AU"/>
              </w:rPr>
              <w:t>otal</w:t>
            </w:r>
            <w:r w:rsidRPr="00DB33BD">
              <w:rPr>
                <w:rFonts w:eastAsia="Times New Roman" w:cstheme="minorHAnsi"/>
                <w:b/>
                <w:bCs/>
                <w:color w:val="262626"/>
                <w:sz w:val="16"/>
                <w:szCs w:val="16"/>
                <w:lang w:eastAsia="en-AU"/>
              </w:rPr>
              <w:t xml:space="preserve"> ($)</w:t>
            </w:r>
          </w:p>
        </w:tc>
        <w:tc>
          <w:tcPr>
            <w:tcW w:w="945" w:type="dxa"/>
            <w:tcBorders>
              <w:top w:val="nil"/>
              <w:left w:val="nil"/>
              <w:bottom w:val="single" w:sz="4" w:space="0" w:color="auto"/>
              <w:right w:val="single" w:sz="4" w:space="0" w:color="auto"/>
            </w:tcBorders>
            <w:shd w:val="clear" w:color="auto" w:fill="auto"/>
            <w:noWrap/>
            <w:vAlign w:val="bottom"/>
            <w:hideMark/>
          </w:tcPr>
          <w:p w14:paraId="30CEE63D"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0C63768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5EC5B2C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6168C240"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0AF10D6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5C9C27C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6DAF8EDB"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030847EC"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6FBBCC9F"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945" w:type="dxa"/>
            <w:tcBorders>
              <w:top w:val="nil"/>
              <w:left w:val="nil"/>
              <w:bottom w:val="single" w:sz="4" w:space="0" w:color="auto"/>
              <w:right w:val="single" w:sz="4" w:space="0" w:color="auto"/>
            </w:tcBorders>
            <w:shd w:val="clear" w:color="auto" w:fill="auto"/>
            <w:noWrap/>
            <w:vAlign w:val="bottom"/>
            <w:hideMark/>
          </w:tcPr>
          <w:p w14:paraId="12A5F032"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w:t>
            </w:r>
          </w:p>
        </w:tc>
        <w:tc>
          <w:tcPr>
            <w:tcW w:w="1026" w:type="dxa"/>
            <w:tcBorders>
              <w:top w:val="nil"/>
              <w:left w:val="nil"/>
              <w:bottom w:val="single" w:sz="4" w:space="0" w:color="auto"/>
              <w:right w:val="single" w:sz="4" w:space="0" w:color="auto"/>
            </w:tcBorders>
            <w:shd w:val="clear" w:color="auto" w:fill="auto"/>
            <w:noWrap/>
            <w:vAlign w:val="bottom"/>
            <w:hideMark/>
          </w:tcPr>
          <w:p w14:paraId="02FC5F19" w14:textId="77777777" w:rsidR="00193BCE" w:rsidRPr="00DB33BD" w:rsidRDefault="00193BCE" w:rsidP="002217B2">
            <w:pPr>
              <w:spacing w:after="0" w:line="240" w:lineRule="auto"/>
              <w:jc w:val="right"/>
              <w:rPr>
                <w:rFonts w:eastAsia="Times New Roman" w:cstheme="minorHAnsi"/>
                <w:color w:val="000000"/>
                <w:sz w:val="16"/>
                <w:szCs w:val="16"/>
                <w:lang w:eastAsia="en-AU"/>
              </w:rPr>
            </w:pPr>
            <w:r w:rsidRPr="00DB33BD">
              <w:rPr>
                <w:rFonts w:eastAsia="Times New Roman" w:cstheme="minorHAnsi"/>
                <w:color w:val="000000"/>
                <w:sz w:val="16"/>
                <w:szCs w:val="16"/>
                <w:lang w:eastAsia="en-AU"/>
              </w:rPr>
              <w:t>-$17,928,692</w:t>
            </w:r>
          </w:p>
        </w:tc>
      </w:tr>
    </w:tbl>
    <w:p w14:paraId="4B6CB3E9" w14:textId="31368DB7" w:rsidR="00C9199E" w:rsidRPr="00DB33BD" w:rsidRDefault="00ED30C0" w:rsidP="00611A0B">
      <w:pPr>
        <w:pStyle w:val="NormalWeb"/>
        <w:rPr>
          <w:rFonts w:eastAsia="Calibri"/>
          <w:b/>
        </w:rPr>
      </w:pPr>
      <w:r w:rsidRPr="00DB33BD">
        <w:rPr>
          <w:rFonts w:eastAsia="Calibri"/>
          <w:b/>
        </w:rPr>
        <w:t>Net Benefit</w:t>
      </w:r>
    </w:p>
    <w:p w14:paraId="243EDF57" w14:textId="77777777" w:rsidR="006B27C0" w:rsidRPr="00761CE7" w:rsidRDefault="0066222F" w:rsidP="00F97294">
      <w:r w:rsidRPr="00DB33BD">
        <w:t xml:space="preserve">IM merchants will have a reduced regulatory burden and some minimal negative impacts. On balance, there is a benefit to former CDC and IM merchants that transition off cashless welfare Under Option 2. By removing the two programs there </w:t>
      </w:r>
      <w:r w:rsidR="00533CC5" w:rsidRPr="00DB33BD">
        <w:t xml:space="preserve">is </w:t>
      </w:r>
      <w:r w:rsidRPr="00DB33BD">
        <w:t xml:space="preserve">a regulatory save of </w:t>
      </w:r>
      <w:r w:rsidR="00203551" w:rsidRPr="00203551">
        <w:t>$18,015,160</w:t>
      </w:r>
      <w:r w:rsidR="00203551">
        <w:t xml:space="preserve"> </w:t>
      </w:r>
      <w:r w:rsidRPr="00DB33BD">
        <w:t>over the 10 years.</w:t>
      </w:r>
    </w:p>
    <w:p w14:paraId="1B0AE373" w14:textId="4042AC36" w:rsidR="00902355" w:rsidRDefault="00FB6FA4" w:rsidP="002A72A1">
      <w:pPr>
        <w:pStyle w:val="Heading4"/>
        <w:rPr>
          <w:rFonts w:eastAsia="Calibri"/>
        </w:rPr>
      </w:pPr>
      <w:r>
        <w:rPr>
          <w:rFonts w:eastAsia="Calibri"/>
        </w:rPr>
        <w:t xml:space="preserve">4.2.2.2.2 </w:t>
      </w:r>
      <w:r w:rsidR="00902355">
        <w:rPr>
          <w:rFonts w:eastAsia="Calibri"/>
        </w:rPr>
        <w:t xml:space="preserve">Movement to </w:t>
      </w:r>
      <w:r w:rsidR="00D154D3">
        <w:t>contemporary card</w:t>
      </w:r>
    </w:p>
    <w:p w14:paraId="0B931AC2" w14:textId="12ED196F" w:rsidR="001F65BE" w:rsidRDefault="00747022" w:rsidP="00ED42A9">
      <w:pPr>
        <w:pStyle w:val="NormalWeb"/>
      </w:pPr>
      <w:r w:rsidRPr="00DF42AE">
        <w:t xml:space="preserve">From 1 July 2023 an interim technology solution will be designed to maintain the functionality of the former CDC card but under the Income Management program. This </w:t>
      </w:r>
      <w:r w:rsidR="00DF42AE">
        <w:t>will see the phase out of the more complicated IM arrangements for merchants</w:t>
      </w:r>
      <w:r w:rsidRPr="00DF42AE">
        <w:t>.</w:t>
      </w:r>
    </w:p>
    <w:p w14:paraId="2CF5645C" w14:textId="4F3729BA" w:rsidR="00ED42A9" w:rsidRDefault="00ED42A9">
      <w:pPr>
        <w:rPr>
          <w:rFonts w:ascii="Calibri" w:eastAsia="Times New Roman" w:hAnsi="Calibri" w:cs="Times New Roman"/>
          <w:color w:val="auto"/>
          <w:szCs w:val="24"/>
          <w:lang w:eastAsia="en-AU"/>
        </w:rPr>
      </w:pPr>
      <w:r>
        <w:br w:type="page"/>
      </w:r>
    </w:p>
    <w:p w14:paraId="257643B8" w14:textId="24E05AE7" w:rsidR="00D54228" w:rsidRPr="00CF1920" w:rsidRDefault="00D54228" w:rsidP="00D54228">
      <w:pPr>
        <w:pStyle w:val="BodyText"/>
        <w:spacing w:before="120" w:after="180"/>
        <w:rPr>
          <w:rFonts w:ascii="Century Gothic" w:eastAsia="Calibri" w:hAnsi="Century Gothic" w:cs="Times New Roman"/>
          <w:b/>
          <w:color w:val="014463"/>
          <w:sz w:val="24"/>
          <w:szCs w:val="24"/>
        </w:rPr>
      </w:pPr>
      <w:r w:rsidRPr="00CF1920">
        <w:rPr>
          <w:b/>
        </w:rPr>
        <w:t>Quantifiable regulatory impacts</w:t>
      </w:r>
    </w:p>
    <w:p w14:paraId="4510A902" w14:textId="77777777" w:rsidR="00D54228" w:rsidRPr="00DB33BD" w:rsidRDefault="00D54228" w:rsidP="00D54228">
      <w:pPr>
        <w:spacing w:before="120" w:after="180" w:line="276" w:lineRule="auto"/>
        <w:rPr>
          <w:rFonts w:ascii="Calibri" w:eastAsia="Calibri" w:hAnsi="Calibri" w:cs="Times New Roman"/>
          <w:color w:val="262626"/>
        </w:rPr>
      </w:pPr>
      <w:r w:rsidRPr="00DB33BD">
        <w:rPr>
          <w:rFonts w:ascii="Calibri" w:eastAsia="Calibri" w:hAnsi="Calibri" w:cs="Times New Roman"/>
          <w:color w:val="262626"/>
        </w:rPr>
        <w:t>Nil</w:t>
      </w:r>
    </w:p>
    <w:p w14:paraId="2B30904A" w14:textId="0B9078D0" w:rsidR="00902355" w:rsidRDefault="00FB6FA4" w:rsidP="002A72A1">
      <w:pPr>
        <w:pStyle w:val="Heading4"/>
        <w:rPr>
          <w:rFonts w:eastAsia="Calibri"/>
        </w:rPr>
      </w:pPr>
      <w:r>
        <w:rPr>
          <w:rFonts w:eastAsia="Calibri"/>
        </w:rPr>
        <w:t xml:space="preserve">4.2.2.2.3 </w:t>
      </w:r>
      <w:r w:rsidR="00EF292F">
        <w:rPr>
          <w:rFonts w:eastAsia="Calibri"/>
        </w:rPr>
        <w:t>M</w:t>
      </w:r>
      <w:r w:rsidR="00902355">
        <w:rPr>
          <w:rFonts w:eastAsia="Calibri"/>
        </w:rPr>
        <w:t xml:space="preserve">erchants </w:t>
      </w:r>
      <w:r w:rsidR="00F541CC">
        <w:rPr>
          <w:rFonts w:eastAsia="Calibri"/>
        </w:rPr>
        <w:t>onboard</w:t>
      </w:r>
      <w:r w:rsidR="004B09CB">
        <w:rPr>
          <w:rFonts w:eastAsia="Calibri"/>
        </w:rPr>
        <w:t>ing</w:t>
      </w:r>
      <w:r w:rsidR="00F541CC">
        <w:rPr>
          <w:rFonts w:eastAsia="Calibri"/>
        </w:rPr>
        <w:t xml:space="preserve"> </w:t>
      </w:r>
      <w:r w:rsidR="004B09CB">
        <w:rPr>
          <w:rFonts w:eastAsia="Calibri"/>
        </w:rPr>
        <w:t>to</w:t>
      </w:r>
      <w:r w:rsidR="00902355">
        <w:rPr>
          <w:rFonts w:eastAsia="Calibri"/>
        </w:rPr>
        <w:t xml:space="preserve"> </w:t>
      </w:r>
      <w:r w:rsidR="00542CEC">
        <w:rPr>
          <w:rFonts w:eastAsia="Calibri"/>
        </w:rPr>
        <w:t>contemporary card</w:t>
      </w:r>
    </w:p>
    <w:p w14:paraId="011C2334" w14:textId="72CC5BB9" w:rsidR="00902355" w:rsidRPr="00DB33BD" w:rsidRDefault="00850420" w:rsidP="00850420">
      <w:pPr>
        <w:pStyle w:val="NormalWeb"/>
        <w:rPr>
          <w:rFonts w:eastAsia="Calibri"/>
        </w:rPr>
      </w:pPr>
      <w:r w:rsidRPr="00DB33BD">
        <w:rPr>
          <w:rFonts w:eastAsia="Calibri"/>
        </w:rPr>
        <w:t xml:space="preserve">In </w:t>
      </w:r>
      <w:r w:rsidR="00051F7B">
        <w:rPr>
          <w:rFonts w:eastAsia="Calibri"/>
        </w:rPr>
        <w:t>y</w:t>
      </w:r>
      <w:r w:rsidRPr="00DB33BD">
        <w:rPr>
          <w:rFonts w:eastAsia="Calibri"/>
        </w:rPr>
        <w:t xml:space="preserve">ear 2 the </w:t>
      </w:r>
      <w:r w:rsidR="00542CEC">
        <w:rPr>
          <w:rFonts w:eastAsia="Calibri"/>
        </w:rPr>
        <w:t>contemporary card</w:t>
      </w:r>
      <w:r w:rsidRPr="00DB33BD">
        <w:rPr>
          <w:rFonts w:eastAsia="Calibri"/>
        </w:rPr>
        <w:t xml:space="preserve"> will be made available to those who vol</w:t>
      </w:r>
      <w:r w:rsidR="00413697" w:rsidRPr="00DB33BD">
        <w:rPr>
          <w:rFonts w:eastAsia="Calibri"/>
        </w:rPr>
        <w:t>unteer for IM. All merchants excep</w:t>
      </w:r>
      <w:r w:rsidRPr="00DB33BD">
        <w:rPr>
          <w:rFonts w:eastAsia="Calibri"/>
        </w:rPr>
        <w:t xml:space="preserve">t for those who sell </w:t>
      </w:r>
      <w:r w:rsidR="00413697" w:rsidRPr="00DB33BD">
        <w:rPr>
          <w:rFonts w:eastAsia="Calibri"/>
        </w:rPr>
        <w:t xml:space="preserve">both </w:t>
      </w:r>
      <w:r w:rsidRPr="00DB33BD">
        <w:rPr>
          <w:rFonts w:eastAsia="Calibri"/>
        </w:rPr>
        <w:t xml:space="preserve">restricted and </w:t>
      </w:r>
      <w:r w:rsidR="00AF3CD4" w:rsidRPr="00DB33BD">
        <w:rPr>
          <w:rFonts w:eastAsia="Calibri"/>
        </w:rPr>
        <w:t>non-restricted</w:t>
      </w:r>
      <w:r w:rsidRPr="00DB33BD">
        <w:rPr>
          <w:rFonts w:eastAsia="Calibri"/>
        </w:rPr>
        <w:t xml:space="preserve"> goods and services will be required to enhance their POS technology to be able to distinguish purchases made by tho</w:t>
      </w:r>
      <w:r w:rsidR="00413697" w:rsidRPr="00DB33BD">
        <w:rPr>
          <w:rFonts w:eastAsia="Calibri"/>
        </w:rPr>
        <w:t xml:space="preserve">se with a </w:t>
      </w:r>
      <w:r w:rsidR="00542CEC">
        <w:rPr>
          <w:rFonts w:eastAsia="Calibri"/>
        </w:rPr>
        <w:t>contemporary card</w:t>
      </w:r>
      <w:r w:rsidR="00413697" w:rsidRPr="00DB33BD">
        <w:rPr>
          <w:rFonts w:eastAsia="Calibri"/>
        </w:rPr>
        <w:t xml:space="preserve">. There is no regulatory cost to </w:t>
      </w:r>
      <w:r w:rsidR="00051F7B">
        <w:rPr>
          <w:rFonts w:eastAsia="Calibri"/>
        </w:rPr>
        <w:t>g</w:t>
      </w:r>
      <w:r w:rsidR="00902355" w:rsidRPr="00DB33BD">
        <w:rPr>
          <w:rFonts w:eastAsia="Calibri"/>
        </w:rPr>
        <w:t xml:space="preserve">eneral merchants </w:t>
      </w:r>
      <w:r w:rsidR="00413697" w:rsidRPr="00DB33BD">
        <w:rPr>
          <w:rFonts w:eastAsia="Calibri"/>
        </w:rPr>
        <w:t xml:space="preserve">who only sell </w:t>
      </w:r>
      <w:r w:rsidR="00AF3CD4" w:rsidRPr="00DB33BD">
        <w:rPr>
          <w:rFonts w:eastAsia="Calibri"/>
        </w:rPr>
        <w:t>non-restricted</w:t>
      </w:r>
      <w:r w:rsidR="00413697" w:rsidRPr="00DB33BD">
        <w:rPr>
          <w:rFonts w:eastAsia="Calibri"/>
        </w:rPr>
        <w:t xml:space="preserve"> goods and services as there is no requirement for them to</w:t>
      </w:r>
      <w:r w:rsidR="003B14FD">
        <w:rPr>
          <w:rFonts w:eastAsia="Calibri"/>
        </w:rPr>
        <w:t xml:space="preserve"> sign an agreement or</w:t>
      </w:r>
      <w:r w:rsidR="00413697" w:rsidRPr="00DB33BD">
        <w:rPr>
          <w:rFonts w:eastAsia="Calibri"/>
        </w:rPr>
        <w:t xml:space="preserve"> adopt any new technology to support the </w:t>
      </w:r>
      <w:r w:rsidR="00542CEC">
        <w:rPr>
          <w:rFonts w:eastAsia="Calibri"/>
        </w:rPr>
        <w:t>contemporary card</w:t>
      </w:r>
      <w:r w:rsidR="00413697" w:rsidRPr="00DB33BD">
        <w:rPr>
          <w:rFonts w:eastAsia="Calibri"/>
        </w:rPr>
        <w:t>.</w:t>
      </w:r>
    </w:p>
    <w:p w14:paraId="2F7F3DD6" w14:textId="5A662041" w:rsidR="00F00F81" w:rsidRPr="00DB33BD" w:rsidRDefault="00413697" w:rsidP="00850420">
      <w:pPr>
        <w:pStyle w:val="BodyText"/>
      </w:pPr>
      <w:r w:rsidRPr="00DB33BD">
        <w:t xml:space="preserve">Those </w:t>
      </w:r>
      <w:r w:rsidR="00841B94">
        <w:t>a</w:t>
      </w:r>
      <w:r w:rsidRPr="00DB33BD">
        <w:t>ffec</w:t>
      </w:r>
      <w:r w:rsidR="009D33F9" w:rsidRPr="00DB33BD">
        <w:t>ted are the former CDC program m</w:t>
      </w:r>
      <w:r w:rsidRPr="00DB33BD">
        <w:t>erchants and IM merchants that sell a mix of restricted and unrestricted goods and services.</w:t>
      </w:r>
    </w:p>
    <w:p w14:paraId="3F73FA35" w14:textId="24E7B262" w:rsidR="00F00F81" w:rsidRPr="00DB33BD" w:rsidRDefault="00F00F81" w:rsidP="00F00F81">
      <w:pPr>
        <w:spacing w:before="120" w:after="180" w:line="276" w:lineRule="auto"/>
        <w:rPr>
          <w:rFonts w:ascii="Calibri" w:eastAsia="Calibri" w:hAnsi="Calibri" w:cs="Times New Roman"/>
          <w:color w:val="262626"/>
        </w:rPr>
      </w:pPr>
      <w:r w:rsidRPr="00DB33BD">
        <w:rPr>
          <w:rFonts w:ascii="Calibri" w:eastAsia="Calibri" w:hAnsi="Calibri" w:cs="Times New Roman"/>
          <w:color w:val="262626"/>
        </w:rPr>
        <w:t>Of the 18,000 IM merchants it is estimated 8,000 do not sell restricted items and will therefore transition to becoming ‘general merchants’. Of the 10,000 remaining 9,500 will be larger merchants with existing PLB technology wh</w:t>
      </w:r>
      <w:r w:rsidR="00DB33BD" w:rsidRPr="00DB33BD">
        <w:rPr>
          <w:rFonts w:ascii="Calibri" w:eastAsia="Calibri" w:hAnsi="Calibri" w:cs="Times New Roman"/>
          <w:color w:val="262626"/>
        </w:rPr>
        <w:t xml:space="preserve">ere there is </w:t>
      </w:r>
      <w:r w:rsidRPr="00DB33BD">
        <w:rPr>
          <w:rFonts w:ascii="Calibri" w:eastAsia="Calibri" w:hAnsi="Calibri" w:cs="Times New Roman"/>
          <w:color w:val="262626"/>
        </w:rPr>
        <w:t>no cost to</w:t>
      </w:r>
      <w:r w:rsidR="00DB33BD" w:rsidRPr="00DB33BD">
        <w:rPr>
          <w:rFonts w:ascii="Calibri" w:eastAsia="Calibri" w:hAnsi="Calibri" w:cs="Times New Roman"/>
          <w:color w:val="262626"/>
        </w:rPr>
        <w:t xml:space="preserve"> </w:t>
      </w:r>
      <w:r w:rsidRPr="00DB33BD">
        <w:rPr>
          <w:rFonts w:ascii="Calibri" w:eastAsia="Calibri" w:hAnsi="Calibri" w:cs="Times New Roman"/>
          <w:color w:val="262626"/>
        </w:rPr>
        <w:t xml:space="preserve">use the </w:t>
      </w:r>
      <w:r w:rsidR="00542CEC">
        <w:rPr>
          <w:rFonts w:eastAsia="Calibri"/>
        </w:rPr>
        <w:t>contemporary card</w:t>
      </w:r>
      <w:r w:rsidRPr="00DB33BD">
        <w:rPr>
          <w:rFonts w:ascii="Calibri" w:eastAsia="Calibri" w:hAnsi="Calibri" w:cs="Times New Roman"/>
          <w:color w:val="262626"/>
        </w:rPr>
        <w:t>. Therefore</w:t>
      </w:r>
      <w:r w:rsidR="00621F99">
        <w:rPr>
          <w:rFonts w:ascii="Calibri" w:eastAsia="Calibri" w:hAnsi="Calibri" w:cs="Times New Roman"/>
          <w:color w:val="262626"/>
        </w:rPr>
        <w:t>,</w:t>
      </w:r>
      <w:r w:rsidRPr="00DB33BD">
        <w:rPr>
          <w:rFonts w:ascii="Calibri" w:eastAsia="Calibri" w:hAnsi="Calibri" w:cs="Times New Roman"/>
          <w:color w:val="262626"/>
        </w:rPr>
        <w:t xml:space="preserve"> only 500 </w:t>
      </w:r>
      <w:r w:rsidR="006334E4">
        <w:rPr>
          <w:rFonts w:ascii="Calibri" w:eastAsia="Calibri" w:hAnsi="Calibri" w:cs="Times New Roman"/>
          <w:color w:val="262626"/>
        </w:rPr>
        <w:t xml:space="preserve">IM merchants </w:t>
      </w:r>
      <w:r w:rsidR="009D33F9" w:rsidRPr="00DB33BD">
        <w:rPr>
          <w:rFonts w:ascii="Calibri" w:eastAsia="Calibri" w:hAnsi="Calibri" w:cs="Times New Roman"/>
          <w:color w:val="262626"/>
        </w:rPr>
        <w:t>need</w:t>
      </w:r>
      <w:r w:rsidRPr="00DB33BD">
        <w:rPr>
          <w:rFonts w:ascii="Calibri" w:eastAsia="Calibri" w:hAnsi="Calibri" w:cs="Times New Roman"/>
          <w:color w:val="262626"/>
        </w:rPr>
        <w:t xml:space="preserve"> to be costed. </w:t>
      </w:r>
    </w:p>
    <w:p w14:paraId="5F52A2D3" w14:textId="62737BED" w:rsidR="004B09CB" w:rsidRPr="00DB33BD" w:rsidRDefault="00413697" w:rsidP="00850420">
      <w:pPr>
        <w:pStyle w:val="BodyText"/>
      </w:pPr>
      <w:r w:rsidRPr="00DB33BD">
        <w:t>I</w:t>
      </w:r>
      <w:r w:rsidR="009A042D" w:rsidRPr="00DB33BD">
        <w:t xml:space="preserve">t is assumed </w:t>
      </w:r>
      <w:r w:rsidR="00DB33BD" w:rsidRPr="00DB33BD">
        <w:t xml:space="preserve">of the </w:t>
      </w:r>
      <w:r w:rsidR="00DB33BD" w:rsidRPr="00621F99">
        <w:t>4</w:t>
      </w:r>
      <w:r w:rsidR="00561C8C" w:rsidRPr="00621F99">
        <w:t>00</w:t>
      </w:r>
      <w:r w:rsidR="009D33F9" w:rsidRPr="00621F99">
        <w:t xml:space="preserve"> former CDC mixed merchants, only </w:t>
      </w:r>
      <w:r w:rsidR="00561C8C" w:rsidRPr="00621F99">
        <w:t>347</w:t>
      </w:r>
      <w:r w:rsidR="009D33F9" w:rsidRPr="00621F99">
        <w:t xml:space="preserve"> </w:t>
      </w:r>
      <w:r w:rsidR="00DB33BD" w:rsidRPr="00621F99">
        <w:t xml:space="preserve">will adopt the </w:t>
      </w:r>
      <w:r w:rsidR="00542CEC">
        <w:rPr>
          <w:rFonts w:eastAsia="Calibri"/>
        </w:rPr>
        <w:t>contemporary card</w:t>
      </w:r>
      <w:r w:rsidR="00DB33BD" w:rsidRPr="00621F99">
        <w:t xml:space="preserve">. There will be 450 of the 500 IM merchants will </w:t>
      </w:r>
      <w:r w:rsidR="00AF3CD4">
        <w:t xml:space="preserve">also adopt the </w:t>
      </w:r>
      <w:r w:rsidR="00542CEC">
        <w:rPr>
          <w:rFonts w:eastAsia="Calibri"/>
        </w:rPr>
        <w:t>contemporary card</w:t>
      </w:r>
      <w:r w:rsidR="00411295">
        <w:rPr>
          <w:rFonts w:eastAsia="Calibri"/>
        </w:rPr>
        <w:t xml:space="preserve"> </w:t>
      </w:r>
      <w:r w:rsidR="00AF3CD4">
        <w:t xml:space="preserve">bringing the total number of merchants with a regulatory cost to </w:t>
      </w:r>
      <w:r w:rsidR="00561C8C" w:rsidRPr="00621F99">
        <w:t>797</w:t>
      </w:r>
      <w:r w:rsidR="004E4AEB">
        <w:t>.</w:t>
      </w:r>
    </w:p>
    <w:p w14:paraId="003D5977" w14:textId="77777777" w:rsidR="004B09CB" w:rsidRPr="00DB33BD" w:rsidRDefault="004B09CB" w:rsidP="00850420">
      <w:pPr>
        <w:pStyle w:val="BodyText"/>
      </w:pPr>
      <w:r w:rsidRPr="00DB33BD">
        <w:t xml:space="preserve">It is </w:t>
      </w:r>
      <w:r w:rsidR="00AE4336" w:rsidRPr="00DB33BD">
        <w:t xml:space="preserve">acknowledged </w:t>
      </w:r>
      <w:r w:rsidRPr="00DB33BD">
        <w:t xml:space="preserve">in some smaller </w:t>
      </w:r>
      <w:r w:rsidR="00156180" w:rsidRPr="00DB33BD">
        <w:t>communities,</w:t>
      </w:r>
      <w:r w:rsidRPr="00DB33BD">
        <w:t xml:space="preserve"> merchants play a variety of roles and are likely to be mixed merchan</w:t>
      </w:r>
      <w:r w:rsidR="00156180" w:rsidRPr="00DB33BD">
        <w:t xml:space="preserve">ts </w:t>
      </w:r>
      <w:r w:rsidR="00AF3CD4">
        <w:t>who</w:t>
      </w:r>
      <w:r w:rsidR="00156180" w:rsidRPr="00DB33BD">
        <w:t xml:space="preserve"> also provide essential services. To support these merchants it is proposed</w:t>
      </w:r>
      <w:r w:rsidR="00AE4336" w:rsidRPr="00DB33BD">
        <w:t xml:space="preserve"> to make</w:t>
      </w:r>
      <w:r w:rsidR="00156180" w:rsidRPr="00DB33BD">
        <w:t xml:space="preserve"> funding available to support </w:t>
      </w:r>
      <w:r w:rsidR="00AF3CD4">
        <w:t>such</w:t>
      </w:r>
      <w:r w:rsidR="00156180" w:rsidRPr="00DB33BD">
        <w:t xml:space="preserve"> businesses in small communities. </w:t>
      </w:r>
      <w:r w:rsidRPr="00DB33BD">
        <w:rPr>
          <w:lang w:eastAsia="en-AU"/>
        </w:rPr>
        <w:t>This will offset the financial and regulatory cost of joining the program so is included as an offset to the cost rather than a benefit.</w:t>
      </w:r>
    </w:p>
    <w:p w14:paraId="4C9DD16B" w14:textId="03662524" w:rsidR="0089754F" w:rsidRPr="00DB33BD" w:rsidRDefault="006334E4" w:rsidP="009266D5">
      <w:pPr>
        <w:spacing w:before="120" w:after="180" w:line="276" w:lineRule="auto"/>
        <w:rPr>
          <w:rFonts w:ascii="Calibri" w:eastAsia="Calibri" w:hAnsi="Calibri" w:cs="Times New Roman"/>
          <w:color w:val="262626"/>
        </w:rPr>
      </w:pPr>
      <w:r>
        <w:rPr>
          <w:rFonts w:ascii="Calibri" w:eastAsia="Calibri" w:hAnsi="Calibri" w:cs="Times New Roman"/>
          <w:color w:val="262626"/>
        </w:rPr>
        <w:t xml:space="preserve">There are approximately 2.5 </w:t>
      </w:r>
      <w:r w:rsidR="0089754F" w:rsidRPr="00DB33BD">
        <w:rPr>
          <w:rFonts w:ascii="Calibri" w:eastAsia="Calibri" w:hAnsi="Calibri" w:cs="Times New Roman"/>
          <w:color w:val="262626"/>
        </w:rPr>
        <w:t>million businesses in Australia.</w:t>
      </w:r>
      <w:r w:rsidR="0089754F" w:rsidRPr="00DB33BD">
        <w:rPr>
          <w:rStyle w:val="FootnoteReference"/>
          <w:rFonts w:ascii="Calibri" w:eastAsia="Calibri" w:hAnsi="Calibri" w:cs="Times New Roman"/>
          <w:color w:val="262626"/>
        </w:rPr>
        <w:footnoteReference w:id="33"/>
      </w:r>
      <w:r w:rsidR="00FD2793">
        <w:rPr>
          <w:rFonts w:ascii="Calibri" w:eastAsia="Calibri" w:hAnsi="Calibri" w:cs="Times New Roman"/>
          <w:color w:val="262626"/>
        </w:rPr>
        <w:t xml:space="preserve"> </w:t>
      </w:r>
      <w:r w:rsidR="0089754F" w:rsidRPr="00DB33BD">
        <w:rPr>
          <w:rFonts w:ascii="Calibri" w:eastAsia="Calibri" w:hAnsi="Calibri" w:cs="Times New Roman"/>
          <w:color w:val="262626"/>
        </w:rPr>
        <w:t>All businesses that are not classified as a mixed or blocked merchant can be classified as a general merchant, including online Australian businesses,</w:t>
      </w:r>
      <w:r w:rsidR="001E1F5D" w:rsidRPr="00DB33BD">
        <w:rPr>
          <w:rFonts w:ascii="Calibri" w:eastAsia="Calibri" w:hAnsi="Calibri" w:cs="Times New Roman"/>
          <w:color w:val="262626"/>
        </w:rPr>
        <w:t xml:space="preserve"> and online business overseas. </w:t>
      </w:r>
      <w:r w:rsidR="0089754F" w:rsidRPr="00DB33BD">
        <w:rPr>
          <w:rFonts w:ascii="Calibri" w:eastAsia="Calibri" w:hAnsi="Calibri" w:cs="Times New Roman"/>
          <w:color w:val="262626"/>
        </w:rPr>
        <w:t xml:space="preserve">However, </w:t>
      </w:r>
      <w:r w:rsidR="00542CEC">
        <w:rPr>
          <w:rFonts w:eastAsia="Calibri"/>
        </w:rPr>
        <w:t>contemporary card</w:t>
      </w:r>
      <w:r w:rsidR="00411295">
        <w:rPr>
          <w:rFonts w:ascii="Calibri" w:eastAsia="Calibri" w:hAnsi="Calibri" w:cs="Times New Roman"/>
          <w:color w:val="262626"/>
        </w:rPr>
        <w:t xml:space="preserve"> </w:t>
      </w:r>
      <w:r w:rsidR="0089754F" w:rsidRPr="00DB33BD">
        <w:rPr>
          <w:rFonts w:ascii="Calibri" w:eastAsia="Calibri" w:hAnsi="Calibri" w:cs="Times New Roman"/>
          <w:color w:val="262626"/>
        </w:rPr>
        <w:t xml:space="preserve">users would likely only engage with a small number of businesses given their locations. The exact number also depends on </w:t>
      </w:r>
      <w:r w:rsidR="00DB33BD" w:rsidRPr="00DB33BD">
        <w:rPr>
          <w:rFonts w:ascii="Calibri" w:eastAsia="Calibri" w:hAnsi="Calibri" w:cs="Times New Roman"/>
          <w:color w:val="262626"/>
        </w:rPr>
        <w:t xml:space="preserve">the </w:t>
      </w:r>
      <w:r w:rsidR="0089754F" w:rsidRPr="00DB33BD">
        <w:rPr>
          <w:rFonts w:ascii="Calibri" w:eastAsia="Calibri" w:hAnsi="Calibri" w:cs="Times New Roman"/>
          <w:color w:val="262626"/>
        </w:rPr>
        <w:t xml:space="preserve">use of online </w:t>
      </w:r>
      <w:r w:rsidR="00AF3CD4">
        <w:rPr>
          <w:rFonts w:ascii="Calibri" w:eastAsia="Calibri" w:hAnsi="Calibri" w:cs="Times New Roman"/>
          <w:color w:val="262626"/>
        </w:rPr>
        <w:t>stores</w:t>
      </w:r>
      <w:r w:rsidR="0089754F" w:rsidRPr="00DB33BD">
        <w:rPr>
          <w:rFonts w:ascii="Calibri" w:eastAsia="Calibri" w:hAnsi="Calibri" w:cs="Times New Roman"/>
          <w:color w:val="262626"/>
        </w:rPr>
        <w:t xml:space="preserve"> by participants</w:t>
      </w:r>
      <w:r w:rsidR="001E1F5D" w:rsidRPr="00DB33BD">
        <w:rPr>
          <w:rFonts w:ascii="Calibri" w:eastAsia="Calibri" w:hAnsi="Calibri" w:cs="Times New Roman"/>
          <w:color w:val="262626"/>
        </w:rPr>
        <w:t xml:space="preserve">. </w:t>
      </w:r>
      <w:r w:rsidR="0089754F" w:rsidRPr="00DB33BD">
        <w:rPr>
          <w:rFonts w:ascii="Calibri" w:eastAsia="Calibri" w:hAnsi="Calibri" w:cs="Times New Roman"/>
          <w:color w:val="262626"/>
        </w:rPr>
        <w:t xml:space="preserve">The number of ‘general merchants’ impacted is unknown however there are no costs associated with them accepting a new card </w:t>
      </w:r>
      <w:r w:rsidR="00AF3CD4">
        <w:rPr>
          <w:rFonts w:ascii="Calibri" w:eastAsia="Calibri" w:hAnsi="Calibri" w:cs="Times New Roman"/>
          <w:color w:val="262626"/>
        </w:rPr>
        <w:t>so can be disc</w:t>
      </w:r>
      <w:r w:rsidR="00FD2793">
        <w:rPr>
          <w:rFonts w:ascii="Calibri" w:eastAsia="Calibri" w:hAnsi="Calibri" w:cs="Times New Roman"/>
          <w:color w:val="262626"/>
        </w:rPr>
        <w:t>ounted from these calculations.</w:t>
      </w:r>
    </w:p>
    <w:p w14:paraId="5D77CFA3" w14:textId="77777777" w:rsidR="009266D5" w:rsidRPr="00DB33BD" w:rsidRDefault="001851AF" w:rsidP="009266D5">
      <w:pPr>
        <w:pStyle w:val="BodyText"/>
      </w:pPr>
      <w:r>
        <w:rPr>
          <w:rFonts w:ascii="Calibri" w:eastAsia="Calibri" w:hAnsi="Calibri" w:cs="Times New Roman"/>
          <w:color w:val="262626"/>
        </w:rPr>
        <w:t xml:space="preserve">There </w:t>
      </w:r>
      <w:r w:rsidR="0089754F" w:rsidRPr="00DB33BD">
        <w:t xml:space="preserve">are also no costs to </w:t>
      </w:r>
      <w:r w:rsidR="00902355" w:rsidRPr="00DB33BD">
        <w:t>Block merchants</w:t>
      </w:r>
      <w:r w:rsidR="009266D5" w:rsidRPr="00DB33BD">
        <w:t xml:space="preserve"> as the</w:t>
      </w:r>
      <w:r w:rsidR="00621F99">
        <w:t xml:space="preserve">y will not be able to accept purchases from the card. </w:t>
      </w:r>
      <w:r w:rsidR="009266D5" w:rsidRPr="00DB33BD">
        <w:t>There are approximately 890 merchants blocked in current CDC and IM locations. It is difficult to estimate whether the number of blocked merchants will increase or decrease as some will become unblocked as the</w:t>
      </w:r>
      <w:r w:rsidR="00DB33BD" w:rsidRPr="00DB33BD">
        <w:t xml:space="preserve">re may not be a voluntary participant in their area </w:t>
      </w:r>
      <w:r w:rsidR="009266D5" w:rsidRPr="00DB33BD">
        <w:t>and others may be blocked as they do not wa</w:t>
      </w:r>
      <w:r w:rsidR="00FD2793">
        <w:t>nt to implement PLB technology.</w:t>
      </w:r>
    </w:p>
    <w:p w14:paraId="5865794E" w14:textId="52697FFF" w:rsidR="009266D5" w:rsidRPr="00DB33BD" w:rsidRDefault="009266D5" w:rsidP="00850420">
      <w:pPr>
        <w:pStyle w:val="BodyText"/>
      </w:pPr>
      <w:r w:rsidRPr="00DB33BD">
        <w:t xml:space="preserve">The regulatory costs for merchants </w:t>
      </w:r>
      <w:r w:rsidR="0004421A" w:rsidRPr="00621F99">
        <w:t xml:space="preserve">transitioning to accept the </w:t>
      </w:r>
      <w:r w:rsidR="00542CEC">
        <w:rPr>
          <w:rFonts w:eastAsia="Calibri"/>
        </w:rPr>
        <w:t>contemporary card</w:t>
      </w:r>
      <w:r w:rsidR="00411295">
        <w:rPr>
          <w:rFonts w:eastAsia="Calibri"/>
        </w:rPr>
        <w:t xml:space="preserve"> </w:t>
      </w:r>
      <w:r w:rsidRPr="00621F99">
        <w:t>has been calculated based on a population of</w:t>
      </w:r>
      <w:r w:rsidR="00561C8C" w:rsidRPr="00621F99">
        <w:t xml:space="preserve"> 797</w:t>
      </w:r>
      <w:r w:rsidR="0004421A" w:rsidRPr="00621F99">
        <w:t xml:space="preserve"> and it is assumed there will be 10 new merchants seeking to accept the </w:t>
      </w:r>
      <w:r w:rsidR="00542CEC">
        <w:rPr>
          <w:rFonts w:eastAsia="Calibri"/>
        </w:rPr>
        <w:t>contemporary card</w:t>
      </w:r>
      <w:r w:rsidR="0004421A" w:rsidRPr="00621F99">
        <w:t xml:space="preserve"> from ye</w:t>
      </w:r>
      <w:r w:rsidR="008E35AA" w:rsidRPr="00621F99">
        <w:t>ar 2</w:t>
      </w:r>
      <w:r w:rsidRPr="00621F99">
        <w:t>.</w:t>
      </w:r>
    </w:p>
    <w:p w14:paraId="47EB7E0D" w14:textId="77777777" w:rsidR="009A042D" w:rsidRPr="00DB33BD" w:rsidRDefault="009A042D" w:rsidP="009A042D">
      <w:pPr>
        <w:rPr>
          <w:b/>
          <w:lang w:eastAsia="en-AU"/>
        </w:rPr>
      </w:pPr>
      <w:r w:rsidRPr="00DB33BD">
        <w:rPr>
          <w:b/>
          <w:lang w:eastAsia="en-AU"/>
        </w:rPr>
        <w:t>Benefits</w:t>
      </w:r>
    </w:p>
    <w:p w14:paraId="304F94F6" w14:textId="0A346630" w:rsidR="001E1F5D" w:rsidRPr="00DB33BD" w:rsidRDefault="009A042D" w:rsidP="00031DCD">
      <w:pPr>
        <w:pStyle w:val="ListParagraph"/>
        <w:numPr>
          <w:ilvl w:val="0"/>
          <w:numId w:val="27"/>
        </w:numPr>
        <w:spacing w:before="120" w:after="180" w:line="276" w:lineRule="auto"/>
        <w:rPr>
          <w:rFonts w:ascii="Calibri" w:eastAsia="Calibri" w:hAnsi="Calibri" w:cs="Times New Roman"/>
          <w:color w:val="262626"/>
        </w:rPr>
      </w:pPr>
      <w:r w:rsidRPr="00DB33BD">
        <w:rPr>
          <w:b/>
          <w:lang w:eastAsia="en-AU"/>
        </w:rPr>
        <w:t xml:space="preserve">Revenue from </w:t>
      </w:r>
      <w:r w:rsidR="00542CEC" w:rsidRPr="00542CEC">
        <w:rPr>
          <w:rFonts w:eastAsia="Calibri"/>
          <w:b/>
        </w:rPr>
        <w:t>contemporary card</w:t>
      </w:r>
      <w:r w:rsidR="00542CEC">
        <w:rPr>
          <w:rFonts w:eastAsia="Calibri"/>
          <w:b/>
        </w:rPr>
        <w:t xml:space="preserve"> </w:t>
      </w:r>
      <w:r w:rsidRPr="00DB33BD">
        <w:rPr>
          <w:b/>
          <w:lang w:eastAsia="en-AU"/>
        </w:rPr>
        <w:t xml:space="preserve">users: </w:t>
      </w:r>
      <w:r w:rsidRPr="00DB33BD">
        <w:rPr>
          <w:lang w:eastAsia="en-AU"/>
        </w:rPr>
        <w:t xml:space="preserve">Mixed merchants will receive revenue from </w:t>
      </w:r>
      <w:r w:rsidR="00411295">
        <w:rPr>
          <w:rFonts w:eastAsia="Calibri"/>
        </w:rPr>
        <w:t xml:space="preserve">contemporary card </w:t>
      </w:r>
      <w:r w:rsidRPr="00DB33BD">
        <w:rPr>
          <w:lang w:eastAsia="en-AU"/>
        </w:rPr>
        <w:t>users if they choose to sign up as a mixed merchant. The financial impact of this would depend on the uptake of the reformed I</w:t>
      </w:r>
      <w:r w:rsidR="00051F7B">
        <w:rPr>
          <w:lang w:eastAsia="en-AU"/>
        </w:rPr>
        <w:t>M</w:t>
      </w:r>
      <w:r w:rsidR="00FD2793">
        <w:rPr>
          <w:lang w:eastAsia="en-AU"/>
        </w:rPr>
        <w:t>.</w:t>
      </w:r>
    </w:p>
    <w:p w14:paraId="78126BD8" w14:textId="77777777" w:rsidR="005E3C47" w:rsidRPr="00DB33BD" w:rsidRDefault="005E3C47" w:rsidP="00031DCD">
      <w:pPr>
        <w:pStyle w:val="ListParagraph"/>
        <w:numPr>
          <w:ilvl w:val="0"/>
          <w:numId w:val="27"/>
        </w:numPr>
        <w:spacing w:before="120" w:after="180" w:line="276" w:lineRule="auto"/>
        <w:rPr>
          <w:rFonts w:ascii="Calibri" w:eastAsia="Calibri" w:hAnsi="Calibri" w:cs="Times New Roman"/>
          <w:color w:val="262626"/>
        </w:rPr>
      </w:pPr>
      <w:r w:rsidRPr="00DB33BD">
        <w:rPr>
          <w:rFonts w:ascii="Calibri" w:eastAsia="Calibri" w:hAnsi="Calibri" w:cs="Times New Roman"/>
          <w:b/>
          <w:color w:val="262626"/>
        </w:rPr>
        <w:t xml:space="preserve">Increased consumption: </w:t>
      </w:r>
      <w:r w:rsidRPr="00DB33BD">
        <w:rPr>
          <w:rFonts w:ascii="Calibri" w:eastAsia="Calibri" w:hAnsi="Calibri" w:cs="Times New Roman"/>
          <w:color w:val="262626"/>
        </w:rPr>
        <w:t xml:space="preserve">There may be an increase in demand for certain goods and services depending on the nature of what the </w:t>
      </w:r>
      <w:r w:rsidR="00313E52">
        <w:rPr>
          <w:rFonts w:ascii="Calibri" w:eastAsia="Calibri" w:hAnsi="Calibri" w:cs="Times New Roman"/>
          <w:color w:val="262626"/>
        </w:rPr>
        <w:t xml:space="preserve">general or mixed </w:t>
      </w:r>
      <w:r w:rsidRPr="00DB33BD">
        <w:rPr>
          <w:rFonts w:ascii="Calibri" w:eastAsia="Calibri" w:hAnsi="Calibri" w:cs="Times New Roman"/>
          <w:color w:val="262626"/>
        </w:rPr>
        <w:t xml:space="preserve">merchant sells. These impacts are expected to be minor as the total amount of money from welfare in the economy </w:t>
      </w:r>
      <w:r w:rsidR="00572579">
        <w:rPr>
          <w:rFonts w:ascii="Calibri" w:eastAsia="Calibri" w:hAnsi="Calibri" w:cs="Times New Roman"/>
          <w:color w:val="262626"/>
        </w:rPr>
        <w:t>remains</w:t>
      </w:r>
      <w:r w:rsidRPr="00DB33BD">
        <w:rPr>
          <w:rFonts w:ascii="Calibri" w:eastAsia="Calibri" w:hAnsi="Calibri" w:cs="Times New Roman"/>
          <w:color w:val="262626"/>
        </w:rPr>
        <w:t xml:space="preserve"> the same, and the Review</w:t>
      </w:r>
      <w:r w:rsidRPr="00DB33BD">
        <w:rPr>
          <w:rStyle w:val="FootnoteReference"/>
          <w:rFonts w:ascii="Calibri" w:eastAsia="Calibri" w:hAnsi="Calibri" w:cs="Times New Roman"/>
          <w:color w:val="262626"/>
        </w:rPr>
        <w:footnoteReference w:id="34"/>
      </w:r>
      <w:r w:rsidRPr="00DB33BD">
        <w:rPr>
          <w:rFonts w:ascii="Calibri" w:eastAsia="Calibri" w:hAnsi="Calibri" w:cs="Times New Roman"/>
          <w:color w:val="262626"/>
        </w:rPr>
        <w:t xml:space="preserve"> suggests there will be limited change in consumption patterns (eg. an increase in alcohol consumption) that would lead to some busine</w:t>
      </w:r>
      <w:r w:rsidR="00C322AF">
        <w:rPr>
          <w:rFonts w:ascii="Calibri" w:eastAsia="Calibri" w:hAnsi="Calibri" w:cs="Times New Roman"/>
          <w:color w:val="262626"/>
        </w:rPr>
        <w:t>sses gaining increased revenue.</w:t>
      </w:r>
    </w:p>
    <w:p w14:paraId="75C02C6F" w14:textId="77777777" w:rsidR="005E3C47" w:rsidRPr="00DB33BD" w:rsidRDefault="006468FB" w:rsidP="00031DCD">
      <w:pPr>
        <w:pStyle w:val="ListParagraph"/>
        <w:numPr>
          <w:ilvl w:val="0"/>
          <w:numId w:val="27"/>
        </w:numPr>
        <w:spacing w:before="120" w:after="180" w:line="276" w:lineRule="auto"/>
        <w:rPr>
          <w:rFonts w:ascii="Calibri" w:eastAsia="Calibri" w:hAnsi="Calibri" w:cs="Times New Roman"/>
          <w:color w:val="262626"/>
        </w:rPr>
      </w:pPr>
      <w:r w:rsidRPr="00DB33BD">
        <w:rPr>
          <w:rFonts w:ascii="Calibri" w:eastAsia="Calibri" w:hAnsi="Calibri" w:cs="Times New Roman"/>
          <w:b/>
          <w:color w:val="262626"/>
        </w:rPr>
        <w:t>For General Merchants there is no new regulation</w:t>
      </w:r>
      <w:r w:rsidR="005E3C47" w:rsidRPr="00DB33BD">
        <w:rPr>
          <w:rFonts w:ascii="Calibri" w:eastAsia="Calibri" w:hAnsi="Calibri" w:cs="Times New Roman"/>
          <w:b/>
          <w:color w:val="262626"/>
        </w:rPr>
        <w:t xml:space="preserve">: </w:t>
      </w:r>
      <w:r w:rsidRPr="00DB33BD">
        <w:rPr>
          <w:rFonts w:ascii="Calibri" w:eastAsia="Calibri" w:hAnsi="Calibri" w:cs="Times New Roman"/>
          <w:color w:val="262626"/>
        </w:rPr>
        <w:t>There is no new regulatory impact</w:t>
      </w:r>
      <w:r w:rsidR="005E3C47" w:rsidRPr="00DB33BD">
        <w:rPr>
          <w:rFonts w:ascii="Calibri" w:eastAsia="Calibri" w:hAnsi="Calibri" w:cs="Times New Roman"/>
          <w:color w:val="262626"/>
        </w:rPr>
        <w:t xml:space="preserve"> as ‘general CDC merchants’ did not have to complete any forms, training or software installation to accept payments from CDC participants. Therefore, the abolishment of CDC does not reduce the regulatory burden.</w:t>
      </w:r>
    </w:p>
    <w:p w14:paraId="68759EF9" w14:textId="77777777" w:rsidR="009A042D" w:rsidRPr="00335A67" w:rsidRDefault="009A042D" w:rsidP="009A042D">
      <w:pPr>
        <w:rPr>
          <w:b/>
          <w:lang w:eastAsia="en-AU"/>
        </w:rPr>
      </w:pPr>
      <w:r w:rsidRPr="00335A67">
        <w:rPr>
          <w:b/>
          <w:lang w:eastAsia="en-AU"/>
        </w:rPr>
        <w:t>Costs</w:t>
      </w:r>
    </w:p>
    <w:p w14:paraId="0360B205" w14:textId="77777777" w:rsidR="002E3C86" w:rsidRPr="00231A2C" w:rsidRDefault="002E3C86" w:rsidP="00747022">
      <w:pPr>
        <w:pStyle w:val="ListParagraph"/>
        <w:numPr>
          <w:ilvl w:val="0"/>
          <w:numId w:val="27"/>
        </w:numPr>
        <w:rPr>
          <w:b/>
          <w:lang w:eastAsia="en-AU"/>
        </w:rPr>
      </w:pPr>
      <w:r w:rsidRPr="00231A2C">
        <w:rPr>
          <w:b/>
          <w:lang w:eastAsia="en-AU"/>
        </w:rPr>
        <w:t xml:space="preserve">One off costs for new merchants: </w:t>
      </w:r>
      <w:r w:rsidRPr="00231A2C">
        <w:rPr>
          <w:lang w:eastAsia="en-AU"/>
        </w:rPr>
        <w:t>There will be one off costs for new merchants required to support p</w:t>
      </w:r>
      <w:r w:rsidR="000F66C2" w:rsidRPr="00231A2C">
        <w:rPr>
          <w:lang w:eastAsia="en-AU"/>
        </w:rPr>
        <w:t>articipants</w:t>
      </w:r>
      <w:r w:rsidRPr="00231A2C">
        <w:rPr>
          <w:lang w:eastAsia="en-AU"/>
        </w:rPr>
        <w:t xml:space="preserve"> through the IM program. It is expected </w:t>
      </w:r>
      <w:r w:rsidR="000F66C2" w:rsidRPr="00231A2C">
        <w:rPr>
          <w:lang w:eastAsia="en-AU"/>
        </w:rPr>
        <w:t>in</w:t>
      </w:r>
      <w:r w:rsidRPr="00231A2C">
        <w:rPr>
          <w:lang w:eastAsia="en-AU"/>
        </w:rPr>
        <w:t xml:space="preserve"> year 2 there will be </w:t>
      </w:r>
      <w:r w:rsidR="00561C8C" w:rsidRPr="00231A2C">
        <w:rPr>
          <w:lang w:eastAsia="en-AU"/>
        </w:rPr>
        <w:t>797</w:t>
      </w:r>
      <w:r w:rsidRPr="00231A2C">
        <w:rPr>
          <w:lang w:eastAsia="en-AU"/>
        </w:rPr>
        <w:t xml:space="preserve"> new merchants requiring 1.5 hours for 1 staff member at the rate of the $79.63 per hour</w:t>
      </w:r>
      <w:r w:rsidR="000F66C2" w:rsidRPr="00231A2C">
        <w:rPr>
          <w:lang w:eastAsia="en-AU"/>
        </w:rPr>
        <w:t xml:space="preserve">. From year 3 onwards is expected only 10 new merchants per year </w:t>
      </w:r>
      <w:r w:rsidR="00E259C5" w:rsidRPr="00231A2C">
        <w:rPr>
          <w:lang w:eastAsia="en-AU"/>
        </w:rPr>
        <w:t>requiring 1.5 hours for 1 staff member at the rate of the $79.63 per hour. Therefore, the</w:t>
      </w:r>
      <w:r w:rsidRPr="00231A2C">
        <w:rPr>
          <w:lang w:eastAsia="en-AU"/>
        </w:rPr>
        <w:t xml:space="preserve"> tota</w:t>
      </w:r>
      <w:r w:rsidR="00E259C5" w:rsidRPr="00231A2C">
        <w:rPr>
          <w:lang w:eastAsia="en-AU"/>
        </w:rPr>
        <w:t>l regulatory cost is</w:t>
      </w:r>
      <w:r w:rsidRPr="00231A2C">
        <w:rPr>
          <w:lang w:eastAsia="en-AU"/>
        </w:rPr>
        <w:t xml:space="preserve"> </w:t>
      </w:r>
      <w:r w:rsidR="00747022" w:rsidRPr="002D6921">
        <w:rPr>
          <w:lang w:eastAsia="en-AU"/>
        </w:rPr>
        <w:t>$104,753</w:t>
      </w:r>
      <w:r w:rsidR="00747022" w:rsidRPr="00231A2C">
        <w:rPr>
          <w:lang w:eastAsia="en-AU"/>
        </w:rPr>
        <w:t xml:space="preserve"> </w:t>
      </w:r>
      <w:r w:rsidRPr="00231A2C">
        <w:rPr>
          <w:lang w:eastAsia="en-AU"/>
        </w:rPr>
        <w:t>over 10 years.</w:t>
      </w:r>
    </w:p>
    <w:p w14:paraId="2F9A0B16" w14:textId="77777777" w:rsidR="009A042D" w:rsidRPr="00335A67" w:rsidRDefault="009A042D" w:rsidP="00031DCD">
      <w:pPr>
        <w:pStyle w:val="ListParagraph"/>
        <w:numPr>
          <w:ilvl w:val="0"/>
          <w:numId w:val="27"/>
        </w:numPr>
        <w:rPr>
          <w:b/>
          <w:lang w:eastAsia="en-AU"/>
        </w:rPr>
      </w:pPr>
      <w:r w:rsidRPr="00335A67">
        <w:rPr>
          <w:b/>
          <w:lang w:eastAsia="en-AU"/>
        </w:rPr>
        <w:t>Ongoing costs:</w:t>
      </w:r>
      <w:r w:rsidRPr="00335A67">
        <w:rPr>
          <w:lang w:eastAsia="en-AU"/>
        </w:rPr>
        <w:t xml:space="preserve"> The cost of continuing to train staff will be the same as the cost under the CDC and IM. Therefore, there is no additional ongoing training cost for existing merchants. For new merchants, they will have to spend around </w:t>
      </w:r>
      <w:r w:rsidR="00314C9C">
        <w:rPr>
          <w:lang w:eastAsia="en-AU"/>
        </w:rPr>
        <w:t>1</w:t>
      </w:r>
      <w:r w:rsidRPr="00335A67">
        <w:rPr>
          <w:lang w:eastAsia="en-AU"/>
        </w:rPr>
        <w:t xml:space="preserve"> hour per year to do compliance activities and ongoing maintenance.</w:t>
      </w:r>
    </w:p>
    <w:p w14:paraId="43A81758" w14:textId="77777777" w:rsidR="006A106D" w:rsidRPr="00CD5DDA" w:rsidRDefault="006A106D" w:rsidP="00CD5DDA">
      <w:pPr>
        <w:rPr>
          <w:b/>
          <w:bCs/>
          <w:color w:val="000000"/>
          <w:lang w:eastAsia="en-AU"/>
        </w:rPr>
      </w:pPr>
      <w:r w:rsidRPr="00CD5DDA">
        <w:rPr>
          <w:b/>
          <w:bCs/>
          <w:color w:val="000000"/>
          <w:lang w:eastAsia="en-AU"/>
        </w:rPr>
        <w:t>Quantifiable regulatory impacts</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Quantifiable regulatory impacts"/>
      </w:tblPr>
      <w:tblGrid>
        <w:gridCol w:w="2269"/>
        <w:gridCol w:w="709"/>
        <w:gridCol w:w="850"/>
        <w:gridCol w:w="851"/>
        <w:gridCol w:w="850"/>
        <w:gridCol w:w="851"/>
        <w:gridCol w:w="850"/>
        <w:gridCol w:w="800"/>
        <w:gridCol w:w="788"/>
        <w:gridCol w:w="834"/>
        <w:gridCol w:w="743"/>
        <w:gridCol w:w="824"/>
      </w:tblGrid>
      <w:tr w:rsidR="0034135D" w:rsidRPr="0034135D" w14:paraId="3B03AE10" w14:textId="77777777" w:rsidTr="00710669">
        <w:trPr>
          <w:trHeight w:val="294"/>
        </w:trPr>
        <w:tc>
          <w:tcPr>
            <w:tcW w:w="2269" w:type="dxa"/>
            <w:noWrap/>
            <w:tcMar>
              <w:top w:w="0" w:type="dxa"/>
              <w:left w:w="108" w:type="dxa"/>
              <w:bottom w:w="0" w:type="dxa"/>
              <w:right w:w="108" w:type="dxa"/>
            </w:tcMar>
            <w:vAlign w:val="bottom"/>
            <w:hideMark/>
          </w:tcPr>
          <w:p w14:paraId="22946855" w14:textId="77777777" w:rsidR="0034135D" w:rsidRPr="0034135D" w:rsidRDefault="0034135D" w:rsidP="0034135D">
            <w:pPr>
              <w:jc w:val="center"/>
              <w:rPr>
                <w:sz w:val="16"/>
                <w:szCs w:val="16"/>
              </w:rPr>
            </w:pPr>
          </w:p>
        </w:tc>
        <w:tc>
          <w:tcPr>
            <w:tcW w:w="709" w:type="dxa"/>
            <w:noWrap/>
            <w:tcMar>
              <w:top w:w="0" w:type="dxa"/>
              <w:left w:w="108" w:type="dxa"/>
              <w:bottom w:w="0" w:type="dxa"/>
              <w:right w:w="108" w:type="dxa"/>
            </w:tcMar>
            <w:vAlign w:val="bottom"/>
            <w:hideMark/>
          </w:tcPr>
          <w:p w14:paraId="327344CB" w14:textId="77777777" w:rsidR="0034135D" w:rsidRPr="0034135D" w:rsidRDefault="0034135D">
            <w:pPr>
              <w:rPr>
                <w:rFonts w:ascii="Calibri" w:hAnsi="Calibri" w:cs="Calibri"/>
                <w:color w:val="000000"/>
                <w:sz w:val="16"/>
                <w:szCs w:val="16"/>
                <w:lang w:eastAsia="en-AU"/>
              </w:rPr>
            </w:pPr>
            <w:r w:rsidRPr="0034135D">
              <w:rPr>
                <w:color w:val="000000"/>
                <w:sz w:val="16"/>
                <w:szCs w:val="16"/>
                <w:lang w:eastAsia="en-AU"/>
              </w:rPr>
              <w:t>yr 1</w:t>
            </w:r>
          </w:p>
        </w:tc>
        <w:tc>
          <w:tcPr>
            <w:tcW w:w="850" w:type="dxa"/>
            <w:noWrap/>
            <w:tcMar>
              <w:top w:w="0" w:type="dxa"/>
              <w:left w:w="108" w:type="dxa"/>
              <w:bottom w:w="0" w:type="dxa"/>
              <w:right w:w="108" w:type="dxa"/>
            </w:tcMar>
            <w:vAlign w:val="bottom"/>
            <w:hideMark/>
          </w:tcPr>
          <w:p w14:paraId="0B22F744" w14:textId="77777777" w:rsidR="0034135D" w:rsidRPr="0034135D" w:rsidRDefault="0034135D">
            <w:pPr>
              <w:rPr>
                <w:color w:val="000000"/>
                <w:sz w:val="16"/>
                <w:szCs w:val="16"/>
                <w:lang w:eastAsia="en-AU"/>
              </w:rPr>
            </w:pPr>
            <w:r w:rsidRPr="0034135D">
              <w:rPr>
                <w:color w:val="000000"/>
                <w:sz w:val="16"/>
                <w:szCs w:val="16"/>
                <w:lang w:eastAsia="en-AU"/>
              </w:rPr>
              <w:t>yr 2</w:t>
            </w:r>
          </w:p>
        </w:tc>
        <w:tc>
          <w:tcPr>
            <w:tcW w:w="851" w:type="dxa"/>
            <w:noWrap/>
            <w:tcMar>
              <w:top w:w="0" w:type="dxa"/>
              <w:left w:w="108" w:type="dxa"/>
              <w:bottom w:w="0" w:type="dxa"/>
              <w:right w:w="108" w:type="dxa"/>
            </w:tcMar>
            <w:vAlign w:val="bottom"/>
            <w:hideMark/>
          </w:tcPr>
          <w:p w14:paraId="5774A52C" w14:textId="77777777" w:rsidR="0034135D" w:rsidRPr="0034135D" w:rsidRDefault="0034135D">
            <w:pPr>
              <w:rPr>
                <w:color w:val="000000"/>
                <w:sz w:val="16"/>
                <w:szCs w:val="16"/>
                <w:lang w:eastAsia="en-AU"/>
              </w:rPr>
            </w:pPr>
            <w:r w:rsidRPr="0034135D">
              <w:rPr>
                <w:color w:val="000000"/>
                <w:sz w:val="16"/>
                <w:szCs w:val="16"/>
                <w:lang w:eastAsia="en-AU"/>
              </w:rPr>
              <w:t>yr 3</w:t>
            </w:r>
          </w:p>
        </w:tc>
        <w:tc>
          <w:tcPr>
            <w:tcW w:w="850" w:type="dxa"/>
            <w:noWrap/>
            <w:tcMar>
              <w:top w:w="0" w:type="dxa"/>
              <w:left w:w="108" w:type="dxa"/>
              <w:bottom w:w="0" w:type="dxa"/>
              <w:right w:w="108" w:type="dxa"/>
            </w:tcMar>
            <w:vAlign w:val="bottom"/>
            <w:hideMark/>
          </w:tcPr>
          <w:p w14:paraId="30F16F0A" w14:textId="77777777" w:rsidR="0034135D" w:rsidRPr="0034135D" w:rsidRDefault="0034135D">
            <w:pPr>
              <w:rPr>
                <w:color w:val="000000"/>
                <w:sz w:val="16"/>
                <w:szCs w:val="16"/>
                <w:lang w:eastAsia="en-AU"/>
              </w:rPr>
            </w:pPr>
            <w:r w:rsidRPr="0034135D">
              <w:rPr>
                <w:color w:val="000000"/>
                <w:sz w:val="16"/>
                <w:szCs w:val="16"/>
                <w:lang w:eastAsia="en-AU"/>
              </w:rPr>
              <w:t>yr 4</w:t>
            </w:r>
          </w:p>
        </w:tc>
        <w:tc>
          <w:tcPr>
            <w:tcW w:w="851" w:type="dxa"/>
            <w:noWrap/>
            <w:tcMar>
              <w:top w:w="0" w:type="dxa"/>
              <w:left w:w="108" w:type="dxa"/>
              <w:bottom w:w="0" w:type="dxa"/>
              <w:right w:w="108" w:type="dxa"/>
            </w:tcMar>
            <w:vAlign w:val="bottom"/>
            <w:hideMark/>
          </w:tcPr>
          <w:p w14:paraId="393D953F" w14:textId="77777777" w:rsidR="0034135D" w:rsidRPr="0034135D" w:rsidRDefault="0034135D">
            <w:pPr>
              <w:rPr>
                <w:color w:val="000000"/>
                <w:sz w:val="16"/>
                <w:szCs w:val="16"/>
                <w:lang w:eastAsia="en-AU"/>
              </w:rPr>
            </w:pPr>
            <w:r w:rsidRPr="0034135D">
              <w:rPr>
                <w:color w:val="000000"/>
                <w:sz w:val="16"/>
                <w:szCs w:val="16"/>
                <w:lang w:eastAsia="en-AU"/>
              </w:rPr>
              <w:t>yr 5</w:t>
            </w:r>
          </w:p>
        </w:tc>
        <w:tc>
          <w:tcPr>
            <w:tcW w:w="850" w:type="dxa"/>
            <w:noWrap/>
            <w:tcMar>
              <w:top w:w="0" w:type="dxa"/>
              <w:left w:w="108" w:type="dxa"/>
              <w:bottom w:w="0" w:type="dxa"/>
              <w:right w:w="108" w:type="dxa"/>
            </w:tcMar>
            <w:vAlign w:val="bottom"/>
            <w:hideMark/>
          </w:tcPr>
          <w:p w14:paraId="0A9357B9" w14:textId="77777777" w:rsidR="0034135D" w:rsidRPr="0034135D" w:rsidRDefault="0034135D">
            <w:pPr>
              <w:rPr>
                <w:color w:val="000000"/>
                <w:sz w:val="16"/>
                <w:szCs w:val="16"/>
                <w:lang w:eastAsia="en-AU"/>
              </w:rPr>
            </w:pPr>
            <w:r w:rsidRPr="0034135D">
              <w:rPr>
                <w:color w:val="000000"/>
                <w:sz w:val="16"/>
                <w:szCs w:val="16"/>
                <w:lang w:eastAsia="en-AU"/>
              </w:rPr>
              <w:t>yr 6</w:t>
            </w:r>
          </w:p>
        </w:tc>
        <w:tc>
          <w:tcPr>
            <w:tcW w:w="800" w:type="dxa"/>
            <w:noWrap/>
            <w:tcMar>
              <w:top w:w="0" w:type="dxa"/>
              <w:left w:w="108" w:type="dxa"/>
              <w:bottom w:w="0" w:type="dxa"/>
              <w:right w:w="108" w:type="dxa"/>
            </w:tcMar>
            <w:vAlign w:val="bottom"/>
            <w:hideMark/>
          </w:tcPr>
          <w:p w14:paraId="519912C5" w14:textId="77777777" w:rsidR="0034135D" w:rsidRPr="0034135D" w:rsidRDefault="0034135D">
            <w:pPr>
              <w:rPr>
                <w:color w:val="000000"/>
                <w:sz w:val="16"/>
                <w:szCs w:val="16"/>
                <w:lang w:eastAsia="en-AU"/>
              </w:rPr>
            </w:pPr>
            <w:r w:rsidRPr="0034135D">
              <w:rPr>
                <w:color w:val="000000"/>
                <w:sz w:val="16"/>
                <w:szCs w:val="16"/>
                <w:lang w:eastAsia="en-AU"/>
              </w:rPr>
              <w:t>yr 7</w:t>
            </w:r>
          </w:p>
        </w:tc>
        <w:tc>
          <w:tcPr>
            <w:tcW w:w="788" w:type="dxa"/>
            <w:noWrap/>
            <w:tcMar>
              <w:top w:w="0" w:type="dxa"/>
              <w:left w:w="108" w:type="dxa"/>
              <w:bottom w:w="0" w:type="dxa"/>
              <w:right w:w="108" w:type="dxa"/>
            </w:tcMar>
            <w:vAlign w:val="bottom"/>
            <w:hideMark/>
          </w:tcPr>
          <w:p w14:paraId="7872031A" w14:textId="77777777" w:rsidR="0034135D" w:rsidRPr="0034135D" w:rsidRDefault="0034135D">
            <w:pPr>
              <w:rPr>
                <w:color w:val="000000"/>
                <w:sz w:val="16"/>
                <w:szCs w:val="16"/>
                <w:lang w:eastAsia="en-AU"/>
              </w:rPr>
            </w:pPr>
            <w:r w:rsidRPr="0034135D">
              <w:rPr>
                <w:color w:val="000000"/>
                <w:sz w:val="16"/>
                <w:szCs w:val="16"/>
                <w:lang w:eastAsia="en-AU"/>
              </w:rPr>
              <w:t>yr 8</w:t>
            </w:r>
          </w:p>
        </w:tc>
        <w:tc>
          <w:tcPr>
            <w:tcW w:w="834" w:type="dxa"/>
            <w:noWrap/>
            <w:tcMar>
              <w:top w:w="0" w:type="dxa"/>
              <w:left w:w="108" w:type="dxa"/>
              <w:bottom w:w="0" w:type="dxa"/>
              <w:right w:w="108" w:type="dxa"/>
            </w:tcMar>
            <w:vAlign w:val="bottom"/>
            <w:hideMark/>
          </w:tcPr>
          <w:p w14:paraId="48EE0018" w14:textId="77777777" w:rsidR="0034135D" w:rsidRPr="0034135D" w:rsidRDefault="0034135D">
            <w:pPr>
              <w:rPr>
                <w:color w:val="000000"/>
                <w:sz w:val="16"/>
                <w:szCs w:val="16"/>
                <w:lang w:eastAsia="en-AU"/>
              </w:rPr>
            </w:pPr>
            <w:r w:rsidRPr="0034135D">
              <w:rPr>
                <w:color w:val="000000"/>
                <w:sz w:val="16"/>
                <w:szCs w:val="16"/>
                <w:lang w:eastAsia="en-AU"/>
              </w:rPr>
              <w:t>yr 9</w:t>
            </w:r>
          </w:p>
        </w:tc>
        <w:tc>
          <w:tcPr>
            <w:tcW w:w="662" w:type="dxa"/>
            <w:noWrap/>
            <w:tcMar>
              <w:top w:w="0" w:type="dxa"/>
              <w:left w:w="108" w:type="dxa"/>
              <w:bottom w:w="0" w:type="dxa"/>
              <w:right w:w="108" w:type="dxa"/>
            </w:tcMar>
            <w:vAlign w:val="bottom"/>
            <w:hideMark/>
          </w:tcPr>
          <w:p w14:paraId="6D86781A" w14:textId="77777777" w:rsidR="0034135D" w:rsidRPr="0034135D" w:rsidRDefault="0034135D">
            <w:pPr>
              <w:rPr>
                <w:color w:val="000000"/>
                <w:sz w:val="16"/>
                <w:szCs w:val="16"/>
                <w:lang w:eastAsia="en-AU"/>
              </w:rPr>
            </w:pPr>
            <w:r w:rsidRPr="0034135D">
              <w:rPr>
                <w:color w:val="000000"/>
                <w:sz w:val="16"/>
                <w:szCs w:val="16"/>
                <w:lang w:eastAsia="en-AU"/>
              </w:rPr>
              <w:t>yr 10</w:t>
            </w:r>
          </w:p>
        </w:tc>
        <w:tc>
          <w:tcPr>
            <w:tcW w:w="744" w:type="dxa"/>
            <w:noWrap/>
            <w:tcMar>
              <w:top w:w="0" w:type="dxa"/>
              <w:left w:w="108" w:type="dxa"/>
              <w:bottom w:w="0" w:type="dxa"/>
              <w:right w:w="108" w:type="dxa"/>
            </w:tcMar>
            <w:vAlign w:val="bottom"/>
            <w:hideMark/>
          </w:tcPr>
          <w:p w14:paraId="5ABA600D" w14:textId="77777777" w:rsidR="0034135D" w:rsidRPr="0034135D" w:rsidRDefault="0034135D">
            <w:pPr>
              <w:rPr>
                <w:color w:val="000000"/>
                <w:sz w:val="16"/>
                <w:szCs w:val="16"/>
                <w:lang w:eastAsia="en-AU"/>
              </w:rPr>
            </w:pPr>
            <w:r w:rsidRPr="0034135D">
              <w:rPr>
                <w:color w:val="000000"/>
                <w:sz w:val="16"/>
                <w:szCs w:val="16"/>
                <w:lang w:eastAsia="en-AU"/>
              </w:rPr>
              <w:t>total</w:t>
            </w:r>
          </w:p>
        </w:tc>
      </w:tr>
      <w:tr w:rsidR="0034135D" w:rsidRPr="00231A2C" w14:paraId="343F90D7" w14:textId="77777777" w:rsidTr="00710669">
        <w:trPr>
          <w:trHeight w:val="457"/>
        </w:trPr>
        <w:tc>
          <w:tcPr>
            <w:tcW w:w="2269" w:type="dxa"/>
            <w:tcMar>
              <w:top w:w="0" w:type="dxa"/>
              <w:left w:w="108" w:type="dxa"/>
              <w:bottom w:w="0" w:type="dxa"/>
              <w:right w:w="108" w:type="dxa"/>
            </w:tcMar>
            <w:vAlign w:val="bottom"/>
            <w:hideMark/>
          </w:tcPr>
          <w:p w14:paraId="17395F67" w14:textId="77777777" w:rsidR="0034135D" w:rsidRPr="0034135D" w:rsidRDefault="0034135D">
            <w:pPr>
              <w:rPr>
                <w:color w:val="000000"/>
                <w:sz w:val="16"/>
                <w:szCs w:val="16"/>
                <w:lang w:eastAsia="en-AU"/>
              </w:rPr>
            </w:pPr>
            <w:r w:rsidRPr="0034135D">
              <w:rPr>
                <w:color w:val="000000"/>
                <w:sz w:val="16"/>
                <w:szCs w:val="16"/>
                <w:lang w:eastAsia="en-AU"/>
              </w:rPr>
              <w:t>One off costs for new merchants</w:t>
            </w:r>
          </w:p>
        </w:tc>
        <w:tc>
          <w:tcPr>
            <w:tcW w:w="709" w:type="dxa"/>
            <w:noWrap/>
            <w:tcMar>
              <w:top w:w="0" w:type="dxa"/>
              <w:left w:w="108" w:type="dxa"/>
              <w:bottom w:w="0" w:type="dxa"/>
              <w:right w:w="108" w:type="dxa"/>
            </w:tcMar>
            <w:vAlign w:val="bottom"/>
            <w:hideMark/>
          </w:tcPr>
          <w:p w14:paraId="0F0D9FC1" w14:textId="77777777" w:rsidR="0034135D" w:rsidRPr="00231A2C" w:rsidRDefault="0034135D">
            <w:pPr>
              <w:jc w:val="right"/>
              <w:rPr>
                <w:color w:val="000000"/>
                <w:sz w:val="16"/>
                <w:szCs w:val="16"/>
                <w:lang w:eastAsia="en-AU"/>
              </w:rPr>
            </w:pPr>
            <w:r w:rsidRPr="00231A2C">
              <w:rPr>
                <w:color w:val="000000"/>
                <w:sz w:val="16"/>
                <w:szCs w:val="16"/>
                <w:lang w:eastAsia="en-AU"/>
              </w:rPr>
              <w:t>$0</w:t>
            </w:r>
          </w:p>
        </w:tc>
        <w:tc>
          <w:tcPr>
            <w:tcW w:w="850" w:type="dxa"/>
            <w:noWrap/>
            <w:tcMar>
              <w:top w:w="0" w:type="dxa"/>
              <w:left w:w="108" w:type="dxa"/>
              <w:bottom w:w="0" w:type="dxa"/>
              <w:right w:w="108" w:type="dxa"/>
            </w:tcMar>
            <w:vAlign w:val="bottom"/>
            <w:hideMark/>
          </w:tcPr>
          <w:p w14:paraId="18B65E78" w14:textId="77777777" w:rsidR="0034135D" w:rsidRPr="00231A2C" w:rsidRDefault="00782E08">
            <w:pPr>
              <w:jc w:val="right"/>
              <w:rPr>
                <w:color w:val="000000"/>
                <w:sz w:val="16"/>
                <w:szCs w:val="16"/>
                <w:lang w:eastAsia="en-AU"/>
              </w:rPr>
            </w:pPr>
            <w:r w:rsidRPr="00231A2C">
              <w:rPr>
                <w:color w:val="000000"/>
                <w:sz w:val="16"/>
                <w:szCs w:val="16"/>
                <w:lang w:eastAsia="en-AU"/>
              </w:rPr>
              <w:t>$95,198</w:t>
            </w:r>
          </w:p>
        </w:tc>
        <w:tc>
          <w:tcPr>
            <w:tcW w:w="851" w:type="dxa"/>
            <w:noWrap/>
            <w:tcMar>
              <w:top w:w="0" w:type="dxa"/>
              <w:left w:w="108" w:type="dxa"/>
              <w:bottom w:w="0" w:type="dxa"/>
              <w:right w:w="108" w:type="dxa"/>
            </w:tcMar>
            <w:vAlign w:val="bottom"/>
            <w:hideMark/>
          </w:tcPr>
          <w:p w14:paraId="2752F3A4"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850" w:type="dxa"/>
            <w:noWrap/>
            <w:tcMar>
              <w:top w:w="0" w:type="dxa"/>
              <w:left w:w="108" w:type="dxa"/>
              <w:bottom w:w="0" w:type="dxa"/>
              <w:right w:w="108" w:type="dxa"/>
            </w:tcMar>
            <w:vAlign w:val="bottom"/>
            <w:hideMark/>
          </w:tcPr>
          <w:p w14:paraId="3459B072"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851" w:type="dxa"/>
            <w:noWrap/>
            <w:tcMar>
              <w:top w:w="0" w:type="dxa"/>
              <w:left w:w="108" w:type="dxa"/>
              <w:bottom w:w="0" w:type="dxa"/>
              <w:right w:w="108" w:type="dxa"/>
            </w:tcMar>
            <w:vAlign w:val="bottom"/>
            <w:hideMark/>
          </w:tcPr>
          <w:p w14:paraId="6FD2E565"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850" w:type="dxa"/>
            <w:noWrap/>
            <w:tcMar>
              <w:top w:w="0" w:type="dxa"/>
              <w:left w:w="108" w:type="dxa"/>
              <w:bottom w:w="0" w:type="dxa"/>
              <w:right w:w="108" w:type="dxa"/>
            </w:tcMar>
            <w:vAlign w:val="bottom"/>
            <w:hideMark/>
          </w:tcPr>
          <w:p w14:paraId="08B747AF"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800" w:type="dxa"/>
            <w:noWrap/>
            <w:tcMar>
              <w:top w:w="0" w:type="dxa"/>
              <w:left w:w="108" w:type="dxa"/>
              <w:bottom w:w="0" w:type="dxa"/>
              <w:right w:w="108" w:type="dxa"/>
            </w:tcMar>
            <w:vAlign w:val="bottom"/>
            <w:hideMark/>
          </w:tcPr>
          <w:p w14:paraId="7A45BEF1"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788" w:type="dxa"/>
            <w:noWrap/>
            <w:tcMar>
              <w:top w:w="0" w:type="dxa"/>
              <w:left w:w="108" w:type="dxa"/>
              <w:bottom w:w="0" w:type="dxa"/>
              <w:right w:w="108" w:type="dxa"/>
            </w:tcMar>
            <w:vAlign w:val="bottom"/>
            <w:hideMark/>
          </w:tcPr>
          <w:p w14:paraId="60BB107F"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834" w:type="dxa"/>
            <w:noWrap/>
            <w:tcMar>
              <w:top w:w="0" w:type="dxa"/>
              <w:left w:w="108" w:type="dxa"/>
              <w:bottom w:w="0" w:type="dxa"/>
              <w:right w:w="108" w:type="dxa"/>
            </w:tcMar>
            <w:vAlign w:val="bottom"/>
            <w:hideMark/>
          </w:tcPr>
          <w:p w14:paraId="0374B62D"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662" w:type="dxa"/>
            <w:noWrap/>
            <w:tcMar>
              <w:top w:w="0" w:type="dxa"/>
              <w:left w:w="108" w:type="dxa"/>
              <w:bottom w:w="0" w:type="dxa"/>
              <w:right w:w="108" w:type="dxa"/>
            </w:tcMar>
            <w:vAlign w:val="bottom"/>
            <w:hideMark/>
          </w:tcPr>
          <w:p w14:paraId="2F7D8E40" w14:textId="77777777" w:rsidR="0034135D" w:rsidRPr="002D6921" w:rsidRDefault="0034135D">
            <w:pPr>
              <w:jc w:val="right"/>
              <w:rPr>
                <w:color w:val="000000"/>
                <w:sz w:val="16"/>
                <w:szCs w:val="16"/>
                <w:lang w:eastAsia="en-AU"/>
              </w:rPr>
            </w:pPr>
            <w:r w:rsidRPr="002D6921">
              <w:rPr>
                <w:color w:val="000000"/>
                <w:sz w:val="16"/>
                <w:szCs w:val="16"/>
                <w:lang w:eastAsia="en-AU"/>
              </w:rPr>
              <w:t>$1,194</w:t>
            </w:r>
          </w:p>
        </w:tc>
        <w:tc>
          <w:tcPr>
            <w:tcW w:w="744" w:type="dxa"/>
            <w:noWrap/>
            <w:tcMar>
              <w:top w:w="0" w:type="dxa"/>
              <w:left w:w="108" w:type="dxa"/>
              <w:bottom w:w="0" w:type="dxa"/>
              <w:right w:w="108" w:type="dxa"/>
            </w:tcMar>
            <w:vAlign w:val="bottom"/>
            <w:hideMark/>
          </w:tcPr>
          <w:p w14:paraId="7EC70609" w14:textId="77777777" w:rsidR="0034135D" w:rsidRPr="002D6921" w:rsidRDefault="00782E08">
            <w:pPr>
              <w:jc w:val="right"/>
              <w:rPr>
                <w:color w:val="000000"/>
                <w:sz w:val="16"/>
                <w:szCs w:val="16"/>
                <w:lang w:eastAsia="en-AU"/>
              </w:rPr>
            </w:pPr>
            <w:r w:rsidRPr="002D6921">
              <w:rPr>
                <w:color w:val="000000"/>
                <w:sz w:val="16"/>
                <w:szCs w:val="16"/>
                <w:lang w:eastAsia="en-AU"/>
              </w:rPr>
              <w:t>$104,753</w:t>
            </w:r>
          </w:p>
        </w:tc>
      </w:tr>
      <w:tr w:rsidR="0034135D" w:rsidRPr="00231A2C" w14:paraId="5C614915" w14:textId="77777777" w:rsidTr="00710669">
        <w:trPr>
          <w:trHeight w:val="457"/>
        </w:trPr>
        <w:tc>
          <w:tcPr>
            <w:tcW w:w="2269" w:type="dxa"/>
            <w:tcMar>
              <w:top w:w="0" w:type="dxa"/>
              <w:left w:w="108" w:type="dxa"/>
              <w:bottom w:w="0" w:type="dxa"/>
              <w:right w:w="108" w:type="dxa"/>
            </w:tcMar>
            <w:vAlign w:val="bottom"/>
            <w:hideMark/>
          </w:tcPr>
          <w:p w14:paraId="05A44E78" w14:textId="77777777" w:rsidR="0034135D" w:rsidRPr="0034135D" w:rsidRDefault="0034135D">
            <w:pPr>
              <w:rPr>
                <w:color w:val="000000"/>
                <w:sz w:val="16"/>
                <w:szCs w:val="16"/>
                <w:lang w:eastAsia="en-AU"/>
              </w:rPr>
            </w:pPr>
            <w:r w:rsidRPr="0034135D">
              <w:rPr>
                <w:color w:val="000000"/>
                <w:sz w:val="16"/>
                <w:szCs w:val="16"/>
                <w:lang w:eastAsia="en-AU"/>
              </w:rPr>
              <w:t>Ongoing Training for staff</w:t>
            </w:r>
          </w:p>
        </w:tc>
        <w:tc>
          <w:tcPr>
            <w:tcW w:w="709" w:type="dxa"/>
            <w:noWrap/>
            <w:tcMar>
              <w:top w:w="0" w:type="dxa"/>
              <w:left w:w="108" w:type="dxa"/>
              <w:bottom w:w="0" w:type="dxa"/>
              <w:right w:w="108" w:type="dxa"/>
            </w:tcMar>
            <w:vAlign w:val="bottom"/>
            <w:hideMark/>
          </w:tcPr>
          <w:p w14:paraId="0B62F437" w14:textId="77777777" w:rsidR="0034135D" w:rsidRPr="00231A2C" w:rsidRDefault="0034135D">
            <w:pPr>
              <w:jc w:val="right"/>
              <w:rPr>
                <w:color w:val="000000"/>
                <w:sz w:val="16"/>
                <w:szCs w:val="16"/>
                <w:lang w:eastAsia="en-AU"/>
              </w:rPr>
            </w:pPr>
            <w:r w:rsidRPr="00231A2C">
              <w:rPr>
                <w:color w:val="000000"/>
                <w:sz w:val="16"/>
                <w:szCs w:val="16"/>
                <w:lang w:eastAsia="en-AU"/>
              </w:rPr>
              <w:t>$0</w:t>
            </w:r>
          </w:p>
        </w:tc>
        <w:tc>
          <w:tcPr>
            <w:tcW w:w="850" w:type="dxa"/>
            <w:noWrap/>
            <w:tcMar>
              <w:top w:w="0" w:type="dxa"/>
              <w:left w:w="108" w:type="dxa"/>
              <w:bottom w:w="0" w:type="dxa"/>
              <w:right w:w="108" w:type="dxa"/>
            </w:tcMar>
            <w:vAlign w:val="bottom"/>
            <w:hideMark/>
          </w:tcPr>
          <w:p w14:paraId="6E3F924F" w14:textId="77777777" w:rsidR="0034135D" w:rsidRPr="00231A2C" w:rsidRDefault="00782E08">
            <w:pPr>
              <w:jc w:val="right"/>
              <w:rPr>
                <w:color w:val="000000"/>
                <w:sz w:val="16"/>
                <w:szCs w:val="16"/>
                <w:lang w:eastAsia="en-AU"/>
              </w:rPr>
            </w:pPr>
            <w:r w:rsidRPr="00231A2C">
              <w:rPr>
                <w:color w:val="000000"/>
                <w:sz w:val="16"/>
                <w:szCs w:val="16"/>
                <w:lang w:eastAsia="en-AU"/>
              </w:rPr>
              <w:t>$15,866</w:t>
            </w:r>
          </w:p>
        </w:tc>
        <w:tc>
          <w:tcPr>
            <w:tcW w:w="851" w:type="dxa"/>
            <w:noWrap/>
            <w:tcMar>
              <w:top w:w="0" w:type="dxa"/>
              <w:left w:w="108" w:type="dxa"/>
              <w:bottom w:w="0" w:type="dxa"/>
              <w:right w:w="108" w:type="dxa"/>
            </w:tcMar>
            <w:vAlign w:val="bottom"/>
            <w:hideMark/>
          </w:tcPr>
          <w:p w14:paraId="17DCC09C"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850" w:type="dxa"/>
            <w:noWrap/>
            <w:tcMar>
              <w:top w:w="0" w:type="dxa"/>
              <w:left w:w="108" w:type="dxa"/>
              <w:bottom w:w="0" w:type="dxa"/>
              <w:right w:w="108" w:type="dxa"/>
            </w:tcMar>
            <w:vAlign w:val="bottom"/>
            <w:hideMark/>
          </w:tcPr>
          <w:p w14:paraId="0AD5E755"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851" w:type="dxa"/>
            <w:noWrap/>
            <w:tcMar>
              <w:top w:w="0" w:type="dxa"/>
              <w:left w:w="108" w:type="dxa"/>
              <w:bottom w:w="0" w:type="dxa"/>
              <w:right w:w="108" w:type="dxa"/>
            </w:tcMar>
            <w:vAlign w:val="bottom"/>
            <w:hideMark/>
          </w:tcPr>
          <w:p w14:paraId="4B18665E"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850" w:type="dxa"/>
            <w:noWrap/>
            <w:tcMar>
              <w:top w:w="0" w:type="dxa"/>
              <w:left w:w="108" w:type="dxa"/>
              <w:bottom w:w="0" w:type="dxa"/>
              <w:right w:w="108" w:type="dxa"/>
            </w:tcMar>
            <w:vAlign w:val="bottom"/>
            <w:hideMark/>
          </w:tcPr>
          <w:p w14:paraId="021C10B9"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800" w:type="dxa"/>
            <w:noWrap/>
            <w:tcMar>
              <w:top w:w="0" w:type="dxa"/>
              <w:left w:w="108" w:type="dxa"/>
              <w:bottom w:w="0" w:type="dxa"/>
              <w:right w:w="108" w:type="dxa"/>
            </w:tcMar>
            <w:vAlign w:val="bottom"/>
            <w:hideMark/>
          </w:tcPr>
          <w:p w14:paraId="09BA4441"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788" w:type="dxa"/>
            <w:noWrap/>
            <w:tcMar>
              <w:top w:w="0" w:type="dxa"/>
              <w:left w:w="108" w:type="dxa"/>
              <w:bottom w:w="0" w:type="dxa"/>
              <w:right w:w="108" w:type="dxa"/>
            </w:tcMar>
            <w:vAlign w:val="bottom"/>
            <w:hideMark/>
          </w:tcPr>
          <w:p w14:paraId="49D92A30"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834" w:type="dxa"/>
            <w:noWrap/>
            <w:tcMar>
              <w:top w:w="0" w:type="dxa"/>
              <w:left w:w="108" w:type="dxa"/>
              <w:bottom w:w="0" w:type="dxa"/>
              <w:right w:w="108" w:type="dxa"/>
            </w:tcMar>
            <w:vAlign w:val="bottom"/>
            <w:hideMark/>
          </w:tcPr>
          <w:p w14:paraId="2B34433A"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662" w:type="dxa"/>
            <w:noWrap/>
            <w:tcMar>
              <w:top w:w="0" w:type="dxa"/>
              <w:left w:w="108" w:type="dxa"/>
              <w:bottom w:w="0" w:type="dxa"/>
              <w:right w:w="108" w:type="dxa"/>
            </w:tcMar>
            <w:vAlign w:val="bottom"/>
            <w:hideMark/>
          </w:tcPr>
          <w:p w14:paraId="0F03E3C9" w14:textId="77777777" w:rsidR="0034135D" w:rsidRPr="00231A2C" w:rsidRDefault="002D6921">
            <w:pPr>
              <w:jc w:val="right"/>
              <w:rPr>
                <w:color w:val="000000"/>
                <w:sz w:val="16"/>
                <w:szCs w:val="16"/>
                <w:lang w:eastAsia="en-AU"/>
              </w:rPr>
            </w:pPr>
            <w:r w:rsidRPr="00231A2C">
              <w:rPr>
                <w:color w:val="000000"/>
                <w:sz w:val="16"/>
                <w:szCs w:val="16"/>
                <w:lang w:eastAsia="en-AU"/>
              </w:rPr>
              <w:t>$15,866</w:t>
            </w:r>
          </w:p>
        </w:tc>
        <w:tc>
          <w:tcPr>
            <w:tcW w:w="744" w:type="dxa"/>
            <w:noWrap/>
            <w:tcMar>
              <w:top w:w="0" w:type="dxa"/>
              <w:left w:w="108" w:type="dxa"/>
              <w:bottom w:w="0" w:type="dxa"/>
              <w:right w:w="108" w:type="dxa"/>
            </w:tcMar>
            <w:vAlign w:val="bottom"/>
            <w:hideMark/>
          </w:tcPr>
          <w:p w14:paraId="23465616" w14:textId="77777777" w:rsidR="0034135D" w:rsidRPr="00231A2C" w:rsidRDefault="002D6921">
            <w:pPr>
              <w:jc w:val="right"/>
              <w:rPr>
                <w:color w:val="000000"/>
                <w:sz w:val="16"/>
                <w:szCs w:val="16"/>
                <w:lang w:eastAsia="en-AU"/>
              </w:rPr>
            </w:pPr>
            <w:r w:rsidRPr="002D6921">
              <w:rPr>
                <w:color w:val="000000"/>
                <w:sz w:val="16"/>
                <w:szCs w:val="16"/>
                <w:lang w:eastAsia="en-AU"/>
              </w:rPr>
              <w:t>$142,796</w:t>
            </w:r>
          </w:p>
        </w:tc>
      </w:tr>
      <w:tr w:rsidR="0034135D" w:rsidRPr="00231A2C" w14:paraId="181AF309" w14:textId="77777777" w:rsidTr="00710669">
        <w:trPr>
          <w:trHeight w:val="457"/>
        </w:trPr>
        <w:tc>
          <w:tcPr>
            <w:tcW w:w="2269" w:type="dxa"/>
            <w:tcMar>
              <w:top w:w="0" w:type="dxa"/>
              <w:left w:w="108" w:type="dxa"/>
              <w:bottom w:w="0" w:type="dxa"/>
              <w:right w:w="108" w:type="dxa"/>
            </w:tcMar>
            <w:vAlign w:val="bottom"/>
            <w:hideMark/>
          </w:tcPr>
          <w:p w14:paraId="1B3D8239" w14:textId="77777777" w:rsidR="0034135D" w:rsidRPr="0034135D" w:rsidRDefault="0034135D">
            <w:pPr>
              <w:rPr>
                <w:color w:val="000000"/>
                <w:sz w:val="16"/>
                <w:szCs w:val="16"/>
                <w:lang w:eastAsia="en-AU"/>
              </w:rPr>
            </w:pPr>
            <w:r w:rsidRPr="0034135D">
              <w:rPr>
                <w:color w:val="000000"/>
                <w:sz w:val="16"/>
                <w:szCs w:val="16"/>
                <w:lang w:eastAsia="en-AU"/>
              </w:rPr>
              <w:t>Annual Compliance</w:t>
            </w:r>
          </w:p>
        </w:tc>
        <w:tc>
          <w:tcPr>
            <w:tcW w:w="709" w:type="dxa"/>
            <w:noWrap/>
            <w:tcMar>
              <w:top w:w="0" w:type="dxa"/>
              <w:left w:w="108" w:type="dxa"/>
              <w:bottom w:w="0" w:type="dxa"/>
              <w:right w:w="108" w:type="dxa"/>
            </w:tcMar>
            <w:vAlign w:val="bottom"/>
            <w:hideMark/>
          </w:tcPr>
          <w:p w14:paraId="21B98526" w14:textId="77777777" w:rsidR="0034135D" w:rsidRPr="00231A2C" w:rsidRDefault="0034135D">
            <w:pPr>
              <w:jc w:val="right"/>
              <w:rPr>
                <w:color w:val="000000"/>
                <w:sz w:val="16"/>
                <w:szCs w:val="16"/>
                <w:lang w:eastAsia="en-AU"/>
              </w:rPr>
            </w:pPr>
            <w:r w:rsidRPr="00231A2C">
              <w:rPr>
                <w:color w:val="000000"/>
                <w:sz w:val="16"/>
                <w:szCs w:val="16"/>
                <w:lang w:eastAsia="en-AU"/>
              </w:rPr>
              <w:t>$0</w:t>
            </w:r>
          </w:p>
        </w:tc>
        <w:tc>
          <w:tcPr>
            <w:tcW w:w="850" w:type="dxa"/>
            <w:noWrap/>
            <w:tcMar>
              <w:top w:w="0" w:type="dxa"/>
              <w:left w:w="108" w:type="dxa"/>
              <w:bottom w:w="0" w:type="dxa"/>
              <w:right w:w="108" w:type="dxa"/>
            </w:tcMar>
            <w:vAlign w:val="bottom"/>
            <w:hideMark/>
          </w:tcPr>
          <w:p w14:paraId="6535BE5F" w14:textId="77777777" w:rsidR="0034135D" w:rsidRPr="00231A2C" w:rsidRDefault="00782E08">
            <w:pPr>
              <w:jc w:val="right"/>
              <w:rPr>
                <w:color w:val="000000"/>
                <w:sz w:val="16"/>
                <w:szCs w:val="16"/>
                <w:lang w:eastAsia="en-AU"/>
              </w:rPr>
            </w:pPr>
            <w:r w:rsidRPr="00231A2C">
              <w:rPr>
                <w:color w:val="000000"/>
                <w:sz w:val="16"/>
                <w:szCs w:val="16"/>
                <w:lang w:eastAsia="en-AU"/>
              </w:rPr>
              <w:t>$63,465</w:t>
            </w:r>
          </w:p>
        </w:tc>
        <w:tc>
          <w:tcPr>
            <w:tcW w:w="851" w:type="dxa"/>
            <w:noWrap/>
            <w:tcMar>
              <w:top w:w="0" w:type="dxa"/>
              <w:left w:w="108" w:type="dxa"/>
              <w:bottom w:w="0" w:type="dxa"/>
              <w:right w:w="108" w:type="dxa"/>
            </w:tcMar>
            <w:vAlign w:val="bottom"/>
            <w:hideMark/>
          </w:tcPr>
          <w:p w14:paraId="59D52BDC"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850" w:type="dxa"/>
            <w:noWrap/>
            <w:tcMar>
              <w:top w:w="0" w:type="dxa"/>
              <w:left w:w="108" w:type="dxa"/>
              <w:bottom w:w="0" w:type="dxa"/>
              <w:right w:w="108" w:type="dxa"/>
            </w:tcMar>
            <w:vAlign w:val="bottom"/>
            <w:hideMark/>
          </w:tcPr>
          <w:p w14:paraId="62007F98"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851" w:type="dxa"/>
            <w:noWrap/>
            <w:tcMar>
              <w:top w:w="0" w:type="dxa"/>
              <w:left w:w="108" w:type="dxa"/>
              <w:bottom w:w="0" w:type="dxa"/>
              <w:right w:w="108" w:type="dxa"/>
            </w:tcMar>
            <w:vAlign w:val="bottom"/>
            <w:hideMark/>
          </w:tcPr>
          <w:p w14:paraId="482BE0E8"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850" w:type="dxa"/>
            <w:noWrap/>
            <w:tcMar>
              <w:top w:w="0" w:type="dxa"/>
              <w:left w:w="108" w:type="dxa"/>
              <w:bottom w:w="0" w:type="dxa"/>
              <w:right w:w="108" w:type="dxa"/>
            </w:tcMar>
            <w:vAlign w:val="bottom"/>
            <w:hideMark/>
          </w:tcPr>
          <w:p w14:paraId="565FF354"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800" w:type="dxa"/>
            <w:noWrap/>
            <w:tcMar>
              <w:top w:w="0" w:type="dxa"/>
              <w:left w:w="108" w:type="dxa"/>
              <w:bottom w:w="0" w:type="dxa"/>
              <w:right w:w="108" w:type="dxa"/>
            </w:tcMar>
            <w:vAlign w:val="bottom"/>
            <w:hideMark/>
          </w:tcPr>
          <w:p w14:paraId="3A06CF8F"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788" w:type="dxa"/>
            <w:noWrap/>
            <w:tcMar>
              <w:top w:w="0" w:type="dxa"/>
              <w:left w:w="108" w:type="dxa"/>
              <w:bottom w:w="0" w:type="dxa"/>
              <w:right w:w="108" w:type="dxa"/>
            </w:tcMar>
            <w:vAlign w:val="bottom"/>
            <w:hideMark/>
          </w:tcPr>
          <w:p w14:paraId="325565F6"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834" w:type="dxa"/>
            <w:noWrap/>
            <w:tcMar>
              <w:top w:w="0" w:type="dxa"/>
              <w:left w:w="108" w:type="dxa"/>
              <w:bottom w:w="0" w:type="dxa"/>
              <w:right w:w="108" w:type="dxa"/>
            </w:tcMar>
            <w:vAlign w:val="bottom"/>
            <w:hideMark/>
          </w:tcPr>
          <w:p w14:paraId="11354D03"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662" w:type="dxa"/>
            <w:noWrap/>
            <w:tcMar>
              <w:top w:w="0" w:type="dxa"/>
              <w:left w:w="108" w:type="dxa"/>
              <w:bottom w:w="0" w:type="dxa"/>
              <w:right w:w="108" w:type="dxa"/>
            </w:tcMar>
            <w:vAlign w:val="bottom"/>
            <w:hideMark/>
          </w:tcPr>
          <w:p w14:paraId="44D819DF" w14:textId="77777777" w:rsidR="0034135D" w:rsidRPr="00231A2C" w:rsidRDefault="002D6921">
            <w:pPr>
              <w:jc w:val="right"/>
              <w:rPr>
                <w:color w:val="000000"/>
                <w:sz w:val="16"/>
                <w:szCs w:val="16"/>
                <w:lang w:eastAsia="en-AU"/>
              </w:rPr>
            </w:pPr>
            <w:r w:rsidRPr="00231A2C">
              <w:rPr>
                <w:color w:val="000000"/>
                <w:sz w:val="16"/>
                <w:szCs w:val="16"/>
                <w:lang w:eastAsia="en-AU"/>
              </w:rPr>
              <w:t>$63,465</w:t>
            </w:r>
          </w:p>
        </w:tc>
        <w:tc>
          <w:tcPr>
            <w:tcW w:w="744" w:type="dxa"/>
            <w:noWrap/>
            <w:tcMar>
              <w:top w:w="0" w:type="dxa"/>
              <w:left w:w="108" w:type="dxa"/>
              <w:bottom w:w="0" w:type="dxa"/>
              <w:right w:w="108" w:type="dxa"/>
            </w:tcMar>
            <w:vAlign w:val="bottom"/>
            <w:hideMark/>
          </w:tcPr>
          <w:p w14:paraId="3165592D" w14:textId="77777777" w:rsidR="0034135D" w:rsidRPr="00231A2C" w:rsidRDefault="002D6921" w:rsidP="001727F9">
            <w:pPr>
              <w:jc w:val="right"/>
              <w:rPr>
                <w:color w:val="000000"/>
                <w:sz w:val="16"/>
                <w:szCs w:val="16"/>
                <w:lang w:eastAsia="en-AU"/>
              </w:rPr>
            </w:pPr>
            <w:r w:rsidRPr="002D6921">
              <w:rPr>
                <w:color w:val="000000"/>
                <w:sz w:val="16"/>
                <w:szCs w:val="16"/>
                <w:lang w:eastAsia="en-AU"/>
              </w:rPr>
              <w:t>$571,186</w:t>
            </w:r>
          </w:p>
        </w:tc>
      </w:tr>
      <w:tr w:rsidR="0034135D" w:rsidRPr="00231A2C" w14:paraId="54A15BE6" w14:textId="77777777" w:rsidTr="00710669">
        <w:trPr>
          <w:trHeight w:val="294"/>
        </w:trPr>
        <w:tc>
          <w:tcPr>
            <w:tcW w:w="2269" w:type="dxa"/>
            <w:noWrap/>
            <w:tcMar>
              <w:top w:w="0" w:type="dxa"/>
              <w:left w:w="108" w:type="dxa"/>
              <w:bottom w:w="0" w:type="dxa"/>
              <w:right w:w="108" w:type="dxa"/>
            </w:tcMar>
            <w:vAlign w:val="bottom"/>
            <w:hideMark/>
          </w:tcPr>
          <w:p w14:paraId="5CEA5205" w14:textId="77777777" w:rsidR="0034135D" w:rsidRPr="0034135D" w:rsidRDefault="0034135D">
            <w:pPr>
              <w:rPr>
                <w:color w:val="000000"/>
                <w:sz w:val="16"/>
                <w:szCs w:val="16"/>
                <w:lang w:eastAsia="en-AU"/>
              </w:rPr>
            </w:pPr>
            <w:r w:rsidRPr="0034135D">
              <w:rPr>
                <w:color w:val="000000"/>
                <w:sz w:val="16"/>
                <w:szCs w:val="16"/>
                <w:lang w:eastAsia="en-AU"/>
              </w:rPr>
              <w:t>Total</w:t>
            </w:r>
          </w:p>
        </w:tc>
        <w:tc>
          <w:tcPr>
            <w:tcW w:w="709" w:type="dxa"/>
            <w:noWrap/>
            <w:tcMar>
              <w:top w:w="0" w:type="dxa"/>
              <w:left w:w="108" w:type="dxa"/>
              <w:bottom w:w="0" w:type="dxa"/>
              <w:right w:w="108" w:type="dxa"/>
            </w:tcMar>
            <w:vAlign w:val="bottom"/>
            <w:hideMark/>
          </w:tcPr>
          <w:p w14:paraId="24597B09" w14:textId="77777777" w:rsidR="0034135D" w:rsidRPr="00231A2C" w:rsidRDefault="0034135D">
            <w:pPr>
              <w:jc w:val="right"/>
              <w:rPr>
                <w:color w:val="000000"/>
                <w:sz w:val="16"/>
                <w:szCs w:val="16"/>
                <w:lang w:eastAsia="en-AU"/>
              </w:rPr>
            </w:pPr>
            <w:r w:rsidRPr="00231A2C">
              <w:rPr>
                <w:color w:val="000000"/>
                <w:sz w:val="16"/>
                <w:szCs w:val="16"/>
                <w:lang w:eastAsia="en-AU"/>
              </w:rPr>
              <w:t>$0</w:t>
            </w:r>
          </w:p>
        </w:tc>
        <w:tc>
          <w:tcPr>
            <w:tcW w:w="850" w:type="dxa"/>
            <w:noWrap/>
            <w:tcMar>
              <w:top w:w="0" w:type="dxa"/>
              <w:left w:w="108" w:type="dxa"/>
              <w:bottom w:w="0" w:type="dxa"/>
              <w:right w:w="108" w:type="dxa"/>
            </w:tcMar>
            <w:vAlign w:val="bottom"/>
            <w:hideMark/>
          </w:tcPr>
          <w:p w14:paraId="17D1CD5B" w14:textId="77777777" w:rsidR="0034135D" w:rsidRPr="00231A2C" w:rsidRDefault="00782E08">
            <w:pPr>
              <w:jc w:val="right"/>
              <w:rPr>
                <w:color w:val="000000"/>
                <w:sz w:val="16"/>
                <w:szCs w:val="16"/>
                <w:lang w:eastAsia="en-AU"/>
              </w:rPr>
            </w:pPr>
            <w:r w:rsidRPr="00231A2C">
              <w:rPr>
                <w:color w:val="000000"/>
                <w:sz w:val="16"/>
                <w:szCs w:val="16"/>
                <w:lang w:eastAsia="en-AU"/>
              </w:rPr>
              <w:t>$174,529</w:t>
            </w:r>
          </w:p>
        </w:tc>
        <w:tc>
          <w:tcPr>
            <w:tcW w:w="851" w:type="dxa"/>
            <w:noWrap/>
            <w:tcMar>
              <w:top w:w="0" w:type="dxa"/>
              <w:left w:w="108" w:type="dxa"/>
              <w:bottom w:w="0" w:type="dxa"/>
              <w:right w:w="108" w:type="dxa"/>
            </w:tcMar>
            <w:vAlign w:val="bottom"/>
            <w:hideMark/>
          </w:tcPr>
          <w:p w14:paraId="66BFE1AA"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850" w:type="dxa"/>
            <w:noWrap/>
            <w:tcMar>
              <w:top w:w="0" w:type="dxa"/>
              <w:left w:w="108" w:type="dxa"/>
              <w:bottom w:w="0" w:type="dxa"/>
              <w:right w:w="108" w:type="dxa"/>
            </w:tcMar>
            <w:vAlign w:val="bottom"/>
            <w:hideMark/>
          </w:tcPr>
          <w:p w14:paraId="6A412D24"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851" w:type="dxa"/>
            <w:noWrap/>
            <w:tcMar>
              <w:top w:w="0" w:type="dxa"/>
              <w:left w:w="108" w:type="dxa"/>
              <w:bottom w:w="0" w:type="dxa"/>
              <w:right w:w="108" w:type="dxa"/>
            </w:tcMar>
            <w:vAlign w:val="bottom"/>
            <w:hideMark/>
          </w:tcPr>
          <w:p w14:paraId="616DBDFB"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850" w:type="dxa"/>
            <w:noWrap/>
            <w:tcMar>
              <w:top w:w="0" w:type="dxa"/>
              <w:left w:w="108" w:type="dxa"/>
              <w:bottom w:w="0" w:type="dxa"/>
              <w:right w:w="108" w:type="dxa"/>
            </w:tcMar>
            <w:vAlign w:val="bottom"/>
            <w:hideMark/>
          </w:tcPr>
          <w:p w14:paraId="4A1E2258"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800" w:type="dxa"/>
            <w:noWrap/>
            <w:tcMar>
              <w:top w:w="0" w:type="dxa"/>
              <w:left w:w="108" w:type="dxa"/>
              <w:bottom w:w="0" w:type="dxa"/>
              <w:right w:w="108" w:type="dxa"/>
            </w:tcMar>
            <w:vAlign w:val="bottom"/>
            <w:hideMark/>
          </w:tcPr>
          <w:p w14:paraId="011873D9"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788" w:type="dxa"/>
            <w:noWrap/>
            <w:tcMar>
              <w:top w:w="0" w:type="dxa"/>
              <w:left w:w="108" w:type="dxa"/>
              <w:bottom w:w="0" w:type="dxa"/>
              <w:right w:w="108" w:type="dxa"/>
            </w:tcMar>
            <w:vAlign w:val="bottom"/>
            <w:hideMark/>
          </w:tcPr>
          <w:p w14:paraId="2220F233"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834" w:type="dxa"/>
            <w:noWrap/>
            <w:tcMar>
              <w:top w:w="0" w:type="dxa"/>
              <w:left w:w="108" w:type="dxa"/>
              <w:bottom w:w="0" w:type="dxa"/>
              <w:right w:w="108" w:type="dxa"/>
            </w:tcMar>
            <w:vAlign w:val="bottom"/>
            <w:hideMark/>
          </w:tcPr>
          <w:p w14:paraId="64F84201"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662" w:type="dxa"/>
            <w:noWrap/>
            <w:tcMar>
              <w:top w:w="0" w:type="dxa"/>
              <w:left w:w="108" w:type="dxa"/>
              <w:bottom w:w="0" w:type="dxa"/>
              <w:right w:w="108" w:type="dxa"/>
            </w:tcMar>
            <w:vAlign w:val="bottom"/>
            <w:hideMark/>
          </w:tcPr>
          <w:p w14:paraId="2308FD8A" w14:textId="77777777" w:rsidR="0034135D" w:rsidRPr="00231A2C" w:rsidRDefault="0034135D">
            <w:pPr>
              <w:jc w:val="right"/>
              <w:rPr>
                <w:color w:val="000000"/>
                <w:sz w:val="16"/>
                <w:szCs w:val="16"/>
                <w:lang w:eastAsia="en-AU"/>
              </w:rPr>
            </w:pPr>
            <w:r w:rsidRPr="00231A2C">
              <w:rPr>
                <w:color w:val="000000"/>
                <w:sz w:val="16"/>
                <w:szCs w:val="16"/>
                <w:lang w:eastAsia="en-AU"/>
              </w:rPr>
              <w:t>$2,190</w:t>
            </w:r>
          </w:p>
        </w:tc>
        <w:tc>
          <w:tcPr>
            <w:tcW w:w="744" w:type="dxa"/>
            <w:noWrap/>
            <w:tcMar>
              <w:top w:w="0" w:type="dxa"/>
              <w:left w:w="108" w:type="dxa"/>
              <w:bottom w:w="0" w:type="dxa"/>
              <w:right w:w="108" w:type="dxa"/>
            </w:tcMar>
            <w:vAlign w:val="bottom"/>
            <w:hideMark/>
          </w:tcPr>
          <w:p w14:paraId="2AF358C6" w14:textId="77777777" w:rsidR="0034135D" w:rsidRPr="00231A2C" w:rsidRDefault="002D6921">
            <w:pPr>
              <w:jc w:val="right"/>
              <w:rPr>
                <w:color w:val="000000"/>
                <w:sz w:val="16"/>
                <w:szCs w:val="16"/>
                <w:lang w:eastAsia="en-AU"/>
              </w:rPr>
            </w:pPr>
            <w:r w:rsidRPr="002D6921">
              <w:rPr>
                <w:color w:val="000000"/>
                <w:sz w:val="16"/>
                <w:szCs w:val="16"/>
                <w:lang w:eastAsia="en-AU"/>
              </w:rPr>
              <w:t>$818,736</w:t>
            </w:r>
          </w:p>
        </w:tc>
      </w:tr>
    </w:tbl>
    <w:p w14:paraId="4D4F7AB1" w14:textId="77777777" w:rsidR="00F97294" w:rsidRDefault="00F97294" w:rsidP="00514BFC">
      <w:pPr>
        <w:rPr>
          <w:b/>
          <w:highlight w:val="yellow"/>
          <w:lang w:eastAsia="en-AU"/>
        </w:rPr>
      </w:pPr>
    </w:p>
    <w:p w14:paraId="7D22C6F7" w14:textId="77777777" w:rsidR="001F65BE" w:rsidRDefault="001F65BE" w:rsidP="00514BFC">
      <w:pPr>
        <w:rPr>
          <w:b/>
          <w:highlight w:val="yellow"/>
          <w:lang w:eastAsia="en-AU"/>
        </w:rPr>
      </w:pPr>
      <w:r>
        <w:rPr>
          <w:b/>
          <w:bCs/>
          <w:color w:val="000000"/>
          <w:lang w:eastAsia="en-AU"/>
        </w:rPr>
        <w:t>One off costs for new merchants</w:t>
      </w:r>
    </w:p>
    <w:tbl>
      <w:tblPr>
        <w:tblW w:w="11076" w:type="dxa"/>
        <w:jc w:val="center"/>
        <w:tblCellMar>
          <w:left w:w="0" w:type="dxa"/>
          <w:right w:w="0" w:type="dxa"/>
        </w:tblCellMar>
        <w:tblLook w:val="04A0" w:firstRow="1" w:lastRow="0" w:firstColumn="1" w:lastColumn="0" w:noHBand="0" w:noVBand="1"/>
        <w:tblDescription w:val="One-off costs for new merchants"/>
      </w:tblPr>
      <w:tblGrid>
        <w:gridCol w:w="3030"/>
        <w:gridCol w:w="611"/>
        <w:gridCol w:w="614"/>
        <w:gridCol w:w="1327"/>
        <w:gridCol w:w="1327"/>
        <w:gridCol w:w="1327"/>
        <w:gridCol w:w="1333"/>
        <w:gridCol w:w="1507"/>
      </w:tblGrid>
      <w:tr w:rsidR="00415466" w14:paraId="7A333891" w14:textId="77777777" w:rsidTr="001F65BE">
        <w:trPr>
          <w:trHeight w:val="297"/>
          <w:jc w:val="center"/>
        </w:trPr>
        <w:tc>
          <w:tcPr>
            <w:tcW w:w="3030"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37FCCC"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61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E9FCBF"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614"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91EEAB"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5314"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7E1AAC" w14:textId="77777777" w:rsidR="00415466" w:rsidRPr="00B173C0" w:rsidRDefault="00415466">
            <w:pPr>
              <w:jc w:val="center"/>
              <w:rPr>
                <w:color w:val="000000"/>
                <w:sz w:val="16"/>
                <w:szCs w:val="16"/>
                <w:lang w:eastAsia="en-AU"/>
              </w:rPr>
            </w:pPr>
            <w:r w:rsidRPr="00B173C0">
              <w:rPr>
                <w:color w:val="000000"/>
                <w:sz w:val="16"/>
                <w:szCs w:val="16"/>
                <w:lang w:eastAsia="en-AU"/>
              </w:rPr>
              <w:t>All</w:t>
            </w:r>
          </w:p>
        </w:tc>
        <w:tc>
          <w:tcPr>
            <w:tcW w:w="150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D1F867" w14:textId="77777777" w:rsidR="00415466" w:rsidRPr="00B173C0" w:rsidRDefault="00415466">
            <w:pPr>
              <w:jc w:val="center"/>
              <w:rPr>
                <w:color w:val="000000"/>
                <w:sz w:val="16"/>
                <w:szCs w:val="16"/>
                <w:lang w:eastAsia="en-AU"/>
              </w:rPr>
            </w:pPr>
            <w:r w:rsidRPr="00B173C0">
              <w:rPr>
                <w:color w:val="000000"/>
                <w:sz w:val="16"/>
                <w:szCs w:val="16"/>
                <w:lang w:eastAsia="en-AU"/>
              </w:rPr>
              <w:t>total</w:t>
            </w:r>
          </w:p>
        </w:tc>
      </w:tr>
      <w:tr w:rsidR="00415466" w14:paraId="6828B86B" w14:textId="77777777" w:rsidTr="001F65BE">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E18E0" w14:textId="77777777" w:rsidR="00415466" w:rsidRPr="00B173C0" w:rsidRDefault="00415466">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D0924" w14:textId="77777777" w:rsidR="00415466" w:rsidRPr="00B173C0" w:rsidRDefault="00415466">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473A9" w14:textId="77777777" w:rsidR="00415466" w:rsidRPr="00B173C0" w:rsidRDefault="00415466">
            <w:pPr>
              <w:rPr>
                <w:color w:val="000000"/>
                <w:sz w:val="16"/>
                <w:szCs w:val="16"/>
                <w:lang w:eastAsia="en-AU"/>
              </w:rPr>
            </w:pP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C5DC1B" w14:textId="77777777" w:rsidR="00415466" w:rsidRPr="00B173C0" w:rsidRDefault="00415466">
            <w:pPr>
              <w:rPr>
                <w:color w:val="000000"/>
                <w:sz w:val="16"/>
                <w:szCs w:val="16"/>
                <w:lang w:eastAsia="en-AU"/>
              </w:rPr>
            </w:pPr>
            <w:r w:rsidRPr="00B173C0">
              <w:rPr>
                <w:color w:val="000000"/>
                <w:sz w:val="16"/>
                <w:szCs w:val="16"/>
                <w:lang w:eastAsia="en-AU"/>
              </w:rPr>
              <w:t>population</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99DD1E" w14:textId="77777777" w:rsidR="00415466" w:rsidRPr="00B173C0" w:rsidRDefault="00415466">
            <w:pPr>
              <w:rPr>
                <w:color w:val="000000"/>
                <w:sz w:val="16"/>
                <w:szCs w:val="16"/>
                <w:lang w:eastAsia="en-AU"/>
              </w:rPr>
            </w:pPr>
            <w:r w:rsidRPr="00B173C0">
              <w:rPr>
                <w:color w:val="000000"/>
                <w:sz w:val="16"/>
                <w:szCs w:val="16"/>
                <w:lang w:eastAsia="en-AU"/>
              </w:rPr>
              <w:t>no staff</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C46B30" w14:textId="642F372A" w:rsidR="00415466" w:rsidRPr="00B173C0" w:rsidRDefault="006A7177">
            <w:pPr>
              <w:rPr>
                <w:color w:val="000000"/>
                <w:sz w:val="16"/>
                <w:szCs w:val="16"/>
                <w:lang w:eastAsia="en-AU"/>
              </w:rPr>
            </w:pPr>
            <w:r w:rsidRPr="00B173C0">
              <w:rPr>
                <w:color w:val="000000"/>
                <w:sz w:val="16"/>
                <w:szCs w:val="16"/>
                <w:lang w:eastAsia="en-AU"/>
              </w:rPr>
              <w:t>T</w:t>
            </w:r>
            <w:r w:rsidR="00415466" w:rsidRPr="00B173C0">
              <w:rPr>
                <w:color w:val="000000"/>
                <w:sz w:val="16"/>
                <w:szCs w:val="16"/>
                <w:lang w:eastAsia="en-AU"/>
              </w:rPr>
              <w:t>ime</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050FF7C" w14:textId="77777777" w:rsidR="00415466" w:rsidRPr="00B173C0" w:rsidRDefault="00415466">
            <w:pPr>
              <w:rPr>
                <w:color w:val="000000"/>
                <w:sz w:val="16"/>
                <w:szCs w:val="16"/>
                <w:lang w:eastAsia="en-AU"/>
              </w:rPr>
            </w:pPr>
            <w:r w:rsidRPr="00B173C0">
              <w:rPr>
                <w:color w:val="000000"/>
                <w:sz w:val="16"/>
                <w:szCs w:val="16"/>
                <w:lang w:eastAsia="en-AU"/>
              </w:rPr>
              <w:t>cost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5F304" w14:textId="77777777" w:rsidR="00415466" w:rsidRPr="00B173C0" w:rsidRDefault="00415466">
            <w:pPr>
              <w:rPr>
                <w:color w:val="000000"/>
                <w:sz w:val="16"/>
                <w:szCs w:val="16"/>
                <w:lang w:eastAsia="en-AU"/>
              </w:rPr>
            </w:pPr>
          </w:p>
        </w:tc>
      </w:tr>
      <w:tr w:rsidR="00415466" w:rsidRPr="00231A2C" w14:paraId="6A4C3498"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37D289" w14:textId="77777777" w:rsidR="00415466" w:rsidRPr="00B173C0" w:rsidRDefault="00415466">
            <w:pPr>
              <w:rPr>
                <w:color w:val="000000"/>
                <w:sz w:val="16"/>
                <w:szCs w:val="16"/>
                <w:lang w:eastAsia="en-AU"/>
              </w:rPr>
            </w:pPr>
            <w:r w:rsidRPr="00B173C0">
              <w:rPr>
                <w:color w:val="000000"/>
                <w:sz w:val="16"/>
                <w:szCs w:val="16"/>
                <w:lang w:eastAsia="en-AU"/>
              </w:rPr>
              <w:t>Year 1</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94C0A9"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B00D01"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EFB1A2"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7E7EA0"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CC93BF"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4CD524"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9975E3" w14:textId="77777777" w:rsidR="00415466" w:rsidRPr="00231A2C" w:rsidRDefault="00415466">
            <w:pPr>
              <w:jc w:val="right"/>
              <w:rPr>
                <w:color w:val="000000"/>
                <w:sz w:val="16"/>
                <w:szCs w:val="16"/>
                <w:lang w:eastAsia="en-AU"/>
              </w:rPr>
            </w:pPr>
            <w:r w:rsidRPr="00231A2C">
              <w:rPr>
                <w:color w:val="000000"/>
                <w:sz w:val="16"/>
                <w:szCs w:val="16"/>
                <w:lang w:eastAsia="en-AU"/>
              </w:rPr>
              <w:t>$0</w:t>
            </w:r>
          </w:p>
        </w:tc>
      </w:tr>
      <w:tr w:rsidR="00415466" w:rsidRPr="00231A2C" w14:paraId="0E14BE26"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8A8EBA" w14:textId="77777777" w:rsidR="00415466" w:rsidRPr="00B173C0" w:rsidRDefault="00415466">
            <w:pPr>
              <w:rPr>
                <w:color w:val="000000"/>
                <w:sz w:val="16"/>
                <w:szCs w:val="16"/>
                <w:lang w:eastAsia="en-AU"/>
              </w:rPr>
            </w:pPr>
            <w:r w:rsidRPr="00B173C0">
              <w:rPr>
                <w:color w:val="000000"/>
                <w:sz w:val="16"/>
                <w:szCs w:val="16"/>
                <w:lang w:eastAsia="en-AU"/>
              </w:rPr>
              <w:t>Year 2</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6923170"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7F748B"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A6F70D" w14:textId="77777777" w:rsidR="00415466" w:rsidRPr="008B0B00" w:rsidRDefault="00747022">
            <w:pPr>
              <w:jc w:val="right"/>
              <w:rPr>
                <w:color w:val="000000"/>
                <w:sz w:val="16"/>
                <w:szCs w:val="16"/>
                <w:lang w:eastAsia="en-AU"/>
              </w:rPr>
            </w:pPr>
            <w:r w:rsidRPr="008B0B00">
              <w:rPr>
                <w:color w:val="000000"/>
                <w:sz w:val="16"/>
                <w:szCs w:val="16"/>
                <w:lang w:eastAsia="en-AU"/>
              </w:rPr>
              <w:t>797</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607F9F"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0CBEB2"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FC7487"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0F2BEC" w14:textId="77777777" w:rsidR="00415466" w:rsidRPr="00231A2C" w:rsidRDefault="00747022">
            <w:pPr>
              <w:jc w:val="right"/>
              <w:rPr>
                <w:color w:val="000000"/>
                <w:sz w:val="16"/>
                <w:szCs w:val="16"/>
                <w:lang w:eastAsia="en-AU"/>
              </w:rPr>
            </w:pPr>
            <w:r w:rsidRPr="00231A2C">
              <w:rPr>
                <w:color w:val="000000"/>
                <w:sz w:val="16"/>
                <w:szCs w:val="16"/>
                <w:lang w:eastAsia="en-AU"/>
              </w:rPr>
              <w:t>$95,198</w:t>
            </w:r>
          </w:p>
        </w:tc>
      </w:tr>
      <w:tr w:rsidR="00415466" w:rsidRPr="00231A2C" w14:paraId="2F4A270B"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CF813C" w14:textId="77777777" w:rsidR="00415466" w:rsidRPr="00B173C0" w:rsidRDefault="00415466">
            <w:pPr>
              <w:rPr>
                <w:color w:val="000000"/>
                <w:sz w:val="16"/>
                <w:szCs w:val="16"/>
                <w:lang w:eastAsia="en-AU"/>
              </w:rPr>
            </w:pPr>
            <w:r w:rsidRPr="00B173C0">
              <w:rPr>
                <w:color w:val="000000"/>
                <w:sz w:val="16"/>
                <w:szCs w:val="16"/>
                <w:lang w:eastAsia="en-AU"/>
              </w:rPr>
              <w:t>Year 3</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9DB4EF"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33225E"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BA5F6A"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EB5BAC"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289A31"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B0394C"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92D6E0"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2B83F2BF"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C89867" w14:textId="77777777" w:rsidR="00415466" w:rsidRPr="00B173C0" w:rsidRDefault="00415466">
            <w:pPr>
              <w:rPr>
                <w:color w:val="000000"/>
                <w:sz w:val="16"/>
                <w:szCs w:val="16"/>
                <w:lang w:eastAsia="en-AU"/>
              </w:rPr>
            </w:pPr>
            <w:r w:rsidRPr="00B173C0">
              <w:rPr>
                <w:color w:val="000000"/>
                <w:sz w:val="16"/>
                <w:szCs w:val="16"/>
                <w:lang w:eastAsia="en-AU"/>
              </w:rPr>
              <w:t>Year 4</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8B853B"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82EBCB"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9CAFE6"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14ECA2"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C6FA23"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76F127"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0E0FE0"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79939748"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004524C" w14:textId="77777777" w:rsidR="00415466" w:rsidRPr="00B173C0" w:rsidRDefault="00415466">
            <w:pPr>
              <w:rPr>
                <w:color w:val="000000"/>
                <w:sz w:val="16"/>
                <w:szCs w:val="16"/>
                <w:lang w:eastAsia="en-AU"/>
              </w:rPr>
            </w:pPr>
            <w:r w:rsidRPr="00B173C0">
              <w:rPr>
                <w:color w:val="000000"/>
                <w:sz w:val="16"/>
                <w:szCs w:val="16"/>
                <w:lang w:eastAsia="en-AU"/>
              </w:rPr>
              <w:t>Year 5</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D5D6F8"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A4CC1F"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37BBC5"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2B4DBC"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51DE9F"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D62B84"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5031CF"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60FB2B17"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1F9121" w14:textId="77777777" w:rsidR="00415466" w:rsidRPr="00B173C0" w:rsidRDefault="00415466">
            <w:pPr>
              <w:rPr>
                <w:color w:val="000000"/>
                <w:sz w:val="16"/>
                <w:szCs w:val="16"/>
                <w:lang w:eastAsia="en-AU"/>
              </w:rPr>
            </w:pPr>
            <w:r w:rsidRPr="00B173C0">
              <w:rPr>
                <w:color w:val="000000"/>
                <w:sz w:val="16"/>
                <w:szCs w:val="16"/>
                <w:lang w:eastAsia="en-AU"/>
              </w:rPr>
              <w:t>Year 6</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0F6F17"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257F80"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99298B"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DB7D63"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65E1CF"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948770"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1C97E0"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60948B52"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B0EC78" w14:textId="77777777" w:rsidR="00415466" w:rsidRPr="00B173C0" w:rsidRDefault="00415466">
            <w:pPr>
              <w:rPr>
                <w:color w:val="000000"/>
                <w:sz w:val="16"/>
                <w:szCs w:val="16"/>
                <w:lang w:eastAsia="en-AU"/>
              </w:rPr>
            </w:pPr>
            <w:r w:rsidRPr="00B173C0">
              <w:rPr>
                <w:color w:val="000000"/>
                <w:sz w:val="16"/>
                <w:szCs w:val="16"/>
                <w:lang w:eastAsia="en-AU"/>
              </w:rPr>
              <w:t>Year 7</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6C8CA4"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5C2946"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A83707"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53BDCA"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A4DBB5"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8D62D5"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154213"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5B49AB4E"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B1C060" w14:textId="77777777" w:rsidR="00415466" w:rsidRPr="00B173C0" w:rsidRDefault="00415466">
            <w:pPr>
              <w:rPr>
                <w:color w:val="000000"/>
                <w:sz w:val="16"/>
                <w:szCs w:val="16"/>
                <w:lang w:eastAsia="en-AU"/>
              </w:rPr>
            </w:pPr>
            <w:r w:rsidRPr="00B173C0">
              <w:rPr>
                <w:color w:val="000000"/>
                <w:sz w:val="16"/>
                <w:szCs w:val="16"/>
                <w:lang w:eastAsia="en-AU"/>
              </w:rPr>
              <w:t>Year 8</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2DF8D1"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AF50E0"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BE913F"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D6D8A1"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4181EA"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21B75D"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843DF5"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512D5EEA"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3DBE3B" w14:textId="77777777" w:rsidR="00415466" w:rsidRPr="00B173C0" w:rsidRDefault="00415466">
            <w:pPr>
              <w:rPr>
                <w:color w:val="000000"/>
                <w:sz w:val="16"/>
                <w:szCs w:val="16"/>
                <w:lang w:eastAsia="en-AU"/>
              </w:rPr>
            </w:pPr>
            <w:r w:rsidRPr="00B173C0">
              <w:rPr>
                <w:color w:val="000000"/>
                <w:sz w:val="16"/>
                <w:szCs w:val="16"/>
                <w:lang w:eastAsia="en-AU"/>
              </w:rPr>
              <w:t>Year 9</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B7B0AE"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01D57C"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67BA75"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68EE20"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84105F"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75090B"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E8C07D"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5E0DAB0D"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9F193D" w14:textId="77777777" w:rsidR="00415466" w:rsidRPr="00B173C0" w:rsidRDefault="00415466">
            <w:pPr>
              <w:rPr>
                <w:color w:val="000000"/>
                <w:sz w:val="16"/>
                <w:szCs w:val="16"/>
                <w:lang w:eastAsia="en-AU"/>
              </w:rPr>
            </w:pPr>
            <w:r w:rsidRPr="00B173C0">
              <w:rPr>
                <w:color w:val="000000"/>
                <w:sz w:val="16"/>
                <w:szCs w:val="16"/>
                <w:lang w:eastAsia="en-AU"/>
              </w:rPr>
              <w:t>Year 10</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981804"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DE5002" w14:textId="77777777" w:rsidR="00415466" w:rsidRPr="00231A2C" w:rsidRDefault="00415466">
            <w:pPr>
              <w:jc w:val="right"/>
              <w:rPr>
                <w:color w:val="000000"/>
                <w:sz w:val="16"/>
                <w:szCs w:val="16"/>
                <w:lang w:eastAsia="en-AU"/>
              </w:rPr>
            </w:pPr>
            <w:r w:rsidRPr="00231A2C">
              <w:rPr>
                <w:color w:val="000000"/>
                <w:sz w:val="16"/>
                <w:szCs w:val="16"/>
                <w:lang w:eastAsia="en-AU"/>
              </w:rPr>
              <w:t>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B02EA0" w14:textId="77777777" w:rsidR="00415466" w:rsidRPr="008B0B00" w:rsidRDefault="00415466">
            <w:pPr>
              <w:jc w:val="right"/>
              <w:rPr>
                <w:color w:val="000000"/>
                <w:sz w:val="16"/>
                <w:szCs w:val="16"/>
                <w:lang w:eastAsia="en-AU"/>
              </w:rPr>
            </w:pPr>
            <w:r w:rsidRPr="008B0B00">
              <w:rPr>
                <w:color w:val="000000"/>
                <w:sz w:val="16"/>
                <w:szCs w:val="16"/>
                <w:lang w:eastAsia="en-AU"/>
              </w:rPr>
              <w:t>10</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F9780E"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7F9950" w14:textId="77777777" w:rsidR="00415466" w:rsidRPr="00231A2C" w:rsidRDefault="00415466">
            <w:pPr>
              <w:jc w:val="right"/>
              <w:rPr>
                <w:color w:val="000000"/>
                <w:sz w:val="16"/>
                <w:szCs w:val="16"/>
                <w:lang w:eastAsia="en-AU"/>
              </w:rPr>
            </w:pPr>
            <w:r w:rsidRPr="00231A2C">
              <w:rPr>
                <w:color w:val="000000"/>
                <w:sz w:val="16"/>
                <w:szCs w:val="16"/>
                <w:lang w:eastAsia="en-AU"/>
              </w:rPr>
              <w:t>1.5</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295F04"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2EE4D5" w14:textId="77777777" w:rsidR="00415466" w:rsidRPr="00231A2C" w:rsidRDefault="00415466">
            <w:pPr>
              <w:jc w:val="right"/>
              <w:rPr>
                <w:color w:val="000000"/>
                <w:sz w:val="16"/>
                <w:szCs w:val="16"/>
                <w:lang w:eastAsia="en-AU"/>
              </w:rPr>
            </w:pPr>
            <w:r w:rsidRPr="00231A2C">
              <w:rPr>
                <w:color w:val="000000"/>
                <w:sz w:val="16"/>
                <w:szCs w:val="16"/>
                <w:lang w:eastAsia="en-AU"/>
              </w:rPr>
              <w:t>$1,194</w:t>
            </w:r>
          </w:p>
        </w:tc>
      </w:tr>
      <w:tr w:rsidR="00415466" w:rsidRPr="00231A2C" w14:paraId="13D863F8" w14:textId="77777777" w:rsidTr="001F65BE">
        <w:trPr>
          <w:trHeight w:val="297"/>
          <w:jc w:val="center"/>
        </w:trPr>
        <w:tc>
          <w:tcPr>
            <w:tcW w:w="30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67EC4F"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6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E183B1" w14:textId="77777777" w:rsidR="00415466" w:rsidRPr="00231A2C" w:rsidRDefault="00415466">
            <w:pPr>
              <w:rPr>
                <w:color w:val="000000"/>
                <w:sz w:val="16"/>
                <w:szCs w:val="16"/>
                <w:lang w:eastAsia="en-AU"/>
              </w:rPr>
            </w:pPr>
            <w:r w:rsidRPr="00231A2C">
              <w:rPr>
                <w:color w:val="000000"/>
                <w:sz w:val="16"/>
                <w:szCs w:val="16"/>
                <w:lang w:eastAsia="en-AU"/>
              </w:rPr>
              <w:t> </w:t>
            </w:r>
          </w:p>
        </w:tc>
        <w:tc>
          <w:tcPr>
            <w:tcW w:w="6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85F3D8" w14:textId="77777777" w:rsidR="00415466" w:rsidRPr="00231A2C" w:rsidRDefault="00415466">
            <w:pPr>
              <w:rPr>
                <w:color w:val="000000"/>
                <w:sz w:val="16"/>
                <w:szCs w:val="16"/>
                <w:lang w:eastAsia="en-AU"/>
              </w:rPr>
            </w:pPr>
            <w:r w:rsidRPr="00231A2C">
              <w:rPr>
                <w:color w:val="000000"/>
                <w:sz w:val="16"/>
                <w:szCs w:val="16"/>
                <w:lang w:eastAsia="en-AU"/>
              </w:rPr>
              <w:t> </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E87772" w14:textId="77777777" w:rsidR="00415466" w:rsidRPr="00231A2C" w:rsidRDefault="00415466">
            <w:pPr>
              <w:rPr>
                <w:color w:val="000000"/>
                <w:sz w:val="16"/>
                <w:szCs w:val="16"/>
                <w:lang w:eastAsia="en-AU"/>
              </w:rPr>
            </w:pPr>
            <w:r w:rsidRPr="00231A2C">
              <w:rPr>
                <w:color w:val="000000"/>
                <w:sz w:val="16"/>
                <w:szCs w:val="16"/>
                <w:lang w:eastAsia="en-AU"/>
              </w:rPr>
              <w:t> </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3AF8F4" w14:textId="77777777" w:rsidR="00415466" w:rsidRPr="00231A2C" w:rsidRDefault="00415466">
            <w:pPr>
              <w:rPr>
                <w:color w:val="000000"/>
                <w:sz w:val="16"/>
                <w:szCs w:val="16"/>
                <w:lang w:eastAsia="en-AU"/>
              </w:rPr>
            </w:pPr>
            <w:r w:rsidRPr="00231A2C">
              <w:rPr>
                <w:color w:val="000000"/>
                <w:sz w:val="16"/>
                <w:szCs w:val="16"/>
                <w:lang w:eastAsia="en-AU"/>
              </w:rPr>
              <w:t> </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6D6661" w14:textId="77777777" w:rsidR="00415466" w:rsidRPr="00231A2C" w:rsidRDefault="00415466">
            <w:pPr>
              <w:rPr>
                <w:color w:val="000000"/>
                <w:sz w:val="16"/>
                <w:szCs w:val="16"/>
                <w:lang w:eastAsia="en-AU"/>
              </w:rPr>
            </w:pPr>
            <w:r w:rsidRPr="00231A2C">
              <w:rPr>
                <w:color w:val="000000"/>
                <w:sz w:val="16"/>
                <w:szCs w:val="16"/>
                <w:lang w:eastAsia="en-AU"/>
              </w:rPr>
              <w:t> </w:t>
            </w:r>
          </w:p>
        </w:tc>
        <w:tc>
          <w:tcPr>
            <w:tcW w:w="13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FD8ADB" w14:textId="77777777" w:rsidR="00415466" w:rsidRPr="00231A2C" w:rsidRDefault="00415466">
            <w:pPr>
              <w:rPr>
                <w:color w:val="000000"/>
                <w:sz w:val="16"/>
                <w:szCs w:val="16"/>
                <w:lang w:eastAsia="en-AU"/>
              </w:rPr>
            </w:pPr>
            <w:r w:rsidRPr="00231A2C">
              <w:rPr>
                <w:color w:val="000000"/>
                <w:sz w:val="16"/>
                <w:szCs w:val="16"/>
                <w:lang w:eastAsia="en-AU"/>
              </w:rPr>
              <w:t>Total</w:t>
            </w:r>
          </w:p>
        </w:tc>
        <w:tc>
          <w:tcPr>
            <w:tcW w:w="15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C4B174" w14:textId="77777777" w:rsidR="00415466" w:rsidRPr="00231A2C" w:rsidRDefault="00415466" w:rsidP="00747022">
            <w:pPr>
              <w:jc w:val="right"/>
              <w:rPr>
                <w:color w:val="000000"/>
                <w:sz w:val="16"/>
                <w:szCs w:val="16"/>
                <w:lang w:eastAsia="en-AU"/>
              </w:rPr>
            </w:pPr>
            <w:r w:rsidRPr="00231A2C">
              <w:rPr>
                <w:color w:val="000000"/>
                <w:sz w:val="16"/>
                <w:szCs w:val="16"/>
                <w:lang w:eastAsia="en-AU"/>
              </w:rPr>
              <w:t>$</w:t>
            </w:r>
            <w:r w:rsidR="00747022" w:rsidRPr="00231A2C">
              <w:rPr>
                <w:color w:val="000000"/>
                <w:sz w:val="16"/>
                <w:szCs w:val="16"/>
                <w:lang w:eastAsia="en-AU"/>
              </w:rPr>
              <w:t>104,753</w:t>
            </w:r>
          </w:p>
        </w:tc>
      </w:tr>
    </w:tbl>
    <w:p w14:paraId="6F7FD6BD" w14:textId="77777777" w:rsidR="00415466" w:rsidRDefault="001F65BE" w:rsidP="00514BFC">
      <w:pPr>
        <w:rPr>
          <w:b/>
          <w:highlight w:val="yellow"/>
          <w:lang w:eastAsia="en-AU"/>
        </w:rPr>
      </w:pPr>
      <w:r w:rsidRPr="00B173C0">
        <w:rPr>
          <w:b/>
          <w:bCs/>
          <w:color w:val="000000"/>
          <w:sz w:val="16"/>
          <w:szCs w:val="16"/>
          <w:lang w:eastAsia="en-AU"/>
        </w:rPr>
        <w:t>Ongoing Training for staff</w:t>
      </w:r>
    </w:p>
    <w:tbl>
      <w:tblPr>
        <w:tblW w:w="10880" w:type="dxa"/>
        <w:jc w:val="center"/>
        <w:tblCellMar>
          <w:left w:w="0" w:type="dxa"/>
          <w:right w:w="0" w:type="dxa"/>
        </w:tblCellMar>
        <w:tblLook w:val="04A0" w:firstRow="1" w:lastRow="0" w:firstColumn="1" w:lastColumn="0" w:noHBand="0" w:noVBand="1"/>
        <w:tblDescription w:val="Ongoing Training for staff"/>
      </w:tblPr>
      <w:tblGrid>
        <w:gridCol w:w="2977"/>
        <w:gridCol w:w="601"/>
        <w:gridCol w:w="601"/>
        <w:gridCol w:w="1305"/>
        <w:gridCol w:w="1305"/>
        <w:gridCol w:w="1305"/>
        <w:gridCol w:w="1305"/>
        <w:gridCol w:w="1481"/>
      </w:tblGrid>
      <w:tr w:rsidR="00415466" w14:paraId="2BDA065A" w14:textId="77777777" w:rsidTr="00A14F51">
        <w:trPr>
          <w:trHeight w:val="306"/>
          <w:jc w:val="center"/>
        </w:trPr>
        <w:tc>
          <w:tcPr>
            <w:tcW w:w="297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5E12F7"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60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0A3C69"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60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BC6834" w14:textId="77777777" w:rsidR="00415466" w:rsidRPr="00B173C0" w:rsidRDefault="00415466">
            <w:pPr>
              <w:jc w:val="center"/>
              <w:rPr>
                <w:color w:val="000000"/>
                <w:sz w:val="16"/>
                <w:szCs w:val="16"/>
                <w:lang w:eastAsia="en-AU"/>
              </w:rPr>
            </w:pPr>
            <w:r w:rsidRPr="00B173C0">
              <w:rPr>
                <w:color w:val="000000"/>
                <w:sz w:val="16"/>
                <w:szCs w:val="16"/>
                <w:lang w:eastAsia="en-AU"/>
              </w:rPr>
              <w:t> </w:t>
            </w:r>
          </w:p>
        </w:tc>
        <w:tc>
          <w:tcPr>
            <w:tcW w:w="5220"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F6677C" w14:textId="77777777" w:rsidR="00415466" w:rsidRPr="00B173C0" w:rsidRDefault="00415466">
            <w:pPr>
              <w:jc w:val="center"/>
              <w:rPr>
                <w:color w:val="000000"/>
                <w:sz w:val="16"/>
                <w:szCs w:val="16"/>
                <w:lang w:eastAsia="en-AU"/>
              </w:rPr>
            </w:pPr>
            <w:r w:rsidRPr="00B173C0">
              <w:rPr>
                <w:color w:val="000000"/>
                <w:sz w:val="16"/>
                <w:szCs w:val="16"/>
                <w:lang w:eastAsia="en-AU"/>
              </w:rPr>
              <w:t>All</w:t>
            </w:r>
          </w:p>
        </w:tc>
        <w:tc>
          <w:tcPr>
            <w:tcW w:w="148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ECDCA9" w14:textId="77777777" w:rsidR="00415466" w:rsidRPr="00B173C0" w:rsidRDefault="00415466">
            <w:pPr>
              <w:jc w:val="center"/>
              <w:rPr>
                <w:color w:val="000000"/>
                <w:sz w:val="16"/>
                <w:szCs w:val="16"/>
                <w:lang w:eastAsia="en-AU"/>
              </w:rPr>
            </w:pPr>
            <w:r w:rsidRPr="00B173C0">
              <w:rPr>
                <w:color w:val="000000"/>
                <w:sz w:val="16"/>
                <w:szCs w:val="16"/>
                <w:lang w:eastAsia="en-AU"/>
              </w:rPr>
              <w:t>total</w:t>
            </w:r>
          </w:p>
        </w:tc>
      </w:tr>
      <w:tr w:rsidR="00415466" w14:paraId="2F72B669" w14:textId="77777777" w:rsidTr="00A14F5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2850F" w14:textId="77777777" w:rsidR="00415466" w:rsidRPr="00B173C0" w:rsidRDefault="00415466">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76C89" w14:textId="77777777" w:rsidR="00415466" w:rsidRPr="00B173C0" w:rsidRDefault="00415466">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BA6AC" w14:textId="77777777" w:rsidR="00415466" w:rsidRPr="00B173C0" w:rsidRDefault="00415466">
            <w:pPr>
              <w:rPr>
                <w:color w:val="000000"/>
                <w:sz w:val="16"/>
                <w:szCs w:val="16"/>
                <w:lang w:eastAsia="en-AU"/>
              </w:rPr>
            </w:pP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B60BB3" w14:textId="77777777" w:rsidR="00415466" w:rsidRPr="00B173C0" w:rsidRDefault="00415466">
            <w:pPr>
              <w:rPr>
                <w:color w:val="000000"/>
                <w:sz w:val="16"/>
                <w:szCs w:val="16"/>
                <w:lang w:eastAsia="en-AU"/>
              </w:rPr>
            </w:pPr>
            <w:r w:rsidRPr="00B173C0">
              <w:rPr>
                <w:color w:val="000000"/>
                <w:sz w:val="16"/>
                <w:szCs w:val="16"/>
                <w:lang w:eastAsia="en-AU"/>
              </w:rPr>
              <w:t>population</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EB8534" w14:textId="77777777" w:rsidR="00415466" w:rsidRPr="00B173C0" w:rsidRDefault="00415466">
            <w:pPr>
              <w:rPr>
                <w:color w:val="000000"/>
                <w:sz w:val="16"/>
                <w:szCs w:val="16"/>
                <w:lang w:eastAsia="en-AU"/>
              </w:rPr>
            </w:pPr>
            <w:r w:rsidRPr="00B173C0">
              <w:rPr>
                <w:color w:val="000000"/>
                <w:sz w:val="16"/>
                <w:szCs w:val="16"/>
                <w:lang w:eastAsia="en-AU"/>
              </w:rPr>
              <w:t>no staff</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61F80D" w14:textId="2D7593C3" w:rsidR="00415466" w:rsidRPr="00B173C0" w:rsidRDefault="006A7177">
            <w:pPr>
              <w:rPr>
                <w:color w:val="000000"/>
                <w:sz w:val="16"/>
                <w:szCs w:val="16"/>
                <w:lang w:eastAsia="en-AU"/>
              </w:rPr>
            </w:pPr>
            <w:r w:rsidRPr="00B173C0">
              <w:rPr>
                <w:color w:val="000000"/>
                <w:sz w:val="16"/>
                <w:szCs w:val="16"/>
                <w:lang w:eastAsia="en-AU"/>
              </w:rPr>
              <w:t>T</w:t>
            </w:r>
            <w:r w:rsidR="00415466" w:rsidRPr="00B173C0">
              <w:rPr>
                <w:color w:val="000000"/>
                <w:sz w:val="16"/>
                <w:szCs w:val="16"/>
                <w:lang w:eastAsia="en-AU"/>
              </w:rPr>
              <w:t>ime</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5F49A" w14:textId="77777777" w:rsidR="00415466" w:rsidRPr="00B173C0" w:rsidRDefault="00415466">
            <w:pPr>
              <w:rPr>
                <w:color w:val="000000"/>
                <w:sz w:val="16"/>
                <w:szCs w:val="16"/>
                <w:lang w:eastAsia="en-AU"/>
              </w:rPr>
            </w:pPr>
            <w:r w:rsidRPr="00B173C0">
              <w:rPr>
                <w:color w:val="000000"/>
                <w:sz w:val="16"/>
                <w:szCs w:val="16"/>
                <w:lang w:eastAsia="en-AU"/>
              </w:rPr>
              <w:t>cost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5E63" w14:textId="77777777" w:rsidR="00415466" w:rsidRPr="00B173C0" w:rsidRDefault="00415466">
            <w:pPr>
              <w:rPr>
                <w:color w:val="000000"/>
                <w:sz w:val="16"/>
                <w:szCs w:val="16"/>
                <w:lang w:eastAsia="en-AU"/>
              </w:rPr>
            </w:pPr>
          </w:p>
        </w:tc>
      </w:tr>
      <w:tr w:rsidR="00415466" w14:paraId="0EC47958" w14:textId="77777777" w:rsidTr="00A14F5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CCA7B2" w14:textId="77777777" w:rsidR="00415466" w:rsidRPr="00B173C0" w:rsidRDefault="00415466">
            <w:pPr>
              <w:rPr>
                <w:color w:val="000000"/>
                <w:sz w:val="16"/>
                <w:szCs w:val="16"/>
                <w:lang w:eastAsia="en-AU"/>
              </w:rPr>
            </w:pPr>
            <w:r w:rsidRPr="00B173C0">
              <w:rPr>
                <w:color w:val="000000"/>
                <w:sz w:val="16"/>
                <w:szCs w:val="16"/>
                <w:lang w:eastAsia="en-AU"/>
              </w:rPr>
              <w:t>Year 1</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4A316D"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5713A9"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9A3E58"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568ADD"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1A1268"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40FC9E"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281543" w14:textId="77777777" w:rsidR="00415466" w:rsidRPr="00B173C0" w:rsidRDefault="00415466">
            <w:pPr>
              <w:jc w:val="right"/>
              <w:rPr>
                <w:color w:val="000000"/>
                <w:sz w:val="16"/>
                <w:szCs w:val="16"/>
                <w:lang w:eastAsia="en-AU"/>
              </w:rPr>
            </w:pPr>
            <w:r w:rsidRPr="00B173C0">
              <w:rPr>
                <w:color w:val="000000"/>
                <w:sz w:val="16"/>
                <w:szCs w:val="16"/>
                <w:lang w:eastAsia="en-AU"/>
              </w:rPr>
              <w:t>$0</w:t>
            </w:r>
          </w:p>
        </w:tc>
      </w:tr>
      <w:tr w:rsidR="00415466" w:rsidRPr="00231A2C" w14:paraId="4AF87906" w14:textId="77777777" w:rsidTr="00A14F5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6FDBD2" w14:textId="77777777" w:rsidR="00415466" w:rsidRPr="00B173C0" w:rsidRDefault="00415466">
            <w:pPr>
              <w:rPr>
                <w:color w:val="000000"/>
                <w:sz w:val="16"/>
                <w:szCs w:val="16"/>
                <w:lang w:eastAsia="en-AU"/>
              </w:rPr>
            </w:pPr>
            <w:r w:rsidRPr="00B173C0">
              <w:rPr>
                <w:color w:val="000000"/>
                <w:sz w:val="16"/>
                <w:szCs w:val="16"/>
                <w:lang w:eastAsia="en-AU"/>
              </w:rPr>
              <w:t>Year 2</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50B944"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E04577" w14:textId="77777777" w:rsidR="00415466" w:rsidRPr="00B173C0" w:rsidRDefault="00415466">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D59EF4" w14:textId="77777777" w:rsidR="00415466" w:rsidRPr="00231A2C" w:rsidRDefault="00F3325F">
            <w:pPr>
              <w:jc w:val="right"/>
              <w:rPr>
                <w:color w:val="000000"/>
                <w:sz w:val="16"/>
                <w:szCs w:val="16"/>
                <w:lang w:eastAsia="en-AU"/>
              </w:rPr>
            </w:pPr>
            <w:r w:rsidRPr="00231A2C">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3FBD5F" w14:textId="77777777" w:rsidR="00415466" w:rsidRPr="00231A2C" w:rsidRDefault="00415466">
            <w:pPr>
              <w:jc w:val="right"/>
              <w:rPr>
                <w:color w:val="000000"/>
                <w:sz w:val="16"/>
                <w:szCs w:val="16"/>
                <w:lang w:eastAsia="en-AU"/>
              </w:rPr>
            </w:pPr>
            <w:r w:rsidRPr="00231A2C">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50D156" w14:textId="77777777" w:rsidR="00415466" w:rsidRPr="00231A2C" w:rsidRDefault="00415466">
            <w:pPr>
              <w:jc w:val="right"/>
              <w:rPr>
                <w:color w:val="000000"/>
                <w:sz w:val="16"/>
                <w:szCs w:val="16"/>
                <w:lang w:eastAsia="en-AU"/>
              </w:rPr>
            </w:pPr>
            <w:r w:rsidRPr="00231A2C">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7B9254" w14:textId="77777777" w:rsidR="00415466" w:rsidRPr="00231A2C" w:rsidRDefault="00415466">
            <w:pPr>
              <w:jc w:val="right"/>
              <w:rPr>
                <w:color w:val="000000"/>
                <w:sz w:val="16"/>
                <w:szCs w:val="16"/>
                <w:lang w:eastAsia="en-AU"/>
              </w:rPr>
            </w:pPr>
            <w:r w:rsidRPr="00231A2C">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A9824C" w14:textId="77777777" w:rsidR="00415466" w:rsidRPr="00231A2C" w:rsidRDefault="00F3325F">
            <w:pPr>
              <w:jc w:val="right"/>
              <w:rPr>
                <w:color w:val="000000"/>
                <w:sz w:val="16"/>
                <w:szCs w:val="16"/>
                <w:lang w:eastAsia="en-AU"/>
              </w:rPr>
            </w:pPr>
            <w:r w:rsidRPr="00231A2C">
              <w:rPr>
                <w:color w:val="000000"/>
                <w:sz w:val="16"/>
                <w:szCs w:val="16"/>
                <w:lang w:eastAsia="en-AU"/>
              </w:rPr>
              <w:t>$15,866</w:t>
            </w:r>
          </w:p>
        </w:tc>
      </w:tr>
      <w:tr w:rsidR="00823549" w14:paraId="1495B5D1"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47A5BC" w14:textId="77777777" w:rsidR="00823549" w:rsidRPr="00B173C0" w:rsidRDefault="00823549" w:rsidP="00823549">
            <w:pPr>
              <w:rPr>
                <w:color w:val="000000"/>
                <w:sz w:val="16"/>
                <w:szCs w:val="16"/>
                <w:lang w:eastAsia="en-AU"/>
              </w:rPr>
            </w:pPr>
            <w:r w:rsidRPr="00B173C0">
              <w:rPr>
                <w:color w:val="000000"/>
                <w:sz w:val="16"/>
                <w:szCs w:val="16"/>
                <w:lang w:eastAsia="en-AU"/>
              </w:rPr>
              <w:t>Year 3</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ADECE0"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64FD1C"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84EC355"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A87B82"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96E5B9"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F7A639"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CB0C581"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49694820"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6CBF22" w14:textId="77777777" w:rsidR="00823549" w:rsidRPr="00B173C0" w:rsidRDefault="00823549" w:rsidP="00823549">
            <w:pPr>
              <w:rPr>
                <w:color w:val="000000"/>
                <w:sz w:val="16"/>
                <w:szCs w:val="16"/>
                <w:lang w:eastAsia="en-AU"/>
              </w:rPr>
            </w:pPr>
            <w:r w:rsidRPr="00B173C0">
              <w:rPr>
                <w:color w:val="000000"/>
                <w:sz w:val="16"/>
                <w:szCs w:val="16"/>
                <w:lang w:eastAsia="en-AU"/>
              </w:rPr>
              <w:t>Year 4</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ED5BA3"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E13F59"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4482FF1"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641F13"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08CC61"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959316"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387190"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1E44FF2B"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00D0E9" w14:textId="77777777" w:rsidR="00823549" w:rsidRPr="00B173C0" w:rsidRDefault="00823549" w:rsidP="00823549">
            <w:pPr>
              <w:rPr>
                <w:color w:val="000000"/>
                <w:sz w:val="16"/>
                <w:szCs w:val="16"/>
                <w:lang w:eastAsia="en-AU"/>
              </w:rPr>
            </w:pPr>
            <w:r w:rsidRPr="00B173C0">
              <w:rPr>
                <w:color w:val="000000"/>
                <w:sz w:val="16"/>
                <w:szCs w:val="16"/>
                <w:lang w:eastAsia="en-AU"/>
              </w:rPr>
              <w:t>Year 5</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5B59F5"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96C147"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E81A040"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EDA0D3"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3F95F2"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682FD8"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2003D85"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393E3242"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FDE505" w14:textId="77777777" w:rsidR="00823549" w:rsidRPr="00B173C0" w:rsidRDefault="00823549" w:rsidP="00823549">
            <w:pPr>
              <w:rPr>
                <w:color w:val="000000"/>
                <w:sz w:val="16"/>
                <w:szCs w:val="16"/>
                <w:lang w:eastAsia="en-AU"/>
              </w:rPr>
            </w:pPr>
            <w:r w:rsidRPr="00B173C0">
              <w:rPr>
                <w:color w:val="000000"/>
                <w:sz w:val="16"/>
                <w:szCs w:val="16"/>
                <w:lang w:eastAsia="en-AU"/>
              </w:rPr>
              <w:t>Year 6</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47C6D6"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A3C74C"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4219A5B"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2B768A"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6F7209"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769E4E"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DA40AC7"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0B7F8A6E"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1AF023" w14:textId="77777777" w:rsidR="00823549" w:rsidRPr="00B173C0" w:rsidRDefault="00823549" w:rsidP="00823549">
            <w:pPr>
              <w:rPr>
                <w:color w:val="000000"/>
                <w:sz w:val="16"/>
                <w:szCs w:val="16"/>
                <w:lang w:eastAsia="en-AU"/>
              </w:rPr>
            </w:pPr>
            <w:r w:rsidRPr="00B173C0">
              <w:rPr>
                <w:color w:val="000000"/>
                <w:sz w:val="16"/>
                <w:szCs w:val="16"/>
                <w:lang w:eastAsia="en-AU"/>
              </w:rPr>
              <w:t>Year 7</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7B203D"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90C6D6"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128D130"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EE094A"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E7101C"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61CCCD"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0FAAB03"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352B5B96"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EE467F" w14:textId="77777777" w:rsidR="00823549" w:rsidRPr="00B173C0" w:rsidRDefault="00823549" w:rsidP="00823549">
            <w:pPr>
              <w:rPr>
                <w:color w:val="000000"/>
                <w:sz w:val="16"/>
                <w:szCs w:val="16"/>
                <w:lang w:eastAsia="en-AU"/>
              </w:rPr>
            </w:pPr>
            <w:r w:rsidRPr="00B173C0">
              <w:rPr>
                <w:color w:val="000000"/>
                <w:sz w:val="16"/>
                <w:szCs w:val="16"/>
                <w:lang w:eastAsia="en-AU"/>
              </w:rPr>
              <w:t>Year 8</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135A3D"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79C9C5"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63E9543"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F0E734"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E2BB1D"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311FDF"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A0B422"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3DC1DC33"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655E29" w14:textId="77777777" w:rsidR="00823549" w:rsidRPr="00B173C0" w:rsidRDefault="00823549" w:rsidP="00823549">
            <w:pPr>
              <w:rPr>
                <w:color w:val="000000"/>
                <w:sz w:val="16"/>
                <w:szCs w:val="16"/>
                <w:lang w:eastAsia="en-AU"/>
              </w:rPr>
            </w:pPr>
            <w:r w:rsidRPr="00B173C0">
              <w:rPr>
                <w:color w:val="000000"/>
                <w:sz w:val="16"/>
                <w:szCs w:val="16"/>
                <w:lang w:eastAsia="en-AU"/>
              </w:rPr>
              <w:t>Year 9</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DA2E79"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35C127"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3FF645"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D78DB5"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642E07"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466AC8"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27B42E3"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823549" w14:paraId="08F93561" w14:textId="77777777" w:rsidTr="00E16A74">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297348" w14:textId="77777777" w:rsidR="00823549" w:rsidRPr="00B173C0" w:rsidRDefault="00823549" w:rsidP="00823549">
            <w:pPr>
              <w:rPr>
                <w:color w:val="000000"/>
                <w:sz w:val="16"/>
                <w:szCs w:val="16"/>
                <w:lang w:eastAsia="en-AU"/>
              </w:rPr>
            </w:pPr>
            <w:r w:rsidRPr="00B173C0">
              <w:rPr>
                <w:color w:val="000000"/>
                <w:sz w:val="16"/>
                <w:szCs w:val="16"/>
                <w:lang w:eastAsia="en-AU"/>
              </w:rPr>
              <w:t>Year 10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387A6E"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BDAFAC" w14:textId="77777777" w:rsidR="00823549" w:rsidRPr="00B173C0" w:rsidRDefault="00823549" w:rsidP="00823549">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090790" w14:textId="77777777" w:rsidR="00823549" w:rsidRPr="00176CD1" w:rsidRDefault="00823549" w:rsidP="00823549">
            <w:pPr>
              <w:jc w:val="right"/>
              <w:rPr>
                <w:color w:val="000000"/>
                <w:sz w:val="16"/>
                <w:szCs w:val="16"/>
                <w:highlight w:val="yellow"/>
                <w:lang w:eastAsia="en-AU"/>
              </w:rPr>
            </w:pPr>
            <w:r w:rsidRPr="001B5BDD">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741459" w14:textId="77777777" w:rsidR="00823549" w:rsidRPr="00B173C0" w:rsidRDefault="00823549" w:rsidP="00823549">
            <w:pPr>
              <w:jc w:val="right"/>
              <w:rPr>
                <w:color w:val="000000"/>
                <w:sz w:val="16"/>
                <w:szCs w:val="16"/>
                <w:lang w:eastAsia="en-AU"/>
              </w:rPr>
            </w:pPr>
            <w:r w:rsidRPr="00B173C0">
              <w:rPr>
                <w:color w:val="000000"/>
                <w:sz w:val="16"/>
                <w:szCs w:val="16"/>
                <w:lang w:eastAsia="en-AU"/>
              </w:rPr>
              <w:t>1</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3D8FE5" w14:textId="77777777" w:rsidR="00823549" w:rsidRPr="00B173C0" w:rsidRDefault="00823549" w:rsidP="00823549">
            <w:pPr>
              <w:jc w:val="right"/>
              <w:rPr>
                <w:color w:val="000000"/>
                <w:sz w:val="16"/>
                <w:szCs w:val="16"/>
                <w:lang w:eastAsia="en-AU"/>
              </w:rPr>
            </w:pPr>
            <w:r w:rsidRPr="00B173C0">
              <w:rPr>
                <w:color w:val="000000"/>
                <w:sz w:val="16"/>
                <w:szCs w:val="16"/>
                <w:lang w:eastAsia="en-AU"/>
              </w:rPr>
              <w:t>0.25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C61DE2" w14:textId="77777777" w:rsidR="00823549" w:rsidRPr="00B173C0" w:rsidRDefault="00823549" w:rsidP="00823549">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B752AD6" w14:textId="77777777" w:rsidR="00823549" w:rsidRPr="00B173C0" w:rsidRDefault="00823549" w:rsidP="00823549">
            <w:pPr>
              <w:jc w:val="right"/>
              <w:rPr>
                <w:color w:val="000000"/>
                <w:sz w:val="16"/>
                <w:szCs w:val="16"/>
                <w:lang w:eastAsia="en-AU"/>
              </w:rPr>
            </w:pPr>
            <w:r w:rsidRPr="00F44C0A">
              <w:rPr>
                <w:color w:val="000000"/>
                <w:sz w:val="16"/>
                <w:szCs w:val="16"/>
                <w:lang w:eastAsia="en-AU"/>
              </w:rPr>
              <w:t>$15,866</w:t>
            </w:r>
          </w:p>
        </w:tc>
      </w:tr>
      <w:tr w:rsidR="00415466" w:rsidRPr="00231A2C" w14:paraId="732D33EB" w14:textId="77777777" w:rsidTr="00A14F5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81716D"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E93C5D"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BD867E"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DD46EB"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F69996"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6EF5C5" w14:textId="77777777" w:rsidR="00415466" w:rsidRPr="00B173C0" w:rsidRDefault="00415466">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D75E16" w14:textId="77777777" w:rsidR="00415466" w:rsidRPr="00231A2C" w:rsidRDefault="00415466">
            <w:pPr>
              <w:rPr>
                <w:color w:val="000000"/>
                <w:sz w:val="16"/>
                <w:szCs w:val="16"/>
                <w:lang w:eastAsia="en-AU"/>
              </w:rPr>
            </w:pPr>
            <w:r w:rsidRPr="00231A2C">
              <w:rPr>
                <w:color w:val="000000"/>
                <w:sz w:val="16"/>
                <w:szCs w:val="16"/>
                <w:lang w:eastAsia="en-AU"/>
              </w:rPr>
              <w:t>Total</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412B77" w14:textId="77777777" w:rsidR="00415466" w:rsidRPr="00231A2C" w:rsidRDefault="00823549">
            <w:pPr>
              <w:jc w:val="right"/>
              <w:rPr>
                <w:color w:val="000000"/>
                <w:sz w:val="16"/>
                <w:szCs w:val="16"/>
                <w:lang w:eastAsia="en-AU"/>
              </w:rPr>
            </w:pPr>
            <w:r w:rsidRPr="002D6921">
              <w:rPr>
                <w:color w:val="000000"/>
                <w:sz w:val="16"/>
                <w:szCs w:val="16"/>
                <w:lang w:eastAsia="en-AU"/>
              </w:rPr>
              <w:t>$142,796</w:t>
            </w:r>
          </w:p>
        </w:tc>
      </w:tr>
    </w:tbl>
    <w:p w14:paraId="597E3C30" w14:textId="59813AD6" w:rsidR="00D75D59" w:rsidRDefault="00DE41B3" w:rsidP="00DE41B3">
      <w:pPr>
        <w:spacing w:before="240"/>
        <w:rPr>
          <w:b/>
          <w:lang w:eastAsia="en-AU"/>
        </w:rPr>
      </w:pPr>
      <w:r w:rsidRPr="00CD5DDA">
        <w:rPr>
          <w:b/>
          <w:bCs/>
          <w:color w:val="000000"/>
          <w:sz w:val="16"/>
          <w:szCs w:val="16"/>
          <w:lang w:eastAsia="en-AU"/>
        </w:rPr>
        <w:t>Annual Compliance</w:t>
      </w:r>
    </w:p>
    <w:tbl>
      <w:tblPr>
        <w:tblW w:w="10880" w:type="dxa"/>
        <w:jc w:val="center"/>
        <w:tblCellMar>
          <w:left w:w="0" w:type="dxa"/>
          <w:right w:w="0" w:type="dxa"/>
        </w:tblCellMar>
        <w:tblLook w:val="04A0" w:firstRow="1" w:lastRow="0" w:firstColumn="1" w:lastColumn="0" w:noHBand="0" w:noVBand="1"/>
        <w:tblDescription w:val="Annual Compliance"/>
      </w:tblPr>
      <w:tblGrid>
        <w:gridCol w:w="2977"/>
        <w:gridCol w:w="601"/>
        <w:gridCol w:w="601"/>
        <w:gridCol w:w="1305"/>
        <w:gridCol w:w="1305"/>
        <w:gridCol w:w="1305"/>
        <w:gridCol w:w="1305"/>
        <w:gridCol w:w="1481"/>
      </w:tblGrid>
      <w:tr w:rsidR="00DE41B3" w14:paraId="7B826A8C" w14:textId="77777777" w:rsidTr="007C4131">
        <w:trPr>
          <w:trHeight w:val="306"/>
          <w:jc w:val="center"/>
        </w:trPr>
        <w:tc>
          <w:tcPr>
            <w:tcW w:w="297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DA5F93" w14:textId="77777777" w:rsidR="00DE41B3" w:rsidRPr="00B173C0" w:rsidRDefault="00DE41B3" w:rsidP="007C4131">
            <w:pPr>
              <w:jc w:val="center"/>
              <w:rPr>
                <w:color w:val="000000"/>
                <w:sz w:val="16"/>
                <w:szCs w:val="16"/>
                <w:lang w:eastAsia="en-AU"/>
              </w:rPr>
            </w:pPr>
            <w:r w:rsidRPr="00B173C0">
              <w:rPr>
                <w:color w:val="000000"/>
                <w:sz w:val="16"/>
                <w:szCs w:val="16"/>
                <w:lang w:eastAsia="en-AU"/>
              </w:rPr>
              <w:t> </w:t>
            </w:r>
          </w:p>
        </w:tc>
        <w:tc>
          <w:tcPr>
            <w:tcW w:w="60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9189DB" w14:textId="77777777" w:rsidR="00DE41B3" w:rsidRPr="00B173C0" w:rsidRDefault="00DE41B3" w:rsidP="007C4131">
            <w:pPr>
              <w:jc w:val="center"/>
              <w:rPr>
                <w:color w:val="000000"/>
                <w:sz w:val="16"/>
                <w:szCs w:val="16"/>
                <w:lang w:eastAsia="en-AU"/>
              </w:rPr>
            </w:pPr>
            <w:r w:rsidRPr="00B173C0">
              <w:rPr>
                <w:color w:val="000000"/>
                <w:sz w:val="16"/>
                <w:szCs w:val="16"/>
                <w:lang w:eastAsia="en-AU"/>
              </w:rPr>
              <w:t> </w:t>
            </w:r>
          </w:p>
        </w:tc>
        <w:tc>
          <w:tcPr>
            <w:tcW w:w="60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626F46" w14:textId="77777777" w:rsidR="00DE41B3" w:rsidRPr="00B173C0" w:rsidRDefault="00DE41B3" w:rsidP="007C4131">
            <w:pPr>
              <w:jc w:val="center"/>
              <w:rPr>
                <w:color w:val="000000"/>
                <w:sz w:val="16"/>
                <w:szCs w:val="16"/>
                <w:lang w:eastAsia="en-AU"/>
              </w:rPr>
            </w:pPr>
            <w:r w:rsidRPr="00B173C0">
              <w:rPr>
                <w:color w:val="000000"/>
                <w:sz w:val="16"/>
                <w:szCs w:val="16"/>
                <w:lang w:eastAsia="en-AU"/>
              </w:rPr>
              <w:t> </w:t>
            </w:r>
          </w:p>
        </w:tc>
        <w:tc>
          <w:tcPr>
            <w:tcW w:w="5220"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53ACAA" w14:textId="77777777" w:rsidR="00DE41B3" w:rsidRPr="00B173C0" w:rsidRDefault="00DE41B3" w:rsidP="007C4131">
            <w:pPr>
              <w:jc w:val="center"/>
              <w:rPr>
                <w:color w:val="000000"/>
                <w:sz w:val="16"/>
                <w:szCs w:val="16"/>
                <w:lang w:eastAsia="en-AU"/>
              </w:rPr>
            </w:pPr>
            <w:r w:rsidRPr="00B173C0">
              <w:rPr>
                <w:color w:val="000000"/>
                <w:sz w:val="16"/>
                <w:szCs w:val="16"/>
                <w:lang w:eastAsia="en-AU"/>
              </w:rPr>
              <w:t>All</w:t>
            </w:r>
          </w:p>
        </w:tc>
        <w:tc>
          <w:tcPr>
            <w:tcW w:w="148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13E69A" w14:textId="77777777" w:rsidR="00DE41B3" w:rsidRPr="00B173C0" w:rsidRDefault="00DE41B3" w:rsidP="007C4131">
            <w:pPr>
              <w:jc w:val="center"/>
              <w:rPr>
                <w:color w:val="000000"/>
                <w:sz w:val="16"/>
                <w:szCs w:val="16"/>
                <w:lang w:eastAsia="en-AU"/>
              </w:rPr>
            </w:pPr>
            <w:r w:rsidRPr="00B173C0">
              <w:rPr>
                <w:color w:val="000000"/>
                <w:sz w:val="16"/>
                <w:szCs w:val="16"/>
                <w:lang w:eastAsia="en-AU"/>
              </w:rPr>
              <w:t>total</w:t>
            </w:r>
          </w:p>
        </w:tc>
      </w:tr>
      <w:tr w:rsidR="00DE41B3" w14:paraId="283D687A" w14:textId="77777777" w:rsidTr="007C4131">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E7D6F" w14:textId="77777777" w:rsidR="00DE41B3" w:rsidRPr="00B173C0" w:rsidRDefault="00DE41B3" w:rsidP="007C4131">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EFFD6" w14:textId="77777777" w:rsidR="00DE41B3" w:rsidRPr="00B173C0" w:rsidRDefault="00DE41B3" w:rsidP="007C4131">
            <w:pPr>
              <w:rPr>
                <w:color w:val="000000"/>
                <w:sz w:val="16"/>
                <w:szCs w:val="16"/>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9FE4" w14:textId="77777777" w:rsidR="00DE41B3" w:rsidRPr="00B173C0" w:rsidRDefault="00DE41B3" w:rsidP="007C4131">
            <w:pPr>
              <w:rPr>
                <w:color w:val="000000"/>
                <w:sz w:val="16"/>
                <w:szCs w:val="16"/>
                <w:lang w:eastAsia="en-AU"/>
              </w:rPr>
            </w:pP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C7BDED" w14:textId="77777777" w:rsidR="00DE41B3" w:rsidRPr="00B173C0" w:rsidRDefault="00DE41B3" w:rsidP="007C4131">
            <w:pPr>
              <w:rPr>
                <w:color w:val="000000"/>
                <w:sz w:val="16"/>
                <w:szCs w:val="16"/>
                <w:lang w:eastAsia="en-AU"/>
              </w:rPr>
            </w:pPr>
            <w:r w:rsidRPr="00B173C0">
              <w:rPr>
                <w:color w:val="000000"/>
                <w:sz w:val="16"/>
                <w:szCs w:val="16"/>
                <w:lang w:eastAsia="en-AU"/>
              </w:rPr>
              <w:t>population</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7CE0D9B" w14:textId="77777777" w:rsidR="00DE41B3" w:rsidRPr="00B173C0" w:rsidRDefault="00DE41B3" w:rsidP="007C4131">
            <w:pPr>
              <w:rPr>
                <w:color w:val="000000"/>
                <w:sz w:val="16"/>
                <w:szCs w:val="16"/>
                <w:lang w:eastAsia="en-AU"/>
              </w:rPr>
            </w:pPr>
            <w:r w:rsidRPr="00B173C0">
              <w:rPr>
                <w:color w:val="000000"/>
                <w:sz w:val="16"/>
                <w:szCs w:val="16"/>
                <w:lang w:eastAsia="en-AU"/>
              </w:rPr>
              <w:t>no staff</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ECCB5A" w14:textId="77777777" w:rsidR="00DE41B3" w:rsidRPr="00B173C0" w:rsidRDefault="00DE41B3" w:rsidP="007C4131">
            <w:pPr>
              <w:rPr>
                <w:color w:val="000000"/>
                <w:sz w:val="16"/>
                <w:szCs w:val="16"/>
                <w:lang w:eastAsia="en-AU"/>
              </w:rPr>
            </w:pPr>
            <w:r w:rsidRPr="00B173C0">
              <w:rPr>
                <w:color w:val="000000"/>
                <w:sz w:val="16"/>
                <w:szCs w:val="16"/>
                <w:lang w:eastAsia="en-AU"/>
              </w:rPr>
              <w:t>Time</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41FF94" w14:textId="77777777" w:rsidR="00DE41B3" w:rsidRPr="00B173C0" w:rsidRDefault="00DE41B3" w:rsidP="007C4131">
            <w:pPr>
              <w:rPr>
                <w:color w:val="000000"/>
                <w:sz w:val="16"/>
                <w:szCs w:val="16"/>
                <w:lang w:eastAsia="en-AU"/>
              </w:rPr>
            </w:pPr>
            <w:r w:rsidRPr="00B173C0">
              <w:rPr>
                <w:color w:val="000000"/>
                <w:sz w:val="16"/>
                <w:szCs w:val="16"/>
                <w:lang w:eastAsia="en-AU"/>
              </w:rPr>
              <w:t>cost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6C056" w14:textId="77777777" w:rsidR="00DE41B3" w:rsidRPr="00B173C0" w:rsidRDefault="00DE41B3" w:rsidP="007C4131">
            <w:pPr>
              <w:rPr>
                <w:color w:val="000000"/>
                <w:sz w:val="16"/>
                <w:szCs w:val="16"/>
                <w:lang w:eastAsia="en-AU"/>
              </w:rPr>
            </w:pPr>
          </w:p>
        </w:tc>
      </w:tr>
      <w:tr w:rsidR="00DE41B3" w14:paraId="2DF33931"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DDE3DD" w14:textId="77777777" w:rsidR="00DE41B3" w:rsidRPr="00B173C0" w:rsidRDefault="00DE41B3" w:rsidP="007C4131">
            <w:pPr>
              <w:rPr>
                <w:color w:val="000000"/>
                <w:sz w:val="16"/>
                <w:szCs w:val="16"/>
                <w:lang w:eastAsia="en-AU"/>
              </w:rPr>
            </w:pPr>
            <w:r w:rsidRPr="00B173C0">
              <w:rPr>
                <w:color w:val="000000"/>
                <w:sz w:val="16"/>
                <w:szCs w:val="16"/>
                <w:lang w:eastAsia="en-AU"/>
              </w:rPr>
              <w:t>Year 1</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7B836F"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6DED40"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33855E"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904E2C"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13E4D3"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3E2946"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C24C3A"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r>
      <w:tr w:rsidR="00DE41B3" w:rsidRPr="00231A2C" w14:paraId="01DDC686"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E5EAD5" w14:textId="77777777" w:rsidR="00DE41B3" w:rsidRPr="00B173C0" w:rsidRDefault="00DE41B3" w:rsidP="007C4131">
            <w:pPr>
              <w:rPr>
                <w:color w:val="000000"/>
                <w:sz w:val="16"/>
                <w:szCs w:val="16"/>
                <w:lang w:eastAsia="en-AU"/>
              </w:rPr>
            </w:pPr>
            <w:r w:rsidRPr="00B173C0">
              <w:rPr>
                <w:color w:val="000000"/>
                <w:sz w:val="16"/>
                <w:szCs w:val="16"/>
                <w:lang w:eastAsia="en-AU"/>
              </w:rPr>
              <w:t>Year 2</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6EEC03"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60E184"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B86828" w14:textId="77777777" w:rsidR="00DE41B3" w:rsidRPr="00231A2C" w:rsidRDefault="00DE41B3" w:rsidP="007C4131">
            <w:pPr>
              <w:jc w:val="right"/>
              <w:rPr>
                <w:color w:val="000000"/>
                <w:sz w:val="16"/>
                <w:szCs w:val="16"/>
                <w:lang w:eastAsia="en-AU"/>
              </w:rPr>
            </w:pPr>
            <w:r w:rsidRPr="00231A2C">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80B341" w14:textId="77777777" w:rsidR="00DE41B3" w:rsidRPr="00231A2C" w:rsidRDefault="00DE41B3" w:rsidP="007C4131">
            <w:pPr>
              <w:jc w:val="right"/>
              <w:rPr>
                <w:color w:val="000000"/>
                <w:sz w:val="16"/>
                <w:szCs w:val="16"/>
                <w:lang w:eastAsia="en-AU"/>
              </w:rPr>
            </w:pPr>
            <w:r w:rsidRPr="00231A2C">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698DAB" w14:textId="77777777" w:rsidR="00DE41B3" w:rsidRPr="00231A2C" w:rsidRDefault="00DE41B3" w:rsidP="007C4131">
            <w:pPr>
              <w:jc w:val="right"/>
              <w:rPr>
                <w:color w:val="000000"/>
                <w:sz w:val="16"/>
                <w:szCs w:val="16"/>
                <w:lang w:eastAsia="en-AU"/>
              </w:rPr>
            </w:pPr>
            <w:r w:rsidRPr="00231A2C">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6CB6C7" w14:textId="77777777" w:rsidR="00DE41B3" w:rsidRPr="00231A2C" w:rsidRDefault="00DE41B3" w:rsidP="007C4131">
            <w:pPr>
              <w:jc w:val="right"/>
              <w:rPr>
                <w:color w:val="000000"/>
                <w:sz w:val="16"/>
                <w:szCs w:val="16"/>
                <w:lang w:eastAsia="en-AU"/>
              </w:rPr>
            </w:pPr>
            <w:r w:rsidRPr="00231A2C">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ACF272" w14:textId="77777777" w:rsidR="00DE41B3" w:rsidRPr="00231A2C" w:rsidRDefault="00DE41B3" w:rsidP="007C4131">
            <w:pPr>
              <w:jc w:val="right"/>
              <w:rPr>
                <w:color w:val="000000"/>
                <w:sz w:val="16"/>
                <w:szCs w:val="16"/>
                <w:lang w:eastAsia="en-AU"/>
              </w:rPr>
            </w:pPr>
            <w:r w:rsidRPr="00231A2C">
              <w:rPr>
                <w:color w:val="000000"/>
                <w:sz w:val="16"/>
                <w:szCs w:val="16"/>
                <w:lang w:eastAsia="en-AU"/>
              </w:rPr>
              <w:t>$63,465</w:t>
            </w:r>
          </w:p>
        </w:tc>
      </w:tr>
      <w:tr w:rsidR="00DE41B3" w14:paraId="2537C1FB"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15C49E" w14:textId="77777777" w:rsidR="00DE41B3" w:rsidRPr="00B173C0" w:rsidRDefault="00DE41B3" w:rsidP="007C4131">
            <w:pPr>
              <w:rPr>
                <w:color w:val="000000"/>
                <w:sz w:val="16"/>
                <w:szCs w:val="16"/>
                <w:lang w:eastAsia="en-AU"/>
              </w:rPr>
            </w:pPr>
            <w:r w:rsidRPr="00B173C0">
              <w:rPr>
                <w:color w:val="000000"/>
                <w:sz w:val="16"/>
                <w:szCs w:val="16"/>
                <w:lang w:eastAsia="en-AU"/>
              </w:rPr>
              <w:t>Year 3</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24B53F"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4A062F"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DBF9D0"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0B7801"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07973B"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41763F"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8621120"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1868A899"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198D5A" w14:textId="77777777" w:rsidR="00DE41B3" w:rsidRPr="00B173C0" w:rsidRDefault="00DE41B3" w:rsidP="007C4131">
            <w:pPr>
              <w:rPr>
                <w:color w:val="000000"/>
                <w:sz w:val="16"/>
                <w:szCs w:val="16"/>
                <w:lang w:eastAsia="en-AU"/>
              </w:rPr>
            </w:pPr>
            <w:r w:rsidRPr="00B173C0">
              <w:rPr>
                <w:color w:val="000000"/>
                <w:sz w:val="16"/>
                <w:szCs w:val="16"/>
                <w:lang w:eastAsia="en-AU"/>
              </w:rPr>
              <w:t>Year 4</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50A75C"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316350"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8BBEDAB"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99B1C1"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45240A"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844ED3"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0D0E185"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341B9D2A"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18C409" w14:textId="77777777" w:rsidR="00DE41B3" w:rsidRPr="00B173C0" w:rsidRDefault="00DE41B3" w:rsidP="007C4131">
            <w:pPr>
              <w:rPr>
                <w:color w:val="000000"/>
                <w:sz w:val="16"/>
                <w:szCs w:val="16"/>
                <w:lang w:eastAsia="en-AU"/>
              </w:rPr>
            </w:pPr>
            <w:r w:rsidRPr="00B173C0">
              <w:rPr>
                <w:color w:val="000000"/>
                <w:sz w:val="16"/>
                <w:szCs w:val="16"/>
                <w:lang w:eastAsia="en-AU"/>
              </w:rPr>
              <w:t>Year 5</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254791"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37454B"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6A20E2"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7C561B"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001D6E"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75D3B5"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847C349"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1F4A03FA"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691F57" w14:textId="77777777" w:rsidR="00DE41B3" w:rsidRPr="00B173C0" w:rsidRDefault="00DE41B3" w:rsidP="007C4131">
            <w:pPr>
              <w:rPr>
                <w:color w:val="000000"/>
                <w:sz w:val="16"/>
                <w:szCs w:val="16"/>
                <w:lang w:eastAsia="en-AU"/>
              </w:rPr>
            </w:pPr>
            <w:r w:rsidRPr="00B173C0">
              <w:rPr>
                <w:color w:val="000000"/>
                <w:sz w:val="16"/>
                <w:szCs w:val="16"/>
                <w:lang w:eastAsia="en-AU"/>
              </w:rPr>
              <w:t>Year 6</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E4003B"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E9B70C"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F1FF225"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99446B"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E28194"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91FA43"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C3A9A9A"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560BE74B"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875560" w14:textId="77777777" w:rsidR="00DE41B3" w:rsidRPr="00B173C0" w:rsidRDefault="00DE41B3" w:rsidP="007C4131">
            <w:pPr>
              <w:rPr>
                <w:color w:val="000000"/>
                <w:sz w:val="16"/>
                <w:szCs w:val="16"/>
                <w:lang w:eastAsia="en-AU"/>
              </w:rPr>
            </w:pPr>
            <w:r w:rsidRPr="00B173C0">
              <w:rPr>
                <w:color w:val="000000"/>
                <w:sz w:val="16"/>
                <w:szCs w:val="16"/>
                <w:lang w:eastAsia="en-AU"/>
              </w:rPr>
              <w:t>Year 7</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E32F9F"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A6C865"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262982B"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747C6B"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D5E3B1"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8D00CC"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26489EC"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13FBF5FE"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B509CE" w14:textId="77777777" w:rsidR="00DE41B3" w:rsidRPr="00B173C0" w:rsidRDefault="00DE41B3" w:rsidP="007C4131">
            <w:pPr>
              <w:rPr>
                <w:color w:val="000000"/>
                <w:sz w:val="16"/>
                <w:szCs w:val="16"/>
                <w:lang w:eastAsia="en-AU"/>
              </w:rPr>
            </w:pPr>
            <w:r w:rsidRPr="00B173C0">
              <w:rPr>
                <w:color w:val="000000"/>
                <w:sz w:val="16"/>
                <w:szCs w:val="16"/>
                <w:lang w:eastAsia="en-AU"/>
              </w:rPr>
              <w:t>Year 8</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45EA58"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3C08E3"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C2DBAE9"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6883AB"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8FF6E3"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FF2C0C"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A499593"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36C2F365"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18DB57" w14:textId="77777777" w:rsidR="00DE41B3" w:rsidRPr="00B173C0" w:rsidRDefault="00DE41B3" w:rsidP="007C4131">
            <w:pPr>
              <w:rPr>
                <w:color w:val="000000"/>
                <w:sz w:val="16"/>
                <w:szCs w:val="16"/>
                <w:lang w:eastAsia="en-AU"/>
              </w:rPr>
            </w:pPr>
            <w:r w:rsidRPr="00B173C0">
              <w:rPr>
                <w:color w:val="000000"/>
                <w:sz w:val="16"/>
                <w:szCs w:val="16"/>
                <w:lang w:eastAsia="en-AU"/>
              </w:rPr>
              <w:t>Year 9</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A3746F"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1B67DA0"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FE188C"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00A042"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10D5F3"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EC9A2E"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5E39473"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14:paraId="1BEFE0C1"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0027A8" w14:textId="77777777" w:rsidR="00DE41B3" w:rsidRPr="00B173C0" w:rsidRDefault="00DE41B3" w:rsidP="007C4131">
            <w:pPr>
              <w:rPr>
                <w:color w:val="000000"/>
                <w:sz w:val="16"/>
                <w:szCs w:val="16"/>
                <w:lang w:eastAsia="en-AU"/>
              </w:rPr>
            </w:pPr>
            <w:r w:rsidRPr="00B173C0">
              <w:rPr>
                <w:color w:val="000000"/>
                <w:sz w:val="16"/>
                <w:szCs w:val="16"/>
                <w:lang w:eastAsia="en-AU"/>
              </w:rPr>
              <w:t>Year 10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FE3A30"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0B1B7A" w14:textId="77777777" w:rsidR="00DE41B3" w:rsidRPr="00B173C0" w:rsidRDefault="00DE41B3" w:rsidP="007C4131">
            <w:pPr>
              <w:jc w:val="right"/>
              <w:rPr>
                <w:color w:val="000000"/>
                <w:sz w:val="16"/>
                <w:szCs w:val="16"/>
                <w:lang w:eastAsia="en-AU"/>
              </w:rPr>
            </w:pPr>
            <w:r w:rsidRPr="00B173C0">
              <w:rPr>
                <w:color w:val="000000"/>
                <w:sz w:val="16"/>
                <w:szCs w:val="16"/>
                <w:lang w:eastAsia="en-AU"/>
              </w:rPr>
              <w:t>0</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92A0191" w14:textId="77777777" w:rsidR="00DE41B3" w:rsidRPr="00176CD1" w:rsidRDefault="00DE41B3" w:rsidP="007C4131">
            <w:pPr>
              <w:jc w:val="right"/>
              <w:rPr>
                <w:color w:val="000000"/>
                <w:sz w:val="16"/>
                <w:szCs w:val="16"/>
                <w:highlight w:val="yellow"/>
                <w:lang w:eastAsia="en-AU"/>
              </w:rPr>
            </w:pPr>
            <w:r w:rsidRPr="003D2CF4">
              <w:rPr>
                <w:color w:val="000000"/>
                <w:sz w:val="16"/>
                <w:szCs w:val="16"/>
                <w:lang w:eastAsia="en-AU"/>
              </w:rPr>
              <w:t>797</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8B073E" w14:textId="77777777" w:rsidR="00DE41B3" w:rsidRPr="00B173C0" w:rsidRDefault="00DE41B3" w:rsidP="007C4131">
            <w:pPr>
              <w:jc w:val="right"/>
              <w:rPr>
                <w:color w:val="000000"/>
                <w:sz w:val="16"/>
                <w:szCs w:val="16"/>
                <w:lang w:eastAsia="en-AU"/>
              </w:rPr>
            </w:pPr>
            <w:r w:rsidRPr="00B173C0">
              <w:rPr>
                <w:color w:val="000000"/>
                <w:sz w:val="16"/>
                <w:szCs w:val="16"/>
                <w:lang w:eastAsia="en-AU"/>
              </w:rPr>
              <w:t>2</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A1C131" w14:textId="77777777" w:rsidR="00DE41B3" w:rsidRPr="00B173C0" w:rsidRDefault="00DE41B3" w:rsidP="007C4131">
            <w:pPr>
              <w:jc w:val="right"/>
              <w:rPr>
                <w:color w:val="000000"/>
                <w:sz w:val="16"/>
                <w:szCs w:val="16"/>
                <w:lang w:eastAsia="en-AU"/>
              </w:rPr>
            </w:pPr>
            <w:r w:rsidRPr="00B173C0">
              <w:rPr>
                <w:color w:val="000000"/>
                <w:sz w:val="16"/>
                <w:szCs w:val="16"/>
                <w:lang w:eastAsia="en-AU"/>
              </w:rPr>
              <w:t>0.5</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7D75AD" w14:textId="77777777" w:rsidR="00DE41B3" w:rsidRPr="00B173C0" w:rsidRDefault="00DE41B3" w:rsidP="007C4131">
            <w:pPr>
              <w:jc w:val="right"/>
              <w:rPr>
                <w:color w:val="000000"/>
                <w:sz w:val="16"/>
                <w:szCs w:val="16"/>
                <w:lang w:eastAsia="en-AU"/>
              </w:rPr>
            </w:pPr>
            <w:r w:rsidRPr="00B173C0">
              <w:rPr>
                <w:color w:val="000000"/>
                <w:sz w:val="16"/>
                <w:szCs w:val="16"/>
                <w:lang w:eastAsia="en-AU"/>
              </w:rPr>
              <w:t>79.63</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71857E0" w14:textId="77777777" w:rsidR="00DE41B3" w:rsidRPr="00B173C0" w:rsidRDefault="00DE41B3" w:rsidP="007C4131">
            <w:pPr>
              <w:jc w:val="right"/>
              <w:rPr>
                <w:color w:val="000000"/>
                <w:sz w:val="16"/>
                <w:szCs w:val="16"/>
                <w:lang w:eastAsia="en-AU"/>
              </w:rPr>
            </w:pPr>
            <w:r w:rsidRPr="001B28C0">
              <w:rPr>
                <w:color w:val="000000"/>
                <w:sz w:val="16"/>
                <w:szCs w:val="16"/>
                <w:lang w:eastAsia="en-AU"/>
              </w:rPr>
              <w:t>$63,465</w:t>
            </w:r>
          </w:p>
        </w:tc>
      </w:tr>
      <w:tr w:rsidR="00DE41B3" w:rsidRPr="00231A2C" w14:paraId="7953A7D3" w14:textId="77777777" w:rsidTr="007C4131">
        <w:trPr>
          <w:trHeight w:val="306"/>
          <w:jc w:val="center"/>
        </w:trPr>
        <w:tc>
          <w:tcPr>
            <w:tcW w:w="297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8DFE50"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6237BA"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6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00AD4B"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04DE1B"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C96CB4"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5C0664" w14:textId="77777777" w:rsidR="00DE41B3" w:rsidRPr="00B173C0" w:rsidRDefault="00DE41B3" w:rsidP="007C4131">
            <w:pPr>
              <w:rPr>
                <w:color w:val="000000"/>
                <w:sz w:val="16"/>
                <w:szCs w:val="16"/>
                <w:lang w:eastAsia="en-AU"/>
              </w:rPr>
            </w:pPr>
            <w:r w:rsidRPr="00B173C0">
              <w:rPr>
                <w:color w:val="000000"/>
                <w:sz w:val="16"/>
                <w:szCs w:val="16"/>
                <w:lang w:eastAsia="en-AU"/>
              </w:rPr>
              <w:t> </w:t>
            </w:r>
          </w:p>
        </w:tc>
        <w:tc>
          <w:tcPr>
            <w:tcW w:w="13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6DEB5F" w14:textId="77777777" w:rsidR="00DE41B3" w:rsidRPr="00B173C0" w:rsidRDefault="00DE41B3" w:rsidP="007C4131">
            <w:pPr>
              <w:rPr>
                <w:color w:val="000000"/>
                <w:sz w:val="16"/>
                <w:szCs w:val="16"/>
                <w:lang w:eastAsia="en-AU"/>
              </w:rPr>
            </w:pPr>
            <w:r w:rsidRPr="00B173C0">
              <w:rPr>
                <w:color w:val="000000"/>
                <w:sz w:val="16"/>
                <w:szCs w:val="16"/>
                <w:lang w:eastAsia="en-AU"/>
              </w:rPr>
              <w:t>Total</w:t>
            </w:r>
          </w:p>
        </w:tc>
        <w:tc>
          <w:tcPr>
            <w:tcW w:w="14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EB421A" w14:textId="77777777" w:rsidR="00DE41B3" w:rsidRPr="00231A2C" w:rsidRDefault="00DE41B3" w:rsidP="007C4131">
            <w:pPr>
              <w:jc w:val="right"/>
              <w:rPr>
                <w:color w:val="000000"/>
                <w:sz w:val="16"/>
                <w:szCs w:val="16"/>
                <w:lang w:eastAsia="en-AU"/>
              </w:rPr>
            </w:pPr>
            <w:r w:rsidRPr="002D6921">
              <w:rPr>
                <w:color w:val="000000"/>
                <w:sz w:val="16"/>
                <w:szCs w:val="16"/>
                <w:lang w:eastAsia="en-AU"/>
              </w:rPr>
              <w:t>$571,186</w:t>
            </w:r>
          </w:p>
        </w:tc>
      </w:tr>
    </w:tbl>
    <w:p w14:paraId="5AD7DC85" w14:textId="6803A51B" w:rsidR="006A106D" w:rsidRPr="006F0382" w:rsidRDefault="006A106D" w:rsidP="00DE41B3">
      <w:pPr>
        <w:spacing w:before="240"/>
        <w:rPr>
          <w:b/>
          <w:lang w:eastAsia="en-AU"/>
        </w:rPr>
      </w:pPr>
      <w:r w:rsidRPr="006F0382">
        <w:rPr>
          <w:b/>
          <w:lang w:eastAsia="en-AU"/>
        </w:rPr>
        <w:t>Net benefit</w:t>
      </w:r>
    </w:p>
    <w:p w14:paraId="2633C76A" w14:textId="174106D9" w:rsidR="006A106D" w:rsidRPr="006F0382" w:rsidRDefault="006A106D" w:rsidP="006A106D">
      <w:pPr>
        <w:rPr>
          <w:lang w:eastAsia="en-AU"/>
        </w:rPr>
      </w:pPr>
      <w:r w:rsidRPr="006F0382">
        <w:rPr>
          <w:lang w:eastAsia="en-AU"/>
        </w:rPr>
        <w:t xml:space="preserve">Most mixed merchants will face limited additional costs as a result of enabling </w:t>
      </w:r>
      <w:r w:rsidR="00411295">
        <w:rPr>
          <w:rFonts w:eastAsia="Calibri"/>
        </w:rPr>
        <w:t xml:space="preserve">contemporary card </w:t>
      </w:r>
      <w:r w:rsidRPr="006F0382">
        <w:rPr>
          <w:lang w:eastAsia="en-AU"/>
        </w:rPr>
        <w:t>users to purchase goods, but would receive some increased revenue. Therefore, on balance there is a net benefit to them from the changed program. There will no additional costs for the larger corporates who would continue to maintain their existing systems.</w:t>
      </w:r>
    </w:p>
    <w:p w14:paraId="2B75F2F8" w14:textId="34B06A48" w:rsidR="006A106D" w:rsidRPr="006F0382" w:rsidRDefault="006A106D" w:rsidP="006A106D">
      <w:pPr>
        <w:rPr>
          <w:lang w:eastAsia="en-AU"/>
        </w:rPr>
      </w:pPr>
      <w:r w:rsidRPr="006F0382">
        <w:rPr>
          <w:lang w:eastAsia="en-AU"/>
        </w:rPr>
        <w:t xml:space="preserve">Merchants that were on IM BasicsCard technology and now progress to the new </w:t>
      </w:r>
      <w:r w:rsidR="00411295">
        <w:rPr>
          <w:rFonts w:eastAsia="Calibri"/>
        </w:rPr>
        <w:t xml:space="preserve">contemporary card </w:t>
      </w:r>
      <w:r w:rsidRPr="006F0382">
        <w:rPr>
          <w:lang w:eastAsia="en-AU"/>
        </w:rPr>
        <w:t>will have reduced compliance and engagement costs with the Department.</w:t>
      </w:r>
    </w:p>
    <w:p w14:paraId="66F6D62E" w14:textId="77777777" w:rsidR="006A106D" w:rsidRPr="006F0382" w:rsidRDefault="006A106D" w:rsidP="006A106D">
      <w:pPr>
        <w:rPr>
          <w:lang w:eastAsia="en-AU"/>
        </w:rPr>
      </w:pPr>
      <w:r w:rsidRPr="006F0382">
        <w:rPr>
          <w:lang w:eastAsia="en-AU"/>
        </w:rPr>
        <w:t>Merchants new to the program will have new costs. Some of these businesses may be eligible for support to join the program. This means on balance there is likely to be a slight net benefit for these merchants.</w:t>
      </w:r>
    </w:p>
    <w:p w14:paraId="2683847F" w14:textId="77777777" w:rsidR="009A042D" w:rsidRPr="006A106D" w:rsidRDefault="006A106D" w:rsidP="006A106D">
      <w:pPr>
        <w:spacing w:before="120" w:after="180" w:line="276" w:lineRule="auto"/>
        <w:rPr>
          <w:rFonts w:ascii="Calibri" w:eastAsia="Calibri" w:hAnsi="Calibri" w:cs="Times New Roman"/>
          <w:color w:val="262626"/>
        </w:rPr>
      </w:pPr>
      <w:r w:rsidRPr="006F0382">
        <w:rPr>
          <w:rFonts w:ascii="Calibri" w:eastAsia="Calibri" w:hAnsi="Calibri" w:cs="Times New Roman"/>
          <w:color w:val="262626"/>
        </w:rPr>
        <w:t xml:space="preserve">There </w:t>
      </w:r>
      <w:r w:rsidR="00572579">
        <w:rPr>
          <w:rFonts w:ascii="Calibri" w:eastAsia="Calibri" w:hAnsi="Calibri" w:cs="Times New Roman"/>
          <w:color w:val="262626"/>
        </w:rPr>
        <w:t>are</w:t>
      </w:r>
      <w:r w:rsidRPr="006F0382">
        <w:rPr>
          <w:rFonts w:ascii="Calibri" w:eastAsia="Calibri" w:hAnsi="Calibri" w:cs="Times New Roman"/>
          <w:color w:val="262626"/>
        </w:rPr>
        <w:t xml:space="preserve"> no regulatory impact on general merchants as they will continue to operate normally. There may be some moderate changes in consumption patterns benefitting some merchants due to increased demand for restricted goods</w:t>
      </w:r>
      <w:r w:rsidR="00572579">
        <w:rPr>
          <w:rFonts w:ascii="Calibri" w:eastAsia="Calibri" w:hAnsi="Calibri" w:cs="Times New Roman"/>
          <w:color w:val="262626"/>
        </w:rPr>
        <w:t>.</w:t>
      </w:r>
      <w:r w:rsidRPr="006F0382">
        <w:rPr>
          <w:rFonts w:ascii="Calibri" w:eastAsia="Calibri" w:hAnsi="Calibri" w:cs="Times New Roman"/>
          <w:color w:val="262626"/>
        </w:rPr>
        <w:t xml:space="preserve"> Overall, the impacts on general merchants in most locations are likely to be minimal.</w:t>
      </w:r>
    </w:p>
    <w:p w14:paraId="1E7EB130" w14:textId="77777777" w:rsidR="002A72A1" w:rsidRPr="00335A67" w:rsidRDefault="00FB6FA4" w:rsidP="006A7591">
      <w:pPr>
        <w:pStyle w:val="Heading4"/>
        <w:rPr>
          <w:i/>
        </w:rPr>
      </w:pPr>
      <w:r>
        <w:t xml:space="preserve">4.2.2.2.4 </w:t>
      </w:r>
      <w:r w:rsidR="002A72A1" w:rsidRPr="00335A67">
        <w:t>Summary – impacts on merchants</w:t>
      </w:r>
    </w:p>
    <w:p w14:paraId="7D6048FD" w14:textId="5633F47E" w:rsidR="002A72A1" w:rsidRPr="00335A67" w:rsidRDefault="002A72A1" w:rsidP="002A72A1">
      <w:r w:rsidRPr="007C2B8B">
        <w:t xml:space="preserve">The </w:t>
      </w:r>
      <w:r w:rsidR="00411295">
        <w:rPr>
          <w:rFonts w:eastAsia="Calibri"/>
        </w:rPr>
        <w:t xml:space="preserve">contemporary card </w:t>
      </w:r>
      <w:r w:rsidRPr="007C2B8B">
        <w:t>system will be easy to use</w:t>
      </w:r>
      <w:r w:rsidR="00A86AC0">
        <w:t xml:space="preserve"> for the majority of merchant</w:t>
      </w:r>
      <w:r w:rsidR="00572579">
        <w:t>s</w:t>
      </w:r>
      <w:r w:rsidR="00A86AC0">
        <w:t xml:space="preserve"> who will not need to change their practices. Some merchants will need to install PLB or agree to not sell restricted items to participants. F</w:t>
      </w:r>
      <w:r w:rsidRPr="007C2B8B">
        <w:t xml:space="preserve">ormer IM merchants will benefit from moving from </w:t>
      </w:r>
      <w:r w:rsidR="006269A7" w:rsidRPr="007C2B8B">
        <w:t xml:space="preserve">the </w:t>
      </w:r>
      <w:r w:rsidR="00A86AC0">
        <w:t xml:space="preserve">more complicated </w:t>
      </w:r>
      <w:r w:rsidR="006269A7" w:rsidRPr="007C2B8B">
        <w:t xml:space="preserve">BasicsCard </w:t>
      </w:r>
      <w:r w:rsidR="00A86AC0">
        <w:t xml:space="preserve">system </w:t>
      </w:r>
      <w:r w:rsidR="006269A7" w:rsidRPr="007C2B8B">
        <w:t xml:space="preserve">to the </w:t>
      </w:r>
      <w:r w:rsidR="00411295">
        <w:rPr>
          <w:rFonts w:eastAsia="Calibri"/>
        </w:rPr>
        <w:t xml:space="preserve">contemporary card </w:t>
      </w:r>
      <w:r w:rsidR="00A86AC0">
        <w:t xml:space="preserve">which is similar to other </w:t>
      </w:r>
      <w:r w:rsidR="00E81111">
        <w:t xml:space="preserve">debit </w:t>
      </w:r>
      <w:r w:rsidR="00A86AC0">
        <w:t>cards</w:t>
      </w:r>
      <w:r w:rsidR="006269A7" w:rsidRPr="007C2B8B">
        <w:t>. I</w:t>
      </w:r>
      <w:r w:rsidRPr="007C2B8B">
        <w:t>t will have a limited impact on former CDC merchants and those merchants that were already blocked as there will be no changes in their day</w:t>
      </w:r>
      <w:r w:rsidR="00CD6E18">
        <w:t>-</w:t>
      </w:r>
      <w:r w:rsidRPr="007C2B8B">
        <w:t>to</w:t>
      </w:r>
      <w:r w:rsidR="00CD6E18">
        <w:t>-</w:t>
      </w:r>
      <w:r w:rsidRPr="007C2B8B">
        <w:t xml:space="preserve">day </w:t>
      </w:r>
      <w:r w:rsidRPr="00335A67">
        <w:t>operations. Given the small numbers of participants, the competition and economic impacts on merchants are also likely to be minimal.</w:t>
      </w:r>
    </w:p>
    <w:p w14:paraId="71DD07D8" w14:textId="77777777" w:rsidR="002A72A1" w:rsidRDefault="002A72A1" w:rsidP="002A72A1">
      <w:pPr>
        <w:rPr>
          <w:b/>
        </w:rPr>
      </w:pPr>
      <w:r w:rsidRPr="00A24064">
        <w:rPr>
          <w:b/>
        </w:rPr>
        <w:t>Total regulatory cost</w:t>
      </w:r>
      <w:r w:rsidR="008F2754" w:rsidRPr="00A24064">
        <w:rPr>
          <w:b/>
        </w:rPr>
        <w:t xml:space="preserve"> for merchants</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tal regulatory cost for merchants"/>
      </w:tblPr>
      <w:tblGrid>
        <w:gridCol w:w="5740"/>
        <w:gridCol w:w="2520"/>
        <w:gridCol w:w="1420"/>
      </w:tblGrid>
      <w:tr w:rsidR="008F2754" w:rsidRPr="008F2754" w14:paraId="7B058C1D" w14:textId="77777777" w:rsidTr="008F2754">
        <w:trPr>
          <w:trHeight w:val="300"/>
        </w:trPr>
        <w:tc>
          <w:tcPr>
            <w:tcW w:w="5740" w:type="dxa"/>
            <w:shd w:val="clear" w:color="auto" w:fill="auto"/>
            <w:noWrap/>
            <w:vAlign w:val="center"/>
            <w:hideMark/>
          </w:tcPr>
          <w:p w14:paraId="4782E613" w14:textId="77777777" w:rsidR="008F2754" w:rsidRPr="008F2754" w:rsidRDefault="008F2754" w:rsidP="008F2754">
            <w:pPr>
              <w:spacing w:after="0" w:line="240" w:lineRule="auto"/>
              <w:rPr>
                <w:rFonts w:ascii="Calibri" w:eastAsia="Times New Roman" w:hAnsi="Calibri" w:cs="Calibri"/>
                <w:b/>
                <w:bCs/>
                <w:color w:val="262626"/>
                <w:sz w:val="22"/>
                <w:szCs w:val="22"/>
                <w:lang w:eastAsia="en-AU"/>
              </w:rPr>
            </w:pPr>
            <w:r>
              <w:rPr>
                <w:rFonts w:ascii="Calibri" w:eastAsia="Times New Roman" w:hAnsi="Calibri" w:cs="Calibri"/>
                <w:b/>
                <w:bCs/>
                <w:color w:val="262626"/>
                <w:sz w:val="22"/>
                <w:szCs w:val="22"/>
                <w:lang w:eastAsia="en-AU"/>
              </w:rPr>
              <w:t>Merchants</w:t>
            </w:r>
          </w:p>
        </w:tc>
        <w:tc>
          <w:tcPr>
            <w:tcW w:w="2520" w:type="dxa"/>
            <w:shd w:val="clear" w:color="auto" w:fill="auto"/>
            <w:noWrap/>
            <w:vAlign w:val="bottom"/>
            <w:hideMark/>
          </w:tcPr>
          <w:p w14:paraId="03C14371" w14:textId="38D09DBB" w:rsidR="008F2754" w:rsidRPr="008F2754" w:rsidRDefault="006A7177" w:rsidP="008F2754">
            <w:pPr>
              <w:spacing w:after="0" w:line="240" w:lineRule="auto"/>
              <w:rPr>
                <w:rFonts w:ascii="Calibri" w:eastAsia="Times New Roman" w:hAnsi="Calibri" w:cs="Calibri"/>
                <w:b/>
                <w:bCs/>
                <w:color w:val="262626"/>
                <w:sz w:val="22"/>
                <w:szCs w:val="22"/>
                <w:lang w:eastAsia="en-AU"/>
              </w:rPr>
            </w:pPr>
            <w:r w:rsidRPr="008F2754">
              <w:rPr>
                <w:rFonts w:ascii="Calibri" w:eastAsia="Times New Roman" w:hAnsi="Calibri" w:cs="Calibri"/>
                <w:b/>
                <w:bCs/>
                <w:color w:val="262626"/>
                <w:sz w:val="22"/>
                <w:szCs w:val="22"/>
                <w:lang w:eastAsia="en-AU"/>
              </w:rPr>
              <w:t>C</w:t>
            </w:r>
            <w:r w:rsidR="008F2754" w:rsidRPr="008F2754">
              <w:rPr>
                <w:rFonts w:ascii="Calibri" w:eastAsia="Times New Roman" w:hAnsi="Calibri" w:cs="Calibri"/>
                <w:b/>
                <w:bCs/>
                <w:color w:val="262626"/>
                <w:sz w:val="22"/>
                <w:szCs w:val="22"/>
                <w:lang w:eastAsia="en-AU"/>
              </w:rPr>
              <w:t>ost</w:t>
            </w:r>
          </w:p>
        </w:tc>
        <w:tc>
          <w:tcPr>
            <w:tcW w:w="1420" w:type="dxa"/>
            <w:shd w:val="clear" w:color="auto" w:fill="auto"/>
            <w:noWrap/>
            <w:vAlign w:val="bottom"/>
            <w:hideMark/>
          </w:tcPr>
          <w:p w14:paraId="2845060B" w14:textId="77777777" w:rsidR="008F2754" w:rsidRPr="008F2754" w:rsidRDefault="008F2754" w:rsidP="008F2754">
            <w:pPr>
              <w:spacing w:after="0" w:line="240" w:lineRule="auto"/>
              <w:rPr>
                <w:rFonts w:ascii="Times New Roman" w:eastAsia="Times New Roman" w:hAnsi="Times New Roman" w:cs="Times New Roman"/>
                <w:b/>
                <w:color w:val="auto"/>
                <w:lang w:eastAsia="en-AU"/>
              </w:rPr>
            </w:pPr>
            <w:r>
              <w:rPr>
                <w:rFonts w:ascii="Times New Roman" w:eastAsia="Times New Roman" w:hAnsi="Times New Roman" w:cs="Times New Roman"/>
                <w:b/>
                <w:color w:val="auto"/>
                <w:lang w:eastAsia="en-AU"/>
              </w:rPr>
              <w:t>I</w:t>
            </w:r>
            <w:r w:rsidRPr="008F2754">
              <w:rPr>
                <w:rFonts w:ascii="Times New Roman" w:eastAsia="Times New Roman" w:hAnsi="Times New Roman" w:cs="Times New Roman"/>
                <w:b/>
                <w:color w:val="auto"/>
                <w:lang w:eastAsia="en-AU"/>
              </w:rPr>
              <w:t>mpact</w:t>
            </w:r>
          </w:p>
        </w:tc>
      </w:tr>
      <w:tr w:rsidR="008F2754" w:rsidRPr="008F2754" w14:paraId="67EDC05C" w14:textId="77777777" w:rsidTr="008F2754">
        <w:trPr>
          <w:trHeight w:val="300"/>
        </w:trPr>
        <w:tc>
          <w:tcPr>
            <w:tcW w:w="5740" w:type="dxa"/>
            <w:shd w:val="clear" w:color="auto" w:fill="auto"/>
            <w:noWrap/>
            <w:vAlign w:val="center"/>
            <w:hideMark/>
          </w:tcPr>
          <w:p w14:paraId="1EDD369D" w14:textId="77777777" w:rsidR="008F2754" w:rsidRPr="008F2754" w:rsidRDefault="008F2754" w:rsidP="008F2754">
            <w:pPr>
              <w:spacing w:after="0" w:line="240" w:lineRule="auto"/>
              <w:rPr>
                <w:rFonts w:ascii="Calibri" w:eastAsia="Times New Roman" w:hAnsi="Calibri" w:cs="Calibri"/>
                <w:bCs/>
                <w:color w:val="262626"/>
                <w:sz w:val="22"/>
                <w:szCs w:val="22"/>
                <w:lang w:eastAsia="en-AU"/>
              </w:rPr>
            </w:pPr>
            <w:r w:rsidRPr="008F2754">
              <w:rPr>
                <w:rFonts w:ascii="Calibri" w:eastAsia="Times New Roman" w:hAnsi="Calibri" w:cs="Calibri"/>
                <w:bCs/>
                <w:color w:val="262626"/>
                <w:sz w:val="22"/>
                <w:szCs w:val="22"/>
                <w:lang w:eastAsia="en-AU"/>
              </w:rPr>
              <w:t>Abolishing CDC and IM requirements for merchants</w:t>
            </w:r>
          </w:p>
        </w:tc>
        <w:tc>
          <w:tcPr>
            <w:tcW w:w="2520" w:type="dxa"/>
            <w:shd w:val="clear" w:color="auto" w:fill="auto"/>
            <w:noWrap/>
            <w:vAlign w:val="bottom"/>
            <w:hideMark/>
          </w:tcPr>
          <w:p w14:paraId="2784E51A" w14:textId="77777777" w:rsidR="008F2754" w:rsidRPr="008F2754" w:rsidRDefault="00A24064" w:rsidP="008F2754">
            <w:pPr>
              <w:spacing w:after="0" w:line="240" w:lineRule="auto"/>
              <w:jc w:val="right"/>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-$18,015,160</w:t>
            </w:r>
          </w:p>
        </w:tc>
        <w:tc>
          <w:tcPr>
            <w:tcW w:w="1420" w:type="dxa"/>
            <w:shd w:val="clear" w:color="auto" w:fill="auto"/>
            <w:noWrap/>
            <w:vAlign w:val="bottom"/>
            <w:hideMark/>
          </w:tcPr>
          <w:p w14:paraId="3055D589" w14:textId="77777777" w:rsidR="008F2754" w:rsidRPr="008F2754" w:rsidRDefault="008F2754" w:rsidP="008F2754">
            <w:pPr>
              <w:spacing w:after="0" w:line="240" w:lineRule="auto"/>
              <w:rPr>
                <w:rFonts w:ascii="Calibri" w:eastAsia="Times New Roman" w:hAnsi="Calibri" w:cs="Calibri"/>
                <w:color w:val="000000"/>
                <w:sz w:val="22"/>
                <w:szCs w:val="22"/>
                <w:lang w:eastAsia="en-AU"/>
              </w:rPr>
            </w:pPr>
            <w:r w:rsidRPr="008F2754">
              <w:rPr>
                <w:rFonts w:ascii="Calibri" w:eastAsia="Times New Roman" w:hAnsi="Calibri" w:cs="Calibri"/>
                <w:color w:val="000000"/>
                <w:sz w:val="22"/>
                <w:szCs w:val="22"/>
                <w:lang w:eastAsia="en-AU"/>
              </w:rPr>
              <w:t>save</w:t>
            </w:r>
          </w:p>
        </w:tc>
      </w:tr>
      <w:tr w:rsidR="008F2754" w:rsidRPr="008F2754" w14:paraId="1D63B6FD" w14:textId="77777777" w:rsidTr="008F2754">
        <w:trPr>
          <w:trHeight w:val="300"/>
        </w:trPr>
        <w:tc>
          <w:tcPr>
            <w:tcW w:w="5740" w:type="dxa"/>
            <w:shd w:val="clear" w:color="auto" w:fill="auto"/>
            <w:noWrap/>
            <w:vAlign w:val="center"/>
            <w:hideMark/>
          </w:tcPr>
          <w:p w14:paraId="26F9703A" w14:textId="77777777" w:rsidR="008F2754" w:rsidRPr="008F2754" w:rsidRDefault="008F2754" w:rsidP="008F2754">
            <w:pPr>
              <w:spacing w:after="0" w:line="240" w:lineRule="auto"/>
              <w:rPr>
                <w:rFonts w:ascii="Calibri" w:eastAsia="Times New Roman" w:hAnsi="Calibri" w:cs="Calibri"/>
                <w:bCs/>
                <w:color w:val="262626"/>
                <w:sz w:val="22"/>
                <w:szCs w:val="22"/>
                <w:lang w:eastAsia="en-AU"/>
              </w:rPr>
            </w:pPr>
            <w:r w:rsidRPr="008F2754">
              <w:rPr>
                <w:rFonts w:ascii="Calibri" w:eastAsia="Times New Roman" w:hAnsi="Calibri" w:cs="Calibri"/>
                <w:bCs/>
                <w:color w:val="262626"/>
                <w:sz w:val="22"/>
                <w:szCs w:val="22"/>
                <w:lang w:eastAsia="en-AU"/>
              </w:rPr>
              <w:t>Movement to current IM Card technology</w:t>
            </w:r>
          </w:p>
        </w:tc>
        <w:tc>
          <w:tcPr>
            <w:tcW w:w="2520" w:type="dxa"/>
            <w:shd w:val="clear" w:color="auto" w:fill="auto"/>
            <w:noWrap/>
            <w:vAlign w:val="bottom"/>
            <w:hideMark/>
          </w:tcPr>
          <w:p w14:paraId="4A531CA3" w14:textId="77777777" w:rsidR="008F2754" w:rsidRPr="008F2754" w:rsidRDefault="008F2754" w:rsidP="00ED456E">
            <w:pPr>
              <w:spacing w:after="0" w:line="240" w:lineRule="auto"/>
              <w:jc w:val="right"/>
              <w:rPr>
                <w:rFonts w:ascii="Calibri" w:eastAsia="Times New Roman" w:hAnsi="Calibri" w:cs="Calibri"/>
                <w:color w:val="000000"/>
                <w:sz w:val="22"/>
                <w:szCs w:val="22"/>
                <w:lang w:eastAsia="en-AU"/>
              </w:rPr>
            </w:pPr>
            <w:r w:rsidRPr="008F2754">
              <w:rPr>
                <w:rFonts w:ascii="Calibri" w:eastAsia="Times New Roman" w:hAnsi="Calibri" w:cs="Calibri"/>
                <w:color w:val="000000"/>
                <w:sz w:val="22"/>
                <w:szCs w:val="22"/>
                <w:lang w:eastAsia="en-AU"/>
              </w:rPr>
              <w:t>Nil</w:t>
            </w:r>
          </w:p>
        </w:tc>
        <w:tc>
          <w:tcPr>
            <w:tcW w:w="1420" w:type="dxa"/>
            <w:shd w:val="clear" w:color="auto" w:fill="auto"/>
            <w:noWrap/>
            <w:vAlign w:val="bottom"/>
            <w:hideMark/>
          </w:tcPr>
          <w:p w14:paraId="717E8290" w14:textId="77777777" w:rsidR="008F2754" w:rsidRPr="008F2754" w:rsidRDefault="00ED456E" w:rsidP="008F2754">
            <w:pPr>
              <w:spacing w:after="0" w:line="240" w:lineRule="auto"/>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w:t>
            </w:r>
          </w:p>
        </w:tc>
      </w:tr>
      <w:tr w:rsidR="008F2754" w:rsidRPr="008F2754" w14:paraId="1B6B2AE1" w14:textId="77777777" w:rsidTr="008F2754">
        <w:trPr>
          <w:trHeight w:val="300"/>
        </w:trPr>
        <w:tc>
          <w:tcPr>
            <w:tcW w:w="5740" w:type="dxa"/>
            <w:shd w:val="clear" w:color="auto" w:fill="auto"/>
            <w:noWrap/>
            <w:vAlign w:val="center"/>
            <w:hideMark/>
          </w:tcPr>
          <w:p w14:paraId="156FD850" w14:textId="22375DF7" w:rsidR="008F2754" w:rsidRPr="008F2754" w:rsidRDefault="008F2754" w:rsidP="008F2754">
            <w:pPr>
              <w:spacing w:after="0" w:line="240" w:lineRule="auto"/>
              <w:rPr>
                <w:rFonts w:ascii="Calibri" w:eastAsia="Times New Roman" w:hAnsi="Calibri" w:cs="Calibri"/>
                <w:bCs/>
                <w:color w:val="262626"/>
                <w:sz w:val="22"/>
                <w:szCs w:val="22"/>
                <w:lang w:eastAsia="en-AU"/>
              </w:rPr>
            </w:pPr>
            <w:r w:rsidRPr="008F2754">
              <w:rPr>
                <w:rFonts w:ascii="Calibri" w:eastAsia="Times New Roman" w:hAnsi="Calibri" w:cs="Calibri"/>
                <w:bCs/>
                <w:color w:val="262626"/>
                <w:sz w:val="22"/>
                <w:szCs w:val="22"/>
                <w:lang w:eastAsia="en-AU"/>
              </w:rPr>
              <w:t xml:space="preserve">Merchants onboarding for </w:t>
            </w:r>
            <w:r w:rsidR="00411295" w:rsidRPr="00411295">
              <w:rPr>
                <w:rFonts w:ascii="Calibri" w:eastAsia="Times New Roman" w:hAnsi="Calibri" w:cs="Calibri"/>
                <w:bCs/>
                <w:color w:val="262626"/>
                <w:sz w:val="22"/>
                <w:szCs w:val="22"/>
                <w:lang w:eastAsia="en-AU"/>
              </w:rPr>
              <w:t>contemporary card</w:t>
            </w:r>
          </w:p>
        </w:tc>
        <w:tc>
          <w:tcPr>
            <w:tcW w:w="2520" w:type="dxa"/>
            <w:shd w:val="clear" w:color="auto" w:fill="auto"/>
            <w:noWrap/>
            <w:vAlign w:val="bottom"/>
            <w:hideMark/>
          </w:tcPr>
          <w:p w14:paraId="7ECA24B7" w14:textId="77777777" w:rsidR="008F2754" w:rsidRPr="00231A2C" w:rsidRDefault="002B6A7E" w:rsidP="00A24064">
            <w:pPr>
              <w:spacing w:after="0" w:line="240" w:lineRule="auto"/>
              <w:jc w:val="right"/>
              <w:rPr>
                <w:rFonts w:ascii="Calibri" w:eastAsia="Times New Roman" w:hAnsi="Calibri" w:cs="Calibri"/>
                <w:color w:val="000000"/>
                <w:sz w:val="22"/>
                <w:szCs w:val="22"/>
                <w:lang w:eastAsia="en-AU"/>
              </w:rPr>
            </w:pPr>
            <w:r w:rsidRPr="00231A2C">
              <w:rPr>
                <w:rFonts w:ascii="Calibri" w:eastAsia="Times New Roman" w:hAnsi="Calibri" w:cs="Calibri"/>
                <w:color w:val="000000"/>
                <w:sz w:val="22"/>
                <w:szCs w:val="22"/>
                <w:lang w:eastAsia="en-AU"/>
              </w:rPr>
              <w:t>$</w:t>
            </w:r>
            <w:r w:rsidR="00A24064">
              <w:rPr>
                <w:rFonts w:ascii="Calibri" w:eastAsia="Times New Roman" w:hAnsi="Calibri" w:cs="Calibri"/>
                <w:color w:val="000000"/>
                <w:sz w:val="22"/>
                <w:szCs w:val="22"/>
                <w:lang w:eastAsia="en-AU"/>
              </w:rPr>
              <w:t>818,736</w:t>
            </w:r>
          </w:p>
        </w:tc>
        <w:tc>
          <w:tcPr>
            <w:tcW w:w="1420" w:type="dxa"/>
            <w:shd w:val="clear" w:color="auto" w:fill="auto"/>
            <w:noWrap/>
            <w:vAlign w:val="bottom"/>
            <w:hideMark/>
          </w:tcPr>
          <w:p w14:paraId="2BEF6E67" w14:textId="77777777" w:rsidR="008F2754" w:rsidRPr="00231A2C" w:rsidRDefault="008F2754" w:rsidP="008F2754">
            <w:pPr>
              <w:spacing w:after="0" w:line="240" w:lineRule="auto"/>
              <w:rPr>
                <w:rFonts w:ascii="Calibri" w:eastAsia="Times New Roman" w:hAnsi="Calibri" w:cs="Calibri"/>
                <w:color w:val="000000"/>
                <w:sz w:val="22"/>
                <w:szCs w:val="22"/>
                <w:lang w:eastAsia="en-AU"/>
              </w:rPr>
            </w:pPr>
            <w:r w:rsidRPr="00231A2C">
              <w:rPr>
                <w:rFonts w:ascii="Calibri" w:eastAsia="Times New Roman" w:hAnsi="Calibri" w:cs="Calibri"/>
                <w:color w:val="000000"/>
                <w:sz w:val="22"/>
                <w:szCs w:val="22"/>
                <w:lang w:eastAsia="en-AU"/>
              </w:rPr>
              <w:t>cost</w:t>
            </w:r>
          </w:p>
        </w:tc>
      </w:tr>
      <w:tr w:rsidR="008F2754" w:rsidRPr="008F2754" w14:paraId="57B48D15" w14:textId="77777777" w:rsidTr="008F2754">
        <w:trPr>
          <w:trHeight w:val="300"/>
        </w:trPr>
        <w:tc>
          <w:tcPr>
            <w:tcW w:w="5740" w:type="dxa"/>
            <w:shd w:val="clear" w:color="auto" w:fill="auto"/>
            <w:noWrap/>
            <w:vAlign w:val="center"/>
            <w:hideMark/>
          </w:tcPr>
          <w:p w14:paraId="7958BBD2" w14:textId="77777777" w:rsidR="008F2754" w:rsidRPr="008F2754" w:rsidRDefault="008F2754" w:rsidP="008F2754">
            <w:pPr>
              <w:spacing w:after="0" w:line="240" w:lineRule="auto"/>
              <w:jc w:val="right"/>
              <w:rPr>
                <w:rFonts w:ascii="Calibri" w:eastAsia="Times New Roman" w:hAnsi="Calibri" w:cs="Calibri"/>
                <w:bCs/>
                <w:color w:val="262626"/>
                <w:sz w:val="22"/>
                <w:szCs w:val="22"/>
                <w:lang w:eastAsia="en-AU"/>
              </w:rPr>
            </w:pPr>
            <w:r w:rsidRPr="008F2754">
              <w:rPr>
                <w:rFonts w:ascii="Calibri" w:eastAsia="Times New Roman" w:hAnsi="Calibri" w:cs="Calibri"/>
                <w:bCs/>
                <w:color w:val="262626"/>
                <w:sz w:val="22"/>
                <w:szCs w:val="22"/>
                <w:lang w:eastAsia="en-AU"/>
              </w:rPr>
              <w:t>Total ($)</w:t>
            </w:r>
          </w:p>
        </w:tc>
        <w:tc>
          <w:tcPr>
            <w:tcW w:w="2520" w:type="dxa"/>
            <w:shd w:val="clear" w:color="auto" w:fill="auto"/>
            <w:noWrap/>
            <w:vAlign w:val="bottom"/>
            <w:hideMark/>
          </w:tcPr>
          <w:p w14:paraId="5C2A6F6F" w14:textId="77777777" w:rsidR="008F2754" w:rsidRPr="00231A2C" w:rsidRDefault="00605CCD" w:rsidP="00A24064">
            <w:pPr>
              <w:spacing w:after="0" w:line="240" w:lineRule="auto"/>
              <w:jc w:val="right"/>
              <w:rPr>
                <w:rFonts w:ascii="Calibri" w:eastAsia="Times New Roman" w:hAnsi="Calibri" w:cs="Calibri"/>
                <w:color w:val="000000"/>
                <w:sz w:val="22"/>
                <w:szCs w:val="22"/>
                <w:lang w:eastAsia="en-AU"/>
              </w:rPr>
            </w:pPr>
            <w:r w:rsidRPr="00231A2C">
              <w:rPr>
                <w:rFonts w:ascii="Calibri" w:eastAsia="Times New Roman" w:hAnsi="Calibri" w:cs="Calibri"/>
                <w:color w:val="000000"/>
                <w:sz w:val="22"/>
                <w:szCs w:val="22"/>
                <w:lang w:eastAsia="en-AU"/>
              </w:rPr>
              <w:t>-$17,</w:t>
            </w:r>
            <w:r w:rsidR="00A24064">
              <w:rPr>
                <w:rFonts w:ascii="Calibri" w:eastAsia="Times New Roman" w:hAnsi="Calibri" w:cs="Calibri"/>
                <w:color w:val="000000"/>
                <w:sz w:val="22"/>
                <w:szCs w:val="22"/>
                <w:lang w:eastAsia="en-AU"/>
              </w:rPr>
              <w:t>196,424</w:t>
            </w:r>
          </w:p>
        </w:tc>
        <w:tc>
          <w:tcPr>
            <w:tcW w:w="1420" w:type="dxa"/>
            <w:shd w:val="clear" w:color="auto" w:fill="auto"/>
            <w:noWrap/>
            <w:vAlign w:val="bottom"/>
            <w:hideMark/>
          </w:tcPr>
          <w:p w14:paraId="6301D0CF" w14:textId="77777777" w:rsidR="008F2754" w:rsidRPr="00231A2C" w:rsidRDefault="008F2754" w:rsidP="008F2754">
            <w:pPr>
              <w:spacing w:after="0" w:line="240" w:lineRule="auto"/>
              <w:rPr>
                <w:rFonts w:ascii="Calibri" w:eastAsia="Times New Roman" w:hAnsi="Calibri" w:cs="Calibri"/>
                <w:color w:val="000000"/>
                <w:sz w:val="22"/>
                <w:szCs w:val="22"/>
                <w:lang w:eastAsia="en-AU"/>
              </w:rPr>
            </w:pPr>
            <w:r w:rsidRPr="00231A2C">
              <w:rPr>
                <w:rFonts w:ascii="Calibri" w:eastAsia="Times New Roman" w:hAnsi="Calibri" w:cs="Calibri"/>
                <w:color w:val="000000"/>
                <w:sz w:val="22"/>
                <w:szCs w:val="22"/>
                <w:lang w:eastAsia="en-AU"/>
              </w:rPr>
              <w:t>save</w:t>
            </w:r>
          </w:p>
        </w:tc>
      </w:tr>
    </w:tbl>
    <w:p w14:paraId="44955072" w14:textId="77777777" w:rsidR="007920A6" w:rsidRPr="00CA1D90" w:rsidRDefault="009E6FF3" w:rsidP="006318BC">
      <w:pPr>
        <w:pStyle w:val="Heading4"/>
      </w:pPr>
      <w:bookmarkStart w:id="144" w:name="_Toc108008511"/>
      <w:r>
        <w:t xml:space="preserve">4.2.2.3 </w:t>
      </w:r>
      <w:r w:rsidR="007920A6" w:rsidRPr="00CA1D90">
        <w:t>Government</w:t>
      </w:r>
      <w:bookmarkEnd w:id="144"/>
    </w:p>
    <w:p w14:paraId="2F3BFBE2" w14:textId="77777777" w:rsidR="00267594" w:rsidRPr="00267594" w:rsidRDefault="00267594" w:rsidP="00267594">
      <w:pPr>
        <w:spacing w:before="120" w:after="180" w:line="276" w:lineRule="auto"/>
        <w:rPr>
          <w:rFonts w:ascii="Calibri" w:eastAsia="Calibri" w:hAnsi="Calibri" w:cs="Times New Roman"/>
          <w:b/>
          <w:color w:val="262626"/>
        </w:rPr>
      </w:pPr>
      <w:r w:rsidRPr="00267594">
        <w:rPr>
          <w:rFonts w:ascii="Calibri" w:eastAsia="Calibri" w:hAnsi="Calibri" w:cs="Times New Roman"/>
          <w:b/>
          <w:color w:val="262626"/>
        </w:rPr>
        <w:t>Benefits</w:t>
      </w:r>
    </w:p>
    <w:p w14:paraId="2B3AD81B" w14:textId="77777777" w:rsidR="006D3ACB" w:rsidRDefault="00267594" w:rsidP="001F30CA">
      <w:pPr>
        <w:pStyle w:val="BulletedListlvl1"/>
      </w:pPr>
      <w:r>
        <w:t xml:space="preserve">There will be a </w:t>
      </w:r>
      <w:r w:rsidRPr="00246D8D">
        <w:rPr>
          <w:b/>
        </w:rPr>
        <w:t>decrease in</w:t>
      </w:r>
      <w:r>
        <w:t xml:space="preserve"> the</w:t>
      </w:r>
      <w:r w:rsidR="00246D8D">
        <w:t xml:space="preserve"> </w:t>
      </w:r>
      <w:r w:rsidR="00246D8D" w:rsidRPr="00246D8D">
        <w:rPr>
          <w:b/>
        </w:rPr>
        <w:t>administrative</w:t>
      </w:r>
      <w:r w:rsidR="00246D8D">
        <w:t xml:space="preserve"> </w:t>
      </w:r>
      <w:r w:rsidRPr="00246D8D">
        <w:rPr>
          <w:b/>
        </w:rPr>
        <w:t>cost</w:t>
      </w:r>
      <w:r>
        <w:t xml:space="preserve"> to the Government of not having to deliver the CDC</w:t>
      </w:r>
      <w:r w:rsidR="00246D8D">
        <w:t xml:space="preserve"> program</w:t>
      </w:r>
      <w:r>
        <w:t xml:space="preserve"> and</w:t>
      </w:r>
      <w:r w:rsidR="005D3BC6">
        <w:t xml:space="preserve"> compulsory measures of the IM program</w:t>
      </w:r>
      <w:r>
        <w:t xml:space="preserve"> therefore a de</w:t>
      </w:r>
      <w:r w:rsidR="007920A6">
        <w:t xml:space="preserve">crease in total program </w:t>
      </w:r>
      <w:r w:rsidR="00FD2793">
        <w:t>expenditure.</w:t>
      </w:r>
    </w:p>
    <w:p w14:paraId="0B8156D5" w14:textId="77777777" w:rsidR="00F13A9D" w:rsidRDefault="00F13A9D" w:rsidP="00F13A9D">
      <w:pPr>
        <w:pStyle w:val="BulletedListlvl1"/>
      </w:pPr>
      <w:r>
        <w:t xml:space="preserve">State and </w:t>
      </w:r>
      <w:r w:rsidR="002D6833">
        <w:t>t</w:t>
      </w:r>
      <w:r>
        <w:t>erritory government</w:t>
      </w:r>
      <w:r w:rsidR="002D6833">
        <w:t>s</w:t>
      </w:r>
      <w:r>
        <w:t xml:space="preserve"> will be able to refer </w:t>
      </w:r>
      <w:r w:rsidR="00EE0450">
        <w:t xml:space="preserve">people </w:t>
      </w:r>
      <w:r>
        <w:t xml:space="preserve">to </w:t>
      </w:r>
      <w:r w:rsidR="00EE0450">
        <w:t xml:space="preserve">the </w:t>
      </w:r>
      <w:r>
        <w:t>IM</w:t>
      </w:r>
      <w:r w:rsidR="00AE3AC5">
        <w:t xml:space="preserve"> </w:t>
      </w:r>
      <w:r w:rsidR="00EE0450">
        <w:t xml:space="preserve">program </w:t>
      </w:r>
      <w:r w:rsidR="00AE3AC5">
        <w:t>in certain circumstances</w:t>
      </w:r>
      <w:r>
        <w:t xml:space="preserve"> as a way of supporting </w:t>
      </w:r>
      <w:r w:rsidR="00AE3AC5">
        <w:t>welfare recipients residing in their jurisdictions</w:t>
      </w:r>
      <w:r w:rsidR="00FD2793">
        <w:t>.</w:t>
      </w:r>
    </w:p>
    <w:p w14:paraId="7BECE6BE" w14:textId="77777777" w:rsidR="00267594" w:rsidRPr="00267594" w:rsidRDefault="00267594" w:rsidP="00267594">
      <w:pPr>
        <w:spacing w:before="120" w:after="180" w:line="276" w:lineRule="auto"/>
        <w:rPr>
          <w:rFonts w:ascii="Calibri" w:eastAsia="Calibri" w:hAnsi="Calibri" w:cs="Times New Roman"/>
          <w:b/>
          <w:color w:val="262626"/>
        </w:rPr>
      </w:pPr>
      <w:r>
        <w:rPr>
          <w:rFonts w:ascii="Calibri" w:eastAsia="Calibri" w:hAnsi="Calibri" w:cs="Times New Roman"/>
          <w:b/>
          <w:color w:val="262626"/>
        </w:rPr>
        <w:t>Cost</w:t>
      </w:r>
    </w:p>
    <w:p w14:paraId="4A5CFE29" w14:textId="77777777" w:rsidR="00267594" w:rsidRPr="00231A2C" w:rsidRDefault="00267594" w:rsidP="001F30CA">
      <w:pPr>
        <w:pStyle w:val="BulletedListlvl1"/>
      </w:pPr>
      <w:r>
        <w:t>It costs more to deliver IM than CDC per capita</w:t>
      </w:r>
      <w:r w:rsidR="00526467">
        <w:t xml:space="preserve"> however</w:t>
      </w:r>
      <w:r w:rsidR="001C6B95">
        <w:t>,</w:t>
      </w:r>
      <w:r w:rsidR="00526467">
        <w:t xml:space="preserve"> there is a greater level of service delivery support provided </w:t>
      </w:r>
      <w:r w:rsidR="00FD2793">
        <w:t>to participants in IM than CDC.</w:t>
      </w:r>
    </w:p>
    <w:p w14:paraId="6C8F3D8A" w14:textId="0C5C951B" w:rsidR="00AB47C8" w:rsidRPr="00E81111" w:rsidRDefault="00AB47C8" w:rsidP="00C46226">
      <w:pPr>
        <w:pStyle w:val="BulletedListlvl1"/>
      </w:pPr>
      <w:r w:rsidRPr="00E81111">
        <w:t xml:space="preserve">There will be an upfront investment of Government funding to ensure the staged transition is implemented and CDC participants are transitioned off the program by the CDC legislative sunsetting date of 31 December 2022. </w:t>
      </w:r>
      <w:r w:rsidR="00741F53">
        <w:t>[sentence deleted]</w:t>
      </w:r>
    </w:p>
    <w:p w14:paraId="4E38BE62" w14:textId="77777777" w:rsidR="0042167E" w:rsidRPr="00F97294" w:rsidRDefault="00E81111" w:rsidP="001F30CA">
      <w:pPr>
        <w:pStyle w:val="BulletedListlvl1"/>
        <w:rPr>
          <w:rFonts w:ascii="Calibri" w:eastAsia="Calibri" w:hAnsi="Calibri" w:cs="Times New Roman"/>
          <w:b/>
          <w:color w:val="262626"/>
        </w:rPr>
      </w:pPr>
      <w:r>
        <w:t>While the evidence does not support a</w:t>
      </w:r>
      <w:r w:rsidR="004C09E9">
        <w:t xml:space="preserve"> positive effect from the programs</w:t>
      </w:r>
      <w:r w:rsidR="00BF79D8">
        <w:t xml:space="preserve">, there may be an increase in demand for government run services such as hospitals or policing due to the impact of </w:t>
      </w:r>
      <w:r w:rsidR="00F21CE9">
        <w:t xml:space="preserve">an </w:t>
      </w:r>
      <w:r w:rsidR="00BF79D8">
        <w:t>increase in social harm within the communities.</w:t>
      </w:r>
    </w:p>
    <w:p w14:paraId="636B226D" w14:textId="79C4E5A5" w:rsidR="00B72B39" w:rsidRPr="00CD5DDA" w:rsidRDefault="00B72B39" w:rsidP="007A099E">
      <w:pPr>
        <w:pStyle w:val="NormalWeb"/>
        <w:rPr>
          <w:rFonts w:eastAsia="Calibri"/>
          <w:b/>
        </w:rPr>
      </w:pPr>
      <w:bookmarkStart w:id="145" w:name="_Toc109909188"/>
      <w:r w:rsidRPr="00CD5DDA">
        <w:rPr>
          <w:rFonts w:eastAsia="Calibri"/>
          <w:b/>
        </w:rPr>
        <w:t>Annual cost to state and territory-run authorities to refer individuals to IM</w:t>
      </w:r>
      <w:bookmarkEnd w:id="145"/>
    </w:p>
    <w:tbl>
      <w:tblPr>
        <w:tblStyle w:val="TableGrid1"/>
        <w:tblW w:w="10036" w:type="dxa"/>
        <w:tblLook w:val="04A0" w:firstRow="1" w:lastRow="0" w:firstColumn="1" w:lastColumn="0" w:noHBand="0" w:noVBand="1"/>
        <w:tblDescription w:val="Annual cost to state and territory-run authorities to refer individuals to IM"/>
      </w:tblPr>
      <w:tblGrid>
        <w:gridCol w:w="3447"/>
        <w:gridCol w:w="6589"/>
      </w:tblGrid>
      <w:tr w:rsidR="0063274F" w:rsidRPr="005F26DA" w14:paraId="08E6DB44" w14:textId="77777777" w:rsidTr="00691643">
        <w:trPr>
          <w:trHeight w:val="253"/>
          <w:tblHeader/>
        </w:trPr>
        <w:tc>
          <w:tcPr>
            <w:tcW w:w="3447" w:type="dxa"/>
          </w:tcPr>
          <w:p w14:paraId="2014A11E" w14:textId="77777777" w:rsidR="0063274F" w:rsidRPr="005F26DA" w:rsidRDefault="0063274F" w:rsidP="000C6F93">
            <w:pPr>
              <w:rPr>
                <w:rFonts w:ascii="Calibri" w:eastAsia="Calibri" w:hAnsi="Calibri" w:cs="Times New Roman"/>
                <w:b/>
                <w:color w:val="auto"/>
              </w:rPr>
            </w:pPr>
          </w:p>
        </w:tc>
        <w:tc>
          <w:tcPr>
            <w:tcW w:w="6589" w:type="dxa"/>
          </w:tcPr>
          <w:p w14:paraId="5275B67E" w14:textId="77777777" w:rsidR="0063274F" w:rsidRPr="005F26DA" w:rsidRDefault="0063274F" w:rsidP="007B5FB1">
            <w:pPr>
              <w:rPr>
                <w:rFonts w:ascii="Calibri" w:eastAsia="Calibri" w:hAnsi="Calibri" w:cs="Times New Roman"/>
                <w:b/>
                <w:color w:val="auto"/>
              </w:rPr>
            </w:pPr>
            <w:r w:rsidRPr="005F26DA">
              <w:rPr>
                <w:rFonts w:ascii="Calibri" w:eastAsia="Calibri" w:hAnsi="Calibri" w:cs="Times New Roman"/>
                <w:b/>
                <w:color w:val="auto"/>
              </w:rPr>
              <w:t xml:space="preserve"> St</w:t>
            </w:r>
            <w:r w:rsidRPr="005F26DA">
              <w:rPr>
                <w:rFonts w:ascii="Calibri" w:eastAsia="Calibri" w:hAnsi="Calibri" w:cs="Times New Roman"/>
                <w:b/>
              </w:rPr>
              <w:t xml:space="preserve">ate/territory referrals to </w:t>
            </w:r>
            <w:r>
              <w:rPr>
                <w:rFonts w:ascii="Calibri" w:eastAsia="Calibri" w:hAnsi="Calibri" w:cs="Times New Roman"/>
                <w:b/>
                <w:color w:val="auto"/>
              </w:rPr>
              <w:t>IM (</w:t>
            </w:r>
            <w:r w:rsidR="007B5FB1">
              <w:rPr>
                <w:rFonts w:ascii="Calibri" w:eastAsia="Calibri" w:hAnsi="Calibri" w:cs="Times New Roman"/>
                <w:b/>
                <w:color w:val="auto"/>
              </w:rPr>
              <w:t>60</w:t>
            </w:r>
            <w:r w:rsidRPr="005F26DA">
              <w:rPr>
                <w:rFonts w:ascii="Calibri" w:eastAsia="Calibri" w:hAnsi="Calibri" w:cs="Times New Roman"/>
                <w:b/>
                <w:color w:val="auto"/>
              </w:rPr>
              <w:t xml:space="preserve"> total referrals)</w:t>
            </w:r>
          </w:p>
        </w:tc>
      </w:tr>
      <w:tr w:rsidR="0063274F" w:rsidRPr="006F0382" w14:paraId="2162774C" w14:textId="77777777" w:rsidTr="007876C5">
        <w:trPr>
          <w:trHeight w:val="572"/>
        </w:trPr>
        <w:tc>
          <w:tcPr>
            <w:tcW w:w="3447" w:type="dxa"/>
          </w:tcPr>
          <w:p w14:paraId="1B766ADD" w14:textId="77777777" w:rsidR="0063274F" w:rsidRPr="006F0382" w:rsidRDefault="0063274F" w:rsidP="000C6F93">
            <w:pPr>
              <w:rPr>
                <w:rFonts w:ascii="Calibri" w:eastAsia="Calibri" w:hAnsi="Calibri" w:cs="Times New Roman"/>
                <w:b/>
              </w:rPr>
            </w:pPr>
            <w:r w:rsidRPr="006F0382">
              <w:rPr>
                <w:rFonts w:ascii="Calibri" w:eastAsia="Calibri" w:hAnsi="Calibri" w:cs="Times New Roman"/>
                <w:b/>
              </w:rPr>
              <w:t>Training/briefing for authorities</w:t>
            </w:r>
          </w:p>
        </w:tc>
        <w:tc>
          <w:tcPr>
            <w:tcW w:w="6589" w:type="dxa"/>
          </w:tcPr>
          <w:p w14:paraId="28EE6BBD" w14:textId="77777777" w:rsidR="0063274F" w:rsidRPr="006F0382" w:rsidRDefault="0063274F" w:rsidP="000C6F93">
            <w:pPr>
              <w:contextualSpacing/>
              <w:jc w:val="right"/>
              <w:rPr>
                <w:rFonts w:ascii="Calibri" w:eastAsia="Calibri" w:hAnsi="Calibri" w:cs="Times New Roman"/>
                <w:i/>
              </w:rPr>
            </w:pPr>
            <w:r w:rsidRPr="006F0382">
              <w:rPr>
                <w:rFonts w:ascii="Calibri" w:eastAsia="Calibri" w:hAnsi="Calibri" w:cs="Times New Roman"/>
                <w:i/>
              </w:rPr>
              <w:t>1 hrs x 2</w:t>
            </w:r>
            <w:r w:rsidR="007876C5" w:rsidRPr="006F0382">
              <w:rPr>
                <w:rFonts w:ascii="Calibri" w:eastAsia="Calibri" w:hAnsi="Calibri" w:cs="Times New Roman"/>
                <w:i/>
              </w:rPr>
              <w:t>0</w:t>
            </w:r>
            <w:r w:rsidRPr="006F0382">
              <w:rPr>
                <w:rFonts w:ascii="Calibri" w:eastAsia="Calibri" w:hAnsi="Calibri" w:cs="Times New Roman"/>
                <w:i/>
              </w:rPr>
              <w:t xml:space="preserve"> agencies x 1 staff member x $79.63/hr = $1,</w:t>
            </w:r>
            <w:r w:rsidR="007876C5" w:rsidRPr="006F0382">
              <w:rPr>
                <w:rFonts w:ascii="Calibri" w:eastAsia="Calibri" w:hAnsi="Calibri" w:cs="Times New Roman"/>
                <w:i/>
              </w:rPr>
              <w:t>592</w:t>
            </w:r>
            <w:r w:rsidRPr="006F0382">
              <w:rPr>
                <w:rFonts w:ascii="Calibri" w:eastAsia="Calibri" w:hAnsi="Calibri" w:cs="Times New Roman"/>
                <w:i/>
              </w:rPr>
              <w:t xml:space="preserve"> (1 year cost)</w:t>
            </w:r>
          </w:p>
          <w:p w14:paraId="5DA80820" w14:textId="77777777" w:rsidR="0063274F" w:rsidRPr="006F0382" w:rsidRDefault="0063274F" w:rsidP="000C6F93">
            <w:pPr>
              <w:ind w:left="720"/>
              <w:contextualSpacing/>
              <w:jc w:val="right"/>
              <w:rPr>
                <w:rFonts w:ascii="Calibri" w:eastAsia="Calibri" w:hAnsi="Calibri" w:cs="Times New Roman"/>
              </w:rPr>
            </w:pPr>
            <w:r w:rsidRPr="006F0382">
              <w:rPr>
                <w:rFonts w:ascii="Calibri" w:eastAsia="Calibri" w:hAnsi="Calibri" w:cs="Times New Roman"/>
              </w:rPr>
              <w:t xml:space="preserve"> </w:t>
            </w:r>
          </w:p>
          <w:p w14:paraId="124CA4FF" w14:textId="77777777" w:rsidR="0063274F" w:rsidRPr="006F0382" w:rsidRDefault="0063274F" w:rsidP="007876C5">
            <w:pPr>
              <w:ind w:left="720"/>
              <w:contextualSpacing/>
              <w:jc w:val="right"/>
              <w:rPr>
                <w:rFonts w:ascii="Calibri" w:eastAsia="Calibri" w:hAnsi="Calibri" w:cs="Times New Roman"/>
              </w:rPr>
            </w:pPr>
            <w:r w:rsidRPr="006F0382">
              <w:rPr>
                <w:rFonts w:ascii="Calibri" w:eastAsia="Calibri" w:hAnsi="Calibri" w:cs="Times New Roman"/>
              </w:rPr>
              <w:t>Total over 10 years</w:t>
            </w:r>
            <w:r w:rsidR="007876C5" w:rsidRPr="006F0382">
              <w:rPr>
                <w:rFonts w:ascii="Calibri" w:eastAsia="Calibri" w:hAnsi="Calibri" w:cs="Times New Roman"/>
              </w:rPr>
              <w:t xml:space="preserve"> (costing only required from year 2)</w:t>
            </w:r>
            <w:r w:rsidRPr="006F0382">
              <w:rPr>
                <w:rFonts w:ascii="Calibri" w:eastAsia="Calibri" w:hAnsi="Calibri" w:cs="Times New Roman"/>
              </w:rPr>
              <w:t xml:space="preserve"> = $1</w:t>
            </w:r>
            <w:r w:rsidR="007876C5" w:rsidRPr="006F0382">
              <w:rPr>
                <w:rFonts w:ascii="Calibri" w:eastAsia="Calibri" w:hAnsi="Calibri" w:cs="Times New Roman"/>
              </w:rPr>
              <w:t>4,333</w:t>
            </w:r>
          </w:p>
        </w:tc>
      </w:tr>
      <w:tr w:rsidR="0063274F" w:rsidRPr="006F0382" w14:paraId="1166D7B8" w14:textId="77777777" w:rsidTr="007876C5">
        <w:trPr>
          <w:trHeight w:val="572"/>
        </w:trPr>
        <w:tc>
          <w:tcPr>
            <w:tcW w:w="3447" w:type="dxa"/>
          </w:tcPr>
          <w:p w14:paraId="59875BF9" w14:textId="77777777" w:rsidR="0063274F" w:rsidRPr="006F0382" w:rsidRDefault="0063274F" w:rsidP="000C6F93">
            <w:pPr>
              <w:rPr>
                <w:rFonts w:ascii="Calibri" w:eastAsia="Calibri" w:hAnsi="Calibri" w:cs="Times New Roman"/>
                <w:b/>
              </w:rPr>
            </w:pPr>
            <w:r w:rsidRPr="006F0382">
              <w:rPr>
                <w:rFonts w:ascii="Calibri" w:eastAsia="Calibri" w:hAnsi="Calibri" w:cs="Times New Roman"/>
                <w:b/>
              </w:rPr>
              <w:t>Assessment</w:t>
            </w:r>
          </w:p>
        </w:tc>
        <w:tc>
          <w:tcPr>
            <w:tcW w:w="6589" w:type="dxa"/>
          </w:tcPr>
          <w:p w14:paraId="38E05698" w14:textId="77777777" w:rsidR="0063274F" w:rsidRPr="006F0382" w:rsidRDefault="0063274F" w:rsidP="000C6F93">
            <w:pPr>
              <w:contextualSpacing/>
              <w:jc w:val="right"/>
              <w:rPr>
                <w:rFonts w:ascii="Calibri" w:eastAsia="Calibri" w:hAnsi="Calibri" w:cs="Times New Roman"/>
              </w:rPr>
            </w:pPr>
            <w:r w:rsidRPr="006F0382">
              <w:rPr>
                <w:rFonts w:ascii="Calibri" w:eastAsia="Calibri" w:hAnsi="Calibri" w:cs="Times New Roman"/>
              </w:rPr>
              <w:t>$0</w:t>
            </w:r>
          </w:p>
        </w:tc>
      </w:tr>
      <w:tr w:rsidR="0063274F" w:rsidRPr="006F0382" w14:paraId="39799CCD" w14:textId="77777777" w:rsidTr="007876C5">
        <w:trPr>
          <w:trHeight w:val="572"/>
        </w:trPr>
        <w:tc>
          <w:tcPr>
            <w:tcW w:w="3447" w:type="dxa"/>
          </w:tcPr>
          <w:p w14:paraId="316E60CC" w14:textId="77777777" w:rsidR="0063274F" w:rsidRPr="006F0382" w:rsidRDefault="0063274F" w:rsidP="000C6F93">
            <w:pPr>
              <w:rPr>
                <w:rFonts w:ascii="Calibri" w:eastAsia="Calibri" w:hAnsi="Calibri" w:cs="Times New Roman"/>
                <w:b/>
              </w:rPr>
            </w:pPr>
            <w:r w:rsidRPr="006F0382">
              <w:rPr>
                <w:rFonts w:ascii="Calibri" w:eastAsia="Calibri" w:hAnsi="Calibri" w:cs="Times New Roman"/>
                <w:b/>
              </w:rPr>
              <w:t xml:space="preserve">Referral </w:t>
            </w:r>
          </w:p>
        </w:tc>
        <w:tc>
          <w:tcPr>
            <w:tcW w:w="6589" w:type="dxa"/>
          </w:tcPr>
          <w:p w14:paraId="7284395D" w14:textId="77777777" w:rsidR="0063274F" w:rsidRPr="006F0382" w:rsidRDefault="0063274F" w:rsidP="000C6F93">
            <w:pPr>
              <w:contextualSpacing/>
              <w:jc w:val="right"/>
              <w:rPr>
                <w:rFonts w:ascii="Calibri" w:eastAsia="Calibri" w:hAnsi="Calibri" w:cs="Times New Roman"/>
                <w:i/>
              </w:rPr>
            </w:pPr>
            <w:r w:rsidRPr="006F0382">
              <w:rPr>
                <w:rFonts w:ascii="Calibri" w:eastAsia="Calibri" w:hAnsi="Calibri" w:cs="Times New Roman"/>
              </w:rPr>
              <w:t>$</w:t>
            </w:r>
            <w:r w:rsidR="007876C5" w:rsidRPr="006F0382">
              <w:rPr>
                <w:rFonts w:ascii="Calibri" w:eastAsia="Calibri" w:hAnsi="Calibri" w:cs="Times New Roman"/>
                <w:i/>
              </w:rPr>
              <w:t>1hr x 20 agencies x 3</w:t>
            </w:r>
            <w:r w:rsidRPr="006F0382">
              <w:rPr>
                <w:rFonts w:ascii="Calibri" w:eastAsia="Calibri" w:hAnsi="Calibri" w:cs="Times New Roman"/>
                <w:i/>
              </w:rPr>
              <w:t xml:space="preserve"> referrals each x $79.63/hr = $</w:t>
            </w:r>
            <w:r w:rsidR="007876C5" w:rsidRPr="006F0382">
              <w:rPr>
                <w:rFonts w:ascii="Calibri" w:eastAsia="Calibri" w:hAnsi="Calibri" w:cs="Times New Roman"/>
                <w:i/>
              </w:rPr>
              <w:t>4,777.80</w:t>
            </w:r>
          </w:p>
          <w:p w14:paraId="55999B05" w14:textId="77777777" w:rsidR="0063274F" w:rsidRPr="006F0382" w:rsidRDefault="0063274F" w:rsidP="000C6F93">
            <w:pPr>
              <w:contextualSpacing/>
              <w:jc w:val="right"/>
              <w:rPr>
                <w:rFonts w:ascii="Calibri" w:eastAsia="Calibri" w:hAnsi="Calibri" w:cs="Times New Roman"/>
                <w:i/>
              </w:rPr>
            </w:pPr>
          </w:p>
          <w:p w14:paraId="00DD00F0" w14:textId="77777777" w:rsidR="0063274F" w:rsidRPr="006F0382" w:rsidRDefault="0063274F" w:rsidP="007876C5">
            <w:pPr>
              <w:contextualSpacing/>
              <w:jc w:val="right"/>
              <w:rPr>
                <w:rFonts w:ascii="Calibri" w:hAnsi="Calibri"/>
                <w:i/>
              </w:rPr>
            </w:pPr>
            <w:r w:rsidRPr="006F0382">
              <w:rPr>
                <w:rFonts w:ascii="Calibri" w:eastAsia="Calibri" w:hAnsi="Calibri" w:cs="Times New Roman"/>
                <w:i/>
              </w:rPr>
              <w:t xml:space="preserve">Total over 10 years </w:t>
            </w:r>
            <w:r w:rsidR="007876C5" w:rsidRPr="006F0382">
              <w:rPr>
                <w:rFonts w:ascii="Calibri" w:eastAsia="Calibri" w:hAnsi="Calibri" w:cs="Times New Roman"/>
                <w:i/>
              </w:rPr>
              <w:t>(costing only required from year 2) = $43,000.20</w:t>
            </w:r>
          </w:p>
        </w:tc>
      </w:tr>
      <w:tr w:rsidR="0063274F" w:rsidRPr="005F26DA" w14:paraId="4492379F" w14:textId="77777777" w:rsidTr="007876C5">
        <w:trPr>
          <w:trHeight w:val="253"/>
        </w:trPr>
        <w:tc>
          <w:tcPr>
            <w:tcW w:w="3447" w:type="dxa"/>
          </w:tcPr>
          <w:p w14:paraId="0981455C" w14:textId="77777777" w:rsidR="0063274F" w:rsidRPr="006F0382" w:rsidRDefault="0063274F" w:rsidP="000C6F93">
            <w:pPr>
              <w:rPr>
                <w:rFonts w:ascii="Calibri" w:eastAsia="Calibri" w:hAnsi="Calibri" w:cs="Times New Roman"/>
                <w:b/>
              </w:rPr>
            </w:pPr>
            <w:r w:rsidRPr="006F0382">
              <w:rPr>
                <w:rFonts w:ascii="Calibri" w:eastAsia="Calibri" w:hAnsi="Calibri" w:cs="Times New Roman"/>
                <w:b/>
              </w:rPr>
              <w:t>Total over 10 years ($)</w:t>
            </w:r>
          </w:p>
        </w:tc>
        <w:tc>
          <w:tcPr>
            <w:tcW w:w="6589" w:type="dxa"/>
          </w:tcPr>
          <w:p w14:paraId="3F4E940B" w14:textId="77777777" w:rsidR="0063274F" w:rsidRPr="006F0382" w:rsidRDefault="0063274F" w:rsidP="007876C5">
            <w:pPr>
              <w:contextualSpacing/>
              <w:jc w:val="right"/>
              <w:rPr>
                <w:rFonts w:ascii="Calibri" w:hAnsi="Calibri" w:cs="Calibri"/>
                <w:b/>
                <w:bCs/>
              </w:rPr>
            </w:pPr>
            <w:r w:rsidRPr="006F0382">
              <w:rPr>
                <w:rFonts w:ascii="Calibri" w:hAnsi="Calibri" w:cs="Calibri"/>
                <w:b/>
                <w:bCs/>
              </w:rPr>
              <w:t>$</w:t>
            </w:r>
            <w:r w:rsidR="00A5299E" w:rsidRPr="006F0382">
              <w:rPr>
                <w:rFonts w:ascii="Calibri" w:hAnsi="Calibri" w:cs="Calibri"/>
                <w:b/>
                <w:bCs/>
              </w:rPr>
              <w:t>57,334</w:t>
            </w:r>
          </w:p>
        </w:tc>
      </w:tr>
    </w:tbl>
    <w:p w14:paraId="54838B0D" w14:textId="77777777" w:rsidR="00DE41B3" w:rsidRDefault="00DE41B3">
      <w:pPr>
        <w:rPr>
          <w:rFonts w:ascii="Calibri" w:eastAsia="Calibri" w:hAnsi="Calibri" w:cs="Times New Roman"/>
          <w:b/>
          <w:color w:val="262626"/>
        </w:rPr>
      </w:pPr>
      <w:r>
        <w:rPr>
          <w:rFonts w:ascii="Calibri" w:eastAsia="Calibri" w:hAnsi="Calibri" w:cs="Times New Roman"/>
          <w:b/>
          <w:color w:val="262626"/>
        </w:rPr>
        <w:br w:type="page"/>
      </w:r>
    </w:p>
    <w:p w14:paraId="386CAF7F" w14:textId="0D5D6F4D" w:rsidR="00AB47C8" w:rsidRPr="00AB47C8" w:rsidRDefault="001F30CA" w:rsidP="00AB47C8">
      <w:pPr>
        <w:spacing w:before="120" w:after="180" w:line="276" w:lineRule="auto"/>
        <w:rPr>
          <w:rFonts w:ascii="Calibri" w:eastAsia="Calibri" w:hAnsi="Calibri" w:cs="Times New Roman"/>
          <w:b/>
          <w:color w:val="262626"/>
        </w:rPr>
      </w:pPr>
      <w:r>
        <w:rPr>
          <w:rFonts w:ascii="Calibri" w:eastAsia="Calibri" w:hAnsi="Calibri" w:cs="Times New Roman"/>
          <w:b/>
          <w:color w:val="262626"/>
        </w:rPr>
        <w:t>Net benefit</w:t>
      </w:r>
    </w:p>
    <w:p w14:paraId="3C9561B8" w14:textId="01F796B5" w:rsidR="00AB47C8" w:rsidRDefault="00B832FE" w:rsidP="00AB47C8">
      <w:pPr>
        <w:spacing w:before="120" w:after="180" w:line="276" w:lineRule="auto"/>
      </w:pPr>
      <w:r>
        <w:t xml:space="preserve">Services Australia will provide information to individuals to assist them to exit the CDC and volunteer for IM if they choose to do so. The Government will save on the </w:t>
      </w:r>
      <w:r w:rsidR="00246D8D">
        <w:t xml:space="preserve">administrative </w:t>
      </w:r>
      <w:r>
        <w:t>costs of running the CD</w:t>
      </w:r>
      <w:r w:rsidR="0042167E">
        <w:t>C</w:t>
      </w:r>
      <w:r>
        <w:t xml:space="preserve"> </w:t>
      </w:r>
      <w:r w:rsidR="00246D8D">
        <w:t xml:space="preserve">program </w:t>
      </w:r>
      <w:r>
        <w:t>which has already cost over $1</w:t>
      </w:r>
      <w:r w:rsidR="00F7124A">
        <w:t>80.7</w:t>
      </w:r>
      <w:r w:rsidR="009C2E0B">
        <w:t xml:space="preserve"> </w:t>
      </w:r>
      <w:r>
        <w:t xml:space="preserve">million since 2016. </w:t>
      </w:r>
      <w:r w:rsidR="00F85401">
        <w:t xml:space="preserve">As a </w:t>
      </w:r>
      <w:r w:rsidR="00487F9B">
        <w:t>result,</w:t>
      </w:r>
      <w:r w:rsidR="00F85401">
        <w:t xml:space="preserve"> ther</w:t>
      </w:r>
      <w:r w:rsidR="00092DFE">
        <w:t>e will be a net benefit to the g</w:t>
      </w:r>
      <w:r w:rsidR="00F85401">
        <w:t xml:space="preserve">overnment, however, the net financial impact is yet to be </w:t>
      </w:r>
      <w:r w:rsidR="00052FA9">
        <w:t>determined.</w:t>
      </w:r>
    </w:p>
    <w:p w14:paraId="49D2ADBB" w14:textId="77777777" w:rsidR="00EB6AD4" w:rsidRPr="00E20C73" w:rsidRDefault="009E6FF3" w:rsidP="00086DA1">
      <w:pPr>
        <w:pStyle w:val="Heading4"/>
      </w:pPr>
      <w:bookmarkStart w:id="146" w:name="_Toc108008510"/>
      <w:r>
        <w:t xml:space="preserve">4.2.2.4 </w:t>
      </w:r>
      <w:r w:rsidR="00EB6AD4" w:rsidRPr="00335A67">
        <w:t>Community Organisations</w:t>
      </w:r>
      <w:bookmarkEnd w:id="146"/>
    </w:p>
    <w:p w14:paraId="325FA943" w14:textId="77777777" w:rsidR="00EB6AD4" w:rsidRPr="00267594" w:rsidRDefault="00EB6AD4" w:rsidP="00EB6AD4">
      <w:pPr>
        <w:spacing w:before="120" w:after="180" w:line="276" w:lineRule="auto"/>
        <w:rPr>
          <w:rFonts w:ascii="Calibri" w:eastAsia="Calibri" w:hAnsi="Calibri" w:cs="Times New Roman"/>
          <w:b/>
          <w:color w:val="262626"/>
        </w:rPr>
      </w:pPr>
      <w:r w:rsidRPr="00267594">
        <w:rPr>
          <w:rFonts w:ascii="Calibri" w:eastAsia="Calibri" w:hAnsi="Calibri" w:cs="Times New Roman"/>
          <w:b/>
          <w:color w:val="262626"/>
        </w:rPr>
        <w:t>Benefits</w:t>
      </w:r>
    </w:p>
    <w:p w14:paraId="1AED5060" w14:textId="71DEA863" w:rsidR="00EB6AD4" w:rsidRDefault="00EB6AD4" w:rsidP="00EB6AD4">
      <w:pPr>
        <w:pStyle w:val="BulletedListlvl1"/>
      </w:pPr>
      <w:r>
        <w:t xml:space="preserve">There will be </w:t>
      </w:r>
      <w:r w:rsidRPr="00F06791">
        <w:t xml:space="preserve">less </w:t>
      </w:r>
      <w:r w:rsidR="0061669F">
        <w:t>burden on</w:t>
      </w:r>
      <w:r w:rsidRPr="00F06791">
        <w:t xml:space="preserve"> community groups to explain the program to participants</w:t>
      </w:r>
      <w:r w:rsidR="006A7177">
        <w:t>.</w:t>
      </w:r>
    </w:p>
    <w:p w14:paraId="1D312EF8" w14:textId="50D3138C" w:rsidR="00EB6AD4" w:rsidRDefault="00EB6AD4" w:rsidP="00EB6AD4">
      <w:pPr>
        <w:pStyle w:val="BulletedListlvl1"/>
      </w:pPr>
      <w:r>
        <w:t>The support</w:t>
      </w:r>
      <w:r w:rsidR="00F146AD">
        <w:t xml:space="preserve"> services</w:t>
      </w:r>
      <w:r>
        <w:t xml:space="preserve"> will also provide opportunity for local organisations to acce</w:t>
      </w:r>
      <w:r w:rsidR="00490EB8">
        <w:t xml:space="preserve">ss funding to provide services such as </w:t>
      </w:r>
      <w:r>
        <w:t xml:space="preserve">providing employment opportunities and building the capacity of </w:t>
      </w:r>
      <w:r w:rsidR="006A7177">
        <w:t>these organisations for growth.</w:t>
      </w:r>
    </w:p>
    <w:p w14:paraId="02E3AD80" w14:textId="2DFA73FD" w:rsidR="00EB6AD4" w:rsidRPr="006F0382" w:rsidRDefault="00EB6AD4" w:rsidP="00041F73">
      <w:pPr>
        <w:pStyle w:val="BulletedListlvl1"/>
        <w:rPr>
          <w:lang w:eastAsia="en-AU"/>
        </w:rPr>
      </w:pPr>
      <w:r w:rsidRPr="006F0382">
        <w:t>The community led model promotes self-determined decision making at</w:t>
      </w:r>
      <w:r w:rsidR="0061669F">
        <w:t xml:space="preserve"> a local level. The IM program c</w:t>
      </w:r>
      <w:r w:rsidRPr="006F0382">
        <w:t>ould be used to support local assessed referral based IM arrangements</w:t>
      </w:r>
      <w:r w:rsidR="006A7177">
        <w:rPr>
          <w:lang w:eastAsia="en-AU"/>
        </w:rPr>
        <w:t>.</w:t>
      </w:r>
    </w:p>
    <w:p w14:paraId="7383ACF6" w14:textId="77777777" w:rsidR="00EB6AD4" w:rsidRPr="00267594" w:rsidRDefault="00EB6AD4" w:rsidP="00EB6AD4">
      <w:pPr>
        <w:spacing w:before="120" w:after="180" w:line="276" w:lineRule="auto"/>
        <w:rPr>
          <w:rFonts w:ascii="Calibri" w:eastAsia="Calibri" w:hAnsi="Calibri" w:cs="Times New Roman"/>
          <w:b/>
          <w:color w:val="262626"/>
        </w:rPr>
      </w:pPr>
      <w:r w:rsidRPr="00267594">
        <w:rPr>
          <w:rFonts w:ascii="Calibri" w:eastAsia="Calibri" w:hAnsi="Calibri" w:cs="Times New Roman"/>
          <w:b/>
          <w:color w:val="262626"/>
        </w:rPr>
        <w:t>Cost</w:t>
      </w:r>
    </w:p>
    <w:p w14:paraId="1D8F52AE" w14:textId="24A40000" w:rsidR="00EB6AD4" w:rsidRDefault="00EB6AD4" w:rsidP="00EB6AD4">
      <w:pPr>
        <w:pStyle w:val="BulletedListlvl1"/>
      </w:pPr>
      <w:r>
        <w:t>The Department is unable to quantify this cost</w:t>
      </w:r>
      <w:r w:rsidR="003B75DF">
        <w:t xml:space="preserve"> </w:t>
      </w:r>
      <w:r w:rsidR="0061669F">
        <w:t xml:space="preserve">for increased demands on health or related services </w:t>
      </w:r>
      <w:r w:rsidR="003B75DF">
        <w:t>given</w:t>
      </w:r>
      <w:r>
        <w:t xml:space="preserve"> </w:t>
      </w:r>
      <w:r w:rsidR="003B75DF">
        <w:t xml:space="preserve">the minimal </w:t>
      </w:r>
      <w:r w:rsidR="0061669F">
        <w:t>evidence</w:t>
      </w:r>
      <w:r w:rsidR="003B75DF">
        <w:t xml:space="preserve"> on social harm available from the evaluations. </w:t>
      </w:r>
      <w:r w:rsidR="00490EB8">
        <w:t xml:space="preserve">Support services will act to reduce </w:t>
      </w:r>
      <w:r w:rsidR="0061669F">
        <w:t xml:space="preserve">any such </w:t>
      </w:r>
      <w:r w:rsidR="00605E55">
        <w:t>impacts</w:t>
      </w:r>
      <w:r w:rsidR="0061669F">
        <w:t xml:space="preserve"> if they emerge</w:t>
      </w:r>
      <w:r w:rsidR="006A7177">
        <w:t>.</w:t>
      </w:r>
    </w:p>
    <w:p w14:paraId="1E63AA9D" w14:textId="33EEF0F8" w:rsidR="00EB6AD4" w:rsidRDefault="00EB6AD4" w:rsidP="00EB6AD4">
      <w:pPr>
        <w:pStyle w:val="BulletedListlvl1"/>
      </w:pPr>
      <w:r>
        <w:t>There will be a small regulatory cost f</w:t>
      </w:r>
      <w:r w:rsidR="006A7177">
        <w:t>or each community led IM model.</w:t>
      </w:r>
    </w:p>
    <w:p w14:paraId="709514DC" w14:textId="77777777" w:rsidR="00EB6AD4" w:rsidRPr="005C7FCC" w:rsidRDefault="00EB6AD4" w:rsidP="00EB6AD4">
      <w:pPr>
        <w:spacing w:before="120" w:line="276" w:lineRule="auto"/>
        <w:rPr>
          <w:rFonts w:ascii="Calibri" w:eastAsia="Calibri" w:hAnsi="Calibri" w:cs="Times New Roman"/>
          <w:b/>
          <w:color w:val="262626"/>
        </w:rPr>
      </w:pPr>
      <w:r w:rsidRPr="005C7FCC">
        <w:rPr>
          <w:rFonts w:ascii="Calibri" w:eastAsia="Calibri" w:hAnsi="Calibri" w:cs="Times New Roman"/>
          <w:b/>
          <w:color w:val="262626"/>
        </w:rPr>
        <w:t xml:space="preserve">Cost to community organisations </w:t>
      </w:r>
    </w:p>
    <w:p w14:paraId="224E353C" w14:textId="77777777" w:rsidR="00EB6AD4" w:rsidRPr="0041554D" w:rsidRDefault="00EB6AD4" w:rsidP="00561204">
      <w:pPr>
        <w:pStyle w:val="NormalWeb"/>
        <w:rPr>
          <w:rFonts w:eastAsiaTheme="minorHAnsi"/>
        </w:rPr>
      </w:pPr>
      <w:r w:rsidRPr="0041554D">
        <w:rPr>
          <w:rFonts w:eastAsiaTheme="minorHAnsi"/>
        </w:rPr>
        <w:t xml:space="preserve">This table sets out the cost to </w:t>
      </w:r>
      <w:r>
        <w:rPr>
          <w:rFonts w:eastAsiaTheme="minorHAnsi"/>
        </w:rPr>
        <w:t xml:space="preserve">general </w:t>
      </w:r>
      <w:r w:rsidRPr="0041554D">
        <w:rPr>
          <w:rFonts w:eastAsiaTheme="minorHAnsi"/>
        </w:rPr>
        <w:t xml:space="preserve">community organisations for </w:t>
      </w:r>
      <w:r>
        <w:rPr>
          <w:rFonts w:eastAsiaTheme="minorHAnsi"/>
        </w:rPr>
        <w:t xml:space="preserve">IM </w:t>
      </w:r>
      <w:r w:rsidRPr="0041554D">
        <w:rPr>
          <w:rFonts w:eastAsiaTheme="minorHAnsi"/>
        </w:rPr>
        <w:t>program.</w:t>
      </w:r>
      <w:r w:rsidR="00A14B14">
        <w:rPr>
          <w:rFonts w:eastAsiaTheme="minorHAnsi"/>
        </w:rPr>
        <w:t xml:space="preserve"> These include activities such as having factsheets available in community loca</w:t>
      </w:r>
      <w:r w:rsidR="00FD2793">
        <w:rPr>
          <w:rFonts w:eastAsiaTheme="minorHAnsi"/>
        </w:rPr>
        <w:t>tions such as medical services.</w:t>
      </w:r>
    </w:p>
    <w:tbl>
      <w:tblPr>
        <w:tblStyle w:val="TableGrid1"/>
        <w:tblW w:w="9767" w:type="dxa"/>
        <w:tblLook w:val="04A0" w:firstRow="1" w:lastRow="0" w:firstColumn="1" w:lastColumn="0" w:noHBand="0" w:noVBand="1"/>
        <w:tblDescription w:val="Cost to general community organisations "/>
      </w:tblPr>
      <w:tblGrid>
        <w:gridCol w:w="1392"/>
        <w:gridCol w:w="650"/>
        <w:gridCol w:w="707"/>
        <w:gridCol w:w="707"/>
        <w:gridCol w:w="707"/>
        <w:gridCol w:w="707"/>
        <w:gridCol w:w="707"/>
        <w:gridCol w:w="707"/>
        <w:gridCol w:w="707"/>
        <w:gridCol w:w="707"/>
        <w:gridCol w:w="707"/>
        <w:gridCol w:w="1362"/>
      </w:tblGrid>
      <w:tr w:rsidR="00EB6AD4" w:rsidRPr="006F0382" w14:paraId="48643C61" w14:textId="77777777" w:rsidTr="00691643">
        <w:trPr>
          <w:trHeight w:val="644"/>
          <w:tblHeader/>
        </w:trPr>
        <w:tc>
          <w:tcPr>
            <w:tcW w:w="1392" w:type="dxa"/>
          </w:tcPr>
          <w:p w14:paraId="2D5CF545"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 xml:space="preserve">Cost to general community organisations </w:t>
            </w:r>
          </w:p>
        </w:tc>
        <w:tc>
          <w:tcPr>
            <w:tcW w:w="650" w:type="dxa"/>
          </w:tcPr>
          <w:p w14:paraId="623A33ED"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Y1</w:t>
            </w:r>
          </w:p>
        </w:tc>
        <w:tc>
          <w:tcPr>
            <w:tcW w:w="707" w:type="dxa"/>
          </w:tcPr>
          <w:p w14:paraId="6DE6FF75"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Y2</w:t>
            </w:r>
          </w:p>
        </w:tc>
        <w:tc>
          <w:tcPr>
            <w:tcW w:w="707" w:type="dxa"/>
          </w:tcPr>
          <w:p w14:paraId="51E32F14"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Y3</w:t>
            </w:r>
          </w:p>
        </w:tc>
        <w:tc>
          <w:tcPr>
            <w:tcW w:w="707" w:type="dxa"/>
          </w:tcPr>
          <w:p w14:paraId="1391EA9C"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Y4</w:t>
            </w:r>
          </w:p>
        </w:tc>
        <w:tc>
          <w:tcPr>
            <w:tcW w:w="707" w:type="dxa"/>
          </w:tcPr>
          <w:p w14:paraId="5FE21C11"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Y5</w:t>
            </w:r>
          </w:p>
        </w:tc>
        <w:tc>
          <w:tcPr>
            <w:tcW w:w="707" w:type="dxa"/>
          </w:tcPr>
          <w:p w14:paraId="005B9744"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Y6</w:t>
            </w:r>
          </w:p>
        </w:tc>
        <w:tc>
          <w:tcPr>
            <w:tcW w:w="707" w:type="dxa"/>
          </w:tcPr>
          <w:p w14:paraId="54C6AC12"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Y7</w:t>
            </w:r>
          </w:p>
        </w:tc>
        <w:tc>
          <w:tcPr>
            <w:tcW w:w="707" w:type="dxa"/>
          </w:tcPr>
          <w:p w14:paraId="64C41A5C"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Y8</w:t>
            </w:r>
          </w:p>
        </w:tc>
        <w:tc>
          <w:tcPr>
            <w:tcW w:w="707" w:type="dxa"/>
          </w:tcPr>
          <w:p w14:paraId="52343242"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Y9</w:t>
            </w:r>
          </w:p>
        </w:tc>
        <w:tc>
          <w:tcPr>
            <w:tcW w:w="707" w:type="dxa"/>
          </w:tcPr>
          <w:p w14:paraId="3778EAF7"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Y10</w:t>
            </w:r>
          </w:p>
        </w:tc>
        <w:tc>
          <w:tcPr>
            <w:tcW w:w="1362" w:type="dxa"/>
          </w:tcPr>
          <w:p w14:paraId="34DAC92B"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TOTAL</w:t>
            </w:r>
          </w:p>
        </w:tc>
      </w:tr>
      <w:tr w:rsidR="00EB6AD4" w:rsidRPr="006F0382" w14:paraId="0C3657B1" w14:textId="77777777" w:rsidTr="00AB6D93">
        <w:trPr>
          <w:trHeight w:val="644"/>
        </w:trPr>
        <w:tc>
          <w:tcPr>
            <w:tcW w:w="1392" w:type="dxa"/>
            <w:vAlign w:val="center"/>
          </w:tcPr>
          <w:p w14:paraId="486D3333"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TOTAL ($)</w:t>
            </w:r>
          </w:p>
        </w:tc>
        <w:tc>
          <w:tcPr>
            <w:tcW w:w="650" w:type="dxa"/>
            <w:vAlign w:val="center"/>
          </w:tcPr>
          <w:p w14:paraId="2051FCD4" w14:textId="77777777" w:rsidR="00EB6AD4" w:rsidRPr="006F0382" w:rsidRDefault="00EB6AD4" w:rsidP="000D0C41">
            <w:pPr>
              <w:jc w:val="right"/>
              <w:rPr>
                <w:rFonts w:ascii="Calibri" w:eastAsia="Calibri" w:hAnsi="Calibri" w:cs="Times New Roman"/>
                <w:b/>
                <w:i/>
                <w:color w:val="FF0000"/>
                <w:sz w:val="16"/>
                <w:szCs w:val="16"/>
              </w:rPr>
            </w:pPr>
            <w:r w:rsidRPr="006F0382">
              <w:rPr>
                <w:rFonts w:ascii="Calibri" w:hAnsi="Calibri" w:cs="Calibri"/>
                <w:sz w:val="16"/>
                <w:szCs w:val="16"/>
              </w:rPr>
              <w:t>$344</w:t>
            </w:r>
          </w:p>
        </w:tc>
        <w:tc>
          <w:tcPr>
            <w:tcW w:w="707" w:type="dxa"/>
            <w:vAlign w:val="center"/>
          </w:tcPr>
          <w:p w14:paraId="045D0791"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7FF80224"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68770F52"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3A939A86"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4B9BE96F"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37573099"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26F03F4A"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69B8CE53"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707" w:type="dxa"/>
            <w:vAlign w:val="center"/>
          </w:tcPr>
          <w:p w14:paraId="71D03B30"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sz w:val="16"/>
                <w:szCs w:val="16"/>
              </w:rPr>
              <w:t>$344</w:t>
            </w:r>
          </w:p>
        </w:tc>
        <w:tc>
          <w:tcPr>
            <w:tcW w:w="1362" w:type="dxa"/>
            <w:vAlign w:val="center"/>
          </w:tcPr>
          <w:p w14:paraId="5C7B9600" w14:textId="77777777" w:rsidR="00EB6AD4" w:rsidRPr="006F0382" w:rsidRDefault="00EB6AD4" w:rsidP="000D0C41">
            <w:pPr>
              <w:jc w:val="right"/>
              <w:rPr>
                <w:rFonts w:ascii="Calibri" w:eastAsia="Calibri" w:hAnsi="Calibri" w:cs="Times New Roman"/>
                <w:b/>
                <w:sz w:val="16"/>
                <w:szCs w:val="16"/>
              </w:rPr>
            </w:pPr>
            <w:r w:rsidRPr="006F0382">
              <w:rPr>
                <w:rFonts w:ascii="Calibri" w:hAnsi="Calibri" w:cs="Calibri"/>
                <w:b/>
                <w:bCs/>
                <w:sz w:val="16"/>
                <w:szCs w:val="16"/>
              </w:rPr>
              <w:t>$3,440</w:t>
            </w:r>
          </w:p>
        </w:tc>
      </w:tr>
    </w:tbl>
    <w:p w14:paraId="7727D7A2" w14:textId="332393BD" w:rsidR="00EB6AD4" w:rsidRPr="006F0382" w:rsidRDefault="00EB6AD4" w:rsidP="00561204">
      <w:pPr>
        <w:pStyle w:val="NormalWeb"/>
        <w:rPr>
          <w:rFonts w:eastAsiaTheme="minorHAnsi"/>
        </w:rPr>
      </w:pPr>
      <w:r w:rsidRPr="006F0382">
        <w:rPr>
          <w:rFonts w:eastAsiaTheme="minorHAnsi"/>
        </w:rPr>
        <w:t>This table sets out the cost to community organ</w:t>
      </w:r>
      <w:r w:rsidR="00FD2793">
        <w:rPr>
          <w:rFonts w:eastAsiaTheme="minorHAnsi"/>
        </w:rPr>
        <w:t>isations for IM program costs.</w:t>
      </w:r>
    </w:p>
    <w:tbl>
      <w:tblPr>
        <w:tblStyle w:val="TableGrid1"/>
        <w:tblW w:w="9918" w:type="dxa"/>
        <w:tblLook w:val="04A0" w:firstRow="1" w:lastRow="0" w:firstColumn="1" w:lastColumn="0" w:noHBand="0" w:noVBand="1"/>
        <w:tblDescription w:val="This table sets out the cost to community organisations for IM program costs."/>
      </w:tblPr>
      <w:tblGrid>
        <w:gridCol w:w="3066"/>
        <w:gridCol w:w="6852"/>
      </w:tblGrid>
      <w:tr w:rsidR="00EB6AD4" w:rsidRPr="006F0382" w14:paraId="58C34B5D" w14:textId="77777777" w:rsidTr="00691643">
        <w:trPr>
          <w:trHeight w:val="260"/>
          <w:tblHeader/>
        </w:trPr>
        <w:tc>
          <w:tcPr>
            <w:tcW w:w="3066" w:type="dxa"/>
          </w:tcPr>
          <w:p w14:paraId="4E88650D" w14:textId="77777777" w:rsidR="00EB6AD4" w:rsidRPr="006F0382" w:rsidRDefault="00EB6AD4" w:rsidP="000D0C41">
            <w:pPr>
              <w:rPr>
                <w:rFonts w:ascii="Calibri" w:eastAsia="Calibri" w:hAnsi="Calibri" w:cs="Times New Roman"/>
                <w:b/>
                <w:color w:val="auto"/>
                <w:sz w:val="16"/>
                <w:szCs w:val="16"/>
              </w:rPr>
            </w:pPr>
            <w:r w:rsidRPr="006F0382">
              <w:rPr>
                <w:rFonts w:ascii="Calibri" w:eastAsia="Calibri" w:hAnsi="Calibri" w:cs="Times New Roman"/>
                <w:b/>
                <w:color w:val="auto"/>
                <w:sz w:val="16"/>
                <w:szCs w:val="16"/>
              </w:rPr>
              <w:t>Activity</w:t>
            </w:r>
          </w:p>
        </w:tc>
        <w:tc>
          <w:tcPr>
            <w:tcW w:w="6852" w:type="dxa"/>
          </w:tcPr>
          <w:p w14:paraId="61997FA8" w14:textId="77777777" w:rsidR="00EB6AD4" w:rsidRPr="006F0382" w:rsidRDefault="00EB6AD4" w:rsidP="00F960C0">
            <w:pPr>
              <w:rPr>
                <w:rFonts w:ascii="Calibri" w:eastAsia="Calibri" w:hAnsi="Calibri" w:cs="Times New Roman"/>
                <w:b/>
                <w:color w:val="auto"/>
                <w:sz w:val="16"/>
                <w:szCs w:val="16"/>
                <w:vertAlign w:val="superscript"/>
              </w:rPr>
            </w:pPr>
            <w:r w:rsidRPr="006F0382">
              <w:rPr>
                <w:b/>
                <w:sz w:val="16"/>
                <w:szCs w:val="16"/>
              </w:rPr>
              <w:t>Community led model</w:t>
            </w:r>
            <w:r w:rsidRPr="006F0382">
              <w:rPr>
                <w:rFonts w:ascii="Calibri" w:eastAsia="Calibri" w:hAnsi="Calibri" w:cs="Times New Roman"/>
                <w:b/>
                <w:color w:val="auto"/>
                <w:sz w:val="16"/>
                <w:szCs w:val="16"/>
                <w:vertAlign w:val="superscript"/>
              </w:rPr>
              <w:t>*</w:t>
            </w:r>
          </w:p>
        </w:tc>
      </w:tr>
      <w:tr w:rsidR="00EB6AD4" w:rsidRPr="00231A2C" w14:paraId="05D8814E" w14:textId="77777777" w:rsidTr="000D0C41">
        <w:trPr>
          <w:trHeight w:val="588"/>
        </w:trPr>
        <w:tc>
          <w:tcPr>
            <w:tcW w:w="3066" w:type="dxa"/>
          </w:tcPr>
          <w:p w14:paraId="572F07E0" w14:textId="77777777" w:rsidR="00EB6AD4" w:rsidRPr="006F0382" w:rsidRDefault="002B6A7E" w:rsidP="002279DD">
            <w:pPr>
              <w:rPr>
                <w:rFonts w:ascii="Calibri" w:eastAsia="Calibri" w:hAnsi="Calibri" w:cs="Times New Roman"/>
                <w:b/>
                <w:sz w:val="16"/>
                <w:szCs w:val="16"/>
              </w:rPr>
            </w:pPr>
            <w:r>
              <w:rPr>
                <w:rFonts w:ascii="Calibri" w:eastAsia="Calibri" w:hAnsi="Calibri" w:cs="Times New Roman"/>
                <w:b/>
                <w:sz w:val="16"/>
                <w:szCs w:val="16"/>
              </w:rPr>
              <w:t>Training/briefing for</w:t>
            </w:r>
            <w:r w:rsidR="00F960C0" w:rsidRPr="006F0382">
              <w:rPr>
                <w:rFonts w:ascii="Calibri" w:eastAsia="Calibri" w:hAnsi="Calibri" w:cs="Times New Roman"/>
                <w:b/>
                <w:sz w:val="16"/>
                <w:szCs w:val="16"/>
              </w:rPr>
              <w:t xml:space="preserve"> community led model</w:t>
            </w:r>
          </w:p>
        </w:tc>
        <w:tc>
          <w:tcPr>
            <w:tcW w:w="6852" w:type="dxa"/>
          </w:tcPr>
          <w:p w14:paraId="424DF517" w14:textId="77777777" w:rsidR="00EB6AD4" w:rsidRPr="00231A2C" w:rsidRDefault="00EB6AD4" w:rsidP="000D0C41">
            <w:pPr>
              <w:contextualSpacing/>
              <w:jc w:val="right"/>
              <w:rPr>
                <w:rFonts w:ascii="Calibri" w:eastAsia="Calibri" w:hAnsi="Calibri" w:cs="Times New Roman"/>
                <w:i/>
                <w:sz w:val="16"/>
                <w:szCs w:val="16"/>
              </w:rPr>
            </w:pPr>
          </w:p>
          <w:p w14:paraId="43C04F98" w14:textId="77777777" w:rsidR="00F960C0" w:rsidRPr="00231A2C" w:rsidRDefault="00F960C0" w:rsidP="000D0C41">
            <w:pPr>
              <w:contextualSpacing/>
              <w:jc w:val="right"/>
              <w:rPr>
                <w:rFonts w:ascii="Calibri" w:eastAsia="Calibri" w:hAnsi="Calibri" w:cs="Times New Roman"/>
                <w:i/>
                <w:sz w:val="16"/>
                <w:szCs w:val="16"/>
              </w:rPr>
            </w:pPr>
          </w:p>
          <w:p w14:paraId="43BA44B3" w14:textId="77777777" w:rsidR="00EB6AD4" w:rsidRPr="00231A2C" w:rsidRDefault="002B6A7E" w:rsidP="000D0C41">
            <w:pPr>
              <w:contextualSpacing/>
              <w:jc w:val="right"/>
              <w:rPr>
                <w:rFonts w:ascii="Calibri" w:eastAsia="Calibri" w:hAnsi="Calibri" w:cs="Times New Roman"/>
                <w:i/>
                <w:sz w:val="16"/>
                <w:szCs w:val="16"/>
              </w:rPr>
            </w:pPr>
            <w:r w:rsidRPr="00231A2C">
              <w:rPr>
                <w:rFonts w:ascii="Calibri" w:eastAsia="Calibri" w:hAnsi="Calibri" w:cs="Times New Roman"/>
                <w:i/>
                <w:sz w:val="16"/>
                <w:szCs w:val="16"/>
              </w:rPr>
              <w:t>1</w:t>
            </w:r>
            <w:r w:rsidR="00ED0781" w:rsidRPr="00231A2C">
              <w:rPr>
                <w:rFonts w:ascii="Calibri" w:eastAsia="Calibri" w:hAnsi="Calibri" w:cs="Times New Roman"/>
                <w:i/>
                <w:sz w:val="16"/>
                <w:szCs w:val="16"/>
              </w:rPr>
              <w:t>h</w:t>
            </w:r>
            <w:r w:rsidRPr="00231A2C">
              <w:rPr>
                <w:rFonts w:ascii="Calibri" w:eastAsia="Calibri" w:hAnsi="Calibri" w:cs="Times New Roman"/>
                <w:i/>
                <w:sz w:val="16"/>
                <w:szCs w:val="16"/>
              </w:rPr>
              <w:t>r</w:t>
            </w:r>
            <w:r w:rsidR="00ED0781" w:rsidRPr="00231A2C">
              <w:rPr>
                <w:rFonts w:ascii="Calibri" w:eastAsia="Calibri" w:hAnsi="Calibri" w:cs="Times New Roman"/>
                <w:i/>
                <w:sz w:val="16"/>
                <w:szCs w:val="16"/>
              </w:rPr>
              <w:t xml:space="preserve"> x 2</w:t>
            </w:r>
            <w:r w:rsidR="00EB6AD4" w:rsidRPr="00231A2C">
              <w:rPr>
                <w:rFonts w:ascii="Calibri" w:eastAsia="Calibri" w:hAnsi="Calibri" w:cs="Times New Roman"/>
                <w:i/>
                <w:sz w:val="16"/>
                <w:szCs w:val="16"/>
              </w:rPr>
              <w:t xml:space="preserve"> community led organisations x 1 staff member x $79.63/hr = $</w:t>
            </w:r>
            <w:r w:rsidRPr="00231A2C">
              <w:rPr>
                <w:rFonts w:ascii="Calibri" w:eastAsia="Calibri" w:hAnsi="Calibri" w:cs="Times New Roman"/>
                <w:i/>
                <w:sz w:val="16"/>
                <w:szCs w:val="16"/>
              </w:rPr>
              <w:t>159.26</w:t>
            </w:r>
            <w:r w:rsidR="00EB6AD4" w:rsidRPr="00231A2C">
              <w:rPr>
                <w:rFonts w:ascii="Calibri" w:eastAsia="Calibri" w:hAnsi="Calibri" w:cs="Times New Roman"/>
                <w:i/>
                <w:sz w:val="16"/>
                <w:szCs w:val="16"/>
              </w:rPr>
              <w:t xml:space="preserve"> </w:t>
            </w:r>
          </w:p>
          <w:p w14:paraId="5BEA4FA2" w14:textId="77777777" w:rsidR="00EB6AD4" w:rsidRPr="00231A2C" w:rsidRDefault="00F960C0" w:rsidP="000D0C41">
            <w:pPr>
              <w:contextualSpacing/>
              <w:jc w:val="right"/>
              <w:rPr>
                <w:rFonts w:ascii="Calibri" w:eastAsia="Calibri" w:hAnsi="Calibri" w:cs="Times New Roman"/>
                <w:i/>
                <w:sz w:val="16"/>
                <w:szCs w:val="16"/>
              </w:rPr>
            </w:pPr>
            <w:r w:rsidRPr="00231A2C">
              <w:rPr>
                <w:rFonts w:ascii="Calibri" w:eastAsia="Calibri" w:hAnsi="Calibri" w:cs="Times New Roman"/>
                <w:i/>
                <w:sz w:val="16"/>
                <w:szCs w:val="16"/>
              </w:rPr>
              <w:t>(</w:t>
            </w:r>
            <w:r w:rsidR="005C00B9" w:rsidRPr="00231A2C">
              <w:rPr>
                <w:rFonts w:ascii="Calibri" w:eastAsia="Calibri" w:hAnsi="Calibri" w:cs="Times New Roman"/>
                <w:i/>
                <w:sz w:val="16"/>
                <w:szCs w:val="16"/>
              </w:rPr>
              <w:t>3</w:t>
            </w:r>
            <w:r w:rsidR="00EB6AD4" w:rsidRPr="00231A2C">
              <w:rPr>
                <w:rFonts w:ascii="Calibri" w:eastAsia="Calibri" w:hAnsi="Calibri" w:cs="Times New Roman"/>
                <w:i/>
                <w:sz w:val="16"/>
                <w:szCs w:val="16"/>
              </w:rPr>
              <w:t xml:space="preserve"> year</w:t>
            </w:r>
            <w:r w:rsidR="007B078D" w:rsidRPr="00231A2C">
              <w:rPr>
                <w:rFonts w:ascii="Calibri" w:eastAsia="Calibri" w:hAnsi="Calibri" w:cs="Times New Roman"/>
                <w:i/>
                <w:sz w:val="16"/>
                <w:szCs w:val="16"/>
              </w:rPr>
              <w:t xml:space="preserve"> onwards</w:t>
            </w:r>
            <w:r w:rsidR="00EB6AD4" w:rsidRPr="00231A2C">
              <w:rPr>
                <w:rFonts w:ascii="Calibri" w:eastAsia="Calibri" w:hAnsi="Calibri" w:cs="Times New Roman"/>
                <w:i/>
                <w:sz w:val="16"/>
                <w:szCs w:val="16"/>
              </w:rPr>
              <w:t xml:space="preserve"> cost)</w:t>
            </w:r>
          </w:p>
          <w:p w14:paraId="46FDD411" w14:textId="77777777" w:rsidR="00EB6AD4" w:rsidRPr="00231A2C" w:rsidRDefault="00EB6AD4" w:rsidP="000D0C41">
            <w:pPr>
              <w:ind w:left="720"/>
              <w:contextualSpacing/>
              <w:jc w:val="right"/>
              <w:rPr>
                <w:rFonts w:ascii="Calibri" w:eastAsia="Calibri" w:hAnsi="Calibri" w:cs="Times New Roman"/>
                <w:sz w:val="16"/>
                <w:szCs w:val="16"/>
              </w:rPr>
            </w:pPr>
            <w:r w:rsidRPr="00231A2C">
              <w:rPr>
                <w:rFonts w:ascii="Calibri" w:eastAsia="Calibri" w:hAnsi="Calibri" w:cs="Times New Roman"/>
                <w:sz w:val="16"/>
                <w:szCs w:val="16"/>
              </w:rPr>
              <w:t xml:space="preserve"> </w:t>
            </w:r>
          </w:p>
          <w:p w14:paraId="12BD5E54" w14:textId="77777777" w:rsidR="00EB6AD4" w:rsidRPr="00231A2C" w:rsidRDefault="00EB6AD4" w:rsidP="002B6A7E">
            <w:pPr>
              <w:ind w:left="720"/>
              <w:contextualSpacing/>
              <w:jc w:val="right"/>
              <w:rPr>
                <w:rFonts w:ascii="Calibri" w:eastAsia="Calibri" w:hAnsi="Calibri" w:cs="Times New Roman"/>
                <w:sz w:val="16"/>
                <w:szCs w:val="16"/>
              </w:rPr>
            </w:pPr>
            <w:r w:rsidRPr="00231A2C">
              <w:rPr>
                <w:rFonts w:ascii="Calibri" w:eastAsia="Calibri" w:hAnsi="Calibri" w:cs="Times New Roman"/>
                <w:sz w:val="16"/>
                <w:szCs w:val="16"/>
              </w:rPr>
              <w:t>Total over 10 years = $</w:t>
            </w:r>
            <w:r w:rsidR="002B6A7E" w:rsidRPr="00231A2C">
              <w:rPr>
                <w:rFonts w:ascii="Calibri" w:eastAsia="Calibri" w:hAnsi="Calibri" w:cs="Times New Roman"/>
                <w:sz w:val="16"/>
                <w:szCs w:val="16"/>
              </w:rPr>
              <w:t>1,274.08</w:t>
            </w:r>
          </w:p>
        </w:tc>
      </w:tr>
      <w:tr w:rsidR="00EB6AD4" w:rsidRPr="00231A2C" w14:paraId="24DCA470" w14:textId="77777777" w:rsidTr="000D0C41">
        <w:trPr>
          <w:trHeight w:val="588"/>
        </w:trPr>
        <w:tc>
          <w:tcPr>
            <w:tcW w:w="3066" w:type="dxa"/>
          </w:tcPr>
          <w:p w14:paraId="5DE53712" w14:textId="77777777" w:rsidR="00EB6AD4" w:rsidRPr="006F0382" w:rsidRDefault="00ED0781" w:rsidP="000D0C41">
            <w:pPr>
              <w:rPr>
                <w:rFonts w:ascii="Calibri" w:eastAsia="Calibri" w:hAnsi="Calibri" w:cs="Times New Roman"/>
                <w:b/>
                <w:sz w:val="16"/>
                <w:szCs w:val="16"/>
              </w:rPr>
            </w:pPr>
            <w:r w:rsidRPr="006F0382">
              <w:rPr>
                <w:rFonts w:ascii="Calibri" w:eastAsia="Calibri" w:hAnsi="Calibri" w:cs="Times New Roman"/>
                <w:b/>
                <w:sz w:val="16"/>
                <w:szCs w:val="16"/>
              </w:rPr>
              <w:t>Advise Services Australia on participants to engage in IM</w:t>
            </w:r>
          </w:p>
        </w:tc>
        <w:tc>
          <w:tcPr>
            <w:tcW w:w="6852" w:type="dxa"/>
          </w:tcPr>
          <w:p w14:paraId="3D7E8E0C" w14:textId="77777777" w:rsidR="00EB6AD4" w:rsidRPr="00231A2C" w:rsidRDefault="00EB6AD4" w:rsidP="000D0C41">
            <w:pPr>
              <w:contextualSpacing/>
              <w:rPr>
                <w:rFonts w:ascii="Calibri" w:eastAsia="Calibri" w:hAnsi="Calibri" w:cs="Times New Roman"/>
                <w:i/>
                <w:sz w:val="16"/>
                <w:szCs w:val="16"/>
              </w:rPr>
            </w:pPr>
          </w:p>
          <w:p w14:paraId="3B1C3A67" w14:textId="77777777" w:rsidR="005C00B9" w:rsidRPr="00231A2C" w:rsidRDefault="005C00B9" w:rsidP="005C00B9">
            <w:pPr>
              <w:contextualSpacing/>
              <w:jc w:val="right"/>
              <w:rPr>
                <w:rFonts w:ascii="Calibri" w:eastAsia="Calibri" w:hAnsi="Calibri" w:cs="Times New Roman"/>
                <w:i/>
                <w:sz w:val="16"/>
                <w:szCs w:val="16"/>
              </w:rPr>
            </w:pPr>
            <w:r w:rsidRPr="00231A2C">
              <w:rPr>
                <w:rFonts w:ascii="Calibri" w:eastAsia="Calibri" w:hAnsi="Calibri" w:cs="Times New Roman"/>
                <w:i/>
                <w:sz w:val="16"/>
                <w:szCs w:val="16"/>
              </w:rPr>
              <w:t>0.5hr x 1 community led organisations x 30 partic</w:t>
            </w:r>
            <w:r w:rsidR="00DC2BD3" w:rsidRPr="00231A2C">
              <w:rPr>
                <w:rFonts w:ascii="Calibri" w:eastAsia="Calibri" w:hAnsi="Calibri" w:cs="Times New Roman"/>
                <w:i/>
                <w:sz w:val="16"/>
                <w:szCs w:val="16"/>
              </w:rPr>
              <w:t>ipants (Cape York) x $79.63/=$1,194.45</w:t>
            </w:r>
            <w:r w:rsidRPr="00231A2C">
              <w:rPr>
                <w:rFonts w:ascii="Calibri" w:eastAsia="Calibri" w:hAnsi="Calibri" w:cs="Times New Roman"/>
                <w:i/>
                <w:sz w:val="16"/>
                <w:szCs w:val="16"/>
              </w:rPr>
              <w:t xml:space="preserve"> (year 2)</w:t>
            </w:r>
          </w:p>
          <w:p w14:paraId="44F9454E" w14:textId="77777777" w:rsidR="005C00B9" w:rsidRPr="00231A2C" w:rsidRDefault="005C00B9" w:rsidP="000D0C41">
            <w:pPr>
              <w:contextualSpacing/>
              <w:rPr>
                <w:rFonts w:ascii="Calibri" w:eastAsia="Calibri" w:hAnsi="Calibri" w:cs="Times New Roman"/>
                <w:i/>
                <w:sz w:val="16"/>
                <w:szCs w:val="16"/>
              </w:rPr>
            </w:pPr>
          </w:p>
          <w:p w14:paraId="29E48A8B" w14:textId="77777777" w:rsidR="00EB6AD4" w:rsidRPr="00231A2C" w:rsidRDefault="001B60AA" w:rsidP="000D0C41">
            <w:pPr>
              <w:contextualSpacing/>
              <w:jc w:val="right"/>
              <w:rPr>
                <w:rFonts w:ascii="Calibri" w:eastAsia="Calibri" w:hAnsi="Calibri" w:cs="Times New Roman"/>
                <w:i/>
                <w:sz w:val="16"/>
                <w:szCs w:val="16"/>
              </w:rPr>
            </w:pPr>
            <w:r w:rsidRPr="00231A2C">
              <w:rPr>
                <w:rFonts w:ascii="Calibri" w:eastAsia="Calibri" w:hAnsi="Calibri" w:cs="Times New Roman"/>
                <w:i/>
                <w:sz w:val="16"/>
                <w:szCs w:val="16"/>
              </w:rPr>
              <w:t>0.5</w:t>
            </w:r>
            <w:r w:rsidR="00EB6AD4" w:rsidRPr="00231A2C">
              <w:rPr>
                <w:rFonts w:ascii="Calibri" w:eastAsia="Calibri" w:hAnsi="Calibri" w:cs="Times New Roman"/>
                <w:i/>
                <w:sz w:val="16"/>
                <w:szCs w:val="16"/>
              </w:rPr>
              <w:t>hr</w:t>
            </w:r>
            <w:r w:rsidR="00ED0781" w:rsidRPr="00231A2C">
              <w:rPr>
                <w:rFonts w:ascii="Calibri" w:eastAsia="Calibri" w:hAnsi="Calibri" w:cs="Times New Roman"/>
                <w:i/>
                <w:sz w:val="16"/>
                <w:szCs w:val="16"/>
              </w:rPr>
              <w:t xml:space="preserve"> x 2 community led organisations x </w:t>
            </w:r>
            <w:r w:rsidR="00E15F1A" w:rsidRPr="00231A2C">
              <w:rPr>
                <w:rFonts w:ascii="Calibri" w:eastAsia="Calibri" w:hAnsi="Calibri" w:cs="Times New Roman"/>
                <w:i/>
                <w:sz w:val="16"/>
                <w:szCs w:val="16"/>
              </w:rPr>
              <w:t>1,</w:t>
            </w:r>
            <w:r w:rsidR="005C00B9" w:rsidRPr="00231A2C">
              <w:rPr>
                <w:rFonts w:ascii="Calibri" w:eastAsia="Calibri" w:hAnsi="Calibri" w:cs="Times New Roman"/>
                <w:i/>
                <w:sz w:val="16"/>
                <w:szCs w:val="16"/>
              </w:rPr>
              <w:t>370</w:t>
            </w:r>
            <w:r w:rsidR="00E15F1A" w:rsidRPr="00231A2C">
              <w:rPr>
                <w:rFonts w:ascii="Calibri" w:eastAsia="Calibri" w:hAnsi="Calibri" w:cs="Times New Roman"/>
                <w:i/>
                <w:sz w:val="16"/>
                <w:szCs w:val="16"/>
              </w:rPr>
              <w:t xml:space="preserve"> participants</w:t>
            </w:r>
            <w:r w:rsidR="00EB6AD4" w:rsidRPr="00231A2C">
              <w:rPr>
                <w:rFonts w:ascii="Calibri" w:eastAsia="Calibri" w:hAnsi="Calibri" w:cs="Times New Roman"/>
                <w:i/>
                <w:sz w:val="16"/>
                <w:szCs w:val="16"/>
              </w:rPr>
              <w:t xml:space="preserve"> </w:t>
            </w:r>
            <w:r w:rsidR="005C00B9" w:rsidRPr="00231A2C">
              <w:rPr>
                <w:rFonts w:ascii="Calibri" w:eastAsia="Calibri" w:hAnsi="Calibri" w:cs="Times New Roman"/>
                <w:i/>
                <w:sz w:val="16"/>
                <w:szCs w:val="16"/>
              </w:rPr>
              <w:t xml:space="preserve">(1 x Cape York model plus 1 x TBA the location community led model) </w:t>
            </w:r>
            <w:r w:rsidR="00EB6AD4" w:rsidRPr="00231A2C">
              <w:rPr>
                <w:rFonts w:ascii="Calibri" w:eastAsia="Calibri" w:hAnsi="Calibri" w:cs="Times New Roman"/>
                <w:i/>
                <w:sz w:val="16"/>
                <w:szCs w:val="16"/>
              </w:rPr>
              <w:t>x $79.63/hr = $</w:t>
            </w:r>
            <w:r w:rsidR="00BC08B3" w:rsidRPr="00231A2C">
              <w:rPr>
                <w:rFonts w:ascii="Calibri" w:eastAsia="Calibri" w:hAnsi="Calibri" w:cs="Times New Roman"/>
                <w:i/>
                <w:sz w:val="16"/>
                <w:szCs w:val="16"/>
              </w:rPr>
              <w:t>109</w:t>
            </w:r>
            <w:r w:rsidR="00AB179C" w:rsidRPr="00231A2C">
              <w:rPr>
                <w:rFonts w:ascii="Calibri" w:eastAsia="Calibri" w:hAnsi="Calibri" w:cs="Times New Roman"/>
                <w:i/>
                <w:sz w:val="16"/>
                <w:szCs w:val="16"/>
              </w:rPr>
              <w:t>,</w:t>
            </w:r>
            <w:r w:rsidR="005C00B9" w:rsidRPr="00231A2C">
              <w:rPr>
                <w:rFonts w:ascii="Calibri" w:eastAsia="Calibri" w:hAnsi="Calibri" w:cs="Times New Roman"/>
                <w:i/>
                <w:sz w:val="16"/>
                <w:szCs w:val="16"/>
              </w:rPr>
              <w:t>093</w:t>
            </w:r>
            <w:r w:rsidR="00E15F1A" w:rsidRPr="00231A2C">
              <w:rPr>
                <w:rFonts w:ascii="Calibri" w:eastAsia="Calibri" w:hAnsi="Calibri" w:cs="Times New Roman"/>
                <w:i/>
                <w:sz w:val="16"/>
                <w:szCs w:val="16"/>
              </w:rPr>
              <w:t xml:space="preserve"> (year </w:t>
            </w:r>
            <w:r w:rsidR="005C00B9" w:rsidRPr="00231A2C">
              <w:rPr>
                <w:rFonts w:ascii="Calibri" w:eastAsia="Calibri" w:hAnsi="Calibri" w:cs="Times New Roman"/>
                <w:i/>
                <w:sz w:val="16"/>
                <w:szCs w:val="16"/>
              </w:rPr>
              <w:t>3</w:t>
            </w:r>
            <w:r w:rsidR="00E15F1A" w:rsidRPr="00231A2C">
              <w:rPr>
                <w:rFonts w:ascii="Calibri" w:eastAsia="Calibri" w:hAnsi="Calibri" w:cs="Times New Roman"/>
                <w:i/>
                <w:sz w:val="16"/>
                <w:szCs w:val="16"/>
              </w:rPr>
              <w:t>)</w:t>
            </w:r>
          </w:p>
          <w:p w14:paraId="3FA3BBBB" w14:textId="77777777" w:rsidR="00EB6AD4" w:rsidRPr="00231A2C" w:rsidRDefault="00EB6AD4" w:rsidP="000D0C41">
            <w:pPr>
              <w:contextualSpacing/>
              <w:jc w:val="right"/>
              <w:rPr>
                <w:rFonts w:ascii="Calibri" w:eastAsia="Calibri" w:hAnsi="Calibri" w:cs="Times New Roman"/>
                <w:i/>
                <w:sz w:val="16"/>
                <w:szCs w:val="16"/>
              </w:rPr>
            </w:pPr>
          </w:p>
          <w:p w14:paraId="0765C87B" w14:textId="77777777" w:rsidR="00E15F1A" w:rsidRPr="00231A2C" w:rsidRDefault="007B078D" w:rsidP="00E15F1A">
            <w:pPr>
              <w:contextualSpacing/>
              <w:jc w:val="right"/>
              <w:rPr>
                <w:rFonts w:ascii="Calibri" w:eastAsia="Calibri" w:hAnsi="Calibri" w:cs="Times New Roman"/>
                <w:i/>
                <w:sz w:val="16"/>
                <w:szCs w:val="16"/>
              </w:rPr>
            </w:pPr>
            <w:r w:rsidRPr="00231A2C">
              <w:rPr>
                <w:rFonts w:ascii="Calibri" w:eastAsia="Calibri" w:hAnsi="Calibri" w:cs="Times New Roman"/>
                <w:i/>
                <w:sz w:val="16"/>
                <w:szCs w:val="16"/>
              </w:rPr>
              <w:t>0.5</w:t>
            </w:r>
            <w:r w:rsidR="00E15F1A" w:rsidRPr="00231A2C">
              <w:rPr>
                <w:rFonts w:ascii="Calibri" w:eastAsia="Calibri" w:hAnsi="Calibri" w:cs="Times New Roman"/>
                <w:i/>
                <w:sz w:val="16"/>
                <w:szCs w:val="16"/>
              </w:rPr>
              <w:t>hr x 2 c</w:t>
            </w:r>
            <w:r w:rsidR="00BC08B3" w:rsidRPr="00231A2C">
              <w:rPr>
                <w:rFonts w:ascii="Calibri" w:eastAsia="Calibri" w:hAnsi="Calibri" w:cs="Times New Roman"/>
                <w:i/>
                <w:sz w:val="16"/>
                <w:szCs w:val="16"/>
              </w:rPr>
              <w:t xml:space="preserve">ommunity led organisations x </w:t>
            </w:r>
            <w:r w:rsidR="005C00B9" w:rsidRPr="00231A2C">
              <w:rPr>
                <w:rFonts w:ascii="Calibri" w:eastAsia="Calibri" w:hAnsi="Calibri" w:cs="Times New Roman"/>
                <w:i/>
                <w:sz w:val="16"/>
                <w:szCs w:val="16"/>
              </w:rPr>
              <w:t xml:space="preserve">231 </w:t>
            </w:r>
            <w:r w:rsidR="00E15F1A" w:rsidRPr="00231A2C">
              <w:rPr>
                <w:rFonts w:ascii="Calibri" w:eastAsia="Calibri" w:hAnsi="Calibri" w:cs="Times New Roman"/>
                <w:i/>
                <w:sz w:val="16"/>
                <w:szCs w:val="16"/>
              </w:rPr>
              <w:t>participants x $79.63/hr = $</w:t>
            </w:r>
            <w:r w:rsidR="00BC08B3" w:rsidRPr="00231A2C">
              <w:rPr>
                <w:rFonts w:ascii="Calibri" w:eastAsia="Calibri" w:hAnsi="Calibri" w:cs="Times New Roman"/>
                <w:i/>
                <w:sz w:val="16"/>
                <w:szCs w:val="16"/>
              </w:rPr>
              <w:t>1</w:t>
            </w:r>
            <w:r w:rsidR="00AB179C" w:rsidRPr="00231A2C">
              <w:rPr>
                <w:rFonts w:ascii="Calibri" w:eastAsia="Calibri" w:hAnsi="Calibri" w:cs="Times New Roman"/>
                <w:i/>
                <w:sz w:val="16"/>
                <w:szCs w:val="16"/>
              </w:rPr>
              <w:t>8,</w:t>
            </w:r>
            <w:r w:rsidR="00951A26" w:rsidRPr="00231A2C">
              <w:rPr>
                <w:rFonts w:ascii="Calibri" w:eastAsia="Calibri" w:hAnsi="Calibri" w:cs="Times New Roman"/>
                <w:i/>
                <w:sz w:val="16"/>
                <w:szCs w:val="16"/>
              </w:rPr>
              <w:t>395</w:t>
            </w:r>
            <w:r w:rsidRPr="00231A2C">
              <w:rPr>
                <w:rFonts w:ascii="Calibri" w:eastAsia="Calibri" w:hAnsi="Calibri" w:cs="Times New Roman"/>
                <w:i/>
                <w:sz w:val="16"/>
                <w:szCs w:val="16"/>
              </w:rPr>
              <w:t xml:space="preserve"> </w:t>
            </w:r>
            <w:r w:rsidR="00E15F1A" w:rsidRPr="00231A2C">
              <w:rPr>
                <w:rFonts w:ascii="Calibri" w:eastAsia="Calibri" w:hAnsi="Calibri" w:cs="Times New Roman"/>
                <w:i/>
                <w:sz w:val="16"/>
                <w:szCs w:val="16"/>
              </w:rPr>
              <w:t>(</w:t>
            </w:r>
            <w:r w:rsidRPr="00231A2C">
              <w:rPr>
                <w:rFonts w:ascii="Calibri" w:eastAsia="Calibri" w:hAnsi="Calibri" w:cs="Times New Roman"/>
                <w:i/>
                <w:sz w:val="16"/>
                <w:szCs w:val="16"/>
              </w:rPr>
              <w:t xml:space="preserve">per year from </w:t>
            </w:r>
            <w:r w:rsidR="00E15F1A" w:rsidRPr="00231A2C">
              <w:rPr>
                <w:rFonts w:ascii="Calibri" w:eastAsia="Calibri" w:hAnsi="Calibri" w:cs="Times New Roman"/>
                <w:i/>
                <w:sz w:val="16"/>
                <w:szCs w:val="16"/>
              </w:rPr>
              <w:t xml:space="preserve">year </w:t>
            </w:r>
            <w:r w:rsidR="005C00B9" w:rsidRPr="00231A2C">
              <w:rPr>
                <w:rFonts w:ascii="Calibri" w:eastAsia="Calibri" w:hAnsi="Calibri" w:cs="Times New Roman"/>
                <w:i/>
                <w:sz w:val="16"/>
                <w:szCs w:val="16"/>
              </w:rPr>
              <w:t>4</w:t>
            </w:r>
            <w:r w:rsidR="00E15F1A" w:rsidRPr="00231A2C">
              <w:rPr>
                <w:rFonts w:ascii="Calibri" w:eastAsia="Calibri" w:hAnsi="Calibri" w:cs="Times New Roman"/>
                <w:i/>
                <w:sz w:val="16"/>
                <w:szCs w:val="16"/>
              </w:rPr>
              <w:t xml:space="preserve"> to 10)</w:t>
            </w:r>
          </w:p>
          <w:p w14:paraId="66C8DE76" w14:textId="77777777" w:rsidR="00E15F1A" w:rsidRPr="00231A2C" w:rsidRDefault="00E15F1A" w:rsidP="000D0C41">
            <w:pPr>
              <w:contextualSpacing/>
              <w:jc w:val="right"/>
              <w:rPr>
                <w:rFonts w:ascii="Calibri" w:eastAsia="Calibri" w:hAnsi="Calibri" w:cs="Times New Roman"/>
                <w:i/>
                <w:sz w:val="16"/>
                <w:szCs w:val="16"/>
              </w:rPr>
            </w:pPr>
          </w:p>
          <w:p w14:paraId="430B5585" w14:textId="77777777" w:rsidR="00EB6AD4" w:rsidRPr="00231A2C" w:rsidRDefault="00EB6AD4" w:rsidP="00643AA1">
            <w:pPr>
              <w:contextualSpacing/>
              <w:jc w:val="right"/>
              <w:rPr>
                <w:rFonts w:ascii="Calibri" w:hAnsi="Calibri"/>
                <w:i/>
                <w:sz w:val="16"/>
                <w:szCs w:val="16"/>
              </w:rPr>
            </w:pPr>
            <w:r w:rsidRPr="00231A2C">
              <w:rPr>
                <w:rFonts w:ascii="Calibri" w:eastAsia="Calibri" w:hAnsi="Calibri" w:cs="Times New Roman"/>
                <w:i/>
                <w:sz w:val="16"/>
                <w:szCs w:val="16"/>
              </w:rPr>
              <w:t>Total over 10 years = $</w:t>
            </w:r>
            <w:r w:rsidR="00643AA1" w:rsidRPr="00231A2C">
              <w:rPr>
                <w:rFonts w:ascii="Calibri" w:eastAsia="Calibri" w:hAnsi="Calibri" w:cs="Times New Roman"/>
                <w:i/>
                <w:sz w:val="16"/>
                <w:szCs w:val="16"/>
              </w:rPr>
              <w:t>239,049</w:t>
            </w:r>
          </w:p>
        </w:tc>
      </w:tr>
      <w:tr w:rsidR="00EB6AD4" w:rsidRPr="00231A2C" w14:paraId="6ED40C9B" w14:textId="77777777" w:rsidTr="000D0C41">
        <w:trPr>
          <w:trHeight w:val="260"/>
        </w:trPr>
        <w:tc>
          <w:tcPr>
            <w:tcW w:w="3066" w:type="dxa"/>
          </w:tcPr>
          <w:p w14:paraId="3F9D1D5A" w14:textId="77777777" w:rsidR="00EB6AD4" w:rsidRPr="006F0382" w:rsidRDefault="00EB6AD4" w:rsidP="000D0C41">
            <w:pPr>
              <w:rPr>
                <w:rFonts w:ascii="Calibri" w:eastAsia="Calibri" w:hAnsi="Calibri" w:cs="Times New Roman"/>
                <w:b/>
                <w:sz w:val="16"/>
                <w:szCs w:val="16"/>
              </w:rPr>
            </w:pPr>
            <w:r w:rsidRPr="006F0382">
              <w:rPr>
                <w:rFonts w:ascii="Calibri" w:eastAsia="Calibri" w:hAnsi="Calibri" w:cs="Times New Roman"/>
                <w:b/>
                <w:sz w:val="16"/>
                <w:szCs w:val="16"/>
              </w:rPr>
              <w:t>Total over 10 years ($)</w:t>
            </w:r>
          </w:p>
        </w:tc>
        <w:tc>
          <w:tcPr>
            <w:tcW w:w="6852" w:type="dxa"/>
          </w:tcPr>
          <w:p w14:paraId="097BD62C" w14:textId="77777777" w:rsidR="00EB6AD4" w:rsidRPr="00231A2C" w:rsidRDefault="00643AA1" w:rsidP="002279DD">
            <w:pPr>
              <w:contextualSpacing/>
              <w:jc w:val="right"/>
              <w:rPr>
                <w:rFonts w:ascii="Calibri" w:hAnsi="Calibri" w:cs="Calibri"/>
                <w:b/>
                <w:bCs/>
                <w:sz w:val="16"/>
                <w:szCs w:val="16"/>
              </w:rPr>
            </w:pPr>
            <w:r w:rsidRPr="00231A2C">
              <w:rPr>
                <w:rFonts w:ascii="Calibri" w:hAnsi="Calibri" w:cs="Calibri"/>
                <w:b/>
                <w:bCs/>
                <w:sz w:val="16"/>
                <w:szCs w:val="16"/>
              </w:rPr>
              <w:t>$240,323</w:t>
            </w:r>
          </w:p>
        </w:tc>
      </w:tr>
    </w:tbl>
    <w:p w14:paraId="57F4801B" w14:textId="3968621B" w:rsidR="00EB6AD4" w:rsidRPr="006F0382" w:rsidRDefault="00EB6AD4" w:rsidP="00EB6AD4">
      <w:pPr>
        <w:pStyle w:val="BulletedListlvl1"/>
        <w:numPr>
          <w:ilvl w:val="0"/>
          <w:numId w:val="0"/>
        </w:numPr>
        <w:rPr>
          <w:sz w:val="16"/>
          <w:szCs w:val="16"/>
        </w:rPr>
      </w:pPr>
      <w:r w:rsidRPr="006F0382">
        <w:rPr>
          <w:sz w:val="16"/>
          <w:szCs w:val="16"/>
          <w:vertAlign w:val="superscript"/>
        </w:rPr>
        <w:t xml:space="preserve">* </w:t>
      </w:r>
      <w:r w:rsidR="007B078D" w:rsidRPr="006F0382">
        <w:rPr>
          <w:sz w:val="16"/>
          <w:szCs w:val="16"/>
        </w:rPr>
        <w:t xml:space="preserve">Note any additional </w:t>
      </w:r>
      <w:r w:rsidRPr="006F0382">
        <w:rPr>
          <w:sz w:val="16"/>
          <w:szCs w:val="16"/>
        </w:rPr>
        <w:t xml:space="preserve">community led models </w:t>
      </w:r>
      <w:r w:rsidR="007B078D" w:rsidRPr="006F0382">
        <w:rPr>
          <w:sz w:val="16"/>
          <w:szCs w:val="16"/>
        </w:rPr>
        <w:t xml:space="preserve">would </w:t>
      </w:r>
      <w:r w:rsidRPr="006F0382">
        <w:rPr>
          <w:sz w:val="16"/>
          <w:szCs w:val="16"/>
        </w:rPr>
        <w:t xml:space="preserve">commence </w:t>
      </w:r>
      <w:r w:rsidR="007B078D" w:rsidRPr="006F0382">
        <w:rPr>
          <w:sz w:val="16"/>
          <w:szCs w:val="16"/>
        </w:rPr>
        <w:t xml:space="preserve">from </w:t>
      </w:r>
      <w:r w:rsidR="006A7177">
        <w:rPr>
          <w:sz w:val="16"/>
          <w:szCs w:val="16"/>
        </w:rPr>
        <w:t>2023-24 financial year onwards.</w:t>
      </w:r>
    </w:p>
    <w:p w14:paraId="59E377EE" w14:textId="77777777" w:rsidR="00EB6AD4" w:rsidRPr="00AB47C8" w:rsidRDefault="00EB6AD4" w:rsidP="00EB6AD4">
      <w:pPr>
        <w:spacing w:before="120" w:after="180" w:line="276" w:lineRule="auto"/>
        <w:rPr>
          <w:rFonts w:ascii="Calibri" w:eastAsia="Calibri" w:hAnsi="Calibri" w:cs="Times New Roman"/>
          <w:b/>
          <w:color w:val="262626"/>
        </w:rPr>
      </w:pPr>
      <w:r w:rsidRPr="006F0382">
        <w:rPr>
          <w:rFonts w:ascii="Calibri" w:eastAsia="Calibri" w:hAnsi="Calibri" w:cs="Times New Roman"/>
          <w:b/>
          <w:color w:val="262626"/>
        </w:rPr>
        <w:t>Net benefit</w:t>
      </w:r>
      <w:r w:rsidRPr="00AB47C8">
        <w:rPr>
          <w:rFonts w:ascii="Calibri" w:eastAsia="Calibri" w:hAnsi="Calibri" w:cs="Times New Roman"/>
          <w:b/>
          <w:color w:val="262626"/>
        </w:rPr>
        <w:t xml:space="preserve"> </w:t>
      </w:r>
    </w:p>
    <w:p w14:paraId="067CC36D" w14:textId="16C4F4CB" w:rsidR="00EB6AD4" w:rsidRDefault="00EB6AD4" w:rsidP="00EB6AD4">
      <w:pPr>
        <w:spacing w:before="120" w:after="180" w:line="276" w:lineRule="auto"/>
      </w:pPr>
      <w:r>
        <w:t>The overall direct role of community organisation</w:t>
      </w:r>
      <w:r w:rsidR="003B75DF">
        <w:t>s</w:t>
      </w:r>
      <w:r>
        <w:t xml:space="preserve"> in the CDC program may decrease as people exit the CDC program. However, services in the community may see a slight increase initially but with the additional support </w:t>
      </w:r>
      <w:r w:rsidR="00F146AD">
        <w:t xml:space="preserve">services </w:t>
      </w:r>
      <w:r>
        <w:t>provided as part of Option 2 and once transition is completed, the impact is expected to be negligible</w:t>
      </w:r>
      <w:r w:rsidRPr="006F0382">
        <w:t>. There may be a regulatory cost for community led IM referral. However,</w:t>
      </w:r>
      <w:r w:rsidR="006F0382">
        <w:t xml:space="preserve"> as the community has volunteered to go on the IM program it is </w:t>
      </w:r>
      <w:r w:rsidR="004363EA">
        <w:t>expected</w:t>
      </w:r>
      <w:r w:rsidR="006F0382">
        <w:t xml:space="preserve"> that</w:t>
      </w:r>
      <w:r w:rsidRPr="006F0382">
        <w:t xml:space="preserve"> the benefits of a community designed and referral base outweighs the small regulatory cost.</w:t>
      </w:r>
    </w:p>
    <w:p w14:paraId="7B61D787" w14:textId="77777777" w:rsidR="000C1DF8" w:rsidRDefault="0038083B" w:rsidP="00086DA1">
      <w:pPr>
        <w:pStyle w:val="Heading3"/>
      </w:pPr>
      <w:bookmarkStart w:id="147" w:name="_Toc118103776"/>
      <w:r>
        <w:t xml:space="preserve">4.2.3 </w:t>
      </w:r>
      <w:r w:rsidR="000C1DF8">
        <w:t>Accessing Support Services</w:t>
      </w:r>
      <w:bookmarkEnd w:id="147"/>
    </w:p>
    <w:p w14:paraId="73965951" w14:textId="77777777" w:rsidR="000C1DF8" w:rsidRPr="00231A2C" w:rsidRDefault="000C1DF8" w:rsidP="000C1DF8">
      <w:pPr>
        <w:pStyle w:val="NormalWeb"/>
      </w:pPr>
      <w:r w:rsidRPr="00A70D2F">
        <w:t xml:space="preserve">Continuation </w:t>
      </w:r>
      <w:r w:rsidRPr="00231A2C">
        <w:t>of support services demonstrates the Government’s commitment to support communities and individuals during the abolition of the CDC</w:t>
      </w:r>
      <w:r w:rsidR="003A3953" w:rsidRPr="00231A2C">
        <w:t xml:space="preserve"> and</w:t>
      </w:r>
      <w:r w:rsidR="004363EA">
        <w:t xml:space="preserve"> compulsory</w:t>
      </w:r>
      <w:r w:rsidR="003A3953" w:rsidRPr="00231A2C">
        <w:t xml:space="preserve"> IM</w:t>
      </w:r>
      <w:r w:rsidR="00FD2793">
        <w:t xml:space="preserve">. </w:t>
      </w:r>
      <w:r w:rsidRPr="00231A2C">
        <w:t>Support services will continue to reduce social harm and strengthen community stability – responding to community need. The proposed place-based and co-designed support services will strengthen engagement with First Nations people, consistent with Closing the Gap priority reforms.</w:t>
      </w:r>
    </w:p>
    <w:p w14:paraId="69ED5B41" w14:textId="77777777" w:rsidR="00010807" w:rsidRPr="00231A2C" w:rsidRDefault="00010807" w:rsidP="00010807">
      <w:pPr>
        <w:spacing w:before="120"/>
      </w:pPr>
      <w:r w:rsidRPr="00231A2C">
        <w:t>The aim of these support services is to respond to the needs and voice of the communities to address the social and economic disadvantage that exists in communities where the CDC operates</w:t>
      </w:r>
      <w:r w:rsidR="003A3953" w:rsidRPr="00231A2C">
        <w:t xml:space="preserve"> and in IM location in the NT</w:t>
      </w:r>
      <w:r w:rsidRPr="00231A2C">
        <w:t xml:space="preserve">. It will also demonstrate the Government is investing in practical solutions for these communities, and help maintain relationships and trust with local stakeholders who have publicly supported the former Government’s CDC program. </w:t>
      </w:r>
      <w:r w:rsidR="002D6833">
        <w:t>IM</w:t>
      </w:r>
      <w:r w:rsidRPr="00231A2C">
        <w:t xml:space="preserve"> recipients in the NT will be able to access services under the second element of this proposal.</w:t>
      </w:r>
    </w:p>
    <w:p w14:paraId="51D2BCEE" w14:textId="77777777" w:rsidR="003A3953" w:rsidRPr="00231A2C" w:rsidRDefault="003A3953" w:rsidP="003A3953">
      <w:pPr>
        <w:spacing w:before="120" w:after="180"/>
        <w:rPr>
          <w:b/>
        </w:rPr>
      </w:pPr>
      <w:r w:rsidRPr="00231A2C">
        <w:rPr>
          <w:b/>
        </w:rPr>
        <w:t>Benefits</w:t>
      </w:r>
    </w:p>
    <w:p w14:paraId="1CA6DB04" w14:textId="77777777" w:rsidR="003A3953" w:rsidRPr="00231A2C" w:rsidRDefault="003A3953" w:rsidP="000A025F">
      <w:pPr>
        <w:pStyle w:val="BulletedListlvl1"/>
        <w:numPr>
          <w:ilvl w:val="0"/>
          <w:numId w:val="49"/>
        </w:numPr>
        <w:rPr>
          <w:color w:val="auto"/>
        </w:rPr>
      </w:pPr>
      <w:r w:rsidRPr="00231A2C">
        <w:rPr>
          <w:b/>
        </w:rPr>
        <w:t xml:space="preserve">Increased funding into the community </w:t>
      </w:r>
      <w:r w:rsidRPr="00231A2C">
        <w:t>– providers increase funding to services provider located in communities which in turn provides greater services and more jo</w:t>
      </w:r>
      <w:r w:rsidR="00FD2793">
        <w:t>b opportunities in these areas.</w:t>
      </w:r>
    </w:p>
    <w:p w14:paraId="482CF927" w14:textId="77777777" w:rsidR="00E918D8" w:rsidRPr="00A70D2F" w:rsidRDefault="00E918D8" w:rsidP="00E918D8">
      <w:pPr>
        <w:pStyle w:val="BulletedListlvl1"/>
        <w:numPr>
          <w:ilvl w:val="0"/>
          <w:numId w:val="49"/>
        </w:numPr>
        <w:rPr>
          <w:color w:val="auto"/>
        </w:rPr>
      </w:pPr>
      <w:r w:rsidRPr="00A70D2F">
        <w:rPr>
          <w:b/>
        </w:rPr>
        <w:t xml:space="preserve">Strengthen participants’ ability to determine how and when they spend their money </w:t>
      </w:r>
      <w:r w:rsidRPr="00A70D2F">
        <w:t xml:space="preserve">through targeting supports that will improve </w:t>
      </w:r>
      <w:r w:rsidR="004363EA" w:rsidRPr="00A70D2F">
        <w:t>participant’s</w:t>
      </w:r>
      <w:r w:rsidRPr="00A70D2F">
        <w:t xml:space="preserve"> financial management skills. Participants will have the opportunity to upskill (digitally and financially) to </w:t>
      </w:r>
      <w:r w:rsidR="005259CB">
        <w:t xml:space="preserve">incentivise saving, facilitate better </w:t>
      </w:r>
      <w:r w:rsidR="005259CB" w:rsidRPr="00A70D2F">
        <w:t>informed</w:t>
      </w:r>
      <w:r w:rsidRPr="00A70D2F">
        <w:t xml:space="preserve"> decisions, including whether to opt into voluntary IM. This can result in increased financial stability through better bud</w:t>
      </w:r>
      <w:r>
        <w:t>geting and financial management</w:t>
      </w:r>
      <w:r w:rsidRPr="00A70D2F">
        <w:t>.</w:t>
      </w:r>
    </w:p>
    <w:p w14:paraId="005F18B3" w14:textId="77777777" w:rsidR="003A3953" w:rsidRPr="003A3953" w:rsidRDefault="00702C3D" w:rsidP="00702C3D">
      <w:pPr>
        <w:pStyle w:val="BulletedListlvl1"/>
        <w:numPr>
          <w:ilvl w:val="0"/>
          <w:numId w:val="49"/>
        </w:numPr>
        <w:rPr>
          <w:color w:val="auto"/>
        </w:rPr>
      </w:pPr>
      <w:r>
        <w:rPr>
          <w:b/>
        </w:rPr>
        <w:t xml:space="preserve">Improve the social wellbeing of communities </w:t>
      </w:r>
      <w:r>
        <w:t>through targeting supports that will improve social cohesion through</w:t>
      </w:r>
      <w:r w:rsidRPr="00702C3D">
        <w:t xml:space="preserve"> community-led initiatives such as youth programs, community buses, local community night patrols</w:t>
      </w:r>
      <w:r w:rsidR="003C7E35">
        <w:t xml:space="preserve">, drug and alcohol support </w:t>
      </w:r>
      <w:r w:rsidRPr="00702C3D">
        <w:t>and parenting programs.</w:t>
      </w:r>
    </w:p>
    <w:p w14:paraId="5B434219" w14:textId="55A10528" w:rsidR="000C1DF8" w:rsidRPr="00A70D2F" w:rsidRDefault="000C1DF8" w:rsidP="000A025F">
      <w:pPr>
        <w:pStyle w:val="BulletedListlvl1"/>
        <w:numPr>
          <w:ilvl w:val="0"/>
          <w:numId w:val="49"/>
        </w:numPr>
        <w:rPr>
          <w:color w:val="auto"/>
        </w:rPr>
      </w:pPr>
      <w:r w:rsidRPr="00A70D2F">
        <w:rPr>
          <w:b/>
          <w:bCs/>
          <w:color w:val="auto"/>
        </w:rPr>
        <w:t>Improved Service provision through the creation of an evidence base</w:t>
      </w:r>
      <w:r w:rsidRPr="00A70D2F">
        <w:rPr>
          <w:bCs/>
          <w:color w:val="auto"/>
        </w:rPr>
        <w:t xml:space="preserve">. </w:t>
      </w:r>
      <w:r w:rsidRPr="00A70D2F">
        <w:rPr>
          <w:color w:val="auto"/>
        </w:rPr>
        <w:t>The continuation of support services will serve to provide an ongoing data so</w:t>
      </w:r>
      <w:r w:rsidR="009E65F4">
        <w:rPr>
          <w:color w:val="auto"/>
        </w:rPr>
        <w:t>urce and evidence base on the effectiveness of such services and the uti</w:t>
      </w:r>
      <w:r w:rsidR="006A7177">
        <w:rPr>
          <w:color w:val="auto"/>
        </w:rPr>
        <w:t>lity of the co-design approach.</w:t>
      </w:r>
    </w:p>
    <w:p w14:paraId="3E4BA654" w14:textId="77777777" w:rsidR="000C1DF8" w:rsidRPr="00A70D2F" w:rsidRDefault="000C1DF8" w:rsidP="00D96351">
      <w:pPr>
        <w:spacing w:before="120" w:after="180"/>
        <w:rPr>
          <w:b/>
        </w:rPr>
      </w:pPr>
      <w:r w:rsidRPr="00A70D2F">
        <w:rPr>
          <w:b/>
        </w:rPr>
        <w:t>Cost</w:t>
      </w:r>
    </w:p>
    <w:p w14:paraId="7738C64B" w14:textId="772CDA49" w:rsidR="000C1DF8" w:rsidRPr="00A70D2F" w:rsidRDefault="000C1DF8" w:rsidP="000A025F">
      <w:pPr>
        <w:numPr>
          <w:ilvl w:val="0"/>
          <w:numId w:val="37"/>
        </w:numPr>
        <w:rPr>
          <w:rFonts w:ascii="Calibri" w:eastAsia="Calibri" w:hAnsi="Calibri" w:cs="Calibri"/>
          <w:color w:val="auto"/>
          <w:spacing w:val="4"/>
          <w:lang w:eastAsia="en-AU"/>
        </w:rPr>
      </w:pPr>
      <w:r w:rsidRPr="00A70D2F">
        <w:rPr>
          <w:rFonts w:ascii="Calibri" w:eastAsia="Calibri" w:hAnsi="Calibri" w:cs="Calibri"/>
          <w:b/>
          <w:color w:val="auto"/>
          <w:spacing w:val="4"/>
          <w:lang w:eastAsia="en-AU"/>
        </w:rPr>
        <w:t xml:space="preserve">Data collection may place an extra burden of service providers. </w:t>
      </w:r>
      <w:r w:rsidRPr="00A70D2F">
        <w:rPr>
          <w:rFonts w:ascii="Calibri" w:eastAsia="Calibri" w:hAnsi="Calibri" w:cs="Calibri"/>
          <w:color w:val="auto"/>
          <w:spacing w:val="4"/>
          <w:lang w:eastAsia="en-AU"/>
        </w:rPr>
        <w:t>The Department’s Administrative, data collection and reporting requirements may place add</w:t>
      </w:r>
      <w:r w:rsidR="006A7177">
        <w:rPr>
          <w:rFonts w:ascii="Calibri" w:eastAsia="Calibri" w:hAnsi="Calibri" w:cs="Calibri"/>
          <w:color w:val="auto"/>
          <w:spacing w:val="4"/>
          <w:lang w:eastAsia="en-AU"/>
        </w:rPr>
        <w:t>ed burden on service providers.</w:t>
      </w:r>
    </w:p>
    <w:p w14:paraId="581C2D05" w14:textId="77777777" w:rsidR="000C1DF8" w:rsidRPr="00A70D2F" w:rsidRDefault="000C1DF8" w:rsidP="000A025F">
      <w:pPr>
        <w:numPr>
          <w:ilvl w:val="0"/>
          <w:numId w:val="37"/>
        </w:numPr>
        <w:rPr>
          <w:rFonts w:ascii="Calibri" w:eastAsia="Calibri" w:hAnsi="Calibri" w:cs="Calibri"/>
          <w:color w:val="auto"/>
          <w:spacing w:val="4"/>
          <w:lang w:eastAsia="en-AU"/>
        </w:rPr>
      </w:pPr>
      <w:r w:rsidRPr="00A70D2F">
        <w:rPr>
          <w:rFonts w:ascii="Calibri" w:eastAsia="Calibri" w:hAnsi="Calibri" w:cs="Calibri"/>
          <w:b/>
          <w:color w:val="auto"/>
          <w:spacing w:val="4"/>
          <w:lang w:eastAsia="en-AU"/>
        </w:rPr>
        <w:t>Operation</w:t>
      </w:r>
      <w:r w:rsidR="009E65F4">
        <w:rPr>
          <w:rFonts w:ascii="Calibri" w:eastAsia="Calibri" w:hAnsi="Calibri" w:cs="Calibri"/>
          <w:b/>
          <w:color w:val="auto"/>
          <w:spacing w:val="4"/>
          <w:lang w:eastAsia="en-AU"/>
        </w:rPr>
        <w:t>al</w:t>
      </w:r>
      <w:r w:rsidRPr="00A70D2F">
        <w:rPr>
          <w:rFonts w:ascii="Calibri" w:eastAsia="Calibri" w:hAnsi="Calibri" w:cs="Calibri"/>
          <w:b/>
          <w:color w:val="auto"/>
          <w:spacing w:val="4"/>
          <w:lang w:eastAsia="en-AU"/>
        </w:rPr>
        <w:t xml:space="preserve"> planning impacted by Short-term funding</w:t>
      </w:r>
      <w:r w:rsidRPr="00A70D2F">
        <w:rPr>
          <w:rFonts w:ascii="Calibri" w:eastAsia="Calibri" w:hAnsi="Calibri" w:cs="Calibri"/>
          <w:color w:val="auto"/>
          <w:spacing w:val="4"/>
          <w:lang w:eastAsia="en-AU"/>
        </w:rPr>
        <w:t>. It is the intention to provide a short-term grant round to allow co-design to occur to inform future funding rounds. By only extending grants for a s</w:t>
      </w:r>
      <w:r w:rsidR="009E65F4">
        <w:rPr>
          <w:rFonts w:ascii="Calibri" w:eastAsia="Calibri" w:hAnsi="Calibri" w:cs="Calibri"/>
          <w:color w:val="auto"/>
          <w:spacing w:val="4"/>
          <w:lang w:eastAsia="en-AU"/>
        </w:rPr>
        <w:t>h</w:t>
      </w:r>
      <w:r w:rsidR="00FE79AD">
        <w:rPr>
          <w:rFonts w:ascii="Calibri" w:eastAsia="Calibri" w:hAnsi="Calibri" w:cs="Calibri"/>
          <w:color w:val="auto"/>
          <w:spacing w:val="4"/>
          <w:lang w:eastAsia="en-AU"/>
        </w:rPr>
        <w:t>ort</w:t>
      </w:r>
      <w:r w:rsidRPr="00A70D2F">
        <w:rPr>
          <w:rFonts w:ascii="Calibri" w:eastAsia="Calibri" w:hAnsi="Calibri" w:cs="Calibri"/>
          <w:color w:val="auto"/>
          <w:spacing w:val="4"/>
          <w:lang w:eastAsia="en-AU"/>
        </w:rPr>
        <w:t xml:space="preserve"> </w:t>
      </w:r>
      <w:r w:rsidR="009E65F4" w:rsidRPr="00A70D2F">
        <w:rPr>
          <w:rFonts w:ascii="Calibri" w:eastAsia="Calibri" w:hAnsi="Calibri" w:cs="Calibri"/>
          <w:color w:val="auto"/>
          <w:spacing w:val="4"/>
          <w:lang w:eastAsia="en-AU"/>
        </w:rPr>
        <w:t>period,</w:t>
      </w:r>
      <w:r w:rsidRPr="00A70D2F">
        <w:rPr>
          <w:rFonts w:ascii="Calibri" w:eastAsia="Calibri" w:hAnsi="Calibri" w:cs="Calibri"/>
          <w:color w:val="auto"/>
          <w:spacing w:val="4"/>
          <w:lang w:eastAsia="en-AU"/>
        </w:rPr>
        <w:t xml:space="preserve"> this may impact operational planning and effect services delivery and outcomes for their clients.</w:t>
      </w:r>
    </w:p>
    <w:p w14:paraId="4BF809BC" w14:textId="7597774A" w:rsidR="000C1DF8" w:rsidRPr="00A70D2F" w:rsidRDefault="000C1DF8" w:rsidP="00D96351">
      <w:pPr>
        <w:numPr>
          <w:ilvl w:val="0"/>
          <w:numId w:val="37"/>
        </w:numPr>
        <w:ind w:left="714" w:hanging="357"/>
        <w:rPr>
          <w:rFonts w:ascii="Calibri" w:eastAsia="Calibri" w:hAnsi="Calibri" w:cs="Calibri"/>
          <w:color w:val="auto"/>
          <w:spacing w:val="4"/>
          <w:lang w:eastAsia="en-AU"/>
        </w:rPr>
      </w:pPr>
      <w:r w:rsidRPr="00A70D2F">
        <w:rPr>
          <w:rFonts w:ascii="Calibri" w:eastAsia="Calibri" w:hAnsi="Calibri" w:cs="Calibri"/>
          <w:b/>
          <w:color w:val="auto"/>
          <w:spacing w:val="4"/>
          <w:lang w:eastAsia="en-AU"/>
        </w:rPr>
        <w:t xml:space="preserve">Change of service providers as a result of grant outcomes. </w:t>
      </w:r>
      <w:r w:rsidR="00FE79AD" w:rsidRPr="007F5357">
        <w:rPr>
          <w:rFonts w:ascii="Calibri" w:eastAsia="Calibri" w:hAnsi="Calibri" w:cs="Calibri"/>
          <w:color w:val="auto"/>
          <w:spacing w:val="4"/>
          <w:lang w:eastAsia="en-AU"/>
        </w:rPr>
        <w:t>Any new providers may require some time to build trust within communities.</w:t>
      </w:r>
      <w:r w:rsidR="00FE79AD">
        <w:rPr>
          <w:rFonts w:ascii="Calibri" w:eastAsia="Calibri" w:hAnsi="Calibri" w:cs="Calibri"/>
          <w:color w:val="auto"/>
          <w:spacing w:val="4"/>
          <w:lang w:eastAsia="en-AU"/>
        </w:rPr>
        <w:t xml:space="preserve"> Whereas current providers already have </w:t>
      </w:r>
      <w:r w:rsidR="006A7177">
        <w:rPr>
          <w:rFonts w:ascii="Calibri" w:eastAsia="Calibri" w:hAnsi="Calibri" w:cs="Calibri"/>
          <w:color w:val="auto"/>
          <w:spacing w:val="4"/>
          <w:lang w:eastAsia="en-AU"/>
        </w:rPr>
        <w:t>developed trust/ relationships.</w:t>
      </w:r>
    </w:p>
    <w:p w14:paraId="059A40E0" w14:textId="77777777" w:rsidR="001F613A" w:rsidRDefault="001F613A" w:rsidP="00D96351">
      <w:pPr>
        <w:spacing w:before="120" w:after="180"/>
        <w:rPr>
          <w:b/>
        </w:rPr>
      </w:pPr>
      <w:r w:rsidRPr="001F613A">
        <w:rPr>
          <w:b/>
        </w:rPr>
        <w:t xml:space="preserve">Net Benefits </w:t>
      </w:r>
    </w:p>
    <w:p w14:paraId="09B7811C" w14:textId="77777777" w:rsidR="00B77F6C" w:rsidRPr="004032E8" w:rsidRDefault="00B77F6C" w:rsidP="00D96351">
      <w:pPr>
        <w:spacing w:before="120" w:after="180"/>
      </w:pPr>
      <w:r w:rsidRPr="004032E8">
        <w:t xml:space="preserve">There is an expected net </w:t>
      </w:r>
      <w:r w:rsidR="001F16E6">
        <w:t>benefit</w:t>
      </w:r>
      <w:r w:rsidRPr="004032E8">
        <w:t xml:space="preserve"> for all key stakeholder groups;</w:t>
      </w:r>
    </w:p>
    <w:p w14:paraId="5FE0B755" w14:textId="77777777" w:rsidR="00C52522" w:rsidRPr="00C52522" w:rsidRDefault="00C52522" w:rsidP="00C52522">
      <w:pPr>
        <w:pStyle w:val="ListParagraph"/>
        <w:numPr>
          <w:ilvl w:val="0"/>
          <w:numId w:val="37"/>
        </w:numPr>
        <w:rPr>
          <w:color w:val="auto"/>
        </w:rPr>
      </w:pPr>
      <w:r>
        <w:rPr>
          <w:color w:val="auto"/>
        </w:rPr>
        <w:t>For Individuals</w:t>
      </w:r>
      <w:r w:rsidR="00B77F6C">
        <w:rPr>
          <w:color w:val="auto"/>
        </w:rPr>
        <w:t xml:space="preserve"> and Communities </w:t>
      </w:r>
      <w:r>
        <w:rPr>
          <w:color w:val="auto"/>
        </w:rPr>
        <w:t>–</w:t>
      </w:r>
      <w:r w:rsidR="009E65F4">
        <w:rPr>
          <w:color w:val="auto"/>
        </w:rPr>
        <w:t xml:space="preserve"> will</w:t>
      </w:r>
      <w:r>
        <w:rPr>
          <w:color w:val="auto"/>
        </w:rPr>
        <w:t xml:space="preserve"> be supported </w:t>
      </w:r>
      <w:r w:rsidR="009E65F4">
        <w:rPr>
          <w:color w:val="auto"/>
        </w:rPr>
        <w:t xml:space="preserve">and afforded a choice </w:t>
      </w:r>
      <w:r>
        <w:rPr>
          <w:color w:val="auto"/>
        </w:rPr>
        <w:t xml:space="preserve">in how they manage their money. </w:t>
      </w:r>
      <w:r w:rsidRPr="00A70D2F">
        <w:rPr>
          <w:color w:val="auto"/>
        </w:rPr>
        <w:t>New support services (i.e to tackle social harms, including the misuse of AOD and DV) will support individuals and families and keep communities safe. This in turn, will s</w:t>
      </w:r>
      <w:r w:rsidR="00FD2793">
        <w:rPr>
          <w:color w:val="auto"/>
        </w:rPr>
        <w:t>trengthen community stability.</w:t>
      </w:r>
    </w:p>
    <w:p w14:paraId="4AE61F81" w14:textId="77777777" w:rsidR="00C52522" w:rsidRDefault="009E65F4" w:rsidP="009E65F4">
      <w:pPr>
        <w:pStyle w:val="ListParagraph"/>
        <w:numPr>
          <w:ilvl w:val="0"/>
          <w:numId w:val="37"/>
        </w:numPr>
        <w:spacing w:after="0" w:line="240" w:lineRule="auto"/>
        <w:rPr>
          <w:color w:val="auto"/>
        </w:rPr>
      </w:pPr>
      <w:r>
        <w:rPr>
          <w:color w:val="auto"/>
        </w:rPr>
        <w:t xml:space="preserve">For Government – over time </w:t>
      </w:r>
      <w:r w:rsidR="00C52522">
        <w:rPr>
          <w:color w:val="auto"/>
        </w:rPr>
        <w:t xml:space="preserve">there will be </w:t>
      </w:r>
      <w:r>
        <w:rPr>
          <w:color w:val="auto"/>
        </w:rPr>
        <w:t>improvement in the impact of support services and drive better social and employm</w:t>
      </w:r>
      <w:r w:rsidR="00FD2793">
        <w:rPr>
          <w:color w:val="auto"/>
        </w:rPr>
        <w:t>ent outcomes for communities.</w:t>
      </w:r>
    </w:p>
    <w:p w14:paraId="795379B7" w14:textId="77777777" w:rsidR="001F613A" w:rsidRPr="00A70D2F" w:rsidRDefault="00B77F6C" w:rsidP="001F613A">
      <w:pPr>
        <w:pStyle w:val="ListParagraph"/>
        <w:numPr>
          <w:ilvl w:val="0"/>
          <w:numId w:val="37"/>
        </w:numPr>
        <w:spacing w:after="0" w:line="240" w:lineRule="auto"/>
      </w:pPr>
      <w:r>
        <w:t xml:space="preserve">For services providers – there will be an increase </w:t>
      </w:r>
      <w:r w:rsidR="009E65F4">
        <w:t xml:space="preserve">in </w:t>
      </w:r>
      <w:r>
        <w:t xml:space="preserve">available funding to support the provision of </w:t>
      </w:r>
      <w:r w:rsidR="001F613A" w:rsidRPr="00A70D2F">
        <w:t xml:space="preserve">services </w:t>
      </w:r>
      <w:r>
        <w:t xml:space="preserve">that </w:t>
      </w:r>
      <w:r w:rsidR="001F613A" w:rsidRPr="00A70D2F">
        <w:t>reduc</w:t>
      </w:r>
      <w:r>
        <w:t>e</w:t>
      </w:r>
      <w:r w:rsidR="001F613A" w:rsidRPr="00A70D2F">
        <w:t xml:space="preserve"> self-harm and social and emotional harm, AOD use, violence and gambling, improved money management, digital literacy</w:t>
      </w:r>
      <w:r w:rsidR="00FD2793">
        <w:t xml:space="preserve"> and improved community safety.</w:t>
      </w:r>
    </w:p>
    <w:p w14:paraId="12716A3A" w14:textId="7D1A1FDD" w:rsidR="00E00EFA" w:rsidRPr="00A70D2F" w:rsidRDefault="0038083B" w:rsidP="00086DA1">
      <w:pPr>
        <w:pStyle w:val="Heading4"/>
      </w:pPr>
      <w:r w:rsidRPr="00A70D2F">
        <w:t xml:space="preserve">4.2.3.1 </w:t>
      </w:r>
      <w:r w:rsidR="00E00EFA" w:rsidRPr="00A70D2F">
        <w:t xml:space="preserve">First </w:t>
      </w:r>
      <w:r w:rsidR="0017675F" w:rsidRPr="00A70D2F">
        <w:t>element</w:t>
      </w:r>
      <w:r w:rsidR="002F5431" w:rsidRPr="00A70D2F">
        <w:t xml:space="preserve"> </w:t>
      </w:r>
      <w:r w:rsidR="0017675F" w:rsidRPr="00A70D2F">
        <w:t>c</w:t>
      </w:r>
      <w:r w:rsidR="002F5431" w:rsidRPr="00A70D2F">
        <w:t>osts</w:t>
      </w:r>
    </w:p>
    <w:p w14:paraId="2404F994" w14:textId="77777777" w:rsidR="000D60CF" w:rsidRPr="00A70D2F" w:rsidRDefault="000D60CF" w:rsidP="000D60CF">
      <w:pPr>
        <w:pStyle w:val="BodyText"/>
      </w:pPr>
      <w:r w:rsidRPr="00A70D2F">
        <w:t>The continuation of currently funded services, acting as an immediate response as CDC participants start to transition off the card from September 2022 funding for additional services immediately following the abolition of the CDC.</w:t>
      </w:r>
    </w:p>
    <w:p w14:paraId="6DE779AE" w14:textId="77777777" w:rsidR="00D32BCA" w:rsidRPr="00C27CFA" w:rsidRDefault="00296846" w:rsidP="00296846">
      <w:pPr>
        <w:pStyle w:val="Heading4"/>
      </w:pPr>
      <w:r w:rsidRPr="00C27CFA">
        <w:t>4.2.3.1.1</w:t>
      </w:r>
      <w:r w:rsidR="00D32BCA" w:rsidRPr="00C27CFA">
        <w:t xml:space="preserve"> Participants</w:t>
      </w:r>
    </w:p>
    <w:p w14:paraId="6433FD06" w14:textId="77777777" w:rsidR="00C60E05" w:rsidRDefault="00C60E05" w:rsidP="0082100B">
      <w:pPr>
        <w:spacing w:after="0" w:line="240" w:lineRule="auto"/>
        <w:rPr>
          <w:lang w:eastAsia="en-AU"/>
        </w:rPr>
      </w:pPr>
      <w:r>
        <w:rPr>
          <w:lang w:eastAsia="en-AU"/>
        </w:rPr>
        <w:t>There will be approximately 42,000 former CDC and former and ongoing IM participants who will be eligible for support services.</w:t>
      </w:r>
    </w:p>
    <w:p w14:paraId="397EAFEA" w14:textId="77777777" w:rsidR="00C60E05" w:rsidRDefault="00C60E05" w:rsidP="0082100B">
      <w:pPr>
        <w:spacing w:after="0" w:line="240" w:lineRule="auto"/>
        <w:rPr>
          <w:lang w:eastAsia="en-AU"/>
        </w:rPr>
      </w:pPr>
    </w:p>
    <w:p w14:paraId="4C2F6A97" w14:textId="77777777" w:rsidR="0082100B" w:rsidRPr="00C27CFA" w:rsidRDefault="0082100B" w:rsidP="0082100B">
      <w:pPr>
        <w:spacing w:after="0" w:line="240" w:lineRule="auto"/>
        <w:rPr>
          <w:lang w:eastAsia="en-AU"/>
        </w:rPr>
      </w:pPr>
      <w:r w:rsidRPr="00C27CFA">
        <w:rPr>
          <w:lang w:eastAsia="en-AU"/>
        </w:rPr>
        <w:t xml:space="preserve">The uptake of support services </w:t>
      </w:r>
      <w:r w:rsidR="00FE79AD" w:rsidRPr="00C27CFA">
        <w:rPr>
          <w:lang w:eastAsia="en-AU"/>
        </w:rPr>
        <w:t>by former CDC participants</w:t>
      </w:r>
      <w:r w:rsidR="00C60E05">
        <w:rPr>
          <w:lang w:eastAsia="en-AU"/>
        </w:rPr>
        <w:t xml:space="preserve"> and IM participants</w:t>
      </w:r>
      <w:r w:rsidR="00FE79AD" w:rsidRPr="00C27CFA">
        <w:rPr>
          <w:lang w:eastAsia="en-AU"/>
        </w:rPr>
        <w:t xml:space="preserve"> </w:t>
      </w:r>
      <w:r w:rsidRPr="00C27CFA">
        <w:rPr>
          <w:lang w:eastAsia="en-AU"/>
        </w:rPr>
        <w:t>will vary depending on the regions and the level of need by individuals</w:t>
      </w:r>
      <w:r w:rsidR="00FE79AD" w:rsidRPr="00C27CFA">
        <w:rPr>
          <w:lang w:eastAsia="en-AU"/>
        </w:rPr>
        <w:t xml:space="preserve">, noting </w:t>
      </w:r>
      <w:r w:rsidRPr="00C27CFA">
        <w:rPr>
          <w:lang w:eastAsia="en-AU"/>
        </w:rPr>
        <w:t>at this stage</w:t>
      </w:r>
      <w:r w:rsidR="00FE79AD" w:rsidRPr="00C27CFA">
        <w:rPr>
          <w:lang w:eastAsia="en-AU"/>
        </w:rPr>
        <w:t>,</w:t>
      </w:r>
      <w:r w:rsidRPr="00C27CFA">
        <w:rPr>
          <w:lang w:eastAsia="en-AU"/>
        </w:rPr>
        <w:t xml:space="preserve"> it is </w:t>
      </w:r>
      <w:r w:rsidR="00FE79AD" w:rsidRPr="00C27CFA">
        <w:rPr>
          <w:lang w:eastAsia="en-AU"/>
        </w:rPr>
        <w:t xml:space="preserve">also </w:t>
      </w:r>
      <w:r w:rsidRPr="00C27CFA">
        <w:rPr>
          <w:lang w:eastAsia="en-AU"/>
        </w:rPr>
        <w:t>difficult to quantify and there are too many variables to be able to accurately cost the regulatory impact. Costing the regulatory impact is also made difficult by the fact that those that need hel</w:t>
      </w:r>
      <w:r w:rsidR="00FD2793">
        <w:rPr>
          <w:lang w:eastAsia="en-AU"/>
        </w:rPr>
        <w:t xml:space="preserve">p may not identify themselves. </w:t>
      </w:r>
      <w:r w:rsidRPr="00C27CFA">
        <w:rPr>
          <w:lang w:eastAsia="en-AU"/>
        </w:rPr>
        <w:t xml:space="preserve">For example, according to the </w:t>
      </w:r>
      <w:r w:rsidRPr="00C27CFA">
        <w:t>Australian Institute of Health and Welfare</w:t>
      </w:r>
      <w:r w:rsidRPr="00C27CFA">
        <w:rPr>
          <w:lang w:eastAsia="en-AU"/>
        </w:rPr>
        <w:t>, 54</w:t>
      </w:r>
      <w:r w:rsidR="002D6833">
        <w:rPr>
          <w:lang w:eastAsia="en-AU"/>
        </w:rPr>
        <w:t xml:space="preserve"> per cent</w:t>
      </w:r>
      <w:r w:rsidRPr="00C27CFA">
        <w:rPr>
          <w:lang w:eastAsia="en-AU"/>
        </w:rPr>
        <w:t xml:space="preserve"> of people with mental illness do not access any treatment</w:t>
      </w:r>
      <w:r w:rsidRPr="00C27CFA">
        <w:rPr>
          <w:rStyle w:val="FootnoteReference"/>
          <w:lang w:eastAsia="en-AU"/>
        </w:rPr>
        <w:footnoteReference w:id="35"/>
      </w:r>
      <w:r w:rsidRPr="00C27CFA">
        <w:rPr>
          <w:lang w:eastAsia="en-AU"/>
        </w:rPr>
        <w:t>.</w:t>
      </w:r>
    </w:p>
    <w:p w14:paraId="521900BD" w14:textId="77777777" w:rsidR="0082100B" w:rsidRPr="00C27CFA" w:rsidRDefault="0082100B" w:rsidP="0082100B">
      <w:pPr>
        <w:spacing w:after="0" w:line="240" w:lineRule="auto"/>
        <w:rPr>
          <w:lang w:eastAsia="en-AU"/>
        </w:rPr>
      </w:pPr>
    </w:p>
    <w:p w14:paraId="243E435B" w14:textId="125D416C" w:rsidR="0082100B" w:rsidRPr="00C27CFA" w:rsidRDefault="0082100B" w:rsidP="0082100B">
      <w:pPr>
        <w:spacing w:after="0" w:line="240" w:lineRule="auto"/>
        <w:rPr>
          <w:lang w:eastAsia="en-AU"/>
        </w:rPr>
      </w:pPr>
      <w:r w:rsidRPr="00C27CFA">
        <w:t>There</w:t>
      </w:r>
      <w:r w:rsidR="00FE79AD" w:rsidRPr="00C27CFA">
        <w:t>fore</w:t>
      </w:r>
      <w:r w:rsidR="00092DFE">
        <w:t>,</w:t>
      </w:r>
      <w:r w:rsidR="00FE79AD" w:rsidRPr="00C27CFA">
        <w:t xml:space="preserve"> </w:t>
      </w:r>
      <w:r w:rsidRPr="00C27CFA">
        <w:t>the regulatory cost is too uncertain to be quantified.</w:t>
      </w:r>
    </w:p>
    <w:p w14:paraId="709EBABD" w14:textId="00B5DB19" w:rsidR="00D32BCA" w:rsidRPr="00A70D2F" w:rsidRDefault="00296846" w:rsidP="00296846">
      <w:pPr>
        <w:pStyle w:val="Heading4"/>
      </w:pPr>
      <w:r w:rsidRPr="00C27CFA">
        <w:t>4.2.3.1.2</w:t>
      </w:r>
      <w:r w:rsidR="00D32BCA" w:rsidRPr="00C27CFA">
        <w:t xml:space="preserve"> Businesses</w:t>
      </w:r>
    </w:p>
    <w:p w14:paraId="146EDDF9" w14:textId="77777777" w:rsidR="000D60CF" w:rsidRPr="00A70D2F" w:rsidRDefault="000D60CF" w:rsidP="000D60CF">
      <w:r w:rsidRPr="00A70D2F">
        <w:t>In year 1</w:t>
      </w:r>
      <w:r w:rsidR="00FE79AD">
        <w:t xml:space="preserve"> (2022-23)</w:t>
      </w:r>
      <w:r w:rsidRPr="00A70D2F">
        <w:t>:</w:t>
      </w:r>
    </w:p>
    <w:p w14:paraId="7C464FED" w14:textId="77777777" w:rsidR="00524C99" w:rsidRPr="00D96351" w:rsidRDefault="000D60CF" w:rsidP="00D96351">
      <w:pPr>
        <w:pStyle w:val="ListParagraph"/>
        <w:numPr>
          <w:ilvl w:val="0"/>
          <w:numId w:val="50"/>
        </w:numPr>
        <w:spacing w:line="240" w:lineRule="auto"/>
        <w:ind w:left="714" w:hanging="357"/>
        <w:contextualSpacing w:val="0"/>
      </w:pPr>
      <w:r w:rsidRPr="00A70D2F">
        <w:t xml:space="preserve">33 organisations in receipt of funding for the provision of current support services programs will have their agreements extended </w:t>
      </w:r>
      <w:r w:rsidRPr="00750BD0">
        <w:t>for an additional 12 months.</w:t>
      </w:r>
    </w:p>
    <w:p w14:paraId="30753953" w14:textId="77777777" w:rsidR="000D60CF" w:rsidRPr="00A70D2F" w:rsidRDefault="00524C99" w:rsidP="000D60CF">
      <w:pPr>
        <w:pStyle w:val="BodyText"/>
      </w:pPr>
      <w:r w:rsidRPr="00A70D2F">
        <w:rPr>
          <w:rFonts w:ascii="Calibri" w:eastAsia="Times New Roman" w:hAnsi="Calibri" w:cs="Calibri"/>
          <w:b/>
          <w:bCs/>
          <w:color w:val="000000"/>
          <w:sz w:val="16"/>
          <w:szCs w:val="16"/>
          <w:lang w:eastAsia="en-AU"/>
        </w:rPr>
        <w:t>Extension of Support Services Grants</w:t>
      </w:r>
    </w:p>
    <w:tbl>
      <w:tblPr>
        <w:tblW w:w="7420" w:type="dxa"/>
        <w:tblInd w:w="-5" w:type="dxa"/>
        <w:tblLook w:val="04A0" w:firstRow="1" w:lastRow="0" w:firstColumn="1" w:lastColumn="0" w:noHBand="0" w:noVBand="1"/>
        <w:tblDescription w:val="Extension of Support Services Grants"/>
      </w:tblPr>
      <w:tblGrid>
        <w:gridCol w:w="1028"/>
        <w:gridCol w:w="1080"/>
        <w:gridCol w:w="1632"/>
        <w:gridCol w:w="1180"/>
        <w:gridCol w:w="1180"/>
        <w:gridCol w:w="1320"/>
      </w:tblGrid>
      <w:tr w:rsidR="00D32BCA" w:rsidRPr="00A70D2F" w14:paraId="4731C8C0" w14:textId="77777777" w:rsidTr="00524C99">
        <w:trPr>
          <w:trHeight w:val="300"/>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F34E"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096BC1F"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41BBC15C"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360" w:type="dxa"/>
            <w:gridSpan w:val="2"/>
            <w:tcBorders>
              <w:top w:val="single" w:sz="4" w:space="0" w:color="auto"/>
              <w:left w:val="nil"/>
              <w:bottom w:val="single" w:sz="4" w:space="0" w:color="auto"/>
              <w:right w:val="single" w:sz="4" w:space="0" w:color="auto"/>
            </w:tcBorders>
            <w:shd w:val="clear" w:color="auto" w:fill="auto"/>
            <w:vAlign w:val="bottom"/>
            <w:hideMark/>
          </w:tcPr>
          <w:p w14:paraId="5AF5C6EE"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7081"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D32BCA" w:rsidRPr="00A70D2F" w14:paraId="18411023" w14:textId="77777777" w:rsidTr="00524C99">
        <w:trPr>
          <w:trHeight w:val="300"/>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5BEF36F4"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1080" w:type="dxa"/>
            <w:tcBorders>
              <w:top w:val="nil"/>
              <w:left w:val="nil"/>
              <w:bottom w:val="single" w:sz="4" w:space="0" w:color="auto"/>
              <w:right w:val="single" w:sz="4" w:space="0" w:color="auto"/>
            </w:tcBorders>
            <w:shd w:val="clear" w:color="auto" w:fill="auto"/>
            <w:noWrap/>
            <w:vAlign w:val="bottom"/>
            <w:hideMark/>
          </w:tcPr>
          <w:p w14:paraId="031C1A3E"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cohort</w:t>
            </w:r>
          </w:p>
        </w:tc>
        <w:tc>
          <w:tcPr>
            <w:tcW w:w="1632" w:type="dxa"/>
            <w:tcBorders>
              <w:top w:val="nil"/>
              <w:left w:val="nil"/>
              <w:bottom w:val="single" w:sz="4" w:space="0" w:color="auto"/>
              <w:right w:val="single" w:sz="4" w:space="0" w:color="auto"/>
            </w:tcBorders>
            <w:shd w:val="clear" w:color="auto" w:fill="auto"/>
            <w:noWrap/>
            <w:vAlign w:val="bottom"/>
            <w:hideMark/>
          </w:tcPr>
          <w:p w14:paraId="682769B4"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staff</w:t>
            </w:r>
          </w:p>
        </w:tc>
        <w:tc>
          <w:tcPr>
            <w:tcW w:w="1180" w:type="dxa"/>
            <w:tcBorders>
              <w:top w:val="nil"/>
              <w:left w:val="nil"/>
              <w:bottom w:val="single" w:sz="4" w:space="0" w:color="auto"/>
              <w:right w:val="single" w:sz="4" w:space="0" w:color="auto"/>
            </w:tcBorders>
            <w:shd w:val="clear" w:color="auto" w:fill="auto"/>
            <w:noWrap/>
            <w:vAlign w:val="bottom"/>
            <w:hideMark/>
          </w:tcPr>
          <w:p w14:paraId="4B0F0C8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1180" w:type="dxa"/>
            <w:tcBorders>
              <w:top w:val="nil"/>
              <w:left w:val="nil"/>
              <w:bottom w:val="single" w:sz="4" w:space="0" w:color="auto"/>
              <w:right w:val="single" w:sz="4" w:space="0" w:color="auto"/>
            </w:tcBorders>
            <w:shd w:val="clear" w:color="auto" w:fill="auto"/>
            <w:noWrap/>
            <w:vAlign w:val="bottom"/>
            <w:hideMark/>
          </w:tcPr>
          <w:p w14:paraId="1B60D51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CDA92D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r>
      <w:tr w:rsidR="00D32BCA" w:rsidRPr="00A70D2F" w14:paraId="618A0AF5" w14:textId="77777777" w:rsidTr="00524C99">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1314DF44"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080" w:type="dxa"/>
            <w:tcBorders>
              <w:top w:val="nil"/>
              <w:left w:val="nil"/>
              <w:bottom w:val="single" w:sz="4" w:space="0" w:color="auto"/>
              <w:right w:val="single" w:sz="4" w:space="0" w:color="auto"/>
            </w:tcBorders>
            <w:shd w:val="clear" w:color="auto" w:fill="auto"/>
            <w:noWrap/>
            <w:vAlign w:val="bottom"/>
            <w:hideMark/>
          </w:tcPr>
          <w:p w14:paraId="22C5F14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33</w:t>
            </w:r>
          </w:p>
        </w:tc>
        <w:tc>
          <w:tcPr>
            <w:tcW w:w="1632" w:type="dxa"/>
            <w:tcBorders>
              <w:top w:val="nil"/>
              <w:left w:val="nil"/>
              <w:bottom w:val="single" w:sz="4" w:space="0" w:color="auto"/>
              <w:right w:val="single" w:sz="4" w:space="0" w:color="auto"/>
            </w:tcBorders>
            <w:shd w:val="clear" w:color="auto" w:fill="auto"/>
            <w:noWrap/>
            <w:vAlign w:val="bottom"/>
            <w:hideMark/>
          </w:tcPr>
          <w:p w14:paraId="1EC6AFED"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80" w:type="dxa"/>
            <w:tcBorders>
              <w:top w:val="nil"/>
              <w:left w:val="nil"/>
              <w:bottom w:val="single" w:sz="4" w:space="0" w:color="auto"/>
              <w:right w:val="single" w:sz="4" w:space="0" w:color="auto"/>
            </w:tcBorders>
            <w:shd w:val="clear" w:color="auto" w:fill="auto"/>
            <w:noWrap/>
            <w:vAlign w:val="bottom"/>
            <w:hideMark/>
          </w:tcPr>
          <w:p w14:paraId="4757DD3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0.5</w:t>
            </w:r>
          </w:p>
        </w:tc>
        <w:tc>
          <w:tcPr>
            <w:tcW w:w="1180" w:type="dxa"/>
            <w:tcBorders>
              <w:top w:val="nil"/>
              <w:left w:val="nil"/>
              <w:bottom w:val="single" w:sz="4" w:space="0" w:color="auto"/>
              <w:right w:val="single" w:sz="4" w:space="0" w:color="auto"/>
            </w:tcBorders>
            <w:shd w:val="clear" w:color="auto" w:fill="auto"/>
            <w:noWrap/>
            <w:vAlign w:val="bottom"/>
            <w:hideMark/>
          </w:tcPr>
          <w:p w14:paraId="10CEFAE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320" w:type="dxa"/>
            <w:tcBorders>
              <w:top w:val="nil"/>
              <w:left w:val="nil"/>
              <w:bottom w:val="single" w:sz="4" w:space="0" w:color="auto"/>
              <w:right w:val="single" w:sz="4" w:space="0" w:color="auto"/>
            </w:tcBorders>
            <w:shd w:val="clear" w:color="auto" w:fill="auto"/>
            <w:noWrap/>
            <w:vAlign w:val="bottom"/>
            <w:hideMark/>
          </w:tcPr>
          <w:p w14:paraId="6F7B201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$2,628</w:t>
            </w:r>
          </w:p>
        </w:tc>
      </w:tr>
    </w:tbl>
    <w:p w14:paraId="07D350AB" w14:textId="77777777" w:rsidR="0055695B" w:rsidRPr="00A70D2F" w:rsidRDefault="00296846" w:rsidP="00296846">
      <w:pPr>
        <w:pStyle w:val="Heading4"/>
      </w:pPr>
      <w:r w:rsidRPr="00A70D2F">
        <w:t>4.2.3.1.3</w:t>
      </w:r>
      <w:r w:rsidR="0055695B" w:rsidRPr="00A70D2F">
        <w:t xml:space="preserve"> Government</w:t>
      </w:r>
    </w:p>
    <w:p w14:paraId="50CA66AB" w14:textId="77777777" w:rsidR="0055695B" w:rsidRPr="00A70D2F" w:rsidRDefault="0055695B" w:rsidP="0055695B">
      <w:pPr>
        <w:pStyle w:val="BodyText"/>
      </w:pPr>
      <w:r w:rsidRPr="00A70D2F">
        <w:t>There are no government cost</w:t>
      </w:r>
    </w:p>
    <w:p w14:paraId="7FD190F3" w14:textId="77777777" w:rsidR="0055695B" w:rsidRPr="00A70D2F" w:rsidRDefault="00296846" w:rsidP="00296846">
      <w:pPr>
        <w:pStyle w:val="Heading4"/>
      </w:pPr>
      <w:r w:rsidRPr="00A70D2F">
        <w:t>4.2.3.1.4</w:t>
      </w:r>
      <w:r w:rsidR="0055695B" w:rsidRPr="00A70D2F">
        <w:t xml:space="preserve"> Community Organisations</w:t>
      </w:r>
    </w:p>
    <w:p w14:paraId="25B2AA86" w14:textId="71DC9720" w:rsidR="0055695B" w:rsidRPr="00A70D2F" w:rsidRDefault="0055695B" w:rsidP="0055695B">
      <w:pPr>
        <w:pStyle w:val="BodyText"/>
      </w:pPr>
      <w:r w:rsidRPr="00A70D2F">
        <w:t>There are no community organisation cost</w:t>
      </w:r>
      <w:r w:rsidR="006A7177">
        <w:t>.</w:t>
      </w:r>
    </w:p>
    <w:p w14:paraId="52448E0D" w14:textId="0AE0EC79" w:rsidR="0055695B" w:rsidRPr="00A70D2F" w:rsidRDefault="001D411F" w:rsidP="00086DA1">
      <w:pPr>
        <w:pStyle w:val="Heading4"/>
        <w:rPr>
          <w:lang w:eastAsia="en-AU"/>
        </w:rPr>
      </w:pPr>
      <w:r w:rsidRPr="00A70D2F">
        <w:rPr>
          <w:lang w:eastAsia="en-AU"/>
        </w:rPr>
        <w:t>4.2.3.2</w:t>
      </w:r>
      <w:r w:rsidR="0055695B" w:rsidRPr="00A70D2F">
        <w:rPr>
          <w:lang w:eastAsia="en-AU"/>
        </w:rPr>
        <w:t xml:space="preserve"> Second </w:t>
      </w:r>
      <w:r w:rsidR="00A0692D" w:rsidRPr="00A70D2F">
        <w:rPr>
          <w:lang w:eastAsia="en-AU"/>
        </w:rPr>
        <w:t>element</w:t>
      </w:r>
      <w:r w:rsidR="0055695B" w:rsidRPr="00A70D2F">
        <w:rPr>
          <w:lang w:eastAsia="en-AU"/>
        </w:rPr>
        <w:t xml:space="preserve"> </w:t>
      </w:r>
      <w:r w:rsidR="006A7177">
        <w:rPr>
          <w:lang w:eastAsia="en-AU"/>
        </w:rPr>
        <w:t>costs</w:t>
      </w:r>
    </w:p>
    <w:p w14:paraId="2B0A6B7B" w14:textId="7B868533" w:rsidR="0055695B" w:rsidRDefault="00A0692D" w:rsidP="002E362F">
      <w:pPr>
        <w:spacing w:before="120" w:line="276" w:lineRule="auto"/>
      </w:pPr>
      <w:r w:rsidRPr="00A70D2F">
        <w:t>This is the longer term approach which is aligned with the priority reforms under the National Agreement on Closing the Gap. This includes delivery of co-designed initiatives with joint decision making in each former CDC region</w:t>
      </w:r>
      <w:r w:rsidR="00E12374" w:rsidRPr="00A70D2F">
        <w:t xml:space="preserve">. </w:t>
      </w:r>
      <w:r w:rsidRPr="00A70D2F">
        <w:t>This work would leverage established community leadership structures to both inform and promote the development of community priorities and co-designed grant activities</w:t>
      </w:r>
      <w:r w:rsidR="006A7177">
        <w:t>.</w:t>
      </w:r>
    </w:p>
    <w:p w14:paraId="49CA1098" w14:textId="77777777" w:rsidR="0055695B" w:rsidRPr="00A70D2F" w:rsidRDefault="00E00EFA" w:rsidP="0055695B">
      <w:pPr>
        <w:spacing w:after="0" w:line="240" w:lineRule="auto"/>
      </w:pPr>
      <w:r w:rsidRPr="00A70D2F">
        <w:t>In year 2</w:t>
      </w:r>
      <w:r w:rsidR="00FE79AD">
        <w:t xml:space="preserve"> (2023-24)</w:t>
      </w:r>
      <w:r w:rsidR="0055695B" w:rsidRPr="00A70D2F">
        <w:t xml:space="preserve">: </w:t>
      </w:r>
    </w:p>
    <w:p w14:paraId="67EB78EC" w14:textId="77777777" w:rsidR="0055695B" w:rsidRPr="00A70D2F" w:rsidRDefault="008C10EA" w:rsidP="000A025F">
      <w:pPr>
        <w:pStyle w:val="ListParagraph"/>
        <w:numPr>
          <w:ilvl w:val="0"/>
          <w:numId w:val="50"/>
        </w:numPr>
        <w:spacing w:after="0" w:line="240" w:lineRule="auto"/>
      </w:pPr>
      <w:r>
        <w:t>Test</w:t>
      </w:r>
      <w:r w:rsidR="0055695B" w:rsidRPr="00A70D2F">
        <w:t xml:space="preserve"> the market for </w:t>
      </w:r>
      <w:r>
        <w:t>co-design p</w:t>
      </w:r>
      <w:r w:rsidR="0055695B" w:rsidRPr="00A70D2F">
        <w:t>roviders</w:t>
      </w:r>
      <w:r>
        <w:t>/facilitators</w:t>
      </w:r>
      <w:r w:rsidR="0055695B" w:rsidRPr="00A70D2F">
        <w:t xml:space="preserve"> with a focus on organisations who are </w:t>
      </w:r>
      <w:r>
        <w:t xml:space="preserve">Indigenous owned or controlled </w:t>
      </w:r>
      <w:r w:rsidR="0055695B" w:rsidRPr="00A70D2F">
        <w:t>or have experience with working with indigenous communities</w:t>
      </w:r>
      <w:r>
        <w:t xml:space="preserve">. It is assumed </w:t>
      </w:r>
      <w:r w:rsidR="0055695B" w:rsidRPr="00A70D2F">
        <w:t>there will be about 5 organisations who may provide a proposal.</w:t>
      </w:r>
    </w:p>
    <w:p w14:paraId="4F8AF08B" w14:textId="77777777" w:rsidR="00E00EFA" w:rsidRPr="00A70D2F" w:rsidRDefault="00FE79AD" w:rsidP="000A025F">
      <w:pPr>
        <w:pStyle w:val="ListParagraph"/>
        <w:numPr>
          <w:ilvl w:val="0"/>
          <w:numId w:val="51"/>
        </w:numPr>
        <w:spacing w:after="0" w:line="240" w:lineRule="auto"/>
        <w:contextualSpacing w:val="0"/>
      </w:pPr>
      <w:r>
        <w:t xml:space="preserve">Co-design activities will cover </w:t>
      </w:r>
      <w:r w:rsidR="003C1E3F" w:rsidRPr="00A70D2F">
        <w:t xml:space="preserve">the 6 former CDC locations and 10 </w:t>
      </w:r>
      <w:r w:rsidR="00E00EFA" w:rsidRPr="00A70D2F">
        <w:t xml:space="preserve">locations </w:t>
      </w:r>
      <w:r w:rsidR="003C1E3F" w:rsidRPr="00A70D2F">
        <w:t xml:space="preserve">in the NT </w:t>
      </w:r>
      <w:r w:rsidR="00E00EFA" w:rsidRPr="00A70D2F">
        <w:t>taking the total number of locatio</w:t>
      </w:r>
      <w:r w:rsidR="003C1E3F" w:rsidRPr="00A70D2F">
        <w:t>ns to 16</w:t>
      </w:r>
      <w:r w:rsidR="00E00EFA" w:rsidRPr="00A70D2F">
        <w:t xml:space="preserve">. </w:t>
      </w:r>
    </w:p>
    <w:p w14:paraId="203AD32C" w14:textId="77777777" w:rsidR="00E00EFA" w:rsidRPr="00A70D2F" w:rsidRDefault="00E00EFA" w:rsidP="000A025F">
      <w:pPr>
        <w:pStyle w:val="ListParagraph"/>
        <w:numPr>
          <w:ilvl w:val="0"/>
          <w:numId w:val="51"/>
        </w:numPr>
        <w:spacing w:after="0" w:line="240" w:lineRule="auto"/>
        <w:contextualSpacing w:val="0"/>
      </w:pPr>
      <w:r w:rsidRPr="00A70D2F">
        <w:t xml:space="preserve">For costings purposes </w:t>
      </w:r>
      <w:r w:rsidR="008C10EA">
        <w:t>it is assumed that</w:t>
      </w:r>
      <w:r w:rsidRPr="00A70D2F">
        <w:t xml:space="preserve"> at least 3 meetings in each location</w:t>
      </w:r>
      <w:r w:rsidR="003C1E3F" w:rsidRPr="00A70D2F">
        <w:t xml:space="preserve"> of 3 hours in duration</w:t>
      </w:r>
      <w:r w:rsidRPr="00A70D2F">
        <w:t>.</w:t>
      </w:r>
    </w:p>
    <w:p w14:paraId="0BC40E30" w14:textId="77777777" w:rsidR="00E00EFA" w:rsidRPr="00A70D2F" w:rsidRDefault="008C10EA" w:rsidP="000A025F">
      <w:pPr>
        <w:pStyle w:val="ListParagraph"/>
        <w:numPr>
          <w:ilvl w:val="0"/>
          <w:numId w:val="51"/>
        </w:numPr>
        <w:spacing w:after="0" w:line="240" w:lineRule="auto"/>
        <w:contextualSpacing w:val="0"/>
      </w:pPr>
      <w:r>
        <w:t>E</w:t>
      </w:r>
      <w:r w:rsidR="00E00EFA" w:rsidRPr="00A70D2F">
        <w:t xml:space="preserve">ach location </w:t>
      </w:r>
      <w:r w:rsidR="003F77A2" w:rsidRPr="00A70D2F">
        <w:t>will</w:t>
      </w:r>
      <w:r>
        <w:t xml:space="preserve"> include the following numbers of participants in the co-design activities</w:t>
      </w:r>
      <w:r w:rsidR="003F77A2" w:rsidRPr="00A70D2F">
        <w:t xml:space="preserve">: </w:t>
      </w:r>
    </w:p>
    <w:p w14:paraId="7B60FAAF" w14:textId="77777777" w:rsidR="00E00EFA" w:rsidRPr="00A70D2F" w:rsidRDefault="003C1E3F" w:rsidP="000A025F">
      <w:pPr>
        <w:pStyle w:val="ListParagraph"/>
        <w:numPr>
          <w:ilvl w:val="1"/>
          <w:numId w:val="51"/>
        </w:numPr>
        <w:spacing w:after="0" w:line="240" w:lineRule="auto"/>
        <w:contextualSpacing w:val="0"/>
      </w:pPr>
      <w:r w:rsidRPr="00A70D2F">
        <w:t>10</w:t>
      </w:r>
      <w:r w:rsidR="00E00EFA" w:rsidRPr="00A70D2F">
        <w:t xml:space="preserve"> former participants</w:t>
      </w:r>
    </w:p>
    <w:p w14:paraId="527E1511" w14:textId="77777777" w:rsidR="003C1E3F" w:rsidRPr="00A70D2F" w:rsidRDefault="003C6D05" w:rsidP="000A025F">
      <w:pPr>
        <w:pStyle w:val="ListParagraph"/>
        <w:numPr>
          <w:ilvl w:val="1"/>
          <w:numId w:val="51"/>
        </w:numPr>
        <w:spacing w:after="0" w:line="240" w:lineRule="auto"/>
        <w:contextualSpacing w:val="0"/>
      </w:pPr>
      <w:r>
        <w:t>5 local</w:t>
      </w:r>
      <w:r w:rsidR="003C1E3F" w:rsidRPr="00A70D2F">
        <w:t xml:space="preserve"> businesses</w:t>
      </w:r>
    </w:p>
    <w:p w14:paraId="49FB1301" w14:textId="77777777" w:rsidR="00E00EFA" w:rsidRPr="00A70D2F" w:rsidRDefault="00E00EFA" w:rsidP="000A025F">
      <w:pPr>
        <w:pStyle w:val="ListParagraph"/>
        <w:numPr>
          <w:ilvl w:val="1"/>
          <w:numId w:val="51"/>
        </w:numPr>
        <w:spacing w:after="0" w:line="240" w:lineRule="auto"/>
        <w:contextualSpacing w:val="0"/>
      </w:pPr>
      <w:r w:rsidRPr="00A70D2F">
        <w:t>5 state and territory organisations</w:t>
      </w:r>
    </w:p>
    <w:p w14:paraId="4014E16F" w14:textId="77777777" w:rsidR="00E00EFA" w:rsidRPr="00A70D2F" w:rsidRDefault="00E00EFA" w:rsidP="000A025F">
      <w:pPr>
        <w:pStyle w:val="ListParagraph"/>
        <w:numPr>
          <w:ilvl w:val="1"/>
          <w:numId w:val="51"/>
        </w:numPr>
        <w:spacing w:after="0" w:line="240" w:lineRule="auto"/>
        <w:contextualSpacing w:val="0"/>
      </w:pPr>
      <w:r w:rsidRPr="00A70D2F">
        <w:t xml:space="preserve">10 community organisations </w:t>
      </w:r>
      <w:r w:rsidR="00FE79AD">
        <w:t>(including Land Councils)</w:t>
      </w:r>
    </w:p>
    <w:p w14:paraId="7C193184" w14:textId="77777777" w:rsidR="00D32BCA" w:rsidRPr="00A70D2F" w:rsidRDefault="00D32BCA" w:rsidP="008C10EA">
      <w:pPr>
        <w:pStyle w:val="ListParagraph"/>
        <w:numPr>
          <w:ilvl w:val="0"/>
          <w:numId w:val="51"/>
        </w:numPr>
        <w:spacing w:after="0" w:line="240" w:lineRule="auto"/>
        <w:ind w:left="714" w:hanging="357"/>
        <w:contextualSpacing w:val="0"/>
        <w:rPr>
          <w:lang w:eastAsia="en-AU"/>
        </w:rPr>
      </w:pPr>
      <w:r w:rsidRPr="00A70D2F">
        <w:rPr>
          <w:lang w:eastAsia="en-AU"/>
        </w:rPr>
        <w:t>It is assumed that co-de</w:t>
      </w:r>
      <w:r w:rsidR="00FE79AD">
        <w:rPr>
          <w:lang w:eastAsia="en-AU"/>
        </w:rPr>
        <w:t>sign activities will continue in</w:t>
      </w:r>
      <w:r w:rsidRPr="00A70D2F">
        <w:rPr>
          <w:lang w:eastAsia="en-AU"/>
        </w:rPr>
        <w:t xml:space="preserve"> years 3 and 4</w:t>
      </w:r>
      <w:r w:rsidR="00FE79AD">
        <w:rPr>
          <w:lang w:eastAsia="en-AU"/>
        </w:rPr>
        <w:t xml:space="preserve"> (2024-25 and 2025-26)</w:t>
      </w:r>
      <w:r w:rsidR="00975147">
        <w:rPr>
          <w:lang w:eastAsia="en-AU"/>
        </w:rPr>
        <w:t xml:space="preserve"> to provide further guidance and feedback on the delivery of services and whether the intended outcomes are evident in the community</w:t>
      </w:r>
      <w:r w:rsidRPr="00A70D2F">
        <w:rPr>
          <w:lang w:eastAsia="en-AU"/>
        </w:rPr>
        <w:t>.</w:t>
      </w:r>
    </w:p>
    <w:p w14:paraId="6D8D9F1E" w14:textId="77777777" w:rsidR="00E00EFA" w:rsidRPr="00A70D2F" w:rsidRDefault="00E00EFA" w:rsidP="008C10EA">
      <w:pPr>
        <w:pStyle w:val="ListParagraph"/>
        <w:numPr>
          <w:ilvl w:val="0"/>
          <w:numId w:val="52"/>
        </w:numPr>
        <w:spacing w:after="0" w:line="240" w:lineRule="auto"/>
        <w:contextualSpacing w:val="0"/>
        <w:rPr>
          <w:lang w:eastAsia="en-AU"/>
        </w:rPr>
      </w:pPr>
      <w:r w:rsidRPr="00A70D2F">
        <w:rPr>
          <w:lang w:eastAsia="en-AU"/>
        </w:rPr>
        <w:t>Based on the outcomes of the co-design activities new guidance will be developed to support an approach to market for new support services</w:t>
      </w:r>
      <w:r w:rsidR="003C1E3F" w:rsidRPr="00A70D2F">
        <w:rPr>
          <w:lang w:eastAsia="en-AU"/>
        </w:rPr>
        <w:t>.</w:t>
      </w:r>
    </w:p>
    <w:p w14:paraId="6D1E4000" w14:textId="77777777" w:rsidR="002F5431" w:rsidRPr="00A70D2F" w:rsidRDefault="00E00EFA" w:rsidP="00D96351">
      <w:pPr>
        <w:pStyle w:val="ListParagraph"/>
        <w:numPr>
          <w:ilvl w:val="0"/>
          <w:numId w:val="52"/>
        </w:numPr>
        <w:spacing w:line="240" w:lineRule="auto"/>
        <w:ind w:left="714" w:hanging="357"/>
        <w:contextualSpacing w:val="0"/>
        <w:rPr>
          <w:lang w:eastAsia="en-AU"/>
        </w:rPr>
      </w:pPr>
      <w:r w:rsidRPr="00A70D2F">
        <w:rPr>
          <w:lang w:eastAsia="en-AU"/>
        </w:rPr>
        <w:t xml:space="preserve">It is assumed there will be a greater number of providers seeking to provide services and it is anticipated that there will be approximately 60 organisations that will </w:t>
      </w:r>
      <w:r w:rsidR="00B13717" w:rsidRPr="00A70D2F">
        <w:rPr>
          <w:lang w:eastAsia="en-AU"/>
        </w:rPr>
        <w:t>submit</w:t>
      </w:r>
      <w:r w:rsidRPr="00A70D2F">
        <w:rPr>
          <w:lang w:eastAsia="en-AU"/>
        </w:rPr>
        <w:t xml:space="preserve"> a response to an approach to market of which it is assumed </w:t>
      </w:r>
      <w:r w:rsidR="00FE79AD">
        <w:rPr>
          <w:lang w:eastAsia="en-AU"/>
        </w:rPr>
        <w:t xml:space="preserve">around </w:t>
      </w:r>
      <w:r w:rsidRPr="00A70D2F">
        <w:rPr>
          <w:lang w:eastAsia="en-AU"/>
        </w:rPr>
        <w:t>55 will be successful in becoming a provider of support services</w:t>
      </w:r>
      <w:r w:rsidR="003C1E3F" w:rsidRPr="00A70D2F">
        <w:rPr>
          <w:lang w:eastAsia="en-AU"/>
        </w:rPr>
        <w:t>.</w:t>
      </w:r>
    </w:p>
    <w:p w14:paraId="5ADBE7AF" w14:textId="23D46235" w:rsidR="002F5431" w:rsidRPr="00A70D2F" w:rsidRDefault="0038083B" w:rsidP="00296846">
      <w:pPr>
        <w:pStyle w:val="Heading4"/>
      </w:pPr>
      <w:r w:rsidRPr="00A70D2F">
        <w:t>4.2.3.2</w:t>
      </w:r>
      <w:r w:rsidR="001D411F" w:rsidRPr="00A70D2F">
        <w:t>.1</w:t>
      </w:r>
      <w:r w:rsidRPr="00A70D2F">
        <w:t xml:space="preserve"> </w:t>
      </w:r>
      <w:r w:rsidR="002F5431" w:rsidRPr="00A70D2F">
        <w:t>Participants</w:t>
      </w:r>
    </w:p>
    <w:p w14:paraId="41541544" w14:textId="77777777" w:rsidR="00E12374" w:rsidRDefault="00C0135D" w:rsidP="00407104">
      <w:pPr>
        <w:spacing w:after="0" w:line="240" w:lineRule="auto"/>
      </w:pPr>
      <w:r w:rsidRPr="00A70D2F">
        <w:t>This includes the regulatory cost of f</w:t>
      </w:r>
      <w:r w:rsidR="00E12374" w:rsidRPr="00A70D2F">
        <w:t xml:space="preserve">ormer CDC and IM participants being involved in local </w:t>
      </w:r>
      <w:r w:rsidR="004F0D89" w:rsidRPr="00A70D2F">
        <w:t>co-design activities.</w:t>
      </w:r>
    </w:p>
    <w:p w14:paraId="51C0B2BC" w14:textId="77777777" w:rsidR="00524C99" w:rsidRPr="00A70D2F" w:rsidRDefault="00524C99" w:rsidP="00407104">
      <w:pPr>
        <w:spacing w:after="0" w:line="240" w:lineRule="auto"/>
      </w:pPr>
    </w:p>
    <w:p w14:paraId="6895B8C0" w14:textId="77777777" w:rsidR="00407104" w:rsidRPr="00A70D2F" w:rsidRDefault="00D96351" w:rsidP="00407104">
      <w:pPr>
        <w:spacing w:after="0" w:line="240" w:lineRule="auto"/>
      </w:pPr>
      <w:r>
        <w:rPr>
          <w:rFonts w:ascii="Calibri" w:eastAsia="Times New Roman" w:hAnsi="Calibri" w:cs="Calibri"/>
          <w:b/>
          <w:bCs/>
          <w:color w:val="000000"/>
          <w:sz w:val="16"/>
          <w:szCs w:val="16"/>
          <w:lang w:eastAsia="en-AU"/>
        </w:rPr>
        <w:t xml:space="preserve">Co-design of Support Services </w:t>
      </w:r>
      <w:r w:rsidR="00524C99" w:rsidRPr="00A70D2F">
        <w:rPr>
          <w:rFonts w:ascii="Calibri" w:eastAsia="Times New Roman" w:hAnsi="Calibri" w:cs="Calibri"/>
          <w:b/>
          <w:bCs/>
          <w:color w:val="000000"/>
          <w:sz w:val="16"/>
          <w:szCs w:val="16"/>
          <w:lang w:eastAsia="en-AU"/>
        </w:rPr>
        <w:t>- Individual participation</w:t>
      </w:r>
    </w:p>
    <w:tbl>
      <w:tblPr>
        <w:tblW w:w="8647" w:type="dxa"/>
        <w:tblInd w:w="-5" w:type="dxa"/>
        <w:tblLook w:val="04A0" w:firstRow="1" w:lastRow="0" w:firstColumn="1" w:lastColumn="0" w:noHBand="0" w:noVBand="1"/>
        <w:tblDescription w:val="Co-design of Support Services - Individual participation"/>
      </w:tblPr>
      <w:tblGrid>
        <w:gridCol w:w="859"/>
        <w:gridCol w:w="1640"/>
        <w:gridCol w:w="1329"/>
        <w:gridCol w:w="1227"/>
        <w:gridCol w:w="1226"/>
        <w:gridCol w:w="1134"/>
        <w:gridCol w:w="7"/>
        <w:gridCol w:w="1225"/>
      </w:tblGrid>
      <w:tr w:rsidR="00D32BCA" w:rsidRPr="00A70D2F" w14:paraId="3E03C7A6" w14:textId="77777777" w:rsidTr="00524C99">
        <w:trPr>
          <w:trHeight w:val="300"/>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9183"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2440C9"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4923" w:type="dxa"/>
            <w:gridSpan w:val="5"/>
            <w:tcBorders>
              <w:top w:val="single" w:sz="4" w:space="0" w:color="auto"/>
              <w:left w:val="nil"/>
              <w:bottom w:val="single" w:sz="4" w:space="0" w:color="auto"/>
              <w:right w:val="single" w:sz="4" w:space="0" w:color="auto"/>
            </w:tcBorders>
            <w:shd w:val="clear" w:color="auto" w:fill="auto"/>
            <w:vAlign w:val="bottom"/>
            <w:hideMark/>
          </w:tcPr>
          <w:p w14:paraId="1ED60B9B"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EFB6" w14:textId="77777777" w:rsidR="00D32BCA" w:rsidRPr="00A70D2F" w:rsidRDefault="00E72CCE"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w:t>
            </w:r>
            <w:r w:rsidR="00D32BCA" w:rsidRPr="00A70D2F">
              <w:rPr>
                <w:rFonts w:ascii="Calibri" w:eastAsia="Times New Roman" w:hAnsi="Calibri" w:cs="Calibri"/>
                <w:color w:val="000000"/>
                <w:sz w:val="16"/>
                <w:szCs w:val="16"/>
                <w:lang w:eastAsia="en-AU"/>
              </w:rPr>
              <w:t>otal</w:t>
            </w:r>
          </w:p>
        </w:tc>
      </w:tr>
      <w:tr w:rsidR="00D32BCA" w:rsidRPr="00A70D2F" w14:paraId="673FC190" w14:textId="77777777" w:rsidTr="00524C99">
        <w:trPr>
          <w:trHeight w:val="300"/>
        </w:trPr>
        <w:tc>
          <w:tcPr>
            <w:tcW w:w="859" w:type="dxa"/>
            <w:vMerge/>
            <w:tcBorders>
              <w:top w:val="single" w:sz="4" w:space="0" w:color="auto"/>
              <w:left w:val="single" w:sz="4" w:space="0" w:color="auto"/>
              <w:bottom w:val="single" w:sz="4" w:space="0" w:color="auto"/>
              <w:right w:val="single" w:sz="4" w:space="0" w:color="auto"/>
            </w:tcBorders>
            <w:vAlign w:val="center"/>
            <w:hideMark/>
          </w:tcPr>
          <w:p w14:paraId="320EFD6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1640" w:type="dxa"/>
            <w:tcBorders>
              <w:top w:val="nil"/>
              <w:left w:val="nil"/>
              <w:bottom w:val="single" w:sz="4" w:space="0" w:color="auto"/>
              <w:right w:val="single" w:sz="4" w:space="0" w:color="auto"/>
            </w:tcBorders>
            <w:shd w:val="clear" w:color="auto" w:fill="auto"/>
            <w:noWrap/>
            <w:vAlign w:val="bottom"/>
            <w:hideMark/>
          </w:tcPr>
          <w:p w14:paraId="041D1B70"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locations</w:t>
            </w:r>
          </w:p>
        </w:tc>
        <w:tc>
          <w:tcPr>
            <w:tcW w:w="1329" w:type="dxa"/>
            <w:tcBorders>
              <w:top w:val="nil"/>
              <w:left w:val="nil"/>
              <w:bottom w:val="single" w:sz="4" w:space="0" w:color="auto"/>
              <w:right w:val="single" w:sz="4" w:space="0" w:color="auto"/>
            </w:tcBorders>
            <w:shd w:val="clear" w:color="auto" w:fill="auto"/>
            <w:noWrap/>
            <w:vAlign w:val="bottom"/>
            <w:hideMark/>
          </w:tcPr>
          <w:p w14:paraId="6BB24D2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meetings</w:t>
            </w:r>
          </w:p>
        </w:tc>
        <w:tc>
          <w:tcPr>
            <w:tcW w:w="1227" w:type="dxa"/>
            <w:tcBorders>
              <w:top w:val="nil"/>
              <w:left w:val="nil"/>
              <w:bottom w:val="single" w:sz="4" w:space="0" w:color="auto"/>
              <w:right w:val="single" w:sz="4" w:space="0" w:color="auto"/>
            </w:tcBorders>
            <w:shd w:val="clear" w:color="auto" w:fill="auto"/>
            <w:noWrap/>
            <w:vAlign w:val="bottom"/>
            <w:hideMark/>
          </w:tcPr>
          <w:p w14:paraId="3247F87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ex participants</w:t>
            </w:r>
          </w:p>
        </w:tc>
        <w:tc>
          <w:tcPr>
            <w:tcW w:w="1226" w:type="dxa"/>
            <w:tcBorders>
              <w:top w:val="nil"/>
              <w:left w:val="nil"/>
              <w:bottom w:val="single" w:sz="4" w:space="0" w:color="auto"/>
              <w:right w:val="single" w:sz="4" w:space="0" w:color="auto"/>
            </w:tcBorders>
            <w:shd w:val="clear" w:color="auto" w:fill="auto"/>
            <w:noWrap/>
            <w:vAlign w:val="bottom"/>
            <w:hideMark/>
          </w:tcPr>
          <w:p w14:paraId="0E12BDF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hours</w:t>
            </w:r>
          </w:p>
        </w:tc>
        <w:tc>
          <w:tcPr>
            <w:tcW w:w="1134" w:type="dxa"/>
            <w:tcBorders>
              <w:top w:val="nil"/>
              <w:left w:val="nil"/>
              <w:bottom w:val="single" w:sz="4" w:space="0" w:color="auto"/>
              <w:right w:val="single" w:sz="4" w:space="0" w:color="auto"/>
            </w:tcBorders>
            <w:shd w:val="clear" w:color="auto" w:fill="auto"/>
            <w:noWrap/>
            <w:vAlign w:val="bottom"/>
            <w:hideMark/>
          </w:tcPr>
          <w:p w14:paraId="000ED8C5"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549EB2D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r>
      <w:tr w:rsidR="00D32BCA" w:rsidRPr="00A70D2F" w14:paraId="4AEA36AD"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13F1A88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640" w:type="dxa"/>
            <w:tcBorders>
              <w:top w:val="nil"/>
              <w:left w:val="nil"/>
              <w:bottom w:val="single" w:sz="4" w:space="0" w:color="auto"/>
              <w:right w:val="single" w:sz="4" w:space="0" w:color="auto"/>
            </w:tcBorders>
            <w:shd w:val="clear" w:color="auto" w:fill="auto"/>
            <w:noWrap/>
            <w:vAlign w:val="bottom"/>
            <w:hideMark/>
          </w:tcPr>
          <w:p w14:paraId="38DAF62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4321BEA3"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009B3AD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6" w:type="dxa"/>
            <w:tcBorders>
              <w:top w:val="nil"/>
              <w:left w:val="nil"/>
              <w:bottom w:val="single" w:sz="4" w:space="0" w:color="auto"/>
              <w:right w:val="single" w:sz="4" w:space="0" w:color="auto"/>
            </w:tcBorders>
            <w:shd w:val="clear" w:color="auto" w:fill="auto"/>
            <w:noWrap/>
            <w:vAlign w:val="bottom"/>
            <w:hideMark/>
          </w:tcPr>
          <w:p w14:paraId="5E2D632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42DF7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682971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268C07C9"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164059F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640" w:type="dxa"/>
            <w:tcBorders>
              <w:top w:val="nil"/>
              <w:left w:val="nil"/>
              <w:bottom w:val="single" w:sz="4" w:space="0" w:color="auto"/>
              <w:right w:val="single" w:sz="4" w:space="0" w:color="auto"/>
            </w:tcBorders>
            <w:shd w:val="clear" w:color="auto" w:fill="auto"/>
            <w:noWrap/>
            <w:vAlign w:val="bottom"/>
            <w:hideMark/>
          </w:tcPr>
          <w:p w14:paraId="3DC8781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29" w:type="dxa"/>
            <w:tcBorders>
              <w:top w:val="nil"/>
              <w:left w:val="nil"/>
              <w:bottom w:val="single" w:sz="4" w:space="0" w:color="auto"/>
              <w:right w:val="single" w:sz="4" w:space="0" w:color="auto"/>
            </w:tcBorders>
            <w:shd w:val="clear" w:color="auto" w:fill="auto"/>
            <w:noWrap/>
            <w:vAlign w:val="bottom"/>
            <w:hideMark/>
          </w:tcPr>
          <w:p w14:paraId="4EB464B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227" w:type="dxa"/>
            <w:tcBorders>
              <w:top w:val="nil"/>
              <w:left w:val="nil"/>
              <w:bottom w:val="single" w:sz="4" w:space="0" w:color="auto"/>
              <w:right w:val="single" w:sz="4" w:space="0" w:color="auto"/>
            </w:tcBorders>
            <w:shd w:val="clear" w:color="auto" w:fill="auto"/>
            <w:noWrap/>
            <w:vAlign w:val="bottom"/>
            <w:hideMark/>
          </w:tcPr>
          <w:p w14:paraId="7987E60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10</w:t>
            </w:r>
          </w:p>
        </w:tc>
        <w:tc>
          <w:tcPr>
            <w:tcW w:w="1226" w:type="dxa"/>
            <w:tcBorders>
              <w:top w:val="nil"/>
              <w:left w:val="nil"/>
              <w:bottom w:val="single" w:sz="4" w:space="0" w:color="auto"/>
              <w:right w:val="single" w:sz="4" w:space="0" w:color="auto"/>
            </w:tcBorders>
            <w:shd w:val="clear" w:color="auto" w:fill="auto"/>
            <w:noWrap/>
            <w:vAlign w:val="bottom"/>
            <w:hideMark/>
          </w:tcPr>
          <w:p w14:paraId="6D91049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34" w:type="dxa"/>
            <w:tcBorders>
              <w:top w:val="nil"/>
              <w:left w:val="nil"/>
              <w:bottom w:val="single" w:sz="4" w:space="0" w:color="auto"/>
              <w:right w:val="single" w:sz="4" w:space="0" w:color="auto"/>
            </w:tcBorders>
            <w:shd w:val="clear" w:color="auto" w:fill="auto"/>
            <w:noWrap/>
            <w:vAlign w:val="bottom"/>
            <w:hideMark/>
          </w:tcPr>
          <w:p w14:paraId="6F6B0C5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36</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78C4876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$51,840</w:t>
            </w:r>
          </w:p>
        </w:tc>
      </w:tr>
      <w:tr w:rsidR="00D32BCA" w:rsidRPr="00A70D2F" w14:paraId="543AE274"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651383D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640" w:type="dxa"/>
            <w:tcBorders>
              <w:top w:val="nil"/>
              <w:left w:val="nil"/>
              <w:bottom w:val="single" w:sz="4" w:space="0" w:color="auto"/>
              <w:right w:val="single" w:sz="4" w:space="0" w:color="auto"/>
            </w:tcBorders>
            <w:shd w:val="clear" w:color="auto" w:fill="auto"/>
            <w:noWrap/>
            <w:vAlign w:val="bottom"/>
            <w:hideMark/>
          </w:tcPr>
          <w:p w14:paraId="38B6609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29" w:type="dxa"/>
            <w:tcBorders>
              <w:top w:val="nil"/>
              <w:left w:val="nil"/>
              <w:bottom w:val="single" w:sz="4" w:space="0" w:color="auto"/>
              <w:right w:val="single" w:sz="4" w:space="0" w:color="auto"/>
            </w:tcBorders>
            <w:shd w:val="clear" w:color="auto" w:fill="auto"/>
            <w:noWrap/>
            <w:vAlign w:val="bottom"/>
            <w:hideMark/>
          </w:tcPr>
          <w:p w14:paraId="47A4809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227" w:type="dxa"/>
            <w:tcBorders>
              <w:top w:val="nil"/>
              <w:left w:val="nil"/>
              <w:bottom w:val="single" w:sz="4" w:space="0" w:color="auto"/>
              <w:right w:val="single" w:sz="4" w:space="0" w:color="auto"/>
            </w:tcBorders>
            <w:shd w:val="clear" w:color="auto" w:fill="auto"/>
            <w:noWrap/>
            <w:vAlign w:val="bottom"/>
            <w:hideMark/>
          </w:tcPr>
          <w:p w14:paraId="0CE6AEE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10</w:t>
            </w:r>
          </w:p>
        </w:tc>
        <w:tc>
          <w:tcPr>
            <w:tcW w:w="1226" w:type="dxa"/>
            <w:tcBorders>
              <w:top w:val="nil"/>
              <w:left w:val="nil"/>
              <w:bottom w:val="single" w:sz="4" w:space="0" w:color="auto"/>
              <w:right w:val="single" w:sz="4" w:space="0" w:color="auto"/>
            </w:tcBorders>
            <w:shd w:val="clear" w:color="auto" w:fill="auto"/>
            <w:noWrap/>
            <w:vAlign w:val="bottom"/>
            <w:hideMark/>
          </w:tcPr>
          <w:p w14:paraId="08D0795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34" w:type="dxa"/>
            <w:tcBorders>
              <w:top w:val="nil"/>
              <w:left w:val="nil"/>
              <w:bottom w:val="single" w:sz="4" w:space="0" w:color="auto"/>
              <w:right w:val="single" w:sz="4" w:space="0" w:color="auto"/>
            </w:tcBorders>
            <w:shd w:val="clear" w:color="auto" w:fill="auto"/>
            <w:noWrap/>
            <w:vAlign w:val="bottom"/>
            <w:hideMark/>
          </w:tcPr>
          <w:p w14:paraId="40CA97AD"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36</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729A8B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$51,840</w:t>
            </w:r>
          </w:p>
        </w:tc>
      </w:tr>
      <w:tr w:rsidR="00D32BCA" w:rsidRPr="00A70D2F" w14:paraId="7784621D"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720E51C8"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640" w:type="dxa"/>
            <w:tcBorders>
              <w:top w:val="nil"/>
              <w:left w:val="nil"/>
              <w:bottom w:val="single" w:sz="4" w:space="0" w:color="auto"/>
              <w:right w:val="single" w:sz="4" w:space="0" w:color="auto"/>
            </w:tcBorders>
            <w:shd w:val="clear" w:color="auto" w:fill="auto"/>
            <w:noWrap/>
            <w:vAlign w:val="bottom"/>
            <w:hideMark/>
          </w:tcPr>
          <w:p w14:paraId="2A64571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29" w:type="dxa"/>
            <w:tcBorders>
              <w:top w:val="nil"/>
              <w:left w:val="nil"/>
              <w:bottom w:val="single" w:sz="4" w:space="0" w:color="auto"/>
              <w:right w:val="single" w:sz="4" w:space="0" w:color="auto"/>
            </w:tcBorders>
            <w:shd w:val="clear" w:color="auto" w:fill="auto"/>
            <w:noWrap/>
            <w:vAlign w:val="bottom"/>
            <w:hideMark/>
          </w:tcPr>
          <w:p w14:paraId="666E343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227" w:type="dxa"/>
            <w:tcBorders>
              <w:top w:val="nil"/>
              <w:left w:val="nil"/>
              <w:bottom w:val="single" w:sz="4" w:space="0" w:color="auto"/>
              <w:right w:val="single" w:sz="4" w:space="0" w:color="auto"/>
            </w:tcBorders>
            <w:shd w:val="clear" w:color="auto" w:fill="auto"/>
            <w:noWrap/>
            <w:vAlign w:val="bottom"/>
            <w:hideMark/>
          </w:tcPr>
          <w:p w14:paraId="2CD635E4"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10</w:t>
            </w:r>
          </w:p>
        </w:tc>
        <w:tc>
          <w:tcPr>
            <w:tcW w:w="1226" w:type="dxa"/>
            <w:tcBorders>
              <w:top w:val="nil"/>
              <w:left w:val="nil"/>
              <w:bottom w:val="single" w:sz="4" w:space="0" w:color="auto"/>
              <w:right w:val="single" w:sz="4" w:space="0" w:color="auto"/>
            </w:tcBorders>
            <w:shd w:val="clear" w:color="auto" w:fill="auto"/>
            <w:noWrap/>
            <w:vAlign w:val="bottom"/>
            <w:hideMark/>
          </w:tcPr>
          <w:p w14:paraId="30DE34B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34" w:type="dxa"/>
            <w:tcBorders>
              <w:top w:val="nil"/>
              <w:left w:val="nil"/>
              <w:bottom w:val="single" w:sz="4" w:space="0" w:color="auto"/>
              <w:right w:val="single" w:sz="4" w:space="0" w:color="auto"/>
            </w:tcBorders>
            <w:shd w:val="clear" w:color="auto" w:fill="auto"/>
            <w:noWrap/>
            <w:vAlign w:val="bottom"/>
            <w:hideMark/>
          </w:tcPr>
          <w:p w14:paraId="5799E00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36</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453403D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$51,840</w:t>
            </w:r>
          </w:p>
        </w:tc>
      </w:tr>
      <w:tr w:rsidR="00D32BCA" w:rsidRPr="00A70D2F" w14:paraId="3CCC5C85"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2CB4DAE9"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640" w:type="dxa"/>
            <w:tcBorders>
              <w:top w:val="nil"/>
              <w:left w:val="nil"/>
              <w:bottom w:val="single" w:sz="4" w:space="0" w:color="auto"/>
              <w:right w:val="single" w:sz="4" w:space="0" w:color="auto"/>
            </w:tcBorders>
            <w:shd w:val="clear" w:color="auto" w:fill="auto"/>
            <w:noWrap/>
            <w:vAlign w:val="bottom"/>
            <w:hideMark/>
          </w:tcPr>
          <w:p w14:paraId="313EF78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57AB02E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569B6AB4"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23594ED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33351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2B88DE7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736569B0"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07061E8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640" w:type="dxa"/>
            <w:tcBorders>
              <w:top w:val="nil"/>
              <w:left w:val="nil"/>
              <w:bottom w:val="single" w:sz="4" w:space="0" w:color="auto"/>
              <w:right w:val="single" w:sz="4" w:space="0" w:color="auto"/>
            </w:tcBorders>
            <w:shd w:val="clear" w:color="auto" w:fill="auto"/>
            <w:noWrap/>
            <w:vAlign w:val="bottom"/>
            <w:hideMark/>
          </w:tcPr>
          <w:p w14:paraId="10CCF99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228F7DE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75DCF5C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38CDD9B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26163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6C2F734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7AB06E54"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1494867E"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640" w:type="dxa"/>
            <w:tcBorders>
              <w:top w:val="nil"/>
              <w:left w:val="nil"/>
              <w:bottom w:val="single" w:sz="4" w:space="0" w:color="auto"/>
              <w:right w:val="single" w:sz="4" w:space="0" w:color="auto"/>
            </w:tcBorders>
            <w:shd w:val="clear" w:color="auto" w:fill="auto"/>
            <w:noWrap/>
            <w:vAlign w:val="bottom"/>
            <w:hideMark/>
          </w:tcPr>
          <w:p w14:paraId="20F8458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6F8EFC0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5B6802D8"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4041F202"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EE12E4"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1457785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0EB290DC"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5D858CB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640" w:type="dxa"/>
            <w:tcBorders>
              <w:top w:val="nil"/>
              <w:left w:val="nil"/>
              <w:bottom w:val="single" w:sz="4" w:space="0" w:color="auto"/>
              <w:right w:val="single" w:sz="4" w:space="0" w:color="auto"/>
            </w:tcBorders>
            <w:shd w:val="clear" w:color="auto" w:fill="auto"/>
            <w:noWrap/>
            <w:vAlign w:val="bottom"/>
            <w:hideMark/>
          </w:tcPr>
          <w:p w14:paraId="6774409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71DEC13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09A7251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6C46893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0A129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4277F303"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3207CF78"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736C086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640" w:type="dxa"/>
            <w:tcBorders>
              <w:top w:val="nil"/>
              <w:left w:val="nil"/>
              <w:bottom w:val="single" w:sz="4" w:space="0" w:color="auto"/>
              <w:right w:val="single" w:sz="4" w:space="0" w:color="auto"/>
            </w:tcBorders>
            <w:shd w:val="clear" w:color="auto" w:fill="auto"/>
            <w:noWrap/>
            <w:vAlign w:val="bottom"/>
            <w:hideMark/>
          </w:tcPr>
          <w:p w14:paraId="128C733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312D36F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2EA157E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7EB4F92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8142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9BA101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6D1FC1CC"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70AF0043"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640" w:type="dxa"/>
            <w:tcBorders>
              <w:top w:val="nil"/>
              <w:left w:val="nil"/>
              <w:bottom w:val="single" w:sz="4" w:space="0" w:color="auto"/>
              <w:right w:val="single" w:sz="4" w:space="0" w:color="auto"/>
            </w:tcBorders>
            <w:shd w:val="clear" w:color="auto" w:fill="auto"/>
            <w:noWrap/>
            <w:vAlign w:val="bottom"/>
            <w:hideMark/>
          </w:tcPr>
          <w:p w14:paraId="04AA0A1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9" w:type="dxa"/>
            <w:tcBorders>
              <w:top w:val="nil"/>
              <w:left w:val="nil"/>
              <w:bottom w:val="single" w:sz="4" w:space="0" w:color="auto"/>
              <w:right w:val="single" w:sz="4" w:space="0" w:color="auto"/>
            </w:tcBorders>
            <w:shd w:val="clear" w:color="auto" w:fill="auto"/>
            <w:noWrap/>
            <w:vAlign w:val="bottom"/>
            <w:hideMark/>
          </w:tcPr>
          <w:p w14:paraId="0A52090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27" w:type="dxa"/>
            <w:tcBorders>
              <w:top w:val="nil"/>
              <w:left w:val="nil"/>
              <w:bottom w:val="single" w:sz="4" w:space="0" w:color="auto"/>
              <w:right w:val="single" w:sz="4" w:space="0" w:color="auto"/>
            </w:tcBorders>
            <w:shd w:val="clear" w:color="auto" w:fill="auto"/>
            <w:noWrap/>
            <w:vAlign w:val="bottom"/>
            <w:hideMark/>
          </w:tcPr>
          <w:p w14:paraId="0830D78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54C990F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CC1B2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583B119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A70D2F" w14:paraId="4D4C1D8D" w14:textId="77777777" w:rsidTr="00524C9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765AA26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40" w:type="dxa"/>
            <w:tcBorders>
              <w:top w:val="nil"/>
              <w:left w:val="nil"/>
              <w:bottom w:val="single" w:sz="4" w:space="0" w:color="auto"/>
              <w:right w:val="single" w:sz="4" w:space="0" w:color="auto"/>
            </w:tcBorders>
            <w:shd w:val="clear" w:color="auto" w:fill="auto"/>
            <w:noWrap/>
            <w:vAlign w:val="bottom"/>
            <w:hideMark/>
          </w:tcPr>
          <w:p w14:paraId="0E15F80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9" w:type="dxa"/>
            <w:tcBorders>
              <w:top w:val="nil"/>
              <w:left w:val="nil"/>
              <w:bottom w:val="single" w:sz="4" w:space="0" w:color="auto"/>
              <w:right w:val="single" w:sz="4" w:space="0" w:color="auto"/>
            </w:tcBorders>
            <w:shd w:val="clear" w:color="auto" w:fill="auto"/>
            <w:noWrap/>
            <w:vAlign w:val="bottom"/>
            <w:hideMark/>
          </w:tcPr>
          <w:p w14:paraId="7BD9FD6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7" w:type="dxa"/>
            <w:tcBorders>
              <w:top w:val="nil"/>
              <w:left w:val="nil"/>
              <w:bottom w:val="single" w:sz="4" w:space="0" w:color="auto"/>
              <w:right w:val="single" w:sz="4" w:space="0" w:color="auto"/>
            </w:tcBorders>
            <w:shd w:val="clear" w:color="auto" w:fill="auto"/>
            <w:noWrap/>
            <w:vAlign w:val="bottom"/>
            <w:hideMark/>
          </w:tcPr>
          <w:p w14:paraId="74DC8F0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26" w:type="dxa"/>
            <w:tcBorders>
              <w:top w:val="nil"/>
              <w:left w:val="nil"/>
              <w:bottom w:val="single" w:sz="4" w:space="0" w:color="auto"/>
              <w:right w:val="single" w:sz="4" w:space="0" w:color="auto"/>
            </w:tcBorders>
            <w:shd w:val="clear" w:color="auto" w:fill="auto"/>
            <w:noWrap/>
            <w:vAlign w:val="bottom"/>
            <w:hideMark/>
          </w:tcPr>
          <w:p w14:paraId="4C68A5C9"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ACF58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c>
          <w:tcPr>
            <w:tcW w:w="1232" w:type="dxa"/>
            <w:gridSpan w:val="2"/>
            <w:tcBorders>
              <w:top w:val="nil"/>
              <w:left w:val="nil"/>
              <w:bottom w:val="single" w:sz="4" w:space="0" w:color="auto"/>
              <w:right w:val="single" w:sz="4" w:space="0" w:color="auto"/>
            </w:tcBorders>
            <w:shd w:val="clear" w:color="auto" w:fill="auto"/>
            <w:noWrap/>
            <w:vAlign w:val="bottom"/>
            <w:hideMark/>
          </w:tcPr>
          <w:p w14:paraId="3754DA6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$155,520</w:t>
            </w:r>
          </w:p>
        </w:tc>
      </w:tr>
    </w:tbl>
    <w:p w14:paraId="7C168C86" w14:textId="77777777" w:rsidR="00D32BCA" w:rsidRPr="00A70D2F" w:rsidRDefault="0038083B" w:rsidP="00296846">
      <w:pPr>
        <w:pStyle w:val="Heading4"/>
      </w:pPr>
      <w:r w:rsidRPr="00A70D2F">
        <w:t>4.2.3.3</w:t>
      </w:r>
      <w:r w:rsidR="001D411F" w:rsidRPr="00A70D2F">
        <w:t>.2</w:t>
      </w:r>
      <w:r w:rsidRPr="00A70D2F">
        <w:t xml:space="preserve"> </w:t>
      </w:r>
      <w:r w:rsidR="002F5431" w:rsidRPr="00A70D2F">
        <w:t>Businesses</w:t>
      </w:r>
    </w:p>
    <w:p w14:paraId="0819FCE0" w14:textId="77777777" w:rsidR="0010037F" w:rsidRPr="0010037F" w:rsidRDefault="00C52D65" w:rsidP="00C52D65">
      <w:pPr>
        <w:spacing w:after="0" w:line="240" w:lineRule="auto"/>
        <w:rPr>
          <w:b/>
        </w:rPr>
      </w:pPr>
      <w:r w:rsidRPr="0010037F">
        <w:rPr>
          <w:b/>
        </w:rPr>
        <w:t>Testing of the market for co-design providers</w:t>
      </w:r>
    </w:p>
    <w:p w14:paraId="6806CB27" w14:textId="77777777" w:rsidR="00802745" w:rsidRPr="00A70D2F" w:rsidRDefault="0010037F" w:rsidP="00C52D65">
      <w:pPr>
        <w:spacing w:after="0" w:line="240" w:lineRule="auto"/>
      </w:pPr>
      <w:r>
        <w:t xml:space="preserve">This </w:t>
      </w:r>
      <w:r w:rsidR="00C52D65" w:rsidRPr="00A70D2F">
        <w:t xml:space="preserve">will take place with a focus on organisations who are </w:t>
      </w:r>
      <w:r w:rsidR="008C10EA">
        <w:t xml:space="preserve">Indigenous owned or controlled </w:t>
      </w:r>
      <w:r w:rsidR="008C10EA" w:rsidRPr="00A70D2F">
        <w:t>or have experience with working with indigenous communities</w:t>
      </w:r>
      <w:r w:rsidR="00030B7B">
        <w:t xml:space="preserve"> </w:t>
      </w:r>
      <w:r w:rsidR="008C10EA">
        <w:t>–</w:t>
      </w:r>
      <w:r w:rsidR="00030B7B">
        <w:t xml:space="preserve"> </w:t>
      </w:r>
      <w:r w:rsidR="008C10EA">
        <w:t xml:space="preserve">it is </w:t>
      </w:r>
      <w:r w:rsidR="00C52D65" w:rsidRPr="00A70D2F">
        <w:t>assume</w:t>
      </w:r>
      <w:r w:rsidR="008C10EA">
        <w:t>d</w:t>
      </w:r>
      <w:r w:rsidR="00C52D65" w:rsidRPr="00A70D2F">
        <w:t xml:space="preserve"> there will be about 5 organisations who may provide a proposal. </w:t>
      </w:r>
      <w:r w:rsidR="00C0135D" w:rsidRPr="00A70D2F">
        <w:t>This includes the</w:t>
      </w:r>
      <w:r w:rsidR="00E72CCE" w:rsidRPr="00A70D2F">
        <w:t xml:space="preserve"> regulatory costs of testing the market for</w:t>
      </w:r>
      <w:r w:rsidR="00C0135D" w:rsidRPr="00A70D2F">
        <w:t xml:space="preserve"> providers to deliv</w:t>
      </w:r>
      <w:r w:rsidR="00030B7B">
        <w:t>er</w:t>
      </w:r>
      <w:r w:rsidR="00C0135D" w:rsidRPr="00A70D2F">
        <w:t xml:space="preserve"> co-design activities across all locations.</w:t>
      </w:r>
      <w:r w:rsidR="005C1BBE">
        <w:t xml:space="preserve"> </w:t>
      </w:r>
      <w:r w:rsidR="005C1BBE" w:rsidRPr="005C1BBE">
        <w:t>It is assumed that co-design activities will continue in years 3 and 4 (2024-25 and 2025-26) to provide further guidance and feedback on the delivery of services and whether the intended outcomes are evident in the community.</w:t>
      </w:r>
      <w:r w:rsidR="005C1BBE">
        <w:t xml:space="preserve"> Costed regulatory activities include</w:t>
      </w:r>
      <w:r w:rsidR="00802745" w:rsidRPr="00A70D2F">
        <w:t>;</w:t>
      </w:r>
    </w:p>
    <w:p w14:paraId="67AC96B2" w14:textId="77777777" w:rsidR="00F472E5" w:rsidRPr="00A70D2F" w:rsidRDefault="00FD2793" w:rsidP="00802745">
      <w:pPr>
        <w:pStyle w:val="BulletedListlvl1"/>
      </w:pPr>
      <w:r>
        <w:t>Testing the market for</w:t>
      </w:r>
      <w:r w:rsidR="00802745" w:rsidRPr="00A70D2F">
        <w:t xml:space="preserve"> co-design providers</w:t>
      </w:r>
    </w:p>
    <w:p w14:paraId="631E0A58" w14:textId="77777777" w:rsidR="00C52D65" w:rsidRPr="00A70D2F" w:rsidRDefault="00802745" w:rsidP="00802745">
      <w:pPr>
        <w:pStyle w:val="BulletedListlvl1"/>
      </w:pPr>
      <w:r w:rsidRPr="00A70D2F">
        <w:t>Co-design provider signs agreement</w:t>
      </w:r>
    </w:p>
    <w:p w14:paraId="127FD073" w14:textId="77777777" w:rsidR="00802745" w:rsidRDefault="00802745" w:rsidP="005C1BBE">
      <w:pPr>
        <w:pStyle w:val="BulletedListlvl1"/>
        <w:spacing w:after="120"/>
        <w:ind w:left="568" w:hanging="284"/>
      </w:pPr>
      <w:r w:rsidRPr="00A70D2F">
        <w:t>Final Report received from Co-design provider</w:t>
      </w:r>
    </w:p>
    <w:p w14:paraId="4C6C96A1" w14:textId="77777777" w:rsidR="00524C99" w:rsidRPr="00A70D2F" w:rsidRDefault="003C6D05" w:rsidP="00524C99">
      <w:pPr>
        <w:pStyle w:val="BulletedListlvl1"/>
        <w:numPr>
          <w:ilvl w:val="0"/>
          <w:numId w:val="0"/>
        </w:numPr>
      </w:pPr>
      <w:r>
        <w:rPr>
          <w:rFonts w:ascii="Calibri" w:eastAsia="Times New Roman" w:hAnsi="Calibri" w:cs="Calibri"/>
          <w:b/>
          <w:bCs/>
          <w:color w:val="000000"/>
          <w:sz w:val="16"/>
          <w:szCs w:val="16"/>
          <w:lang w:eastAsia="en-AU"/>
        </w:rPr>
        <w:t>Testing the market for</w:t>
      </w:r>
      <w:r w:rsidR="00524C99" w:rsidRPr="00A70D2F">
        <w:rPr>
          <w:rFonts w:ascii="Calibri" w:eastAsia="Times New Roman" w:hAnsi="Calibri" w:cs="Calibri"/>
          <w:b/>
          <w:bCs/>
          <w:color w:val="000000"/>
          <w:sz w:val="16"/>
          <w:szCs w:val="16"/>
          <w:lang w:eastAsia="en-AU"/>
        </w:rPr>
        <w:t xml:space="preserve"> co-design providers</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esting the market for co-design providers"/>
      </w:tblPr>
      <w:tblGrid>
        <w:gridCol w:w="1019"/>
        <w:gridCol w:w="253"/>
        <w:gridCol w:w="3548"/>
        <w:gridCol w:w="1276"/>
        <w:gridCol w:w="1417"/>
        <w:gridCol w:w="1134"/>
      </w:tblGrid>
      <w:tr w:rsidR="00D75D59" w:rsidRPr="00A70D2F" w14:paraId="25574444" w14:textId="77777777" w:rsidTr="00D75D59">
        <w:trPr>
          <w:trHeight w:val="300"/>
        </w:trPr>
        <w:tc>
          <w:tcPr>
            <w:tcW w:w="1019" w:type="dxa"/>
            <w:shd w:val="clear" w:color="auto" w:fill="auto"/>
            <w:vAlign w:val="center"/>
            <w:hideMark/>
          </w:tcPr>
          <w:p w14:paraId="7CDB89EF" w14:textId="77777777" w:rsidR="00D75D59" w:rsidRPr="00A70D2F" w:rsidRDefault="00D75D59" w:rsidP="00D32BCA">
            <w:pPr>
              <w:spacing w:after="0" w:line="240" w:lineRule="auto"/>
              <w:rPr>
                <w:rFonts w:ascii="Calibri" w:eastAsia="Times New Roman" w:hAnsi="Calibri" w:cs="Calibri"/>
                <w:color w:val="000000"/>
                <w:sz w:val="16"/>
                <w:szCs w:val="16"/>
                <w:lang w:eastAsia="en-AU"/>
              </w:rPr>
            </w:pPr>
          </w:p>
        </w:tc>
        <w:tc>
          <w:tcPr>
            <w:tcW w:w="253" w:type="dxa"/>
            <w:shd w:val="clear" w:color="auto" w:fill="auto"/>
            <w:noWrap/>
            <w:vAlign w:val="bottom"/>
            <w:hideMark/>
          </w:tcPr>
          <w:p w14:paraId="0D4781CD" w14:textId="77777777" w:rsidR="00D75D59" w:rsidRPr="00A70D2F" w:rsidRDefault="00D75D59"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548" w:type="dxa"/>
            <w:shd w:val="clear" w:color="auto" w:fill="auto"/>
            <w:noWrap/>
            <w:vAlign w:val="bottom"/>
            <w:hideMark/>
          </w:tcPr>
          <w:p w14:paraId="0B4B3F36" w14:textId="77777777" w:rsidR="00D75D59" w:rsidRPr="00A70D2F" w:rsidRDefault="00D75D59"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1276" w:type="dxa"/>
            <w:shd w:val="clear" w:color="auto" w:fill="auto"/>
            <w:noWrap/>
            <w:vAlign w:val="bottom"/>
            <w:hideMark/>
          </w:tcPr>
          <w:p w14:paraId="60C4B4C3" w14:textId="77777777" w:rsidR="00D75D59" w:rsidRPr="00A70D2F" w:rsidRDefault="00D75D59"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1417" w:type="dxa"/>
            <w:shd w:val="clear" w:color="auto" w:fill="auto"/>
            <w:noWrap/>
            <w:vAlign w:val="bottom"/>
            <w:hideMark/>
          </w:tcPr>
          <w:p w14:paraId="755774E1" w14:textId="77777777" w:rsidR="00D75D59" w:rsidRPr="00A70D2F" w:rsidRDefault="00D75D59"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34" w:type="dxa"/>
            <w:shd w:val="clear" w:color="auto" w:fill="auto"/>
            <w:vAlign w:val="center"/>
            <w:hideMark/>
          </w:tcPr>
          <w:p w14:paraId="372BC5FD" w14:textId="77777777" w:rsidR="00D75D59" w:rsidRPr="00A70D2F" w:rsidRDefault="00D75D59"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D32BCA" w:rsidRPr="00A70D2F" w14:paraId="7BC8C612" w14:textId="77777777" w:rsidTr="00D75D59">
        <w:trPr>
          <w:trHeight w:val="300"/>
        </w:trPr>
        <w:tc>
          <w:tcPr>
            <w:tcW w:w="1019" w:type="dxa"/>
            <w:shd w:val="clear" w:color="auto" w:fill="auto"/>
            <w:noWrap/>
            <w:vAlign w:val="bottom"/>
            <w:hideMark/>
          </w:tcPr>
          <w:p w14:paraId="1FE2B7E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253" w:type="dxa"/>
            <w:shd w:val="clear" w:color="auto" w:fill="auto"/>
            <w:noWrap/>
            <w:vAlign w:val="bottom"/>
            <w:hideMark/>
          </w:tcPr>
          <w:p w14:paraId="57B4D7A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548" w:type="dxa"/>
            <w:shd w:val="clear" w:color="auto" w:fill="auto"/>
            <w:noWrap/>
            <w:vAlign w:val="bottom"/>
            <w:hideMark/>
          </w:tcPr>
          <w:p w14:paraId="4FC2F6B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276" w:type="dxa"/>
            <w:shd w:val="clear" w:color="auto" w:fill="auto"/>
            <w:noWrap/>
            <w:vAlign w:val="bottom"/>
            <w:hideMark/>
          </w:tcPr>
          <w:p w14:paraId="0580AA4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1.5</w:t>
            </w:r>
          </w:p>
        </w:tc>
        <w:tc>
          <w:tcPr>
            <w:tcW w:w="1417" w:type="dxa"/>
            <w:shd w:val="clear" w:color="auto" w:fill="auto"/>
            <w:noWrap/>
            <w:vAlign w:val="bottom"/>
            <w:hideMark/>
          </w:tcPr>
          <w:p w14:paraId="3410EB5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34" w:type="dxa"/>
            <w:shd w:val="clear" w:color="auto" w:fill="auto"/>
            <w:noWrap/>
            <w:vAlign w:val="bottom"/>
            <w:hideMark/>
          </w:tcPr>
          <w:p w14:paraId="08212D0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$597</w:t>
            </w:r>
          </w:p>
        </w:tc>
      </w:tr>
    </w:tbl>
    <w:p w14:paraId="606395A6" w14:textId="77777777" w:rsidR="00524C99" w:rsidRPr="00A70D2F" w:rsidRDefault="00524C99" w:rsidP="005C1BBE">
      <w:pPr>
        <w:pStyle w:val="BodyText"/>
        <w:spacing w:before="120"/>
      </w:pPr>
      <w:r w:rsidRPr="00A70D2F">
        <w:rPr>
          <w:rFonts w:ascii="Calibri" w:eastAsia="Times New Roman" w:hAnsi="Calibri" w:cs="Calibri"/>
          <w:b/>
          <w:bCs/>
          <w:color w:val="000000"/>
          <w:sz w:val="16"/>
          <w:szCs w:val="16"/>
          <w:lang w:eastAsia="en-AU"/>
        </w:rPr>
        <w:t>Co-design provider signs agreement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design providers signs agreement"/>
      </w:tblPr>
      <w:tblGrid>
        <w:gridCol w:w="964"/>
        <w:gridCol w:w="253"/>
        <w:gridCol w:w="3603"/>
        <w:gridCol w:w="1276"/>
        <w:gridCol w:w="1417"/>
        <w:gridCol w:w="1134"/>
      </w:tblGrid>
      <w:tr w:rsidR="00D32BCA" w:rsidRPr="00A70D2F" w14:paraId="554E809F" w14:textId="77777777" w:rsidTr="00D75D59">
        <w:trPr>
          <w:trHeight w:val="300"/>
        </w:trPr>
        <w:tc>
          <w:tcPr>
            <w:tcW w:w="964" w:type="dxa"/>
            <w:shd w:val="clear" w:color="auto" w:fill="auto"/>
            <w:vAlign w:val="center"/>
            <w:hideMark/>
          </w:tcPr>
          <w:p w14:paraId="6770FDE9"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253" w:type="dxa"/>
            <w:shd w:val="clear" w:color="auto" w:fill="auto"/>
            <w:noWrap/>
            <w:vAlign w:val="bottom"/>
            <w:hideMark/>
          </w:tcPr>
          <w:p w14:paraId="74C9B01A"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603" w:type="dxa"/>
            <w:shd w:val="clear" w:color="auto" w:fill="auto"/>
            <w:noWrap/>
            <w:vAlign w:val="bottom"/>
            <w:hideMark/>
          </w:tcPr>
          <w:p w14:paraId="7875DB30"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1276" w:type="dxa"/>
            <w:shd w:val="clear" w:color="auto" w:fill="auto"/>
            <w:noWrap/>
            <w:vAlign w:val="bottom"/>
            <w:hideMark/>
          </w:tcPr>
          <w:p w14:paraId="5C66C97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1417" w:type="dxa"/>
            <w:shd w:val="clear" w:color="auto" w:fill="auto"/>
            <w:noWrap/>
            <w:vAlign w:val="bottom"/>
            <w:hideMark/>
          </w:tcPr>
          <w:p w14:paraId="6E4C561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34" w:type="dxa"/>
            <w:shd w:val="clear" w:color="auto" w:fill="auto"/>
            <w:vAlign w:val="center"/>
            <w:hideMark/>
          </w:tcPr>
          <w:p w14:paraId="018E909D" w14:textId="77777777" w:rsidR="00D32BCA" w:rsidRPr="00A70D2F" w:rsidRDefault="00D75D59"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D32BCA" w:rsidRPr="00A70D2F" w14:paraId="63A8C9FC" w14:textId="77777777" w:rsidTr="00D75D59">
        <w:trPr>
          <w:trHeight w:val="300"/>
        </w:trPr>
        <w:tc>
          <w:tcPr>
            <w:tcW w:w="964" w:type="dxa"/>
            <w:shd w:val="clear" w:color="auto" w:fill="auto"/>
            <w:noWrap/>
            <w:vAlign w:val="bottom"/>
            <w:hideMark/>
          </w:tcPr>
          <w:p w14:paraId="3FA92656"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253" w:type="dxa"/>
            <w:shd w:val="clear" w:color="auto" w:fill="auto"/>
            <w:noWrap/>
            <w:vAlign w:val="bottom"/>
            <w:hideMark/>
          </w:tcPr>
          <w:p w14:paraId="573076A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603" w:type="dxa"/>
            <w:shd w:val="clear" w:color="auto" w:fill="auto"/>
            <w:noWrap/>
            <w:vAlign w:val="bottom"/>
            <w:hideMark/>
          </w:tcPr>
          <w:p w14:paraId="7943B99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w:t>
            </w:r>
          </w:p>
        </w:tc>
        <w:tc>
          <w:tcPr>
            <w:tcW w:w="1276" w:type="dxa"/>
            <w:shd w:val="clear" w:color="auto" w:fill="auto"/>
            <w:noWrap/>
            <w:vAlign w:val="bottom"/>
            <w:hideMark/>
          </w:tcPr>
          <w:p w14:paraId="3634553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1.5</w:t>
            </w:r>
          </w:p>
        </w:tc>
        <w:tc>
          <w:tcPr>
            <w:tcW w:w="1417" w:type="dxa"/>
            <w:shd w:val="clear" w:color="auto" w:fill="auto"/>
            <w:noWrap/>
            <w:vAlign w:val="bottom"/>
            <w:hideMark/>
          </w:tcPr>
          <w:p w14:paraId="10B5D3A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34" w:type="dxa"/>
            <w:shd w:val="clear" w:color="auto" w:fill="auto"/>
            <w:noWrap/>
            <w:vAlign w:val="bottom"/>
            <w:hideMark/>
          </w:tcPr>
          <w:p w14:paraId="2A85A21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$119</w:t>
            </w:r>
          </w:p>
        </w:tc>
      </w:tr>
    </w:tbl>
    <w:p w14:paraId="5D59C321" w14:textId="77777777" w:rsidR="00524C99" w:rsidRPr="00A70D2F" w:rsidRDefault="00524C99" w:rsidP="00D32BCA">
      <w:pPr>
        <w:pStyle w:val="BodyText"/>
      </w:pPr>
      <w:r w:rsidRPr="00A70D2F">
        <w:rPr>
          <w:rFonts w:ascii="Calibri" w:eastAsia="Times New Roman" w:hAnsi="Calibri" w:cs="Calibri"/>
          <w:b/>
          <w:bCs/>
          <w:color w:val="000000"/>
          <w:sz w:val="16"/>
          <w:szCs w:val="16"/>
          <w:lang w:eastAsia="en-AU"/>
        </w:rPr>
        <w:t>Final Report received from Co-design provider</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l Report received from Co-design provider"/>
      </w:tblPr>
      <w:tblGrid>
        <w:gridCol w:w="959"/>
        <w:gridCol w:w="253"/>
        <w:gridCol w:w="3608"/>
        <w:gridCol w:w="1276"/>
        <w:gridCol w:w="1417"/>
        <w:gridCol w:w="1134"/>
      </w:tblGrid>
      <w:tr w:rsidR="00D32BCA" w:rsidRPr="00A70D2F" w14:paraId="59AC1BCB" w14:textId="77777777" w:rsidTr="00D75D59">
        <w:trPr>
          <w:trHeight w:val="300"/>
        </w:trPr>
        <w:tc>
          <w:tcPr>
            <w:tcW w:w="959" w:type="dxa"/>
            <w:shd w:val="clear" w:color="auto" w:fill="auto"/>
            <w:vAlign w:val="center"/>
            <w:hideMark/>
          </w:tcPr>
          <w:p w14:paraId="579FA91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253" w:type="dxa"/>
            <w:shd w:val="clear" w:color="auto" w:fill="auto"/>
            <w:noWrap/>
            <w:vAlign w:val="bottom"/>
            <w:hideMark/>
          </w:tcPr>
          <w:p w14:paraId="2327E5D4"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608" w:type="dxa"/>
            <w:shd w:val="clear" w:color="auto" w:fill="auto"/>
            <w:noWrap/>
            <w:vAlign w:val="bottom"/>
            <w:hideMark/>
          </w:tcPr>
          <w:p w14:paraId="4CA8A824"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1276" w:type="dxa"/>
            <w:shd w:val="clear" w:color="auto" w:fill="auto"/>
            <w:noWrap/>
            <w:vAlign w:val="bottom"/>
            <w:hideMark/>
          </w:tcPr>
          <w:p w14:paraId="7D475AC5"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1417" w:type="dxa"/>
            <w:shd w:val="clear" w:color="auto" w:fill="auto"/>
            <w:noWrap/>
            <w:vAlign w:val="bottom"/>
            <w:hideMark/>
          </w:tcPr>
          <w:p w14:paraId="357234C6"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34" w:type="dxa"/>
            <w:shd w:val="clear" w:color="auto" w:fill="auto"/>
            <w:vAlign w:val="center"/>
            <w:hideMark/>
          </w:tcPr>
          <w:p w14:paraId="795F577C" w14:textId="77777777" w:rsidR="00D32BCA" w:rsidRPr="00A70D2F" w:rsidRDefault="00D75D59"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D32BCA" w:rsidRPr="00A70D2F" w14:paraId="2265FAF6" w14:textId="77777777" w:rsidTr="00D75D59">
        <w:trPr>
          <w:trHeight w:val="300"/>
        </w:trPr>
        <w:tc>
          <w:tcPr>
            <w:tcW w:w="959" w:type="dxa"/>
            <w:shd w:val="clear" w:color="auto" w:fill="auto"/>
            <w:noWrap/>
            <w:vAlign w:val="bottom"/>
            <w:hideMark/>
          </w:tcPr>
          <w:p w14:paraId="3AB31C6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253" w:type="dxa"/>
            <w:shd w:val="clear" w:color="auto" w:fill="auto"/>
            <w:noWrap/>
            <w:vAlign w:val="bottom"/>
            <w:hideMark/>
          </w:tcPr>
          <w:p w14:paraId="045482B8"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3608" w:type="dxa"/>
            <w:shd w:val="clear" w:color="auto" w:fill="auto"/>
            <w:noWrap/>
            <w:vAlign w:val="bottom"/>
            <w:hideMark/>
          </w:tcPr>
          <w:p w14:paraId="3927794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w:t>
            </w:r>
          </w:p>
        </w:tc>
        <w:tc>
          <w:tcPr>
            <w:tcW w:w="1276" w:type="dxa"/>
            <w:shd w:val="clear" w:color="auto" w:fill="auto"/>
            <w:noWrap/>
            <w:vAlign w:val="bottom"/>
            <w:hideMark/>
          </w:tcPr>
          <w:p w14:paraId="3A64679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0.17</w:t>
            </w:r>
          </w:p>
        </w:tc>
        <w:tc>
          <w:tcPr>
            <w:tcW w:w="1417" w:type="dxa"/>
            <w:shd w:val="clear" w:color="auto" w:fill="auto"/>
            <w:noWrap/>
            <w:vAlign w:val="bottom"/>
            <w:hideMark/>
          </w:tcPr>
          <w:p w14:paraId="38E7F58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34" w:type="dxa"/>
            <w:shd w:val="clear" w:color="auto" w:fill="auto"/>
            <w:noWrap/>
            <w:vAlign w:val="bottom"/>
            <w:hideMark/>
          </w:tcPr>
          <w:p w14:paraId="35C35A2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$14</w:t>
            </w:r>
          </w:p>
        </w:tc>
      </w:tr>
    </w:tbl>
    <w:p w14:paraId="3D5967B7" w14:textId="77777777" w:rsidR="00D32BCA" w:rsidRPr="005C1BBE" w:rsidRDefault="00D32BCA" w:rsidP="005C1BBE">
      <w:pPr>
        <w:pStyle w:val="NormalWeb"/>
        <w:spacing w:before="0" w:beforeAutospacing="0" w:after="0" w:afterAutospacing="0"/>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tal cost for co-design providers"/>
      </w:tblPr>
      <w:tblGrid>
        <w:gridCol w:w="5560"/>
        <w:gridCol w:w="1280"/>
      </w:tblGrid>
      <w:tr w:rsidR="003F77A2" w:rsidRPr="00A70D2F" w14:paraId="4C8D4700" w14:textId="77777777" w:rsidTr="003F77A2">
        <w:trPr>
          <w:trHeight w:val="300"/>
        </w:trPr>
        <w:tc>
          <w:tcPr>
            <w:tcW w:w="5560" w:type="dxa"/>
            <w:shd w:val="clear" w:color="auto" w:fill="auto"/>
            <w:noWrap/>
            <w:vAlign w:val="bottom"/>
            <w:hideMark/>
          </w:tcPr>
          <w:p w14:paraId="29ECA1BC" w14:textId="77777777" w:rsidR="003F77A2" w:rsidRPr="00A70D2F" w:rsidRDefault="00FD2793" w:rsidP="003F77A2">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Testing the market for </w:t>
            </w:r>
            <w:r w:rsidR="003F77A2" w:rsidRPr="00A70D2F">
              <w:rPr>
                <w:rFonts w:ascii="Calibri" w:eastAsia="Times New Roman" w:hAnsi="Calibri" w:cs="Calibri"/>
                <w:color w:val="000000"/>
                <w:sz w:val="16"/>
                <w:szCs w:val="16"/>
                <w:lang w:eastAsia="en-AU"/>
              </w:rPr>
              <w:t>co-design providers</w:t>
            </w:r>
          </w:p>
        </w:tc>
        <w:tc>
          <w:tcPr>
            <w:tcW w:w="1280" w:type="dxa"/>
            <w:shd w:val="clear" w:color="auto" w:fill="auto"/>
            <w:noWrap/>
            <w:vAlign w:val="bottom"/>
            <w:hideMark/>
          </w:tcPr>
          <w:p w14:paraId="7605835C" w14:textId="77777777" w:rsidR="003F77A2" w:rsidRPr="00A70D2F" w:rsidRDefault="003F77A2" w:rsidP="003F77A2">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$597</w:t>
            </w:r>
          </w:p>
        </w:tc>
      </w:tr>
      <w:tr w:rsidR="003F77A2" w:rsidRPr="00A70D2F" w14:paraId="72A06344" w14:textId="77777777" w:rsidTr="003F77A2">
        <w:trPr>
          <w:trHeight w:val="300"/>
        </w:trPr>
        <w:tc>
          <w:tcPr>
            <w:tcW w:w="5560" w:type="dxa"/>
            <w:shd w:val="clear" w:color="auto" w:fill="auto"/>
            <w:noWrap/>
            <w:vAlign w:val="bottom"/>
            <w:hideMark/>
          </w:tcPr>
          <w:p w14:paraId="62E99819" w14:textId="77777777" w:rsidR="003F77A2" w:rsidRPr="00A70D2F" w:rsidRDefault="003F77A2" w:rsidP="003F77A2">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Co-design provider signs agreement</w:t>
            </w:r>
          </w:p>
        </w:tc>
        <w:tc>
          <w:tcPr>
            <w:tcW w:w="1280" w:type="dxa"/>
            <w:shd w:val="clear" w:color="auto" w:fill="auto"/>
            <w:noWrap/>
            <w:vAlign w:val="bottom"/>
            <w:hideMark/>
          </w:tcPr>
          <w:p w14:paraId="367CF3C3" w14:textId="77777777" w:rsidR="003F77A2" w:rsidRPr="00A70D2F" w:rsidRDefault="003F77A2" w:rsidP="003F77A2">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$119</w:t>
            </w:r>
          </w:p>
        </w:tc>
      </w:tr>
      <w:tr w:rsidR="003F77A2" w:rsidRPr="00A70D2F" w14:paraId="11F6C5B2" w14:textId="77777777" w:rsidTr="003F77A2">
        <w:trPr>
          <w:trHeight w:val="300"/>
        </w:trPr>
        <w:tc>
          <w:tcPr>
            <w:tcW w:w="5560" w:type="dxa"/>
            <w:shd w:val="clear" w:color="auto" w:fill="auto"/>
            <w:noWrap/>
            <w:vAlign w:val="bottom"/>
            <w:hideMark/>
          </w:tcPr>
          <w:p w14:paraId="0E0D2955" w14:textId="77777777" w:rsidR="003F77A2" w:rsidRPr="00A70D2F" w:rsidRDefault="003F77A2" w:rsidP="003F77A2">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Final Report received from Co-design provider</w:t>
            </w:r>
          </w:p>
        </w:tc>
        <w:tc>
          <w:tcPr>
            <w:tcW w:w="1280" w:type="dxa"/>
            <w:shd w:val="clear" w:color="auto" w:fill="auto"/>
            <w:noWrap/>
            <w:vAlign w:val="bottom"/>
            <w:hideMark/>
          </w:tcPr>
          <w:p w14:paraId="29F75EA6" w14:textId="77777777" w:rsidR="003F77A2" w:rsidRPr="00A70D2F" w:rsidRDefault="003F77A2" w:rsidP="003F77A2">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$14</w:t>
            </w:r>
          </w:p>
        </w:tc>
      </w:tr>
      <w:tr w:rsidR="003F77A2" w:rsidRPr="00A70D2F" w14:paraId="7D60ECBE" w14:textId="77777777" w:rsidTr="003F77A2">
        <w:trPr>
          <w:trHeight w:val="300"/>
        </w:trPr>
        <w:tc>
          <w:tcPr>
            <w:tcW w:w="5560" w:type="dxa"/>
            <w:shd w:val="clear" w:color="auto" w:fill="auto"/>
            <w:noWrap/>
            <w:vAlign w:val="bottom"/>
            <w:hideMark/>
          </w:tcPr>
          <w:p w14:paraId="430B0AC4" w14:textId="77777777" w:rsidR="003F77A2" w:rsidRPr="00A70D2F" w:rsidRDefault="003F77A2" w:rsidP="003F77A2">
            <w:pPr>
              <w:spacing w:after="0" w:line="240" w:lineRule="auto"/>
              <w:jc w:val="right"/>
              <w:rPr>
                <w:rFonts w:ascii="Calibri" w:eastAsia="Times New Roman" w:hAnsi="Calibri" w:cs="Calibri"/>
                <w:b/>
                <w:color w:val="000000"/>
                <w:sz w:val="16"/>
                <w:szCs w:val="16"/>
                <w:lang w:eastAsia="en-AU"/>
              </w:rPr>
            </w:pPr>
            <w:r w:rsidRPr="00A70D2F">
              <w:rPr>
                <w:rFonts w:ascii="Calibri" w:eastAsia="Times New Roman" w:hAnsi="Calibri" w:cs="Calibri"/>
                <w:b/>
                <w:color w:val="000000"/>
                <w:sz w:val="16"/>
                <w:szCs w:val="16"/>
                <w:lang w:eastAsia="en-AU"/>
              </w:rPr>
              <w:t>Total</w:t>
            </w:r>
          </w:p>
        </w:tc>
        <w:tc>
          <w:tcPr>
            <w:tcW w:w="1280" w:type="dxa"/>
            <w:shd w:val="clear" w:color="auto" w:fill="auto"/>
            <w:noWrap/>
            <w:vAlign w:val="bottom"/>
            <w:hideMark/>
          </w:tcPr>
          <w:p w14:paraId="19A8D786" w14:textId="77777777" w:rsidR="003F77A2" w:rsidRPr="00A70D2F" w:rsidRDefault="003F77A2" w:rsidP="003F77A2">
            <w:pPr>
              <w:spacing w:after="0" w:line="240" w:lineRule="auto"/>
              <w:jc w:val="right"/>
              <w:rPr>
                <w:rFonts w:ascii="Calibri" w:eastAsia="Times New Roman" w:hAnsi="Calibri" w:cs="Calibri"/>
                <w:b/>
                <w:color w:val="000000"/>
                <w:sz w:val="16"/>
                <w:szCs w:val="16"/>
                <w:lang w:eastAsia="en-AU"/>
              </w:rPr>
            </w:pPr>
            <w:r w:rsidRPr="00A70D2F">
              <w:rPr>
                <w:rFonts w:ascii="Calibri" w:eastAsia="Times New Roman" w:hAnsi="Calibri" w:cs="Calibri"/>
                <w:b/>
                <w:color w:val="000000"/>
                <w:sz w:val="16"/>
                <w:szCs w:val="16"/>
                <w:lang w:eastAsia="en-AU"/>
              </w:rPr>
              <w:t>$730</w:t>
            </w:r>
          </w:p>
        </w:tc>
      </w:tr>
    </w:tbl>
    <w:p w14:paraId="3AAEC514" w14:textId="2FECD5D2" w:rsidR="00FB39E3" w:rsidRPr="00FB39E3" w:rsidRDefault="0010037F" w:rsidP="00FB39E3">
      <w:pPr>
        <w:pStyle w:val="NormalWeb"/>
        <w:spacing w:before="120" w:beforeAutospacing="0" w:after="0" w:afterAutospacing="0"/>
        <w:rPr>
          <w:b/>
        </w:rPr>
      </w:pPr>
      <w:r w:rsidRPr="00FB39E3">
        <w:rPr>
          <w:b/>
        </w:rPr>
        <w:t>Co-design of Support Services - local businesses involvement</w:t>
      </w:r>
    </w:p>
    <w:p w14:paraId="5DCB5D5E" w14:textId="77777777" w:rsidR="00524C99" w:rsidRPr="0010037F" w:rsidRDefault="00C0135D" w:rsidP="00FB39E3">
      <w:pPr>
        <w:pStyle w:val="NormalWeb"/>
        <w:spacing w:before="120" w:beforeAutospacing="0" w:after="0" w:afterAutospacing="0"/>
        <w:rPr>
          <w:b/>
        </w:rPr>
      </w:pPr>
      <w:r w:rsidRPr="00A70D2F">
        <w:t xml:space="preserve">This includes the </w:t>
      </w:r>
      <w:r w:rsidR="00C446BB" w:rsidRPr="00A70D2F">
        <w:t xml:space="preserve">regulatory costs for </w:t>
      </w:r>
      <w:r w:rsidRPr="00A70D2F">
        <w:t xml:space="preserve">local businesses </w:t>
      </w:r>
      <w:r w:rsidR="00C446BB" w:rsidRPr="00A70D2F">
        <w:t xml:space="preserve">to be involved </w:t>
      </w:r>
      <w:r w:rsidRPr="00A70D2F">
        <w:t xml:space="preserve">in the co-design of support services in their communities. </w:t>
      </w:r>
    </w:p>
    <w:tbl>
      <w:tblPr>
        <w:tblW w:w="8600" w:type="dxa"/>
        <w:tblInd w:w="-5" w:type="dxa"/>
        <w:tblLook w:val="04A0" w:firstRow="1" w:lastRow="0" w:firstColumn="1" w:lastColumn="0" w:noHBand="0" w:noVBand="1"/>
        <w:tblDescription w:val="Co-design of Support Services - local businesses involvement"/>
      </w:tblPr>
      <w:tblGrid>
        <w:gridCol w:w="673"/>
        <w:gridCol w:w="1286"/>
        <w:gridCol w:w="1303"/>
        <w:gridCol w:w="1658"/>
        <w:gridCol w:w="1180"/>
        <w:gridCol w:w="1320"/>
        <w:gridCol w:w="1180"/>
      </w:tblGrid>
      <w:tr w:rsidR="00D32BCA" w:rsidRPr="00A70D2F" w14:paraId="7A0A95E7" w14:textId="77777777" w:rsidTr="00524C99">
        <w:trPr>
          <w:trHeight w:val="300"/>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9B577"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4379AA"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5461" w:type="dxa"/>
            <w:gridSpan w:val="4"/>
            <w:tcBorders>
              <w:top w:val="single" w:sz="4" w:space="0" w:color="auto"/>
              <w:left w:val="nil"/>
              <w:bottom w:val="single" w:sz="4" w:space="0" w:color="auto"/>
              <w:right w:val="single" w:sz="4" w:space="0" w:color="auto"/>
            </w:tcBorders>
            <w:shd w:val="clear" w:color="auto" w:fill="auto"/>
            <w:vAlign w:val="bottom"/>
            <w:hideMark/>
          </w:tcPr>
          <w:p w14:paraId="1D9F23A9"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C702" w14:textId="77777777" w:rsidR="00D32BCA" w:rsidRPr="00A70D2F" w:rsidRDefault="00C0135D"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w:t>
            </w:r>
            <w:r w:rsidR="00D32BCA" w:rsidRPr="00A70D2F">
              <w:rPr>
                <w:rFonts w:ascii="Calibri" w:eastAsia="Times New Roman" w:hAnsi="Calibri" w:cs="Calibri"/>
                <w:color w:val="000000"/>
                <w:sz w:val="16"/>
                <w:szCs w:val="16"/>
                <w:lang w:eastAsia="en-AU"/>
              </w:rPr>
              <w:t>otal</w:t>
            </w:r>
          </w:p>
        </w:tc>
      </w:tr>
      <w:tr w:rsidR="00D32BCA" w:rsidRPr="00A70D2F" w14:paraId="1ECDEB00" w14:textId="77777777" w:rsidTr="00524C99">
        <w:trPr>
          <w:trHeight w:val="300"/>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0325BAA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1286" w:type="dxa"/>
            <w:tcBorders>
              <w:top w:val="nil"/>
              <w:left w:val="nil"/>
              <w:bottom w:val="single" w:sz="4" w:space="0" w:color="auto"/>
              <w:right w:val="single" w:sz="4" w:space="0" w:color="auto"/>
            </w:tcBorders>
            <w:shd w:val="clear" w:color="auto" w:fill="auto"/>
            <w:noWrap/>
            <w:vAlign w:val="bottom"/>
            <w:hideMark/>
          </w:tcPr>
          <w:p w14:paraId="597561C4"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locations</w:t>
            </w:r>
          </w:p>
        </w:tc>
        <w:tc>
          <w:tcPr>
            <w:tcW w:w="1303" w:type="dxa"/>
            <w:tcBorders>
              <w:top w:val="nil"/>
              <w:left w:val="nil"/>
              <w:bottom w:val="single" w:sz="4" w:space="0" w:color="auto"/>
              <w:right w:val="single" w:sz="4" w:space="0" w:color="auto"/>
            </w:tcBorders>
            <w:shd w:val="clear" w:color="auto" w:fill="auto"/>
            <w:noWrap/>
            <w:vAlign w:val="bottom"/>
            <w:hideMark/>
          </w:tcPr>
          <w:p w14:paraId="07348DA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meetings</w:t>
            </w:r>
          </w:p>
        </w:tc>
        <w:tc>
          <w:tcPr>
            <w:tcW w:w="1658" w:type="dxa"/>
            <w:tcBorders>
              <w:top w:val="nil"/>
              <w:left w:val="nil"/>
              <w:bottom w:val="single" w:sz="4" w:space="0" w:color="auto"/>
              <w:right w:val="single" w:sz="4" w:space="0" w:color="auto"/>
            </w:tcBorders>
            <w:shd w:val="clear" w:color="auto" w:fill="auto"/>
            <w:noWrap/>
            <w:vAlign w:val="bottom"/>
            <w:hideMark/>
          </w:tcPr>
          <w:p w14:paraId="062AE3F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organisations</w:t>
            </w:r>
          </w:p>
        </w:tc>
        <w:tc>
          <w:tcPr>
            <w:tcW w:w="1180" w:type="dxa"/>
            <w:tcBorders>
              <w:top w:val="nil"/>
              <w:left w:val="nil"/>
              <w:bottom w:val="single" w:sz="4" w:space="0" w:color="auto"/>
              <w:right w:val="single" w:sz="4" w:space="0" w:color="auto"/>
            </w:tcBorders>
            <w:shd w:val="clear" w:color="auto" w:fill="auto"/>
            <w:noWrap/>
            <w:vAlign w:val="bottom"/>
            <w:hideMark/>
          </w:tcPr>
          <w:p w14:paraId="36771E5E"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hours</w:t>
            </w:r>
          </w:p>
        </w:tc>
        <w:tc>
          <w:tcPr>
            <w:tcW w:w="1320" w:type="dxa"/>
            <w:tcBorders>
              <w:top w:val="nil"/>
              <w:left w:val="nil"/>
              <w:bottom w:val="single" w:sz="4" w:space="0" w:color="auto"/>
              <w:right w:val="single" w:sz="4" w:space="0" w:color="auto"/>
            </w:tcBorders>
            <w:shd w:val="clear" w:color="auto" w:fill="auto"/>
            <w:noWrap/>
            <w:vAlign w:val="bottom"/>
            <w:hideMark/>
          </w:tcPr>
          <w:p w14:paraId="12D4CE2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8F44A2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r>
      <w:tr w:rsidR="00D32BCA" w:rsidRPr="00A70D2F" w14:paraId="7236B4F5"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5CBD2C4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286" w:type="dxa"/>
            <w:tcBorders>
              <w:top w:val="nil"/>
              <w:left w:val="nil"/>
              <w:bottom w:val="single" w:sz="4" w:space="0" w:color="auto"/>
              <w:right w:val="single" w:sz="4" w:space="0" w:color="auto"/>
            </w:tcBorders>
            <w:shd w:val="clear" w:color="auto" w:fill="auto"/>
            <w:noWrap/>
            <w:vAlign w:val="bottom"/>
            <w:hideMark/>
          </w:tcPr>
          <w:p w14:paraId="6057778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16906B0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3D67ADB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4D80E13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4D8FC3"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0E912B4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C27CFA" w14:paraId="715F2172"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7C91D9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286" w:type="dxa"/>
            <w:tcBorders>
              <w:top w:val="nil"/>
              <w:left w:val="nil"/>
              <w:bottom w:val="single" w:sz="4" w:space="0" w:color="auto"/>
              <w:right w:val="single" w:sz="4" w:space="0" w:color="auto"/>
            </w:tcBorders>
            <w:shd w:val="clear" w:color="auto" w:fill="auto"/>
            <w:noWrap/>
            <w:vAlign w:val="bottom"/>
            <w:hideMark/>
          </w:tcPr>
          <w:p w14:paraId="39818DDD"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03" w:type="dxa"/>
            <w:tcBorders>
              <w:top w:val="nil"/>
              <w:left w:val="nil"/>
              <w:bottom w:val="single" w:sz="4" w:space="0" w:color="auto"/>
              <w:right w:val="single" w:sz="4" w:space="0" w:color="auto"/>
            </w:tcBorders>
            <w:shd w:val="clear" w:color="auto" w:fill="auto"/>
            <w:noWrap/>
            <w:vAlign w:val="bottom"/>
            <w:hideMark/>
          </w:tcPr>
          <w:p w14:paraId="3A2C26D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58" w:type="dxa"/>
            <w:tcBorders>
              <w:top w:val="nil"/>
              <w:left w:val="nil"/>
              <w:bottom w:val="single" w:sz="4" w:space="0" w:color="auto"/>
              <w:right w:val="single" w:sz="4" w:space="0" w:color="auto"/>
            </w:tcBorders>
            <w:shd w:val="clear" w:color="auto" w:fill="auto"/>
            <w:noWrap/>
            <w:vAlign w:val="bottom"/>
            <w:hideMark/>
          </w:tcPr>
          <w:p w14:paraId="4ADB9C04"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180" w:type="dxa"/>
            <w:tcBorders>
              <w:top w:val="nil"/>
              <w:left w:val="nil"/>
              <w:bottom w:val="single" w:sz="4" w:space="0" w:color="auto"/>
              <w:right w:val="single" w:sz="4" w:space="0" w:color="auto"/>
            </w:tcBorders>
            <w:shd w:val="clear" w:color="auto" w:fill="auto"/>
            <w:noWrap/>
            <w:vAlign w:val="bottom"/>
            <w:hideMark/>
          </w:tcPr>
          <w:p w14:paraId="65FD13F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320" w:type="dxa"/>
            <w:tcBorders>
              <w:top w:val="nil"/>
              <w:left w:val="nil"/>
              <w:bottom w:val="single" w:sz="4" w:space="0" w:color="auto"/>
              <w:right w:val="single" w:sz="4" w:space="0" w:color="auto"/>
            </w:tcBorders>
            <w:shd w:val="clear" w:color="auto" w:fill="auto"/>
            <w:noWrap/>
            <w:vAlign w:val="bottom"/>
            <w:hideMark/>
          </w:tcPr>
          <w:p w14:paraId="38F44572"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0E190846"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$57,334</w:t>
            </w:r>
          </w:p>
        </w:tc>
      </w:tr>
      <w:tr w:rsidR="00D32BCA" w:rsidRPr="00C27CFA" w14:paraId="11E38349"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992FF35"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286" w:type="dxa"/>
            <w:tcBorders>
              <w:top w:val="nil"/>
              <w:left w:val="nil"/>
              <w:bottom w:val="single" w:sz="4" w:space="0" w:color="auto"/>
              <w:right w:val="single" w:sz="4" w:space="0" w:color="auto"/>
            </w:tcBorders>
            <w:shd w:val="clear" w:color="auto" w:fill="auto"/>
            <w:noWrap/>
            <w:vAlign w:val="bottom"/>
            <w:hideMark/>
          </w:tcPr>
          <w:p w14:paraId="47558A9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03" w:type="dxa"/>
            <w:tcBorders>
              <w:top w:val="nil"/>
              <w:left w:val="nil"/>
              <w:bottom w:val="single" w:sz="4" w:space="0" w:color="auto"/>
              <w:right w:val="single" w:sz="4" w:space="0" w:color="auto"/>
            </w:tcBorders>
            <w:shd w:val="clear" w:color="auto" w:fill="auto"/>
            <w:noWrap/>
            <w:vAlign w:val="bottom"/>
            <w:hideMark/>
          </w:tcPr>
          <w:p w14:paraId="37B1AF3F"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58" w:type="dxa"/>
            <w:tcBorders>
              <w:top w:val="nil"/>
              <w:left w:val="nil"/>
              <w:bottom w:val="single" w:sz="4" w:space="0" w:color="auto"/>
              <w:right w:val="single" w:sz="4" w:space="0" w:color="auto"/>
            </w:tcBorders>
            <w:shd w:val="clear" w:color="auto" w:fill="auto"/>
            <w:noWrap/>
            <w:vAlign w:val="bottom"/>
            <w:hideMark/>
          </w:tcPr>
          <w:p w14:paraId="369CE42C"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180" w:type="dxa"/>
            <w:tcBorders>
              <w:top w:val="nil"/>
              <w:left w:val="nil"/>
              <w:bottom w:val="single" w:sz="4" w:space="0" w:color="auto"/>
              <w:right w:val="single" w:sz="4" w:space="0" w:color="auto"/>
            </w:tcBorders>
            <w:shd w:val="clear" w:color="auto" w:fill="auto"/>
            <w:noWrap/>
            <w:vAlign w:val="bottom"/>
            <w:hideMark/>
          </w:tcPr>
          <w:p w14:paraId="3BEA2F1F"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320" w:type="dxa"/>
            <w:tcBorders>
              <w:top w:val="nil"/>
              <w:left w:val="nil"/>
              <w:bottom w:val="single" w:sz="4" w:space="0" w:color="auto"/>
              <w:right w:val="single" w:sz="4" w:space="0" w:color="auto"/>
            </w:tcBorders>
            <w:shd w:val="clear" w:color="auto" w:fill="auto"/>
            <w:noWrap/>
            <w:vAlign w:val="bottom"/>
            <w:hideMark/>
          </w:tcPr>
          <w:p w14:paraId="221E8883"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0867D1AD" w14:textId="77777777" w:rsidR="00D32BCA" w:rsidRPr="00C27CFA" w:rsidRDefault="007D0511"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$57,334</w:t>
            </w:r>
          </w:p>
        </w:tc>
      </w:tr>
      <w:tr w:rsidR="00D32BCA" w:rsidRPr="00C27CFA" w14:paraId="1B9F64DE"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0304C2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286" w:type="dxa"/>
            <w:tcBorders>
              <w:top w:val="nil"/>
              <w:left w:val="nil"/>
              <w:bottom w:val="single" w:sz="4" w:space="0" w:color="auto"/>
              <w:right w:val="single" w:sz="4" w:space="0" w:color="auto"/>
            </w:tcBorders>
            <w:shd w:val="clear" w:color="auto" w:fill="auto"/>
            <w:noWrap/>
            <w:vAlign w:val="bottom"/>
            <w:hideMark/>
          </w:tcPr>
          <w:p w14:paraId="37E65CB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303" w:type="dxa"/>
            <w:tcBorders>
              <w:top w:val="nil"/>
              <w:left w:val="nil"/>
              <w:bottom w:val="single" w:sz="4" w:space="0" w:color="auto"/>
              <w:right w:val="single" w:sz="4" w:space="0" w:color="auto"/>
            </w:tcBorders>
            <w:shd w:val="clear" w:color="auto" w:fill="auto"/>
            <w:noWrap/>
            <w:vAlign w:val="bottom"/>
            <w:hideMark/>
          </w:tcPr>
          <w:p w14:paraId="1B7EDB0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58" w:type="dxa"/>
            <w:tcBorders>
              <w:top w:val="nil"/>
              <w:left w:val="nil"/>
              <w:bottom w:val="single" w:sz="4" w:space="0" w:color="auto"/>
              <w:right w:val="single" w:sz="4" w:space="0" w:color="auto"/>
            </w:tcBorders>
            <w:shd w:val="clear" w:color="auto" w:fill="auto"/>
            <w:noWrap/>
            <w:vAlign w:val="bottom"/>
            <w:hideMark/>
          </w:tcPr>
          <w:p w14:paraId="6CA65903"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180" w:type="dxa"/>
            <w:tcBorders>
              <w:top w:val="nil"/>
              <w:left w:val="nil"/>
              <w:bottom w:val="single" w:sz="4" w:space="0" w:color="auto"/>
              <w:right w:val="single" w:sz="4" w:space="0" w:color="auto"/>
            </w:tcBorders>
            <w:shd w:val="clear" w:color="auto" w:fill="auto"/>
            <w:noWrap/>
            <w:vAlign w:val="bottom"/>
            <w:hideMark/>
          </w:tcPr>
          <w:p w14:paraId="44B1B96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320" w:type="dxa"/>
            <w:tcBorders>
              <w:top w:val="nil"/>
              <w:left w:val="nil"/>
              <w:bottom w:val="single" w:sz="4" w:space="0" w:color="auto"/>
              <w:right w:val="single" w:sz="4" w:space="0" w:color="auto"/>
            </w:tcBorders>
            <w:shd w:val="clear" w:color="auto" w:fill="auto"/>
            <w:noWrap/>
            <w:vAlign w:val="bottom"/>
            <w:hideMark/>
          </w:tcPr>
          <w:p w14:paraId="7121B0A7"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3482DE85" w14:textId="77777777" w:rsidR="00D32BCA" w:rsidRPr="00C27CFA" w:rsidRDefault="007D0511"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$57,334</w:t>
            </w:r>
          </w:p>
        </w:tc>
      </w:tr>
      <w:tr w:rsidR="00D32BCA" w:rsidRPr="00C27CFA" w14:paraId="5DFBC787"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CED563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286" w:type="dxa"/>
            <w:tcBorders>
              <w:top w:val="nil"/>
              <w:left w:val="nil"/>
              <w:bottom w:val="single" w:sz="4" w:space="0" w:color="auto"/>
              <w:right w:val="single" w:sz="4" w:space="0" w:color="auto"/>
            </w:tcBorders>
            <w:shd w:val="clear" w:color="auto" w:fill="auto"/>
            <w:noWrap/>
            <w:vAlign w:val="bottom"/>
            <w:hideMark/>
          </w:tcPr>
          <w:p w14:paraId="481247D6"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005AC93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35E70399"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81E7A3"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A04562"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7392B377"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11CC5C62"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1F226415"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286" w:type="dxa"/>
            <w:tcBorders>
              <w:top w:val="nil"/>
              <w:left w:val="nil"/>
              <w:bottom w:val="single" w:sz="4" w:space="0" w:color="auto"/>
              <w:right w:val="single" w:sz="4" w:space="0" w:color="auto"/>
            </w:tcBorders>
            <w:shd w:val="clear" w:color="auto" w:fill="auto"/>
            <w:noWrap/>
            <w:vAlign w:val="bottom"/>
            <w:hideMark/>
          </w:tcPr>
          <w:p w14:paraId="05662B8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3BA0D93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24B9365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067A0DE"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529353FE"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790A0E1D"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44FE0E7B"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800DA2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286" w:type="dxa"/>
            <w:tcBorders>
              <w:top w:val="nil"/>
              <w:left w:val="nil"/>
              <w:bottom w:val="single" w:sz="4" w:space="0" w:color="auto"/>
              <w:right w:val="single" w:sz="4" w:space="0" w:color="auto"/>
            </w:tcBorders>
            <w:shd w:val="clear" w:color="auto" w:fill="auto"/>
            <w:noWrap/>
            <w:vAlign w:val="bottom"/>
            <w:hideMark/>
          </w:tcPr>
          <w:p w14:paraId="03BE70CD"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3BFA1F6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0593450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DCAECA2"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CE508AC"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298A9836"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16EA47A9"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17E6DB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286" w:type="dxa"/>
            <w:tcBorders>
              <w:top w:val="nil"/>
              <w:left w:val="nil"/>
              <w:bottom w:val="single" w:sz="4" w:space="0" w:color="auto"/>
              <w:right w:val="single" w:sz="4" w:space="0" w:color="auto"/>
            </w:tcBorders>
            <w:shd w:val="clear" w:color="auto" w:fill="auto"/>
            <w:noWrap/>
            <w:vAlign w:val="bottom"/>
            <w:hideMark/>
          </w:tcPr>
          <w:p w14:paraId="4A449219"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43A5A9E4"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45735D6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5D22C0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EEED12"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5B0982C3"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624B6924"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4CBE98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286" w:type="dxa"/>
            <w:tcBorders>
              <w:top w:val="nil"/>
              <w:left w:val="nil"/>
              <w:bottom w:val="single" w:sz="4" w:space="0" w:color="auto"/>
              <w:right w:val="single" w:sz="4" w:space="0" w:color="auto"/>
            </w:tcBorders>
            <w:shd w:val="clear" w:color="auto" w:fill="auto"/>
            <w:noWrap/>
            <w:vAlign w:val="bottom"/>
            <w:hideMark/>
          </w:tcPr>
          <w:p w14:paraId="0DCB80D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5319AD6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1B1E8D08"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E15375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F99AE4"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18B7E7FC"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172CC15F"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20D6592"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286" w:type="dxa"/>
            <w:tcBorders>
              <w:top w:val="nil"/>
              <w:left w:val="nil"/>
              <w:bottom w:val="single" w:sz="4" w:space="0" w:color="auto"/>
              <w:right w:val="single" w:sz="4" w:space="0" w:color="auto"/>
            </w:tcBorders>
            <w:shd w:val="clear" w:color="auto" w:fill="auto"/>
            <w:noWrap/>
            <w:vAlign w:val="bottom"/>
            <w:hideMark/>
          </w:tcPr>
          <w:p w14:paraId="56FE3D3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03" w:type="dxa"/>
            <w:tcBorders>
              <w:top w:val="nil"/>
              <w:left w:val="nil"/>
              <w:bottom w:val="single" w:sz="4" w:space="0" w:color="auto"/>
              <w:right w:val="single" w:sz="4" w:space="0" w:color="auto"/>
            </w:tcBorders>
            <w:shd w:val="clear" w:color="auto" w:fill="auto"/>
            <w:noWrap/>
            <w:vAlign w:val="bottom"/>
            <w:hideMark/>
          </w:tcPr>
          <w:p w14:paraId="727E98F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58" w:type="dxa"/>
            <w:tcBorders>
              <w:top w:val="nil"/>
              <w:left w:val="nil"/>
              <w:bottom w:val="single" w:sz="4" w:space="0" w:color="auto"/>
              <w:right w:val="single" w:sz="4" w:space="0" w:color="auto"/>
            </w:tcBorders>
            <w:shd w:val="clear" w:color="auto" w:fill="auto"/>
            <w:noWrap/>
            <w:vAlign w:val="bottom"/>
            <w:hideMark/>
          </w:tcPr>
          <w:p w14:paraId="7DBFC2A7"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9B690B"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2519A5E3"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63FDB59A"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697DE6B2" w14:textId="77777777" w:rsidTr="00524C99">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B03069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86" w:type="dxa"/>
            <w:tcBorders>
              <w:top w:val="nil"/>
              <w:left w:val="nil"/>
              <w:bottom w:val="single" w:sz="4" w:space="0" w:color="auto"/>
              <w:right w:val="single" w:sz="4" w:space="0" w:color="auto"/>
            </w:tcBorders>
            <w:shd w:val="clear" w:color="auto" w:fill="auto"/>
            <w:noWrap/>
            <w:vAlign w:val="bottom"/>
            <w:hideMark/>
          </w:tcPr>
          <w:p w14:paraId="2E21C293"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03" w:type="dxa"/>
            <w:tcBorders>
              <w:top w:val="nil"/>
              <w:left w:val="nil"/>
              <w:bottom w:val="single" w:sz="4" w:space="0" w:color="auto"/>
              <w:right w:val="single" w:sz="4" w:space="0" w:color="auto"/>
            </w:tcBorders>
            <w:shd w:val="clear" w:color="auto" w:fill="auto"/>
            <w:noWrap/>
            <w:vAlign w:val="bottom"/>
            <w:hideMark/>
          </w:tcPr>
          <w:p w14:paraId="60325FC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58" w:type="dxa"/>
            <w:tcBorders>
              <w:top w:val="nil"/>
              <w:left w:val="nil"/>
              <w:bottom w:val="single" w:sz="4" w:space="0" w:color="auto"/>
              <w:right w:val="single" w:sz="4" w:space="0" w:color="auto"/>
            </w:tcBorders>
            <w:shd w:val="clear" w:color="auto" w:fill="auto"/>
            <w:noWrap/>
            <w:vAlign w:val="bottom"/>
            <w:hideMark/>
          </w:tcPr>
          <w:p w14:paraId="0792834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C431E3"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BA902D"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573A0FD3" w14:textId="77777777" w:rsidR="00D32BCA" w:rsidRPr="00C27CFA" w:rsidRDefault="007D0511"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$172,001</w:t>
            </w:r>
          </w:p>
        </w:tc>
      </w:tr>
    </w:tbl>
    <w:p w14:paraId="1E081AB9" w14:textId="77777777" w:rsidR="0010037F" w:rsidRDefault="0010037F" w:rsidP="0010037F">
      <w:pPr>
        <w:pStyle w:val="NormalWeb"/>
        <w:rPr>
          <w:b/>
        </w:rPr>
      </w:pPr>
      <w:r w:rsidRPr="0010037F">
        <w:rPr>
          <w:b/>
        </w:rPr>
        <w:t>Testing the market for additional Support Services</w:t>
      </w:r>
    </w:p>
    <w:p w14:paraId="37F5FFCD" w14:textId="0FDB5CA2" w:rsidR="00631270" w:rsidRPr="0010037F" w:rsidRDefault="00631270" w:rsidP="0010037F">
      <w:pPr>
        <w:pStyle w:val="NormalWeb"/>
        <w:rPr>
          <w:b/>
        </w:rPr>
      </w:pPr>
      <w:r w:rsidRPr="00A70D2F">
        <w:t xml:space="preserve">Based on the outcomes of the co-design activities new guidance will be developed to support an approach to market for new support services. </w:t>
      </w:r>
      <w:r w:rsidR="00C52D65" w:rsidRPr="00A70D2F">
        <w:t xml:space="preserve">It is assumed there will be approximately 60 organisations that will submit a response to an approach to market of which it is assumed </w:t>
      </w:r>
      <w:r w:rsidR="00030B7B">
        <w:t xml:space="preserve">around </w:t>
      </w:r>
      <w:r w:rsidR="00C52D65" w:rsidRPr="00A70D2F">
        <w:t xml:space="preserve">55 will be successful in becoming a provider of support services. </w:t>
      </w:r>
      <w:r w:rsidRPr="00A70D2F">
        <w:t>The regulatory cost of testing the market for additi</w:t>
      </w:r>
      <w:r w:rsidR="00456F59">
        <w:t>onal Support Services includes;</w:t>
      </w:r>
    </w:p>
    <w:p w14:paraId="73633815" w14:textId="77777777" w:rsidR="00631270" w:rsidRPr="00A70D2F" w:rsidRDefault="00631270" w:rsidP="000A025F">
      <w:pPr>
        <w:pStyle w:val="ListParagraph"/>
        <w:numPr>
          <w:ilvl w:val="0"/>
          <w:numId w:val="56"/>
        </w:numPr>
        <w:spacing w:after="0" w:line="240" w:lineRule="auto"/>
      </w:pPr>
      <w:r w:rsidRPr="00A70D2F">
        <w:t>Testing the market for additional Support Services</w:t>
      </w:r>
    </w:p>
    <w:p w14:paraId="406B6AF3" w14:textId="77777777" w:rsidR="00631270" w:rsidRPr="00A70D2F" w:rsidRDefault="00631270" w:rsidP="000A025F">
      <w:pPr>
        <w:pStyle w:val="ListParagraph"/>
        <w:numPr>
          <w:ilvl w:val="0"/>
          <w:numId w:val="56"/>
        </w:numPr>
        <w:spacing w:after="0" w:line="240" w:lineRule="auto"/>
      </w:pPr>
      <w:r w:rsidRPr="00A70D2F">
        <w:t>Providers of</w:t>
      </w:r>
      <w:r w:rsidR="00030B7B">
        <w:t xml:space="preserve"> Support S</w:t>
      </w:r>
      <w:r w:rsidRPr="00A70D2F">
        <w:t>ervices sign agreements</w:t>
      </w:r>
    </w:p>
    <w:p w14:paraId="73F2C6B7" w14:textId="77777777" w:rsidR="00631270" w:rsidRPr="00A70D2F" w:rsidRDefault="00030B7B" w:rsidP="000A025F">
      <w:pPr>
        <w:pStyle w:val="ListParagraph"/>
        <w:numPr>
          <w:ilvl w:val="0"/>
          <w:numId w:val="56"/>
        </w:numPr>
        <w:spacing w:after="0" w:line="240" w:lineRule="auto"/>
      </w:pPr>
      <w:r>
        <w:t>Providers of Support S</w:t>
      </w:r>
      <w:r w:rsidR="00631270" w:rsidRPr="00A70D2F">
        <w:t>ervices do performance reporting</w:t>
      </w:r>
    </w:p>
    <w:p w14:paraId="43BE3D89" w14:textId="509F42CE" w:rsidR="00EC08A0" w:rsidRDefault="00EC08A0">
      <w:r>
        <w:br w:type="page"/>
      </w:r>
    </w:p>
    <w:p w14:paraId="744B8FB3" w14:textId="4EF08C54" w:rsidR="00524C99" w:rsidRDefault="00524C99" w:rsidP="00493E2B">
      <w:pPr>
        <w:spacing w:after="0" w:line="240" w:lineRule="auto"/>
        <w:rPr>
          <w:rFonts w:ascii="Calibri" w:eastAsia="Times New Roman" w:hAnsi="Calibri" w:cs="Calibri"/>
          <w:b/>
          <w:bCs/>
          <w:color w:val="000000"/>
          <w:sz w:val="16"/>
          <w:szCs w:val="16"/>
          <w:lang w:eastAsia="en-AU"/>
        </w:rPr>
      </w:pPr>
      <w:r w:rsidRPr="00A70D2F">
        <w:rPr>
          <w:rFonts w:ascii="Calibri" w:eastAsia="Times New Roman" w:hAnsi="Calibri" w:cs="Calibri"/>
          <w:b/>
          <w:bCs/>
          <w:color w:val="000000"/>
          <w:sz w:val="16"/>
          <w:szCs w:val="16"/>
          <w:lang w:eastAsia="en-AU"/>
        </w:rPr>
        <w:t>Testing the market for additional Support Services</w:t>
      </w:r>
    </w:p>
    <w:tbl>
      <w:tblPr>
        <w:tblW w:w="8364" w:type="dxa"/>
        <w:tblInd w:w="-5" w:type="dxa"/>
        <w:tblLook w:val="04A0" w:firstRow="1" w:lastRow="0" w:firstColumn="1" w:lastColumn="0" w:noHBand="0" w:noVBand="1"/>
        <w:tblDescription w:val="Testing the market for additional Support Services"/>
      </w:tblPr>
      <w:tblGrid>
        <w:gridCol w:w="838"/>
        <w:gridCol w:w="2423"/>
        <w:gridCol w:w="1701"/>
        <w:gridCol w:w="1134"/>
        <w:gridCol w:w="992"/>
        <w:gridCol w:w="1276"/>
      </w:tblGrid>
      <w:tr w:rsidR="001B3DBB" w:rsidRPr="00A70D2F" w14:paraId="142518F1" w14:textId="77777777" w:rsidTr="007C4131">
        <w:trPr>
          <w:trHeight w:val="300"/>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20326"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14:paraId="0D1FA3C5"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DA83AD"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14:paraId="06FA45CA"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03DD"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1B3DBB" w:rsidRPr="00A70D2F" w14:paraId="09AAC7F6" w14:textId="77777777" w:rsidTr="007C4131">
        <w:trPr>
          <w:trHeight w:val="300"/>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6E3A9F5A"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c>
          <w:tcPr>
            <w:tcW w:w="2423" w:type="dxa"/>
            <w:tcBorders>
              <w:top w:val="nil"/>
              <w:left w:val="nil"/>
              <w:bottom w:val="single" w:sz="4" w:space="0" w:color="auto"/>
              <w:right w:val="single" w:sz="4" w:space="0" w:color="auto"/>
            </w:tcBorders>
            <w:shd w:val="clear" w:color="auto" w:fill="auto"/>
            <w:noWrap/>
            <w:vAlign w:val="bottom"/>
            <w:hideMark/>
          </w:tcPr>
          <w:p w14:paraId="5A003CAD"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1701" w:type="dxa"/>
            <w:tcBorders>
              <w:top w:val="nil"/>
              <w:left w:val="nil"/>
              <w:bottom w:val="single" w:sz="4" w:space="0" w:color="auto"/>
              <w:right w:val="single" w:sz="4" w:space="0" w:color="auto"/>
            </w:tcBorders>
            <w:shd w:val="clear" w:color="auto" w:fill="auto"/>
            <w:noWrap/>
            <w:vAlign w:val="bottom"/>
            <w:hideMark/>
          </w:tcPr>
          <w:p w14:paraId="562491C9"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staff</w:t>
            </w:r>
          </w:p>
        </w:tc>
        <w:tc>
          <w:tcPr>
            <w:tcW w:w="1134" w:type="dxa"/>
            <w:tcBorders>
              <w:top w:val="nil"/>
              <w:left w:val="nil"/>
              <w:bottom w:val="single" w:sz="4" w:space="0" w:color="auto"/>
              <w:right w:val="single" w:sz="4" w:space="0" w:color="auto"/>
            </w:tcBorders>
            <w:shd w:val="clear" w:color="auto" w:fill="auto"/>
            <w:noWrap/>
            <w:vAlign w:val="bottom"/>
            <w:hideMark/>
          </w:tcPr>
          <w:p w14:paraId="53F9BD29"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992" w:type="dxa"/>
            <w:tcBorders>
              <w:top w:val="nil"/>
              <w:left w:val="nil"/>
              <w:bottom w:val="single" w:sz="4" w:space="0" w:color="auto"/>
              <w:right w:val="single" w:sz="4" w:space="0" w:color="auto"/>
            </w:tcBorders>
            <w:shd w:val="clear" w:color="auto" w:fill="auto"/>
            <w:noWrap/>
            <w:vAlign w:val="bottom"/>
            <w:hideMark/>
          </w:tcPr>
          <w:p w14:paraId="2EDAB26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F9D69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r>
      <w:tr w:rsidR="001B3DBB" w:rsidRPr="00A70D2F" w14:paraId="2E666E8E"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7C5DF1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2423" w:type="dxa"/>
            <w:tcBorders>
              <w:top w:val="nil"/>
              <w:left w:val="nil"/>
              <w:bottom w:val="single" w:sz="4" w:space="0" w:color="auto"/>
              <w:right w:val="single" w:sz="4" w:space="0" w:color="auto"/>
            </w:tcBorders>
            <w:shd w:val="clear" w:color="auto" w:fill="auto"/>
            <w:noWrap/>
            <w:vAlign w:val="bottom"/>
            <w:hideMark/>
          </w:tcPr>
          <w:p w14:paraId="7D0B599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786AD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A79F7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369E28A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8B130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1C8ABA80"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AAC043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2423" w:type="dxa"/>
            <w:tcBorders>
              <w:top w:val="nil"/>
              <w:left w:val="nil"/>
              <w:bottom w:val="single" w:sz="4" w:space="0" w:color="auto"/>
              <w:right w:val="single" w:sz="4" w:space="0" w:color="auto"/>
            </w:tcBorders>
            <w:shd w:val="clear" w:color="auto" w:fill="auto"/>
            <w:noWrap/>
            <w:vAlign w:val="bottom"/>
            <w:hideMark/>
          </w:tcPr>
          <w:p w14:paraId="242BA361"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27867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5DA4D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6F88EB3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B4C8D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595BB51E"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1218FDA"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2423" w:type="dxa"/>
            <w:tcBorders>
              <w:top w:val="nil"/>
              <w:left w:val="nil"/>
              <w:bottom w:val="single" w:sz="4" w:space="0" w:color="auto"/>
              <w:right w:val="single" w:sz="4" w:space="0" w:color="auto"/>
            </w:tcBorders>
            <w:shd w:val="clear" w:color="auto" w:fill="auto"/>
            <w:noWrap/>
            <w:vAlign w:val="bottom"/>
            <w:hideMark/>
          </w:tcPr>
          <w:p w14:paraId="4F985F6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60</w:t>
            </w:r>
          </w:p>
        </w:tc>
        <w:tc>
          <w:tcPr>
            <w:tcW w:w="1701" w:type="dxa"/>
            <w:tcBorders>
              <w:top w:val="nil"/>
              <w:left w:val="nil"/>
              <w:bottom w:val="single" w:sz="4" w:space="0" w:color="auto"/>
              <w:right w:val="single" w:sz="4" w:space="0" w:color="auto"/>
            </w:tcBorders>
            <w:shd w:val="clear" w:color="auto" w:fill="auto"/>
            <w:noWrap/>
            <w:vAlign w:val="bottom"/>
            <w:hideMark/>
          </w:tcPr>
          <w:p w14:paraId="23900D7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noWrap/>
            <w:vAlign w:val="bottom"/>
            <w:hideMark/>
          </w:tcPr>
          <w:p w14:paraId="68625AE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992" w:type="dxa"/>
            <w:tcBorders>
              <w:top w:val="nil"/>
              <w:left w:val="nil"/>
              <w:bottom w:val="single" w:sz="4" w:space="0" w:color="auto"/>
              <w:right w:val="single" w:sz="4" w:space="0" w:color="auto"/>
            </w:tcBorders>
            <w:shd w:val="clear" w:color="auto" w:fill="auto"/>
            <w:noWrap/>
            <w:vAlign w:val="bottom"/>
            <w:hideMark/>
          </w:tcPr>
          <w:p w14:paraId="2046891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276" w:type="dxa"/>
            <w:tcBorders>
              <w:top w:val="nil"/>
              <w:left w:val="nil"/>
              <w:bottom w:val="single" w:sz="4" w:space="0" w:color="auto"/>
              <w:right w:val="single" w:sz="4" w:space="0" w:color="auto"/>
            </w:tcBorders>
            <w:shd w:val="clear" w:color="auto" w:fill="auto"/>
            <w:noWrap/>
            <w:vAlign w:val="bottom"/>
            <w:hideMark/>
          </w:tcPr>
          <w:p w14:paraId="4D0524A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$9,556</w:t>
            </w:r>
          </w:p>
        </w:tc>
      </w:tr>
      <w:tr w:rsidR="001B3DBB" w:rsidRPr="00A70D2F" w14:paraId="1ABA8588"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E401E4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2423" w:type="dxa"/>
            <w:tcBorders>
              <w:top w:val="nil"/>
              <w:left w:val="nil"/>
              <w:bottom w:val="single" w:sz="4" w:space="0" w:color="auto"/>
              <w:right w:val="single" w:sz="4" w:space="0" w:color="auto"/>
            </w:tcBorders>
            <w:shd w:val="clear" w:color="auto" w:fill="auto"/>
            <w:noWrap/>
            <w:vAlign w:val="bottom"/>
            <w:hideMark/>
          </w:tcPr>
          <w:p w14:paraId="6CD7917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24F3869A"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7F80D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0F7D6E4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9FB5A0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2D98C02B"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0A17FF6"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2423" w:type="dxa"/>
            <w:tcBorders>
              <w:top w:val="nil"/>
              <w:left w:val="nil"/>
              <w:bottom w:val="single" w:sz="4" w:space="0" w:color="auto"/>
              <w:right w:val="single" w:sz="4" w:space="0" w:color="auto"/>
            </w:tcBorders>
            <w:shd w:val="clear" w:color="auto" w:fill="auto"/>
            <w:noWrap/>
            <w:vAlign w:val="bottom"/>
            <w:hideMark/>
          </w:tcPr>
          <w:p w14:paraId="4EB6B3C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521B5745"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EFDB0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75B2FAD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6E4D7BF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40F3CD76"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810EF96"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2423" w:type="dxa"/>
            <w:tcBorders>
              <w:top w:val="nil"/>
              <w:left w:val="nil"/>
              <w:bottom w:val="single" w:sz="4" w:space="0" w:color="auto"/>
              <w:right w:val="single" w:sz="4" w:space="0" w:color="auto"/>
            </w:tcBorders>
            <w:shd w:val="clear" w:color="auto" w:fill="auto"/>
            <w:noWrap/>
            <w:vAlign w:val="bottom"/>
            <w:hideMark/>
          </w:tcPr>
          <w:p w14:paraId="1CC42FA7"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2D64CB3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D4197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79E22EC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7529000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48A2E8D2"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41E0081"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2423" w:type="dxa"/>
            <w:tcBorders>
              <w:top w:val="nil"/>
              <w:left w:val="nil"/>
              <w:bottom w:val="single" w:sz="4" w:space="0" w:color="auto"/>
              <w:right w:val="single" w:sz="4" w:space="0" w:color="auto"/>
            </w:tcBorders>
            <w:shd w:val="clear" w:color="auto" w:fill="auto"/>
            <w:noWrap/>
            <w:vAlign w:val="bottom"/>
            <w:hideMark/>
          </w:tcPr>
          <w:p w14:paraId="6E06507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34AE6BE"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82A8F7"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0E98F07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C4CC80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466AB7E9"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CCA9B2E"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2423" w:type="dxa"/>
            <w:tcBorders>
              <w:top w:val="nil"/>
              <w:left w:val="nil"/>
              <w:bottom w:val="single" w:sz="4" w:space="0" w:color="auto"/>
              <w:right w:val="single" w:sz="4" w:space="0" w:color="auto"/>
            </w:tcBorders>
            <w:shd w:val="clear" w:color="auto" w:fill="auto"/>
            <w:noWrap/>
            <w:vAlign w:val="bottom"/>
            <w:hideMark/>
          </w:tcPr>
          <w:p w14:paraId="73AFF3D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402AB841"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EB692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7F2E11A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568F42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81595D2"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71E2D4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2423" w:type="dxa"/>
            <w:tcBorders>
              <w:top w:val="nil"/>
              <w:left w:val="nil"/>
              <w:bottom w:val="single" w:sz="4" w:space="0" w:color="auto"/>
              <w:right w:val="single" w:sz="4" w:space="0" w:color="auto"/>
            </w:tcBorders>
            <w:shd w:val="clear" w:color="auto" w:fill="auto"/>
            <w:noWrap/>
            <w:vAlign w:val="bottom"/>
            <w:hideMark/>
          </w:tcPr>
          <w:p w14:paraId="2BBBC92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5E206DCD"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2137C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1E64984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432488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1E26B5AC"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F21824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2423" w:type="dxa"/>
            <w:tcBorders>
              <w:top w:val="nil"/>
              <w:left w:val="nil"/>
              <w:bottom w:val="single" w:sz="4" w:space="0" w:color="auto"/>
              <w:right w:val="single" w:sz="4" w:space="0" w:color="auto"/>
            </w:tcBorders>
            <w:shd w:val="clear" w:color="auto" w:fill="auto"/>
            <w:noWrap/>
            <w:vAlign w:val="bottom"/>
            <w:hideMark/>
          </w:tcPr>
          <w:p w14:paraId="638F308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701" w:type="dxa"/>
            <w:tcBorders>
              <w:top w:val="nil"/>
              <w:left w:val="nil"/>
              <w:bottom w:val="single" w:sz="4" w:space="0" w:color="auto"/>
              <w:right w:val="single" w:sz="4" w:space="0" w:color="auto"/>
            </w:tcBorders>
            <w:shd w:val="clear" w:color="auto" w:fill="auto"/>
            <w:noWrap/>
            <w:vAlign w:val="bottom"/>
            <w:hideMark/>
          </w:tcPr>
          <w:p w14:paraId="0745DCB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308C3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477F842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01FE91A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4A858DCC"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E144095"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423" w:type="dxa"/>
            <w:tcBorders>
              <w:top w:val="nil"/>
              <w:left w:val="nil"/>
              <w:bottom w:val="single" w:sz="4" w:space="0" w:color="auto"/>
              <w:right w:val="single" w:sz="4" w:space="0" w:color="auto"/>
            </w:tcBorders>
            <w:shd w:val="clear" w:color="auto" w:fill="auto"/>
            <w:noWrap/>
            <w:vAlign w:val="bottom"/>
            <w:hideMark/>
          </w:tcPr>
          <w:p w14:paraId="79FE6E57"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DBF41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310E2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51F7925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21B57CE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$9,556</w:t>
            </w:r>
          </w:p>
        </w:tc>
      </w:tr>
    </w:tbl>
    <w:p w14:paraId="009DA9D3" w14:textId="77777777" w:rsidR="001B3DBB" w:rsidRPr="007567BC" w:rsidRDefault="001B3DBB" w:rsidP="001B3DBB">
      <w:pPr>
        <w:spacing w:before="240" w:after="0" w:line="240" w:lineRule="auto"/>
        <w:rPr>
          <w:rFonts w:ascii="Calibri" w:eastAsia="Times New Roman" w:hAnsi="Calibri" w:cs="Calibri"/>
          <w:b/>
          <w:bCs/>
          <w:color w:val="000000"/>
          <w:sz w:val="16"/>
          <w:szCs w:val="16"/>
          <w:lang w:eastAsia="en-AU"/>
        </w:rPr>
      </w:pPr>
      <w:r w:rsidRPr="00A70D2F">
        <w:rPr>
          <w:rFonts w:ascii="Calibri" w:eastAsia="Times New Roman" w:hAnsi="Calibri" w:cs="Calibri"/>
          <w:b/>
          <w:bCs/>
          <w:color w:val="000000"/>
          <w:sz w:val="16"/>
          <w:szCs w:val="16"/>
          <w:lang w:eastAsia="en-AU"/>
        </w:rPr>
        <w:t>Providers of Support services sign agreements</w:t>
      </w:r>
    </w:p>
    <w:tbl>
      <w:tblPr>
        <w:tblW w:w="8364" w:type="dxa"/>
        <w:tblInd w:w="-5" w:type="dxa"/>
        <w:tblLook w:val="04A0" w:firstRow="1" w:lastRow="0" w:firstColumn="1" w:lastColumn="0" w:noHBand="0" w:noVBand="1"/>
        <w:tblDescription w:val="Providers of Support services sign agreements"/>
      </w:tblPr>
      <w:tblGrid>
        <w:gridCol w:w="793"/>
        <w:gridCol w:w="1901"/>
        <w:gridCol w:w="2268"/>
        <w:gridCol w:w="1134"/>
        <w:gridCol w:w="992"/>
        <w:gridCol w:w="1276"/>
      </w:tblGrid>
      <w:tr w:rsidR="001B3DBB" w:rsidRPr="00A70D2F" w14:paraId="605D4D0A" w14:textId="77777777" w:rsidTr="007C4131">
        <w:trPr>
          <w:trHeight w:val="300"/>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8A78B"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901" w:type="dxa"/>
            <w:tcBorders>
              <w:top w:val="single" w:sz="4" w:space="0" w:color="auto"/>
              <w:left w:val="nil"/>
              <w:bottom w:val="single" w:sz="4" w:space="0" w:color="auto"/>
              <w:right w:val="single" w:sz="4" w:space="0" w:color="auto"/>
            </w:tcBorders>
            <w:shd w:val="clear" w:color="auto" w:fill="auto"/>
            <w:noWrap/>
            <w:vAlign w:val="bottom"/>
            <w:hideMark/>
          </w:tcPr>
          <w:p w14:paraId="04905991"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0C8B4FE"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14:paraId="1ED43949"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6429"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1B3DBB" w:rsidRPr="00A70D2F" w14:paraId="46197C0A" w14:textId="77777777" w:rsidTr="007C4131">
        <w:trPr>
          <w:trHeight w:val="30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766151C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c>
          <w:tcPr>
            <w:tcW w:w="1901" w:type="dxa"/>
            <w:tcBorders>
              <w:top w:val="nil"/>
              <w:left w:val="nil"/>
              <w:bottom w:val="single" w:sz="4" w:space="0" w:color="auto"/>
              <w:right w:val="single" w:sz="4" w:space="0" w:color="auto"/>
            </w:tcBorders>
            <w:shd w:val="clear" w:color="auto" w:fill="auto"/>
            <w:noWrap/>
            <w:vAlign w:val="bottom"/>
            <w:hideMark/>
          </w:tcPr>
          <w:p w14:paraId="0E8BDECC"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2268" w:type="dxa"/>
            <w:tcBorders>
              <w:top w:val="nil"/>
              <w:left w:val="nil"/>
              <w:bottom w:val="single" w:sz="4" w:space="0" w:color="auto"/>
              <w:right w:val="single" w:sz="4" w:space="0" w:color="auto"/>
            </w:tcBorders>
            <w:shd w:val="clear" w:color="auto" w:fill="auto"/>
            <w:noWrap/>
            <w:vAlign w:val="bottom"/>
            <w:hideMark/>
          </w:tcPr>
          <w:p w14:paraId="26EEE9F0"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number</w:t>
            </w:r>
            <w:r w:rsidRPr="00A70D2F">
              <w:rPr>
                <w:rFonts w:ascii="Calibri" w:eastAsia="Times New Roman" w:hAnsi="Calibri" w:cs="Calibri"/>
                <w:color w:val="000000"/>
                <w:sz w:val="16"/>
                <w:szCs w:val="16"/>
                <w:lang w:eastAsia="en-AU"/>
              </w:rPr>
              <w:t xml:space="preserve"> of staff</w:t>
            </w:r>
          </w:p>
        </w:tc>
        <w:tc>
          <w:tcPr>
            <w:tcW w:w="1134" w:type="dxa"/>
            <w:tcBorders>
              <w:top w:val="nil"/>
              <w:left w:val="nil"/>
              <w:bottom w:val="single" w:sz="4" w:space="0" w:color="auto"/>
              <w:right w:val="single" w:sz="4" w:space="0" w:color="auto"/>
            </w:tcBorders>
            <w:shd w:val="clear" w:color="auto" w:fill="auto"/>
            <w:noWrap/>
            <w:vAlign w:val="bottom"/>
            <w:hideMark/>
          </w:tcPr>
          <w:p w14:paraId="36916E03"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992" w:type="dxa"/>
            <w:tcBorders>
              <w:top w:val="nil"/>
              <w:left w:val="nil"/>
              <w:bottom w:val="single" w:sz="4" w:space="0" w:color="auto"/>
              <w:right w:val="single" w:sz="4" w:space="0" w:color="auto"/>
            </w:tcBorders>
            <w:shd w:val="clear" w:color="auto" w:fill="auto"/>
            <w:noWrap/>
            <w:vAlign w:val="bottom"/>
            <w:hideMark/>
          </w:tcPr>
          <w:p w14:paraId="04362A0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F8211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r>
      <w:tr w:rsidR="001B3DBB" w:rsidRPr="00A70D2F" w14:paraId="0AA58533"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5AB876EE"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901" w:type="dxa"/>
            <w:tcBorders>
              <w:top w:val="nil"/>
              <w:left w:val="nil"/>
              <w:bottom w:val="single" w:sz="4" w:space="0" w:color="auto"/>
              <w:right w:val="single" w:sz="4" w:space="0" w:color="auto"/>
            </w:tcBorders>
            <w:shd w:val="clear" w:color="auto" w:fill="auto"/>
            <w:noWrap/>
            <w:vAlign w:val="bottom"/>
            <w:hideMark/>
          </w:tcPr>
          <w:p w14:paraId="71B7667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23E3EE6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3DBE5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2DBC9A3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747B2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3404026E"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0AF3BCF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901" w:type="dxa"/>
            <w:tcBorders>
              <w:top w:val="nil"/>
              <w:left w:val="nil"/>
              <w:bottom w:val="single" w:sz="4" w:space="0" w:color="auto"/>
              <w:right w:val="single" w:sz="4" w:space="0" w:color="auto"/>
            </w:tcBorders>
            <w:shd w:val="clear" w:color="auto" w:fill="auto"/>
            <w:noWrap/>
            <w:vAlign w:val="bottom"/>
            <w:hideMark/>
          </w:tcPr>
          <w:p w14:paraId="43A3FAA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04D3029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16A68F"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360077A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FBAC0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576410EF"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18DE0709"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901" w:type="dxa"/>
            <w:tcBorders>
              <w:top w:val="nil"/>
              <w:left w:val="nil"/>
              <w:bottom w:val="single" w:sz="4" w:space="0" w:color="auto"/>
              <w:right w:val="single" w:sz="4" w:space="0" w:color="auto"/>
            </w:tcBorders>
            <w:shd w:val="clear" w:color="auto" w:fill="auto"/>
            <w:noWrap/>
            <w:vAlign w:val="bottom"/>
            <w:hideMark/>
          </w:tcPr>
          <w:p w14:paraId="18C0AC47"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55</w:t>
            </w:r>
          </w:p>
        </w:tc>
        <w:tc>
          <w:tcPr>
            <w:tcW w:w="2268" w:type="dxa"/>
            <w:tcBorders>
              <w:top w:val="nil"/>
              <w:left w:val="nil"/>
              <w:bottom w:val="single" w:sz="4" w:space="0" w:color="auto"/>
              <w:right w:val="single" w:sz="4" w:space="0" w:color="auto"/>
            </w:tcBorders>
            <w:shd w:val="clear" w:color="auto" w:fill="auto"/>
            <w:noWrap/>
            <w:vAlign w:val="bottom"/>
            <w:hideMark/>
          </w:tcPr>
          <w:p w14:paraId="329DE8A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noWrap/>
            <w:vAlign w:val="bottom"/>
            <w:hideMark/>
          </w:tcPr>
          <w:p w14:paraId="6EF20AE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0.5</w:t>
            </w:r>
          </w:p>
        </w:tc>
        <w:tc>
          <w:tcPr>
            <w:tcW w:w="992" w:type="dxa"/>
            <w:tcBorders>
              <w:top w:val="nil"/>
              <w:left w:val="nil"/>
              <w:bottom w:val="single" w:sz="4" w:space="0" w:color="auto"/>
              <w:right w:val="single" w:sz="4" w:space="0" w:color="auto"/>
            </w:tcBorders>
            <w:shd w:val="clear" w:color="auto" w:fill="auto"/>
            <w:noWrap/>
            <w:vAlign w:val="bottom"/>
            <w:hideMark/>
          </w:tcPr>
          <w:p w14:paraId="569841E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276" w:type="dxa"/>
            <w:tcBorders>
              <w:top w:val="nil"/>
              <w:left w:val="nil"/>
              <w:bottom w:val="single" w:sz="4" w:space="0" w:color="auto"/>
              <w:right w:val="single" w:sz="4" w:space="0" w:color="auto"/>
            </w:tcBorders>
            <w:shd w:val="clear" w:color="auto" w:fill="auto"/>
            <w:noWrap/>
            <w:vAlign w:val="bottom"/>
            <w:hideMark/>
          </w:tcPr>
          <w:p w14:paraId="2A248DE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$2,190</w:t>
            </w:r>
          </w:p>
        </w:tc>
      </w:tr>
      <w:tr w:rsidR="001B3DBB" w:rsidRPr="00A70D2F" w14:paraId="249536A4"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34EA880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901" w:type="dxa"/>
            <w:tcBorders>
              <w:top w:val="nil"/>
              <w:left w:val="nil"/>
              <w:bottom w:val="single" w:sz="4" w:space="0" w:color="auto"/>
              <w:right w:val="single" w:sz="4" w:space="0" w:color="auto"/>
            </w:tcBorders>
            <w:shd w:val="clear" w:color="auto" w:fill="auto"/>
            <w:noWrap/>
            <w:vAlign w:val="bottom"/>
            <w:hideMark/>
          </w:tcPr>
          <w:p w14:paraId="2470466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0249FEE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C4350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6132992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6D2AF8B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227D570"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0B5DEC4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901" w:type="dxa"/>
            <w:tcBorders>
              <w:top w:val="nil"/>
              <w:left w:val="nil"/>
              <w:bottom w:val="single" w:sz="4" w:space="0" w:color="auto"/>
              <w:right w:val="single" w:sz="4" w:space="0" w:color="auto"/>
            </w:tcBorders>
            <w:shd w:val="clear" w:color="auto" w:fill="auto"/>
            <w:noWrap/>
            <w:vAlign w:val="bottom"/>
            <w:hideMark/>
          </w:tcPr>
          <w:p w14:paraId="2D3D0F5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1A82705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1DB85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2435B48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3B5C61F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60F0F9A"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2D34222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901" w:type="dxa"/>
            <w:tcBorders>
              <w:top w:val="nil"/>
              <w:left w:val="nil"/>
              <w:bottom w:val="single" w:sz="4" w:space="0" w:color="auto"/>
              <w:right w:val="single" w:sz="4" w:space="0" w:color="auto"/>
            </w:tcBorders>
            <w:shd w:val="clear" w:color="auto" w:fill="auto"/>
            <w:noWrap/>
            <w:vAlign w:val="bottom"/>
            <w:hideMark/>
          </w:tcPr>
          <w:p w14:paraId="440FCED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2D7E2A27"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3E82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688E96D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13D41B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57F6226"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6AD66607"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901" w:type="dxa"/>
            <w:tcBorders>
              <w:top w:val="nil"/>
              <w:left w:val="nil"/>
              <w:bottom w:val="single" w:sz="4" w:space="0" w:color="auto"/>
              <w:right w:val="single" w:sz="4" w:space="0" w:color="auto"/>
            </w:tcBorders>
            <w:shd w:val="clear" w:color="auto" w:fill="auto"/>
            <w:noWrap/>
            <w:vAlign w:val="bottom"/>
            <w:hideMark/>
          </w:tcPr>
          <w:p w14:paraId="3E1507A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47D2E409"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8315B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3FE515A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27B768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73BFA4A"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62E539B9"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901" w:type="dxa"/>
            <w:tcBorders>
              <w:top w:val="nil"/>
              <w:left w:val="nil"/>
              <w:bottom w:val="single" w:sz="4" w:space="0" w:color="auto"/>
              <w:right w:val="single" w:sz="4" w:space="0" w:color="auto"/>
            </w:tcBorders>
            <w:shd w:val="clear" w:color="auto" w:fill="auto"/>
            <w:noWrap/>
            <w:vAlign w:val="bottom"/>
            <w:hideMark/>
          </w:tcPr>
          <w:p w14:paraId="0EE459F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695BC71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F2D62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7F0EE44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795905AF"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09D0CC0E"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02FDE27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901" w:type="dxa"/>
            <w:tcBorders>
              <w:top w:val="nil"/>
              <w:left w:val="nil"/>
              <w:bottom w:val="single" w:sz="4" w:space="0" w:color="auto"/>
              <w:right w:val="single" w:sz="4" w:space="0" w:color="auto"/>
            </w:tcBorders>
            <w:shd w:val="clear" w:color="auto" w:fill="auto"/>
            <w:noWrap/>
            <w:vAlign w:val="bottom"/>
            <w:hideMark/>
          </w:tcPr>
          <w:p w14:paraId="60E6CE0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117B66C6"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227E3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344FE37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77D6E30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6949C3DE"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2A30EB43"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901" w:type="dxa"/>
            <w:tcBorders>
              <w:top w:val="nil"/>
              <w:left w:val="nil"/>
              <w:bottom w:val="single" w:sz="4" w:space="0" w:color="auto"/>
              <w:right w:val="single" w:sz="4" w:space="0" w:color="auto"/>
            </w:tcBorders>
            <w:shd w:val="clear" w:color="auto" w:fill="auto"/>
            <w:noWrap/>
            <w:vAlign w:val="bottom"/>
            <w:hideMark/>
          </w:tcPr>
          <w:p w14:paraId="31BE295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268" w:type="dxa"/>
            <w:tcBorders>
              <w:top w:val="nil"/>
              <w:left w:val="nil"/>
              <w:bottom w:val="single" w:sz="4" w:space="0" w:color="auto"/>
              <w:right w:val="single" w:sz="4" w:space="0" w:color="auto"/>
            </w:tcBorders>
            <w:shd w:val="clear" w:color="auto" w:fill="auto"/>
            <w:noWrap/>
            <w:vAlign w:val="bottom"/>
            <w:hideMark/>
          </w:tcPr>
          <w:p w14:paraId="67445A0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3D8DB6"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0872658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7AE6AF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58E30C94" w14:textId="77777777" w:rsidTr="007C4131">
        <w:trPr>
          <w:trHeight w:val="30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4DEC0273"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901" w:type="dxa"/>
            <w:tcBorders>
              <w:top w:val="nil"/>
              <w:left w:val="nil"/>
              <w:bottom w:val="single" w:sz="4" w:space="0" w:color="auto"/>
              <w:right w:val="single" w:sz="4" w:space="0" w:color="auto"/>
            </w:tcBorders>
            <w:shd w:val="clear" w:color="auto" w:fill="auto"/>
            <w:noWrap/>
            <w:vAlign w:val="bottom"/>
            <w:hideMark/>
          </w:tcPr>
          <w:p w14:paraId="7226D7B5"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2E241A"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2BE246"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4E944F53"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2AB4105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$2,190</w:t>
            </w:r>
          </w:p>
        </w:tc>
      </w:tr>
    </w:tbl>
    <w:p w14:paraId="19666E19" w14:textId="77777777" w:rsidR="001B3DBB" w:rsidRDefault="001B3DBB" w:rsidP="00EC08A0">
      <w:pPr>
        <w:spacing w:before="240" w:after="0"/>
      </w:pPr>
      <w:r w:rsidRPr="00A70D2F">
        <w:rPr>
          <w:rFonts w:ascii="Calibri" w:eastAsia="Times New Roman" w:hAnsi="Calibri" w:cs="Calibri"/>
          <w:b/>
          <w:bCs/>
          <w:color w:val="000000"/>
          <w:sz w:val="16"/>
          <w:szCs w:val="16"/>
          <w:lang w:eastAsia="en-AU"/>
        </w:rPr>
        <w:t>Providers of Support services do performance reporting</w:t>
      </w:r>
    </w:p>
    <w:tbl>
      <w:tblPr>
        <w:tblW w:w="8364" w:type="dxa"/>
        <w:tblInd w:w="-5" w:type="dxa"/>
        <w:tblLook w:val="04A0" w:firstRow="1" w:lastRow="0" w:firstColumn="1" w:lastColumn="0" w:noHBand="0" w:noVBand="1"/>
        <w:tblDescription w:val="Providers of Support services do performance reporting"/>
      </w:tblPr>
      <w:tblGrid>
        <w:gridCol w:w="838"/>
        <w:gridCol w:w="1714"/>
        <w:gridCol w:w="2410"/>
        <w:gridCol w:w="1134"/>
        <w:gridCol w:w="992"/>
        <w:gridCol w:w="1276"/>
      </w:tblGrid>
      <w:tr w:rsidR="001B3DBB" w:rsidRPr="00A70D2F" w14:paraId="6AA3A7F3" w14:textId="77777777" w:rsidTr="007C4131">
        <w:trPr>
          <w:trHeight w:val="300"/>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70E1"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4E91945"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D7B2203"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14:paraId="77D4C4E6"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967A"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1B3DBB" w:rsidRPr="00A70D2F" w14:paraId="3BA737D9" w14:textId="77777777" w:rsidTr="007C4131">
        <w:trPr>
          <w:trHeight w:val="300"/>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236F091E"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c>
          <w:tcPr>
            <w:tcW w:w="1714" w:type="dxa"/>
            <w:tcBorders>
              <w:top w:val="nil"/>
              <w:left w:val="nil"/>
              <w:bottom w:val="single" w:sz="4" w:space="0" w:color="auto"/>
              <w:right w:val="single" w:sz="4" w:space="0" w:color="auto"/>
            </w:tcBorders>
            <w:shd w:val="clear" w:color="auto" w:fill="auto"/>
            <w:noWrap/>
            <w:vAlign w:val="bottom"/>
            <w:hideMark/>
          </w:tcPr>
          <w:p w14:paraId="75BD96B1"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businesses</w:t>
            </w:r>
          </w:p>
        </w:tc>
        <w:tc>
          <w:tcPr>
            <w:tcW w:w="2410" w:type="dxa"/>
            <w:tcBorders>
              <w:top w:val="nil"/>
              <w:left w:val="nil"/>
              <w:bottom w:val="single" w:sz="4" w:space="0" w:color="auto"/>
              <w:right w:val="single" w:sz="4" w:space="0" w:color="auto"/>
            </w:tcBorders>
            <w:shd w:val="clear" w:color="auto" w:fill="auto"/>
            <w:noWrap/>
            <w:vAlign w:val="bottom"/>
            <w:hideMark/>
          </w:tcPr>
          <w:p w14:paraId="054AF97E" w14:textId="77777777" w:rsidR="001B3DBB" w:rsidRPr="00A70D2F" w:rsidRDefault="001B3DBB" w:rsidP="007C4131">
            <w:pPr>
              <w:spacing w:after="0" w:line="240" w:lineRule="auto"/>
              <w:jc w:val="center"/>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number</w:t>
            </w:r>
            <w:r w:rsidRPr="00A70D2F">
              <w:rPr>
                <w:rFonts w:ascii="Calibri" w:eastAsia="Times New Roman" w:hAnsi="Calibri" w:cs="Calibri"/>
                <w:color w:val="000000"/>
                <w:sz w:val="16"/>
                <w:szCs w:val="16"/>
                <w:lang w:eastAsia="en-AU"/>
              </w:rPr>
              <w:t xml:space="preserve"> of staff</w:t>
            </w:r>
          </w:p>
        </w:tc>
        <w:tc>
          <w:tcPr>
            <w:tcW w:w="1134" w:type="dxa"/>
            <w:tcBorders>
              <w:top w:val="nil"/>
              <w:left w:val="nil"/>
              <w:bottom w:val="single" w:sz="4" w:space="0" w:color="auto"/>
              <w:right w:val="single" w:sz="4" w:space="0" w:color="auto"/>
            </w:tcBorders>
            <w:shd w:val="clear" w:color="auto" w:fill="auto"/>
            <w:noWrap/>
            <w:vAlign w:val="bottom"/>
            <w:hideMark/>
          </w:tcPr>
          <w:p w14:paraId="28520D8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time in hours</w:t>
            </w:r>
          </w:p>
        </w:tc>
        <w:tc>
          <w:tcPr>
            <w:tcW w:w="992" w:type="dxa"/>
            <w:tcBorders>
              <w:top w:val="nil"/>
              <w:left w:val="nil"/>
              <w:bottom w:val="single" w:sz="4" w:space="0" w:color="auto"/>
              <w:right w:val="single" w:sz="4" w:space="0" w:color="auto"/>
            </w:tcBorders>
            <w:shd w:val="clear" w:color="auto" w:fill="auto"/>
            <w:noWrap/>
            <w:vAlign w:val="bottom"/>
            <w:hideMark/>
          </w:tcPr>
          <w:p w14:paraId="6EDE853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AA0C5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p>
        </w:tc>
      </w:tr>
      <w:tr w:rsidR="001B3DBB" w:rsidRPr="00A70D2F" w14:paraId="23E73848"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916510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714" w:type="dxa"/>
            <w:tcBorders>
              <w:top w:val="nil"/>
              <w:left w:val="nil"/>
              <w:bottom w:val="single" w:sz="4" w:space="0" w:color="auto"/>
              <w:right w:val="single" w:sz="4" w:space="0" w:color="auto"/>
            </w:tcBorders>
            <w:shd w:val="clear" w:color="auto" w:fill="auto"/>
            <w:noWrap/>
            <w:vAlign w:val="bottom"/>
            <w:hideMark/>
          </w:tcPr>
          <w:p w14:paraId="08305C0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42475F7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2754A4"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4AE6F8AF"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DF3B0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15EAEBB1"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866EE5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714" w:type="dxa"/>
            <w:tcBorders>
              <w:top w:val="nil"/>
              <w:left w:val="nil"/>
              <w:bottom w:val="single" w:sz="4" w:space="0" w:color="auto"/>
              <w:right w:val="single" w:sz="4" w:space="0" w:color="auto"/>
            </w:tcBorders>
            <w:shd w:val="clear" w:color="auto" w:fill="auto"/>
            <w:noWrap/>
            <w:vAlign w:val="bottom"/>
            <w:hideMark/>
          </w:tcPr>
          <w:p w14:paraId="1FD30ED9"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7EED62F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FB5AA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0CD285E1"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66B2E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0B953C16"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060A49D"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714" w:type="dxa"/>
            <w:tcBorders>
              <w:top w:val="nil"/>
              <w:left w:val="nil"/>
              <w:bottom w:val="single" w:sz="4" w:space="0" w:color="auto"/>
              <w:right w:val="single" w:sz="4" w:space="0" w:color="auto"/>
            </w:tcBorders>
            <w:shd w:val="clear" w:color="auto" w:fill="auto"/>
            <w:noWrap/>
            <w:vAlign w:val="bottom"/>
            <w:hideMark/>
          </w:tcPr>
          <w:p w14:paraId="4698078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55</w:t>
            </w:r>
          </w:p>
        </w:tc>
        <w:tc>
          <w:tcPr>
            <w:tcW w:w="2410" w:type="dxa"/>
            <w:tcBorders>
              <w:top w:val="nil"/>
              <w:left w:val="nil"/>
              <w:bottom w:val="single" w:sz="4" w:space="0" w:color="auto"/>
              <w:right w:val="single" w:sz="4" w:space="0" w:color="auto"/>
            </w:tcBorders>
            <w:shd w:val="clear" w:color="auto" w:fill="auto"/>
            <w:noWrap/>
            <w:vAlign w:val="bottom"/>
            <w:hideMark/>
          </w:tcPr>
          <w:p w14:paraId="5165C6D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noWrap/>
            <w:vAlign w:val="bottom"/>
            <w:hideMark/>
          </w:tcPr>
          <w:p w14:paraId="488A2F86"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992" w:type="dxa"/>
            <w:tcBorders>
              <w:top w:val="nil"/>
              <w:left w:val="nil"/>
              <w:bottom w:val="single" w:sz="4" w:space="0" w:color="auto"/>
              <w:right w:val="single" w:sz="4" w:space="0" w:color="auto"/>
            </w:tcBorders>
            <w:shd w:val="clear" w:color="auto" w:fill="auto"/>
            <w:noWrap/>
            <w:vAlign w:val="bottom"/>
            <w:hideMark/>
          </w:tcPr>
          <w:p w14:paraId="784E0676"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276" w:type="dxa"/>
            <w:tcBorders>
              <w:top w:val="nil"/>
              <w:left w:val="nil"/>
              <w:bottom w:val="single" w:sz="4" w:space="0" w:color="auto"/>
              <w:right w:val="single" w:sz="4" w:space="0" w:color="auto"/>
            </w:tcBorders>
            <w:shd w:val="clear" w:color="auto" w:fill="auto"/>
            <w:noWrap/>
            <w:vAlign w:val="bottom"/>
            <w:hideMark/>
          </w:tcPr>
          <w:p w14:paraId="645AD47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$8,759</w:t>
            </w:r>
          </w:p>
        </w:tc>
      </w:tr>
      <w:tr w:rsidR="001B3DBB" w:rsidRPr="00A70D2F" w14:paraId="53DE995D"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72ED89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714" w:type="dxa"/>
            <w:tcBorders>
              <w:top w:val="nil"/>
              <w:left w:val="nil"/>
              <w:bottom w:val="single" w:sz="4" w:space="0" w:color="auto"/>
              <w:right w:val="single" w:sz="4" w:space="0" w:color="auto"/>
            </w:tcBorders>
            <w:shd w:val="clear" w:color="auto" w:fill="auto"/>
            <w:noWrap/>
            <w:vAlign w:val="bottom"/>
            <w:hideMark/>
          </w:tcPr>
          <w:p w14:paraId="5B3795A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55</w:t>
            </w:r>
          </w:p>
        </w:tc>
        <w:tc>
          <w:tcPr>
            <w:tcW w:w="2410" w:type="dxa"/>
            <w:tcBorders>
              <w:top w:val="nil"/>
              <w:left w:val="nil"/>
              <w:bottom w:val="single" w:sz="4" w:space="0" w:color="auto"/>
              <w:right w:val="single" w:sz="4" w:space="0" w:color="auto"/>
            </w:tcBorders>
            <w:shd w:val="clear" w:color="auto" w:fill="auto"/>
            <w:noWrap/>
            <w:vAlign w:val="bottom"/>
            <w:hideMark/>
          </w:tcPr>
          <w:p w14:paraId="7E74490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noWrap/>
            <w:vAlign w:val="bottom"/>
            <w:hideMark/>
          </w:tcPr>
          <w:p w14:paraId="4E22A84C"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992" w:type="dxa"/>
            <w:tcBorders>
              <w:top w:val="nil"/>
              <w:left w:val="nil"/>
              <w:bottom w:val="single" w:sz="4" w:space="0" w:color="auto"/>
              <w:right w:val="single" w:sz="4" w:space="0" w:color="auto"/>
            </w:tcBorders>
            <w:shd w:val="clear" w:color="auto" w:fill="auto"/>
            <w:noWrap/>
            <w:vAlign w:val="bottom"/>
            <w:hideMark/>
          </w:tcPr>
          <w:p w14:paraId="229F572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276" w:type="dxa"/>
            <w:tcBorders>
              <w:top w:val="nil"/>
              <w:left w:val="nil"/>
              <w:bottom w:val="single" w:sz="4" w:space="0" w:color="auto"/>
              <w:right w:val="single" w:sz="4" w:space="0" w:color="auto"/>
            </w:tcBorders>
            <w:shd w:val="clear" w:color="auto" w:fill="auto"/>
            <w:noWrap/>
            <w:vAlign w:val="bottom"/>
            <w:hideMark/>
          </w:tcPr>
          <w:p w14:paraId="55DE7FE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$8,759</w:t>
            </w:r>
          </w:p>
        </w:tc>
      </w:tr>
      <w:tr w:rsidR="001B3DBB" w:rsidRPr="00A70D2F" w14:paraId="62F10606"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DAE5EB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714" w:type="dxa"/>
            <w:tcBorders>
              <w:top w:val="nil"/>
              <w:left w:val="nil"/>
              <w:bottom w:val="single" w:sz="4" w:space="0" w:color="auto"/>
              <w:right w:val="single" w:sz="4" w:space="0" w:color="auto"/>
            </w:tcBorders>
            <w:shd w:val="clear" w:color="auto" w:fill="auto"/>
            <w:noWrap/>
            <w:vAlign w:val="bottom"/>
            <w:hideMark/>
          </w:tcPr>
          <w:p w14:paraId="4573D1A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55</w:t>
            </w:r>
          </w:p>
        </w:tc>
        <w:tc>
          <w:tcPr>
            <w:tcW w:w="2410" w:type="dxa"/>
            <w:tcBorders>
              <w:top w:val="nil"/>
              <w:left w:val="nil"/>
              <w:bottom w:val="single" w:sz="4" w:space="0" w:color="auto"/>
              <w:right w:val="single" w:sz="4" w:space="0" w:color="auto"/>
            </w:tcBorders>
            <w:shd w:val="clear" w:color="auto" w:fill="auto"/>
            <w:noWrap/>
            <w:vAlign w:val="bottom"/>
            <w:hideMark/>
          </w:tcPr>
          <w:p w14:paraId="073F626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noWrap/>
            <w:vAlign w:val="bottom"/>
            <w:hideMark/>
          </w:tcPr>
          <w:p w14:paraId="25AE64E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w:t>
            </w:r>
          </w:p>
        </w:tc>
        <w:tc>
          <w:tcPr>
            <w:tcW w:w="992" w:type="dxa"/>
            <w:tcBorders>
              <w:top w:val="nil"/>
              <w:left w:val="nil"/>
              <w:bottom w:val="single" w:sz="4" w:space="0" w:color="auto"/>
              <w:right w:val="single" w:sz="4" w:space="0" w:color="auto"/>
            </w:tcBorders>
            <w:shd w:val="clear" w:color="auto" w:fill="auto"/>
            <w:noWrap/>
            <w:vAlign w:val="bottom"/>
            <w:hideMark/>
          </w:tcPr>
          <w:p w14:paraId="2E62C6B1"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276" w:type="dxa"/>
            <w:tcBorders>
              <w:top w:val="nil"/>
              <w:left w:val="nil"/>
              <w:bottom w:val="single" w:sz="4" w:space="0" w:color="auto"/>
              <w:right w:val="single" w:sz="4" w:space="0" w:color="auto"/>
            </w:tcBorders>
            <w:shd w:val="clear" w:color="auto" w:fill="auto"/>
            <w:noWrap/>
            <w:vAlign w:val="bottom"/>
            <w:hideMark/>
          </w:tcPr>
          <w:p w14:paraId="1E6D520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$8,759</w:t>
            </w:r>
          </w:p>
        </w:tc>
      </w:tr>
      <w:tr w:rsidR="001B3DBB" w:rsidRPr="00A70D2F" w14:paraId="45D1C2C4"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380FD74"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714" w:type="dxa"/>
            <w:tcBorders>
              <w:top w:val="nil"/>
              <w:left w:val="nil"/>
              <w:bottom w:val="single" w:sz="4" w:space="0" w:color="auto"/>
              <w:right w:val="single" w:sz="4" w:space="0" w:color="auto"/>
            </w:tcBorders>
            <w:shd w:val="clear" w:color="auto" w:fill="auto"/>
            <w:noWrap/>
            <w:vAlign w:val="bottom"/>
            <w:hideMark/>
          </w:tcPr>
          <w:p w14:paraId="16882CD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012D554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2D537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3CE7F1CB"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933DDD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37E56A6F"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B29AE40"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714" w:type="dxa"/>
            <w:tcBorders>
              <w:top w:val="nil"/>
              <w:left w:val="nil"/>
              <w:bottom w:val="single" w:sz="4" w:space="0" w:color="auto"/>
              <w:right w:val="single" w:sz="4" w:space="0" w:color="auto"/>
            </w:tcBorders>
            <w:shd w:val="clear" w:color="auto" w:fill="auto"/>
            <w:noWrap/>
            <w:vAlign w:val="bottom"/>
            <w:hideMark/>
          </w:tcPr>
          <w:p w14:paraId="290E86F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2D5BC68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DB45D7"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5B131010"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5C102E"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55628447"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731073A"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714" w:type="dxa"/>
            <w:tcBorders>
              <w:top w:val="nil"/>
              <w:left w:val="nil"/>
              <w:bottom w:val="single" w:sz="4" w:space="0" w:color="auto"/>
              <w:right w:val="single" w:sz="4" w:space="0" w:color="auto"/>
            </w:tcBorders>
            <w:shd w:val="clear" w:color="auto" w:fill="auto"/>
            <w:noWrap/>
            <w:vAlign w:val="bottom"/>
            <w:hideMark/>
          </w:tcPr>
          <w:p w14:paraId="2EEF334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298F2AB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65CAD3"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0022EA8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568C09D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2271C565"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F7973BB"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714" w:type="dxa"/>
            <w:tcBorders>
              <w:top w:val="nil"/>
              <w:left w:val="nil"/>
              <w:bottom w:val="single" w:sz="4" w:space="0" w:color="auto"/>
              <w:right w:val="single" w:sz="4" w:space="0" w:color="auto"/>
            </w:tcBorders>
            <w:shd w:val="clear" w:color="auto" w:fill="auto"/>
            <w:noWrap/>
            <w:vAlign w:val="bottom"/>
            <w:hideMark/>
          </w:tcPr>
          <w:p w14:paraId="3159A1E7"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56A4F402"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31C97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3E09D04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988715D"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42F0FA77"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1AE678C"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714" w:type="dxa"/>
            <w:tcBorders>
              <w:top w:val="nil"/>
              <w:left w:val="nil"/>
              <w:bottom w:val="single" w:sz="4" w:space="0" w:color="auto"/>
              <w:right w:val="single" w:sz="4" w:space="0" w:color="auto"/>
            </w:tcBorders>
            <w:shd w:val="clear" w:color="auto" w:fill="auto"/>
            <w:noWrap/>
            <w:vAlign w:val="bottom"/>
            <w:hideMark/>
          </w:tcPr>
          <w:p w14:paraId="1AC70DA6"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2410" w:type="dxa"/>
            <w:tcBorders>
              <w:top w:val="nil"/>
              <w:left w:val="nil"/>
              <w:bottom w:val="single" w:sz="4" w:space="0" w:color="auto"/>
              <w:right w:val="single" w:sz="4" w:space="0" w:color="auto"/>
            </w:tcBorders>
            <w:shd w:val="clear" w:color="auto" w:fill="auto"/>
            <w:noWrap/>
            <w:vAlign w:val="bottom"/>
            <w:hideMark/>
          </w:tcPr>
          <w:p w14:paraId="61635E17"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1D7F75"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14:paraId="52AF82F2"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323F56C8"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1B3DBB" w:rsidRPr="00A70D2F" w14:paraId="5CBE1DDD" w14:textId="77777777" w:rsidTr="007C4131">
        <w:trPr>
          <w:trHeight w:val="3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1C58FD5"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714" w:type="dxa"/>
            <w:tcBorders>
              <w:top w:val="nil"/>
              <w:left w:val="nil"/>
              <w:bottom w:val="single" w:sz="4" w:space="0" w:color="auto"/>
              <w:right w:val="single" w:sz="4" w:space="0" w:color="auto"/>
            </w:tcBorders>
            <w:shd w:val="clear" w:color="auto" w:fill="auto"/>
            <w:noWrap/>
            <w:vAlign w:val="bottom"/>
            <w:hideMark/>
          </w:tcPr>
          <w:p w14:paraId="032BA7BD"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2410" w:type="dxa"/>
            <w:tcBorders>
              <w:top w:val="nil"/>
              <w:left w:val="nil"/>
              <w:bottom w:val="single" w:sz="4" w:space="0" w:color="auto"/>
              <w:right w:val="single" w:sz="4" w:space="0" w:color="auto"/>
            </w:tcBorders>
            <w:shd w:val="clear" w:color="auto" w:fill="auto"/>
            <w:noWrap/>
            <w:vAlign w:val="bottom"/>
            <w:hideMark/>
          </w:tcPr>
          <w:p w14:paraId="3CCEAA78"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6E88E6"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992" w:type="dxa"/>
            <w:tcBorders>
              <w:top w:val="nil"/>
              <w:left w:val="nil"/>
              <w:bottom w:val="single" w:sz="4" w:space="0" w:color="auto"/>
              <w:right w:val="single" w:sz="4" w:space="0" w:color="auto"/>
            </w:tcBorders>
            <w:shd w:val="clear" w:color="auto" w:fill="auto"/>
            <w:noWrap/>
            <w:vAlign w:val="bottom"/>
            <w:hideMark/>
          </w:tcPr>
          <w:p w14:paraId="2E86BF17" w14:textId="77777777" w:rsidR="001B3DBB" w:rsidRPr="00A70D2F" w:rsidRDefault="001B3DBB" w:rsidP="007C4131">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025D9F8A" w14:textId="77777777" w:rsidR="001B3DBB" w:rsidRPr="00A70D2F" w:rsidRDefault="001B3DBB" w:rsidP="007C4131">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$26,278</w:t>
            </w:r>
          </w:p>
        </w:tc>
      </w:tr>
    </w:tbl>
    <w:p w14:paraId="230217DC" w14:textId="77777777" w:rsidR="003F77A2" w:rsidRPr="00A70D2F" w:rsidRDefault="003F77A2" w:rsidP="00D13B96">
      <w:pPr>
        <w:pStyle w:val="NormalWeb"/>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tal cost for testing the market for additional Support Services"/>
      </w:tblPr>
      <w:tblGrid>
        <w:gridCol w:w="5560"/>
        <w:gridCol w:w="1280"/>
      </w:tblGrid>
      <w:tr w:rsidR="00F472E5" w:rsidRPr="00A70D2F" w14:paraId="64FB5E2F" w14:textId="77777777" w:rsidTr="00F472E5">
        <w:trPr>
          <w:trHeight w:val="300"/>
        </w:trPr>
        <w:tc>
          <w:tcPr>
            <w:tcW w:w="5560" w:type="dxa"/>
            <w:shd w:val="clear" w:color="auto" w:fill="auto"/>
            <w:noWrap/>
            <w:vAlign w:val="bottom"/>
            <w:hideMark/>
          </w:tcPr>
          <w:p w14:paraId="225A2113" w14:textId="77777777" w:rsidR="00F472E5" w:rsidRPr="00A70D2F" w:rsidRDefault="00F472E5" w:rsidP="00F472E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Testing the market for new Support Services</w:t>
            </w:r>
          </w:p>
        </w:tc>
        <w:tc>
          <w:tcPr>
            <w:tcW w:w="1280" w:type="dxa"/>
            <w:shd w:val="clear" w:color="auto" w:fill="auto"/>
            <w:noWrap/>
            <w:vAlign w:val="bottom"/>
            <w:hideMark/>
          </w:tcPr>
          <w:p w14:paraId="76B3A62F" w14:textId="77777777" w:rsidR="00F472E5" w:rsidRPr="00A70D2F" w:rsidRDefault="00F472E5" w:rsidP="00F472E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$9,556</w:t>
            </w:r>
          </w:p>
        </w:tc>
      </w:tr>
      <w:tr w:rsidR="00F472E5" w:rsidRPr="00A70D2F" w14:paraId="53CA961A" w14:textId="77777777" w:rsidTr="00F472E5">
        <w:trPr>
          <w:trHeight w:val="300"/>
        </w:trPr>
        <w:tc>
          <w:tcPr>
            <w:tcW w:w="5560" w:type="dxa"/>
            <w:shd w:val="clear" w:color="auto" w:fill="auto"/>
            <w:noWrap/>
            <w:vAlign w:val="bottom"/>
            <w:hideMark/>
          </w:tcPr>
          <w:p w14:paraId="1A59121C" w14:textId="77777777" w:rsidR="00F472E5" w:rsidRPr="00A70D2F" w:rsidRDefault="00F472E5" w:rsidP="00F472E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Providers of Support services sign agreements</w:t>
            </w:r>
          </w:p>
        </w:tc>
        <w:tc>
          <w:tcPr>
            <w:tcW w:w="1280" w:type="dxa"/>
            <w:shd w:val="clear" w:color="auto" w:fill="auto"/>
            <w:noWrap/>
            <w:vAlign w:val="bottom"/>
            <w:hideMark/>
          </w:tcPr>
          <w:p w14:paraId="66187843" w14:textId="77777777" w:rsidR="00F472E5" w:rsidRPr="00A70D2F" w:rsidRDefault="00F472E5" w:rsidP="00F472E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$2,190</w:t>
            </w:r>
          </w:p>
        </w:tc>
      </w:tr>
      <w:tr w:rsidR="00F472E5" w:rsidRPr="00A70D2F" w14:paraId="2133FEA8" w14:textId="77777777" w:rsidTr="00F472E5">
        <w:trPr>
          <w:trHeight w:val="300"/>
        </w:trPr>
        <w:tc>
          <w:tcPr>
            <w:tcW w:w="5560" w:type="dxa"/>
            <w:shd w:val="clear" w:color="auto" w:fill="auto"/>
            <w:noWrap/>
            <w:vAlign w:val="bottom"/>
            <w:hideMark/>
          </w:tcPr>
          <w:p w14:paraId="1DED55A3" w14:textId="77777777" w:rsidR="00F472E5" w:rsidRPr="00A70D2F" w:rsidRDefault="00F472E5" w:rsidP="00F472E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Providers of Support services do performance reporting</w:t>
            </w:r>
          </w:p>
        </w:tc>
        <w:tc>
          <w:tcPr>
            <w:tcW w:w="1280" w:type="dxa"/>
            <w:shd w:val="clear" w:color="auto" w:fill="auto"/>
            <w:noWrap/>
            <w:vAlign w:val="bottom"/>
            <w:hideMark/>
          </w:tcPr>
          <w:p w14:paraId="34FB2129" w14:textId="77777777" w:rsidR="00F472E5" w:rsidRPr="00A70D2F" w:rsidRDefault="00F472E5" w:rsidP="00F472E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$26,278</w:t>
            </w:r>
          </w:p>
        </w:tc>
      </w:tr>
      <w:tr w:rsidR="00F472E5" w:rsidRPr="00A70D2F" w14:paraId="65703E2E" w14:textId="77777777" w:rsidTr="00F472E5">
        <w:trPr>
          <w:trHeight w:val="300"/>
        </w:trPr>
        <w:tc>
          <w:tcPr>
            <w:tcW w:w="5560" w:type="dxa"/>
            <w:shd w:val="clear" w:color="auto" w:fill="auto"/>
            <w:noWrap/>
            <w:vAlign w:val="bottom"/>
            <w:hideMark/>
          </w:tcPr>
          <w:p w14:paraId="62BD47EC" w14:textId="77777777" w:rsidR="00F472E5" w:rsidRPr="00A70D2F" w:rsidRDefault="00F472E5" w:rsidP="00F472E5">
            <w:pPr>
              <w:spacing w:after="0" w:line="240" w:lineRule="auto"/>
              <w:jc w:val="right"/>
              <w:rPr>
                <w:rFonts w:ascii="Calibri" w:eastAsia="Times New Roman" w:hAnsi="Calibri" w:cs="Calibri"/>
                <w:b/>
                <w:color w:val="000000"/>
                <w:sz w:val="16"/>
                <w:szCs w:val="16"/>
                <w:lang w:eastAsia="en-AU"/>
              </w:rPr>
            </w:pPr>
            <w:r w:rsidRPr="00A70D2F">
              <w:rPr>
                <w:rFonts w:ascii="Calibri" w:eastAsia="Times New Roman" w:hAnsi="Calibri" w:cs="Calibri"/>
                <w:b/>
                <w:color w:val="000000"/>
                <w:sz w:val="16"/>
                <w:szCs w:val="16"/>
                <w:lang w:eastAsia="en-AU"/>
              </w:rPr>
              <w:t>Total</w:t>
            </w:r>
          </w:p>
        </w:tc>
        <w:tc>
          <w:tcPr>
            <w:tcW w:w="1280" w:type="dxa"/>
            <w:shd w:val="clear" w:color="auto" w:fill="auto"/>
            <w:noWrap/>
            <w:vAlign w:val="bottom"/>
            <w:hideMark/>
          </w:tcPr>
          <w:p w14:paraId="127D2139" w14:textId="77777777" w:rsidR="00F472E5" w:rsidRPr="00A70D2F" w:rsidRDefault="00F472E5" w:rsidP="00F472E5">
            <w:pPr>
              <w:spacing w:after="0" w:line="240" w:lineRule="auto"/>
              <w:jc w:val="right"/>
              <w:rPr>
                <w:rFonts w:ascii="Calibri" w:eastAsia="Times New Roman" w:hAnsi="Calibri" w:cs="Calibri"/>
                <w:b/>
                <w:color w:val="000000"/>
                <w:sz w:val="16"/>
                <w:szCs w:val="16"/>
                <w:lang w:eastAsia="en-AU"/>
              </w:rPr>
            </w:pPr>
            <w:r w:rsidRPr="00A70D2F">
              <w:rPr>
                <w:rFonts w:ascii="Calibri" w:eastAsia="Times New Roman" w:hAnsi="Calibri" w:cs="Calibri"/>
                <w:b/>
                <w:color w:val="000000"/>
                <w:sz w:val="16"/>
                <w:szCs w:val="16"/>
                <w:lang w:eastAsia="en-AU"/>
              </w:rPr>
              <w:t>$38,023</w:t>
            </w:r>
          </w:p>
        </w:tc>
      </w:tr>
    </w:tbl>
    <w:p w14:paraId="1E0E4693" w14:textId="77777777" w:rsidR="0097348C" w:rsidRPr="00A70D2F" w:rsidRDefault="0097348C" w:rsidP="0097348C">
      <w:pPr>
        <w:pStyle w:val="NormalWeb"/>
      </w:pPr>
      <w:r w:rsidRPr="00A70D2F">
        <w:t xml:space="preserve">Total Business regulatory </w:t>
      </w:r>
      <w:r w:rsidRPr="00C27CFA">
        <w:t xml:space="preserve">cost: </w:t>
      </w:r>
      <w:r w:rsidR="007E2263" w:rsidRPr="00C27CFA">
        <w:t>$213,382</w:t>
      </w:r>
    </w:p>
    <w:p w14:paraId="2AA5B7DA" w14:textId="36D5BD84" w:rsidR="002F5431" w:rsidRPr="00A70D2F" w:rsidRDefault="0038083B" w:rsidP="00296846">
      <w:pPr>
        <w:pStyle w:val="Heading4"/>
      </w:pPr>
      <w:r w:rsidRPr="00A70D2F">
        <w:t>4.2.3.4</w:t>
      </w:r>
      <w:r w:rsidR="001D411F" w:rsidRPr="00A70D2F">
        <w:t>.3</w:t>
      </w:r>
      <w:r w:rsidRPr="00A70D2F">
        <w:t xml:space="preserve"> </w:t>
      </w:r>
      <w:r w:rsidR="002F5431" w:rsidRPr="00A70D2F">
        <w:t>Government</w:t>
      </w:r>
    </w:p>
    <w:p w14:paraId="328AE5E3" w14:textId="1D512593" w:rsidR="00524C99" w:rsidRDefault="00631270" w:rsidP="00631270">
      <w:pPr>
        <w:pStyle w:val="BodyText"/>
        <w:rPr>
          <w:rFonts w:ascii="Calibri" w:eastAsia="Times New Roman" w:hAnsi="Calibri" w:cs="Calibri"/>
          <w:b/>
          <w:bCs/>
          <w:color w:val="000000"/>
          <w:sz w:val="16"/>
          <w:szCs w:val="16"/>
          <w:lang w:eastAsia="en-AU"/>
        </w:rPr>
      </w:pPr>
      <w:r w:rsidRPr="00A70D2F">
        <w:t>This includes the regulatory cost of government entities such as the police, hospital administrator and school administrators to participant in local co-design activities.</w:t>
      </w:r>
    </w:p>
    <w:p w14:paraId="15A1F814" w14:textId="77777777" w:rsidR="00631270" w:rsidRPr="00A70D2F" w:rsidRDefault="007E2263" w:rsidP="00631270">
      <w:pPr>
        <w:pStyle w:val="BodyText"/>
      </w:pPr>
      <w:r>
        <w:rPr>
          <w:rFonts w:ascii="Calibri" w:eastAsia="Times New Roman" w:hAnsi="Calibri" w:cs="Calibri"/>
          <w:b/>
          <w:bCs/>
          <w:color w:val="000000"/>
          <w:sz w:val="16"/>
          <w:szCs w:val="16"/>
          <w:lang w:eastAsia="en-AU"/>
        </w:rPr>
        <w:t>Co-design of Support Services</w:t>
      </w:r>
      <w:r w:rsidR="00524C99" w:rsidRPr="00A70D2F">
        <w:rPr>
          <w:rFonts w:ascii="Calibri" w:eastAsia="Times New Roman" w:hAnsi="Calibri" w:cs="Calibri"/>
          <w:b/>
          <w:bCs/>
          <w:color w:val="000000"/>
          <w:sz w:val="16"/>
          <w:szCs w:val="16"/>
          <w:lang w:eastAsia="en-AU"/>
        </w:rPr>
        <w:t xml:space="preserve"> -</w:t>
      </w:r>
      <w:r>
        <w:rPr>
          <w:rFonts w:ascii="Calibri" w:eastAsia="Times New Roman" w:hAnsi="Calibri" w:cs="Calibri"/>
          <w:b/>
          <w:bCs/>
          <w:color w:val="000000"/>
          <w:sz w:val="16"/>
          <w:szCs w:val="16"/>
          <w:lang w:eastAsia="en-AU"/>
        </w:rPr>
        <w:t xml:space="preserve"> </w:t>
      </w:r>
      <w:r w:rsidR="00524C99" w:rsidRPr="00A70D2F">
        <w:rPr>
          <w:rFonts w:ascii="Calibri" w:eastAsia="Times New Roman" w:hAnsi="Calibri" w:cs="Calibri"/>
          <w:b/>
          <w:bCs/>
          <w:color w:val="000000"/>
          <w:sz w:val="16"/>
          <w:szCs w:val="16"/>
          <w:lang w:eastAsia="en-AU"/>
        </w:rPr>
        <w:t>state and territory involvement</w:t>
      </w:r>
    </w:p>
    <w:tbl>
      <w:tblPr>
        <w:tblW w:w="8500" w:type="dxa"/>
        <w:tblInd w:w="-5" w:type="dxa"/>
        <w:tblLook w:val="04A0" w:firstRow="1" w:lastRow="0" w:firstColumn="1" w:lastColumn="0" w:noHBand="0" w:noVBand="1"/>
        <w:tblDescription w:val="Co-Design of Support Services - state and territory involvement"/>
      </w:tblPr>
      <w:tblGrid>
        <w:gridCol w:w="660"/>
        <w:gridCol w:w="1260"/>
        <w:gridCol w:w="1276"/>
        <w:gridCol w:w="1624"/>
        <w:gridCol w:w="1320"/>
        <w:gridCol w:w="1180"/>
        <w:gridCol w:w="1180"/>
      </w:tblGrid>
      <w:tr w:rsidR="00802745" w:rsidRPr="00A70D2F" w14:paraId="7442DB83" w14:textId="77777777" w:rsidTr="00524C99">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DD1A" w14:textId="77777777" w:rsidR="00802745" w:rsidRPr="00A70D2F" w:rsidRDefault="00802745" w:rsidP="00802745">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4CED02" w14:textId="77777777" w:rsidR="00802745" w:rsidRPr="00A70D2F" w:rsidRDefault="00802745" w:rsidP="00802745">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5400" w:type="dxa"/>
            <w:gridSpan w:val="4"/>
            <w:tcBorders>
              <w:top w:val="single" w:sz="4" w:space="0" w:color="auto"/>
              <w:left w:val="nil"/>
              <w:bottom w:val="single" w:sz="4" w:space="0" w:color="auto"/>
              <w:right w:val="single" w:sz="4" w:space="0" w:color="auto"/>
            </w:tcBorders>
            <w:shd w:val="clear" w:color="auto" w:fill="auto"/>
            <w:vAlign w:val="bottom"/>
            <w:hideMark/>
          </w:tcPr>
          <w:p w14:paraId="252D5945" w14:textId="77777777" w:rsidR="00802745" w:rsidRPr="00A70D2F" w:rsidRDefault="00802745" w:rsidP="00802745">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79FE" w14:textId="77777777" w:rsidR="00802745" w:rsidRPr="00A70D2F" w:rsidRDefault="00802745" w:rsidP="00802745">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802745" w:rsidRPr="00A70D2F" w14:paraId="747947E0" w14:textId="77777777" w:rsidTr="00524C99">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3EC336A"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p>
        </w:tc>
        <w:tc>
          <w:tcPr>
            <w:tcW w:w="1260" w:type="dxa"/>
            <w:tcBorders>
              <w:top w:val="nil"/>
              <w:left w:val="nil"/>
              <w:bottom w:val="single" w:sz="4" w:space="0" w:color="auto"/>
              <w:right w:val="single" w:sz="4" w:space="0" w:color="auto"/>
            </w:tcBorders>
            <w:shd w:val="clear" w:color="auto" w:fill="auto"/>
            <w:noWrap/>
            <w:vAlign w:val="bottom"/>
            <w:hideMark/>
          </w:tcPr>
          <w:p w14:paraId="577D490A" w14:textId="77777777" w:rsidR="00802745" w:rsidRPr="00A70D2F" w:rsidRDefault="00802745" w:rsidP="00802745">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locations</w:t>
            </w:r>
          </w:p>
        </w:tc>
        <w:tc>
          <w:tcPr>
            <w:tcW w:w="1276" w:type="dxa"/>
            <w:tcBorders>
              <w:top w:val="nil"/>
              <w:left w:val="nil"/>
              <w:bottom w:val="single" w:sz="4" w:space="0" w:color="auto"/>
              <w:right w:val="single" w:sz="4" w:space="0" w:color="auto"/>
            </w:tcBorders>
            <w:shd w:val="clear" w:color="auto" w:fill="auto"/>
            <w:noWrap/>
            <w:vAlign w:val="bottom"/>
            <w:hideMark/>
          </w:tcPr>
          <w:p w14:paraId="7C67F52C"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meetings</w:t>
            </w:r>
          </w:p>
        </w:tc>
        <w:tc>
          <w:tcPr>
            <w:tcW w:w="1624" w:type="dxa"/>
            <w:tcBorders>
              <w:top w:val="nil"/>
              <w:left w:val="nil"/>
              <w:bottom w:val="single" w:sz="4" w:space="0" w:color="auto"/>
              <w:right w:val="single" w:sz="4" w:space="0" w:color="auto"/>
            </w:tcBorders>
            <w:shd w:val="clear" w:color="auto" w:fill="auto"/>
            <w:noWrap/>
            <w:vAlign w:val="bottom"/>
            <w:hideMark/>
          </w:tcPr>
          <w:p w14:paraId="3B359272"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organisations</w:t>
            </w:r>
          </w:p>
        </w:tc>
        <w:tc>
          <w:tcPr>
            <w:tcW w:w="1320" w:type="dxa"/>
            <w:tcBorders>
              <w:top w:val="nil"/>
              <w:left w:val="nil"/>
              <w:bottom w:val="single" w:sz="4" w:space="0" w:color="auto"/>
              <w:right w:val="single" w:sz="4" w:space="0" w:color="auto"/>
            </w:tcBorders>
            <w:shd w:val="clear" w:color="auto" w:fill="auto"/>
            <w:noWrap/>
            <w:vAlign w:val="bottom"/>
            <w:hideMark/>
          </w:tcPr>
          <w:p w14:paraId="113FE3D4"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hours</w:t>
            </w:r>
          </w:p>
        </w:tc>
        <w:tc>
          <w:tcPr>
            <w:tcW w:w="1180" w:type="dxa"/>
            <w:tcBorders>
              <w:top w:val="nil"/>
              <w:left w:val="nil"/>
              <w:bottom w:val="single" w:sz="4" w:space="0" w:color="auto"/>
              <w:right w:val="single" w:sz="4" w:space="0" w:color="auto"/>
            </w:tcBorders>
            <w:shd w:val="clear" w:color="auto" w:fill="auto"/>
            <w:noWrap/>
            <w:vAlign w:val="bottom"/>
            <w:hideMark/>
          </w:tcPr>
          <w:p w14:paraId="5B13E945"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5E8F12E"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p>
        </w:tc>
      </w:tr>
      <w:tr w:rsidR="00802745" w:rsidRPr="00A70D2F" w14:paraId="76CA5E11"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C7583B"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260" w:type="dxa"/>
            <w:tcBorders>
              <w:top w:val="nil"/>
              <w:left w:val="nil"/>
              <w:bottom w:val="single" w:sz="4" w:space="0" w:color="auto"/>
              <w:right w:val="single" w:sz="4" w:space="0" w:color="auto"/>
            </w:tcBorders>
            <w:shd w:val="clear" w:color="auto" w:fill="auto"/>
            <w:noWrap/>
            <w:vAlign w:val="bottom"/>
            <w:hideMark/>
          </w:tcPr>
          <w:p w14:paraId="5990B303"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F30635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1E60C87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0" w:type="dxa"/>
            <w:tcBorders>
              <w:top w:val="nil"/>
              <w:left w:val="nil"/>
              <w:bottom w:val="single" w:sz="4" w:space="0" w:color="auto"/>
              <w:right w:val="single" w:sz="4" w:space="0" w:color="auto"/>
            </w:tcBorders>
            <w:shd w:val="clear" w:color="auto" w:fill="auto"/>
            <w:noWrap/>
            <w:vAlign w:val="bottom"/>
            <w:hideMark/>
          </w:tcPr>
          <w:p w14:paraId="01F85E39"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30435905"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AE405"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11F64572"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C87B29A"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260" w:type="dxa"/>
            <w:tcBorders>
              <w:top w:val="nil"/>
              <w:left w:val="nil"/>
              <w:bottom w:val="single" w:sz="4" w:space="0" w:color="auto"/>
              <w:right w:val="single" w:sz="4" w:space="0" w:color="auto"/>
            </w:tcBorders>
            <w:shd w:val="clear" w:color="auto" w:fill="auto"/>
            <w:noWrap/>
            <w:vAlign w:val="bottom"/>
            <w:hideMark/>
          </w:tcPr>
          <w:p w14:paraId="0CDBA4AD"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61493572"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509443E2"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320" w:type="dxa"/>
            <w:tcBorders>
              <w:top w:val="nil"/>
              <w:left w:val="nil"/>
              <w:bottom w:val="single" w:sz="4" w:space="0" w:color="auto"/>
              <w:right w:val="single" w:sz="4" w:space="0" w:color="auto"/>
            </w:tcBorders>
            <w:shd w:val="clear" w:color="auto" w:fill="auto"/>
            <w:noWrap/>
            <w:vAlign w:val="bottom"/>
            <w:hideMark/>
          </w:tcPr>
          <w:p w14:paraId="62FD1D66"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235DCC44"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607209F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$57,334</w:t>
            </w:r>
          </w:p>
        </w:tc>
      </w:tr>
      <w:tr w:rsidR="00802745" w:rsidRPr="00A70D2F" w14:paraId="31DA3D4A"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D2D6AB"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260" w:type="dxa"/>
            <w:tcBorders>
              <w:top w:val="nil"/>
              <w:left w:val="nil"/>
              <w:bottom w:val="single" w:sz="4" w:space="0" w:color="auto"/>
              <w:right w:val="single" w:sz="4" w:space="0" w:color="auto"/>
            </w:tcBorders>
            <w:shd w:val="clear" w:color="auto" w:fill="auto"/>
            <w:noWrap/>
            <w:vAlign w:val="bottom"/>
            <w:hideMark/>
          </w:tcPr>
          <w:p w14:paraId="46823710"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0C872B98"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38A02456"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320" w:type="dxa"/>
            <w:tcBorders>
              <w:top w:val="nil"/>
              <w:left w:val="nil"/>
              <w:bottom w:val="single" w:sz="4" w:space="0" w:color="auto"/>
              <w:right w:val="single" w:sz="4" w:space="0" w:color="auto"/>
            </w:tcBorders>
            <w:shd w:val="clear" w:color="auto" w:fill="auto"/>
            <w:noWrap/>
            <w:vAlign w:val="bottom"/>
            <w:hideMark/>
          </w:tcPr>
          <w:p w14:paraId="729EC0F8"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4F5DE01B"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5F6B48F1"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$57,334</w:t>
            </w:r>
          </w:p>
        </w:tc>
      </w:tr>
      <w:tr w:rsidR="00802745" w:rsidRPr="00A70D2F" w14:paraId="57DBAC0E"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6DFD67"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260" w:type="dxa"/>
            <w:tcBorders>
              <w:top w:val="nil"/>
              <w:left w:val="nil"/>
              <w:bottom w:val="single" w:sz="4" w:space="0" w:color="auto"/>
              <w:right w:val="single" w:sz="4" w:space="0" w:color="auto"/>
            </w:tcBorders>
            <w:shd w:val="clear" w:color="auto" w:fill="auto"/>
            <w:noWrap/>
            <w:vAlign w:val="bottom"/>
            <w:hideMark/>
          </w:tcPr>
          <w:p w14:paraId="429F10C4"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6B52F974"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6938D791"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w:t>
            </w:r>
          </w:p>
        </w:tc>
        <w:tc>
          <w:tcPr>
            <w:tcW w:w="1320" w:type="dxa"/>
            <w:tcBorders>
              <w:top w:val="nil"/>
              <w:left w:val="nil"/>
              <w:bottom w:val="single" w:sz="4" w:space="0" w:color="auto"/>
              <w:right w:val="single" w:sz="4" w:space="0" w:color="auto"/>
            </w:tcBorders>
            <w:shd w:val="clear" w:color="auto" w:fill="auto"/>
            <w:noWrap/>
            <w:vAlign w:val="bottom"/>
            <w:hideMark/>
          </w:tcPr>
          <w:p w14:paraId="44B2BC67"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17F29662"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507FF4B5"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$57,334</w:t>
            </w:r>
          </w:p>
        </w:tc>
      </w:tr>
      <w:tr w:rsidR="00802745" w:rsidRPr="00A70D2F" w14:paraId="7A48CA09"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6468EF"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260" w:type="dxa"/>
            <w:tcBorders>
              <w:top w:val="nil"/>
              <w:left w:val="nil"/>
              <w:bottom w:val="single" w:sz="4" w:space="0" w:color="auto"/>
              <w:right w:val="single" w:sz="4" w:space="0" w:color="auto"/>
            </w:tcBorders>
            <w:shd w:val="clear" w:color="auto" w:fill="auto"/>
            <w:noWrap/>
            <w:vAlign w:val="bottom"/>
            <w:hideMark/>
          </w:tcPr>
          <w:p w14:paraId="241A561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16686B4"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754A7E01"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5D0EBAB"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EDC9F9"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0F6A40E8"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3FF88C69"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7BBF98"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260" w:type="dxa"/>
            <w:tcBorders>
              <w:top w:val="nil"/>
              <w:left w:val="nil"/>
              <w:bottom w:val="single" w:sz="4" w:space="0" w:color="auto"/>
              <w:right w:val="single" w:sz="4" w:space="0" w:color="auto"/>
            </w:tcBorders>
            <w:shd w:val="clear" w:color="auto" w:fill="auto"/>
            <w:noWrap/>
            <w:vAlign w:val="bottom"/>
            <w:hideMark/>
          </w:tcPr>
          <w:p w14:paraId="0771FBAB"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3AD0939B"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6EBB7BE5"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298CF12F"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0D6E9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6159755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0864D58C"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2F7C40"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260" w:type="dxa"/>
            <w:tcBorders>
              <w:top w:val="nil"/>
              <w:left w:val="nil"/>
              <w:bottom w:val="single" w:sz="4" w:space="0" w:color="auto"/>
              <w:right w:val="single" w:sz="4" w:space="0" w:color="auto"/>
            </w:tcBorders>
            <w:shd w:val="clear" w:color="auto" w:fill="auto"/>
            <w:noWrap/>
            <w:vAlign w:val="bottom"/>
            <w:hideMark/>
          </w:tcPr>
          <w:p w14:paraId="61BE7080"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EEC2C1"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1FB2414E"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148002FD"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FF597D"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1818BF05"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6BB6D79D"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F610E37"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260" w:type="dxa"/>
            <w:tcBorders>
              <w:top w:val="nil"/>
              <w:left w:val="nil"/>
              <w:bottom w:val="single" w:sz="4" w:space="0" w:color="auto"/>
              <w:right w:val="single" w:sz="4" w:space="0" w:color="auto"/>
            </w:tcBorders>
            <w:shd w:val="clear" w:color="auto" w:fill="auto"/>
            <w:noWrap/>
            <w:vAlign w:val="bottom"/>
            <w:hideMark/>
          </w:tcPr>
          <w:p w14:paraId="696B09DA"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A65E109"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4177053D"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10CF61"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F06407"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623A2553"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78A994EF"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07A828B"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260" w:type="dxa"/>
            <w:tcBorders>
              <w:top w:val="nil"/>
              <w:left w:val="nil"/>
              <w:bottom w:val="single" w:sz="4" w:space="0" w:color="auto"/>
              <w:right w:val="single" w:sz="4" w:space="0" w:color="auto"/>
            </w:tcBorders>
            <w:shd w:val="clear" w:color="auto" w:fill="auto"/>
            <w:noWrap/>
            <w:vAlign w:val="bottom"/>
            <w:hideMark/>
          </w:tcPr>
          <w:p w14:paraId="56EEE689"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60F0005"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28808906"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6157069"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86660D"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4205EED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61A56B83"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C3904F"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260" w:type="dxa"/>
            <w:tcBorders>
              <w:top w:val="nil"/>
              <w:left w:val="nil"/>
              <w:bottom w:val="single" w:sz="4" w:space="0" w:color="auto"/>
              <w:right w:val="single" w:sz="4" w:space="0" w:color="auto"/>
            </w:tcBorders>
            <w:shd w:val="clear" w:color="auto" w:fill="auto"/>
            <w:noWrap/>
            <w:vAlign w:val="bottom"/>
            <w:hideMark/>
          </w:tcPr>
          <w:p w14:paraId="1583E75E"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004FAB43"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0B69DFF7"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77C1CA2A"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75A7C1"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B1876F"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802745" w:rsidRPr="00A70D2F" w14:paraId="7D83DFAB" w14:textId="77777777" w:rsidTr="00524C99">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1A77A7"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6D0D31"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A0149A"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24" w:type="dxa"/>
            <w:tcBorders>
              <w:top w:val="nil"/>
              <w:left w:val="nil"/>
              <w:bottom w:val="single" w:sz="4" w:space="0" w:color="auto"/>
              <w:right w:val="single" w:sz="4" w:space="0" w:color="auto"/>
            </w:tcBorders>
            <w:shd w:val="clear" w:color="auto" w:fill="auto"/>
            <w:noWrap/>
            <w:vAlign w:val="bottom"/>
            <w:hideMark/>
          </w:tcPr>
          <w:p w14:paraId="4E431EE7"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0055E49"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FECC3E" w14:textId="77777777" w:rsidR="00802745" w:rsidRPr="00A70D2F" w:rsidRDefault="00802745" w:rsidP="0080274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11EE496F" w14:textId="77777777" w:rsidR="00802745" w:rsidRPr="00A70D2F" w:rsidRDefault="00802745" w:rsidP="0080274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$172,001</w:t>
            </w:r>
          </w:p>
        </w:tc>
      </w:tr>
    </w:tbl>
    <w:p w14:paraId="472893BD" w14:textId="77777777" w:rsidR="002F5431" w:rsidRPr="00A70D2F" w:rsidRDefault="0038083B" w:rsidP="00296846">
      <w:pPr>
        <w:pStyle w:val="Heading4"/>
      </w:pPr>
      <w:r w:rsidRPr="00A70D2F">
        <w:t>4.2.3.5</w:t>
      </w:r>
      <w:r w:rsidR="001D411F" w:rsidRPr="00A70D2F">
        <w:t>.4</w:t>
      </w:r>
      <w:r w:rsidRPr="00A70D2F">
        <w:t xml:space="preserve"> </w:t>
      </w:r>
      <w:r w:rsidR="002F5431" w:rsidRPr="00A70D2F">
        <w:t>Community Organisations</w:t>
      </w:r>
    </w:p>
    <w:p w14:paraId="7AB893CC" w14:textId="77777777" w:rsidR="00631270" w:rsidRDefault="00631270" w:rsidP="00631270">
      <w:pPr>
        <w:pStyle w:val="BodyText"/>
      </w:pPr>
      <w:r w:rsidRPr="00A70D2F">
        <w:t xml:space="preserve">This includes the regulatory cost of </w:t>
      </w:r>
      <w:r w:rsidR="00524C99">
        <w:t>community</w:t>
      </w:r>
      <w:r w:rsidRPr="00A70D2F">
        <w:t xml:space="preserve"> organisations to participant in local co-design activities.</w:t>
      </w:r>
    </w:p>
    <w:p w14:paraId="160AE6A8" w14:textId="77777777" w:rsidR="00524C99" w:rsidRPr="00A70D2F" w:rsidRDefault="00524C99" w:rsidP="00631270">
      <w:pPr>
        <w:pStyle w:val="BodyText"/>
      </w:pPr>
      <w:r>
        <w:rPr>
          <w:rFonts w:ascii="Calibri" w:eastAsia="Times New Roman" w:hAnsi="Calibri" w:cs="Calibri"/>
          <w:b/>
          <w:bCs/>
          <w:color w:val="000000"/>
          <w:sz w:val="16"/>
          <w:szCs w:val="16"/>
          <w:lang w:eastAsia="en-AU"/>
        </w:rPr>
        <w:t xml:space="preserve">Co-design of Support Services </w:t>
      </w:r>
      <w:r w:rsidR="00030B7B">
        <w:rPr>
          <w:rFonts w:ascii="Calibri" w:eastAsia="Times New Roman" w:hAnsi="Calibri" w:cs="Calibri"/>
          <w:b/>
          <w:bCs/>
          <w:color w:val="000000"/>
          <w:sz w:val="16"/>
          <w:szCs w:val="16"/>
          <w:lang w:eastAsia="en-AU"/>
        </w:rPr>
        <w:t xml:space="preserve">-community </w:t>
      </w:r>
      <w:r w:rsidRPr="00A70D2F">
        <w:rPr>
          <w:rFonts w:ascii="Calibri" w:eastAsia="Times New Roman" w:hAnsi="Calibri" w:cs="Calibri"/>
          <w:b/>
          <w:bCs/>
          <w:color w:val="000000"/>
          <w:sz w:val="16"/>
          <w:szCs w:val="16"/>
          <w:lang w:eastAsia="en-AU"/>
        </w:rPr>
        <w:t>organisations</w:t>
      </w:r>
    </w:p>
    <w:tbl>
      <w:tblPr>
        <w:tblW w:w="8691" w:type="dxa"/>
        <w:tblInd w:w="-5" w:type="dxa"/>
        <w:tblLook w:val="04A0" w:firstRow="1" w:lastRow="0" w:firstColumn="1" w:lastColumn="0" w:noHBand="0" w:noVBand="1"/>
        <w:tblDescription w:val="Co-designe of Support Services - community organistions"/>
      </w:tblPr>
      <w:tblGrid>
        <w:gridCol w:w="851"/>
        <w:gridCol w:w="1260"/>
        <w:gridCol w:w="1276"/>
        <w:gridCol w:w="1624"/>
        <w:gridCol w:w="1320"/>
        <w:gridCol w:w="1180"/>
        <w:gridCol w:w="1180"/>
      </w:tblGrid>
      <w:tr w:rsidR="00D32BCA" w:rsidRPr="00A70D2F" w14:paraId="3AC61F1A" w14:textId="77777777" w:rsidTr="00524C99">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8416"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EBB1DA8"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5400" w:type="dxa"/>
            <w:gridSpan w:val="4"/>
            <w:tcBorders>
              <w:top w:val="single" w:sz="4" w:space="0" w:color="auto"/>
              <w:left w:val="nil"/>
              <w:bottom w:val="single" w:sz="4" w:space="0" w:color="auto"/>
              <w:right w:val="single" w:sz="4" w:space="0" w:color="auto"/>
            </w:tcBorders>
            <w:shd w:val="clear" w:color="auto" w:fill="auto"/>
            <w:vAlign w:val="bottom"/>
            <w:hideMark/>
          </w:tcPr>
          <w:p w14:paraId="3B6D6B75"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02E89"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total</w:t>
            </w:r>
          </w:p>
        </w:tc>
      </w:tr>
      <w:tr w:rsidR="00D32BCA" w:rsidRPr="00A70D2F" w14:paraId="77C1859B" w14:textId="77777777" w:rsidTr="00524C99">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DA4007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c>
          <w:tcPr>
            <w:tcW w:w="1260" w:type="dxa"/>
            <w:tcBorders>
              <w:top w:val="nil"/>
              <w:left w:val="nil"/>
              <w:bottom w:val="single" w:sz="4" w:space="0" w:color="auto"/>
              <w:right w:val="single" w:sz="4" w:space="0" w:color="auto"/>
            </w:tcBorders>
            <w:shd w:val="clear" w:color="auto" w:fill="auto"/>
            <w:noWrap/>
            <w:vAlign w:val="bottom"/>
            <w:hideMark/>
          </w:tcPr>
          <w:p w14:paraId="77B37F4B" w14:textId="77777777" w:rsidR="00D32BCA" w:rsidRPr="00A70D2F" w:rsidRDefault="00D32BCA" w:rsidP="00D32BCA">
            <w:pPr>
              <w:spacing w:after="0" w:line="240" w:lineRule="auto"/>
              <w:jc w:val="center"/>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locations</w:t>
            </w:r>
          </w:p>
        </w:tc>
        <w:tc>
          <w:tcPr>
            <w:tcW w:w="1276" w:type="dxa"/>
            <w:tcBorders>
              <w:top w:val="nil"/>
              <w:left w:val="nil"/>
              <w:bottom w:val="single" w:sz="4" w:space="0" w:color="auto"/>
              <w:right w:val="single" w:sz="4" w:space="0" w:color="auto"/>
            </w:tcBorders>
            <w:shd w:val="clear" w:color="auto" w:fill="auto"/>
            <w:noWrap/>
            <w:vAlign w:val="bottom"/>
            <w:hideMark/>
          </w:tcPr>
          <w:p w14:paraId="3C274FD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meetings</w:t>
            </w:r>
          </w:p>
        </w:tc>
        <w:tc>
          <w:tcPr>
            <w:tcW w:w="1624" w:type="dxa"/>
            <w:tcBorders>
              <w:top w:val="nil"/>
              <w:left w:val="nil"/>
              <w:bottom w:val="single" w:sz="4" w:space="0" w:color="auto"/>
              <w:right w:val="single" w:sz="4" w:space="0" w:color="auto"/>
            </w:tcBorders>
            <w:shd w:val="clear" w:color="auto" w:fill="auto"/>
            <w:noWrap/>
            <w:vAlign w:val="bottom"/>
            <w:hideMark/>
          </w:tcPr>
          <w:p w14:paraId="4B2DCA3C"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organisations</w:t>
            </w:r>
          </w:p>
        </w:tc>
        <w:tc>
          <w:tcPr>
            <w:tcW w:w="1320" w:type="dxa"/>
            <w:tcBorders>
              <w:top w:val="nil"/>
              <w:left w:val="nil"/>
              <w:bottom w:val="single" w:sz="4" w:space="0" w:color="auto"/>
              <w:right w:val="single" w:sz="4" w:space="0" w:color="auto"/>
            </w:tcBorders>
            <w:shd w:val="clear" w:color="auto" w:fill="auto"/>
            <w:noWrap/>
            <w:vAlign w:val="bottom"/>
            <w:hideMark/>
          </w:tcPr>
          <w:p w14:paraId="36B43A50"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no of hours</w:t>
            </w:r>
          </w:p>
        </w:tc>
        <w:tc>
          <w:tcPr>
            <w:tcW w:w="1180" w:type="dxa"/>
            <w:tcBorders>
              <w:top w:val="nil"/>
              <w:left w:val="nil"/>
              <w:bottom w:val="single" w:sz="4" w:space="0" w:color="auto"/>
              <w:right w:val="single" w:sz="4" w:space="0" w:color="auto"/>
            </w:tcBorders>
            <w:shd w:val="clear" w:color="auto" w:fill="auto"/>
            <w:noWrap/>
            <w:vAlign w:val="bottom"/>
            <w:hideMark/>
          </w:tcPr>
          <w:p w14:paraId="3B2DD2B9"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cost per hour</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7F9DDDE"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p>
        </w:tc>
      </w:tr>
      <w:tr w:rsidR="00D32BCA" w:rsidRPr="00A70D2F" w14:paraId="5A95DB80"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2F8418"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w:t>
            </w:r>
          </w:p>
        </w:tc>
        <w:tc>
          <w:tcPr>
            <w:tcW w:w="1260" w:type="dxa"/>
            <w:tcBorders>
              <w:top w:val="nil"/>
              <w:left w:val="nil"/>
              <w:bottom w:val="single" w:sz="4" w:space="0" w:color="auto"/>
              <w:right w:val="single" w:sz="4" w:space="0" w:color="auto"/>
            </w:tcBorders>
            <w:shd w:val="clear" w:color="auto" w:fill="auto"/>
            <w:noWrap/>
            <w:vAlign w:val="bottom"/>
            <w:hideMark/>
          </w:tcPr>
          <w:p w14:paraId="77EB5F1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BAADA8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048F493D"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320" w:type="dxa"/>
            <w:tcBorders>
              <w:top w:val="nil"/>
              <w:left w:val="nil"/>
              <w:bottom w:val="single" w:sz="4" w:space="0" w:color="auto"/>
              <w:right w:val="single" w:sz="4" w:space="0" w:color="auto"/>
            </w:tcBorders>
            <w:shd w:val="clear" w:color="auto" w:fill="auto"/>
            <w:noWrap/>
            <w:vAlign w:val="bottom"/>
            <w:hideMark/>
          </w:tcPr>
          <w:p w14:paraId="07F95FD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DF4554"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0473692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r>
      <w:tr w:rsidR="00D32BCA" w:rsidRPr="00C27CFA" w14:paraId="63B55C55"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12B1A4"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2</w:t>
            </w:r>
          </w:p>
        </w:tc>
        <w:tc>
          <w:tcPr>
            <w:tcW w:w="1260" w:type="dxa"/>
            <w:tcBorders>
              <w:top w:val="nil"/>
              <w:left w:val="nil"/>
              <w:bottom w:val="single" w:sz="4" w:space="0" w:color="auto"/>
              <w:right w:val="single" w:sz="4" w:space="0" w:color="auto"/>
            </w:tcBorders>
            <w:shd w:val="clear" w:color="auto" w:fill="auto"/>
            <w:noWrap/>
            <w:vAlign w:val="bottom"/>
            <w:hideMark/>
          </w:tcPr>
          <w:p w14:paraId="6235A8E2"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3F9CCACE"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7D1D1F78" w14:textId="77777777" w:rsidR="00D32BCA" w:rsidRPr="00C27CFA" w:rsidRDefault="00FC0E65"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10</w:t>
            </w:r>
          </w:p>
        </w:tc>
        <w:tc>
          <w:tcPr>
            <w:tcW w:w="1320" w:type="dxa"/>
            <w:tcBorders>
              <w:top w:val="nil"/>
              <w:left w:val="nil"/>
              <w:bottom w:val="single" w:sz="4" w:space="0" w:color="auto"/>
              <w:right w:val="single" w:sz="4" w:space="0" w:color="auto"/>
            </w:tcBorders>
            <w:shd w:val="clear" w:color="auto" w:fill="auto"/>
            <w:noWrap/>
            <w:vAlign w:val="bottom"/>
            <w:hideMark/>
          </w:tcPr>
          <w:p w14:paraId="614D283E"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680DB0DB"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7046B5B2" w14:textId="77777777" w:rsidR="00D32BCA" w:rsidRPr="00C27CFA" w:rsidRDefault="00D32BCA"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w:t>
            </w:r>
            <w:r w:rsidR="00FC0E65" w:rsidRPr="00C27CFA">
              <w:rPr>
                <w:rFonts w:ascii="Calibri" w:eastAsia="Times New Roman" w:hAnsi="Calibri" w:cs="Calibri"/>
                <w:color w:val="000000"/>
                <w:sz w:val="16"/>
                <w:szCs w:val="16"/>
                <w:lang w:eastAsia="en-AU"/>
              </w:rPr>
              <w:t>114,667</w:t>
            </w:r>
          </w:p>
        </w:tc>
      </w:tr>
      <w:tr w:rsidR="00FC0E65" w:rsidRPr="00C27CFA" w14:paraId="4072372A"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A40DA8" w14:textId="77777777" w:rsidR="00FC0E65" w:rsidRPr="00A70D2F" w:rsidRDefault="00FC0E65" w:rsidP="00FC0E6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3</w:t>
            </w:r>
          </w:p>
        </w:tc>
        <w:tc>
          <w:tcPr>
            <w:tcW w:w="1260" w:type="dxa"/>
            <w:tcBorders>
              <w:top w:val="nil"/>
              <w:left w:val="nil"/>
              <w:bottom w:val="single" w:sz="4" w:space="0" w:color="auto"/>
              <w:right w:val="single" w:sz="4" w:space="0" w:color="auto"/>
            </w:tcBorders>
            <w:shd w:val="clear" w:color="auto" w:fill="auto"/>
            <w:noWrap/>
            <w:vAlign w:val="bottom"/>
            <w:hideMark/>
          </w:tcPr>
          <w:p w14:paraId="13ACCBA3" w14:textId="77777777" w:rsidR="00FC0E65" w:rsidRPr="00A70D2F" w:rsidRDefault="00FC0E65" w:rsidP="00FC0E6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670CEB61" w14:textId="77777777" w:rsidR="00FC0E65" w:rsidRPr="00A70D2F" w:rsidRDefault="00FC0E65" w:rsidP="00FC0E6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75AEC6CB"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10</w:t>
            </w:r>
          </w:p>
        </w:tc>
        <w:tc>
          <w:tcPr>
            <w:tcW w:w="1320" w:type="dxa"/>
            <w:tcBorders>
              <w:top w:val="nil"/>
              <w:left w:val="nil"/>
              <w:bottom w:val="single" w:sz="4" w:space="0" w:color="auto"/>
              <w:right w:val="single" w:sz="4" w:space="0" w:color="auto"/>
            </w:tcBorders>
            <w:shd w:val="clear" w:color="auto" w:fill="auto"/>
            <w:noWrap/>
            <w:vAlign w:val="bottom"/>
            <w:hideMark/>
          </w:tcPr>
          <w:p w14:paraId="4D0D62CA"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1593C1C4"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607D42A2"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$114,667</w:t>
            </w:r>
          </w:p>
        </w:tc>
      </w:tr>
      <w:tr w:rsidR="00FC0E65" w:rsidRPr="00C27CFA" w14:paraId="652743D2"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BB18D3" w14:textId="77777777" w:rsidR="00FC0E65" w:rsidRPr="00A70D2F" w:rsidRDefault="00FC0E65" w:rsidP="00FC0E65">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4</w:t>
            </w:r>
          </w:p>
        </w:tc>
        <w:tc>
          <w:tcPr>
            <w:tcW w:w="1260" w:type="dxa"/>
            <w:tcBorders>
              <w:top w:val="nil"/>
              <w:left w:val="nil"/>
              <w:bottom w:val="single" w:sz="4" w:space="0" w:color="auto"/>
              <w:right w:val="single" w:sz="4" w:space="0" w:color="auto"/>
            </w:tcBorders>
            <w:shd w:val="clear" w:color="auto" w:fill="auto"/>
            <w:noWrap/>
            <w:vAlign w:val="bottom"/>
            <w:hideMark/>
          </w:tcPr>
          <w:p w14:paraId="3CB45D4D" w14:textId="77777777" w:rsidR="00FC0E65" w:rsidRPr="00A70D2F" w:rsidRDefault="00FC0E65" w:rsidP="00FC0E6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16</w:t>
            </w:r>
          </w:p>
        </w:tc>
        <w:tc>
          <w:tcPr>
            <w:tcW w:w="1276" w:type="dxa"/>
            <w:tcBorders>
              <w:top w:val="nil"/>
              <w:left w:val="nil"/>
              <w:bottom w:val="single" w:sz="4" w:space="0" w:color="auto"/>
              <w:right w:val="single" w:sz="4" w:space="0" w:color="auto"/>
            </w:tcBorders>
            <w:shd w:val="clear" w:color="auto" w:fill="auto"/>
            <w:noWrap/>
            <w:vAlign w:val="bottom"/>
            <w:hideMark/>
          </w:tcPr>
          <w:p w14:paraId="6E6C162E" w14:textId="77777777" w:rsidR="00FC0E65" w:rsidRPr="00A70D2F" w:rsidRDefault="00FC0E65" w:rsidP="00FC0E65">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3</w:t>
            </w:r>
          </w:p>
        </w:tc>
        <w:tc>
          <w:tcPr>
            <w:tcW w:w="1624" w:type="dxa"/>
            <w:tcBorders>
              <w:top w:val="nil"/>
              <w:left w:val="nil"/>
              <w:bottom w:val="single" w:sz="4" w:space="0" w:color="auto"/>
              <w:right w:val="single" w:sz="4" w:space="0" w:color="auto"/>
            </w:tcBorders>
            <w:shd w:val="clear" w:color="auto" w:fill="auto"/>
            <w:noWrap/>
            <w:vAlign w:val="bottom"/>
            <w:hideMark/>
          </w:tcPr>
          <w:p w14:paraId="439BE04A"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10</w:t>
            </w:r>
          </w:p>
        </w:tc>
        <w:tc>
          <w:tcPr>
            <w:tcW w:w="1320" w:type="dxa"/>
            <w:tcBorders>
              <w:top w:val="nil"/>
              <w:left w:val="nil"/>
              <w:bottom w:val="single" w:sz="4" w:space="0" w:color="auto"/>
              <w:right w:val="single" w:sz="4" w:space="0" w:color="auto"/>
            </w:tcBorders>
            <w:shd w:val="clear" w:color="auto" w:fill="auto"/>
            <w:noWrap/>
            <w:vAlign w:val="bottom"/>
            <w:hideMark/>
          </w:tcPr>
          <w:p w14:paraId="4DF86135"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3</w:t>
            </w:r>
          </w:p>
        </w:tc>
        <w:tc>
          <w:tcPr>
            <w:tcW w:w="1180" w:type="dxa"/>
            <w:tcBorders>
              <w:top w:val="nil"/>
              <w:left w:val="nil"/>
              <w:bottom w:val="single" w:sz="4" w:space="0" w:color="auto"/>
              <w:right w:val="single" w:sz="4" w:space="0" w:color="auto"/>
            </w:tcBorders>
            <w:shd w:val="clear" w:color="auto" w:fill="auto"/>
            <w:noWrap/>
            <w:vAlign w:val="bottom"/>
            <w:hideMark/>
          </w:tcPr>
          <w:p w14:paraId="4CB5FE6D"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79.63</w:t>
            </w:r>
          </w:p>
        </w:tc>
        <w:tc>
          <w:tcPr>
            <w:tcW w:w="1180" w:type="dxa"/>
            <w:tcBorders>
              <w:top w:val="nil"/>
              <w:left w:val="nil"/>
              <w:bottom w:val="single" w:sz="4" w:space="0" w:color="auto"/>
              <w:right w:val="single" w:sz="4" w:space="0" w:color="auto"/>
            </w:tcBorders>
            <w:shd w:val="clear" w:color="auto" w:fill="auto"/>
            <w:noWrap/>
            <w:vAlign w:val="bottom"/>
            <w:hideMark/>
          </w:tcPr>
          <w:p w14:paraId="7CEE8312" w14:textId="77777777" w:rsidR="00FC0E65" w:rsidRPr="00C27CFA" w:rsidRDefault="00FC0E65"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$114,667</w:t>
            </w:r>
          </w:p>
        </w:tc>
      </w:tr>
      <w:tr w:rsidR="00D32BCA" w:rsidRPr="00C27CFA" w14:paraId="58FC6241"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61B9E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5</w:t>
            </w:r>
          </w:p>
        </w:tc>
        <w:tc>
          <w:tcPr>
            <w:tcW w:w="1260" w:type="dxa"/>
            <w:tcBorders>
              <w:top w:val="nil"/>
              <w:left w:val="nil"/>
              <w:bottom w:val="single" w:sz="4" w:space="0" w:color="auto"/>
              <w:right w:val="single" w:sz="4" w:space="0" w:color="auto"/>
            </w:tcBorders>
            <w:shd w:val="clear" w:color="auto" w:fill="auto"/>
            <w:noWrap/>
            <w:vAlign w:val="bottom"/>
            <w:hideMark/>
          </w:tcPr>
          <w:p w14:paraId="76260BB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9B5C4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5F307EBD"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27AFC2A"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28B97E"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6C60CF44"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4E13B097"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524FD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6</w:t>
            </w:r>
          </w:p>
        </w:tc>
        <w:tc>
          <w:tcPr>
            <w:tcW w:w="1260" w:type="dxa"/>
            <w:tcBorders>
              <w:top w:val="nil"/>
              <w:left w:val="nil"/>
              <w:bottom w:val="single" w:sz="4" w:space="0" w:color="auto"/>
              <w:right w:val="single" w:sz="4" w:space="0" w:color="auto"/>
            </w:tcBorders>
            <w:shd w:val="clear" w:color="auto" w:fill="auto"/>
            <w:noWrap/>
            <w:vAlign w:val="bottom"/>
            <w:hideMark/>
          </w:tcPr>
          <w:p w14:paraId="21CF0C4F"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1F17F490"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750E0530"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35E9EA37"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CB097C"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2D37BB28"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77F6408F"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6A807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7</w:t>
            </w:r>
          </w:p>
        </w:tc>
        <w:tc>
          <w:tcPr>
            <w:tcW w:w="1260" w:type="dxa"/>
            <w:tcBorders>
              <w:top w:val="nil"/>
              <w:left w:val="nil"/>
              <w:bottom w:val="single" w:sz="4" w:space="0" w:color="auto"/>
              <w:right w:val="single" w:sz="4" w:space="0" w:color="auto"/>
            </w:tcBorders>
            <w:shd w:val="clear" w:color="auto" w:fill="auto"/>
            <w:noWrap/>
            <w:vAlign w:val="bottom"/>
            <w:hideMark/>
          </w:tcPr>
          <w:p w14:paraId="64D07AB3"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D001AD1"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78118C14"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5437D865"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7D7581B7"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1FFE4052"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525DAB9A"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17A5AF"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8</w:t>
            </w:r>
          </w:p>
        </w:tc>
        <w:tc>
          <w:tcPr>
            <w:tcW w:w="1260" w:type="dxa"/>
            <w:tcBorders>
              <w:top w:val="nil"/>
              <w:left w:val="nil"/>
              <w:bottom w:val="single" w:sz="4" w:space="0" w:color="auto"/>
              <w:right w:val="single" w:sz="4" w:space="0" w:color="auto"/>
            </w:tcBorders>
            <w:shd w:val="clear" w:color="auto" w:fill="auto"/>
            <w:noWrap/>
            <w:vAlign w:val="bottom"/>
            <w:hideMark/>
          </w:tcPr>
          <w:p w14:paraId="4F3C0E9A"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4E09169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4DB4873B"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21B4BD40"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2DCCF96C"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2B896E6A"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49217F80"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8D1DA4"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9</w:t>
            </w:r>
          </w:p>
        </w:tc>
        <w:tc>
          <w:tcPr>
            <w:tcW w:w="1260" w:type="dxa"/>
            <w:tcBorders>
              <w:top w:val="nil"/>
              <w:left w:val="nil"/>
              <w:bottom w:val="single" w:sz="4" w:space="0" w:color="auto"/>
              <w:right w:val="single" w:sz="4" w:space="0" w:color="auto"/>
            </w:tcBorders>
            <w:shd w:val="clear" w:color="auto" w:fill="auto"/>
            <w:noWrap/>
            <w:vAlign w:val="bottom"/>
            <w:hideMark/>
          </w:tcPr>
          <w:p w14:paraId="36B70F98"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27DE0D2B"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0CABE106"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38E451B6"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2A1F853E"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16475200"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252FDAB2" w14:textId="77777777" w:rsidTr="00524C99">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251F81"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Year 10</w:t>
            </w:r>
          </w:p>
        </w:tc>
        <w:tc>
          <w:tcPr>
            <w:tcW w:w="1260" w:type="dxa"/>
            <w:tcBorders>
              <w:top w:val="nil"/>
              <w:left w:val="nil"/>
              <w:bottom w:val="single" w:sz="4" w:space="0" w:color="auto"/>
              <w:right w:val="single" w:sz="4" w:space="0" w:color="auto"/>
            </w:tcBorders>
            <w:shd w:val="clear" w:color="auto" w:fill="auto"/>
            <w:noWrap/>
            <w:vAlign w:val="bottom"/>
            <w:hideMark/>
          </w:tcPr>
          <w:p w14:paraId="1C364EB7"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276" w:type="dxa"/>
            <w:tcBorders>
              <w:top w:val="nil"/>
              <w:left w:val="nil"/>
              <w:bottom w:val="single" w:sz="4" w:space="0" w:color="auto"/>
              <w:right w:val="single" w:sz="4" w:space="0" w:color="auto"/>
            </w:tcBorders>
            <w:shd w:val="clear" w:color="auto" w:fill="auto"/>
            <w:noWrap/>
            <w:vAlign w:val="bottom"/>
            <w:hideMark/>
          </w:tcPr>
          <w:p w14:paraId="6A767475" w14:textId="77777777" w:rsidR="00D32BCA" w:rsidRPr="00A70D2F" w:rsidRDefault="00D32BCA" w:rsidP="00D32BCA">
            <w:pPr>
              <w:spacing w:after="0" w:line="240" w:lineRule="auto"/>
              <w:jc w:val="right"/>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0</w:t>
            </w:r>
          </w:p>
        </w:tc>
        <w:tc>
          <w:tcPr>
            <w:tcW w:w="1624" w:type="dxa"/>
            <w:tcBorders>
              <w:top w:val="nil"/>
              <w:left w:val="nil"/>
              <w:bottom w:val="single" w:sz="4" w:space="0" w:color="auto"/>
              <w:right w:val="single" w:sz="4" w:space="0" w:color="auto"/>
            </w:tcBorders>
            <w:shd w:val="clear" w:color="auto" w:fill="auto"/>
            <w:noWrap/>
            <w:vAlign w:val="bottom"/>
            <w:hideMark/>
          </w:tcPr>
          <w:p w14:paraId="5D5E8C43"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F37C56D"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9DAD54"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c>
          <w:tcPr>
            <w:tcW w:w="1180" w:type="dxa"/>
            <w:tcBorders>
              <w:top w:val="nil"/>
              <w:left w:val="nil"/>
              <w:bottom w:val="single" w:sz="4" w:space="0" w:color="auto"/>
              <w:right w:val="single" w:sz="4" w:space="0" w:color="auto"/>
            </w:tcBorders>
            <w:shd w:val="clear" w:color="auto" w:fill="auto"/>
            <w:noWrap/>
            <w:vAlign w:val="bottom"/>
            <w:hideMark/>
          </w:tcPr>
          <w:p w14:paraId="610F5B56" w14:textId="77777777" w:rsidR="00D32BCA" w:rsidRPr="00C27CFA" w:rsidRDefault="00D32BCA" w:rsidP="00D32BCA">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$0</w:t>
            </w:r>
          </w:p>
        </w:tc>
      </w:tr>
      <w:tr w:rsidR="00D32BCA" w:rsidRPr="00C27CFA" w14:paraId="38FCB794" w14:textId="77777777" w:rsidTr="00524C99">
        <w:trPr>
          <w:trHeight w:val="13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E59A15"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60" w:type="dxa"/>
            <w:tcBorders>
              <w:top w:val="nil"/>
              <w:left w:val="nil"/>
              <w:bottom w:val="single" w:sz="4" w:space="0" w:color="auto"/>
              <w:right w:val="single" w:sz="4" w:space="0" w:color="auto"/>
            </w:tcBorders>
            <w:shd w:val="clear" w:color="auto" w:fill="auto"/>
            <w:noWrap/>
            <w:vAlign w:val="bottom"/>
            <w:hideMark/>
          </w:tcPr>
          <w:p w14:paraId="7E54F30A"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FCB78D" w14:textId="77777777" w:rsidR="00D32BCA" w:rsidRPr="00A70D2F" w:rsidRDefault="00D32BCA" w:rsidP="00D32BCA">
            <w:pPr>
              <w:spacing w:after="0" w:line="240" w:lineRule="auto"/>
              <w:rPr>
                <w:rFonts w:ascii="Calibri" w:eastAsia="Times New Roman" w:hAnsi="Calibri" w:cs="Calibri"/>
                <w:color w:val="000000"/>
                <w:sz w:val="16"/>
                <w:szCs w:val="16"/>
                <w:lang w:eastAsia="en-AU"/>
              </w:rPr>
            </w:pPr>
            <w:r w:rsidRPr="00A70D2F">
              <w:rPr>
                <w:rFonts w:ascii="Calibri" w:eastAsia="Times New Roman" w:hAnsi="Calibri" w:cs="Calibri"/>
                <w:color w:val="000000"/>
                <w:sz w:val="16"/>
                <w:szCs w:val="16"/>
                <w:lang w:eastAsia="en-AU"/>
              </w:rPr>
              <w:t> </w:t>
            </w:r>
          </w:p>
        </w:tc>
        <w:tc>
          <w:tcPr>
            <w:tcW w:w="1624" w:type="dxa"/>
            <w:tcBorders>
              <w:top w:val="nil"/>
              <w:left w:val="nil"/>
              <w:bottom w:val="single" w:sz="4" w:space="0" w:color="auto"/>
              <w:right w:val="single" w:sz="4" w:space="0" w:color="auto"/>
            </w:tcBorders>
            <w:shd w:val="clear" w:color="auto" w:fill="auto"/>
            <w:noWrap/>
            <w:vAlign w:val="bottom"/>
            <w:hideMark/>
          </w:tcPr>
          <w:p w14:paraId="491A6BDF"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A92713"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 </w:t>
            </w:r>
          </w:p>
        </w:tc>
        <w:tc>
          <w:tcPr>
            <w:tcW w:w="1180" w:type="dxa"/>
            <w:tcBorders>
              <w:top w:val="nil"/>
              <w:left w:val="nil"/>
              <w:bottom w:val="single" w:sz="4" w:space="0" w:color="auto"/>
              <w:right w:val="single" w:sz="4" w:space="0" w:color="auto"/>
            </w:tcBorders>
            <w:shd w:val="clear" w:color="auto" w:fill="auto"/>
            <w:noWrap/>
            <w:vAlign w:val="bottom"/>
            <w:hideMark/>
          </w:tcPr>
          <w:p w14:paraId="154CCE4F" w14:textId="77777777" w:rsidR="00D32BCA" w:rsidRPr="00C27CFA" w:rsidRDefault="00D32BCA" w:rsidP="00D32BCA">
            <w:pPr>
              <w:spacing w:after="0" w:line="240" w:lineRule="auto"/>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total</w:t>
            </w:r>
          </w:p>
        </w:tc>
        <w:tc>
          <w:tcPr>
            <w:tcW w:w="1180" w:type="dxa"/>
            <w:tcBorders>
              <w:top w:val="nil"/>
              <w:left w:val="nil"/>
              <w:bottom w:val="single" w:sz="4" w:space="0" w:color="auto"/>
              <w:right w:val="single" w:sz="4" w:space="0" w:color="auto"/>
            </w:tcBorders>
            <w:shd w:val="clear" w:color="auto" w:fill="auto"/>
            <w:noWrap/>
            <w:vAlign w:val="bottom"/>
            <w:hideMark/>
          </w:tcPr>
          <w:p w14:paraId="3E936E56" w14:textId="77777777" w:rsidR="00D32BCA" w:rsidRPr="00C27CFA" w:rsidRDefault="00D32BCA" w:rsidP="00FC0E65">
            <w:pPr>
              <w:spacing w:after="0" w:line="240" w:lineRule="auto"/>
              <w:jc w:val="right"/>
              <w:rPr>
                <w:rFonts w:ascii="Calibri" w:eastAsia="Times New Roman" w:hAnsi="Calibri" w:cs="Calibri"/>
                <w:color w:val="000000"/>
                <w:sz w:val="16"/>
                <w:szCs w:val="16"/>
                <w:lang w:eastAsia="en-AU"/>
              </w:rPr>
            </w:pPr>
            <w:r w:rsidRPr="00C27CFA">
              <w:rPr>
                <w:rFonts w:ascii="Calibri" w:eastAsia="Times New Roman" w:hAnsi="Calibri" w:cs="Calibri"/>
                <w:color w:val="000000"/>
                <w:sz w:val="16"/>
                <w:szCs w:val="16"/>
                <w:lang w:eastAsia="en-AU"/>
              </w:rPr>
              <w:t>$</w:t>
            </w:r>
            <w:r w:rsidR="00FC0E65" w:rsidRPr="00C27CFA">
              <w:rPr>
                <w:rFonts w:ascii="Calibri" w:eastAsia="Times New Roman" w:hAnsi="Calibri" w:cs="Calibri"/>
                <w:color w:val="000000"/>
                <w:sz w:val="16"/>
                <w:szCs w:val="16"/>
                <w:lang w:eastAsia="en-AU"/>
              </w:rPr>
              <w:t>344,002</w:t>
            </w:r>
          </w:p>
        </w:tc>
      </w:tr>
    </w:tbl>
    <w:p w14:paraId="45826FFC" w14:textId="35AD667E" w:rsidR="00E3630B" w:rsidRPr="00A70D2F" w:rsidRDefault="000C1DF8" w:rsidP="006A7591">
      <w:pPr>
        <w:pStyle w:val="Heading3"/>
      </w:pPr>
      <w:bookmarkStart w:id="148" w:name="_Toc118103777"/>
      <w:r w:rsidRPr="00A70D2F">
        <w:t>4.2.</w:t>
      </w:r>
      <w:r w:rsidR="0038083B" w:rsidRPr="00A70D2F">
        <w:t>4</w:t>
      </w:r>
      <w:r w:rsidR="00E3630B" w:rsidRPr="00A70D2F">
        <w:t xml:space="preserve"> Regulatory impacts – benchmark</w:t>
      </w:r>
      <w:bookmarkEnd w:id="148"/>
    </w:p>
    <w:p w14:paraId="380EF0D6" w14:textId="77777777" w:rsidR="00651F89" w:rsidRDefault="00FB62BD" w:rsidP="00651F89">
      <w:pPr>
        <w:pStyle w:val="BodyText"/>
      </w:pPr>
      <w:r w:rsidRPr="00A70D2F">
        <w:t xml:space="preserve">It </w:t>
      </w:r>
      <w:r w:rsidR="0024555B" w:rsidRPr="00A70D2F">
        <w:t xml:space="preserve">is expected </w:t>
      </w:r>
      <w:r w:rsidR="003B1832" w:rsidRPr="00A70D2F">
        <w:t>th</w:t>
      </w:r>
      <w:r w:rsidR="00F21CE9" w:rsidRPr="00A70D2F">
        <w:t xml:space="preserve">at Option 2 </w:t>
      </w:r>
      <w:r w:rsidRPr="00A70D2F">
        <w:t xml:space="preserve">will </w:t>
      </w:r>
      <w:r w:rsidR="003B1832" w:rsidRPr="00A70D2F">
        <w:t xml:space="preserve">provide a </w:t>
      </w:r>
      <w:r w:rsidRPr="00A70D2F">
        <w:t xml:space="preserve">benefit </w:t>
      </w:r>
      <w:r w:rsidR="003B1832" w:rsidRPr="00A70D2F">
        <w:t xml:space="preserve">of </w:t>
      </w:r>
      <w:r w:rsidR="005E6985" w:rsidRPr="00A70D2F">
        <w:t>$2</w:t>
      </w:r>
      <w:r w:rsidR="004056A1" w:rsidRPr="00A70D2F">
        <w:t>3</w:t>
      </w:r>
      <w:r w:rsidR="005E6985" w:rsidRPr="00A70D2F">
        <w:t>.</w:t>
      </w:r>
      <w:r w:rsidR="004056A1" w:rsidRPr="00A70D2F">
        <w:t>3</w:t>
      </w:r>
      <w:r w:rsidR="005E6985" w:rsidRPr="00A70D2F">
        <w:t>m</w:t>
      </w:r>
      <w:r w:rsidR="0024555B" w:rsidRPr="00A70D2F">
        <w:t xml:space="preserve"> in saving. Although</w:t>
      </w:r>
      <w:r w:rsidRPr="00A70D2F">
        <w:t xml:space="preserve"> there will be a short</w:t>
      </w:r>
      <w:r w:rsidR="004F0EAA" w:rsidRPr="00A70D2F">
        <w:t>-</w:t>
      </w:r>
      <w:r w:rsidRPr="00A70D2F">
        <w:t>term regulatory impact</w:t>
      </w:r>
      <w:r w:rsidRPr="00770D37">
        <w:t xml:space="preserve"> increase for CDC</w:t>
      </w:r>
      <w:r w:rsidR="0024555B" w:rsidRPr="00770D37">
        <w:t xml:space="preserve"> participants </w:t>
      </w:r>
      <w:r w:rsidRPr="00770D37">
        <w:t>due to</w:t>
      </w:r>
      <w:r w:rsidR="0024555B" w:rsidRPr="00770D37">
        <w:t xml:space="preserve"> the transition</w:t>
      </w:r>
      <w:r w:rsidRPr="00770D37">
        <w:t xml:space="preserve"> arrangements</w:t>
      </w:r>
      <w:r w:rsidR="003B1832" w:rsidRPr="006F0382">
        <w:t xml:space="preserve">, this cost is only expected for the first half of </w:t>
      </w:r>
      <w:r w:rsidR="003B1832" w:rsidRPr="004056A1">
        <w:t>2022-2</w:t>
      </w:r>
      <w:r w:rsidR="003B1832" w:rsidRPr="002279DD">
        <w:t>3</w:t>
      </w:r>
      <w:r w:rsidR="003B1832" w:rsidRPr="006F0382">
        <w:t xml:space="preserve"> financial year. However, the </w:t>
      </w:r>
      <w:r w:rsidR="00F53173" w:rsidRPr="006F0382">
        <w:t xml:space="preserve">ongoing costs </w:t>
      </w:r>
      <w:r w:rsidR="003B1832" w:rsidRPr="006F0382">
        <w:t>for both individuals and businesses will deliver a save over time</w:t>
      </w:r>
      <w:r w:rsidRPr="006F0382">
        <w:t xml:space="preserve"> when the CDC is abolished.</w:t>
      </w:r>
    </w:p>
    <w:p w14:paraId="303A16DD" w14:textId="77777777" w:rsidR="004B506C" w:rsidRDefault="004B506C" w:rsidP="00651F89">
      <w:pPr>
        <w:pStyle w:val="BodyText"/>
        <w:rPr>
          <w:b/>
        </w:rPr>
      </w:pPr>
    </w:p>
    <w:p w14:paraId="3F8BDCF3" w14:textId="77777777" w:rsidR="00F448CF" w:rsidRPr="0097348C" w:rsidRDefault="00F448CF" w:rsidP="00651F89">
      <w:pPr>
        <w:pStyle w:val="BodyText"/>
        <w:rPr>
          <w:b/>
        </w:rPr>
      </w:pPr>
      <w:r w:rsidRPr="0097348C">
        <w:rPr>
          <w:b/>
        </w:rPr>
        <w:t>Abolishing CDC and IM</w:t>
      </w:r>
    </w:p>
    <w:tbl>
      <w:tblPr>
        <w:tblStyle w:val="LightGrid-Accent21"/>
        <w:tblW w:w="10061" w:type="dxa"/>
        <w:tblLook w:val="04A0" w:firstRow="1" w:lastRow="0" w:firstColumn="1" w:lastColumn="0" w:noHBand="0" w:noVBand="1"/>
        <w:tblDescription w:val="Abolishing CDC and IM"/>
      </w:tblPr>
      <w:tblGrid>
        <w:gridCol w:w="2012"/>
        <w:gridCol w:w="2012"/>
        <w:gridCol w:w="2012"/>
        <w:gridCol w:w="2012"/>
        <w:gridCol w:w="2013"/>
      </w:tblGrid>
      <w:tr w:rsidR="005F26DA" w:rsidRPr="001A4C81" w14:paraId="6F282DC0" w14:textId="77777777" w:rsidTr="0027552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12" w:type="dxa"/>
            <w:shd w:val="clear" w:color="auto" w:fill="F9C3C5" w:themeFill="accent6" w:themeFillTint="33"/>
            <w:noWrap/>
          </w:tcPr>
          <w:p w14:paraId="73A826BF" w14:textId="77777777" w:rsidR="005F26DA" w:rsidRPr="001A4C81" w:rsidRDefault="005F26DA" w:rsidP="001248E5">
            <w:pPr>
              <w:spacing w:before="120"/>
              <w:rPr>
                <w:rFonts w:asciiTheme="minorHAnsi" w:hAnsiTheme="minorHAnsi" w:cstheme="minorHAnsi"/>
                <w:sz w:val="20"/>
                <w:szCs w:val="20"/>
              </w:rPr>
            </w:pPr>
            <w:r w:rsidRPr="001A4C81">
              <w:rPr>
                <w:rFonts w:asciiTheme="minorHAnsi" w:hAnsiTheme="minorHAnsi" w:cstheme="minorHAnsi"/>
                <w:sz w:val="20"/>
                <w:szCs w:val="20"/>
              </w:rPr>
              <w:t xml:space="preserve">Change in costs </w:t>
            </w:r>
          </w:p>
        </w:tc>
        <w:tc>
          <w:tcPr>
            <w:tcW w:w="2012" w:type="dxa"/>
            <w:shd w:val="clear" w:color="auto" w:fill="F9C3C5" w:themeFill="accent6" w:themeFillTint="33"/>
            <w:noWrap/>
          </w:tcPr>
          <w:p w14:paraId="14E370BD" w14:textId="77777777" w:rsidR="005F26DA" w:rsidRPr="001A4C81" w:rsidRDefault="005F26DA" w:rsidP="00000CD4">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Business</w:t>
            </w:r>
          </w:p>
        </w:tc>
        <w:tc>
          <w:tcPr>
            <w:tcW w:w="2012" w:type="dxa"/>
            <w:shd w:val="clear" w:color="auto" w:fill="F9C3C5" w:themeFill="accent6" w:themeFillTint="33"/>
            <w:noWrap/>
          </w:tcPr>
          <w:p w14:paraId="7468C62B" w14:textId="77777777" w:rsidR="005F26DA" w:rsidRPr="001A4C81" w:rsidRDefault="005F26DA" w:rsidP="00000CD4">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Community organisations</w:t>
            </w:r>
          </w:p>
        </w:tc>
        <w:tc>
          <w:tcPr>
            <w:tcW w:w="2012" w:type="dxa"/>
            <w:shd w:val="clear" w:color="auto" w:fill="F9C3C5" w:themeFill="accent6" w:themeFillTint="33"/>
            <w:noWrap/>
          </w:tcPr>
          <w:p w14:paraId="728752B5" w14:textId="77777777" w:rsidR="005F26DA" w:rsidRPr="001A4C81" w:rsidRDefault="005F26DA" w:rsidP="00000CD4">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Individuals</w:t>
            </w:r>
          </w:p>
        </w:tc>
        <w:tc>
          <w:tcPr>
            <w:tcW w:w="2013" w:type="dxa"/>
            <w:shd w:val="clear" w:color="auto" w:fill="F9C3C5" w:themeFill="accent6" w:themeFillTint="33"/>
            <w:noWrap/>
          </w:tcPr>
          <w:p w14:paraId="4C7CE9F5" w14:textId="77777777" w:rsidR="005F26DA" w:rsidRPr="001A4C81" w:rsidRDefault="005F26DA" w:rsidP="00000CD4">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Total change in costs</w:t>
            </w:r>
          </w:p>
        </w:tc>
      </w:tr>
      <w:tr w:rsidR="00676B4A" w:rsidRPr="001A4C81" w14:paraId="6F84B899" w14:textId="77777777" w:rsidTr="00294EFD">
        <w:trPr>
          <w:trHeight w:val="300"/>
        </w:trPr>
        <w:tc>
          <w:tcPr>
            <w:cnfStyle w:val="001000000000" w:firstRow="0" w:lastRow="0" w:firstColumn="1" w:lastColumn="0" w:oddVBand="0" w:evenVBand="0" w:oddHBand="0" w:evenHBand="0" w:firstRowFirstColumn="0" w:firstRowLastColumn="0" w:lastRowFirstColumn="0" w:lastRowLastColumn="0"/>
            <w:tcW w:w="2012" w:type="dxa"/>
            <w:noWrap/>
          </w:tcPr>
          <w:p w14:paraId="736FFF1B" w14:textId="77777777" w:rsidR="00676B4A" w:rsidRPr="001A4C81" w:rsidRDefault="00676B4A" w:rsidP="00676B4A">
            <w:pPr>
              <w:spacing w:before="120" w:after="120"/>
              <w:rPr>
                <w:rFonts w:asciiTheme="minorHAnsi" w:hAnsiTheme="minorHAnsi" w:cs="Arial"/>
                <w:sz w:val="20"/>
                <w:szCs w:val="20"/>
              </w:rPr>
            </w:pPr>
            <w:r w:rsidRPr="001A4C81">
              <w:rPr>
                <w:rFonts w:asciiTheme="minorHAnsi" w:hAnsiTheme="minorHAnsi" w:cs="Arial"/>
                <w:sz w:val="20"/>
                <w:szCs w:val="20"/>
              </w:rPr>
              <w:t>Total, by sector</w:t>
            </w:r>
          </w:p>
        </w:tc>
        <w:tc>
          <w:tcPr>
            <w:tcW w:w="2012" w:type="dxa"/>
            <w:noWrap/>
          </w:tcPr>
          <w:p w14:paraId="2A9A9F6D"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1A4C81">
              <w:rPr>
                <w:sz w:val="20"/>
                <w:szCs w:val="20"/>
              </w:rPr>
              <w:t>-$17,196,424</w:t>
            </w:r>
          </w:p>
        </w:tc>
        <w:tc>
          <w:tcPr>
            <w:tcW w:w="2012" w:type="dxa"/>
            <w:noWrap/>
          </w:tcPr>
          <w:p w14:paraId="08E2F2BD"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1A4C81">
              <w:rPr>
                <w:sz w:val="20"/>
                <w:szCs w:val="20"/>
              </w:rPr>
              <w:t>$243,763</w:t>
            </w:r>
          </w:p>
        </w:tc>
        <w:tc>
          <w:tcPr>
            <w:tcW w:w="2012" w:type="dxa"/>
            <w:noWrap/>
          </w:tcPr>
          <w:p w14:paraId="058703D9"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1A4C81">
              <w:rPr>
                <w:sz w:val="20"/>
                <w:szCs w:val="20"/>
              </w:rPr>
              <w:t>-$5,275,868</w:t>
            </w:r>
          </w:p>
        </w:tc>
        <w:tc>
          <w:tcPr>
            <w:tcW w:w="2013" w:type="dxa"/>
            <w:noWrap/>
          </w:tcPr>
          <w:p w14:paraId="27AB3E60"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1A4C81">
              <w:rPr>
                <w:sz w:val="20"/>
                <w:szCs w:val="20"/>
              </w:rPr>
              <w:t>-$22,228,529</w:t>
            </w:r>
          </w:p>
        </w:tc>
      </w:tr>
    </w:tbl>
    <w:p w14:paraId="51AAA99C" w14:textId="77777777" w:rsidR="006E0348" w:rsidRPr="001A4C81" w:rsidRDefault="006E0348" w:rsidP="006E0348">
      <w:pPr>
        <w:rPr>
          <w:rFonts w:ascii="Calibri" w:eastAsia="Times New Roman" w:hAnsi="Calibri" w:cs="Times New Roman"/>
          <w:color w:val="auto"/>
          <w:lang w:eastAsia="en-AU"/>
        </w:rPr>
      </w:pPr>
    </w:p>
    <w:p w14:paraId="1B39B265" w14:textId="77777777" w:rsidR="00F448CF" w:rsidRPr="001A4C81" w:rsidRDefault="0097348C" w:rsidP="006E0348">
      <w:pPr>
        <w:rPr>
          <w:rFonts w:ascii="Calibri" w:eastAsia="Times New Roman" w:hAnsi="Calibri" w:cs="Times New Roman"/>
          <w:b/>
          <w:color w:val="auto"/>
          <w:lang w:eastAsia="en-AU"/>
        </w:rPr>
      </w:pPr>
      <w:r w:rsidRPr="001A4C81">
        <w:rPr>
          <w:rFonts w:ascii="Calibri" w:eastAsia="Times New Roman" w:hAnsi="Calibri" w:cs="Times New Roman"/>
          <w:b/>
          <w:color w:val="auto"/>
          <w:lang w:eastAsia="en-AU"/>
        </w:rPr>
        <w:t>Support Services</w:t>
      </w:r>
    </w:p>
    <w:tbl>
      <w:tblPr>
        <w:tblW w:w="10115" w:type="dxa"/>
        <w:tblLook w:val="04A0" w:firstRow="1" w:lastRow="0" w:firstColumn="1" w:lastColumn="0" w:noHBand="0" w:noVBand="1"/>
        <w:tblDescription w:val="Support Services"/>
      </w:tblPr>
      <w:tblGrid>
        <w:gridCol w:w="1980"/>
        <w:gridCol w:w="2126"/>
        <w:gridCol w:w="1985"/>
        <w:gridCol w:w="1984"/>
        <w:gridCol w:w="2040"/>
      </w:tblGrid>
      <w:tr w:rsidR="0097348C" w:rsidRPr="001A4C81" w14:paraId="118A32F7" w14:textId="77777777" w:rsidTr="00275526">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F9C3C5" w:themeFill="accent6" w:themeFillTint="33"/>
            <w:noWrap/>
            <w:vAlign w:val="center"/>
            <w:hideMark/>
          </w:tcPr>
          <w:p w14:paraId="0F7D95AD" w14:textId="77777777" w:rsidR="0097348C" w:rsidRPr="001A4C81" w:rsidRDefault="0097348C" w:rsidP="0097348C">
            <w:pPr>
              <w:spacing w:after="0" w:line="240" w:lineRule="auto"/>
              <w:rPr>
                <w:rFonts w:ascii="Calibri" w:eastAsia="Times New Roman" w:hAnsi="Calibri" w:cs="Calibri"/>
                <w:b/>
                <w:bCs/>
                <w:color w:val="auto"/>
                <w:lang w:eastAsia="en-AU"/>
              </w:rPr>
            </w:pPr>
            <w:r w:rsidRPr="001A4C81">
              <w:rPr>
                <w:rFonts w:ascii="Calibri" w:eastAsia="Times New Roman" w:hAnsi="Calibri" w:cs="Calibri"/>
                <w:b/>
                <w:bCs/>
                <w:color w:val="auto"/>
                <w:lang w:eastAsia="en-AU"/>
              </w:rPr>
              <w:t xml:space="preserve">Change in costs </w:t>
            </w:r>
          </w:p>
        </w:tc>
        <w:tc>
          <w:tcPr>
            <w:tcW w:w="2126" w:type="dxa"/>
            <w:tcBorders>
              <w:top w:val="single" w:sz="4" w:space="0" w:color="auto"/>
              <w:left w:val="nil"/>
              <w:bottom w:val="single" w:sz="4" w:space="0" w:color="auto"/>
              <w:right w:val="single" w:sz="4" w:space="0" w:color="auto"/>
            </w:tcBorders>
            <w:shd w:val="clear" w:color="auto" w:fill="F9C3C5" w:themeFill="accent6" w:themeFillTint="33"/>
            <w:noWrap/>
            <w:vAlign w:val="center"/>
            <w:hideMark/>
          </w:tcPr>
          <w:p w14:paraId="5FE3BE2D" w14:textId="77777777" w:rsidR="0097348C" w:rsidRPr="001A4C81" w:rsidRDefault="0097348C" w:rsidP="0097348C">
            <w:pPr>
              <w:spacing w:after="0" w:line="240" w:lineRule="auto"/>
              <w:rPr>
                <w:rFonts w:ascii="Calibri" w:eastAsia="Times New Roman" w:hAnsi="Calibri" w:cs="Calibri"/>
                <w:b/>
                <w:bCs/>
                <w:color w:val="auto"/>
                <w:lang w:eastAsia="en-AU"/>
              </w:rPr>
            </w:pPr>
            <w:r w:rsidRPr="001A4C81">
              <w:rPr>
                <w:rFonts w:ascii="Calibri" w:eastAsia="Times New Roman" w:hAnsi="Calibri" w:cs="Calibri"/>
                <w:b/>
                <w:bCs/>
                <w:color w:val="auto"/>
                <w:lang w:eastAsia="en-AU"/>
              </w:rPr>
              <w:t>Business</w:t>
            </w:r>
          </w:p>
        </w:tc>
        <w:tc>
          <w:tcPr>
            <w:tcW w:w="1985" w:type="dxa"/>
            <w:tcBorders>
              <w:top w:val="single" w:sz="4" w:space="0" w:color="auto"/>
              <w:left w:val="nil"/>
              <w:bottom w:val="single" w:sz="4" w:space="0" w:color="auto"/>
              <w:right w:val="single" w:sz="4" w:space="0" w:color="auto"/>
            </w:tcBorders>
            <w:shd w:val="clear" w:color="auto" w:fill="F9C3C5" w:themeFill="accent6" w:themeFillTint="33"/>
            <w:noWrap/>
            <w:vAlign w:val="center"/>
            <w:hideMark/>
          </w:tcPr>
          <w:p w14:paraId="3F03A442" w14:textId="77777777" w:rsidR="0097348C" w:rsidRPr="001A4C81" w:rsidRDefault="0097348C" w:rsidP="0097348C">
            <w:pPr>
              <w:spacing w:after="0" w:line="240" w:lineRule="auto"/>
              <w:rPr>
                <w:rFonts w:ascii="Calibri" w:eastAsia="Times New Roman" w:hAnsi="Calibri" w:cs="Calibri"/>
                <w:b/>
                <w:bCs/>
                <w:color w:val="auto"/>
                <w:lang w:eastAsia="en-AU"/>
              </w:rPr>
            </w:pPr>
            <w:r w:rsidRPr="001A4C81">
              <w:rPr>
                <w:rFonts w:ascii="Calibri" w:eastAsia="Times New Roman" w:hAnsi="Calibri" w:cs="Calibri"/>
                <w:b/>
                <w:bCs/>
                <w:color w:val="auto"/>
                <w:lang w:eastAsia="en-AU"/>
              </w:rPr>
              <w:t>Community organisations</w:t>
            </w:r>
          </w:p>
        </w:tc>
        <w:tc>
          <w:tcPr>
            <w:tcW w:w="1984" w:type="dxa"/>
            <w:tcBorders>
              <w:top w:val="single" w:sz="4" w:space="0" w:color="auto"/>
              <w:left w:val="nil"/>
              <w:bottom w:val="single" w:sz="4" w:space="0" w:color="auto"/>
              <w:right w:val="single" w:sz="4" w:space="0" w:color="auto"/>
            </w:tcBorders>
            <w:shd w:val="clear" w:color="auto" w:fill="F9C3C5" w:themeFill="accent6" w:themeFillTint="33"/>
            <w:noWrap/>
            <w:vAlign w:val="center"/>
            <w:hideMark/>
          </w:tcPr>
          <w:p w14:paraId="09C13EA3" w14:textId="77777777" w:rsidR="0097348C" w:rsidRPr="001A4C81" w:rsidRDefault="0097348C" w:rsidP="0097348C">
            <w:pPr>
              <w:spacing w:after="0" w:line="240" w:lineRule="auto"/>
              <w:rPr>
                <w:rFonts w:ascii="Calibri" w:eastAsia="Times New Roman" w:hAnsi="Calibri" w:cs="Calibri"/>
                <w:b/>
                <w:bCs/>
                <w:color w:val="auto"/>
                <w:lang w:eastAsia="en-AU"/>
              </w:rPr>
            </w:pPr>
            <w:r w:rsidRPr="001A4C81">
              <w:rPr>
                <w:rFonts w:ascii="Calibri" w:eastAsia="Times New Roman" w:hAnsi="Calibri" w:cs="Calibri"/>
                <w:b/>
                <w:bCs/>
                <w:color w:val="auto"/>
                <w:lang w:eastAsia="en-AU"/>
              </w:rPr>
              <w:t>Individuals</w:t>
            </w:r>
          </w:p>
        </w:tc>
        <w:tc>
          <w:tcPr>
            <w:tcW w:w="2040" w:type="dxa"/>
            <w:tcBorders>
              <w:top w:val="single" w:sz="4" w:space="0" w:color="auto"/>
              <w:left w:val="nil"/>
              <w:bottom w:val="single" w:sz="4" w:space="0" w:color="auto"/>
              <w:right w:val="single" w:sz="4" w:space="0" w:color="auto"/>
            </w:tcBorders>
            <w:shd w:val="clear" w:color="auto" w:fill="F9C3C5" w:themeFill="accent6" w:themeFillTint="33"/>
            <w:noWrap/>
            <w:vAlign w:val="center"/>
            <w:hideMark/>
          </w:tcPr>
          <w:p w14:paraId="558CB1B4" w14:textId="77777777" w:rsidR="0097348C" w:rsidRPr="001A4C81" w:rsidRDefault="0097348C" w:rsidP="0097348C">
            <w:pPr>
              <w:spacing w:after="0" w:line="240" w:lineRule="auto"/>
              <w:rPr>
                <w:rFonts w:ascii="Calibri" w:eastAsia="Times New Roman" w:hAnsi="Calibri" w:cs="Calibri"/>
                <w:b/>
                <w:bCs/>
                <w:color w:val="auto"/>
                <w:lang w:eastAsia="en-AU"/>
              </w:rPr>
            </w:pPr>
            <w:r w:rsidRPr="001A4C81">
              <w:rPr>
                <w:rFonts w:ascii="Calibri" w:eastAsia="Times New Roman" w:hAnsi="Calibri" w:cs="Calibri"/>
                <w:b/>
                <w:bCs/>
                <w:color w:val="auto"/>
                <w:lang w:eastAsia="en-AU"/>
              </w:rPr>
              <w:t>Total change in costs</w:t>
            </w:r>
          </w:p>
        </w:tc>
      </w:tr>
      <w:tr w:rsidR="007E2263" w:rsidRPr="001A4C81" w14:paraId="02FD7EB8" w14:textId="77777777" w:rsidTr="0090057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D1E8C5" w14:textId="77777777" w:rsidR="007E2263" w:rsidRPr="001A4C81" w:rsidRDefault="007E2263" w:rsidP="007E2263">
            <w:pPr>
              <w:spacing w:after="0" w:line="240" w:lineRule="auto"/>
              <w:rPr>
                <w:rFonts w:ascii="Calibri" w:eastAsia="Times New Roman" w:hAnsi="Calibri" w:cs="Calibri"/>
                <w:b/>
                <w:color w:val="000000"/>
                <w:lang w:eastAsia="en-AU"/>
              </w:rPr>
            </w:pPr>
            <w:r w:rsidRPr="001A4C81">
              <w:rPr>
                <w:rFonts w:ascii="Calibri" w:eastAsia="Times New Roman" w:hAnsi="Calibri" w:cs="Calibri"/>
                <w:b/>
                <w:color w:val="000000"/>
                <w:lang w:eastAsia="en-AU"/>
              </w:rPr>
              <w:t>Total by sector</w:t>
            </w:r>
          </w:p>
        </w:tc>
        <w:tc>
          <w:tcPr>
            <w:tcW w:w="2126" w:type="dxa"/>
            <w:tcBorders>
              <w:top w:val="nil"/>
              <w:left w:val="nil"/>
              <w:bottom w:val="single" w:sz="4" w:space="0" w:color="auto"/>
              <w:right w:val="single" w:sz="4" w:space="0" w:color="auto"/>
            </w:tcBorders>
            <w:shd w:val="clear" w:color="auto" w:fill="auto"/>
            <w:noWrap/>
            <w:hideMark/>
          </w:tcPr>
          <w:p w14:paraId="78DBD2DC" w14:textId="77777777" w:rsidR="007E2263" w:rsidRPr="001A4C81" w:rsidRDefault="007E2263" w:rsidP="007E2263">
            <w:pPr>
              <w:spacing w:after="0" w:line="240" w:lineRule="auto"/>
              <w:rPr>
                <w:rFonts w:ascii="Calibri" w:eastAsia="Times New Roman" w:hAnsi="Calibri" w:cs="Calibri"/>
                <w:color w:val="000000"/>
                <w:lang w:eastAsia="en-AU"/>
              </w:rPr>
            </w:pPr>
            <w:r w:rsidRPr="001A4C81">
              <w:t>$213,382</w:t>
            </w:r>
          </w:p>
        </w:tc>
        <w:tc>
          <w:tcPr>
            <w:tcW w:w="1985" w:type="dxa"/>
            <w:tcBorders>
              <w:top w:val="nil"/>
              <w:left w:val="nil"/>
              <w:bottom w:val="single" w:sz="4" w:space="0" w:color="auto"/>
              <w:right w:val="single" w:sz="4" w:space="0" w:color="auto"/>
            </w:tcBorders>
            <w:shd w:val="clear" w:color="auto" w:fill="auto"/>
            <w:noWrap/>
            <w:hideMark/>
          </w:tcPr>
          <w:p w14:paraId="24354785" w14:textId="77777777" w:rsidR="007E2263" w:rsidRPr="001A4C81" w:rsidRDefault="007E2263" w:rsidP="007E2263">
            <w:pPr>
              <w:spacing w:after="0" w:line="240" w:lineRule="auto"/>
              <w:rPr>
                <w:rFonts w:ascii="Calibri" w:eastAsia="Times New Roman" w:hAnsi="Calibri" w:cs="Calibri"/>
                <w:color w:val="000000"/>
                <w:lang w:eastAsia="en-AU"/>
              </w:rPr>
            </w:pPr>
            <w:r w:rsidRPr="001A4C81">
              <w:t>$344,002</w:t>
            </w:r>
          </w:p>
        </w:tc>
        <w:tc>
          <w:tcPr>
            <w:tcW w:w="1984" w:type="dxa"/>
            <w:tcBorders>
              <w:top w:val="nil"/>
              <w:left w:val="nil"/>
              <w:bottom w:val="single" w:sz="4" w:space="0" w:color="auto"/>
              <w:right w:val="single" w:sz="4" w:space="0" w:color="auto"/>
            </w:tcBorders>
            <w:shd w:val="clear" w:color="auto" w:fill="auto"/>
            <w:noWrap/>
            <w:hideMark/>
          </w:tcPr>
          <w:p w14:paraId="2B058E10" w14:textId="77777777" w:rsidR="007E2263" w:rsidRPr="001A4C81" w:rsidRDefault="007E2263" w:rsidP="007E2263">
            <w:pPr>
              <w:spacing w:after="0" w:line="240" w:lineRule="auto"/>
              <w:rPr>
                <w:rFonts w:ascii="Calibri" w:eastAsia="Times New Roman" w:hAnsi="Calibri" w:cs="Calibri"/>
                <w:color w:val="000000"/>
                <w:lang w:eastAsia="en-AU"/>
              </w:rPr>
            </w:pPr>
            <w:r w:rsidRPr="001A4C81">
              <w:t>$155,520</w:t>
            </w:r>
          </w:p>
        </w:tc>
        <w:tc>
          <w:tcPr>
            <w:tcW w:w="2040" w:type="dxa"/>
            <w:tcBorders>
              <w:top w:val="nil"/>
              <w:left w:val="nil"/>
              <w:bottom w:val="single" w:sz="4" w:space="0" w:color="auto"/>
              <w:right w:val="single" w:sz="4" w:space="0" w:color="auto"/>
            </w:tcBorders>
            <w:shd w:val="clear" w:color="auto" w:fill="auto"/>
            <w:noWrap/>
            <w:hideMark/>
          </w:tcPr>
          <w:p w14:paraId="0F27C000" w14:textId="77777777" w:rsidR="007E2263" w:rsidRPr="001A4C81" w:rsidRDefault="007E2263" w:rsidP="007E2263">
            <w:pPr>
              <w:spacing w:after="0" w:line="240" w:lineRule="auto"/>
              <w:rPr>
                <w:rFonts w:ascii="Calibri" w:eastAsia="Times New Roman" w:hAnsi="Calibri" w:cs="Calibri"/>
                <w:b/>
                <w:color w:val="000000"/>
                <w:lang w:eastAsia="en-AU"/>
              </w:rPr>
            </w:pPr>
            <w:r w:rsidRPr="001A4C81">
              <w:t>$712,904</w:t>
            </w:r>
          </w:p>
        </w:tc>
      </w:tr>
    </w:tbl>
    <w:p w14:paraId="51F30D98" w14:textId="77777777" w:rsidR="0097348C" w:rsidRPr="001A4C81" w:rsidRDefault="0097348C" w:rsidP="006E0348">
      <w:pPr>
        <w:rPr>
          <w:rFonts w:ascii="Calibri" w:eastAsia="Times New Roman" w:hAnsi="Calibri" w:cs="Times New Roman"/>
          <w:b/>
          <w:color w:val="auto"/>
          <w:lang w:eastAsia="en-AU"/>
        </w:rPr>
      </w:pPr>
    </w:p>
    <w:p w14:paraId="745D5543" w14:textId="77777777" w:rsidR="00F448CF" w:rsidRPr="001A4C81" w:rsidRDefault="00F448CF" w:rsidP="006E0348">
      <w:pPr>
        <w:rPr>
          <w:rFonts w:ascii="Calibri" w:eastAsia="Times New Roman" w:hAnsi="Calibri" w:cs="Times New Roman"/>
          <w:b/>
          <w:color w:val="auto"/>
          <w:lang w:eastAsia="en-AU"/>
        </w:rPr>
      </w:pPr>
      <w:r w:rsidRPr="001A4C81">
        <w:rPr>
          <w:rFonts w:ascii="Calibri" w:eastAsia="Times New Roman" w:hAnsi="Calibri" w:cs="Times New Roman"/>
          <w:b/>
          <w:color w:val="auto"/>
          <w:lang w:eastAsia="en-AU"/>
        </w:rPr>
        <w:t>Total</w:t>
      </w:r>
    </w:p>
    <w:tbl>
      <w:tblPr>
        <w:tblStyle w:val="LightGrid-Accent21"/>
        <w:tblW w:w="10061" w:type="dxa"/>
        <w:tblLook w:val="04A0" w:firstRow="1" w:lastRow="0" w:firstColumn="1" w:lastColumn="0" w:noHBand="0" w:noVBand="1"/>
        <w:tblDescription w:val="Total"/>
      </w:tblPr>
      <w:tblGrid>
        <w:gridCol w:w="2012"/>
        <w:gridCol w:w="2012"/>
        <w:gridCol w:w="2012"/>
        <w:gridCol w:w="2012"/>
        <w:gridCol w:w="2013"/>
      </w:tblGrid>
      <w:tr w:rsidR="00F448CF" w:rsidRPr="001A4C81" w14:paraId="33FB0D79" w14:textId="77777777" w:rsidTr="0027552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12" w:type="dxa"/>
            <w:shd w:val="clear" w:color="auto" w:fill="F9C3C5" w:themeFill="accent6" w:themeFillTint="33"/>
            <w:noWrap/>
          </w:tcPr>
          <w:p w14:paraId="3B9CE267" w14:textId="77777777" w:rsidR="00F448CF" w:rsidRPr="001A4C81" w:rsidRDefault="00F448CF" w:rsidP="00F448CF">
            <w:pPr>
              <w:spacing w:before="120"/>
              <w:rPr>
                <w:rFonts w:asciiTheme="minorHAnsi" w:hAnsiTheme="minorHAnsi" w:cstheme="minorHAnsi"/>
                <w:sz w:val="20"/>
                <w:szCs w:val="20"/>
              </w:rPr>
            </w:pPr>
            <w:r w:rsidRPr="001A4C81">
              <w:rPr>
                <w:rFonts w:asciiTheme="minorHAnsi" w:hAnsiTheme="minorHAnsi" w:cstheme="minorHAnsi"/>
                <w:sz w:val="20"/>
                <w:szCs w:val="20"/>
              </w:rPr>
              <w:t xml:space="preserve">Change in costs </w:t>
            </w:r>
          </w:p>
        </w:tc>
        <w:tc>
          <w:tcPr>
            <w:tcW w:w="2012" w:type="dxa"/>
            <w:shd w:val="clear" w:color="auto" w:fill="F9C3C5" w:themeFill="accent6" w:themeFillTint="33"/>
            <w:noWrap/>
          </w:tcPr>
          <w:p w14:paraId="0CA65506" w14:textId="77777777" w:rsidR="00F448CF" w:rsidRPr="001A4C81" w:rsidRDefault="00F448CF" w:rsidP="00F448CF">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Business</w:t>
            </w:r>
          </w:p>
        </w:tc>
        <w:tc>
          <w:tcPr>
            <w:tcW w:w="2012" w:type="dxa"/>
            <w:shd w:val="clear" w:color="auto" w:fill="F9C3C5" w:themeFill="accent6" w:themeFillTint="33"/>
            <w:noWrap/>
          </w:tcPr>
          <w:p w14:paraId="64188538" w14:textId="77777777" w:rsidR="00F448CF" w:rsidRPr="001A4C81" w:rsidRDefault="00F448CF" w:rsidP="00F448C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Community organisations</w:t>
            </w:r>
          </w:p>
        </w:tc>
        <w:tc>
          <w:tcPr>
            <w:tcW w:w="2012" w:type="dxa"/>
            <w:shd w:val="clear" w:color="auto" w:fill="F9C3C5" w:themeFill="accent6" w:themeFillTint="33"/>
            <w:noWrap/>
          </w:tcPr>
          <w:p w14:paraId="1BBB9E78" w14:textId="77777777" w:rsidR="00F448CF" w:rsidRPr="001A4C81" w:rsidRDefault="00F448CF" w:rsidP="00F448C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Individuals</w:t>
            </w:r>
          </w:p>
        </w:tc>
        <w:tc>
          <w:tcPr>
            <w:tcW w:w="2013" w:type="dxa"/>
            <w:shd w:val="clear" w:color="auto" w:fill="F9C3C5" w:themeFill="accent6" w:themeFillTint="33"/>
            <w:noWrap/>
          </w:tcPr>
          <w:p w14:paraId="07BB355E" w14:textId="77777777" w:rsidR="00F448CF" w:rsidRPr="001A4C81" w:rsidRDefault="00F448CF" w:rsidP="00F448C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4C81">
              <w:rPr>
                <w:rFonts w:asciiTheme="minorHAnsi" w:hAnsiTheme="minorHAnsi" w:cstheme="minorHAnsi"/>
                <w:sz w:val="20"/>
                <w:szCs w:val="20"/>
              </w:rPr>
              <w:t>Total change in costs</w:t>
            </w:r>
          </w:p>
        </w:tc>
      </w:tr>
      <w:tr w:rsidR="00676B4A" w:rsidRPr="001A4C81" w14:paraId="022D97BE" w14:textId="77777777" w:rsidTr="00F448CF">
        <w:trPr>
          <w:trHeight w:val="300"/>
        </w:trPr>
        <w:tc>
          <w:tcPr>
            <w:cnfStyle w:val="001000000000" w:firstRow="0" w:lastRow="0" w:firstColumn="1" w:lastColumn="0" w:oddVBand="0" w:evenVBand="0" w:oddHBand="0" w:evenHBand="0" w:firstRowFirstColumn="0" w:firstRowLastColumn="0" w:lastRowFirstColumn="0" w:lastRowLastColumn="0"/>
            <w:tcW w:w="2012" w:type="dxa"/>
            <w:noWrap/>
          </w:tcPr>
          <w:p w14:paraId="4140A8E2" w14:textId="77777777" w:rsidR="00676B4A" w:rsidRPr="001A4C81" w:rsidRDefault="00676B4A" w:rsidP="00676B4A">
            <w:pPr>
              <w:spacing w:before="120" w:after="120"/>
              <w:rPr>
                <w:rFonts w:asciiTheme="minorHAnsi" w:hAnsiTheme="minorHAnsi" w:cstheme="minorHAnsi"/>
                <w:sz w:val="20"/>
                <w:szCs w:val="20"/>
              </w:rPr>
            </w:pPr>
            <w:r w:rsidRPr="001A4C81">
              <w:rPr>
                <w:rFonts w:asciiTheme="minorHAnsi" w:hAnsiTheme="minorHAnsi" w:cstheme="minorHAnsi"/>
                <w:sz w:val="20"/>
                <w:szCs w:val="20"/>
              </w:rPr>
              <w:t>Total by sector</w:t>
            </w:r>
          </w:p>
        </w:tc>
        <w:tc>
          <w:tcPr>
            <w:tcW w:w="2012" w:type="dxa"/>
            <w:noWrap/>
          </w:tcPr>
          <w:p w14:paraId="689BBC58"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1A4C81">
              <w:rPr>
                <w:sz w:val="20"/>
                <w:szCs w:val="20"/>
              </w:rPr>
              <w:t>-$16,983,042</w:t>
            </w:r>
          </w:p>
        </w:tc>
        <w:tc>
          <w:tcPr>
            <w:tcW w:w="2012" w:type="dxa"/>
            <w:noWrap/>
          </w:tcPr>
          <w:p w14:paraId="3995586E"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1A4C81">
              <w:rPr>
                <w:sz w:val="20"/>
                <w:szCs w:val="20"/>
              </w:rPr>
              <w:t>$587,765</w:t>
            </w:r>
          </w:p>
        </w:tc>
        <w:tc>
          <w:tcPr>
            <w:tcW w:w="2012" w:type="dxa"/>
            <w:noWrap/>
          </w:tcPr>
          <w:p w14:paraId="316E5359"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1A4C81">
              <w:rPr>
                <w:sz w:val="20"/>
                <w:szCs w:val="20"/>
              </w:rPr>
              <w:t>-$5,120,348</w:t>
            </w:r>
          </w:p>
        </w:tc>
        <w:tc>
          <w:tcPr>
            <w:tcW w:w="2013" w:type="dxa"/>
            <w:noWrap/>
          </w:tcPr>
          <w:p w14:paraId="70803992" w14:textId="77777777" w:rsidR="00676B4A" w:rsidRPr="001A4C81" w:rsidRDefault="00676B4A" w:rsidP="00676B4A">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1A4C81">
              <w:rPr>
                <w:sz w:val="20"/>
                <w:szCs w:val="20"/>
              </w:rPr>
              <w:t>-$21,515,625</w:t>
            </w:r>
          </w:p>
        </w:tc>
      </w:tr>
    </w:tbl>
    <w:p w14:paraId="1F506F3E" w14:textId="77777777" w:rsidR="006E0348" w:rsidRDefault="006E0348">
      <w:pPr>
        <w:rPr>
          <w:rFonts w:ascii="Calibri" w:eastAsia="Times New Roman" w:hAnsi="Calibri" w:cs="Times New Roman"/>
          <w:color w:val="auto"/>
          <w:szCs w:val="24"/>
          <w:lang w:eastAsia="en-AU"/>
        </w:rPr>
      </w:pPr>
      <w:r>
        <w:rPr>
          <w:rFonts w:ascii="Calibri" w:eastAsia="Times New Roman" w:hAnsi="Calibri" w:cs="Times New Roman"/>
          <w:color w:val="auto"/>
          <w:szCs w:val="24"/>
          <w:lang w:eastAsia="en-AU"/>
        </w:rPr>
        <w:br w:type="page"/>
      </w:r>
    </w:p>
    <w:p w14:paraId="6BC85FC2" w14:textId="391F42AB" w:rsidR="007C5FA7" w:rsidRPr="00F90356" w:rsidRDefault="00A761A1" w:rsidP="007C5FA7">
      <w:pPr>
        <w:pStyle w:val="Title"/>
        <w:rPr>
          <w:szCs w:val="52"/>
        </w:rPr>
      </w:pPr>
      <w:bookmarkStart w:id="149" w:name="_Toc118103778"/>
      <w:r>
        <w:rPr>
          <w:szCs w:val="52"/>
        </w:rPr>
        <w:t>5.</w:t>
      </w:r>
      <w:bookmarkStart w:id="150" w:name="_Toc108008516"/>
      <w:r w:rsidR="00EC08A0">
        <w:rPr>
          <w:szCs w:val="52"/>
        </w:rPr>
        <w:t xml:space="preserve">  </w:t>
      </w:r>
      <w:r w:rsidR="007C5FA7" w:rsidRPr="00F90356">
        <w:rPr>
          <w:szCs w:val="52"/>
        </w:rPr>
        <w:t>Who did you consult and how did you incorporate their feedback?</w:t>
      </w:r>
      <w:bookmarkEnd w:id="149"/>
      <w:bookmarkEnd w:id="150"/>
    </w:p>
    <w:p w14:paraId="010E8533" w14:textId="77777777" w:rsidR="002B6550" w:rsidRPr="00A073CF" w:rsidRDefault="002B6550" w:rsidP="002B6550">
      <w:pPr>
        <w:pStyle w:val="BodyText"/>
      </w:pPr>
      <w:r w:rsidRPr="00A073CF">
        <w:t xml:space="preserve">Since the inception of the programs, the Department has consulted with a range of audiences, such as community leaders, representative groups, stakeholders and directly with participants. The Department maintains partnerships in current IM and CDC regions to provide a forum to discuss the impact of the programs, the </w:t>
      </w:r>
      <w:r w:rsidR="00DA1046" w:rsidRPr="00A073CF">
        <w:t xml:space="preserve">social landscape </w:t>
      </w:r>
      <w:r w:rsidRPr="00A073CF">
        <w:t>in the wider community a</w:t>
      </w:r>
      <w:r w:rsidR="009227A8" w:rsidRPr="00A073CF">
        <w:t xml:space="preserve">nd to </w:t>
      </w:r>
      <w:r w:rsidR="00D426A4" w:rsidRPr="00A073CF">
        <w:t>resolve issues</w:t>
      </w:r>
      <w:r w:rsidR="009227A8" w:rsidRPr="00A073CF">
        <w:t xml:space="preserve"> as they</w:t>
      </w:r>
      <w:r w:rsidRPr="00A073CF">
        <w:t xml:space="preserve"> arise from these programs in</w:t>
      </w:r>
      <w:r w:rsidR="000A17FB">
        <w:t xml:space="preserve"> </w:t>
      </w:r>
      <w:r w:rsidR="00DA1046" w:rsidRPr="00A073CF">
        <w:t>the relevant regions</w:t>
      </w:r>
      <w:r w:rsidRPr="00A073CF">
        <w:t xml:space="preserve">. The Department has drawn some lessons from these consultations </w:t>
      </w:r>
      <w:r w:rsidR="003B75DF" w:rsidRPr="00A073CF">
        <w:t xml:space="preserve">which </w:t>
      </w:r>
      <w:r w:rsidR="00DA1046" w:rsidRPr="00A073CF">
        <w:t xml:space="preserve">have been </w:t>
      </w:r>
      <w:r w:rsidR="003B75DF" w:rsidRPr="00A073CF">
        <w:t xml:space="preserve">important in </w:t>
      </w:r>
      <w:r w:rsidRPr="00A073CF">
        <w:t>understand</w:t>
      </w:r>
      <w:r w:rsidR="003B75DF" w:rsidRPr="00A073CF">
        <w:t>ing</w:t>
      </w:r>
      <w:r w:rsidRPr="00A073CF">
        <w:t xml:space="preserve"> and assess</w:t>
      </w:r>
      <w:r w:rsidR="003B75DF" w:rsidRPr="00A073CF">
        <w:t>ing</w:t>
      </w:r>
      <w:r w:rsidRPr="00A073CF">
        <w:t xml:space="preserve"> Option 2.</w:t>
      </w:r>
    </w:p>
    <w:p w14:paraId="2518A269" w14:textId="77777777" w:rsidR="002B6550" w:rsidRDefault="002B6550" w:rsidP="002B6550">
      <w:r w:rsidRPr="00A073CF">
        <w:t xml:space="preserve">Abolishing the CDC program and </w:t>
      </w:r>
      <w:r w:rsidR="00DA1046" w:rsidRPr="00A073CF">
        <w:t xml:space="preserve">reforming </w:t>
      </w:r>
      <w:r w:rsidRPr="00A073CF">
        <w:t xml:space="preserve">IM was a 2022 election commitment </w:t>
      </w:r>
      <w:r w:rsidR="006E0477" w:rsidRPr="00A073CF">
        <w:t xml:space="preserve">for the </w:t>
      </w:r>
      <w:r w:rsidRPr="00A073CF">
        <w:t xml:space="preserve">Government. This commitment </w:t>
      </w:r>
      <w:r w:rsidR="00153ED5">
        <w:t xml:space="preserve">was clear that </w:t>
      </w:r>
      <w:r w:rsidRPr="00A073CF">
        <w:t xml:space="preserve">any future solutions moving forward would be developed after </w:t>
      </w:r>
      <w:r w:rsidR="00C41A63" w:rsidRPr="00A073CF">
        <w:t xml:space="preserve">consulting with </w:t>
      </w:r>
      <w:r w:rsidRPr="00A073CF">
        <w:t>affected communities. To this end, the Minister has conducted consultations focusing on future support for these communities as described in Option 2, especially transition arrangements, support services and the design of voluntary IM.</w:t>
      </w:r>
    </w:p>
    <w:p w14:paraId="3D1B686B" w14:textId="269ADDCC" w:rsidR="002B6550" w:rsidRDefault="00247AC4" w:rsidP="002B6550">
      <w:r>
        <w:t>C</w:t>
      </w:r>
      <w:r w:rsidR="002B6550" w:rsidRPr="006250FD">
        <w:t xml:space="preserve">onsultations </w:t>
      </w:r>
      <w:r>
        <w:t xml:space="preserve">have been essential to </w:t>
      </w:r>
      <w:r w:rsidR="002B6550" w:rsidRPr="006250FD">
        <w:t xml:space="preserve">understand participants’ experiences and </w:t>
      </w:r>
      <w:r>
        <w:t xml:space="preserve">tailor Option 2 </w:t>
      </w:r>
      <w:r w:rsidR="002B6550" w:rsidRPr="006250FD">
        <w:t>possible impacts on participants and communities</w:t>
      </w:r>
      <w:r w:rsidR="002B6550">
        <w:t xml:space="preserve">. </w:t>
      </w:r>
      <w:r>
        <w:t xml:space="preserve">Consultations are also informing changes in policy development of improvements to the function of the </w:t>
      </w:r>
      <w:r w:rsidR="00411295">
        <w:rPr>
          <w:rFonts w:eastAsia="Calibri"/>
        </w:rPr>
        <w:t xml:space="preserve">contemporary card </w:t>
      </w:r>
      <w:r>
        <w:t xml:space="preserve">and how it </w:t>
      </w:r>
      <w:r w:rsidR="009233DB">
        <w:t>will be</w:t>
      </w:r>
      <w:r>
        <w:t xml:space="preserve"> delivered. </w:t>
      </w:r>
      <w:r w:rsidR="002B6550">
        <w:t xml:space="preserve">This will allow the </w:t>
      </w:r>
      <w:r w:rsidR="00351EC8">
        <w:t>D</w:t>
      </w:r>
      <w:r w:rsidR="002B6550">
        <w:t xml:space="preserve">epartment and Services Australia to develop transitional and future arrangements informed by </w:t>
      </w:r>
      <w:r w:rsidR="002B6550" w:rsidRPr="006250FD">
        <w:t>an understand</w:t>
      </w:r>
      <w:r w:rsidR="002B6550">
        <w:t>ing of the support needs of</w:t>
      </w:r>
      <w:r w:rsidR="002B6550" w:rsidRPr="006250FD">
        <w:t xml:space="preserve"> individuals</w:t>
      </w:r>
      <w:r w:rsidR="004C621D">
        <w:t>, merchants</w:t>
      </w:r>
      <w:r w:rsidR="002B6550" w:rsidRPr="006250FD">
        <w:t xml:space="preserve"> and communitie</w:t>
      </w:r>
      <w:r w:rsidR="002B6550">
        <w:t>s.</w:t>
      </w:r>
    </w:p>
    <w:p w14:paraId="5F81A0C8" w14:textId="77777777" w:rsidR="00BD629A" w:rsidRDefault="003E5F74" w:rsidP="002B6550">
      <w:r w:rsidRPr="00254CCC">
        <w:t>Ongoing consultation will continue to inform the implementation of Option 2. This will allow the Department and Services Australia to develop transitional and future arrangements informed by an understanding of the support needs of individuals, merchants and communities.</w:t>
      </w:r>
    </w:p>
    <w:p w14:paraId="0B01FAF7" w14:textId="5CEDBE88" w:rsidR="002A27B2" w:rsidRDefault="00ED6191" w:rsidP="00086DA1">
      <w:pPr>
        <w:pStyle w:val="Heading2"/>
      </w:pPr>
      <w:bookmarkStart w:id="151" w:name="_Toc108008517"/>
      <w:bookmarkStart w:id="152" w:name="_Toc118103779"/>
      <w:r>
        <w:t>5.1</w:t>
      </w:r>
      <w:r w:rsidR="00246D8D">
        <w:t xml:space="preserve"> </w:t>
      </w:r>
      <w:r>
        <w:t xml:space="preserve">Feedback from </w:t>
      </w:r>
      <w:r w:rsidR="002A27B2">
        <w:t>the Senate hearing to repeal</w:t>
      </w:r>
      <w:r>
        <w:t xml:space="preserve"> </w:t>
      </w:r>
      <w:r w:rsidR="00030F4A">
        <w:t>the cash</w:t>
      </w:r>
      <w:r w:rsidR="002A27B2">
        <w:t>less debit card and other measures</w:t>
      </w:r>
      <w:bookmarkEnd w:id="151"/>
      <w:bookmarkEnd w:id="152"/>
    </w:p>
    <w:p w14:paraId="66059531" w14:textId="77777777" w:rsidR="002A27B2" w:rsidRPr="00C27CFA" w:rsidRDefault="002A27B2" w:rsidP="002A27B2">
      <w:pPr>
        <w:pStyle w:val="NormalWeb"/>
      </w:pPr>
      <w:r w:rsidRPr="00C27CFA">
        <w:t>On 4 August 2022</w:t>
      </w:r>
      <w:r w:rsidR="002D6833">
        <w:t>,</w:t>
      </w:r>
      <w:r w:rsidRPr="00C27CFA">
        <w:t xml:space="preserve"> the Senate referred the Social Security (Administration) Amendment (Repeal of Cashless Debit Card and Other Measures) Bill 2022 to the Community Affairs Legislation Committee for inquiry and report by 31 August 2022.</w:t>
      </w:r>
    </w:p>
    <w:p w14:paraId="7F39733B" w14:textId="7BDB644B" w:rsidR="00246D8D" w:rsidRPr="00C27CFA" w:rsidRDefault="002A27B2" w:rsidP="00406DFE">
      <w:pPr>
        <w:pStyle w:val="NormalWeb"/>
        <w:spacing w:before="0" w:beforeAutospacing="0" w:after="0" w:afterAutospacing="0"/>
      </w:pPr>
      <w:r w:rsidRPr="00C27CFA">
        <w:t>In total 77 submissions were received by the 10 August 2022. Submissions were received from participants of the CDC program, community organisations, peak advocacy groups, researchers, state government authorities and local government.</w:t>
      </w:r>
      <w:r w:rsidR="00F000FA" w:rsidRPr="00C27CFA">
        <w:t xml:space="preserve"> Overall there was various level of support for the cessation of the CDC program. </w:t>
      </w:r>
      <w:r w:rsidR="00C2287F">
        <w:t xml:space="preserve">Commentary has been </w:t>
      </w:r>
      <w:r w:rsidR="00406DFE">
        <w:t xml:space="preserve">varied and </w:t>
      </w:r>
      <w:r w:rsidR="00456F59">
        <w:t>fell into the following themes:</w:t>
      </w:r>
    </w:p>
    <w:p w14:paraId="5A0696FE" w14:textId="77777777" w:rsidR="00F000FA" w:rsidRPr="00C27CFA" w:rsidRDefault="00F000FA" w:rsidP="00406DFE">
      <w:pPr>
        <w:pStyle w:val="BulletedListlvl1"/>
      </w:pPr>
      <w:r w:rsidRPr="00C27CFA">
        <w:t>Supports abolition of CDC and current Government’s commitment</w:t>
      </w:r>
    </w:p>
    <w:p w14:paraId="49DB7227" w14:textId="77777777" w:rsidR="00C27CFA" w:rsidRPr="00C27CFA" w:rsidRDefault="00C27CFA" w:rsidP="00C27CFA">
      <w:pPr>
        <w:pStyle w:val="BulletedListlvl1"/>
      </w:pPr>
      <w:r w:rsidRPr="00C27CFA">
        <w:t>Not supportive of the cessation of the CDC.</w:t>
      </w:r>
    </w:p>
    <w:p w14:paraId="02B720E2" w14:textId="77777777" w:rsidR="00F000FA" w:rsidRPr="00C27CFA" w:rsidRDefault="00F000FA" w:rsidP="00F000FA">
      <w:pPr>
        <w:pStyle w:val="BulletedListlvl1"/>
      </w:pPr>
      <w:r w:rsidRPr="00C27CFA">
        <w:t>Support for the cessation of CDC, however reservations about the mandatory transition to IM for NT participants.</w:t>
      </w:r>
    </w:p>
    <w:p w14:paraId="467521FE" w14:textId="77777777" w:rsidR="00F000FA" w:rsidRPr="00C27CFA" w:rsidRDefault="00F000FA" w:rsidP="00F000FA">
      <w:pPr>
        <w:pStyle w:val="BulletedListlvl1"/>
      </w:pPr>
      <w:r w:rsidRPr="00C27CFA">
        <w:t>Support for the cessation of CDC, but has reservations about the Bill and future direction of IM.</w:t>
      </w:r>
    </w:p>
    <w:p w14:paraId="16A5E758" w14:textId="77777777" w:rsidR="00F000FA" w:rsidRPr="00C27CFA" w:rsidRDefault="00F000FA" w:rsidP="00F000FA">
      <w:pPr>
        <w:pStyle w:val="BulletedListlvl1"/>
      </w:pPr>
      <w:r w:rsidRPr="00C27CFA">
        <w:t>Support for providing operationalised I</w:t>
      </w:r>
      <w:r w:rsidR="002D6833">
        <w:t>M</w:t>
      </w:r>
      <w:r w:rsidRPr="00C27CFA">
        <w:t xml:space="preserve"> where it is a community decision, to appropriately assist and address complex and entrenched disadvantage.</w:t>
      </w:r>
    </w:p>
    <w:p w14:paraId="75A8CBD2" w14:textId="77777777" w:rsidR="0082100B" w:rsidRPr="00C27CFA" w:rsidRDefault="0082100B" w:rsidP="00F000FA">
      <w:pPr>
        <w:pStyle w:val="BulletedListlvl1"/>
      </w:pPr>
      <w:r w:rsidRPr="00C27CFA">
        <w:t>Retention of CDC card technology</w:t>
      </w:r>
      <w:r w:rsidR="00C27CFA" w:rsidRPr="00C27CFA">
        <w:t>.</w:t>
      </w:r>
    </w:p>
    <w:p w14:paraId="67A0219C" w14:textId="4C92DCC6" w:rsidR="00E7090C" w:rsidRPr="00B6181F" w:rsidRDefault="00E7090C" w:rsidP="00086DA1">
      <w:pPr>
        <w:pStyle w:val="Heading2"/>
      </w:pPr>
      <w:bookmarkStart w:id="153" w:name="_Toc108008518"/>
      <w:bookmarkStart w:id="154" w:name="_Toc118103780"/>
      <w:r>
        <w:t>5.</w:t>
      </w:r>
      <w:r w:rsidR="00ED6191">
        <w:t>2</w:t>
      </w:r>
      <w:r w:rsidRPr="00B6181F">
        <w:t xml:space="preserve"> </w:t>
      </w:r>
      <w:r w:rsidR="002B6550">
        <w:t xml:space="preserve">Current </w:t>
      </w:r>
      <w:r w:rsidRPr="00B6181F">
        <w:t>Ministerial engagement with affected communities</w:t>
      </w:r>
      <w:bookmarkEnd w:id="153"/>
      <w:bookmarkEnd w:id="154"/>
    </w:p>
    <w:p w14:paraId="0536544A" w14:textId="77777777" w:rsidR="00406DFE" w:rsidRDefault="00406DFE" w:rsidP="00406DFE">
      <w:r>
        <w:rPr>
          <w:rFonts w:cstheme="minorHAnsi"/>
        </w:rPr>
        <w:t>The D</w:t>
      </w:r>
      <w:r w:rsidRPr="00115E1F">
        <w:rPr>
          <w:rFonts w:cstheme="minorHAnsi"/>
        </w:rPr>
        <w:t xml:space="preserve">epartment </w:t>
      </w:r>
      <w:r>
        <w:rPr>
          <w:rFonts w:cstheme="minorHAnsi"/>
        </w:rPr>
        <w:t xml:space="preserve">has undertaken consultation with those in affected locations including targeted Ministerial visits by the Minister and the Assistant Minister. Senator the Hon Patrick Dodson, </w:t>
      </w:r>
      <w:r w:rsidRPr="00ED5E9C">
        <w:rPr>
          <w:rFonts w:cstheme="minorHAnsi"/>
        </w:rPr>
        <w:t>Senator the Hon Malarndirri McCarthy</w:t>
      </w:r>
      <w:r>
        <w:rPr>
          <w:rFonts w:cstheme="minorHAnsi"/>
        </w:rPr>
        <w:t xml:space="preserve">, and Ms Marion Scrymgour MP have also participated in consultations. This has included </w:t>
      </w:r>
      <w:r w:rsidRPr="00115E1F">
        <w:rPr>
          <w:rFonts w:cstheme="minorHAnsi"/>
        </w:rPr>
        <w:t xml:space="preserve">consulting with CDC participants and other </w:t>
      </w:r>
      <w:r>
        <w:rPr>
          <w:rFonts w:cstheme="minorHAnsi"/>
        </w:rPr>
        <w:t xml:space="preserve">local </w:t>
      </w:r>
      <w:r w:rsidRPr="00115E1F">
        <w:rPr>
          <w:rFonts w:cstheme="minorHAnsi"/>
        </w:rPr>
        <w:t xml:space="preserve">stakeholders about the cessation of the CDC program. Consultations </w:t>
      </w:r>
      <w:r>
        <w:rPr>
          <w:rFonts w:cstheme="minorHAnsi"/>
        </w:rPr>
        <w:t xml:space="preserve">captured </w:t>
      </w:r>
      <w:r w:rsidRPr="00115E1F">
        <w:rPr>
          <w:rFonts w:cstheme="minorHAnsi"/>
        </w:rPr>
        <w:t xml:space="preserve">a wide range of stakeholders </w:t>
      </w:r>
      <w:r>
        <w:rPr>
          <w:rFonts w:cstheme="minorHAnsi"/>
        </w:rPr>
        <w:t xml:space="preserve">and captured </w:t>
      </w:r>
      <w:r w:rsidRPr="00115E1F">
        <w:rPr>
          <w:rFonts w:cstheme="minorHAnsi"/>
        </w:rPr>
        <w:t>a diversity of perspectives, including CDC participants, senior First Nations leaders, Community Reference Groups, service providers, lo</w:t>
      </w:r>
      <w:r>
        <w:rPr>
          <w:rFonts w:cstheme="minorHAnsi"/>
        </w:rPr>
        <w:t>cal police, health services and local councils.</w:t>
      </w:r>
      <w:r w:rsidRPr="00203A1A">
        <w:rPr>
          <w:rFonts w:cstheme="minorHAnsi"/>
        </w:rPr>
        <w:t xml:space="preserve"> </w:t>
      </w:r>
      <w:r>
        <w:rPr>
          <w:rFonts w:cstheme="minorHAnsi"/>
        </w:rPr>
        <w:t>Engagement with communities will continue as part of the implementation of the reforms.</w:t>
      </w:r>
    </w:p>
    <w:p w14:paraId="104C3C9B" w14:textId="77777777" w:rsidR="00406DFE" w:rsidRDefault="00406DFE" w:rsidP="00406DFE">
      <w:r>
        <w:t>To date, the Minister has held consultations in Ceduna, the East Kimberley, Cape York, the N</w:t>
      </w:r>
      <w:r w:rsidR="002D6833">
        <w:t>T</w:t>
      </w:r>
      <w:r>
        <w:t xml:space="preserve"> and the Goldfields region, while the Assistant Minister for Social Services has held consultations in Bundaberg and Hervey Bay. During these consultations, the Ministers met with key community stakeholders from all levels of government, non-government agencies, and the community including First Nation leaders. Ministerial has vis</w:t>
      </w:r>
      <w:r w:rsidR="00FD2793">
        <w:t>ited all CDC sites plus the NT.</w:t>
      </w:r>
    </w:p>
    <w:p w14:paraId="57BDAFBE" w14:textId="77777777" w:rsidR="00406DFE" w:rsidRDefault="00406DFE" w:rsidP="00406DFE">
      <w:r>
        <w:rPr>
          <w:rFonts w:cstheme="minorHAnsi"/>
        </w:rPr>
        <w:t xml:space="preserve">Consultations involved understanding what the impacts of the CDC program are and how these are impacting individuals and businesses in the affected regions. It also involves seeking their views on what a suitable process for people to </w:t>
      </w:r>
      <w:r w:rsidRPr="00F30071">
        <w:t xml:space="preserve">transition </w:t>
      </w:r>
      <w:r>
        <w:t>off the CDC program needs to include and w</w:t>
      </w:r>
      <w:r w:rsidRPr="00F30071">
        <w:t>hat supports the communi</w:t>
      </w:r>
      <w:r>
        <w:t xml:space="preserve">ty feel are required. In addition, in preparation for </w:t>
      </w:r>
      <w:r w:rsidR="00C2287F">
        <w:t xml:space="preserve">further reforms to IM, </w:t>
      </w:r>
      <w:r>
        <w:t xml:space="preserve">discussions were held regarding </w:t>
      </w:r>
      <w:r w:rsidRPr="00F30071">
        <w:t xml:space="preserve">what </w:t>
      </w:r>
      <w:r>
        <w:t>IM could look like.</w:t>
      </w:r>
    </w:p>
    <w:p w14:paraId="230BF706" w14:textId="77777777" w:rsidR="006125DD" w:rsidRDefault="003A28B2" w:rsidP="004C621D">
      <w:pPr>
        <w:pStyle w:val="NormalWeb"/>
      </w:pPr>
      <w:r>
        <w:t>T</w:t>
      </w:r>
      <w:r w:rsidR="006125DD">
        <w:t xml:space="preserve">here has been consistency in the findings. </w:t>
      </w:r>
      <w:r w:rsidR="00106B26">
        <w:t>Th</w:t>
      </w:r>
      <w:r w:rsidR="006125DD">
        <w:t>e Stakeholders have said:</w:t>
      </w:r>
    </w:p>
    <w:p w14:paraId="1D106358" w14:textId="77777777" w:rsidR="003B75DF" w:rsidRDefault="003B75DF" w:rsidP="003B75DF">
      <w:pPr>
        <w:pStyle w:val="BulletedListlvl1"/>
      </w:pPr>
      <w:r>
        <w:t>transition must be managed carefully so that CDC participants are adequately supported.</w:t>
      </w:r>
    </w:p>
    <w:p w14:paraId="18BFE95C" w14:textId="7EF80D82" w:rsidR="003B75DF" w:rsidRDefault="003B75DF" w:rsidP="003B75DF">
      <w:pPr>
        <w:pStyle w:val="BulletedListlvl1"/>
      </w:pPr>
      <w:r>
        <w:t>the cooperation that has been developed between communities and government</w:t>
      </w:r>
      <w:r w:rsidR="00106B26">
        <w:t xml:space="preserve"> </w:t>
      </w:r>
      <w:r>
        <w:t>is critical for comm</w:t>
      </w:r>
      <w:r w:rsidR="00456F59">
        <w:t>unity based services to succeed</w:t>
      </w:r>
    </w:p>
    <w:p w14:paraId="15681F5A" w14:textId="77777777" w:rsidR="003B75DF" w:rsidRDefault="003B75DF" w:rsidP="003B75DF">
      <w:pPr>
        <w:pStyle w:val="BulletedListlvl1"/>
      </w:pPr>
      <w:r>
        <w:t>the support</w:t>
      </w:r>
      <w:r w:rsidR="004E0D73">
        <w:t xml:space="preserve"> services</w:t>
      </w:r>
      <w:r>
        <w:t xml:space="preserve"> and grants that were provided with the CDC must endure. In many ways these supports have been more </w:t>
      </w:r>
      <w:r w:rsidR="00FD2793">
        <w:t>important than the card itself.</w:t>
      </w:r>
    </w:p>
    <w:p w14:paraId="56878A9F" w14:textId="77777777" w:rsidR="003B75DF" w:rsidRDefault="002D6833" w:rsidP="003B75DF">
      <w:pPr>
        <w:pStyle w:val="BulletedListlvl1"/>
      </w:pPr>
      <w:r>
        <w:t>V</w:t>
      </w:r>
      <w:r w:rsidR="003B75DF">
        <w:t>oluntary</w:t>
      </w:r>
      <w:r>
        <w:t xml:space="preserve"> IM</w:t>
      </w:r>
      <w:r w:rsidR="003B75DF">
        <w:t xml:space="preserve"> is important to have available for people who would still benefit from that extra support in managing their money.</w:t>
      </w:r>
    </w:p>
    <w:p w14:paraId="28DDE82E" w14:textId="77777777" w:rsidR="003B75DF" w:rsidRDefault="000A17FB" w:rsidP="003B75DF">
      <w:pPr>
        <w:pStyle w:val="BulletedListlvl1"/>
      </w:pPr>
      <w:r>
        <w:t>e</w:t>
      </w:r>
      <w:r w:rsidR="00351EC8">
        <w:t xml:space="preserve">nforcement agencies informed that </w:t>
      </w:r>
      <w:r w:rsidR="003B75DF">
        <w:t>there has been no noticeable improvement in drug or alcohol related crime as a result of the CDC</w:t>
      </w:r>
      <w:r w:rsidR="0046277E">
        <w:t xml:space="preserve"> program</w:t>
      </w:r>
      <w:r w:rsidR="00351EC8">
        <w:t>.</w:t>
      </w:r>
    </w:p>
    <w:p w14:paraId="6420EE32" w14:textId="77777777" w:rsidR="003B75DF" w:rsidRDefault="003B75DF" w:rsidP="003B75DF">
      <w:pPr>
        <w:pStyle w:val="BulletedListlvl1"/>
      </w:pPr>
      <w:r>
        <w:t>people have found ways around the restrictions of the card to get cash to purchase drugs and alcohol.</w:t>
      </w:r>
    </w:p>
    <w:p w14:paraId="5E5EEAED" w14:textId="77777777" w:rsidR="003A28B2" w:rsidRDefault="003A28B2" w:rsidP="003A28B2">
      <w:pPr>
        <w:pStyle w:val="BulletedListlvl1"/>
      </w:pPr>
      <w:r>
        <w:t xml:space="preserve">people </w:t>
      </w:r>
      <w:r w:rsidR="003D39B5">
        <w:t xml:space="preserve">in </w:t>
      </w:r>
      <w:r w:rsidR="003D39B5" w:rsidRPr="003A28B2">
        <w:t>C</w:t>
      </w:r>
      <w:r w:rsidR="003D39B5">
        <w:t xml:space="preserve">ape </w:t>
      </w:r>
      <w:r w:rsidR="003D39B5" w:rsidRPr="003A28B2">
        <w:t>Y</w:t>
      </w:r>
      <w:r w:rsidR="003D39B5">
        <w:t>ork</w:t>
      </w:r>
      <w:r w:rsidR="003D39B5" w:rsidRPr="003A28B2">
        <w:t xml:space="preserve"> and </w:t>
      </w:r>
      <w:r w:rsidR="003D39B5">
        <w:t xml:space="preserve">the </w:t>
      </w:r>
      <w:r w:rsidR="003D39B5" w:rsidRPr="003A28B2">
        <w:t>N</w:t>
      </w:r>
      <w:r w:rsidR="002D6833">
        <w:t>T</w:t>
      </w:r>
      <w:r w:rsidR="003D39B5">
        <w:t xml:space="preserve"> </w:t>
      </w:r>
      <w:r>
        <w:t>have c</w:t>
      </w:r>
      <w:r w:rsidRPr="003A28B2">
        <w:t>oncern</w:t>
      </w:r>
      <w:r w:rsidR="00833C0B">
        <w:t>s about returning to old technology</w:t>
      </w:r>
      <w:r w:rsidR="003D39B5">
        <w:t>.</w:t>
      </w:r>
    </w:p>
    <w:p w14:paraId="7A675C1D" w14:textId="77777777" w:rsidR="00BD6FC9" w:rsidRDefault="00BD6FC9" w:rsidP="00303B86">
      <w:pPr>
        <w:pStyle w:val="BulletedListlvl1"/>
        <w:numPr>
          <w:ilvl w:val="0"/>
          <w:numId w:val="0"/>
        </w:numPr>
        <w:ind w:left="567" w:hanging="283"/>
      </w:pPr>
    </w:p>
    <w:p w14:paraId="6A45B274" w14:textId="77777777" w:rsidR="00FF14DB" w:rsidRDefault="00FF14DB" w:rsidP="00303B86">
      <w:pPr>
        <w:pStyle w:val="BulletedListlvl1"/>
        <w:numPr>
          <w:ilvl w:val="0"/>
          <w:numId w:val="0"/>
        </w:numPr>
        <w:ind w:left="567" w:hanging="283"/>
      </w:pPr>
      <w:r>
        <w:t xml:space="preserve">Key themes from the Minister’s consultation can be found in </w:t>
      </w:r>
      <w:r>
        <w:fldChar w:fldCharType="begin"/>
      </w:r>
      <w:r>
        <w:instrText xml:space="preserve"> REF _Ref109910980 \h </w:instrText>
      </w:r>
      <w:r>
        <w:fldChar w:fldCharType="separate"/>
      </w:r>
      <w:r w:rsidR="003559EA">
        <w:t xml:space="preserve">Table </w:t>
      </w:r>
      <w:r w:rsidR="003559EA">
        <w:rPr>
          <w:noProof/>
        </w:rPr>
        <w:t>10</w:t>
      </w:r>
      <w:r>
        <w:fldChar w:fldCharType="end"/>
      </w:r>
      <w:r w:rsidR="00410E5D">
        <w:t xml:space="preserve"> below.</w:t>
      </w:r>
    </w:p>
    <w:p w14:paraId="0EDBF7F7" w14:textId="77777777" w:rsidR="00B42DB5" w:rsidRPr="00B42DB5" w:rsidRDefault="00FF14DB" w:rsidP="00B42DB5">
      <w:pPr>
        <w:pStyle w:val="Caption"/>
      </w:pPr>
      <w:bookmarkStart w:id="155" w:name="_Ref109910980"/>
      <w:bookmarkStart w:id="156" w:name="_Toc118103814"/>
      <w:r>
        <w:t xml:space="preserve">Table </w:t>
      </w:r>
      <w:fldSimple w:instr=" SEQ Table \* ARABIC ">
        <w:r w:rsidR="00EA44C7">
          <w:rPr>
            <w:noProof/>
          </w:rPr>
          <w:t>10</w:t>
        </w:r>
      </w:fldSimple>
      <w:bookmarkEnd w:id="155"/>
      <w:r>
        <w:t>: Summary of key themes from the Minister’s consultation</w:t>
      </w:r>
      <w:bookmarkEnd w:id="156"/>
    </w:p>
    <w:tbl>
      <w:tblPr>
        <w:tblpPr w:leftFromText="180" w:rightFromText="180" w:vertAnchor="text" w:tblpX="-10" w:tblpY="1"/>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0: Summary of key themes from the Minister's consultation"/>
      </w:tblPr>
      <w:tblGrid>
        <w:gridCol w:w="2122"/>
        <w:gridCol w:w="7664"/>
      </w:tblGrid>
      <w:tr w:rsidR="00FF14DB" w:rsidRPr="009D6350" w14:paraId="5591022A" w14:textId="77777777" w:rsidTr="00275526">
        <w:trPr>
          <w:cantSplit/>
          <w:trHeight w:val="441"/>
          <w:tblHeader/>
        </w:trPr>
        <w:tc>
          <w:tcPr>
            <w:tcW w:w="2122" w:type="dxa"/>
            <w:shd w:val="clear" w:color="auto" w:fill="auto"/>
            <w:vAlign w:val="center"/>
          </w:tcPr>
          <w:p w14:paraId="27C480D2" w14:textId="77777777" w:rsidR="00FF14DB" w:rsidRPr="009D6350" w:rsidRDefault="00FF14DB" w:rsidP="000C04B4">
            <w:pPr>
              <w:rPr>
                <w:rFonts w:cstheme="minorHAnsi"/>
                <w:i/>
                <w:color w:val="003249" w:themeColor="text2" w:themeShade="BF"/>
              </w:rPr>
            </w:pPr>
            <w:r w:rsidRPr="009D6350">
              <w:rPr>
                <w:rFonts w:cstheme="minorHAnsi"/>
                <w:i/>
                <w:color w:val="003249" w:themeColor="text2" w:themeShade="BF"/>
              </w:rPr>
              <w:t>Theme</w:t>
            </w:r>
          </w:p>
        </w:tc>
        <w:tc>
          <w:tcPr>
            <w:tcW w:w="7664" w:type="dxa"/>
            <w:shd w:val="clear" w:color="auto" w:fill="auto"/>
            <w:vAlign w:val="center"/>
          </w:tcPr>
          <w:p w14:paraId="388EB3B5" w14:textId="77777777" w:rsidR="00FF14DB" w:rsidRPr="009D6350" w:rsidRDefault="00FF14DB" w:rsidP="000C04B4">
            <w:pPr>
              <w:rPr>
                <w:rFonts w:cstheme="minorHAnsi"/>
                <w:i/>
                <w:color w:val="003249" w:themeColor="text2" w:themeShade="BF"/>
              </w:rPr>
            </w:pPr>
            <w:r w:rsidRPr="009D6350">
              <w:rPr>
                <w:rFonts w:cstheme="minorHAnsi"/>
                <w:i/>
                <w:color w:val="003249" w:themeColor="text2" w:themeShade="BF"/>
              </w:rPr>
              <w:t>Considerations</w:t>
            </w:r>
          </w:p>
        </w:tc>
      </w:tr>
      <w:tr w:rsidR="00FF14DB" w:rsidRPr="009D6350" w14:paraId="2D0392D4" w14:textId="77777777" w:rsidTr="00275526">
        <w:trPr>
          <w:trHeight w:val="653"/>
        </w:trPr>
        <w:tc>
          <w:tcPr>
            <w:tcW w:w="2122" w:type="dxa"/>
            <w:vMerge w:val="restart"/>
            <w:shd w:val="clear" w:color="auto" w:fill="auto"/>
          </w:tcPr>
          <w:p w14:paraId="370CF62D" w14:textId="77777777" w:rsidR="00FF14DB" w:rsidRPr="009D6350" w:rsidRDefault="00FF14DB" w:rsidP="000C04B4">
            <w:pPr>
              <w:rPr>
                <w:rFonts w:cstheme="minorHAnsi"/>
              </w:rPr>
            </w:pPr>
            <w:r w:rsidRPr="009D6350">
              <w:rPr>
                <w:rFonts w:cstheme="minorHAnsi"/>
              </w:rPr>
              <w:t>Voluntary IM Views</w:t>
            </w:r>
          </w:p>
        </w:tc>
        <w:tc>
          <w:tcPr>
            <w:tcW w:w="7664" w:type="dxa"/>
          </w:tcPr>
          <w:p w14:paraId="074CEBED" w14:textId="77777777" w:rsidR="00FF14DB" w:rsidRPr="009D6350" w:rsidRDefault="00FF14DB" w:rsidP="001B1EAE">
            <w:pPr>
              <w:rPr>
                <w:rFonts w:cstheme="minorHAnsi"/>
              </w:rPr>
            </w:pPr>
            <w:r w:rsidRPr="009D6350">
              <w:rPr>
                <w:rFonts w:cstheme="minorHAnsi"/>
              </w:rPr>
              <w:t>The compulsory measure of CDC took away individual agency. A voluntary m</w:t>
            </w:r>
            <w:r w:rsidR="00410E5D">
              <w:rPr>
                <w:rFonts w:cstheme="minorHAnsi"/>
              </w:rPr>
              <w:t>odel of IM is more acceptable.</w:t>
            </w:r>
          </w:p>
        </w:tc>
      </w:tr>
      <w:tr w:rsidR="00FF14DB" w:rsidRPr="009D6350" w14:paraId="5F235A68" w14:textId="77777777" w:rsidTr="00275526">
        <w:trPr>
          <w:trHeight w:val="679"/>
        </w:trPr>
        <w:tc>
          <w:tcPr>
            <w:tcW w:w="2122" w:type="dxa"/>
            <w:vMerge/>
            <w:shd w:val="clear" w:color="auto" w:fill="auto"/>
          </w:tcPr>
          <w:p w14:paraId="7D249D89" w14:textId="77777777" w:rsidR="00FF14DB" w:rsidRPr="009D6350" w:rsidRDefault="00FF14DB" w:rsidP="000C04B4">
            <w:pPr>
              <w:rPr>
                <w:rFonts w:cstheme="minorHAnsi"/>
              </w:rPr>
            </w:pPr>
          </w:p>
        </w:tc>
        <w:tc>
          <w:tcPr>
            <w:tcW w:w="7664" w:type="dxa"/>
          </w:tcPr>
          <w:p w14:paraId="00BC9EC3" w14:textId="77777777" w:rsidR="00FF14DB" w:rsidRPr="009D6350" w:rsidRDefault="00FF14DB" w:rsidP="000C04B4">
            <w:pPr>
              <w:rPr>
                <w:rFonts w:cstheme="minorHAnsi"/>
              </w:rPr>
            </w:pPr>
            <w:r w:rsidRPr="009D6350">
              <w:rPr>
                <w:rFonts w:cstheme="minorHAnsi"/>
              </w:rPr>
              <w:t>Acknowledged that the CDC has provided a level of protection for vulnerable participants, e.g. elderly or disabled. The voluntary option is important so that peo</w:t>
            </w:r>
            <w:r w:rsidR="00410E5D">
              <w:rPr>
                <w:rFonts w:cstheme="minorHAnsi"/>
              </w:rPr>
              <w:t>ple have a choice to continue.</w:t>
            </w:r>
          </w:p>
        </w:tc>
      </w:tr>
      <w:tr w:rsidR="00FC47D8" w:rsidRPr="009D6350" w14:paraId="54D9C14B" w14:textId="77777777" w:rsidTr="00275526">
        <w:trPr>
          <w:trHeight w:val="437"/>
        </w:trPr>
        <w:tc>
          <w:tcPr>
            <w:tcW w:w="2122" w:type="dxa"/>
            <w:vMerge w:val="restart"/>
            <w:shd w:val="clear" w:color="auto" w:fill="auto"/>
          </w:tcPr>
          <w:p w14:paraId="6A503121" w14:textId="77777777" w:rsidR="00FC47D8" w:rsidRPr="009D6350" w:rsidRDefault="00FC47D8" w:rsidP="000C04B4">
            <w:pPr>
              <w:spacing w:line="276" w:lineRule="auto"/>
              <w:rPr>
                <w:rFonts w:cstheme="minorHAnsi"/>
              </w:rPr>
            </w:pPr>
            <w:r w:rsidRPr="009D6350">
              <w:rPr>
                <w:rFonts w:cstheme="minorHAnsi"/>
              </w:rPr>
              <w:t>Participant Cohorts</w:t>
            </w:r>
          </w:p>
        </w:tc>
        <w:tc>
          <w:tcPr>
            <w:tcW w:w="7664" w:type="dxa"/>
          </w:tcPr>
          <w:p w14:paraId="2179B321" w14:textId="77777777" w:rsidR="00FC47D8" w:rsidRPr="009D6350" w:rsidRDefault="00FC47D8" w:rsidP="00C2287F">
            <w:pPr>
              <w:rPr>
                <w:rFonts w:cstheme="minorHAnsi"/>
              </w:rPr>
            </w:pPr>
            <w:r w:rsidRPr="009D6350">
              <w:rPr>
                <w:rFonts w:cstheme="minorHAnsi"/>
              </w:rPr>
              <w:t xml:space="preserve">Support needs during </w:t>
            </w:r>
            <w:r w:rsidR="001B1EAE">
              <w:rPr>
                <w:rFonts w:cstheme="minorHAnsi"/>
              </w:rPr>
              <w:t xml:space="preserve">the </w:t>
            </w:r>
            <w:r w:rsidRPr="009D6350">
              <w:rPr>
                <w:rFonts w:cstheme="minorHAnsi"/>
              </w:rPr>
              <w:t>transition phase will vary for different cohorts</w:t>
            </w:r>
            <w:r w:rsidR="001B1EAE">
              <w:rPr>
                <w:rFonts w:cstheme="minorHAnsi"/>
              </w:rPr>
              <w:t>,</w:t>
            </w:r>
            <w:r w:rsidRPr="009D6350">
              <w:rPr>
                <w:rFonts w:cstheme="minorHAnsi"/>
              </w:rPr>
              <w:t xml:space="preserve"> </w:t>
            </w:r>
            <w:r w:rsidR="001B1EAE">
              <w:rPr>
                <w:rFonts w:cstheme="minorHAnsi"/>
              </w:rPr>
              <w:t>r</w:t>
            </w:r>
            <w:r w:rsidRPr="009D6350">
              <w:rPr>
                <w:rFonts w:cstheme="minorHAnsi"/>
              </w:rPr>
              <w:t xml:space="preserve">anging from highly intensive, intensive </w:t>
            </w:r>
            <w:r w:rsidR="001B1EAE">
              <w:rPr>
                <w:rFonts w:cstheme="minorHAnsi"/>
              </w:rPr>
              <w:t>to</w:t>
            </w:r>
            <w:r w:rsidR="00410E5D">
              <w:rPr>
                <w:rFonts w:cstheme="minorHAnsi"/>
              </w:rPr>
              <w:t xml:space="preserve"> moderate.</w:t>
            </w:r>
          </w:p>
        </w:tc>
      </w:tr>
      <w:tr w:rsidR="00FC47D8" w:rsidRPr="009D6350" w14:paraId="5C1EAA4B" w14:textId="77777777" w:rsidTr="00275526">
        <w:trPr>
          <w:trHeight w:val="56"/>
        </w:trPr>
        <w:tc>
          <w:tcPr>
            <w:tcW w:w="2122" w:type="dxa"/>
            <w:vMerge/>
            <w:shd w:val="clear" w:color="auto" w:fill="auto"/>
          </w:tcPr>
          <w:p w14:paraId="40D93EF3" w14:textId="77777777" w:rsidR="00FC47D8" w:rsidRPr="009D6350" w:rsidRDefault="00FC47D8" w:rsidP="000C04B4">
            <w:pPr>
              <w:spacing w:line="276" w:lineRule="auto"/>
              <w:rPr>
                <w:rFonts w:cstheme="minorHAnsi"/>
              </w:rPr>
            </w:pPr>
          </w:p>
        </w:tc>
        <w:tc>
          <w:tcPr>
            <w:tcW w:w="7664" w:type="dxa"/>
          </w:tcPr>
          <w:p w14:paraId="6950CEE9" w14:textId="77777777" w:rsidR="00FC47D8" w:rsidRPr="009D6350" w:rsidRDefault="00FC47D8" w:rsidP="000C04B4">
            <w:pPr>
              <w:rPr>
                <w:rFonts w:cstheme="minorHAnsi"/>
              </w:rPr>
            </w:pPr>
            <w:r w:rsidRPr="009D6350">
              <w:rPr>
                <w:rFonts w:cstheme="minorHAnsi"/>
              </w:rPr>
              <w:t>Ongoing needs will require intensive support over an extended period.</w:t>
            </w:r>
          </w:p>
        </w:tc>
      </w:tr>
      <w:tr w:rsidR="00FC47D8" w:rsidRPr="009D6350" w14:paraId="67913ACE" w14:textId="77777777" w:rsidTr="00275526">
        <w:trPr>
          <w:trHeight w:val="196"/>
        </w:trPr>
        <w:tc>
          <w:tcPr>
            <w:tcW w:w="2122" w:type="dxa"/>
            <w:vMerge/>
            <w:shd w:val="clear" w:color="auto" w:fill="auto"/>
          </w:tcPr>
          <w:p w14:paraId="1F77DD6F" w14:textId="77777777" w:rsidR="00FC47D8" w:rsidRPr="009D6350" w:rsidRDefault="00FC47D8" w:rsidP="000C04B4">
            <w:pPr>
              <w:spacing w:line="276" w:lineRule="auto"/>
              <w:rPr>
                <w:rFonts w:cstheme="minorHAnsi"/>
              </w:rPr>
            </w:pPr>
          </w:p>
        </w:tc>
        <w:tc>
          <w:tcPr>
            <w:tcW w:w="7664" w:type="dxa"/>
          </w:tcPr>
          <w:p w14:paraId="5476AB2A" w14:textId="1D24BF60" w:rsidR="00FC47D8" w:rsidRPr="009D6350" w:rsidRDefault="00FC47D8" w:rsidP="000C04B4">
            <w:pPr>
              <w:rPr>
                <w:rFonts w:cstheme="minorHAnsi"/>
              </w:rPr>
            </w:pPr>
            <w:r w:rsidRPr="009D6350">
              <w:rPr>
                <w:rFonts w:cstheme="minorHAnsi"/>
              </w:rPr>
              <w:t>Determining the financial literacy and digital supports required for each cohort will be important consideration. Planning</w:t>
            </w:r>
            <w:r w:rsidR="001B1EAE">
              <w:rPr>
                <w:rFonts w:cstheme="minorHAnsi"/>
              </w:rPr>
              <w:t xml:space="preserve"> is</w:t>
            </w:r>
            <w:r w:rsidRPr="009D6350">
              <w:rPr>
                <w:rFonts w:cstheme="minorHAnsi"/>
              </w:rPr>
              <w:t xml:space="preserve"> required on how </w:t>
            </w:r>
            <w:r w:rsidR="00456F59">
              <w:rPr>
                <w:rFonts w:cstheme="minorHAnsi"/>
              </w:rPr>
              <w:t>this is offered and maintained.</w:t>
            </w:r>
          </w:p>
        </w:tc>
      </w:tr>
      <w:tr w:rsidR="00FC47D8" w:rsidRPr="009D6350" w14:paraId="0CDB3EF3" w14:textId="77777777" w:rsidTr="00275526">
        <w:trPr>
          <w:trHeight w:val="56"/>
        </w:trPr>
        <w:tc>
          <w:tcPr>
            <w:tcW w:w="2122" w:type="dxa"/>
            <w:vMerge/>
            <w:shd w:val="clear" w:color="auto" w:fill="auto"/>
          </w:tcPr>
          <w:p w14:paraId="4989D4CA" w14:textId="77777777" w:rsidR="00FC47D8" w:rsidRPr="009D6350" w:rsidRDefault="00FC47D8" w:rsidP="000C04B4">
            <w:pPr>
              <w:rPr>
                <w:rFonts w:cstheme="minorHAnsi"/>
              </w:rPr>
            </w:pPr>
          </w:p>
        </w:tc>
        <w:tc>
          <w:tcPr>
            <w:tcW w:w="7664" w:type="dxa"/>
          </w:tcPr>
          <w:p w14:paraId="47B52F0F" w14:textId="77777777" w:rsidR="00FC47D8" w:rsidRPr="009D6350" w:rsidRDefault="00FC47D8" w:rsidP="001B1EAE">
            <w:pPr>
              <w:rPr>
                <w:rFonts w:cstheme="minorHAnsi"/>
              </w:rPr>
            </w:pPr>
            <w:r w:rsidRPr="009D6350">
              <w:rPr>
                <w:rFonts w:cstheme="minorHAnsi"/>
              </w:rPr>
              <w:t>Youth supports</w:t>
            </w:r>
            <w:r w:rsidR="001B1EAE">
              <w:rPr>
                <w:rFonts w:cstheme="minorHAnsi"/>
              </w:rPr>
              <w:t xml:space="preserve"> such as</w:t>
            </w:r>
            <w:r w:rsidRPr="009D6350">
              <w:rPr>
                <w:rFonts w:cstheme="minorHAnsi"/>
              </w:rPr>
              <w:t xml:space="preserve"> </w:t>
            </w:r>
            <w:r w:rsidR="001B1EAE" w:rsidRPr="009D6350">
              <w:rPr>
                <w:rFonts w:cstheme="minorHAnsi"/>
              </w:rPr>
              <w:t xml:space="preserve">messaging and support services </w:t>
            </w:r>
            <w:r w:rsidRPr="009D6350">
              <w:rPr>
                <w:rFonts w:cstheme="minorHAnsi"/>
              </w:rPr>
              <w:t>need</w:t>
            </w:r>
            <w:r w:rsidR="001B1EAE">
              <w:rPr>
                <w:rFonts w:cstheme="minorHAnsi"/>
              </w:rPr>
              <w:t>s</w:t>
            </w:r>
            <w:r w:rsidRPr="009D6350">
              <w:rPr>
                <w:rFonts w:cstheme="minorHAnsi"/>
              </w:rPr>
              <w:t xml:space="preserve"> to be tailored</w:t>
            </w:r>
            <w:r w:rsidR="001B1EAE">
              <w:rPr>
                <w:rFonts w:cstheme="minorHAnsi"/>
              </w:rPr>
              <w:t xml:space="preserve"> for this group.</w:t>
            </w:r>
          </w:p>
        </w:tc>
      </w:tr>
      <w:tr w:rsidR="00314C9C" w:rsidRPr="009D6350" w14:paraId="7F46EB88" w14:textId="77777777" w:rsidTr="00275526">
        <w:trPr>
          <w:trHeight w:val="56"/>
        </w:trPr>
        <w:tc>
          <w:tcPr>
            <w:tcW w:w="2122" w:type="dxa"/>
            <w:vMerge w:val="restart"/>
            <w:shd w:val="clear" w:color="auto" w:fill="auto"/>
          </w:tcPr>
          <w:p w14:paraId="520AA45A" w14:textId="77777777" w:rsidR="00314C9C" w:rsidRPr="00D0330F" w:rsidRDefault="00314C9C" w:rsidP="00D0330F">
            <w:pPr>
              <w:spacing w:line="276" w:lineRule="auto"/>
              <w:rPr>
                <w:rFonts w:cstheme="minorHAnsi"/>
              </w:rPr>
            </w:pPr>
            <w:r w:rsidRPr="009D6350">
              <w:rPr>
                <w:rFonts w:cstheme="minorHAnsi"/>
              </w:rPr>
              <w:t>Messaging / Communications</w:t>
            </w:r>
          </w:p>
        </w:tc>
        <w:tc>
          <w:tcPr>
            <w:tcW w:w="7664" w:type="dxa"/>
          </w:tcPr>
          <w:p w14:paraId="7D4FF3BF" w14:textId="5B59FBAB" w:rsidR="00314C9C" w:rsidRPr="009D6350" w:rsidRDefault="00314C9C" w:rsidP="001B1EAE">
            <w:pPr>
              <w:rPr>
                <w:rFonts w:cstheme="minorHAnsi"/>
              </w:rPr>
            </w:pPr>
            <w:r>
              <w:rPr>
                <w:rFonts w:cstheme="minorHAnsi"/>
              </w:rPr>
              <w:t>There needs to be c</w:t>
            </w:r>
            <w:r w:rsidRPr="009D6350">
              <w:rPr>
                <w:rFonts w:cstheme="minorHAnsi"/>
              </w:rPr>
              <w:t xml:space="preserve">lear and defined messaging about </w:t>
            </w:r>
            <w:r>
              <w:rPr>
                <w:rFonts w:cstheme="minorHAnsi"/>
              </w:rPr>
              <w:t xml:space="preserve">the </w:t>
            </w:r>
            <w:r w:rsidRPr="009D6350">
              <w:rPr>
                <w:rFonts w:cstheme="minorHAnsi"/>
              </w:rPr>
              <w:t>transitioning off process and</w:t>
            </w:r>
            <w:r>
              <w:rPr>
                <w:rFonts w:cstheme="minorHAnsi"/>
              </w:rPr>
              <w:t xml:space="preserve"> it</w:t>
            </w:r>
            <w:r w:rsidRPr="009D6350">
              <w:rPr>
                <w:rFonts w:cstheme="minorHAnsi"/>
              </w:rPr>
              <w:t xml:space="preserve"> need</w:t>
            </w:r>
            <w:r>
              <w:rPr>
                <w:rFonts w:cstheme="minorHAnsi"/>
              </w:rPr>
              <w:t>s</w:t>
            </w:r>
            <w:r w:rsidRPr="009D6350">
              <w:rPr>
                <w:rFonts w:cstheme="minorHAnsi"/>
              </w:rPr>
              <w:t xml:space="preserve"> to be tailored </w:t>
            </w:r>
            <w:r>
              <w:rPr>
                <w:rFonts w:cstheme="minorHAnsi"/>
              </w:rPr>
              <w:t>for</w:t>
            </w:r>
            <w:r w:rsidR="00456F59">
              <w:rPr>
                <w:rFonts w:cstheme="minorHAnsi"/>
              </w:rPr>
              <w:t xml:space="preserve"> the different affected groups.</w:t>
            </w:r>
          </w:p>
        </w:tc>
      </w:tr>
      <w:tr w:rsidR="00314C9C" w:rsidRPr="009D6350" w14:paraId="2120ABB2" w14:textId="77777777" w:rsidTr="00275526">
        <w:trPr>
          <w:trHeight w:val="126"/>
        </w:trPr>
        <w:tc>
          <w:tcPr>
            <w:tcW w:w="2122" w:type="dxa"/>
            <w:vMerge/>
            <w:shd w:val="clear" w:color="auto" w:fill="auto"/>
          </w:tcPr>
          <w:p w14:paraId="5EC6B811" w14:textId="77777777" w:rsidR="00314C9C" w:rsidRPr="009D6350" w:rsidRDefault="00314C9C" w:rsidP="000C04B4">
            <w:pPr>
              <w:spacing w:line="276" w:lineRule="auto"/>
              <w:rPr>
                <w:rFonts w:cstheme="minorHAnsi"/>
              </w:rPr>
            </w:pPr>
          </w:p>
        </w:tc>
        <w:tc>
          <w:tcPr>
            <w:tcW w:w="7664" w:type="dxa"/>
          </w:tcPr>
          <w:p w14:paraId="0890412A" w14:textId="77777777" w:rsidR="00314C9C" w:rsidRPr="009D6350" w:rsidRDefault="00314C9C" w:rsidP="000C04B4">
            <w:pPr>
              <w:rPr>
                <w:rFonts w:cstheme="minorHAnsi"/>
              </w:rPr>
            </w:pPr>
            <w:r>
              <w:rPr>
                <w:rFonts w:cstheme="minorHAnsi"/>
              </w:rPr>
              <w:t>The t</w:t>
            </w:r>
            <w:r w:rsidRPr="009D6350">
              <w:rPr>
                <w:rFonts w:cstheme="minorHAnsi"/>
              </w:rPr>
              <w:t>imeframes for transitioning need to be explicitly clear for partic</w:t>
            </w:r>
            <w:r w:rsidR="00410E5D">
              <w:rPr>
                <w:rFonts w:cstheme="minorHAnsi"/>
              </w:rPr>
              <w:t>ipants and other stakeholders.</w:t>
            </w:r>
          </w:p>
        </w:tc>
      </w:tr>
      <w:tr w:rsidR="00314C9C" w:rsidRPr="009D6350" w14:paraId="5FEDE19C" w14:textId="77777777" w:rsidTr="00275526">
        <w:trPr>
          <w:trHeight w:val="333"/>
        </w:trPr>
        <w:tc>
          <w:tcPr>
            <w:tcW w:w="2122" w:type="dxa"/>
            <w:vMerge/>
            <w:shd w:val="clear" w:color="auto" w:fill="auto"/>
          </w:tcPr>
          <w:p w14:paraId="7D67916B" w14:textId="77777777" w:rsidR="00314C9C" w:rsidRPr="009D6350" w:rsidRDefault="00314C9C" w:rsidP="000C04B4">
            <w:pPr>
              <w:rPr>
                <w:rFonts w:cstheme="minorHAnsi"/>
              </w:rPr>
            </w:pPr>
          </w:p>
        </w:tc>
        <w:tc>
          <w:tcPr>
            <w:tcW w:w="7664" w:type="dxa"/>
          </w:tcPr>
          <w:p w14:paraId="0942BA33" w14:textId="5F43480E" w:rsidR="00314C9C" w:rsidRPr="009D6350" w:rsidRDefault="00314C9C" w:rsidP="000C04B4">
            <w:pPr>
              <w:rPr>
                <w:rFonts w:cstheme="minorHAnsi"/>
              </w:rPr>
            </w:pPr>
            <w:r w:rsidRPr="009D6350">
              <w:rPr>
                <w:rFonts w:cstheme="minorHAnsi"/>
              </w:rPr>
              <w:t>Tailored messaging needs to be developed that cater</w:t>
            </w:r>
            <w:r>
              <w:rPr>
                <w:rFonts w:cstheme="minorHAnsi"/>
              </w:rPr>
              <w:t>s</w:t>
            </w:r>
            <w:r w:rsidRPr="009D6350">
              <w:rPr>
                <w:rFonts w:cstheme="minorHAnsi"/>
              </w:rPr>
              <w:t xml:space="preserve"> to the varied participant </w:t>
            </w:r>
            <w:r>
              <w:rPr>
                <w:rFonts w:cstheme="minorHAnsi"/>
              </w:rPr>
              <w:t xml:space="preserve">groups </w:t>
            </w:r>
            <w:r w:rsidRPr="009D6350">
              <w:rPr>
                <w:rFonts w:cstheme="minorHAnsi"/>
              </w:rPr>
              <w:t xml:space="preserve">in different areas e.g. </w:t>
            </w:r>
            <w:r>
              <w:rPr>
                <w:rFonts w:cstheme="minorHAnsi"/>
              </w:rPr>
              <w:t xml:space="preserve">in very </w:t>
            </w:r>
            <w:r w:rsidRPr="009D6350">
              <w:rPr>
                <w:rFonts w:cstheme="minorHAnsi"/>
              </w:rPr>
              <w:t>remote</w:t>
            </w:r>
            <w:r>
              <w:rPr>
                <w:rFonts w:cstheme="minorHAnsi"/>
              </w:rPr>
              <w:t>,</w:t>
            </w:r>
            <w:r w:rsidRPr="009D6350">
              <w:rPr>
                <w:rFonts w:cstheme="minorHAnsi"/>
              </w:rPr>
              <w:t xml:space="preserve"> remote, </w:t>
            </w:r>
            <w:r>
              <w:rPr>
                <w:rFonts w:cstheme="minorHAnsi"/>
              </w:rPr>
              <w:t xml:space="preserve">or </w:t>
            </w:r>
            <w:r w:rsidRPr="009D6350">
              <w:rPr>
                <w:rFonts w:cstheme="minorHAnsi"/>
              </w:rPr>
              <w:t>regional</w:t>
            </w:r>
            <w:r>
              <w:rPr>
                <w:rFonts w:cstheme="minorHAnsi"/>
              </w:rPr>
              <w:t xml:space="preserve"> areas</w:t>
            </w:r>
            <w:r w:rsidR="00456F59">
              <w:rPr>
                <w:rFonts w:cstheme="minorHAnsi"/>
              </w:rPr>
              <w:t>.</w:t>
            </w:r>
          </w:p>
        </w:tc>
      </w:tr>
      <w:tr w:rsidR="00314C9C" w:rsidRPr="009D6350" w14:paraId="0E137EEA" w14:textId="77777777" w:rsidTr="00275526">
        <w:trPr>
          <w:trHeight w:val="56"/>
        </w:trPr>
        <w:tc>
          <w:tcPr>
            <w:tcW w:w="2122" w:type="dxa"/>
            <w:vMerge/>
            <w:shd w:val="clear" w:color="auto" w:fill="auto"/>
          </w:tcPr>
          <w:p w14:paraId="43F50885" w14:textId="77777777" w:rsidR="00314C9C" w:rsidRPr="009D6350" w:rsidRDefault="00314C9C" w:rsidP="000C04B4">
            <w:pPr>
              <w:rPr>
                <w:rFonts w:cstheme="minorHAnsi"/>
              </w:rPr>
            </w:pPr>
          </w:p>
        </w:tc>
        <w:tc>
          <w:tcPr>
            <w:tcW w:w="7664" w:type="dxa"/>
          </w:tcPr>
          <w:p w14:paraId="2A54B0E8" w14:textId="6C4904E3" w:rsidR="00314C9C" w:rsidRPr="009D6350" w:rsidRDefault="00314C9C" w:rsidP="001B1EAE">
            <w:pPr>
              <w:rPr>
                <w:rFonts w:cstheme="minorHAnsi"/>
              </w:rPr>
            </w:pPr>
            <w:r w:rsidRPr="009D6350">
              <w:rPr>
                <w:rFonts w:cstheme="minorHAnsi"/>
              </w:rPr>
              <w:t xml:space="preserve">Contact centres, can be confronting for some participants. Improved interaction </w:t>
            </w:r>
            <w:r>
              <w:rPr>
                <w:rFonts w:cstheme="minorHAnsi"/>
              </w:rPr>
              <w:t xml:space="preserve">with participants in required </w:t>
            </w:r>
            <w:r w:rsidRPr="009D6350">
              <w:rPr>
                <w:rFonts w:cstheme="minorHAnsi"/>
              </w:rPr>
              <w:t xml:space="preserve">particularly for highly vulnerable </w:t>
            </w:r>
            <w:r>
              <w:rPr>
                <w:rFonts w:cstheme="minorHAnsi"/>
              </w:rPr>
              <w:t>groups</w:t>
            </w:r>
            <w:r w:rsidR="00456F59">
              <w:rPr>
                <w:rFonts w:cstheme="minorHAnsi"/>
              </w:rPr>
              <w:t>.</w:t>
            </w:r>
          </w:p>
        </w:tc>
      </w:tr>
      <w:tr w:rsidR="001D6C9C" w:rsidRPr="009D6350" w14:paraId="5DA0A10B" w14:textId="77777777" w:rsidTr="00275526">
        <w:trPr>
          <w:trHeight w:val="190"/>
        </w:trPr>
        <w:tc>
          <w:tcPr>
            <w:tcW w:w="2122" w:type="dxa"/>
            <w:vMerge w:val="restart"/>
            <w:shd w:val="clear" w:color="auto" w:fill="auto"/>
          </w:tcPr>
          <w:p w14:paraId="1CF88730" w14:textId="77777777" w:rsidR="001D6C9C" w:rsidRDefault="001D6C9C" w:rsidP="00B751B4">
            <w:pPr>
              <w:rPr>
                <w:rFonts w:cstheme="minorHAnsi"/>
              </w:rPr>
            </w:pPr>
            <w:r w:rsidRPr="009D6350">
              <w:rPr>
                <w:rFonts w:cstheme="minorHAnsi"/>
              </w:rPr>
              <w:t>Support Services</w:t>
            </w:r>
          </w:p>
        </w:tc>
        <w:tc>
          <w:tcPr>
            <w:tcW w:w="7664" w:type="dxa"/>
          </w:tcPr>
          <w:p w14:paraId="05670E6A" w14:textId="77777777" w:rsidR="001D6C9C" w:rsidRDefault="001D6C9C" w:rsidP="00F146AD">
            <w:pPr>
              <w:rPr>
                <w:rFonts w:cstheme="minorHAnsi"/>
              </w:rPr>
            </w:pPr>
            <w:r>
              <w:rPr>
                <w:rFonts w:cstheme="minorHAnsi"/>
              </w:rPr>
              <w:t>It is i</w:t>
            </w:r>
            <w:r w:rsidRPr="009D6350">
              <w:rPr>
                <w:rFonts w:cstheme="minorHAnsi"/>
              </w:rPr>
              <w:t xml:space="preserve">mperative that support services are continued and strengthened. </w:t>
            </w:r>
            <w:r>
              <w:rPr>
                <w:rFonts w:cstheme="minorHAnsi"/>
              </w:rPr>
              <w:t>There n</w:t>
            </w:r>
            <w:r w:rsidRPr="009D6350">
              <w:rPr>
                <w:rFonts w:cstheme="minorHAnsi"/>
              </w:rPr>
              <w:t>eeds to be tailored to the individual needs.</w:t>
            </w:r>
          </w:p>
        </w:tc>
      </w:tr>
      <w:tr w:rsidR="001D6C9C" w:rsidRPr="009D6350" w14:paraId="5FDBB9FE" w14:textId="77777777" w:rsidTr="00275526">
        <w:trPr>
          <w:trHeight w:val="56"/>
        </w:trPr>
        <w:tc>
          <w:tcPr>
            <w:tcW w:w="2122" w:type="dxa"/>
            <w:vMerge/>
            <w:shd w:val="clear" w:color="auto" w:fill="auto"/>
          </w:tcPr>
          <w:p w14:paraId="764F0719" w14:textId="77777777" w:rsidR="001D6C9C" w:rsidRDefault="001D6C9C" w:rsidP="001D6C9C">
            <w:pPr>
              <w:rPr>
                <w:rFonts w:cstheme="minorHAnsi"/>
              </w:rPr>
            </w:pPr>
          </w:p>
        </w:tc>
        <w:tc>
          <w:tcPr>
            <w:tcW w:w="7664" w:type="dxa"/>
          </w:tcPr>
          <w:p w14:paraId="50D03DB2" w14:textId="77777777" w:rsidR="001D6C9C" w:rsidRDefault="001D6C9C" w:rsidP="001D6C9C">
            <w:pPr>
              <w:rPr>
                <w:rFonts w:cstheme="minorHAnsi"/>
              </w:rPr>
            </w:pPr>
            <w:r w:rsidRPr="009D6350">
              <w:rPr>
                <w:rFonts w:cstheme="minorHAnsi"/>
              </w:rPr>
              <w:t>Financial and digital capabilities of individuals needs to be a strong focu</w:t>
            </w:r>
            <w:r>
              <w:rPr>
                <w:rFonts w:cstheme="minorHAnsi"/>
              </w:rPr>
              <w:t>s for vulnerable participants.</w:t>
            </w:r>
          </w:p>
        </w:tc>
      </w:tr>
      <w:tr w:rsidR="001D6C9C" w:rsidRPr="009D6350" w14:paraId="57A34D81" w14:textId="77777777" w:rsidTr="00275526">
        <w:trPr>
          <w:trHeight w:val="133"/>
        </w:trPr>
        <w:tc>
          <w:tcPr>
            <w:tcW w:w="2122" w:type="dxa"/>
            <w:vMerge/>
            <w:shd w:val="clear" w:color="auto" w:fill="auto"/>
          </w:tcPr>
          <w:p w14:paraId="0B7B276F" w14:textId="77777777" w:rsidR="001D6C9C" w:rsidRPr="009D6350" w:rsidRDefault="001D6C9C" w:rsidP="00643DC5">
            <w:pPr>
              <w:rPr>
                <w:rFonts w:cstheme="minorHAnsi"/>
              </w:rPr>
            </w:pPr>
          </w:p>
        </w:tc>
        <w:tc>
          <w:tcPr>
            <w:tcW w:w="7664" w:type="dxa"/>
          </w:tcPr>
          <w:p w14:paraId="0EA47EDB" w14:textId="77777777" w:rsidR="001D6C9C" w:rsidRPr="009D6350" w:rsidRDefault="001D6C9C" w:rsidP="00F146AD">
            <w:pPr>
              <w:rPr>
                <w:rFonts w:cstheme="minorHAnsi"/>
              </w:rPr>
            </w:pPr>
            <w:r w:rsidRPr="009D6350">
              <w:rPr>
                <w:rFonts w:cstheme="minorHAnsi"/>
              </w:rPr>
              <w:t>T</w:t>
            </w:r>
            <w:r>
              <w:rPr>
                <w:rFonts w:cstheme="minorHAnsi"/>
              </w:rPr>
              <w:t>he support services</w:t>
            </w:r>
            <w:r w:rsidRPr="009D6350">
              <w:rPr>
                <w:rFonts w:cstheme="minorHAnsi"/>
              </w:rPr>
              <w:t xml:space="preserve"> have generated the most success with </w:t>
            </w:r>
            <w:r>
              <w:rPr>
                <w:rFonts w:cstheme="minorHAnsi"/>
              </w:rPr>
              <w:t xml:space="preserve">the </w:t>
            </w:r>
            <w:r w:rsidRPr="009D6350">
              <w:rPr>
                <w:rFonts w:cstheme="minorHAnsi"/>
              </w:rPr>
              <w:t xml:space="preserve">CDC, not the actual </w:t>
            </w:r>
            <w:r>
              <w:rPr>
                <w:rFonts w:cstheme="minorHAnsi"/>
              </w:rPr>
              <w:t xml:space="preserve">the </w:t>
            </w:r>
            <w:r w:rsidRPr="009D6350">
              <w:rPr>
                <w:rFonts w:cstheme="minorHAnsi"/>
              </w:rPr>
              <w:t>CDC itself.</w:t>
            </w:r>
          </w:p>
        </w:tc>
      </w:tr>
      <w:tr w:rsidR="001D6C9C" w:rsidRPr="009D6350" w14:paraId="503E1177" w14:textId="77777777" w:rsidTr="00275526">
        <w:trPr>
          <w:trHeight w:val="639"/>
        </w:trPr>
        <w:tc>
          <w:tcPr>
            <w:tcW w:w="2122" w:type="dxa"/>
            <w:vMerge/>
            <w:shd w:val="clear" w:color="auto" w:fill="auto"/>
          </w:tcPr>
          <w:p w14:paraId="2EE145AD" w14:textId="77777777" w:rsidR="001D6C9C" w:rsidRDefault="001D6C9C" w:rsidP="00643DC5">
            <w:pPr>
              <w:rPr>
                <w:rFonts w:cstheme="minorHAnsi"/>
              </w:rPr>
            </w:pPr>
          </w:p>
        </w:tc>
        <w:tc>
          <w:tcPr>
            <w:tcW w:w="7664" w:type="dxa"/>
          </w:tcPr>
          <w:p w14:paraId="133AC256" w14:textId="77777777" w:rsidR="001D6C9C" w:rsidRDefault="001D6C9C" w:rsidP="00314C9C">
            <w:pPr>
              <w:rPr>
                <w:rFonts w:cstheme="minorHAnsi"/>
              </w:rPr>
            </w:pPr>
            <w:r w:rsidRPr="009D6350">
              <w:rPr>
                <w:rFonts w:cstheme="minorHAnsi"/>
              </w:rPr>
              <w:t>Funded support services need to be with locally based organisations, wherever possible</w:t>
            </w:r>
            <w:r>
              <w:rPr>
                <w:rFonts w:cstheme="minorHAnsi"/>
              </w:rPr>
              <w:t xml:space="preserve">, rather than having </w:t>
            </w:r>
            <w:r w:rsidRPr="009D6350">
              <w:rPr>
                <w:rFonts w:cstheme="minorHAnsi"/>
              </w:rPr>
              <w:t xml:space="preserve">out of town services that </w:t>
            </w:r>
            <w:r>
              <w:rPr>
                <w:rFonts w:cstheme="minorHAnsi"/>
              </w:rPr>
              <w:t>require commuting</w:t>
            </w:r>
            <w:r w:rsidRPr="009D6350">
              <w:rPr>
                <w:rFonts w:cstheme="minorHAnsi"/>
              </w:rPr>
              <w:t xml:space="preserve">, which has resulted in gaps in </w:t>
            </w:r>
            <w:r>
              <w:rPr>
                <w:rFonts w:cstheme="minorHAnsi"/>
              </w:rPr>
              <w:t>service delivery.</w:t>
            </w:r>
          </w:p>
        </w:tc>
      </w:tr>
      <w:tr w:rsidR="001D6C9C" w:rsidRPr="009D6350" w14:paraId="6D16714B" w14:textId="77777777" w:rsidTr="00275526">
        <w:trPr>
          <w:trHeight w:val="165"/>
        </w:trPr>
        <w:tc>
          <w:tcPr>
            <w:tcW w:w="2122" w:type="dxa"/>
            <w:vMerge/>
            <w:shd w:val="clear" w:color="auto" w:fill="auto"/>
          </w:tcPr>
          <w:p w14:paraId="7830F338" w14:textId="77777777" w:rsidR="001D6C9C" w:rsidRDefault="001D6C9C" w:rsidP="00643DC5">
            <w:pPr>
              <w:rPr>
                <w:rFonts w:cstheme="minorHAnsi"/>
              </w:rPr>
            </w:pPr>
          </w:p>
        </w:tc>
        <w:tc>
          <w:tcPr>
            <w:tcW w:w="7664" w:type="dxa"/>
          </w:tcPr>
          <w:p w14:paraId="08EFA841" w14:textId="77777777" w:rsidR="001D6C9C" w:rsidRDefault="001D6C9C" w:rsidP="00314C9C">
            <w:pPr>
              <w:rPr>
                <w:rFonts w:cstheme="minorHAnsi"/>
              </w:rPr>
            </w:pPr>
            <w:r w:rsidRPr="009D6350">
              <w:rPr>
                <w:rFonts w:cstheme="minorHAnsi"/>
              </w:rPr>
              <w:t>The</w:t>
            </w:r>
            <w:r>
              <w:rPr>
                <w:rFonts w:cstheme="minorHAnsi"/>
              </w:rPr>
              <w:t xml:space="preserve">re is a </w:t>
            </w:r>
            <w:r w:rsidRPr="009D6350">
              <w:rPr>
                <w:rFonts w:cstheme="minorHAnsi"/>
              </w:rPr>
              <w:t xml:space="preserve">need for greater certainty and control with longer term </w:t>
            </w:r>
            <w:r>
              <w:rPr>
                <w:rFonts w:cstheme="minorHAnsi"/>
              </w:rPr>
              <w:t>funding arrangements for services</w:t>
            </w:r>
            <w:r w:rsidRPr="009D6350">
              <w:rPr>
                <w:rFonts w:cstheme="minorHAnsi"/>
              </w:rPr>
              <w:t>.</w:t>
            </w:r>
          </w:p>
        </w:tc>
      </w:tr>
      <w:tr w:rsidR="001D6C9C" w:rsidRPr="009D6350" w14:paraId="1131BBB5" w14:textId="77777777" w:rsidTr="00275526">
        <w:trPr>
          <w:trHeight w:val="56"/>
        </w:trPr>
        <w:tc>
          <w:tcPr>
            <w:tcW w:w="2122" w:type="dxa"/>
            <w:vMerge/>
            <w:shd w:val="clear" w:color="auto" w:fill="auto"/>
          </w:tcPr>
          <w:p w14:paraId="1105467B" w14:textId="77777777" w:rsidR="001D6C9C" w:rsidRDefault="001D6C9C" w:rsidP="00314C9C">
            <w:pPr>
              <w:rPr>
                <w:rFonts w:cstheme="minorHAnsi"/>
              </w:rPr>
            </w:pPr>
          </w:p>
        </w:tc>
        <w:tc>
          <w:tcPr>
            <w:tcW w:w="7664" w:type="dxa"/>
          </w:tcPr>
          <w:p w14:paraId="126D9675" w14:textId="77777777" w:rsidR="001D6C9C" w:rsidRDefault="001D6C9C" w:rsidP="00314C9C">
            <w:pPr>
              <w:rPr>
                <w:rFonts w:cstheme="minorHAnsi"/>
              </w:rPr>
            </w:pPr>
            <w:r w:rsidRPr="009D6350">
              <w:rPr>
                <w:rFonts w:cstheme="minorHAnsi"/>
              </w:rPr>
              <w:t>Support for education and building numeracy and literacy skills for young people</w:t>
            </w:r>
            <w:r>
              <w:rPr>
                <w:rFonts w:cstheme="minorHAnsi"/>
              </w:rPr>
              <w:t xml:space="preserve"> is required.</w:t>
            </w:r>
          </w:p>
        </w:tc>
      </w:tr>
      <w:tr w:rsidR="00314C9C" w:rsidRPr="009D6350" w14:paraId="5F2E2A2A" w14:textId="77777777" w:rsidTr="00275526">
        <w:trPr>
          <w:trHeight w:val="56"/>
        </w:trPr>
        <w:tc>
          <w:tcPr>
            <w:tcW w:w="2122" w:type="dxa"/>
            <w:vMerge w:val="restart"/>
            <w:shd w:val="clear" w:color="auto" w:fill="auto"/>
          </w:tcPr>
          <w:p w14:paraId="3BFAC0E2" w14:textId="77777777" w:rsidR="00314C9C" w:rsidRDefault="00314C9C" w:rsidP="00643DC5">
            <w:pPr>
              <w:rPr>
                <w:rFonts w:cstheme="minorHAnsi"/>
              </w:rPr>
            </w:pPr>
            <w:r w:rsidRPr="009D6350">
              <w:rPr>
                <w:rFonts w:cstheme="minorHAnsi"/>
              </w:rPr>
              <w:t>Social Impacts</w:t>
            </w:r>
          </w:p>
        </w:tc>
        <w:tc>
          <w:tcPr>
            <w:tcW w:w="7664" w:type="dxa"/>
          </w:tcPr>
          <w:p w14:paraId="1DC66570" w14:textId="77777777" w:rsidR="00314C9C" w:rsidRDefault="00314C9C" w:rsidP="00314C9C">
            <w:pPr>
              <w:rPr>
                <w:rFonts w:cstheme="minorHAnsi"/>
              </w:rPr>
            </w:pPr>
            <w:r w:rsidRPr="009D6350">
              <w:rPr>
                <w:rFonts w:cstheme="minorHAnsi"/>
              </w:rPr>
              <w:t xml:space="preserve">AOD appear to </w:t>
            </w:r>
            <w:r>
              <w:rPr>
                <w:rFonts w:cstheme="minorHAnsi"/>
              </w:rPr>
              <w:t xml:space="preserve">be the </w:t>
            </w:r>
            <w:r w:rsidRPr="009D6350">
              <w:rPr>
                <w:rFonts w:cstheme="minorHAnsi"/>
              </w:rPr>
              <w:t xml:space="preserve">main driver of behaviours that create social harm. Access has still been readily available even with </w:t>
            </w:r>
            <w:r>
              <w:rPr>
                <w:rFonts w:cstheme="minorHAnsi"/>
              </w:rPr>
              <w:t xml:space="preserve">the </w:t>
            </w:r>
            <w:r w:rsidRPr="009D6350">
              <w:rPr>
                <w:rFonts w:cstheme="minorHAnsi"/>
              </w:rPr>
              <w:t xml:space="preserve">introduction of </w:t>
            </w:r>
            <w:r>
              <w:rPr>
                <w:rFonts w:cstheme="minorHAnsi"/>
              </w:rPr>
              <w:t xml:space="preserve">the </w:t>
            </w:r>
            <w:r w:rsidRPr="009D6350">
              <w:rPr>
                <w:rFonts w:cstheme="minorHAnsi"/>
              </w:rPr>
              <w:t xml:space="preserve">CDC. </w:t>
            </w:r>
          </w:p>
        </w:tc>
      </w:tr>
      <w:tr w:rsidR="00314C9C" w:rsidRPr="009D6350" w14:paraId="730E654F" w14:textId="77777777" w:rsidTr="00275526">
        <w:trPr>
          <w:trHeight w:val="74"/>
        </w:trPr>
        <w:tc>
          <w:tcPr>
            <w:tcW w:w="2122" w:type="dxa"/>
            <w:vMerge/>
            <w:shd w:val="clear" w:color="auto" w:fill="auto"/>
          </w:tcPr>
          <w:p w14:paraId="09147B1B" w14:textId="77777777" w:rsidR="00314C9C" w:rsidRDefault="00314C9C" w:rsidP="00643DC5">
            <w:pPr>
              <w:rPr>
                <w:rFonts w:cstheme="minorHAnsi"/>
              </w:rPr>
            </w:pPr>
          </w:p>
        </w:tc>
        <w:tc>
          <w:tcPr>
            <w:tcW w:w="7664" w:type="dxa"/>
          </w:tcPr>
          <w:p w14:paraId="71C37939" w14:textId="77777777" w:rsidR="00314C9C" w:rsidRDefault="00314C9C" w:rsidP="00314C9C">
            <w:pPr>
              <w:rPr>
                <w:rFonts w:cstheme="minorHAnsi"/>
              </w:rPr>
            </w:pPr>
            <w:r w:rsidRPr="009D6350">
              <w:rPr>
                <w:rFonts w:cstheme="minorHAnsi"/>
              </w:rPr>
              <w:t xml:space="preserve">Elderly and </w:t>
            </w:r>
            <w:r>
              <w:rPr>
                <w:rFonts w:cstheme="minorHAnsi"/>
              </w:rPr>
              <w:t>d</w:t>
            </w:r>
            <w:r w:rsidRPr="009D6350">
              <w:rPr>
                <w:rFonts w:cstheme="minorHAnsi"/>
              </w:rPr>
              <w:t>isabled participants are at most risk</w:t>
            </w:r>
            <w:r>
              <w:rPr>
                <w:rFonts w:cstheme="minorHAnsi"/>
              </w:rPr>
              <w:t xml:space="preserve"> of financial abuse</w:t>
            </w:r>
            <w:r w:rsidRPr="009D6350">
              <w:rPr>
                <w:rFonts w:cstheme="minorHAnsi"/>
              </w:rPr>
              <w:t xml:space="preserve"> due to </w:t>
            </w:r>
            <w:r>
              <w:rPr>
                <w:rFonts w:cstheme="minorHAnsi"/>
              </w:rPr>
              <w:t xml:space="preserve">the </w:t>
            </w:r>
            <w:r w:rsidRPr="009D6350">
              <w:rPr>
                <w:rFonts w:cstheme="minorHAnsi"/>
              </w:rPr>
              <w:t xml:space="preserve">ease of use of </w:t>
            </w:r>
            <w:r>
              <w:rPr>
                <w:rFonts w:cstheme="minorHAnsi"/>
              </w:rPr>
              <w:t xml:space="preserve">the </w:t>
            </w:r>
            <w:r w:rsidRPr="009D6350">
              <w:rPr>
                <w:rFonts w:cstheme="minorHAnsi"/>
              </w:rPr>
              <w:t>card, e</w:t>
            </w:r>
            <w:r>
              <w:rPr>
                <w:rFonts w:cstheme="minorHAnsi"/>
              </w:rPr>
              <w:t>.</w:t>
            </w:r>
            <w:r w:rsidRPr="009D6350">
              <w:rPr>
                <w:rFonts w:cstheme="minorHAnsi"/>
              </w:rPr>
              <w:t>g</w:t>
            </w:r>
            <w:r>
              <w:rPr>
                <w:rFonts w:cstheme="minorHAnsi"/>
              </w:rPr>
              <w:t>.</w:t>
            </w:r>
            <w:r w:rsidRPr="009D6350">
              <w:rPr>
                <w:rFonts w:cstheme="minorHAnsi"/>
              </w:rPr>
              <w:t xml:space="preserve"> tap &amp; go capability</w:t>
            </w:r>
            <w:r w:rsidR="00410E5D">
              <w:rPr>
                <w:rFonts w:cstheme="minorHAnsi"/>
              </w:rPr>
              <w:t>.</w:t>
            </w:r>
          </w:p>
        </w:tc>
      </w:tr>
      <w:tr w:rsidR="00314C9C" w:rsidRPr="009D6350" w14:paraId="2F9E6B0A" w14:textId="77777777" w:rsidTr="00275526">
        <w:trPr>
          <w:trHeight w:val="56"/>
        </w:trPr>
        <w:tc>
          <w:tcPr>
            <w:tcW w:w="2122" w:type="dxa"/>
            <w:vMerge/>
            <w:shd w:val="clear" w:color="auto" w:fill="auto"/>
          </w:tcPr>
          <w:p w14:paraId="0A516D3B" w14:textId="77777777" w:rsidR="00314C9C" w:rsidRDefault="00314C9C" w:rsidP="00643DC5">
            <w:pPr>
              <w:rPr>
                <w:rFonts w:cstheme="minorHAnsi"/>
              </w:rPr>
            </w:pPr>
          </w:p>
        </w:tc>
        <w:tc>
          <w:tcPr>
            <w:tcW w:w="7664" w:type="dxa"/>
          </w:tcPr>
          <w:p w14:paraId="70D828B4" w14:textId="77777777" w:rsidR="00314C9C" w:rsidRDefault="00314C9C" w:rsidP="00314C9C">
            <w:pPr>
              <w:rPr>
                <w:rFonts w:cstheme="minorHAnsi"/>
              </w:rPr>
            </w:pPr>
            <w:r w:rsidRPr="009D6350">
              <w:rPr>
                <w:rFonts w:cstheme="minorHAnsi"/>
              </w:rPr>
              <w:t>CDC limits some communities from ‘pooling’ funds for a community outcome, which is a local decision made by some communities.</w:t>
            </w:r>
          </w:p>
        </w:tc>
      </w:tr>
      <w:tr w:rsidR="00314C9C" w:rsidRPr="009D6350" w14:paraId="059F0A79" w14:textId="77777777" w:rsidTr="00275526">
        <w:trPr>
          <w:trHeight w:val="56"/>
        </w:trPr>
        <w:tc>
          <w:tcPr>
            <w:tcW w:w="2122" w:type="dxa"/>
            <w:vMerge/>
            <w:shd w:val="clear" w:color="auto" w:fill="auto"/>
          </w:tcPr>
          <w:p w14:paraId="6B7D3CF7" w14:textId="77777777" w:rsidR="00314C9C" w:rsidRDefault="00314C9C" w:rsidP="00314C9C">
            <w:pPr>
              <w:rPr>
                <w:rFonts w:cstheme="minorHAnsi"/>
              </w:rPr>
            </w:pPr>
          </w:p>
        </w:tc>
        <w:tc>
          <w:tcPr>
            <w:tcW w:w="7664" w:type="dxa"/>
          </w:tcPr>
          <w:p w14:paraId="3E98C3DF" w14:textId="77777777" w:rsidR="00314C9C" w:rsidRDefault="00314C9C" w:rsidP="00314C9C">
            <w:pPr>
              <w:rPr>
                <w:rFonts w:cstheme="minorHAnsi"/>
              </w:rPr>
            </w:pPr>
            <w:r w:rsidRPr="009D6350">
              <w:rPr>
                <w:rFonts w:cstheme="minorHAnsi"/>
              </w:rPr>
              <w:t xml:space="preserve">There are </w:t>
            </w:r>
            <w:r>
              <w:rPr>
                <w:rFonts w:cstheme="minorHAnsi"/>
              </w:rPr>
              <w:t xml:space="preserve">circumstances </w:t>
            </w:r>
            <w:r w:rsidRPr="009D6350">
              <w:rPr>
                <w:rFonts w:cstheme="minorHAnsi"/>
              </w:rPr>
              <w:t>where the cash economy is still essential to people.</w:t>
            </w:r>
          </w:p>
        </w:tc>
      </w:tr>
      <w:tr w:rsidR="00314C9C" w:rsidRPr="009D6350" w14:paraId="6F9067D0" w14:textId="77777777" w:rsidTr="00275526">
        <w:trPr>
          <w:trHeight w:val="639"/>
        </w:trPr>
        <w:tc>
          <w:tcPr>
            <w:tcW w:w="2122" w:type="dxa"/>
            <w:vMerge w:val="restart"/>
            <w:shd w:val="clear" w:color="auto" w:fill="auto"/>
          </w:tcPr>
          <w:p w14:paraId="416169DF" w14:textId="77777777" w:rsidR="00314C9C" w:rsidRDefault="00314C9C" w:rsidP="00643DC5">
            <w:pPr>
              <w:rPr>
                <w:rFonts w:cstheme="minorHAnsi"/>
              </w:rPr>
            </w:pPr>
            <w:r w:rsidRPr="009D6350">
              <w:rPr>
                <w:rFonts w:cstheme="minorHAnsi"/>
              </w:rPr>
              <w:t>Fraud</w:t>
            </w:r>
          </w:p>
        </w:tc>
        <w:tc>
          <w:tcPr>
            <w:tcW w:w="7664" w:type="dxa"/>
          </w:tcPr>
          <w:p w14:paraId="51276667" w14:textId="496D3F7B" w:rsidR="00314C9C" w:rsidRDefault="00314C9C" w:rsidP="00314C9C">
            <w:pPr>
              <w:rPr>
                <w:rFonts w:cstheme="minorHAnsi"/>
              </w:rPr>
            </w:pPr>
            <w:r w:rsidRPr="009D6350">
              <w:rPr>
                <w:rFonts w:cstheme="minorHAnsi"/>
              </w:rPr>
              <w:t xml:space="preserve">Experiences of fraud and misuse of </w:t>
            </w:r>
            <w:r>
              <w:rPr>
                <w:rFonts w:cstheme="minorHAnsi"/>
              </w:rPr>
              <w:t xml:space="preserve">the </w:t>
            </w:r>
            <w:r w:rsidRPr="009D6350">
              <w:rPr>
                <w:rFonts w:cstheme="minorHAnsi"/>
              </w:rPr>
              <w:t xml:space="preserve">CDC, particularly from </w:t>
            </w:r>
            <w:r>
              <w:rPr>
                <w:rFonts w:cstheme="minorHAnsi"/>
              </w:rPr>
              <w:t>t</w:t>
            </w:r>
            <w:r w:rsidRPr="009D6350">
              <w:rPr>
                <w:rFonts w:cstheme="minorHAnsi"/>
              </w:rPr>
              <w:t xml:space="preserve">axi services, is a common occurrence. Stricter controls to prevent </w:t>
            </w:r>
            <w:r>
              <w:rPr>
                <w:rFonts w:cstheme="minorHAnsi"/>
              </w:rPr>
              <w:t xml:space="preserve">instances of fraud </w:t>
            </w:r>
            <w:r w:rsidRPr="009D6350">
              <w:rPr>
                <w:rFonts w:cstheme="minorHAnsi"/>
              </w:rPr>
              <w:t xml:space="preserve">needs </w:t>
            </w:r>
            <w:r w:rsidR="00456F59">
              <w:rPr>
                <w:rFonts w:cstheme="minorHAnsi"/>
              </w:rPr>
              <w:t>to be built into future design.</w:t>
            </w:r>
          </w:p>
        </w:tc>
      </w:tr>
      <w:tr w:rsidR="00314C9C" w:rsidRPr="009D6350" w14:paraId="24749C93" w14:textId="77777777" w:rsidTr="00275526">
        <w:trPr>
          <w:trHeight w:val="639"/>
        </w:trPr>
        <w:tc>
          <w:tcPr>
            <w:tcW w:w="2122" w:type="dxa"/>
            <w:vMerge/>
            <w:shd w:val="clear" w:color="auto" w:fill="auto"/>
          </w:tcPr>
          <w:p w14:paraId="11EB9412" w14:textId="77777777" w:rsidR="00314C9C" w:rsidRDefault="00314C9C" w:rsidP="00314C9C">
            <w:pPr>
              <w:rPr>
                <w:rFonts w:cstheme="minorHAnsi"/>
              </w:rPr>
            </w:pPr>
          </w:p>
        </w:tc>
        <w:tc>
          <w:tcPr>
            <w:tcW w:w="7664" w:type="dxa"/>
          </w:tcPr>
          <w:p w14:paraId="159C339C" w14:textId="701FC6E8" w:rsidR="00314C9C" w:rsidRPr="009D6350" w:rsidRDefault="00314C9C" w:rsidP="00314C9C">
            <w:pPr>
              <w:rPr>
                <w:rFonts w:cstheme="minorHAnsi"/>
              </w:rPr>
            </w:pPr>
            <w:r>
              <w:rPr>
                <w:rFonts w:cstheme="minorHAnsi"/>
              </w:rPr>
              <w:t>There is a n</w:t>
            </w:r>
            <w:r w:rsidRPr="009D6350">
              <w:rPr>
                <w:rFonts w:cstheme="minorHAnsi"/>
              </w:rPr>
              <w:t>eed to build in capability for transferring of funds</w:t>
            </w:r>
            <w:r>
              <w:rPr>
                <w:rFonts w:cstheme="minorHAnsi"/>
              </w:rPr>
              <w:t xml:space="preserve"> to others such as family members</w:t>
            </w:r>
            <w:r w:rsidRPr="009D6350">
              <w:rPr>
                <w:rFonts w:cstheme="minorHAnsi"/>
              </w:rPr>
              <w:t xml:space="preserve">. </w:t>
            </w:r>
            <w:r>
              <w:rPr>
                <w:rFonts w:cstheme="minorHAnsi"/>
              </w:rPr>
              <w:t>There are e</w:t>
            </w:r>
            <w:r w:rsidRPr="009D6350">
              <w:rPr>
                <w:rFonts w:cstheme="minorHAnsi"/>
              </w:rPr>
              <w:t xml:space="preserve">xamples of participants giving their cards to boarding school students when they are </w:t>
            </w:r>
            <w:r>
              <w:rPr>
                <w:rFonts w:cstheme="minorHAnsi"/>
              </w:rPr>
              <w:t xml:space="preserve">away </w:t>
            </w:r>
            <w:r w:rsidRPr="009D6350">
              <w:rPr>
                <w:rFonts w:cstheme="minorHAnsi"/>
              </w:rPr>
              <w:t xml:space="preserve">at school, as its easier than having to organise </w:t>
            </w:r>
            <w:r>
              <w:rPr>
                <w:rFonts w:cstheme="minorHAnsi"/>
              </w:rPr>
              <w:t xml:space="preserve">to </w:t>
            </w:r>
            <w:r w:rsidRPr="009D6350">
              <w:rPr>
                <w:rFonts w:cstheme="minorHAnsi"/>
              </w:rPr>
              <w:t xml:space="preserve">transfer </w:t>
            </w:r>
            <w:r>
              <w:rPr>
                <w:rFonts w:cstheme="minorHAnsi"/>
              </w:rPr>
              <w:t>the</w:t>
            </w:r>
            <w:r w:rsidRPr="009D6350">
              <w:rPr>
                <w:rFonts w:cstheme="minorHAnsi"/>
              </w:rPr>
              <w:t xml:space="preserve"> mone</w:t>
            </w:r>
            <w:r w:rsidR="00456F59">
              <w:rPr>
                <w:rFonts w:cstheme="minorHAnsi"/>
              </w:rPr>
              <w:t>y.</w:t>
            </w:r>
          </w:p>
        </w:tc>
      </w:tr>
      <w:tr w:rsidR="00314C9C" w:rsidRPr="009D6350" w14:paraId="0CA5E733" w14:textId="77777777" w:rsidTr="00275526">
        <w:trPr>
          <w:trHeight w:val="184"/>
        </w:trPr>
        <w:tc>
          <w:tcPr>
            <w:tcW w:w="2122" w:type="dxa"/>
            <w:shd w:val="clear" w:color="auto" w:fill="auto"/>
          </w:tcPr>
          <w:p w14:paraId="28A77005" w14:textId="77777777" w:rsidR="00314C9C" w:rsidRDefault="00314C9C" w:rsidP="00314C9C">
            <w:pPr>
              <w:rPr>
                <w:rFonts w:cstheme="minorHAnsi"/>
              </w:rPr>
            </w:pPr>
            <w:r w:rsidRPr="009D6350">
              <w:rPr>
                <w:rFonts w:cstheme="minorHAnsi"/>
              </w:rPr>
              <w:t>Evaluation</w:t>
            </w:r>
          </w:p>
        </w:tc>
        <w:tc>
          <w:tcPr>
            <w:tcW w:w="7664" w:type="dxa"/>
          </w:tcPr>
          <w:p w14:paraId="3A8147A2" w14:textId="2B4DEFA7" w:rsidR="00314C9C" w:rsidRDefault="00314C9C" w:rsidP="00314C9C">
            <w:pPr>
              <w:rPr>
                <w:rFonts w:cstheme="minorHAnsi"/>
              </w:rPr>
            </w:pPr>
            <w:r>
              <w:rPr>
                <w:rFonts w:cstheme="minorHAnsi"/>
              </w:rPr>
              <w:t>It is i</w:t>
            </w:r>
            <w:r w:rsidRPr="009D6350">
              <w:rPr>
                <w:rFonts w:cstheme="minorHAnsi"/>
              </w:rPr>
              <w:t xml:space="preserve">mportant to measure </w:t>
            </w:r>
            <w:r>
              <w:rPr>
                <w:rFonts w:cstheme="minorHAnsi"/>
              </w:rPr>
              <w:t xml:space="preserve">the </w:t>
            </w:r>
            <w:r w:rsidRPr="009D6350">
              <w:rPr>
                <w:rFonts w:cstheme="minorHAnsi"/>
              </w:rPr>
              <w:t xml:space="preserve">impacts of </w:t>
            </w:r>
            <w:r>
              <w:rPr>
                <w:rFonts w:cstheme="minorHAnsi"/>
              </w:rPr>
              <w:t xml:space="preserve">the </w:t>
            </w:r>
            <w:r w:rsidRPr="009D6350">
              <w:rPr>
                <w:rFonts w:cstheme="minorHAnsi"/>
              </w:rPr>
              <w:t>CDC removal and transiti</w:t>
            </w:r>
            <w:r w:rsidR="00456F59">
              <w:rPr>
                <w:rFonts w:cstheme="minorHAnsi"/>
              </w:rPr>
              <w:t>on experience for participants.</w:t>
            </w:r>
          </w:p>
        </w:tc>
      </w:tr>
    </w:tbl>
    <w:p w14:paraId="53A33EBB" w14:textId="49C18FC1" w:rsidR="00247AC4" w:rsidRPr="00B6181F" w:rsidRDefault="00ED6191" w:rsidP="00086DA1">
      <w:pPr>
        <w:pStyle w:val="Heading2"/>
      </w:pPr>
      <w:bookmarkStart w:id="157" w:name="_Toc118103781"/>
      <w:r>
        <w:t>5.3</w:t>
      </w:r>
      <w:r w:rsidR="00247AC4" w:rsidRPr="00B6181F">
        <w:t xml:space="preserve"> </w:t>
      </w:r>
      <w:r w:rsidR="00247AC4">
        <w:t>E</w:t>
      </w:r>
      <w:r w:rsidR="00247AC4" w:rsidRPr="00B6181F">
        <w:t xml:space="preserve">ngagement with </w:t>
      </w:r>
      <w:r w:rsidR="00247AC4">
        <w:t>Merchants</w:t>
      </w:r>
      <w:bookmarkEnd w:id="157"/>
    </w:p>
    <w:p w14:paraId="38AA7668" w14:textId="77777777" w:rsidR="006125DD" w:rsidRDefault="00BD6FC9" w:rsidP="00D0330F">
      <w:pPr>
        <w:pStyle w:val="BodyText"/>
      </w:pPr>
      <w:r>
        <w:t xml:space="preserve">The current Ministerial consultations </w:t>
      </w:r>
      <w:r w:rsidR="00D944C9">
        <w:t xml:space="preserve">focuses </w:t>
      </w:r>
      <w:r>
        <w:t>on discussions with communi</w:t>
      </w:r>
      <w:r w:rsidR="00DF4042">
        <w:t xml:space="preserve">ties </w:t>
      </w:r>
      <w:r w:rsidR="00D944C9">
        <w:t>about</w:t>
      </w:r>
      <w:r w:rsidR="00DF4042">
        <w:t xml:space="preserve"> future policy </w:t>
      </w:r>
      <w:r w:rsidR="00DA7B0C">
        <w:t>solutions</w:t>
      </w:r>
      <w:r w:rsidR="00DF4042">
        <w:t xml:space="preserve">. However, </w:t>
      </w:r>
      <w:r w:rsidR="006125DD">
        <w:t>the Department has been engaging with merchants on the implementation of the programs for a number of years. Feedback has been that the CDC is closer to the systems they have in place for other customers and easier to implement</w:t>
      </w:r>
      <w:r w:rsidR="004C621D">
        <w:t xml:space="preserve"> than IM</w:t>
      </w:r>
      <w:r w:rsidR="006125DD">
        <w:t>.</w:t>
      </w:r>
    </w:p>
    <w:p w14:paraId="7E8D51E3" w14:textId="77777777" w:rsidR="00194320" w:rsidRDefault="00194320" w:rsidP="00D0330F">
      <w:pPr>
        <w:pStyle w:val="BodyText"/>
      </w:pPr>
      <w:r>
        <w:t xml:space="preserve">Critical to the success of enhancing the technology </w:t>
      </w:r>
      <w:r w:rsidR="009268F1">
        <w:t xml:space="preserve">experience </w:t>
      </w:r>
      <w:r>
        <w:t xml:space="preserve">previous consultations </w:t>
      </w:r>
      <w:r w:rsidR="009268F1">
        <w:t>have</w:t>
      </w:r>
      <w:r>
        <w:t xml:space="preserve"> been undertaken to:</w:t>
      </w:r>
    </w:p>
    <w:p w14:paraId="0E8B7711" w14:textId="77777777" w:rsidR="00194320" w:rsidRDefault="00194320" w:rsidP="00E40C18">
      <w:pPr>
        <w:pStyle w:val="BulletedListlvl1"/>
      </w:pPr>
      <w:r>
        <w:t xml:space="preserve">ensure the </w:t>
      </w:r>
      <w:r w:rsidR="00DA7B0C">
        <w:t>CDC</w:t>
      </w:r>
      <w:r>
        <w:t xml:space="preserve"> can operate as much like a standard banking product as possible;</w:t>
      </w:r>
    </w:p>
    <w:p w14:paraId="1763758F" w14:textId="77777777" w:rsidR="00194320" w:rsidRDefault="00194320" w:rsidP="00194320">
      <w:pPr>
        <w:pStyle w:val="BulletedListlvl1"/>
      </w:pPr>
      <w:r>
        <w:t>understand and limit opportunities for circumvention;</w:t>
      </w:r>
    </w:p>
    <w:p w14:paraId="5DA1B322" w14:textId="77777777" w:rsidR="009268F1" w:rsidRDefault="00194320" w:rsidP="009268F1">
      <w:pPr>
        <w:pStyle w:val="BulletedListlvl1"/>
      </w:pPr>
      <w:r>
        <w:t>support merchants via automated identificat</w:t>
      </w:r>
      <w:r w:rsidR="009268F1">
        <w:t>ion of restricted products; and</w:t>
      </w:r>
    </w:p>
    <w:p w14:paraId="1F62046F" w14:textId="07A441BB" w:rsidR="00194320" w:rsidRDefault="00194320" w:rsidP="004C621D">
      <w:pPr>
        <w:pStyle w:val="BulletedListlvl1"/>
        <w:spacing w:after="120"/>
      </w:pPr>
      <w:r>
        <w:t xml:space="preserve">improve the </w:t>
      </w:r>
      <w:r w:rsidR="00DA7B0C">
        <w:t>CDC</w:t>
      </w:r>
      <w:r>
        <w:t xml:space="preserve"> user </w:t>
      </w:r>
      <w:r w:rsidR="00456F59">
        <w:t>experience.</w:t>
      </w:r>
    </w:p>
    <w:p w14:paraId="0E50CB14" w14:textId="77777777" w:rsidR="006125DD" w:rsidRDefault="006125DD" w:rsidP="00D0330F">
      <w:pPr>
        <w:pStyle w:val="BodyText"/>
      </w:pPr>
      <w:r>
        <w:t xml:space="preserve">Previous consultation has been undertaken with mixed merchant stakeholders and those stakeholders who </w:t>
      </w:r>
      <w:r w:rsidR="00DA7B0C">
        <w:t xml:space="preserve">would </w:t>
      </w:r>
      <w:r>
        <w:t>assist</w:t>
      </w:r>
      <w:r w:rsidR="00DA7B0C">
        <w:t xml:space="preserve"> with</w:t>
      </w:r>
      <w:r>
        <w:t xml:space="preserve"> implement</w:t>
      </w:r>
      <w:r w:rsidR="00DA7B0C">
        <w:t>ing</w:t>
      </w:r>
      <w:r>
        <w:t xml:space="preserve"> techn</w:t>
      </w:r>
      <w:r w:rsidR="00FD2793">
        <w:t>ological advancements, such as:</w:t>
      </w:r>
    </w:p>
    <w:p w14:paraId="4C8B6CF2" w14:textId="77777777" w:rsidR="006125DD" w:rsidRDefault="006125DD" w:rsidP="006125DD">
      <w:pPr>
        <w:pStyle w:val="BulletedListlvl1"/>
      </w:pPr>
      <w:r>
        <w:t>financial institutions, including banks that provide pin pads to merchants, Point of Sale software providers, and PIN Pad manufacturers;</w:t>
      </w:r>
    </w:p>
    <w:p w14:paraId="1BDF5FFA" w14:textId="77777777" w:rsidR="006125DD" w:rsidRDefault="006125DD" w:rsidP="006125DD">
      <w:pPr>
        <w:pStyle w:val="BulletedListlvl1"/>
      </w:pPr>
      <w:r>
        <w:t>large corporate merchants to integrate PLB into th</w:t>
      </w:r>
      <w:r w:rsidR="00FD2793">
        <w:t>eir own Point of Sale systems</w:t>
      </w:r>
    </w:p>
    <w:p w14:paraId="6371A80D" w14:textId="77777777" w:rsidR="006125DD" w:rsidRDefault="006125DD" w:rsidP="006125DD">
      <w:pPr>
        <w:pStyle w:val="BulletedListlvl1"/>
      </w:pPr>
      <w:r>
        <w:t>merchant networks</w:t>
      </w:r>
      <w:r w:rsidR="00A1129F">
        <w:t xml:space="preserve"> e.g. franchises</w:t>
      </w:r>
      <w:r>
        <w:t>; and</w:t>
      </w:r>
    </w:p>
    <w:p w14:paraId="1A48D756" w14:textId="77777777" w:rsidR="006125DD" w:rsidRDefault="006125DD" w:rsidP="004C621D">
      <w:pPr>
        <w:pStyle w:val="BulletedListlvl1"/>
        <w:spacing w:after="120"/>
      </w:pPr>
      <w:r>
        <w:t>small and medium mixed merchants</w:t>
      </w:r>
    </w:p>
    <w:p w14:paraId="7779C532" w14:textId="77777777" w:rsidR="004C621D" w:rsidRPr="00ED6191" w:rsidRDefault="004C621D" w:rsidP="004C621D">
      <w:pPr>
        <w:pStyle w:val="BulletedListlvl1"/>
        <w:numPr>
          <w:ilvl w:val="0"/>
          <w:numId w:val="0"/>
        </w:numPr>
        <w:spacing w:after="120"/>
      </w:pPr>
      <w:r w:rsidRPr="00ED6191">
        <w:t xml:space="preserve">Consultations with the financial sector and merchants made sure that the experience for participants using the CDC was no different to anyone else going into any shop and paying using their bank or credit card. Ongoing engagements with banks and merchants ensured that payment systems between the retail outlets, the eftpos machine and the bank were more streamlined for someone using the CDC. PLB technology and the development of the Merchant Portal were products of this constant engagement with banks, merchants and </w:t>
      </w:r>
      <w:r w:rsidR="00FD2793">
        <w:t>financial sector.</w:t>
      </w:r>
    </w:p>
    <w:p w14:paraId="158F0FE5" w14:textId="6FC84BEB" w:rsidR="006125DD" w:rsidRDefault="004C621D" w:rsidP="004C621D">
      <w:pPr>
        <w:pStyle w:val="BulletedListlvl1"/>
        <w:numPr>
          <w:ilvl w:val="0"/>
          <w:numId w:val="0"/>
        </w:numPr>
      </w:pPr>
      <w:r w:rsidRPr="00ED6191">
        <w:t xml:space="preserve">The Department have recently engaged with corporate merchants to discuss the </w:t>
      </w:r>
      <w:r w:rsidR="00F15809" w:rsidRPr="00ED6191">
        <w:t>aboli</w:t>
      </w:r>
      <w:r w:rsidR="00F15809">
        <w:t>tion</w:t>
      </w:r>
      <w:r w:rsidRPr="00ED6191">
        <w:t xml:space="preserve"> of the CDC and reforming IM. </w:t>
      </w:r>
      <w:r w:rsidR="006125DD">
        <w:t>Further consultation will occur with merchants on the updated technology for the BasicsCard. This will inc</w:t>
      </w:r>
      <w:r w:rsidR="00A1129F">
        <w:t>lude both smaller merchants who</w:t>
      </w:r>
      <w:r w:rsidR="006125DD">
        <w:t xml:space="preserve"> operate within the existing IM and CDC sites as well as larger national retailers who </w:t>
      </w:r>
      <w:r w:rsidR="00DA7B0C">
        <w:t>could</w:t>
      </w:r>
      <w:r w:rsidR="006125DD">
        <w:t xml:space="preserve"> accept the </w:t>
      </w:r>
      <w:r w:rsidR="00411295">
        <w:rPr>
          <w:rFonts w:eastAsia="Calibri"/>
        </w:rPr>
        <w:t xml:space="preserve">contemporary card </w:t>
      </w:r>
      <w:r w:rsidR="00FD2793">
        <w:t>across their network.</w:t>
      </w:r>
    </w:p>
    <w:p w14:paraId="2C617A11" w14:textId="77777777" w:rsidR="00174454" w:rsidRDefault="00174454">
      <w:r>
        <w:br w:type="page"/>
      </w:r>
    </w:p>
    <w:p w14:paraId="3294A8A8" w14:textId="77777777" w:rsidR="00E6567D" w:rsidRPr="00F90356" w:rsidRDefault="00E6567D" w:rsidP="00E6567D">
      <w:pPr>
        <w:pStyle w:val="Title"/>
        <w:rPr>
          <w:szCs w:val="52"/>
        </w:rPr>
      </w:pPr>
      <w:bookmarkStart w:id="158" w:name="_Toc108008521"/>
      <w:bookmarkStart w:id="159" w:name="_Toc118103782"/>
      <w:r w:rsidRPr="00F90356">
        <w:rPr>
          <w:szCs w:val="52"/>
        </w:rPr>
        <w:t>6. What is the best option from those you have considered?</w:t>
      </w:r>
      <w:bookmarkEnd w:id="158"/>
      <w:bookmarkEnd w:id="159"/>
    </w:p>
    <w:p w14:paraId="0C16FDA4" w14:textId="77777777" w:rsidR="003A28B2" w:rsidRDefault="00E016F7" w:rsidP="003A28B2">
      <w:r>
        <w:t xml:space="preserve">The recommended option </w:t>
      </w:r>
      <w:r w:rsidR="00FD130F">
        <w:t xml:space="preserve">(Option </w:t>
      </w:r>
      <w:r w:rsidR="00E5547A">
        <w:t>2</w:t>
      </w:r>
      <w:r w:rsidR="00FD130F">
        <w:t xml:space="preserve">) </w:t>
      </w:r>
      <w:r w:rsidR="003A28B2">
        <w:t xml:space="preserve">addresses the policy problem best, offers the </w:t>
      </w:r>
      <w:r w:rsidR="002775DB">
        <w:t>most</w:t>
      </w:r>
      <w:r w:rsidR="003A28B2">
        <w:t xml:space="preserve"> net benefit for participants while also reducing the regulatory burden costs in both the short and long-term, and will deliver the best va</w:t>
      </w:r>
      <w:r w:rsidR="003E5F74">
        <w:t>lue for money to Government. It was</w:t>
      </w:r>
      <w:r w:rsidR="00254CCC">
        <w:t xml:space="preserve"> informed by consultation and is </w:t>
      </w:r>
      <w:r w:rsidR="003A28B2">
        <w:t>consistent with the Government’s election commitment to provide more and better individuals choices, including managing their finances and decision on how and where they spend their income support payments.</w:t>
      </w:r>
    </w:p>
    <w:p w14:paraId="690D306D" w14:textId="4AB302DA" w:rsidR="003A28B2" w:rsidRDefault="003A28B2" w:rsidP="003A28B2">
      <w:r>
        <w:t>It will address the policy problem of stigmatisation CDC and IM participants’ experience</w:t>
      </w:r>
      <w:r w:rsidR="003E5F74">
        <w:t xml:space="preserve"> </w:t>
      </w:r>
      <w:r w:rsidR="0022242E">
        <w:t>as highlighted in the</w:t>
      </w:r>
      <w:r w:rsidR="003E5F74">
        <w:t xml:space="preserve"> CDC and IM evaluations and current Ministerial consultations</w:t>
      </w:r>
      <w:r>
        <w:t xml:space="preserve">. Abolishing CDC and reforming IM to a voluntary program is a response to the issue of the generalisation faced by program </w:t>
      </w:r>
      <w:r w:rsidRPr="00B528D7">
        <w:t>participants who do not have a history of substance misuse or problem gambling</w:t>
      </w:r>
      <w:r w:rsidR="00456F59">
        <w:t>.</w:t>
      </w:r>
    </w:p>
    <w:p w14:paraId="3A07BA1D" w14:textId="77777777" w:rsidR="003A28B2" w:rsidRDefault="003E5F74" w:rsidP="003A28B2">
      <w:r>
        <w:t>Likewise,</w:t>
      </w:r>
      <w:r w:rsidR="00254CCC">
        <w:t xml:space="preserve"> </w:t>
      </w:r>
      <w:r w:rsidR="003A28B2">
        <w:t>Option 2 aligns with IM evaluations that have noted that participants volunteering for the program experienced a better social and wellbeing outcomes as there is evidence supporting improvement of their ability to manage money, pay for food, rent, mortgage and being able to better provide for their families.</w:t>
      </w:r>
    </w:p>
    <w:p w14:paraId="557BAF51" w14:textId="77777777" w:rsidR="0022242E" w:rsidRDefault="0022242E" w:rsidP="003A28B2">
      <w:pPr>
        <w:rPr>
          <w:rFonts w:ascii="Calibri" w:eastAsia="Calibri" w:hAnsi="Calibri" w:cs="Times New Roman"/>
          <w:color w:val="262626"/>
        </w:rPr>
      </w:pPr>
      <w:r>
        <w:rPr>
          <w:rFonts w:ascii="Calibri" w:eastAsia="Calibri" w:hAnsi="Calibri" w:cs="Times New Roman"/>
          <w:color w:val="262626"/>
        </w:rPr>
        <w:t>Consultation has informed a number of key elements of option 2:</w:t>
      </w:r>
    </w:p>
    <w:p w14:paraId="0501ACE4" w14:textId="54135616" w:rsidR="0022242E" w:rsidRPr="00254CCC" w:rsidRDefault="0022242E" w:rsidP="0022242E">
      <w:pPr>
        <w:pStyle w:val="ListParagraph"/>
        <w:numPr>
          <w:ilvl w:val="0"/>
          <w:numId w:val="59"/>
        </w:numPr>
        <w:rPr>
          <w:color w:val="auto"/>
        </w:rPr>
      </w:pPr>
      <w:r w:rsidRPr="00254CCC">
        <w:rPr>
          <w:color w:val="auto"/>
        </w:rPr>
        <w:t>Stakeholders have emphasised the need for support services especially those done in consultation with communities.</w:t>
      </w:r>
      <w:r w:rsidR="00531917" w:rsidRPr="00254CCC">
        <w:rPr>
          <w:color w:val="auto"/>
        </w:rPr>
        <w:t xml:space="preserve"> This lead to the development of the co-design support services package.</w:t>
      </w:r>
    </w:p>
    <w:p w14:paraId="2C5260F9" w14:textId="66A60789" w:rsidR="0022242E" w:rsidRPr="00254CCC" w:rsidRDefault="0022242E" w:rsidP="0022242E">
      <w:pPr>
        <w:pStyle w:val="ListParagraph"/>
        <w:numPr>
          <w:ilvl w:val="0"/>
          <w:numId w:val="59"/>
        </w:numPr>
        <w:rPr>
          <w:color w:val="auto"/>
        </w:rPr>
      </w:pPr>
      <w:r w:rsidRPr="00254CCC">
        <w:rPr>
          <w:color w:val="auto"/>
        </w:rPr>
        <w:t>They also highlighted some of the pr</w:t>
      </w:r>
      <w:r w:rsidR="00244522">
        <w:rPr>
          <w:color w:val="auto"/>
        </w:rPr>
        <w:t xml:space="preserve">oblems with the current policy </w:t>
      </w:r>
      <w:r w:rsidR="00531917" w:rsidRPr="00254CCC">
        <w:rPr>
          <w:color w:val="auto"/>
        </w:rPr>
        <w:t>that it is too broad and</w:t>
      </w:r>
      <w:r w:rsidRPr="00254CCC">
        <w:rPr>
          <w:color w:val="auto"/>
        </w:rPr>
        <w:t xml:space="preserve"> </w:t>
      </w:r>
      <w:r w:rsidR="00531917" w:rsidRPr="00254CCC">
        <w:rPr>
          <w:color w:val="auto"/>
        </w:rPr>
        <w:t xml:space="preserve">is </w:t>
      </w:r>
      <w:r w:rsidRPr="00254CCC">
        <w:rPr>
          <w:color w:val="auto"/>
        </w:rPr>
        <w:t xml:space="preserve">easy to </w:t>
      </w:r>
      <w:r w:rsidR="002775DB">
        <w:rPr>
          <w:color w:val="auto"/>
        </w:rPr>
        <w:t>circumvent</w:t>
      </w:r>
      <w:r w:rsidR="00531917" w:rsidRPr="00254CCC">
        <w:rPr>
          <w:color w:val="auto"/>
        </w:rPr>
        <w:t>.</w:t>
      </w:r>
      <w:r w:rsidRPr="00254CCC">
        <w:rPr>
          <w:color w:val="auto"/>
        </w:rPr>
        <w:t xml:space="preserve"> </w:t>
      </w:r>
      <w:r w:rsidR="00531917" w:rsidRPr="00254CCC">
        <w:rPr>
          <w:color w:val="auto"/>
        </w:rPr>
        <w:t>This affirms</w:t>
      </w:r>
      <w:r w:rsidRPr="00254CCC">
        <w:rPr>
          <w:color w:val="auto"/>
        </w:rPr>
        <w:t xml:space="preserve"> the government’s election commitment to abolish </w:t>
      </w:r>
      <w:r w:rsidR="00456F59">
        <w:rPr>
          <w:color w:val="auto"/>
        </w:rPr>
        <w:t>the CDC and reform IM programs.</w:t>
      </w:r>
    </w:p>
    <w:p w14:paraId="6F5F087F" w14:textId="77777777" w:rsidR="0022242E" w:rsidRPr="00C8197D" w:rsidRDefault="00531917" w:rsidP="0022242E">
      <w:pPr>
        <w:pStyle w:val="ListParagraph"/>
        <w:numPr>
          <w:ilvl w:val="0"/>
          <w:numId w:val="59"/>
        </w:numPr>
        <w:rPr>
          <w:color w:val="auto"/>
        </w:rPr>
      </w:pPr>
      <w:r w:rsidRPr="00C8197D">
        <w:rPr>
          <w:color w:val="auto"/>
        </w:rPr>
        <w:t xml:space="preserve">Responds to those </w:t>
      </w:r>
      <w:r w:rsidR="0022242E" w:rsidRPr="00C8197D">
        <w:rPr>
          <w:color w:val="auto"/>
        </w:rPr>
        <w:t>stakeholder</w:t>
      </w:r>
      <w:r w:rsidRPr="00C8197D">
        <w:rPr>
          <w:color w:val="auto"/>
        </w:rPr>
        <w:t>s who</w:t>
      </w:r>
      <w:r w:rsidR="0022242E" w:rsidRPr="00C8197D">
        <w:rPr>
          <w:color w:val="auto"/>
        </w:rPr>
        <w:t xml:space="preserve"> want an income management alternative</w:t>
      </w:r>
      <w:r w:rsidRPr="00C8197D">
        <w:rPr>
          <w:color w:val="auto"/>
        </w:rPr>
        <w:t xml:space="preserve"> through the offer of voluntary IM and support services.</w:t>
      </w:r>
    </w:p>
    <w:p w14:paraId="2BD5DA63" w14:textId="721563D7" w:rsidR="00531917" w:rsidRPr="00C8197D" w:rsidRDefault="00531917" w:rsidP="00531917">
      <w:pPr>
        <w:pStyle w:val="ListParagraph"/>
        <w:numPr>
          <w:ilvl w:val="0"/>
          <w:numId w:val="59"/>
        </w:numPr>
        <w:rPr>
          <w:color w:val="auto"/>
        </w:rPr>
      </w:pPr>
      <w:r w:rsidRPr="00C8197D">
        <w:rPr>
          <w:color w:val="auto"/>
        </w:rPr>
        <w:t xml:space="preserve">The need to respond </w:t>
      </w:r>
      <w:r w:rsidR="0022242E" w:rsidRPr="00C8197D">
        <w:rPr>
          <w:color w:val="auto"/>
        </w:rPr>
        <w:t xml:space="preserve">to </w:t>
      </w:r>
      <w:r w:rsidRPr="00C8197D">
        <w:rPr>
          <w:color w:val="auto"/>
        </w:rPr>
        <w:t xml:space="preserve">stakeholder </w:t>
      </w:r>
      <w:r w:rsidR="0022242E" w:rsidRPr="00C8197D">
        <w:rPr>
          <w:color w:val="auto"/>
        </w:rPr>
        <w:t xml:space="preserve">concerns with </w:t>
      </w:r>
      <w:r w:rsidRPr="00C8197D">
        <w:rPr>
          <w:color w:val="auto"/>
        </w:rPr>
        <w:t>people going back to the BasicsC</w:t>
      </w:r>
      <w:r w:rsidR="0022242E" w:rsidRPr="00C8197D">
        <w:rPr>
          <w:color w:val="auto"/>
        </w:rPr>
        <w:t>ard</w:t>
      </w:r>
      <w:r w:rsidRPr="00C8197D">
        <w:rPr>
          <w:color w:val="auto"/>
        </w:rPr>
        <w:t>. Option 2 retains a card with similar functionality as the current CDC card</w:t>
      </w:r>
      <w:r w:rsidR="00411295">
        <w:rPr>
          <w:color w:val="auto"/>
        </w:rPr>
        <w:t>.</w:t>
      </w:r>
    </w:p>
    <w:p w14:paraId="4627D152" w14:textId="7686DB70" w:rsidR="003A28B2" w:rsidRDefault="003A28B2" w:rsidP="003A28B2">
      <w:r>
        <w:rPr>
          <w:rFonts w:ascii="Calibri" w:eastAsia="Calibri" w:hAnsi="Calibri" w:cs="Times New Roman"/>
          <w:color w:val="262626"/>
        </w:rPr>
        <w:t>In contrast to Option 2, Option 1</w:t>
      </w:r>
      <w:r w:rsidRPr="00236A01">
        <w:rPr>
          <w:rFonts w:ascii="Calibri" w:eastAsia="Calibri" w:hAnsi="Calibri" w:cs="Times New Roman"/>
          <w:color w:val="262626"/>
        </w:rPr>
        <w:t xml:space="preserve"> </w:t>
      </w:r>
      <w:r>
        <w:rPr>
          <w:rFonts w:ascii="Calibri" w:eastAsia="Calibri" w:hAnsi="Calibri" w:cs="Times New Roman"/>
          <w:color w:val="262626"/>
        </w:rPr>
        <w:t xml:space="preserve">maintains </w:t>
      </w:r>
      <w:r w:rsidR="002775DB">
        <w:rPr>
          <w:rFonts w:ascii="Calibri" w:eastAsia="Calibri" w:hAnsi="Calibri" w:cs="Times New Roman"/>
          <w:color w:val="262626"/>
        </w:rPr>
        <w:t>an ineffective</w:t>
      </w:r>
      <w:r>
        <w:rPr>
          <w:rFonts w:ascii="Calibri" w:eastAsia="Calibri" w:hAnsi="Calibri" w:cs="Times New Roman"/>
          <w:color w:val="262626"/>
        </w:rPr>
        <w:t xml:space="preserve"> status quo</w:t>
      </w:r>
      <w:r w:rsidR="00ED6191">
        <w:rPr>
          <w:rFonts w:ascii="Calibri" w:eastAsia="Calibri" w:hAnsi="Calibri" w:cs="Times New Roman"/>
          <w:color w:val="262626"/>
        </w:rPr>
        <w:t xml:space="preserve">. The continuation of the status quo </w:t>
      </w:r>
      <w:r>
        <w:rPr>
          <w:rFonts w:ascii="Calibri" w:eastAsia="Calibri" w:hAnsi="Calibri" w:cs="Times New Roman"/>
          <w:color w:val="262626"/>
        </w:rPr>
        <w:t xml:space="preserve">is not supported by evidence based on findings from </w:t>
      </w:r>
      <w:r w:rsidR="00ED6191">
        <w:rPr>
          <w:rFonts w:ascii="Calibri" w:eastAsia="Calibri" w:hAnsi="Calibri" w:cs="Times New Roman"/>
          <w:color w:val="262626"/>
        </w:rPr>
        <w:t>multiple CDC and IM evaluations</w:t>
      </w:r>
      <w:r w:rsidR="003E5F74">
        <w:rPr>
          <w:rFonts w:ascii="Calibri" w:eastAsia="Calibri" w:hAnsi="Calibri" w:cs="Times New Roman"/>
          <w:color w:val="262626"/>
        </w:rPr>
        <w:t xml:space="preserve"> and current consultations</w:t>
      </w:r>
      <w:r w:rsidR="00ED6191">
        <w:rPr>
          <w:rFonts w:ascii="Calibri" w:eastAsia="Calibri" w:hAnsi="Calibri" w:cs="Times New Roman"/>
          <w:color w:val="262626"/>
        </w:rPr>
        <w:t>.</w:t>
      </w:r>
      <w:r>
        <w:rPr>
          <w:rFonts w:ascii="Calibri" w:eastAsia="Calibri" w:hAnsi="Calibri" w:cs="Times New Roman"/>
          <w:color w:val="262626"/>
        </w:rPr>
        <w:t xml:space="preserve"> Also it </w:t>
      </w:r>
      <w:r w:rsidRPr="00236A01">
        <w:rPr>
          <w:rFonts w:ascii="Calibri" w:eastAsia="Calibri" w:hAnsi="Calibri" w:cs="Times New Roman"/>
          <w:color w:val="262626"/>
        </w:rPr>
        <w:t>do</w:t>
      </w:r>
      <w:r>
        <w:rPr>
          <w:rFonts w:ascii="Calibri" w:eastAsia="Calibri" w:hAnsi="Calibri" w:cs="Times New Roman"/>
          <w:color w:val="262626"/>
        </w:rPr>
        <w:t>es</w:t>
      </w:r>
      <w:r w:rsidRPr="00236A01">
        <w:rPr>
          <w:rFonts w:ascii="Calibri" w:eastAsia="Calibri" w:hAnsi="Calibri" w:cs="Times New Roman"/>
          <w:color w:val="262626"/>
        </w:rPr>
        <w:t xml:space="preserve"> not offe</w:t>
      </w:r>
      <w:r>
        <w:rPr>
          <w:rFonts w:ascii="Calibri" w:eastAsia="Calibri" w:hAnsi="Calibri" w:cs="Times New Roman"/>
          <w:color w:val="262626"/>
        </w:rPr>
        <w:t>r the level of net benefits as Option 2</w:t>
      </w:r>
      <w:r w:rsidRPr="00236A01">
        <w:rPr>
          <w:rFonts w:ascii="Calibri" w:eastAsia="Calibri" w:hAnsi="Calibri" w:cs="Times New Roman"/>
          <w:color w:val="262626"/>
        </w:rPr>
        <w:t xml:space="preserve"> does</w:t>
      </w:r>
      <w:r>
        <w:rPr>
          <w:rFonts w:ascii="Calibri" w:eastAsia="Calibri" w:hAnsi="Calibri" w:cs="Times New Roman"/>
          <w:color w:val="262626"/>
        </w:rPr>
        <w:t xml:space="preserve">, such as </w:t>
      </w:r>
      <w:r w:rsidRPr="00FC1FDF">
        <w:rPr>
          <w:rFonts w:ascii="Calibri" w:eastAsia="Calibri" w:hAnsi="Calibri" w:cs="Calibri"/>
          <w:color w:val="262626"/>
          <w:spacing w:val="4"/>
          <w:lang w:eastAsia="en-AU"/>
        </w:rPr>
        <w:t>reducing stigma</w:t>
      </w:r>
      <w:r>
        <w:rPr>
          <w:rFonts w:ascii="Calibri" w:eastAsia="Calibri" w:hAnsi="Calibri" w:cs="Calibri"/>
          <w:color w:val="262626"/>
          <w:spacing w:val="4"/>
          <w:lang w:eastAsia="en-AU"/>
        </w:rPr>
        <w:t xml:space="preserve"> </w:t>
      </w:r>
      <w:r w:rsidRPr="00FC1FDF">
        <w:t>and</w:t>
      </w:r>
      <w:r>
        <w:t xml:space="preserve"> </w:t>
      </w:r>
      <w:r w:rsidR="00ED6191">
        <w:t>allowing people to be able to choose to purchase what they want and where they want it. It would continue the current practice of putting on the program who do</w:t>
      </w:r>
      <w:r w:rsidR="00456F59">
        <w:t xml:space="preserve"> have drug or alcohol problems.</w:t>
      </w:r>
    </w:p>
    <w:p w14:paraId="009609F7" w14:textId="77777777" w:rsidR="003A28B2" w:rsidRPr="005E15FF" w:rsidRDefault="003A28B2" w:rsidP="003A28B2">
      <w:r>
        <w:t>Further,</w:t>
      </w:r>
      <w:r w:rsidRPr="00FC1FDF">
        <w:t xml:space="preserve"> </w:t>
      </w:r>
      <w:r>
        <w:t>b</w:t>
      </w:r>
      <w:r w:rsidRPr="00684497">
        <w:t xml:space="preserve">y removing the two programs </w:t>
      </w:r>
      <w:r>
        <w:t xml:space="preserve">the preferred option has a regulatory save </w:t>
      </w:r>
      <w:r w:rsidRPr="008508F9">
        <w:rPr>
          <w:color w:val="auto"/>
        </w:rPr>
        <w:t>of $</w:t>
      </w:r>
      <w:r w:rsidR="0008460A">
        <w:rPr>
          <w:color w:val="auto"/>
        </w:rPr>
        <w:t>21.5</w:t>
      </w:r>
      <w:r w:rsidR="00507C43" w:rsidRPr="008508F9">
        <w:rPr>
          <w:color w:val="auto"/>
        </w:rPr>
        <w:t>m</w:t>
      </w:r>
      <w:r w:rsidRPr="008508F9">
        <w:rPr>
          <w:color w:val="auto"/>
        </w:rPr>
        <w:t xml:space="preserve"> over the 10 years </w:t>
      </w:r>
      <w:r>
        <w:t>for the Government</w:t>
      </w:r>
      <w:r w:rsidRPr="00684497">
        <w:t xml:space="preserve">. </w:t>
      </w:r>
      <w:r>
        <w:t xml:space="preserve">In comparison, </w:t>
      </w:r>
      <w:r w:rsidRPr="00236A01">
        <w:rPr>
          <w:rFonts w:ascii="Calibri" w:eastAsia="Calibri" w:hAnsi="Calibri" w:cs="Times New Roman"/>
          <w:color w:val="262626"/>
        </w:rPr>
        <w:t>maintaining</w:t>
      </w:r>
      <w:r w:rsidDel="00684497">
        <w:t xml:space="preserve"> </w:t>
      </w:r>
      <w:r>
        <w:rPr>
          <w:rFonts w:ascii="Calibri" w:eastAsia="Calibri" w:hAnsi="Calibri" w:cs="Times New Roman"/>
          <w:color w:val="262626"/>
        </w:rPr>
        <w:t>both IM</w:t>
      </w:r>
      <w:r w:rsidRPr="00236A01">
        <w:rPr>
          <w:rFonts w:ascii="Calibri" w:eastAsia="Calibri" w:hAnsi="Calibri" w:cs="Times New Roman"/>
          <w:color w:val="262626"/>
        </w:rPr>
        <w:t xml:space="preserve"> and the CDC </w:t>
      </w:r>
      <w:r>
        <w:rPr>
          <w:rFonts w:ascii="Calibri" w:eastAsia="Calibri" w:hAnsi="Calibri" w:cs="Times New Roman"/>
          <w:color w:val="262626"/>
        </w:rPr>
        <w:t xml:space="preserve">programs </w:t>
      </w:r>
      <w:r w:rsidRPr="00236A01">
        <w:rPr>
          <w:rFonts w:ascii="Calibri" w:eastAsia="Calibri" w:hAnsi="Calibri" w:cs="Times New Roman"/>
          <w:color w:val="262626"/>
        </w:rPr>
        <w:t>operat</w:t>
      </w:r>
      <w:r>
        <w:rPr>
          <w:rFonts w:ascii="Calibri" w:eastAsia="Calibri" w:hAnsi="Calibri" w:cs="Times New Roman"/>
          <w:color w:val="262626"/>
        </w:rPr>
        <w:t>ing</w:t>
      </w:r>
      <w:r w:rsidRPr="00236A01">
        <w:rPr>
          <w:rFonts w:ascii="Calibri" w:eastAsia="Calibri" w:hAnsi="Calibri" w:cs="Times New Roman"/>
          <w:color w:val="262626"/>
        </w:rPr>
        <w:t xml:space="preserve"> unchanged, existing costs across participants, merchants and </w:t>
      </w:r>
      <w:r>
        <w:rPr>
          <w:rFonts w:ascii="Calibri" w:eastAsia="Calibri" w:hAnsi="Calibri" w:cs="Times New Roman"/>
          <w:color w:val="262626"/>
        </w:rPr>
        <w:t>G</w:t>
      </w:r>
      <w:r w:rsidRPr="00236A01">
        <w:rPr>
          <w:rFonts w:ascii="Calibri" w:eastAsia="Calibri" w:hAnsi="Calibri" w:cs="Times New Roman"/>
          <w:color w:val="262626"/>
        </w:rPr>
        <w:t>overnment</w:t>
      </w:r>
      <w:r w:rsidR="00F533F6">
        <w:rPr>
          <w:rFonts w:ascii="Calibri" w:eastAsia="Calibri" w:hAnsi="Calibri" w:cs="Times New Roman"/>
          <w:color w:val="262626"/>
        </w:rPr>
        <w:t>, will stay as is.</w:t>
      </w:r>
    </w:p>
    <w:p w14:paraId="1708EDAC" w14:textId="77777777" w:rsidR="003A28B2" w:rsidRDefault="003A28B2" w:rsidP="003A28B2">
      <w:pPr>
        <w:rPr>
          <w:rFonts w:ascii="Calibri" w:eastAsia="Calibri" w:hAnsi="Calibri" w:cs="Times New Roman"/>
          <w:color w:val="262626"/>
        </w:rPr>
      </w:pPr>
      <w:r w:rsidRPr="005C7470">
        <w:rPr>
          <w:rFonts w:ascii="Calibri" w:eastAsia="Calibri" w:hAnsi="Calibri" w:cs="Times New Roman"/>
          <w:color w:val="262626"/>
        </w:rPr>
        <w:t>Under</w:t>
      </w:r>
      <w:r>
        <w:rPr>
          <w:rFonts w:ascii="Calibri" w:eastAsia="Calibri" w:hAnsi="Calibri" w:cs="Times New Roman"/>
          <w:color w:val="262626"/>
        </w:rPr>
        <w:t xml:space="preserve"> Option 2, t</w:t>
      </w:r>
      <w:r w:rsidRPr="005C7470">
        <w:rPr>
          <w:rFonts w:ascii="Calibri" w:eastAsia="Calibri" w:hAnsi="Calibri" w:cs="Times New Roman"/>
          <w:color w:val="262626"/>
        </w:rPr>
        <w:t>he</w:t>
      </w:r>
      <w:r>
        <w:rPr>
          <w:rFonts w:ascii="Calibri" w:eastAsia="Calibri" w:hAnsi="Calibri" w:cs="Times New Roman"/>
          <w:color w:val="262626"/>
        </w:rPr>
        <w:t>re will be transitional arrangements for participants who wish to volunteer to IM</w:t>
      </w:r>
      <w:r w:rsidRPr="005C7470">
        <w:rPr>
          <w:rFonts w:ascii="Calibri" w:eastAsia="Calibri" w:hAnsi="Calibri" w:cs="Times New Roman"/>
          <w:color w:val="262626"/>
        </w:rPr>
        <w:t>.</w:t>
      </w:r>
      <w:r>
        <w:rPr>
          <w:rFonts w:ascii="Calibri" w:eastAsia="Calibri" w:hAnsi="Calibri" w:cs="Times New Roman"/>
          <w:color w:val="262626"/>
        </w:rPr>
        <w:t xml:space="preserve"> </w:t>
      </w:r>
      <w:r w:rsidRPr="003A0C94">
        <w:rPr>
          <w:rFonts w:ascii="Calibri" w:eastAsia="Calibri" w:hAnsi="Calibri" w:cs="Times New Roman"/>
          <w:color w:val="262626"/>
        </w:rPr>
        <w:t xml:space="preserve">The focus will also be on a </w:t>
      </w:r>
      <w:r>
        <w:rPr>
          <w:rFonts w:ascii="Calibri" w:eastAsia="Calibri" w:hAnsi="Calibri" w:cs="Times New Roman"/>
          <w:color w:val="262626"/>
        </w:rPr>
        <w:t xml:space="preserve">process that </w:t>
      </w:r>
      <w:r w:rsidRPr="003A0C94">
        <w:rPr>
          <w:rFonts w:ascii="Calibri" w:eastAsia="Calibri" w:hAnsi="Calibri" w:cs="Times New Roman"/>
          <w:color w:val="262626"/>
        </w:rPr>
        <w:t>ensure</w:t>
      </w:r>
      <w:r>
        <w:rPr>
          <w:rFonts w:ascii="Calibri" w:eastAsia="Calibri" w:hAnsi="Calibri" w:cs="Times New Roman"/>
          <w:color w:val="262626"/>
        </w:rPr>
        <w:t xml:space="preserve">s </w:t>
      </w:r>
      <w:r w:rsidRPr="003A0C94">
        <w:rPr>
          <w:rFonts w:ascii="Calibri" w:eastAsia="Calibri" w:hAnsi="Calibri" w:cs="Times New Roman"/>
          <w:color w:val="262626"/>
        </w:rPr>
        <w:t>participants are supported and any individuals who have significant vulnerabilities are identified and given appropriate levels of support when.</w:t>
      </w:r>
      <w:r>
        <w:rPr>
          <w:rFonts w:ascii="Calibri" w:eastAsia="Calibri" w:hAnsi="Calibri" w:cs="Times New Roman"/>
          <w:color w:val="262626"/>
        </w:rPr>
        <w:t xml:space="preserve"> This option provides greater autonomy for participants, less regulatory compliance for merchants and enable Government to offer more ‘fit for purpose’ initiatives for their communities.</w:t>
      </w:r>
    </w:p>
    <w:p w14:paraId="4C92A804" w14:textId="7B249D13" w:rsidR="00483CEB" w:rsidRDefault="00483CEB">
      <w:pPr>
        <w:rPr>
          <w:rFonts w:ascii="Calibri" w:eastAsia="Times New Roman" w:hAnsi="Calibri" w:cs="Times New Roman"/>
          <w:color w:val="auto"/>
          <w:szCs w:val="24"/>
          <w:lang w:eastAsia="en-AU"/>
        </w:rPr>
      </w:pPr>
      <w:bookmarkStart w:id="160" w:name="_Toc108008522"/>
      <w:r>
        <w:br w:type="page"/>
      </w:r>
    </w:p>
    <w:p w14:paraId="3E9A4189" w14:textId="3792BC92" w:rsidR="00E016F7" w:rsidRDefault="00FB7CC3" w:rsidP="00086DA1">
      <w:pPr>
        <w:pStyle w:val="Heading2"/>
      </w:pPr>
      <w:bookmarkStart w:id="161" w:name="_Toc118103783"/>
      <w:r>
        <w:t xml:space="preserve">6.1 </w:t>
      </w:r>
      <w:r w:rsidR="00E016F7">
        <w:t xml:space="preserve">Option </w:t>
      </w:r>
      <w:r w:rsidR="00E5547A">
        <w:t>2</w:t>
      </w:r>
      <w:bookmarkEnd w:id="160"/>
      <w:bookmarkEnd w:id="161"/>
    </w:p>
    <w:p w14:paraId="3ED0F64B" w14:textId="77777777" w:rsidR="00D40085" w:rsidRPr="00D40085" w:rsidRDefault="00D40085" w:rsidP="00D40085">
      <w:pPr>
        <w:rPr>
          <w:rFonts w:ascii="Calibri" w:eastAsia="Calibri" w:hAnsi="Calibri" w:cs="Times New Roman"/>
          <w:color w:val="262626"/>
        </w:rPr>
      </w:pPr>
      <w:r>
        <w:rPr>
          <w:rFonts w:ascii="Calibri" w:eastAsia="Calibri" w:hAnsi="Calibri" w:cs="Times New Roman"/>
          <w:color w:val="262626"/>
        </w:rPr>
        <w:t xml:space="preserve">Option </w:t>
      </w:r>
      <w:r w:rsidR="00E5547A">
        <w:rPr>
          <w:rFonts w:ascii="Calibri" w:eastAsia="Calibri" w:hAnsi="Calibri" w:cs="Times New Roman"/>
          <w:color w:val="262626"/>
        </w:rPr>
        <w:t>2</w:t>
      </w:r>
      <w:r>
        <w:rPr>
          <w:rFonts w:ascii="Calibri" w:eastAsia="Calibri" w:hAnsi="Calibri" w:cs="Times New Roman"/>
          <w:color w:val="262626"/>
        </w:rPr>
        <w:t xml:space="preserve"> delivers on the objectives of the change to the CDC</w:t>
      </w:r>
      <w:r w:rsidR="00212B31">
        <w:rPr>
          <w:rFonts w:ascii="Calibri" w:eastAsia="Calibri" w:hAnsi="Calibri" w:cs="Times New Roman"/>
          <w:color w:val="262626"/>
        </w:rPr>
        <w:t xml:space="preserve"> </w:t>
      </w:r>
      <w:r w:rsidR="004B78DC">
        <w:rPr>
          <w:rFonts w:ascii="Calibri" w:eastAsia="Calibri" w:hAnsi="Calibri" w:cs="Times New Roman"/>
          <w:color w:val="262626"/>
        </w:rPr>
        <w:t xml:space="preserve">and IM </w:t>
      </w:r>
      <w:r w:rsidR="00212B31">
        <w:rPr>
          <w:rFonts w:ascii="Calibri" w:eastAsia="Calibri" w:hAnsi="Calibri" w:cs="Times New Roman"/>
          <w:color w:val="262626"/>
        </w:rPr>
        <w:t>program</w:t>
      </w:r>
      <w:r w:rsidR="004B78DC">
        <w:rPr>
          <w:rFonts w:ascii="Calibri" w:eastAsia="Calibri" w:hAnsi="Calibri" w:cs="Times New Roman"/>
          <w:color w:val="262626"/>
        </w:rPr>
        <w:t>s</w:t>
      </w:r>
      <w:r>
        <w:rPr>
          <w:rFonts w:ascii="Calibri" w:eastAsia="Calibri" w:hAnsi="Calibri" w:cs="Times New Roman"/>
          <w:color w:val="262626"/>
        </w:rPr>
        <w:t xml:space="preserve"> by:</w:t>
      </w:r>
    </w:p>
    <w:p w14:paraId="718566B2" w14:textId="77777777" w:rsidR="00E016F7" w:rsidRDefault="00E016F7" w:rsidP="008B51E7">
      <w:pPr>
        <w:pStyle w:val="BulletedListlvl1"/>
      </w:pPr>
      <w:r w:rsidRPr="003C177D">
        <w:t>complement</w:t>
      </w:r>
      <w:r w:rsidR="00A01939">
        <w:t>ing</w:t>
      </w:r>
      <w:r w:rsidRPr="003C177D">
        <w:t xml:space="preserve"> the Government’s strat</w:t>
      </w:r>
      <w:r>
        <w:t>egic priority to move towards re</w:t>
      </w:r>
      <w:r w:rsidR="00DB71F5">
        <w:t>moving restrictions on purchases using welfare</w:t>
      </w:r>
      <w:r>
        <w:t xml:space="preserve"> </w:t>
      </w:r>
      <w:r w:rsidR="00A2579E">
        <w:t xml:space="preserve">payments </w:t>
      </w:r>
      <w:r>
        <w:t xml:space="preserve">in </w:t>
      </w:r>
      <w:r w:rsidR="00A2579E">
        <w:t xml:space="preserve">both program </w:t>
      </w:r>
      <w:r>
        <w:t>locations</w:t>
      </w:r>
      <w:r w:rsidRPr="003C177D">
        <w:t>,</w:t>
      </w:r>
      <w:r>
        <w:t xml:space="preserve"> </w:t>
      </w:r>
      <w:r w:rsidR="00A2579E">
        <w:t xml:space="preserve">increasing financial autonomy and reducing some social exclusion experienced by participants, </w:t>
      </w:r>
      <w:r>
        <w:t>and</w:t>
      </w:r>
      <w:r w:rsidRPr="003C177D">
        <w:t xml:space="preserve"> provid</w:t>
      </w:r>
      <w:r>
        <w:t>es</w:t>
      </w:r>
      <w:r w:rsidRPr="003C177D">
        <w:t xml:space="preserve"> the steps to achieve this</w:t>
      </w:r>
    </w:p>
    <w:p w14:paraId="25C1B77F" w14:textId="77777777" w:rsidR="006125DD" w:rsidRDefault="006125DD" w:rsidP="006125DD">
      <w:pPr>
        <w:pStyle w:val="BulletedListlvl1"/>
      </w:pPr>
      <w:r>
        <w:t>removes the stigma people</w:t>
      </w:r>
      <w:r w:rsidR="00DA7B0C">
        <w:t xml:space="preserve"> experience </w:t>
      </w:r>
      <w:r>
        <w:t>by being a participant on the program</w:t>
      </w:r>
    </w:p>
    <w:p w14:paraId="13A94E4B" w14:textId="77777777" w:rsidR="00E016F7" w:rsidRDefault="00E016F7" w:rsidP="008B51E7">
      <w:pPr>
        <w:pStyle w:val="BulletedListlvl1"/>
      </w:pPr>
      <w:r w:rsidRPr="003C177D">
        <w:t>provides support for</w:t>
      </w:r>
      <w:r>
        <w:t xml:space="preserve"> participants transitioning off </w:t>
      </w:r>
      <w:r w:rsidR="00FD130F">
        <w:t xml:space="preserve">the </w:t>
      </w:r>
      <w:r w:rsidR="00212B31">
        <w:t>CDC program</w:t>
      </w:r>
      <w:r>
        <w:t xml:space="preserve"> </w:t>
      </w:r>
    </w:p>
    <w:p w14:paraId="612D4DD7" w14:textId="77777777" w:rsidR="00FB470C" w:rsidRDefault="00213F13" w:rsidP="00A01939">
      <w:pPr>
        <w:pStyle w:val="BulletedListlvl1"/>
        <w:ind w:left="568" w:hanging="284"/>
      </w:pPr>
      <w:r>
        <w:t xml:space="preserve">provides participants the ability to </w:t>
      </w:r>
      <w:r w:rsidR="00DB71F5">
        <w:t xml:space="preserve">volunteer for </w:t>
      </w:r>
      <w:r>
        <w:t>IM</w:t>
      </w:r>
      <w:r w:rsidR="0041611C">
        <w:t xml:space="preserve"> giving more autonomy</w:t>
      </w:r>
      <w:r w:rsidR="00212B31">
        <w:t xml:space="preserve"> </w:t>
      </w:r>
      <w:r w:rsidR="006125DD">
        <w:t>for the choices they make</w:t>
      </w:r>
    </w:p>
    <w:p w14:paraId="22100C98" w14:textId="1AEDFA65" w:rsidR="00212B31" w:rsidRDefault="00FB470C" w:rsidP="00A01939">
      <w:pPr>
        <w:pStyle w:val="BulletedListlvl1"/>
        <w:ind w:left="568" w:hanging="284"/>
      </w:pPr>
      <w:r>
        <w:t>updates the technology of the card so that people who volunteer get a modern banking experience</w:t>
      </w:r>
      <w:r w:rsidR="00B730C3">
        <w:t>;</w:t>
      </w:r>
      <w:r>
        <w:t xml:space="preserve"> </w:t>
      </w:r>
      <w:r w:rsidR="00212B31">
        <w:t>and</w:t>
      </w:r>
    </w:p>
    <w:p w14:paraId="5CBFF4BD" w14:textId="598B8EDE" w:rsidR="00D40085" w:rsidRDefault="00D40085" w:rsidP="00E972BF">
      <w:pPr>
        <w:pStyle w:val="BulletedListlvl1"/>
        <w:ind w:left="568" w:hanging="284"/>
      </w:pPr>
      <w:r>
        <w:t>provides</w:t>
      </w:r>
      <w:r w:rsidR="00456F59">
        <w:t xml:space="preserve"> value for money to Government.</w:t>
      </w:r>
    </w:p>
    <w:p w14:paraId="4B1CE87A" w14:textId="77777777" w:rsidR="00E6567D" w:rsidRPr="00F90356" w:rsidRDefault="00E6567D" w:rsidP="00E6567D">
      <w:pPr>
        <w:pStyle w:val="Title"/>
        <w:rPr>
          <w:szCs w:val="52"/>
        </w:rPr>
      </w:pPr>
      <w:bookmarkStart w:id="162" w:name="_Toc108008523"/>
      <w:bookmarkStart w:id="163" w:name="_Toc118103784"/>
      <w:r w:rsidRPr="00F90356">
        <w:rPr>
          <w:szCs w:val="52"/>
        </w:rPr>
        <w:t xml:space="preserve">7. </w:t>
      </w:r>
      <w:r w:rsidR="00E01B77" w:rsidRPr="00F90356">
        <w:rPr>
          <w:szCs w:val="52"/>
        </w:rPr>
        <w:t>How will you implement and evaluate your chosen option?</w:t>
      </w:r>
      <w:bookmarkEnd w:id="162"/>
      <w:bookmarkEnd w:id="163"/>
    </w:p>
    <w:p w14:paraId="2F0F66CA" w14:textId="77777777" w:rsidR="000935EF" w:rsidRPr="00753309" w:rsidRDefault="00FB7CC3" w:rsidP="00086DA1">
      <w:pPr>
        <w:pStyle w:val="Heading2"/>
      </w:pPr>
      <w:bookmarkStart w:id="164" w:name="_Toc99449507"/>
      <w:bookmarkStart w:id="165" w:name="_Toc108008524"/>
      <w:bookmarkStart w:id="166" w:name="_Toc118103785"/>
      <w:r>
        <w:t xml:space="preserve">7.1 </w:t>
      </w:r>
      <w:r w:rsidR="000935EF" w:rsidRPr="00753309">
        <w:t>Implementation of Option 2 (preferred option)</w:t>
      </w:r>
      <w:bookmarkEnd w:id="164"/>
      <w:bookmarkEnd w:id="165"/>
      <w:bookmarkEnd w:id="166"/>
    </w:p>
    <w:p w14:paraId="7CE71E62" w14:textId="77777777" w:rsidR="009F1DC6" w:rsidRDefault="00AC4A1B" w:rsidP="00086DA1">
      <w:pPr>
        <w:pStyle w:val="Heading3"/>
        <w:rPr>
          <w:rFonts w:eastAsia="Calibri"/>
        </w:rPr>
      </w:pPr>
      <w:bookmarkStart w:id="167" w:name="_Toc118103786"/>
      <w:r>
        <w:rPr>
          <w:rFonts w:eastAsia="Calibri"/>
        </w:rPr>
        <w:t xml:space="preserve">7.1.1 </w:t>
      </w:r>
      <w:r w:rsidR="009F1DC6">
        <w:rPr>
          <w:rFonts w:eastAsia="Calibri"/>
        </w:rPr>
        <w:t>Implementation plan</w:t>
      </w:r>
      <w:bookmarkEnd w:id="167"/>
    </w:p>
    <w:p w14:paraId="49858EFC" w14:textId="77777777" w:rsidR="009F1DC6" w:rsidRPr="00F65177" w:rsidRDefault="00AC4A1B" w:rsidP="00086DA1">
      <w:pPr>
        <w:pStyle w:val="Heading4"/>
      </w:pPr>
      <w:r>
        <w:t xml:space="preserve">7.1.1.1 </w:t>
      </w:r>
      <w:r w:rsidR="009F1DC6">
        <w:t>Timing</w:t>
      </w:r>
    </w:p>
    <w:p w14:paraId="23CB3D47" w14:textId="77777777" w:rsidR="009F1DC6" w:rsidRDefault="009F1DC6" w:rsidP="009F1DC6">
      <w:pPr>
        <w:rPr>
          <w:rFonts w:ascii="Calibri" w:eastAsia="Calibri" w:hAnsi="Calibri" w:cs="Times New Roman"/>
          <w:color w:val="262626"/>
        </w:rPr>
      </w:pPr>
      <w:r>
        <w:rPr>
          <w:rFonts w:ascii="Calibri" w:eastAsia="Calibri" w:hAnsi="Calibri" w:cs="Times New Roman"/>
          <w:color w:val="262626"/>
        </w:rPr>
        <w:t>There are several key dates important to the implementation of th</w:t>
      </w:r>
      <w:r w:rsidR="00FA117C">
        <w:rPr>
          <w:rFonts w:ascii="Calibri" w:eastAsia="Calibri" w:hAnsi="Calibri" w:cs="Times New Roman"/>
          <w:color w:val="262626"/>
        </w:rPr>
        <w:t>is</w:t>
      </w:r>
      <w:r>
        <w:rPr>
          <w:rFonts w:ascii="Calibri" w:eastAsia="Calibri" w:hAnsi="Calibri" w:cs="Times New Roman"/>
          <w:color w:val="262626"/>
        </w:rPr>
        <w:t xml:space="preserve"> </w:t>
      </w:r>
      <w:r w:rsidR="00FA117C">
        <w:rPr>
          <w:rFonts w:ascii="Calibri" w:eastAsia="Calibri" w:hAnsi="Calibri" w:cs="Times New Roman"/>
          <w:color w:val="262626"/>
        </w:rPr>
        <w:t>option</w:t>
      </w:r>
      <w:r w:rsidR="00D0330F">
        <w:rPr>
          <w:rFonts w:ascii="Calibri" w:eastAsia="Calibri" w:hAnsi="Calibri" w:cs="Times New Roman"/>
          <w:color w:val="262626"/>
        </w:rPr>
        <w:t>:</w:t>
      </w:r>
    </w:p>
    <w:p w14:paraId="46FA9D91" w14:textId="77777777" w:rsidR="00A1129F" w:rsidRPr="00FE2F37" w:rsidRDefault="00A1129F" w:rsidP="0088329D">
      <w:pPr>
        <w:pStyle w:val="BulletedListlvl1"/>
      </w:pPr>
      <w:r>
        <w:t xml:space="preserve">From 1 August 2022, </w:t>
      </w:r>
      <w:r w:rsidRPr="00FE2F37">
        <w:t>no new participants will be placed onto the CDC program</w:t>
      </w:r>
      <w:r w:rsidR="00FA117C">
        <w:t xml:space="preserve"> (with the exception of Cape York</w:t>
      </w:r>
      <w:r w:rsidR="00D0330F">
        <w:t>.</w:t>
      </w:r>
    </w:p>
    <w:p w14:paraId="177B962D" w14:textId="27515E79" w:rsidR="00A1129F" w:rsidRDefault="00A1129F" w:rsidP="0088329D">
      <w:pPr>
        <w:pStyle w:val="BulletedListlvl1"/>
      </w:pPr>
      <w:r w:rsidRPr="00FE2F37">
        <w:t>From the day after the</w:t>
      </w:r>
      <w:r>
        <w:t xml:space="preserve"> legislation receives Royal Assent to 31 December 2022. Services Australia will exit </w:t>
      </w:r>
      <w:r w:rsidR="00FA117C">
        <w:t xml:space="preserve">participants </w:t>
      </w:r>
      <w:r>
        <w:t>progressively, including m</w:t>
      </w:r>
      <w:r w:rsidR="00D0330F">
        <w:t>oving them to IM if applicable.</w:t>
      </w:r>
    </w:p>
    <w:p w14:paraId="7B3CEF4C" w14:textId="77777777" w:rsidR="00A1129F" w:rsidRDefault="00A1129F" w:rsidP="0088329D">
      <w:pPr>
        <w:pStyle w:val="BulletedListlvl1"/>
      </w:pPr>
      <w:r w:rsidRPr="00BB2581">
        <w:t>Communication to affected individuals will be provided before, during and after their transition off the CDC program.</w:t>
      </w:r>
    </w:p>
    <w:p w14:paraId="6BB5243A" w14:textId="77777777" w:rsidR="00A1129F" w:rsidRPr="00BB2581" w:rsidRDefault="00A1129F" w:rsidP="0088329D">
      <w:pPr>
        <w:pStyle w:val="BulletedListlvl1"/>
      </w:pPr>
      <w:r>
        <w:t>Consultation with communities will continue throughout the 2022-23 financial year.</w:t>
      </w:r>
    </w:p>
    <w:p w14:paraId="46EE1113" w14:textId="0568F664" w:rsidR="007140E7" w:rsidRDefault="00A1129F" w:rsidP="0088329D">
      <w:pPr>
        <w:pStyle w:val="BulletedListlvl1"/>
      </w:pPr>
      <w:r>
        <w:t>New IM arrangements will be put in place, based on community views</w:t>
      </w:r>
      <w:r w:rsidR="00FA117C">
        <w:t>: and</w:t>
      </w:r>
    </w:p>
    <w:p w14:paraId="5190713F" w14:textId="3F1B1EA6" w:rsidR="00A1129F" w:rsidRPr="00BB2581" w:rsidRDefault="00A1129F" w:rsidP="0088329D">
      <w:pPr>
        <w:pStyle w:val="BulletedListlvl1"/>
      </w:pPr>
      <w:r w:rsidRPr="00BB2581">
        <w:t xml:space="preserve">The CDC </w:t>
      </w:r>
      <w:r w:rsidR="00B74237">
        <w:t xml:space="preserve">program </w:t>
      </w:r>
      <w:r w:rsidR="00FA117C">
        <w:t>abolishment</w:t>
      </w:r>
      <w:r w:rsidR="00FA117C" w:rsidRPr="00BB2581">
        <w:t xml:space="preserve"> </w:t>
      </w:r>
      <w:r w:rsidRPr="00BB2581">
        <w:t>is expected to be substantially completed by 31 December 2022</w:t>
      </w:r>
      <w:r w:rsidR="00E37752">
        <w:t>.</w:t>
      </w:r>
    </w:p>
    <w:p w14:paraId="2D556524" w14:textId="77777777" w:rsidR="009F1DC6" w:rsidRDefault="00AC4A1B" w:rsidP="00086DA1">
      <w:pPr>
        <w:pStyle w:val="Heading4"/>
      </w:pPr>
      <w:r>
        <w:t xml:space="preserve">7.1.1.2 </w:t>
      </w:r>
      <w:r w:rsidR="009F1DC6">
        <w:t>Roles of delivery partners and engagement with stakeholders</w:t>
      </w:r>
    </w:p>
    <w:p w14:paraId="4015D518" w14:textId="77777777" w:rsidR="009F1DC6" w:rsidRDefault="009F1DC6" w:rsidP="009F1DC6">
      <w:pPr>
        <w:rPr>
          <w:rFonts w:ascii="Calibri" w:eastAsia="Calibri" w:hAnsi="Calibri" w:cs="Times New Roman"/>
          <w:color w:val="262626"/>
        </w:rPr>
      </w:pPr>
      <w:r>
        <w:rPr>
          <w:rFonts w:ascii="Calibri" w:eastAsia="Calibri" w:hAnsi="Calibri" w:cs="Times New Roman"/>
          <w:color w:val="262626"/>
        </w:rPr>
        <w:t>Clearly defined roles and responsibilities are critical to successfully implement a new policy, ensuring it can achieve its intended outcomes. The Department will work closely with our implementation partner, Services Australia, as well as communities and state, territory and local governments to manage the transition of program participants.</w:t>
      </w:r>
    </w:p>
    <w:p w14:paraId="209CCA58" w14:textId="77777777" w:rsidR="009F1DC6" w:rsidRDefault="00F15809" w:rsidP="000A025F">
      <w:pPr>
        <w:pStyle w:val="ListParagraph"/>
        <w:numPr>
          <w:ilvl w:val="0"/>
          <w:numId w:val="39"/>
        </w:numPr>
        <w:ind w:left="714" w:hanging="357"/>
        <w:contextualSpacing w:val="0"/>
        <w:rPr>
          <w:rFonts w:ascii="Calibri" w:eastAsia="Calibri" w:hAnsi="Calibri" w:cs="Times New Roman"/>
          <w:color w:val="262626"/>
        </w:rPr>
      </w:pPr>
      <w:r>
        <w:rPr>
          <w:rFonts w:ascii="Calibri" w:eastAsia="Calibri" w:hAnsi="Calibri" w:cs="Times New Roman"/>
          <w:b/>
          <w:color w:val="262626"/>
        </w:rPr>
        <w:t xml:space="preserve">The </w:t>
      </w:r>
      <w:r w:rsidR="009F1DC6">
        <w:rPr>
          <w:rFonts w:ascii="Calibri" w:eastAsia="Calibri" w:hAnsi="Calibri" w:cs="Times New Roman"/>
          <w:b/>
          <w:color w:val="262626"/>
        </w:rPr>
        <w:t xml:space="preserve">Department of Social Services </w:t>
      </w:r>
      <w:r w:rsidR="009F1DC6">
        <w:rPr>
          <w:rFonts w:ascii="Calibri" w:eastAsia="Calibri" w:hAnsi="Calibri" w:cs="Times New Roman"/>
          <w:color w:val="262626"/>
        </w:rPr>
        <w:t>is the policy lead and will play a leadership and coordination role. In addition, the Department will be responsible for program design and enabling legislative changes, communications materials, running Ministerial engagement and community forums, and establishing a grants program for the delivery of the support services. The Department will also be responsible for managing the evaluation of the new program.</w:t>
      </w:r>
    </w:p>
    <w:p w14:paraId="3A0B5687" w14:textId="77777777" w:rsidR="009F1DC6" w:rsidRPr="003661F5" w:rsidRDefault="009F1DC6" w:rsidP="000A025F">
      <w:pPr>
        <w:pStyle w:val="ListParagraph"/>
        <w:numPr>
          <w:ilvl w:val="0"/>
          <w:numId w:val="39"/>
        </w:numPr>
        <w:ind w:left="714" w:hanging="357"/>
        <w:contextualSpacing w:val="0"/>
        <w:rPr>
          <w:rFonts w:ascii="Calibri" w:eastAsia="Calibri" w:hAnsi="Calibri" w:cs="Times New Roman"/>
          <w:color w:val="262626"/>
        </w:rPr>
      </w:pPr>
      <w:r>
        <w:rPr>
          <w:rFonts w:ascii="Calibri" w:eastAsia="Calibri" w:hAnsi="Calibri" w:cs="Times New Roman"/>
          <w:b/>
          <w:color w:val="262626"/>
        </w:rPr>
        <w:t xml:space="preserve">Services Australia </w:t>
      </w:r>
      <w:r>
        <w:rPr>
          <w:rFonts w:ascii="Calibri" w:eastAsia="Calibri" w:hAnsi="Calibri" w:cs="Times New Roman"/>
          <w:color w:val="262626"/>
        </w:rPr>
        <w:t>will be responsible for engaging directly with the participants throughout the transition, including sending communications materials, running the one on one transition sessions, and making referrals to other services. Services Australia will also be responsible for running the ‘exit survey’ to collect data to sup</w:t>
      </w:r>
      <w:r w:rsidR="0088329D">
        <w:rPr>
          <w:rFonts w:ascii="Calibri" w:eastAsia="Calibri" w:hAnsi="Calibri" w:cs="Times New Roman"/>
          <w:color w:val="262626"/>
        </w:rPr>
        <w:t>port monitoring and evaluation.</w:t>
      </w:r>
    </w:p>
    <w:p w14:paraId="60035A99" w14:textId="77777777" w:rsidR="00F533F6" w:rsidRDefault="009F1DC6" w:rsidP="00F533F6">
      <w:pPr>
        <w:rPr>
          <w:rFonts w:ascii="Calibri" w:eastAsia="Calibri" w:hAnsi="Calibri" w:cs="Times New Roman"/>
          <w:color w:val="262626"/>
        </w:rPr>
      </w:pPr>
      <w:r>
        <w:rPr>
          <w:rFonts w:ascii="Calibri" w:eastAsia="Calibri" w:hAnsi="Calibri" w:cs="Times New Roman"/>
          <w:color w:val="262626"/>
        </w:rPr>
        <w:t xml:space="preserve">Key stakeholders impacted by this plan include participants, community organisations and businesses in </w:t>
      </w:r>
      <w:r w:rsidR="00FA117C">
        <w:rPr>
          <w:rFonts w:ascii="Calibri" w:eastAsia="Calibri" w:hAnsi="Calibri" w:cs="Times New Roman"/>
          <w:color w:val="262626"/>
        </w:rPr>
        <w:t xml:space="preserve">the </w:t>
      </w:r>
      <w:r>
        <w:rPr>
          <w:rFonts w:ascii="Calibri" w:eastAsia="Calibri" w:hAnsi="Calibri" w:cs="Times New Roman"/>
          <w:color w:val="262626"/>
        </w:rPr>
        <w:t>CDC and IM locations</w:t>
      </w:r>
      <w:r w:rsidR="00F533F6">
        <w:rPr>
          <w:rFonts w:ascii="Calibri" w:eastAsia="Calibri" w:hAnsi="Calibri" w:cs="Times New Roman"/>
          <w:color w:val="262626"/>
        </w:rPr>
        <w:t>.</w:t>
      </w:r>
      <w:r w:rsidR="00F533F6" w:rsidRPr="00F533F6">
        <w:rPr>
          <w:rFonts w:ascii="Calibri" w:eastAsia="Calibri" w:hAnsi="Calibri" w:cs="Times New Roman"/>
          <w:color w:val="262626"/>
        </w:rPr>
        <w:t xml:space="preserve"> </w:t>
      </w:r>
      <w:r w:rsidR="00F533F6">
        <w:rPr>
          <w:rFonts w:ascii="Calibri" w:eastAsia="Calibri" w:hAnsi="Calibri" w:cs="Times New Roman"/>
          <w:color w:val="262626"/>
        </w:rPr>
        <w:t xml:space="preserve">Community organisations will provide information to participants and may also deliver support services. Mixed merchants will need to know how they will be able to not sell restricted items to participants. State and territory governments will be able to refer people to the new IM program. The </w:t>
      </w:r>
      <w:r w:rsidR="00F15809">
        <w:rPr>
          <w:rFonts w:ascii="Calibri" w:eastAsia="Calibri" w:hAnsi="Calibri" w:cs="Times New Roman"/>
          <w:color w:val="262626"/>
        </w:rPr>
        <w:t>D</w:t>
      </w:r>
      <w:r w:rsidR="00F533F6">
        <w:rPr>
          <w:rFonts w:ascii="Calibri" w:eastAsia="Calibri" w:hAnsi="Calibri" w:cs="Times New Roman"/>
          <w:color w:val="262626"/>
        </w:rPr>
        <w:t>epartment will engage with them on how they can use the IM program to support people where it is relevant. Stakeholders will continue to be engaged throughout the implementation process through ongoing Ministerial engagement and community forums, and during monitoring and evaluation which will be detailed further below.</w:t>
      </w:r>
    </w:p>
    <w:p w14:paraId="7BB78C73" w14:textId="77777777" w:rsidR="009F1DC6" w:rsidRDefault="00AC4A1B" w:rsidP="00174454">
      <w:pPr>
        <w:pStyle w:val="Heading4"/>
      </w:pPr>
      <w:r>
        <w:t>7.1.1.2</w:t>
      </w:r>
      <w:r w:rsidR="00174454">
        <w:t>.1</w:t>
      </w:r>
      <w:r>
        <w:t xml:space="preserve"> </w:t>
      </w:r>
      <w:r w:rsidR="009F1DC6">
        <w:t>Challenges</w:t>
      </w:r>
    </w:p>
    <w:p w14:paraId="4B94150F" w14:textId="77777777" w:rsidR="009F1DC6" w:rsidRPr="00F65177" w:rsidRDefault="009F1DC6" w:rsidP="009F1DC6">
      <w:pPr>
        <w:pStyle w:val="BulletedListlvl1"/>
        <w:numPr>
          <w:ilvl w:val="0"/>
          <w:numId w:val="0"/>
        </w:numPr>
        <w:spacing w:after="120"/>
      </w:pPr>
      <w:r>
        <w:t xml:space="preserve">There will be a number of challenges in implementing the new policy given the number of participants, their locations and the nature of the policy. These challenges </w:t>
      </w:r>
      <w:r w:rsidR="00FA117C">
        <w:t>are</w:t>
      </w:r>
      <w:r>
        <w:t xml:space="preserve"> detailed in answer to RIS Question 2. The </w:t>
      </w:r>
      <w:r w:rsidR="00FA117C">
        <w:t>D</w:t>
      </w:r>
      <w:r>
        <w:t>epartment</w:t>
      </w:r>
      <w:r w:rsidR="00A1129F">
        <w:t>’</w:t>
      </w:r>
      <w:r>
        <w:t xml:space="preserve">s approach to address these challenges and mitigate any risks to </w:t>
      </w:r>
      <w:r w:rsidR="00FA117C">
        <w:t xml:space="preserve">the </w:t>
      </w:r>
      <w:r>
        <w:t xml:space="preserve">implementation </w:t>
      </w:r>
      <w:r w:rsidR="00FA117C">
        <w:t xml:space="preserve">of the new policy changes </w:t>
      </w:r>
      <w:r w:rsidR="00D0330F">
        <w:t>are set out below.</w:t>
      </w:r>
    </w:p>
    <w:p w14:paraId="0AF8AEE7" w14:textId="77777777" w:rsidR="00E46CCC" w:rsidRPr="00F507DA" w:rsidRDefault="00E46CCC" w:rsidP="00E46CCC">
      <w:pPr>
        <w:pStyle w:val="BulletedListlvl1"/>
        <w:spacing w:after="120"/>
      </w:pPr>
      <w:r w:rsidRPr="00F507DA">
        <w:rPr>
          <w:b/>
        </w:rPr>
        <w:t>Time constraints</w:t>
      </w:r>
      <w:r w:rsidRPr="00F507DA">
        <w:t xml:space="preserve"> </w:t>
      </w:r>
      <w:r w:rsidRPr="00F65177">
        <w:rPr>
          <w:b/>
        </w:rPr>
        <w:t xml:space="preserve">and </w:t>
      </w:r>
      <w:r>
        <w:rPr>
          <w:b/>
        </w:rPr>
        <w:t xml:space="preserve">limited government </w:t>
      </w:r>
      <w:r w:rsidRPr="00F65177">
        <w:rPr>
          <w:b/>
        </w:rPr>
        <w:t xml:space="preserve">resources – </w:t>
      </w:r>
      <w:r>
        <w:t xml:space="preserve">the </w:t>
      </w:r>
      <w:r w:rsidR="00E43889">
        <w:t xml:space="preserve">intention is to transition all CDC participant off the card between Royal assent and the 31 December 2022. The </w:t>
      </w:r>
      <w:r>
        <w:t xml:space="preserve">legislation allows </w:t>
      </w:r>
      <w:r w:rsidR="00E43889">
        <w:t>the</w:t>
      </w:r>
      <w:r>
        <w:t xml:space="preserve"> Minister to set a repeal date of for the CDC legislation 6 months after Royal Assent</w:t>
      </w:r>
      <w:r w:rsidR="00E43889">
        <w:t xml:space="preserve"> if additional transitional time is required, but the expectation is that all participants will be transitioned by the end of the year. </w:t>
      </w:r>
      <w:r>
        <w:t xml:space="preserve">The </w:t>
      </w:r>
      <w:r w:rsidR="00F15809">
        <w:t>G</w:t>
      </w:r>
      <w:r>
        <w:t xml:space="preserve">overnment will take a staged approach to ensure there are adequate resources to support participants to understand the changes, </w:t>
      </w:r>
      <w:r w:rsidR="00FA117C">
        <w:t xml:space="preserve">to exit the </w:t>
      </w:r>
      <w:r>
        <w:t>CDC transition to voluntary</w:t>
      </w:r>
      <w:r w:rsidR="00FA117C">
        <w:t xml:space="preserve"> IM </w:t>
      </w:r>
      <w:r>
        <w:t>arrangements, and access support services. Services Australia have also drawn on similar experiences to estimate the number of staff needed on the ground to deliver this</w:t>
      </w:r>
      <w:r w:rsidR="00D0330F">
        <w:t xml:space="preserve"> transition in a timely manner.</w:t>
      </w:r>
    </w:p>
    <w:p w14:paraId="015A8E37" w14:textId="77777777" w:rsidR="009F1DC6" w:rsidRPr="00F507DA" w:rsidRDefault="009F1DC6" w:rsidP="009F1DC6">
      <w:pPr>
        <w:pStyle w:val="BulletedListlvl1"/>
        <w:spacing w:after="120"/>
      </w:pPr>
      <w:r>
        <w:rPr>
          <w:b/>
        </w:rPr>
        <w:t>Limited u</w:t>
      </w:r>
      <w:r w:rsidRPr="00F507DA">
        <w:rPr>
          <w:b/>
        </w:rPr>
        <w:t>ptake of support</w:t>
      </w:r>
      <w:r w:rsidRPr="00E5400B">
        <w:rPr>
          <w:b/>
        </w:rPr>
        <w:t xml:space="preserve"> </w:t>
      </w:r>
      <w:r w:rsidR="00F146AD" w:rsidRPr="00E5400B">
        <w:rPr>
          <w:b/>
        </w:rPr>
        <w:t>services</w:t>
      </w:r>
      <w:r w:rsidRPr="00F507DA">
        <w:t xml:space="preserve">– </w:t>
      </w:r>
      <w:r>
        <w:t xml:space="preserve">participants will have access to educational materials as well as one on one advice to explain the services that are on offer. In addition, the </w:t>
      </w:r>
      <w:r w:rsidR="00FA117C">
        <w:t>D</w:t>
      </w:r>
      <w:r>
        <w:t xml:space="preserve">epartment will work closely with the community in developing future support </w:t>
      </w:r>
      <w:r w:rsidR="00AF7FE3">
        <w:t xml:space="preserve">services </w:t>
      </w:r>
      <w:r>
        <w:t>to ensure these are the kinds of services that the community wan</w:t>
      </w:r>
      <w:r w:rsidR="00D0330F">
        <w:t>ts and will utilise if funded.</w:t>
      </w:r>
    </w:p>
    <w:p w14:paraId="0A0E9399" w14:textId="77777777" w:rsidR="009F1DC6" w:rsidRPr="00F507DA" w:rsidRDefault="009F1DC6" w:rsidP="009F1DC6">
      <w:pPr>
        <w:pStyle w:val="BulletedListlvl1"/>
        <w:spacing w:after="120"/>
      </w:pPr>
      <w:r w:rsidRPr="00F507DA">
        <w:rPr>
          <w:b/>
        </w:rPr>
        <w:t>Difficulties engaging with stakeholders</w:t>
      </w:r>
      <w:r>
        <w:t xml:space="preserve"> – the </w:t>
      </w:r>
      <w:r w:rsidR="00FA117C">
        <w:t>D</w:t>
      </w:r>
      <w:r>
        <w:t xml:space="preserve">epartment has engaged extensively with stakeholders in developing this policy and related support. The Government will work hard to ensure that stakeholders are listened to, </w:t>
      </w:r>
      <w:r w:rsidR="00A1129F">
        <w:t>and</w:t>
      </w:r>
      <w:r>
        <w:t xml:space="preserve"> their feedback is reflected in the program. This will demonstrate the utility of continuing to engage in these </w:t>
      </w:r>
      <w:r w:rsidR="00D0330F">
        <w:t>conversations with Government.</w:t>
      </w:r>
    </w:p>
    <w:p w14:paraId="6C411039" w14:textId="77777777" w:rsidR="009F1DC6" w:rsidRPr="00F65177" w:rsidRDefault="009F1DC6" w:rsidP="009F1DC6">
      <w:pPr>
        <w:pStyle w:val="BulletedListlvl1"/>
        <w:spacing w:after="120"/>
      </w:pPr>
      <w:r>
        <w:rPr>
          <w:b/>
        </w:rPr>
        <w:t xml:space="preserve">Reaching participants - </w:t>
      </w:r>
      <w:r w:rsidRPr="00F507DA">
        <w:rPr>
          <w:b/>
        </w:rPr>
        <w:t>COVID-19</w:t>
      </w:r>
      <w:r>
        <w:rPr>
          <w:b/>
        </w:rPr>
        <w:t xml:space="preserve"> and participants outside CDC and IM locations </w:t>
      </w:r>
      <w:r w:rsidRPr="00F65177">
        <w:rPr>
          <w:b/>
        </w:rPr>
        <w:t xml:space="preserve">– </w:t>
      </w:r>
      <w:r w:rsidRPr="00F65177">
        <w:t xml:space="preserve">over the phone interviews will be available to CDC participants so they are supported </w:t>
      </w:r>
      <w:r>
        <w:t>if face</w:t>
      </w:r>
      <w:r w:rsidR="00F15809">
        <w:t>-</w:t>
      </w:r>
      <w:r>
        <w:t>to</w:t>
      </w:r>
      <w:r w:rsidR="00F15809">
        <w:t>-</w:t>
      </w:r>
      <w:r>
        <w:t>face support</w:t>
      </w:r>
      <w:r w:rsidR="00FA117C">
        <w:t xml:space="preserve"> cannot be accessed or is</w:t>
      </w:r>
      <w:r>
        <w:t xml:space="preserve"> </w:t>
      </w:r>
      <w:r w:rsidR="00A1129F">
        <w:t>not suitable</w:t>
      </w:r>
      <w:r>
        <w:t>.</w:t>
      </w:r>
    </w:p>
    <w:p w14:paraId="17185687" w14:textId="25F37DAF" w:rsidR="00483CEB" w:rsidRDefault="00483CEB">
      <w:pPr>
        <w:rPr>
          <w:rFonts w:ascii="Calibri" w:eastAsia="Times New Roman" w:hAnsi="Calibri" w:cs="Times New Roman"/>
          <w:color w:val="auto"/>
          <w:szCs w:val="24"/>
          <w:lang w:eastAsia="en-AU"/>
        </w:rPr>
      </w:pPr>
      <w:r>
        <w:br w:type="page"/>
      </w:r>
    </w:p>
    <w:p w14:paraId="726E892B" w14:textId="1BBCA1A4" w:rsidR="009F1DC6" w:rsidRDefault="00174454" w:rsidP="009F1DC6">
      <w:pPr>
        <w:pStyle w:val="Heading4"/>
      </w:pPr>
      <w:r>
        <w:t xml:space="preserve">7.1.1.2.2 </w:t>
      </w:r>
      <w:r w:rsidR="009F1DC6">
        <w:t>Risks</w:t>
      </w:r>
    </w:p>
    <w:p w14:paraId="15912F55" w14:textId="01F62C67" w:rsidR="009F1DC6" w:rsidRDefault="009F1DC6" w:rsidP="009F1DC6">
      <w:pPr>
        <w:pStyle w:val="BodyText"/>
      </w:pPr>
      <w:r w:rsidRPr="00F65177">
        <w:t>In addition to the challenges above, the department has considered risks to the successful delivery of the new program and how the</w:t>
      </w:r>
      <w:r w:rsidR="003364B7">
        <w:t>se</w:t>
      </w:r>
      <w:r w:rsidRPr="00F65177">
        <w:t xml:space="preserve"> </w:t>
      </w:r>
      <w:r w:rsidR="003364B7">
        <w:t xml:space="preserve">risks </w:t>
      </w:r>
      <w:r w:rsidRPr="00F65177">
        <w:t xml:space="preserve">can be mitigated. </w:t>
      </w:r>
      <w:r w:rsidR="00911002">
        <w:rPr>
          <w:b/>
        </w:rPr>
        <w:fldChar w:fldCharType="begin"/>
      </w:r>
      <w:r w:rsidR="00911002">
        <w:instrText xml:space="preserve"> REF _Ref110537081 \h </w:instrText>
      </w:r>
      <w:r w:rsidR="00911002">
        <w:rPr>
          <w:b/>
        </w:rPr>
      </w:r>
      <w:r w:rsidR="00911002">
        <w:rPr>
          <w:b/>
        </w:rPr>
        <w:fldChar w:fldCharType="separate"/>
      </w:r>
      <w:r w:rsidR="003559EA">
        <w:t xml:space="preserve">Table </w:t>
      </w:r>
      <w:r w:rsidR="003559EA">
        <w:rPr>
          <w:noProof/>
        </w:rPr>
        <w:t>11</w:t>
      </w:r>
      <w:r w:rsidR="00911002">
        <w:rPr>
          <w:b/>
        </w:rPr>
        <w:fldChar w:fldCharType="end"/>
      </w:r>
      <w:r w:rsidR="00911002">
        <w:rPr>
          <w:b/>
        </w:rPr>
        <w:t xml:space="preserve"> </w:t>
      </w:r>
      <w:r>
        <w:t>provides an outline of the risks as</w:t>
      </w:r>
      <w:r w:rsidR="00456F59">
        <w:t>sociated with Option 2.</w:t>
      </w:r>
    </w:p>
    <w:p w14:paraId="7DD19B54" w14:textId="77777777" w:rsidR="009F1DC6" w:rsidRPr="007C02F4" w:rsidRDefault="009F1DC6" w:rsidP="009F1DC6">
      <w:pPr>
        <w:pStyle w:val="Caption"/>
      </w:pPr>
      <w:bookmarkStart w:id="168" w:name="_Ref110537081"/>
      <w:bookmarkStart w:id="169" w:name="_Toc118103815"/>
      <w:r>
        <w:t xml:space="preserve">Table </w:t>
      </w:r>
      <w:fldSimple w:instr=" SEQ Table \* ARABIC ">
        <w:r w:rsidR="00EA44C7">
          <w:rPr>
            <w:noProof/>
          </w:rPr>
          <w:t>11</w:t>
        </w:r>
      </w:fldSimple>
      <w:bookmarkEnd w:id="168"/>
      <w:r>
        <w:t>: Risk Table</w:t>
      </w:r>
      <w:bookmarkEnd w:id="16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1: Risk Table"/>
      </w:tblPr>
      <w:tblGrid>
        <w:gridCol w:w="2261"/>
        <w:gridCol w:w="1075"/>
        <w:gridCol w:w="912"/>
        <w:gridCol w:w="5946"/>
      </w:tblGrid>
      <w:tr w:rsidR="009F1DC6" w:rsidRPr="004032E8" w14:paraId="0C58F07B" w14:textId="77777777" w:rsidTr="00944096">
        <w:tc>
          <w:tcPr>
            <w:tcW w:w="2261" w:type="dxa"/>
          </w:tcPr>
          <w:p w14:paraId="6D40E258" w14:textId="77777777" w:rsidR="009F1DC6" w:rsidRPr="004032E8" w:rsidRDefault="009F1DC6" w:rsidP="00461A47">
            <w:pPr>
              <w:rPr>
                <w:rFonts w:ascii="Calibri" w:eastAsia="Calibri" w:hAnsi="Calibri" w:cs="Times New Roman"/>
                <w:b/>
                <w:color w:val="262626"/>
              </w:rPr>
            </w:pPr>
            <w:r w:rsidRPr="004032E8">
              <w:rPr>
                <w:rFonts w:ascii="Calibri" w:eastAsia="Calibri" w:hAnsi="Calibri" w:cs="Times New Roman"/>
                <w:b/>
                <w:color w:val="262626"/>
              </w:rPr>
              <w:t>Risk</w:t>
            </w:r>
          </w:p>
        </w:tc>
        <w:tc>
          <w:tcPr>
            <w:tcW w:w="1075" w:type="dxa"/>
          </w:tcPr>
          <w:p w14:paraId="6D383B7C" w14:textId="77777777" w:rsidR="009F1DC6" w:rsidRPr="004032E8" w:rsidRDefault="009F1DC6" w:rsidP="00461A47">
            <w:pPr>
              <w:rPr>
                <w:rFonts w:ascii="Calibri" w:eastAsia="Calibri" w:hAnsi="Calibri" w:cs="Times New Roman"/>
                <w:b/>
                <w:color w:val="262626"/>
              </w:rPr>
            </w:pPr>
            <w:r w:rsidRPr="004032E8">
              <w:rPr>
                <w:rFonts w:ascii="Calibri" w:eastAsia="Calibri" w:hAnsi="Calibri" w:cs="Times New Roman"/>
                <w:b/>
                <w:color w:val="262626"/>
              </w:rPr>
              <w:t>Likelihood</w:t>
            </w:r>
          </w:p>
        </w:tc>
        <w:tc>
          <w:tcPr>
            <w:tcW w:w="912" w:type="dxa"/>
          </w:tcPr>
          <w:p w14:paraId="214EE515" w14:textId="77777777" w:rsidR="009F1DC6" w:rsidRPr="004032E8" w:rsidRDefault="009F1DC6" w:rsidP="00461A47">
            <w:pPr>
              <w:rPr>
                <w:rFonts w:ascii="Calibri" w:eastAsia="Calibri" w:hAnsi="Calibri" w:cs="Times New Roman"/>
                <w:b/>
                <w:color w:val="262626"/>
              </w:rPr>
            </w:pPr>
            <w:r w:rsidRPr="004032E8">
              <w:rPr>
                <w:rFonts w:ascii="Calibri" w:eastAsia="Calibri" w:hAnsi="Calibri" w:cs="Times New Roman"/>
                <w:b/>
                <w:color w:val="262626"/>
              </w:rPr>
              <w:t>Impact</w:t>
            </w:r>
          </w:p>
        </w:tc>
        <w:tc>
          <w:tcPr>
            <w:tcW w:w="5946" w:type="dxa"/>
          </w:tcPr>
          <w:p w14:paraId="6AB712CB" w14:textId="77777777" w:rsidR="009F1DC6" w:rsidRPr="004032E8" w:rsidRDefault="009F1DC6" w:rsidP="00461A47">
            <w:pPr>
              <w:rPr>
                <w:rFonts w:ascii="Calibri" w:eastAsia="Calibri" w:hAnsi="Calibri" w:cs="Times New Roman"/>
                <w:b/>
                <w:color w:val="262626"/>
              </w:rPr>
            </w:pPr>
            <w:r w:rsidRPr="004032E8">
              <w:rPr>
                <w:rFonts w:ascii="Calibri" w:eastAsia="Calibri" w:hAnsi="Calibri" w:cs="Times New Roman"/>
                <w:b/>
                <w:color w:val="262626"/>
              </w:rPr>
              <w:t xml:space="preserve">Mitigation </w:t>
            </w:r>
          </w:p>
        </w:tc>
      </w:tr>
      <w:tr w:rsidR="005F09CE" w:rsidRPr="00F533F6" w14:paraId="1D68831E" w14:textId="77777777" w:rsidTr="00944096">
        <w:tc>
          <w:tcPr>
            <w:tcW w:w="2261" w:type="dxa"/>
          </w:tcPr>
          <w:p w14:paraId="4B0E6664" w14:textId="77777777" w:rsidR="005F09CE" w:rsidRPr="004032E8" w:rsidRDefault="005F09CE" w:rsidP="005F09CE">
            <w:pPr>
              <w:rPr>
                <w:rFonts w:ascii="Calibri" w:eastAsia="Calibri" w:hAnsi="Calibri" w:cs="Times New Roman"/>
                <w:color w:val="262626"/>
                <w:sz w:val="18"/>
              </w:rPr>
            </w:pPr>
            <w:r w:rsidRPr="004032E8">
              <w:rPr>
                <w:rFonts w:ascii="Calibri" w:eastAsia="Calibri" w:hAnsi="Calibri" w:cs="Times New Roman"/>
                <w:color w:val="262626"/>
                <w:sz w:val="18"/>
              </w:rPr>
              <w:t xml:space="preserve">Unable to </w:t>
            </w:r>
            <w:r w:rsidR="00157C37" w:rsidRPr="004032E8">
              <w:rPr>
                <w:rFonts w:ascii="Calibri" w:eastAsia="Calibri" w:hAnsi="Calibri" w:cs="Times New Roman"/>
                <w:color w:val="262626"/>
                <w:sz w:val="18"/>
              </w:rPr>
              <w:t xml:space="preserve">transition </w:t>
            </w:r>
            <w:r w:rsidRPr="004032E8">
              <w:rPr>
                <w:rFonts w:ascii="Calibri" w:eastAsia="Calibri" w:hAnsi="Calibri" w:cs="Times New Roman"/>
                <w:color w:val="262626"/>
                <w:sz w:val="18"/>
              </w:rPr>
              <w:t xml:space="preserve">all participants off the CDC program by 31 December 2022 </w:t>
            </w:r>
          </w:p>
        </w:tc>
        <w:tc>
          <w:tcPr>
            <w:tcW w:w="1075" w:type="dxa"/>
          </w:tcPr>
          <w:p w14:paraId="027ADDA7" w14:textId="77777777" w:rsidR="005F09CE" w:rsidRPr="004032E8" w:rsidRDefault="009B16E6" w:rsidP="00461A47">
            <w:pPr>
              <w:rPr>
                <w:rFonts w:ascii="Calibri" w:eastAsia="Calibri" w:hAnsi="Calibri" w:cs="Times New Roman"/>
                <w:color w:val="262626"/>
                <w:sz w:val="18"/>
              </w:rPr>
            </w:pPr>
            <w:r w:rsidRPr="004032E8">
              <w:rPr>
                <w:rFonts w:ascii="Calibri" w:eastAsia="Calibri" w:hAnsi="Calibri" w:cs="Times New Roman"/>
                <w:color w:val="262626"/>
                <w:sz w:val="18"/>
              </w:rPr>
              <w:t>low</w:t>
            </w:r>
          </w:p>
        </w:tc>
        <w:tc>
          <w:tcPr>
            <w:tcW w:w="912" w:type="dxa"/>
          </w:tcPr>
          <w:p w14:paraId="3E96028B" w14:textId="77777777" w:rsidR="005F09CE" w:rsidRPr="004032E8" w:rsidRDefault="009B16E6" w:rsidP="00461A47">
            <w:pPr>
              <w:rPr>
                <w:rFonts w:ascii="Calibri" w:eastAsia="Calibri" w:hAnsi="Calibri" w:cs="Times New Roman"/>
                <w:color w:val="262626"/>
                <w:sz w:val="18"/>
              </w:rPr>
            </w:pPr>
            <w:r w:rsidRPr="004032E8">
              <w:rPr>
                <w:rFonts w:ascii="Calibri" w:eastAsia="Calibri" w:hAnsi="Calibri" w:cs="Times New Roman"/>
                <w:color w:val="262626"/>
                <w:sz w:val="18"/>
              </w:rPr>
              <w:t>medium</w:t>
            </w:r>
          </w:p>
        </w:tc>
        <w:tc>
          <w:tcPr>
            <w:tcW w:w="5946" w:type="dxa"/>
          </w:tcPr>
          <w:p w14:paraId="1BEC7527" w14:textId="17BFC821" w:rsidR="00BC616C" w:rsidRPr="004032E8" w:rsidRDefault="009B16E6" w:rsidP="00031DCD">
            <w:pPr>
              <w:pStyle w:val="ListParagraph"/>
              <w:numPr>
                <w:ilvl w:val="0"/>
                <w:numId w:val="21"/>
              </w:numPr>
              <w:rPr>
                <w:rFonts w:ascii="Calibri" w:eastAsia="Calibri" w:hAnsi="Calibri" w:cs="Times New Roman"/>
                <w:color w:val="262626"/>
                <w:sz w:val="18"/>
              </w:rPr>
            </w:pPr>
            <w:r w:rsidRPr="004032E8">
              <w:rPr>
                <w:rFonts w:ascii="Calibri" w:eastAsia="Calibri" w:hAnsi="Calibri" w:cs="Times New Roman"/>
                <w:color w:val="262626"/>
                <w:sz w:val="18"/>
              </w:rPr>
              <w:t xml:space="preserve">Services Australia </w:t>
            </w:r>
            <w:r w:rsidR="00031DCD" w:rsidRPr="004032E8">
              <w:rPr>
                <w:rFonts w:ascii="Calibri" w:eastAsia="Calibri" w:hAnsi="Calibri" w:cs="Times New Roman"/>
                <w:color w:val="262626"/>
                <w:sz w:val="18"/>
              </w:rPr>
              <w:t>will work with the Department to inform loc</w:t>
            </w:r>
            <w:r w:rsidR="00456F59">
              <w:rPr>
                <w:rFonts w:ascii="Calibri" w:eastAsia="Calibri" w:hAnsi="Calibri" w:cs="Times New Roman"/>
                <w:color w:val="262626"/>
                <w:sz w:val="18"/>
              </w:rPr>
              <w:t>al service networks of changes.</w:t>
            </w:r>
          </w:p>
          <w:p w14:paraId="59571DCD" w14:textId="038F3C6A" w:rsidR="00BC616C" w:rsidRPr="004032E8" w:rsidRDefault="00031DCD" w:rsidP="00031DCD">
            <w:pPr>
              <w:pStyle w:val="ListParagraph"/>
              <w:numPr>
                <w:ilvl w:val="0"/>
                <w:numId w:val="21"/>
              </w:numPr>
              <w:rPr>
                <w:rFonts w:ascii="Calibri" w:eastAsia="Calibri" w:hAnsi="Calibri" w:cs="Times New Roman"/>
                <w:color w:val="262626"/>
                <w:sz w:val="18"/>
              </w:rPr>
            </w:pPr>
            <w:r w:rsidRPr="004032E8">
              <w:rPr>
                <w:rFonts w:ascii="Calibri" w:eastAsia="Calibri" w:hAnsi="Calibri" w:cs="Times New Roman"/>
                <w:color w:val="262626"/>
                <w:sz w:val="18"/>
              </w:rPr>
              <w:t>Provide guidan</w:t>
            </w:r>
            <w:r w:rsidR="00456F59">
              <w:rPr>
                <w:rFonts w:ascii="Calibri" w:eastAsia="Calibri" w:hAnsi="Calibri" w:cs="Times New Roman"/>
                <w:color w:val="262626"/>
                <w:sz w:val="18"/>
              </w:rPr>
              <w:t>ce on where to receive support.</w:t>
            </w:r>
          </w:p>
          <w:p w14:paraId="7E1F29FF" w14:textId="77777777" w:rsidR="00BC616C" w:rsidRPr="004032E8" w:rsidRDefault="00031DCD" w:rsidP="00031DCD">
            <w:pPr>
              <w:pStyle w:val="ListParagraph"/>
              <w:numPr>
                <w:ilvl w:val="0"/>
                <w:numId w:val="21"/>
              </w:numPr>
              <w:rPr>
                <w:rFonts w:ascii="Calibri" w:eastAsia="Calibri" w:hAnsi="Calibri" w:cs="Times New Roman"/>
                <w:color w:val="262626"/>
                <w:sz w:val="18"/>
              </w:rPr>
            </w:pPr>
            <w:r w:rsidRPr="004032E8">
              <w:rPr>
                <w:rFonts w:ascii="Calibri" w:eastAsia="Calibri" w:hAnsi="Calibri" w:cs="Times New Roman"/>
                <w:color w:val="262626"/>
                <w:sz w:val="18"/>
              </w:rPr>
              <w:t>Brief service partners, Indue call staff DSS community engagement teams and NIAA on opt out process and support</w:t>
            </w:r>
          </w:p>
          <w:p w14:paraId="0C9B0464" w14:textId="77777777" w:rsidR="009B16E6" w:rsidRPr="004032E8" w:rsidRDefault="009B16E6" w:rsidP="00031DCD">
            <w:pPr>
              <w:pStyle w:val="ListParagraph"/>
              <w:numPr>
                <w:ilvl w:val="0"/>
                <w:numId w:val="21"/>
              </w:numPr>
              <w:rPr>
                <w:rFonts w:ascii="Calibri" w:eastAsia="Calibri" w:hAnsi="Calibri" w:cs="Times New Roman"/>
                <w:color w:val="262626"/>
                <w:sz w:val="18"/>
              </w:rPr>
            </w:pPr>
            <w:r w:rsidRPr="004032E8">
              <w:rPr>
                <w:rFonts w:ascii="Calibri" w:eastAsia="Calibri" w:hAnsi="Calibri" w:cs="Times New Roman"/>
                <w:color w:val="262626"/>
                <w:sz w:val="18"/>
              </w:rPr>
              <w:t xml:space="preserve">Ensure </w:t>
            </w:r>
            <w:r w:rsidR="00B304D3" w:rsidRPr="004032E8">
              <w:rPr>
                <w:rFonts w:ascii="Calibri" w:eastAsia="Calibri" w:hAnsi="Calibri" w:cs="Times New Roman"/>
                <w:color w:val="262626"/>
                <w:sz w:val="18"/>
              </w:rPr>
              <w:t xml:space="preserve">identify early those who are at risk and may need extra support </w:t>
            </w:r>
            <w:r w:rsidRPr="004032E8">
              <w:rPr>
                <w:rFonts w:ascii="Calibri" w:eastAsia="Calibri" w:hAnsi="Calibri" w:cs="Times New Roman"/>
                <w:color w:val="262626"/>
                <w:sz w:val="18"/>
              </w:rPr>
              <w:t>for example</w:t>
            </w:r>
            <w:r w:rsidR="00B304D3" w:rsidRPr="004032E8">
              <w:rPr>
                <w:rFonts w:ascii="Calibri" w:eastAsia="Calibri" w:hAnsi="Calibri" w:cs="Times New Roman"/>
                <w:color w:val="262626"/>
                <w:sz w:val="18"/>
              </w:rPr>
              <w:t xml:space="preserve"> those with no</w:t>
            </w:r>
            <w:r w:rsidRPr="004032E8">
              <w:rPr>
                <w:rFonts w:ascii="Calibri" w:eastAsia="Calibri" w:hAnsi="Calibri" w:cs="Times New Roman"/>
                <w:color w:val="262626"/>
                <w:sz w:val="18"/>
              </w:rPr>
              <w:t>:</w:t>
            </w:r>
          </w:p>
          <w:p w14:paraId="32042168" w14:textId="77777777" w:rsidR="009B16E6" w:rsidRPr="004032E8" w:rsidRDefault="009B16E6" w:rsidP="00031DCD">
            <w:pPr>
              <w:pStyle w:val="ListParagraph"/>
              <w:numPr>
                <w:ilvl w:val="1"/>
                <w:numId w:val="21"/>
              </w:numPr>
              <w:rPr>
                <w:rFonts w:ascii="Calibri" w:eastAsia="Calibri" w:hAnsi="Calibri" w:cs="Times New Roman"/>
                <w:color w:val="262626"/>
                <w:sz w:val="18"/>
              </w:rPr>
            </w:pPr>
            <w:r w:rsidRPr="004032E8">
              <w:rPr>
                <w:rFonts w:ascii="Calibri" w:eastAsia="Calibri" w:hAnsi="Calibri" w:cs="Times New Roman"/>
                <w:color w:val="262626"/>
                <w:sz w:val="18"/>
              </w:rPr>
              <w:t>fixed address</w:t>
            </w:r>
          </w:p>
          <w:p w14:paraId="63826BA5" w14:textId="77777777" w:rsidR="009B16E6" w:rsidRPr="004032E8" w:rsidRDefault="009B16E6" w:rsidP="00031DCD">
            <w:pPr>
              <w:pStyle w:val="ListParagraph"/>
              <w:numPr>
                <w:ilvl w:val="1"/>
                <w:numId w:val="21"/>
              </w:numPr>
              <w:rPr>
                <w:rFonts w:ascii="Calibri" w:eastAsia="Calibri" w:hAnsi="Calibri" w:cs="Times New Roman"/>
                <w:color w:val="262626"/>
                <w:sz w:val="18"/>
              </w:rPr>
            </w:pPr>
            <w:r w:rsidRPr="004032E8">
              <w:rPr>
                <w:rFonts w:ascii="Calibri" w:eastAsia="Calibri" w:hAnsi="Calibri" w:cs="Times New Roman"/>
                <w:color w:val="262626"/>
                <w:sz w:val="18"/>
              </w:rPr>
              <w:t>main bank account</w:t>
            </w:r>
          </w:p>
        </w:tc>
      </w:tr>
      <w:tr w:rsidR="009F1DC6" w14:paraId="1669333C" w14:textId="77777777" w:rsidTr="00944096">
        <w:tc>
          <w:tcPr>
            <w:tcW w:w="2261" w:type="dxa"/>
          </w:tcPr>
          <w:p w14:paraId="4D7AD822" w14:textId="77777777" w:rsidR="009F1DC6" w:rsidRPr="004032E8" w:rsidRDefault="005F09CE" w:rsidP="00461A47">
            <w:pPr>
              <w:rPr>
                <w:rFonts w:ascii="Calibri" w:eastAsia="Calibri" w:hAnsi="Calibri" w:cs="Times New Roman"/>
                <w:color w:val="262626"/>
                <w:sz w:val="18"/>
              </w:rPr>
            </w:pPr>
            <w:r w:rsidRPr="004032E8">
              <w:rPr>
                <w:rFonts w:ascii="Calibri" w:eastAsia="Calibri" w:hAnsi="Calibri" w:cs="Times New Roman"/>
                <w:color w:val="262626"/>
                <w:sz w:val="18"/>
              </w:rPr>
              <w:t>I</w:t>
            </w:r>
            <w:r w:rsidR="009B16E6" w:rsidRPr="004032E8">
              <w:rPr>
                <w:rFonts w:ascii="Calibri" w:eastAsia="Calibri" w:hAnsi="Calibri" w:cs="Times New Roman"/>
                <w:color w:val="262626"/>
                <w:sz w:val="18"/>
              </w:rPr>
              <w:t>C</w:t>
            </w:r>
            <w:r w:rsidRPr="004032E8">
              <w:rPr>
                <w:rFonts w:ascii="Calibri" w:eastAsia="Calibri" w:hAnsi="Calibri" w:cs="Times New Roman"/>
                <w:color w:val="262626"/>
                <w:sz w:val="18"/>
              </w:rPr>
              <w:t>T c</w:t>
            </w:r>
            <w:r w:rsidR="009F1DC6" w:rsidRPr="004032E8">
              <w:rPr>
                <w:rFonts w:ascii="Calibri" w:eastAsia="Calibri" w:hAnsi="Calibri" w:cs="Times New Roman"/>
                <w:color w:val="262626"/>
                <w:sz w:val="18"/>
              </w:rPr>
              <w:t>hanges cannot be delivered within the timeframe</w:t>
            </w:r>
          </w:p>
        </w:tc>
        <w:tc>
          <w:tcPr>
            <w:tcW w:w="1075" w:type="dxa"/>
          </w:tcPr>
          <w:p w14:paraId="7CC28011" w14:textId="77777777" w:rsidR="009F1DC6" w:rsidRPr="004032E8" w:rsidRDefault="009F1DC6" w:rsidP="00461A47">
            <w:pPr>
              <w:rPr>
                <w:rFonts w:ascii="Calibri" w:eastAsia="Calibri" w:hAnsi="Calibri" w:cs="Times New Roman"/>
                <w:color w:val="262626"/>
                <w:sz w:val="18"/>
              </w:rPr>
            </w:pPr>
            <w:r w:rsidRPr="004032E8">
              <w:rPr>
                <w:rFonts w:ascii="Calibri" w:eastAsia="Calibri" w:hAnsi="Calibri" w:cs="Times New Roman"/>
                <w:color w:val="262626"/>
                <w:sz w:val="18"/>
              </w:rPr>
              <w:t>low</w:t>
            </w:r>
          </w:p>
        </w:tc>
        <w:tc>
          <w:tcPr>
            <w:tcW w:w="912" w:type="dxa"/>
          </w:tcPr>
          <w:p w14:paraId="4CB805B6" w14:textId="77777777" w:rsidR="009F1DC6" w:rsidRPr="004032E8" w:rsidRDefault="009F1DC6" w:rsidP="00461A47">
            <w:pPr>
              <w:rPr>
                <w:rFonts w:ascii="Calibri" w:eastAsia="Calibri" w:hAnsi="Calibri" w:cs="Times New Roman"/>
                <w:color w:val="262626"/>
                <w:sz w:val="18"/>
              </w:rPr>
            </w:pPr>
            <w:r w:rsidRPr="004032E8">
              <w:rPr>
                <w:rFonts w:ascii="Calibri" w:eastAsia="Calibri" w:hAnsi="Calibri" w:cs="Times New Roman"/>
                <w:color w:val="262626"/>
                <w:sz w:val="18"/>
              </w:rPr>
              <w:t xml:space="preserve">medium </w:t>
            </w:r>
          </w:p>
        </w:tc>
        <w:tc>
          <w:tcPr>
            <w:tcW w:w="5946" w:type="dxa"/>
          </w:tcPr>
          <w:p w14:paraId="4ABFE292" w14:textId="77777777" w:rsidR="00245855" w:rsidRPr="004032E8" w:rsidRDefault="003364B7" w:rsidP="000A025F">
            <w:pPr>
              <w:pStyle w:val="ListParagraph"/>
              <w:numPr>
                <w:ilvl w:val="0"/>
                <w:numId w:val="48"/>
              </w:numPr>
              <w:rPr>
                <w:rFonts w:ascii="Calibri" w:eastAsia="Calibri" w:hAnsi="Calibri" w:cs="Times New Roman"/>
                <w:color w:val="262626"/>
                <w:sz w:val="18"/>
              </w:rPr>
            </w:pPr>
            <w:r w:rsidRPr="004032E8">
              <w:rPr>
                <w:rFonts w:ascii="Calibri" w:eastAsia="Calibri" w:hAnsi="Calibri" w:cs="Times New Roman"/>
                <w:color w:val="262626"/>
                <w:sz w:val="18"/>
              </w:rPr>
              <w:t xml:space="preserve">Ensure </w:t>
            </w:r>
            <w:r w:rsidR="00245855" w:rsidRPr="004032E8">
              <w:rPr>
                <w:rFonts w:ascii="Calibri" w:eastAsia="Calibri" w:hAnsi="Calibri" w:cs="Times New Roman"/>
                <w:color w:val="262626"/>
                <w:sz w:val="18"/>
              </w:rPr>
              <w:t xml:space="preserve">there </w:t>
            </w:r>
            <w:r w:rsidRPr="004032E8">
              <w:rPr>
                <w:rFonts w:ascii="Calibri" w:eastAsia="Calibri" w:hAnsi="Calibri" w:cs="Times New Roman"/>
                <w:color w:val="262626"/>
                <w:sz w:val="18"/>
              </w:rPr>
              <w:t>are</w:t>
            </w:r>
            <w:r w:rsidR="00245855" w:rsidRPr="004032E8">
              <w:rPr>
                <w:rFonts w:ascii="Calibri" w:eastAsia="Calibri" w:hAnsi="Calibri" w:cs="Times New Roman"/>
                <w:color w:val="262626"/>
                <w:sz w:val="18"/>
              </w:rPr>
              <w:t xml:space="preserve"> adequate resources that are agile and flexible to meet demand and need.</w:t>
            </w:r>
          </w:p>
          <w:p w14:paraId="3E63D182" w14:textId="77777777" w:rsidR="009F1DC6" w:rsidRPr="004032E8" w:rsidRDefault="00245855" w:rsidP="000A025F">
            <w:pPr>
              <w:pStyle w:val="ListParagraph"/>
              <w:numPr>
                <w:ilvl w:val="0"/>
                <w:numId w:val="48"/>
              </w:numPr>
              <w:rPr>
                <w:rFonts w:ascii="Calibri" w:eastAsia="Calibri" w:hAnsi="Calibri" w:cs="Times New Roman"/>
                <w:color w:val="262626"/>
                <w:sz w:val="18"/>
              </w:rPr>
            </w:pPr>
            <w:r w:rsidRPr="004032E8">
              <w:rPr>
                <w:rFonts w:ascii="Calibri" w:eastAsia="Calibri" w:hAnsi="Calibri" w:cs="Times New Roman"/>
                <w:color w:val="262626"/>
                <w:sz w:val="18"/>
              </w:rPr>
              <w:t xml:space="preserve">There is cross department support with DSS and NIAA staff working </w:t>
            </w:r>
            <w:r w:rsidR="003364B7" w:rsidRPr="004032E8">
              <w:rPr>
                <w:rFonts w:ascii="Calibri" w:eastAsia="Calibri" w:hAnsi="Calibri" w:cs="Times New Roman"/>
                <w:color w:val="262626"/>
                <w:sz w:val="18"/>
              </w:rPr>
              <w:t xml:space="preserve">alongside </w:t>
            </w:r>
            <w:r w:rsidRPr="004032E8">
              <w:rPr>
                <w:rFonts w:ascii="Calibri" w:eastAsia="Calibri" w:hAnsi="Calibri" w:cs="Times New Roman"/>
                <w:color w:val="262626"/>
                <w:sz w:val="18"/>
              </w:rPr>
              <w:t>Services Australia.</w:t>
            </w:r>
          </w:p>
        </w:tc>
      </w:tr>
      <w:tr w:rsidR="009F1DC6" w14:paraId="65EEB96E" w14:textId="77777777" w:rsidTr="00944096">
        <w:tc>
          <w:tcPr>
            <w:tcW w:w="2261" w:type="dxa"/>
          </w:tcPr>
          <w:p w14:paraId="5CDF3174" w14:textId="77777777" w:rsidR="009F1DC6" w:rsidRPr="004032E8" w:rsidRDefault="009F1DC6" w:rsidP="00461A47">
            <w:pPr>
              <w:rPr>
                <w:rFonts w:ascii="Calibri" w:eastAsia="Calibri" w:hAnsi="Calibri" w:cs="Times New Roman"/>
                <w:color w:val="262626"/>
                <w:sz w:val="18"/>
              </w:rPr>
            </w:pPr>
            <w:r w:rsidRPr="004032E8">
              <w:rPr>
                <w:rFonts w:ascii="Calibri" w:eastAsia="Calibri" w:hAnsi="Calibri" w:cs="Times New Roman"/>
                <w:color w:val="262626"/>
                <w:sz w:val="18"/>
              </w:rPr>
              <w:t>Potential increase in adverse social outcomes such as alcohol and illicit drug misuse.</w:t>
            </w:r>
          </w:p>
        </w:tc>
        <w:tc>
          <w:tcPr>
            <w:tcW w:w="1075" w:type="dxa"/>
          </w:tcPr>
          <w:p w14:paraId="797912DE" w14:textId="77777777" w:rsidR="009F1DC6" w:rsidRPr="004032E8" w:rsidRDefault="009F1DC6" w:rsidP="00461A47">
            <w:pPr>
              <w:rPr>
                <w:rFonts w:ascii="Calibri" w:eastAsia="Calibri" w:hAnsi="Calibri" w:cs="Times New Roman"/>
                <w:color w:val="262626"/>
                <w:sz w:val="18"/>
              </w:rPr>
            </w:pPr>
            <w:r w:rsidRPr="004032E8">
              <w:rPr>
                <w:rFonts w:ascii="Calibri" w:eastAsia="Calibri" w:hAnsi="Calibri" w:cs="Times New Roman"/>
                <w:color w:val="262626"/>
                <w:sz w:val="18"/>
              </w:rPr>
              <w:t>low</w:t>
            </w:r>
          </w:p>
        </w:tc>
        <w:tc>
          <w:tcPr>
            <w:tcW w:w="912" w:type="dxa"/>
          </w:tcPr>
          <w:p w14:paraId="34D5C5C9" w14:textId="77777777" w:rsidR="009F1DC6" w:rsidRPr="004032E8" w:rsidRDefault="009F1DC6" w:rsidP="00461A47">
            <w:pPr>
              <w:rPr>
                <w:rFonts w:ascii="Calibri" w:eastAsia="Calibri" w:hAnsi="Calibri" w:cs="Times New Roman"/>
                <w:color w:val="262626"/>
                <w:sz w:val="18"/>
              </w:rPr>
            </w:pPr>
            <w:r w:rsidRPr="004032E8">
              <w:rPr>
                <w:rFonts w:ascii="Calibri" w:eastAsia="Calibri" w:hAnsi="Calibri" w:cs="Times New Roman"/>
                <w:color w:val="262626"/>
                <w:sz w:val="18"/>
              </w:rPr>
              <w:t>high</w:t>
            </w:r>
          </w:p>
        </w:tc>
        <w:tc>
          <w:tcPr>
            <w:tcW w:w="5946" w:type="dxa"/>
          </w:tcPr>
          <w:p w14:paraId="081182AB" w14:textId="77777777" w:rsidR="009F1DC6" w:rsidRPr="004032E8" w:rsidRDefault="003364B7" w:rsidP="00031DCD">
            <w:pPr>
              <w:pStyle w:val="ListParagraph"/>
              <w:numPr>
                <w:ilvl w:val="0"/>
                <w:numId w:val="22"/>
              </w:numPr>
              <w:rPr>
                <w:rFonts w:ascii="Calibri" w:eastAsia="Calibri" w:hAnsi="Calibri" w:cs="Times New Roman"/>
                <w:color w:val="262626"/>
                <w:sz w:val="18"/>
              </w:rPr>
            </w:pPr>
            <w:r w:rsidRPr="004032E8">
              <w:rPr>
                <w:rFonts w:ascii="Calibri" w:eastAsia="Calibri" w:hAnsi="Calibri" w:cs="Times New Roman"/>
                <w:color w:val="262626"/>
                <w:sz w:val="18"/>
              </w:rPr>
              <w:t>Effective t</w:t>
            </w:r>
            <w:r w:rsidR="009F1DC6" w:rsidRPr="004032E8">
              <w:rPr>
                <w:rFonts w:ascii="Calibri" w:eastAsia="Calibri" w:hAnsi="Calibri" w:cs="Times New Roman"/>
                <w:color w:val="262626"/>
                <w:sz w:val="18"/>
              </w:rPr>
              <w:t>ransitional arrangements, including the transition interview allowing referral/s to support (as needed) and the targeted communication messaging.</w:t>
            </w:r>
          </w:p>
          <w:p w14:paraId="22CE9B03" w14:textId="77777777" w:rsidR="009F1DC6" w:rsidRPr="004032E8" w:rsidRDefault="009F1DC6" w:rsidP="00031DCD">
            <w:pPr>
              <w:pStyle w:val="ListParagraph"/>
              <w:numPr>
                <w:ilvl w:val="0"/>
                <w:numId w:val="22"/>
              </w:numPr>
              <w:rPr>
                <w:rFonts w:ascii="Calibri" w:eastAsia="Calibri" w:hAnsi="Calibri" w:cs="Times New Roman"/>
                <w:color w:val="262626"/>
                <w:sz w:val="18"/>
              </w:rPr>
            </w:pPr>
            <w:r w:rsidRPr="004032E8">
              <w:rPr>
                <w:rFonts w:ascii="Calibri" w:eastAsia="Calibri" w:hAnsi="Calibri" w:cs="Times New Roman"/>
                <w:color w:val="262626"/>
                <w:sz w:val="18"/>
              </w:rPr>
              <w:t>Continuation of CDC support services and the option for people to participate in IM.</w:t>
            </w:r>
          </w:p>
          <w:p w14:paraId="6B1D811A" w14:textId="77777777" w:rsidR="009F1DC6" w:rsidRPr="004032E8" w:rsidRDefault="009F1DC6" w:rsidP="00AF7FE3">
            <w:pPr>
              <w:pStyle w:val="ListParagraph"/>
              <w:numPr>
                <w:ilvl w:val="0"/>
                <w:numId w:val="22"/>
              </w:numPr>
              <w:rPr>
                <w:rFonts w:ascii="Calibri" w:eastAsia="Calibri" w:hAnsi="Calibri" w:cs="Times New Roman"/>
                <w:color w:val="262626"/>
                <w:sz w:val="18"/>
              </w:rPr>
            </w:pPr>
            <w:r w:rsidRPr="004032E8">
              <w:rPr>
                <w:sz w:val="18"/>
              </w:rPr>
              <w:t>Provide support</w:t>
            </w:r>
            <w:r w:rsidR="00AF7FE3" w:rsidRPr="004032E8">
              <w:rPr>
                <w:sz w:val="18"/>
              </w:rPr>
              <w:t xml:space="preserve"> services</w:t>
            </w:r>
            <w:r w:rsidRPr="004032E8">
              <w:rPr>
                <w:sz w:val="18"/>
              </w:rPr>
              <w:t xml:space="preserve"> identified in partnership with local communities, including First Nations leaders.</w:t>
            </w:r>
          </w:p>
        </w:tc>
      </w:tr>
    </w:tbl>
    <w:p w14:paraId="124C9BE3" w14:textId="77777777" w:rsidR="009F1DC6" w:rsidRPr="00F65177" w:rsidRDefault="00174454" w:rsidP="009F1DC6">
      <w:pPr>
        <w:pStyle w:val="Heading4"/>
      </w:pPr>
      <w:r>
        <w:t>7.1.1.2.3</w:t>
      </w:r>
      <w:r w:rsidR="00AC4A1B">
        <w:t xml:space="preserve"> </w:t>
      </w:r>
      <w:r w:rsidR="009F1DC6" w:rsidRPr="00F65177">
        <w:t>Transition arrangements</w:t>
      </w:r>
    </w:p>
    <w:p w14:paraId="20050EA9" w14:textId="77777777" w:rsidR="009F1DC6" w:rsidRDefault="009F1DC6" w:rsidP="009F1DC6">
      <w:pPr>
        <w:rPr>
          <w:rFonts w:ascii="Calibri" w:eastAsia="Calibri" w:hAnsi="Calibri" w:cs="Times New Roman"/>
          <w:color w:val="262626"/>
        </w:rPr>
      </w:pPr>
      <w:r>
        <w:rPr>
          <w:rFonts w:ascii="Calibri" w:eastAsia="Calibri" w:hAnsi="Calibri" w:cs="Times New Roman"/>
          <w:color w:val="262626"/>
        </w:rPr>
        <w:t xml:space="preserve">As outlined in response to RIS question </w:t>
      </w:r>
      <w:r w:rsidR="003C1201">
        <w:rPr>
          <w:rFonts w:ascii="Calibri" w:eastAsia="Calibri" w:hAnsi="Calibri" w:cs="Times New Roman"/>
          <w:color w:val="262626"/>
        </w:rPr>
        <w:t>3</w:t>
      </w:r>
      <w:r>
        <w:rPr>
          <w:rFonts w:ascii="Calibri" w:eastAsia="Calibri" w:hAnsi="Calibri" w:cs="Times New Roman"/>
          <w:color w:val="262626"/>
        </w:rPr>
        <w:t>, transition arrangements have been developed to support all CDC and IM participants, whether they leave the pr</w:t>
      </w:r>
      <w:r w:rsidR="00D0330F">
        <w:rPr>
          <w:rFonts w:ascii="Calibri" w:eastAsia="Calibri" w:hAnsi="Calibri" w:cs="Times New Roman"/>
          <w:color w:val="262626"/>
        </w:rPr>
        <w:t>ograms or move to voluntary IM.</w:t>
      </w:r>
    </w:p>
    <w:p w14:paraId="7D102FE6" w14:textId="77777777" w:rsidR="009F1DC6" w:rsidRDefault="009F1DC6" w:rsidP="009F1DC6">
      <w:pPr>
        <w:rPr>
          <w:rFonts w:ascii="Calibri" w:eastAsia="Calibri" w:hAnsi="Calibri" w:cs="Times New Roman"/>
          <w:color w:val="262626"/>
        </w:rPr>
      </w:pPr>
      <w:r>
        <w:rPr>
          <w:rFonts w:ascii="Calibri" w:eastAsia="Calibri" w:hAnsi="Calibri" w:cs="Times New Roman"/>
          <w:color w:val="262626"/>
        </w:rPr>
        <w:t>Important aspects of these transition arrangements that will enable the successful implementation of the new program include:</w:t>
      </w:r>
    </w:p>
    <w:p w14:paraId="710A87D5" w14:textId="77777777" w:rsidR="009F1DC6" w:rsidRDefault="003C1201" w:rsidP="00031DCD">
      <w:pPr>
        <w:pStyle w:val="ListParagraph"/>
        <w:numPr>
          <w:ilvl w:val="0"/>
          <w:numId w:val="29"/>
        </w:numPr>
        <w:rPr>
          <w:rFonts w:ascii="Calibri" w:eastAsia="Calibri" w:hAnsi="Calibri" w:cs="Times New Roman"/>
          <w:color w:val="262626"/>
        </w:rPr>
      </w:pPr>
      <w:r>
        <w:rPr>
          <w:rFonts w:ascii="Calibri" w:eastAsia="Calibri" w:hAnsi="Calibri" w:cs="Times New Roman"/>
          <w:color w:val="262626"/>
        </w:rPr>
        <w:t>e</w:t>
      </w:r>
      <w:r w:rsidR="009F1DC6">
        <w:rPr>
          <w:rFonts w:ascii="Calibri" w:eastAsia="Calibri" w:hAnsi="Calibri" w:cs="Times New Roman"/>
          <w:color w:val="262626"/>
        </w:rPr>
        <w:t>xtensive communications to participants to explain the changes.</w:t>
      </w:r>
    </w:p>
    <w:p w14:paraId="3C09EB31" w14:textId="77777777" w:rsidR="009F1DC6" w:rsidRDefault="003C1201" w:rsidP="00031DCD">
      <w:pPr>
        <w:pStyle w:val="ListParagraph"/>
        <w:numPr>
          <w:ilvl w:val="0"/>
          <w:numId w:val="29"/>
        </w:numPr>
        <w:rPr>
          <w:rFonts w:ascii="Calibri" w:eastAsia="Calibri" w:hAnsi="Calibri" w:cs="Times New Roman"/>
          <w:color w:val="262626"/>
        </w:rPr>
      </w:pPr>
      <w:r>
        <w:rPr>
          <w:rFonts w:ascii="Calibri" w:eastAsia="Calibri" w:hAnsi="Calibri" w:cs="Times New Roman"/>
          <w:color w:val="262626"/>
        </w:rPr>
        <w:t>o</w:t>
      </w:r>
      <w:r w:rsidR="009F1DC6">
        <w:rPr>
          <w:rFonts w:ascii="Calibri" w:eastAsia="Calibri" w:hAnsi="Calibri" w:cs="Times New Roman"/>
          <w:color w:val="262626"/>
        </w:rPr>
        <w:t>ne on one guidance to support participants to transition, provided by Services Australia who is experienced in managing changes to people</w:t>
      </w:r>
      <w:r w:rsidR="00245855">
        <w:rPr>
          <w:rFonts w:ascii="Calibri" w:eastAsia="Calibri" w:hAnsi="Calibri" w:cs="Times New Roman"/>
          <w:color w:val="262626"/>
        </w:rPr>
        <w:t>’</w:t>
      </w:r>
      <w:r w:rsidR="009F1DC6">
        <w:rPr>
          <w:rFonts w:ascii="Calibri" w:eastAsia="Calibri" w:hAnsi="Calibri" w:cs="Times New Roman"/>
          <w:color w:val="262626"/>
        </w:rPr>
        <w:t>s welfare arrangements.</w:t>
      </w:r>
    </w:p>
    <w:p w14:paraId="63909788" w14:textId="77777777" w:rsidR="009F1DC6" w:rsidRDefault="003C1201" w:rsidP="00031DCD">
      <w:pPr>
        <w:pStyle w:val="ListParagraph"/>
        <w:numPr>
          <w:ilvl w:val="0"/>
          <w:numId w:val="29"/>
        </w:numPr>
        <w:rPr>
          <w:rFonts w:ascii="Calibri" w:eastAsia="Calibri" w:hAnsi="Calibri" w:cs="Times New Roman"/>
          <w:color w:val="262626"/>
        </w:rPr>
      </w:pPr>
      <w:r>
        <w:rPr>
          <w:rFonts w:ascii="Calibri" w:eastAsia="Calibri" w:hAnsi="Calibri" w:cs="Times New Roman"/>
          <w:color w:val="262626"/>
        </w:rPr>
        <w:t>t</w:t>
      </w:r>
      <w:r w:rsidR="009F1DC6">
        <w:rPr>
          <w:rFonts w:ascii="Calibri" w:eastAsia="Calibri" w:hAnsi="Calibri" w:cs="Times New Roman"/>
          <w:color w:val="262626"/>
        </w:rPr>
        <w:t>he option for all former and continuing CDC and IM participants to be referred to existing programs and new support services, ensuring that if they need support with employment, substance issues, domestic violence or other concerns they are able to access support.</w:t>
      </w:r>
    </w:p>
    <w:p w14:paraId="3D12295A" w14:textId="77777777" w:rsidR="007952F0" w:rsidRPr="00F533F6" w:rsidRDefault="00AC4A1B" w:rsidP="007952F0">
      <w:pPr>
        <w:pStyle w:val="Heading2"/>
        <w:rPr>
          <w:rFonts w:eastAsia="Calibri"/>
        </w:rPr>
      </w:pPr>
      <w:bookmarkStart w:id="170" w:name="_Toc108008528"/>
      <w:bookmarkStart w:id="171" w:name="_Toc109652549"/>
      <w:bookmarkStart w:id="172" w:name="_Toc118103787"/>
      <w:r w:rsidRPr="00F533F6">
        <w:rPr>
          <w:rFonts w:eastAsia="Calibri"/>
        </w:rPr>
        <w:t xml:space="preserve">7.1.2 </w:t>
      </w:r>
      <w:r w:rsidR="007952F0" w:rsidRPr="00F533F6">
        <w:rPr>
          <w:rFonts w:eastAsia="Calibri"/>
        </w:rPr>
        <w:t>Monitoring and evaluation</w:t>
      </w:r>
      <w:bookmarkEnd w:id="170"/>
      <w:bookmarkEnd w:id="171"/>
      <w:bookmarkEnd w:id="172"/>
    </w:p>
    <w:p w14:paraId="7CC93F94" w14:textId="77777777" w:rsidR="003E5F74" w:rsidRPr="00531917" w:rsidRDefault="003E5F74" w:rsidP="003E5F74">
      <w:pPr>
        <w:rPr>
          <w:rFonts w:ascii="Calibri" w:eastAsia="Calibri" w:hAnsi="Calibri" w:cs="Times New Roman"/>
          <w:color w:val="262626"/>
        </w:rPr>
      </w:pPr>
      <w:r w:rsidRPr="00531917">
        <w:rPr>
          <w:rFonts w:ascii="Calibri" w:eastAsia="Calibri" w:hAnsi="Calibri" w:cs="Times New Roman"/>
          <w:color w:val="262626"/>
        </w:rPr>
        <w:t>Implementation of the transition off the CDC and reform of IM will be closely monitored and evaluated. To monitor activities, the Department and Services Australia will generate real-time reports and undertake analysis using social security payment data and other administrative data. In each region, data will be used to inform community engagement, deployment of transition support, and coordinatio</w:t>
      </w:r>
      <w:r w:rsidR="00531917">
        <w:rPr>
          <w:rFonts w:ascii="Calibri" w:eastAsia="Calibri" w:hAnsi="Calibri" w:cs="Times New Roman"/>
          <w:color w:val="262626"/>
        </w:rPr>
        <w:t>n with local service providers.</w:t>
      </w:r>
    </w:p>
    <w:p w14:paraId="4F990175" w14:textId="77777777" w:rsidR="003E5F74" w:rsidRPr="00531917" w:rsidRDefault="003E5F74" w:rsidP="003E5F74">
      <w:pPr>
        <w:rPr>
          <w:rFonts w:ascii="Calibri" w:eastAsia="Calibri" w:hAnsi="Calibri" w:cs="Times New Roman"/>
          <w:color w:val="262626"/>
        </w:rPr>
      </w:pPr>
      <w:r w:rsidRPr="00531917">
        <w:rPr>
          <w:rFonts w:ascii="Calibri" w:eastAsia="Calibri" w:hAnsi="Calibri" w:cs="Times New Roman"/>
          <w:color w:val="262626"/>
        </w:rPr>
        <w:t>Progress of transitions off the CDC program will be tracked at the national and local levels, to ensure that all participants are transitioned in advance of the program end dates. As well as tracking the progress of implementation, transition monitoring will focus on potential unintended impacts. In addition, Services Australia will conduct a Post Implementation Review (PIR), includ</w:t>
      </w:r>
      <w:r w:rsidR="00531917" w:rsidRPr="00531917">
        <w:rPr>
          <w:rFonts w:ascii="Calibri" w:eastAsia="Calibri" w:hAnsi="Calibri" w:cs="Times New Roman"/>
          <w:color w:val="262626"/>
        </w:rPr>
        <w:t>ing capturing lessons learned.</w:t>
      </w:r>
    </w:p>
    <w:p w14:paraId="3BD9C689" w14:textId="77777777" w:rsidR="003E5F74" w:rsidRPr="00531917" w:rsidRDefault="003E5F74" w:rsidP="003E5F74">
      <w:pPr>
        <w:rPr>
          <w:rFonts w:ascii="Calibri" w:eastAsia="Calibri" w:hAnsi="Calibri" w:cs="Times New Roman"/>
          <w:color w:val="262626"/>
        </w:rPr>
      </w:pPr>
      <w:r w:rsidRPr="00531917">
        <w:rPr>
          <w:rFonts w:ascii="Calibri" w:eastAsia="Calibri" w:hAnsi="Calibri" w:cs="Times New Roman"/>
          <w:color w:val="262626"/>
        </w:rPr>
        <w:t>An evaluation strategy will be developed, in partnership with community, to analyse implementation and outcomes, as well as impact of the extended or new support services. The Department will consult with affected communities to ensure that the approach and methods are fit for purpose. This may include co-design evaluation with communities and identifying measures the communities see as important. Data and evaluation findings will be shared with communities, supporting the Government’s National Agreement on Closing the Gap priority reforms.</w:t>
      </w:r>
    </w:p>
    <w:p w14:paraId="2CA2583A" w14:textId="77777777" w:rsidR="003E5F74" w:rsidRPr="00531917" w:rsidRDefault="003E5F74" w:rsidP="003E5F74">
      <w:pPr>
        <w:rPr>
          <w:rFonts w:ascii="Calibri" w:eastAsia="Calibri" w:hAnsi="Calibri" w:cs="Times New Roman"/>
          <w:color w:val="262626"/>
        </w:rPr>
      </w:pPr>
      <w:r w:rsidRPr="00531917">
        <w:rPr>
          <w:rFonts w:ascii="Calibri" w:eastAsia="Calibri" w:hAnsi="Calibri" w:cs="Times New Roman"/>
          <w:color w:val="262626"/>
        </w:rPr>
        <w:t xml:space="preserve">Analysis and evaluation activities will aim to understand the experience of participants coming off the CDC program. </w:t>
      </w:r>
      <w:r w:rsidR="0053074D">
        <w:rPr>
          <w:rFonts w:ascii="Calibri" w:eastAsia="Calibri" w:hAnsi="Calibri" w:cs="Times New Roman"/>
          <w:color w:val="262626"/>
        </w:rPr>
        <w:t xml:space="preserve">This will include </w:t>
      </w:r>
      <w:r w:rsidRPr="00531917">
        <w:rPr>
          <w:rFonts w:ascii="Calibri" w:eastAsia="Calibri" w:hAnsi="Calibri" w:cs="Times New Roman"/>
          <w:color w:val="262626"/>
        </w:rPr>
        <w:t>collect</w:t>
      </w:r>
      <w:r w:rsidR="0053074D">
        <w:rPr>
          <w:rFonts w:ascii="Calibri" w:eastAsia="Calibri" w:hAnsi="Calibri" w:cs="Times New Roman"/>
          <w:color w:val="262626"/>
        </w:rPr>
        <w:t>ing</w:t>
      </w:r>
      <w:r w:rsidRPr="00531917">
        <w:rPr>
          <w:rFonts w:ascii="Calibri" w:eastAsia="Calibri" w:hAnsi="Calibri" w:cs="Times New Roman"/>
          <w:color w:val="262626"/>
        </w:rPr>
        <w:t xml:space="preserve"> data on CDC participants’ experiences transitioning off the CDC</w:t>
      </w:r>
      <w:r w:rsidR="0053074D">
        <w:rPr>
          <w:rFonts w:ascii="Calibri" w:eastAsia="Calibri" w:hAnsi="Calibri" w:cs="Times New Roman"/>
          <w:color w:val="262626"/>
        </w:rPr>
        <w:t xml:space="preserve"> and</w:t>
      </w:r>
      <w:r w:rsidRPr="00531917">
        <w:rPr>
          <w:rFonts w:ascii="Calibri" w:eastAsia="Calibri" w:hAnsi="Calibri" w:cs="Times New Roman"/>
          <w:color w:val="262626"/>
        </w:rPr>
        <w:t xml:space="preserve"> participants’ circumstances, such as financial, social and health status.</w:t>
      </w:r>
    </w:p>
    <w:p w14:paraId="6B1F7678" w14:textId="77777777" w:rsidR="003E5F74" w:rsidRDefault="003E5F74" w:rsidP="003E5F74">
      <w:pPr>
        <w:rPr>
          <w:color w:val="auto"/>
          <w:sz w:val="22"/>
          <w:szCs w:val="22"/>
        </w:rPr>
      </w:pPr>
      <w:r w:rsidRPr="00531917">
        <w:rPr>
          <w:rFonts w:ascii="Calibri" w:eastAsia="Calibri" w:hAnsi="Calibri" w:cs="Times New Roman"/>
          <w:color w:val="262626"/>
        </w:rPr>
        <w:t>Measuring the impact of discrete social policies and programs is complex. Monitoring, analysis and evaluation will used mixed methods, with both qualitative and quantitative data. This will include data analytics using a Department data asset. The Department will also engage with state and territory agencies and other service providers about data sharing and the possibility of accessing data related to social outcomes such as financial wellbeing and community safety.</w:t>
      </w:r>
    </w:p>
    <w:p w14:paraId="3110CBC9" w14:textId="77777777" w:rsidR="007C5FA7" w:rsidRPr="00B42D5A" w:rsidRDefault="007C5FA7" w:rsidP="00E6567D">
      <w:pPr>
        <w:rPr>
          <w:rFonts w:ascii="Calibri" w:eastAsia="Calibri" w:hAnsi="Calibri" w:cs="Times New Roman"/>
          <w:color w:val="262626"/>
        </w:rPr>
      </w:pPr>
      <w:r>
        <w:br w:type="page"/>
      </w:r>
    </w:p>
    <w:p w14:paraId="6C66B0F6" w14:textId="28CFD6B6" w:rsidR="00E72FEB" w:rsidRDefault="00E72FEB" w:rsidP="00E72FEB">
      <w:pPr>
        <w:pStyle w:val="Title"/>
      </w:pPr>
      <w:bookmarkStart w:id="173" w:name="_Toc99449513"/>
      <w:bookmarkStart w:id="174" w:name="_Toc108008529"/>
      <w:bookmarkStart w:id="175" w:name="_Toc118103788"/>
      <w:r>
        <w:t>A</w:t>
      </w:r>
      <w:r w:rsidR="00F767BA">
        <w:t>ttachment</w:t>
      </w:r>
      <w:r>
        <w:t xml:space="preserve"> A</w:t>
      </w:r>
      <w:bookmarkEnd w:id="173"/>
      <w:bookmarkEnd w:id="174"/>
      <w:bookmarkEnd w:id="175"/>
    </w:p>
    <w:p w14:paraId="3A9FD07E" w14:textId="77777777" w:rsidR="00E72FEB" w:rsidRDefault="00E72FEB" w:rsidP="00025205">
      <w:pPr>
        <w:pStyle w:val="Heading2"/>
      </w:pPr>
      <w:bookmarkStart w:id="176" w:name="_Toc94621266"/>
      <w:bookmarkStart w:id="177" w:name="_Toc99449514"/>
      <w:bookmarkStart w:id="178" w:name="_Toc108008530"/>
      <w:bookmarkStart w:id="179" w:name="_Toc118103789"/>
      <w:r>
        <w:t>Income Management</w:t>
      </w:r>
      <w:bookmarkEnd w:id="176"/>
      <w:bookmarkEnd w:id="177"/>
      <w:bookmarkEnd w:id="178"/>
      <w:bookmarkEnd w:id="179"/>
    </w:p>
    <w:p w14:paraId="200E46D2" w14:textId="77777777" w:rsidR="00E72FEB" w:rsidRDefault="00E72FEB" w:rsidP="00E72FEB">
      <w:r>
        <w:t>On 8 August 2006, the N</w:t>
      </w:r>
      <w:r w:rsidR="00F15809">
        <w:t>T</w:t>
      </w:r>
      <w:r>
        <w:t xml:space="preserve"> Government established a Board of Inquiry into the Protection of Aboriginal Children from Sexual Abuse to investigate reports of child sexual abuse in the N</w:t>
      </w:r>
      <w:r w:rsidR="00F15809">
        <w:t>T</w:t>
      </w:r>
      <w:r>
        <w:t xml:space="preserve"> and suggest possible solutions.</w:t>
      </w:r>
      <w:r w:rsidRPr="003F10E1">
        <w:t xml:space="preserve"> </w:t>
      </w:r>
      <w:r>
        <w:t xml:space="preserve">The resulting report, </w:t>
      </w:r>
      <w:r w:rsidRPr="00BE4382">
        <w:rPr>
          <w:i/>
        </w:rPr>
        <w:t>Little Children Are Sacred</w:t>
      </w:r>
      <w:r>
        <w:rPr>
          <w:i/>
        </w:rPr>
        <w:t xml:space="preserve">, </w:t>
      </w:r>
      <w:r>
        <w:t>was published on</w:t>
      </w:r>
      <w:r w:rsidR="0027417F">
        <w:t xml:space="preserve"> 30 April 2007</w:t>
      </w:r>
      <w:r w:rsidRPr="000B76C8">
        <w:rPr>
          <w:rStyle w:val="FootnoteReference"/>
        </w:rPr>
        <w:footnoteReference w:id="36"/>
      </w:r>
      <w:r w:rsidR="0027417F">
        <w:t xml:space="preserve">. </w:t>
      </w:r>
      <w:r>
        <w:t>The report contained 97 recommendations to the N</w:t>
      </w:r>
      <w:r w:rsidR="00F15809">
        <w:t>T</w:t>
      </w:r>
      <w:r>
        <w:t xml:space="preserve"> Chief Minister, including designating the issue of child protection as one of urgent national significance by both the Australian and N</w:t>
      </w:r>
      <w:r w:rsidR="00F15809">
        <w:t>T</w:t>
      </w:r>
      <w:r>
        <w:t xml:space="preserve"> governments, and improving policies around:</w:t>
      </w:r>
    </w:p>
    <w:p w14:paraId="5EBF9FFB" w14:textId="77777777" w:rsidR="00E72FEB" w:rsidRDefault="00E72FEB" w:rsidP="00A733EC">
      <w:pPr>
        <w:pStyle w:val="ListParagraph"/>
        <w:numPr>
          <w:ilvl w:val="0"/>
          <w:numId w:val="14"/>
        </w:numPr>
        <w:spacing w:before="120" w:after="180" w:line="280" w:lineRule="atLeast"/>
      </w:pPr>
      <w:r>
        <w:t>education and school attendance</w:t>
      </w:r>
    </w:p>
    <w:p w14:paraId="78695B23" w14:textId="77777777" w:rsidR="00E72FEB" w:rsidRDefault="00E72FEB" w:rsidP="00A733EC">
      <w:pPr>
        <w:pStyle w:val="ListParagraph"/>
        <w:numPr>
          <w:ilvl w:val="0"/>
          <w:numId w:val="14"/>
        </w:numPr>
        <w:spacing w:before="120" w:after="180" w:line="280" w:lineRule="atLeast"/>
      </w:pPr>
      <w:r>
        <w:t>coordination with Family and Child Services</w:t>
      </w:r>
    </w:p>
    <w:p w14:paraId="7CDA50B0" w14:textId="77777777" w:rsidR="00E72FEB" w:rsidRDefault="00E72FEB" w:rsidP="00A733EC">
      <w:pPr>
        <w:pStyle w:val="ListParagraph"/>
        <w:numPr>
          <w:ilvl w:val="0"/>
          <w:numId w:val="14"/>
        </w:numPr>
        <w:spacing w:before="120" w:after="180" w:line="280" w:lineRule="atLeast"/>
      </w:pPr>
      <w:r>
        <w:t>alcohol management and reduction of alcohol-related harm</w:t>
      </w:r>
    </w:p>
    <w:p w14:paraId="5E565D42" w14:textId="77777777" w:rsidR="00E72FEB" w:rsidRDefault="00E72FEB" w:rsidP="00A733EC">
      <w:pPr>
        <w:pStyle w:val="ListParagraph"/>
        <w:numPr>
          <w:ilvl w:val="0"/>
          <w:numId w:val="14"/>
        </w:numPr>
        <w:spacing w:before="120" w:after="180" w:line="280" w:lineRule="atLeast"/>
      </w:pPr>
      <w:r>
        <w:t>illicit substance abuse</w:t>
      </w:r>
    </w:p>
    <w:p w14:paraId="3244876B" w14:textId="77777777" w:rsidR="00E72FEB" w:rsidRDefault="00E72FEB" w:rsidP="00A733EC">
      <w:pPr>
        <w:pStyle w:val="ListParagraph"/>
        <w:numPr>
          <w:ilvl w:val="0"/>
          <w:numId w:val="14"/>
        </w:numPr>
        <w:spacing w:before="120" w:after="180" w:line="280" w:lineRule="atLeast"/>
      </w:pPr>
      <w:r>
        <w:t>employment opportunities</w:t>
      </w:r>
    </w:p>
    <w:p w14:paraId="0A0BD091" w14:textId="77777777" w:rsidR="00E72FEB" w:rsidRDefault="00E72FEB" w:rsidP="00A733EC">
      <w:pPr>
        <w:pStyle w:val="ListParagraph"/>
        <w:numPr>
          <w:ilvl w:val="0"/>
          <w:numId w:val="14"/>
        </w:numPr>
        <w:spacing w:before="120" w:after="180" w:line="280" w:lineRule="atLeast"/>
      </w:pPr>
      <w:r>
        <w:t>housing, in particular overcrowding</w:t>
      </w:r>
    </w:p>
    <w:p w14:paraId="024D031A" w14:textId="77777777" w:rsidR="00E72FEB" w:rsidRDefault="00E72FEB" w:rsidP="00A733EC">
      <w:pPr>
        <w:pStyle w:val="ListParagraph"/>
        <w:numPr>
          <w:ilvl w:val="0"/>
          <w:numId w:val="14"/>
        </w:numPr>
        <w:spacing w:before="120" w:after="180" w:line="280" w:lineRule="atLeast"/>
      </w:pPr>
      <w:r>
        <w:t>pornography and</w:t>
      </w:r>
    </w:p>
    <w:p w14:paraId="5F7CA74D" w14:textId="77777777" w:rsidR="00E72FEB" w:rsidRDefault="00E72FEB" w:rsidP="00A733EC">
      <w:pPr>
        <w:pStyle w:val="ListParagraph"/>
        <w:numPr>
          <w:ilvl w:val="0"/>
          <w:numId w:val="14"/>
        </w:numPr>
        <w:spacing w:before="120" w:after="180" w:line="280" w:lineRule="atLeast"/>
      </w:pPr>
      <w:r>
        <w:t>gambling.</w:t>
      </w:r>
    </w:p>
    <w:p w14:paraId="4C2B3148" w14:textId="77777777" w:rsidR="00E72FEB" w:rsidRDefault="00E72FEB" w:rsidP="00E72FEB">
      <w:r>
        <w:t xml:space="preserve">In response to the findings and recommendations from </w:t>
      </w:r>
      <w:r w:rsidRPr="00F73E58">
        <w:rPr>
          <w:i/>
        </w:rPr>
        <w:t>Little Children are Sacred</w:t>
      </w:r>
      <w:r>
        <w:t>, the</w:t>
      </w:r>
      <w:r w:rsidR="00245855">
        <w:t xml:space="preserve"> then Commonwealth</w:t>
      </w:r>
      <w:r>
        <w:t xml:space="preserve"> Government introduced I</w:t>
      </w:r>
      <w:r w:rsidR="00F15809">
        <w:t>M</w:t>
      </w:r>
      <w:r>
        <w:t xml:space="preserve"> in 2007 as part of the Northern Territory Emergency Response (NTER), authorised under the </w:t>
      </w:r>
      <w:r w:rsidRPr="009B1427">
        <w:rPr>
          <w:i/>
        </w:rPr>
        <w:t>Northern Territory National Emergency Response Act 2007</w:t>
      </w:r>
      <w:r>
        <w:rPr>
          <w:i/>
        </w:rPr>
        <w:t xml:space="preserve"> </w:t>
      </w:r>
      <w:r w:rsidRPr="00F161F1">
        <w:t>(the NTER Act)</w:t>
      </w:r>
      <w:r>
        <w:t>. I</w:t>
      </w:r>
      <w:r w:rsidR="00F15809">
        <w:t>M</w:t>
      </w:r>
      <w:r>
        <w:t xml:space="preserve"> was one of a raft of policies across the areas of service coordination, law and order, family support, employment, health, education, and housing and land reform.</w:t>
      </w:r>
    </w:p>
    <w:p w14:paraId="300E6EC0" w14:textId="77777777" w:rsidR="00E72FEB" w:rsidRDefault="00E72FEB" w:rsidP="00E72FEB">
      <w:r>
        <w:t>The NTER Act facilitated I</w:t>
      </w:r>
      <w:r w:rsidR="00F15809">
        <w:t>M</w:t>
      </w:r>
      <w:r>
        <w:t xml:space="preserve"> for </w:t>
      </w:r>
      <w:r w:rsidR="00EB6044">
        <w:t>income support</w:t>
      </w:r>
      <w:r w:rsidR="00EB6044" w:rsidDel="00EB6044">
        <w:t xml:space="preserve"> </w:t>
      </w:r>
      <w:r>
        <w:t xml:space="preserve">payment recipients in 73 prescribed Aboriginal communities and town camps, with 50 per cent of a person’s </w:t>
      </w:r>
      <w:r w:rsidR="00EB6044">
        <w:t>income support</w:t>
      </w:r>
      <w:r w:rsidR="00EB6044" w:rsidDel="00EB6044">
        <w:t xml:space="preserve"> </w:t>
      </w:r>
      <w:r>
        <w:t>payment income managed and reserved for priority needs to support that person and their fami</w:t>
      </w:r>
      <w:r w:rsidR="00FD2793">
        <w:t>ly, in particular any children.</w:t>
      </w:r>
    </w:p>
    <w:p w14:paraId="34BB7C30" w14:textId="77777777" w:rsidR="00E72FEB" w:rsidRDefault="00E72FEB" w:rsidP="00E72FEB">
      <w:r>
        <w:t xml:space="preserve">A review titled the </w:t>
      </w:r>
      <w:r w:rsidRPr="00F75723">
        <w:rPr>
          <w:i/>
        </w:rPr>
        <w:t>Northern Territory Emergency Response: One Year On</w:t>
      </w:r>
      <w:r w:rsidR="009573E8">
        <w:t>, reported in the first year of</w:t>
      </w:r>
      <w:r>
        <w:t xml:space="preserve"> Income Management being introduced into the Northern Territory, more than 90 per cent of income managed funds had been spent on priority</w:t>
      </w:r>
      <w:r w:rsidR="00FD2793">
        <w:t xml:space="preserve">. </w:t>
      </w:r>
      <w:r w:rsidR="009573E8">
        <w:t>At this point in time there were more than</w:t>
      </w:r>
      <w:r>
        <w:t xml:space="preserve"> 13,300 participants</w:t>
      </w:r>
      <w:r w:rsidR="009573E8">
        <w:t xml:space="preserve"> in the NT</w:t>
      </w:r>
      <w:r>
        <w:t>.</w:t>
      </w:r>
      <w:r w:rsidRPr="000B76C8">
        <w:rPr>
          <w:rStyle w:val="FootnoteReference"/>
        </w:rPr>
        <w:footnoteReference w:id="37"/>
      </w:r>
    </w:p>
    <w:p w14:paraId="17981F5F" w14:textId="77777777" w:rsidR="00E72FEB" w:rsidRDefault="00E72FEB" w:rsidP="00E72FEB">
      <w:r>
        <w:t xml:space="preserve">The NTER board was appointed to conduct an independent review of the NTER measures which was released on 13 October 2008. The Board found the benefits of Income Management were increasingly being experienced by participants. The </w:t>
      </w:r>
      <w:r w:rsidR="00245855">
        <w:t xml:space="preserve">then </w:t>
      </w:r>
      <w:r>
        <w:t xml:space="preserve">Government formally responded to the review in May 2009 with the release of </w:t>
      </w:r>
      <w:r>
        <w:rPr>
          <w:i/>
        </w:rPr>
        <w:t>Future directions for the Northern Territory Emergency Response: a discussion paper</w:t>
      </w:r>
      <w:r w:rsidR="00FD2793">
        <w:t>.</w:t>
      </w:r>
    </w:p>
    <w:p w14:paraId="41F8427F" w14:textId="77777777" w:rsidR="00E72FEB" w:rsidRDefault="00E72FEB" w:rsidP="00E72FEB">
      <w:pPr>
        <w:spacing w:after="200" w:line="276" w:lineRule="auto"/>
      </w:pPr>
      <w:r>
        <w:t xml:space="preserve">The discussion paper set out a number of proposals of how NTER measures should be continued and community views were being sought when evaluation was being completed. The </w:t>
      </w:r>
      <w:r w:rsidR="00245855">
        <w:t xml:space="preserve">then </w:t>
      </w:r>
      <w:r>
        <w:t>Government’s view in the paper stated that I</w:t>
      </w:r>
      <w:r w:rsidR="00F15809">
        <w:t>M</w:t>
      </w:r>
      <w:r>
        <w:t xml:space="preserve"> should be continued as it was helping children, improving families’ financial security and community safety by minimising the amount of money available to</w:t>
      </w:r>
      <w:r w:rsidR="00FD2793">
        <w:t xml:space="preserve"> purchase alcohol and gambling.</w:t>
      </w:r>
    </w:p>
    <w:p w14:paraId="6C1BEACF" w14:textId="5590CAF3" w:rsidR="00483CEB" w:rsidRDefault="00483CEB">
      <w:r>
        <w:br w:type="page"/>
      </w:r>
    </w:p>
    <w:p w14:paraId="253B0EDD" w14:textId="7341637A" w:rsidR="00E72FEB" w:rsidRPr="007032A0" w:rsidRDefault="00E72FEB" w:rsidP="00E72FEB">
      <w:r>
        <w:rPr>
          <w:b/>
          <w:sz w:val="22"/>
          <w:szCs w:val="22"/>
        </w:rPr>
        <w:t xml:space="preserve">Table 1: Income Management measures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Income Management measures"/>
      </w:tblPr>
      <w:tblGrid>
        <w:gridCol w:w="4672"/>
        <w:gridCol w:w="4672"/>
      </w:tblGrid>
      <w:tr w:rsidR="00E72FEB" w:rsidRPr="00E37B13" w14:paraId="1035423F" w14:textId="77777777" w:rsidTr="00FA0E32">
        <w:tc>
          <w:tcPr>
            <w:tcW w:w="9344" w:type="dxa"/>
            <w:gridSpan w:val="2"/>
          </w:tcPr>
          <w:p w14:paraId="65B5F2EC" w14:textId="77777777" w:rsidR="00E72FEB" w:rsidRPr="00E37B13" w:rsidRDefault="00E72FEB" w:rsidP="00033A84">
            <w:pPr>
              <w:rPr>
                <w:b/>
                <w:i/>
              </w:rPr>
            </w:pPr>
            <w:r w:rsidRPr="00E37B13">
              <w:rPr>
                <w:b/>
                <w:i/>
              </w:rPr>
              <w:t xml:space="preserve">2008 – 2009 </w:t>
            </w:r>
          </w:p>
        </w:tc>
      </w:tr>
      <w:tr w:rsidR="00E72FEB" w:rsidRPr="00E37B13" w14:paraId="10E840BC" w14:textId="77777777" w:rsidTr="00FA0E32">
        <w:tc>
          <w:tcPr>
            <w:tcW w:w="4672" w:type="dxa"/>
          </w:tcPr>
          <w:p w14:paraId="663B1DB0" w14:textId="77777777" w:rsidR="00E72FEB" w:rsidRPr="00E37B13" w:rsidRDefault="00E72FEB" w:rsidP="00033A84">
            <w:pPr>
              <w:rPr>
                <w:u w:val="single"/>
              </w:rPr>
            </w:pPr>
            <w:r w:rsidRPr="00E37B13">
              <w:rPr>
                <w:u w:val="single"/>
              </w:rPr>
              <w:t>Child Protection</w:t>
            </w:r>
          </w:p>
          <w:p w14:paraId="04EEC8A0" w14:textId="77777777" w:rsidR="00E72FEB" w:rsidRPr="00E37B13" w:rsidRDefault="00E72FEB" w:rsidP="00033A84">
            <w:r w:rsidRPr="00E37B13">
              <w:t>Individuals referred by child protection caseworker if that caseworker believes a child in their care is at risk of neglect.</w:t>
            </w:r>
          </w:p>
          <w:p w14:paraId="579353E0" w14:textId="77777777" w:rsidR="00E72FEB" w:rsidRPr="00E37B13" w:rsidRDefault="00E72FEB" w:rsidP="00033A84">
            <w:r w:rsidRPr="00E37B13">
              <w:t>70-30 payment split.</w:t>
            </w:r>
          </w:p>
          <w:p w14:paraId="4A05A997" w14:textId="77777777" w:rsidR="00E72FEB" w:rsidRPr="00E37B13" w:rsidRDefault="00E72FEB" w:rsidP="00033A84">
            <w:pPr>
              <w:rPr>
                <w:u w:val="single"/>
              </w:rPr>
            </w:pPr>
            <w:r w:rsidRPr="00E37B13">
              <w:rPr>
                <w:u w:val="single"/>
              </w:rPr>
              <w:t>Voluntary</w:t>
            </w:r>
          </w:p>
          <w:p w14:paraId="5647F14D" w14:textId="77777777" w:rsidR="00E72FEB" w:rsidRPr="00E37B13" w:rsidRDefault="00E72FEB" w:rsidP="00033A84">
            <w:r w:rsidRPr="00E37B13">
              <w:t xml:space="preserve">Individuals volunteer through the </w:t>
            </w:r>
            <w:r w:rsidR="007E6BCB">
              <w:t>D</w:t>
            </w:r>
            <w:r>
              <w:t>epartment</w:t>
            </w:r>
            <w:r w:rsidRPr="00E37B13">
              <w:t>.</w:t>
            </w:r>
          </w:p>
          <w:p w14:paraId="210102F2" w14:textId="77777777" w:rsidR="00E72FEB" w:rsidRPr="00E37B13" w:rsidRDefault="00E72FEB" w:rsidP="00033A84">
            <w:r w:rsidRPr="00E37B13">
              <w:t xml:space="preserve">50-50 payment split. </w:t>
            </w:r>
          </w:p>
        </w:tc>
        <w:tc>
          <w:tcPr>
            <w:tcW w:w="4672" w:type="dxa"/>
          </w:tcPr>
          <w:p w14:paraId="3EDACDF0" w14:textId="77777777" w:rsidR="00E72FEB" w:rsidRPr="00E37B13" w:rsidRDefault="00E72FEB" w:rsidP="00033A84">
            <w:r w:rsidRPr="00E37B13">
              <w:t xml:space="preserve">Introduced Child Protection and </w:t>
            </w:r>
            <w:r w:rsidR="00F15809">
              <w:t>v</w:t>
            </w:r>
            <w:r w:rsidRPr="00E37B13">
              <w:t>oluntary I</w:t>
            </w:r>
            <w:r w:rsidR="00F15809">
              <w:t>M</w:t>
            </w:r>
            <w:r w:rsidRPr="00E37B13">
              <w:t xml:space="preserve"> measures to Cannington, in Perth, and the Kimberley region, Western Australia, in response to the Western Australian State Coroner’s report into the deaths of 22 people from the Kimberley</w:t>
            </w:r>
            <w:r>
              <w:t xml:space="preserve"> region</w:t>
            </w:r>
            <w:r w:rsidRPr="00E37B13">
              <w:t xml:space="preserve">. </w:t>
            </w:r>
          </w:p>
          <w:p w14:paraId="6B1B49B9" w14:textId="77777777" w:rsidR="00E72FEB" w:rsidRPr="00E37B13" w:rsidRDefault="00E72FEB" w:rsidP="00033A84">
            <w:r w:rsidRPr="00E37B13">
              <w:t>Expanded I</w:t>
            </w:r>
            <w:r w:rsidR="00F15809">
              <w:t>M</w:t>
            </w:r>
            <w:r w:rsidRPr="00E37B13">
              <w:t xml:space="preserve"> to the remainder of metropolitan Perth.</w:t>
            </w:r>
          </w:p>
        </w:tc>
      </w:tr>
      <w:tr w:rsidR="00E72FEB" w:rsidRPr="00E37B13" w14:paraId="7834A10C" w14:textId="77777777" w:rsidTr="00FA0E32">
        <w:tc>
          <w:tcPr>
            <w:tcW w:w="4672" w:type="dxa"/>
          </w:tcPr>
          <w:p w14:paraId="39082FF5" w14:textId="77777777" w:rsidR="00E72FEB" w:rsidRPr="00E37B13" w:rsidRDefault="00E72FEB" w:rsidP="00033A84">
            <w:pPr>
              <w:rPr>
                <w:u w:val="single"/>
              </w:rPr>
            </w:pPr>
            <w:r w:rsidRPr="00E37B13">
              <w:rPr>
                <w:u w:val="single"/>
              </w:rPr>
              <w:t>Cape York</w:t>
            </w:r>
          </w:p>
          <w:p w14:paraId="0A24A4AC" w14:textId="77777777" w:rsidR="00E72FEB" w:rsidRPr="00E37B13" w:rsidRDefault="00E72FEB" w:rsidP="00033A84">
            <w:r w:rsidRPr="00E37B13">
              <w:t>Individuals referred by the FRC if the individual is failing to uphold positive community norms.</w:t>
            </w:r>
          </w:p>
          <w:p w14:paraId="3ACE05B8" w14:textId="77777777" w:rsidR="00E72FEB" w:rsidRPr="00E37B13" w:rsidRDefault="00E72FEB" w:rsidP="00033A84">
            <w:r w:rsidRPr="00E37B13">
              <w:t>60-40, 75-25 or 90-10 payment split, at discretion of FRC.</w:t>
            </w:r>
          </w:p>
        </w:tc>
        <w:tc>
          <w:tcPr>
            <w:tcW w:w="4672" w:type="dxa"/>
          </w:tcPr>
          <w:p w14:paraId="0CBE3645" w14:textId="77777777" w:rsidR="00E72FEB" w:rsidRPr="00E37B13" w:rsidRDefault="00E72FEB" w:rsidP="00033A84">
            <w:r w:rsidRPr="00E37B13">
              <w:t>Introduced I</w:t>
            </w:r>
            <w:r w:rsidR="00F15809">
              <w:t>M</w:t>
            </w:r>
            <w:r w:rsidRPr="00E37B13">
              <w:t xml:space="preserve"> to the Cape York, Queensland, communities of Aurukun, Coen, Hope Vale and Mossman Gorge, as part of the Cape York Welfare Reform package.</w:t>
            </w:r>
          </w:p>
        </w:tc>
      </w:tr>
      <w:tr w:rsidR="00E72FEB" w:rsidRPr="00E37B13" w14:paraId="7ACF2417" w14:textId="77777777" w:rsidTr="00FA0E32">
        <w:tc>
          <w:tcPr>
            <w:tcW w:w="9344" w:type="dxa"/>
            <w:gridSpan w:val="2"/>
          </w:tcPr>
          <w:p w14:paraId="16133B1A" w14:textId="77777777" w:rsidR="00E72FEB" w:rsidRPr="00E37B13" w:rsidRDefault="00E72FEB" w:rsidP="00033A84">
            <w:pPr>
              <w:rPr>
                <w:b/>
                <w:i/>
              </w:rPr>
            </w:pPr>
            <w:r w:rsidRPr="00E37B13">
              <w:rPr>
                <w:b/>
                <w:i/>
              </w:rPr>
              <w:t>2010</w:t>
            </w:r>
          </w:p>
        </w:tc>
      </w:tr>
      <w:tr w:rsidR="00E72FEB" w:rsidRPr="00E37B13" w14:paraId="4F506125" w14:textId="77777777" w:rsidTr="00FA0E32">
        <w:tc>
          <w:tcPr>
            <w:tcW w:w="4672" w:type="dxa"/>
          </w:tcPr>
          <w:p w14:paraId="77A889C7" w14:textId="77777777" w:rsidR="00E72FEB" w:rsidRPr="008B40EF" w:rsidRDefault="00E72FEB" w:rsidP="00033A84">
            <w:pPr>
              <w:rPr>
                <w:u w:val="single"/>
              </w:rPr>
            </w:pPr>
            <w:r w:rsidRPr="008B40EF">
              <w:rPr>
                <w:u w:val="single"/>
              </w:rPr>
              <w:t>Child Protection, Voluntary</w:t>
            </w:r>
          </w:p>
          <w:p w14:paraId="17BA8836" w14:textId="77777777" w:rsidR="00E72FEB" w:rsidRPr="00E37B13" w:rsidRDefault="00E72FEB" w:rsidP="00033A84">
            <w:pPr>
              <w:rPr>
                <w:u w:val="single"/>
              </w:rPr>
            </w:pPr>
            <w:r w:rsidRPr="00E37B13">
              <w:rPr>
                <w:u w:val="single"/>
              </w:rPr>
              <w:t>Disengaged Youth</w:t>
            </w:r>
          </w:p>
          <w:p w14:paraId="6A084F44" w14:textId="77777777" w:rsidR="00E72FEB" w:rsidRPr="00E37B13" w:rsidRDefault="00E72FEB" w:rsidP="00033A84">
            <w:r w:rsidRPr="00E37B13">
              <w:t xml:space="preserve">Individuals, aged 15 to 24 years old, are </w:t>
            </w:r>
            <w:r>
              <w:t>placed onto this measure</w:t>
            </w:r>
            <w:r w:rsidRPr="00E37B13">
              <w:t xml:space="preserve"> if they have received a welfare payment for more than 13 out of the last 26 weeks.</w:t>
            </w:r>
          </w:p>
          <w:p w14:paraId="5BD5C0C3" w14:textId="77777777" w:rsidR="00E72FEB" w:rsidRPr="00E37B13" w:rsidRDefault="00E72FEB" w:rsidP="00033A84">
            <w:r w:rsidRPr="00E37B13">
              <w:t>50-50 payment split.</w:t>
            </w:r>
          </w:p>
          <w:p w14:paraId="3250E99C" w14:textId="77777777" w:rsidR="00E72FEB" w:rsidRPr="00E37B13" w:rsidRDefault="00E72FEB" w:rsidP="00033A84">
            <w:pPr>
              <w:rPr>
                <w:u w:val="single"/>
              </w:rPr>
            </w:pPr>
            <w:r w:rsidRPr="00E37B13">
              <w:rPr>
                <w:u w:val="single"/>
              </w:rPr>
              <w:t>Long-term Welfare Payment Recipient</w:t>
            </w:r>
          </w:p>
          <w:p w14:paraId="651EC74F" w14:textId="77777777" w:rsidR="00E72FEB" w:rsidRPr="00E37B13" w:rsidRDefault="00E72FEB" w:rsidP="00033A84">
            <w:r w:rsidRPr="00E37B13">
              <w:t xml:space="preserve">Individuals, aged 25 years and above, but below Age Pension age, are </w:t>
            </w:r>
            <w:r>
              <w:t>placed onto this measure</w:t>
            </w:r>
            <w:r w:rsidRPr="00E37B13">
              <w:t xml:space="preserve"> if have they received a welfare payment for more than 52 of the last 104 weeks.</w:t>
            </w:r>
          </w:p>
          <w:p w14:paraId="68D10008" w14:textId="77777777" w:rsidR="00E72FEB" w:rsidRPr="00E37B13" w:rsidRDefault="00E72FEB" w:rsidP="00033A84">
            <w:r w:rsidRPr="00E37B13">
              <w:t>50-50 payment split.</w:t>
            </w:r>
          </w:p>
          <w:p w14:paraId="34FB270C" w14:textId="77777777" w:rsidR="00E72FEB" w:rsidRPr="00E37B13" w:rsidRDefault="00E72FEB" w:rsidP="00033A84">
            <w:pPr>
              <w:rPr>
                <w:u w:val="single"/>
              </w:rPr>
            </w:pPr>
            <w:r w:rsidRPr="00E37B13">
              <w:rPr>
                <w:u w:val="single"/>
              </w:rPr>
              <w:t xml:space="preserve">Vulnerable Welfare Payment Recipient </w:t>
            </w:r>
          </w:p>
          <w:p w14:paraId="2215BFAB" w14:textId="77777777" w:rsidR="00E72FEB" w:rsidRPr="00E37B13" w:rsidRDefault="00E72FEB" w:rsidP="00033A84">
            <w:r w:rsidRPr="00E37B13">
              <w:t>Individuals referred by a Centrelink social worker.</w:t>
            </w:r>
          </w:p>
          <w:p w14:paraId="3766C176" w14:textId="1E14934F" w:rsidR="00E72FEB" w:rsidRPr="00E37B13" w:rsidRDefault="00E72FEB" w:rsidP="00033A84">
            <w:r w:rsidRPr="00E37B13">
              <w:t>50-50 payment split.</w:t>
            </w:r>
          </w:p>
        </w:tc>
        <w:tc>
          <w:tcPr>
            <w:tcW w:w="4672" w:type="dxa"/>
          </w:tcPr>
          <w:p w14:paraId="7C18AA80" w14:textId="77777777" w:rsidR="00E72FEB" w:rsidRPr="00E37B13" w:rsidRDefault="00E72FEB" w:rsidP="00033A84">
            <w:r w:rsidRPr="00E37B13">
              <w:t>Introduced New I</w:t>
            </w:r>
            <w:r w:rsidR="00F15809">
              <w:t>M</w:t>
            </w:r>
            <w:r w:rsidRPr="00E37B13">
              <w:t>, which repealed the compulsory model that applied to all welfare payment recipients in the N</w:t>
            </w:r>
            <w:r w:rsidR="00F15809">
              <w:t>T</w:t>
            </w:r>
            <w:r w:rsidRPr="00E37B13">
              <w:t xml:space="preserve"> and introduced the following measures:</w:t>
            </w:r>
          </w:p>
          <w:p w14:paraId="5951DA26" w14:textId="77777777" w:rsidR="00E72FEB" w:rsidRPr="00E37B13" w:rsidRDefault="00E72FEB" w:rsidP="004E5343">
            <w:pPr>
              <w:numPr>
                <w:ilvl w:val="0"/>
                <w:numId w:val="15"/>
              </w:numPr>
              <w:spacing w:line="280" w:lineRule="atLeast"/>
              <w:contextualSpacing/>
            </w:pPr>
            <w:r w:rsidRPr="00E37B13">
              <w:t>Disengaged Youth</w:t>
            </w:r>
          </w:p>
          <w:p w14:paraId="342AC224" w14:textId="77777777" w:rsidR="00E72FEB" w:rsidRPr="00E37B13" w:rsidRDefault="00E72FEB" w:rsidP="004E5343">
            <w:pPr>
              <w:numPr>
                <w:ilvl w:val="0"/>
                <w:numId w:val="15"/>
              </w:numPr>
              <w:spacing w:line="280" w:lineRule="atLeast"/>
              <w:contextualSpacing/>
            </w:pPr>
            <w:r w:rsidRPr="00E37B13">
              <w:t>Long-term Welfare Payment Recipient</w:t>
            </w:r>
          </w:p>
          <w:p w14:paraId="6766ACDA" w14:textId="77777777" w:rsidR="00E72FEB" w:rsidRPr="00E37B13" w:rsidRDefault="00E72FEB" w:rsidP="004E5343">
            <w:pPr>
              <w:numPr>
                <w:ilvl w:val="0"/>
                <w:numId w:val="15"/>
              </w:numPr>
              <w:spacing w:line="280" w:lineRule="atLeast"/>
              <w:contextualSpacing/>
            </w:pPr>
            <w:r w:rsidRPr="00E37B13">
              <w:t>Vulnerable Welfare Payment Recipient</w:t>
            </w:r>
          </w:p>
          <w:p w14:paraId="690215DD" w14:textId="77777777" w:rsidR="00E72FEB" w:rsidRPr="00E37B13" w:rsidRDefault="00E72FEB" w:rsidP="004E5343">
            <w:pPr>
              <w:numPr>
                <w:ilvl w:val="0"/>
                <w:numId w:val="15"/>
              </w:numPr>
              <w:spacing w:line="280" w:lineRule="atLeast"/>
              <w:contextualSpacing/>
            </w:pPr>
            <w:r w:rsidRPr="00E37B13">
              <w:t>Child Protection and</w:t>
            </w:r>
          </w:p>
          <w:p w14:paraId="100DA3FE" w14:textId="77777777" w:rsidR="00E72FEB" w:rsidRPr="00E37B13" w:rsidRDefault="00E72FEB" w:rsidP="004E5343">
            <w:pPr>
              <w:numPr>
                <w:ilvl w:val="0"/>
                <w:numId w:val="15"/>
              </w:numPr>
              <w:spacing w:line="280" w:lineRule="atLeast"/>
              <w:contextualSpacing/>
            </w:pPr>
            <w:r w:rsidRPr="00E37B13">
              <w:t>Voluntary.</w:t>
            </w:r>
          </w:p>
          <w:p w14:paraId="7658FF8B" w14:textId="77777777" w:rsidR="00E72FEB" w:rsidRPr="00E37B13" w:rsidRDefault="00E72FEB" w:rsidP="00033A84"/>
        </w:tc>
      </w:tr>
      <w:tr w:rsidR="00E72FEB" w:rsidRPr="00E37B13" w14:paraId="2929EE12" w14:textId="77777777" w:rsidTr="00FA0E32">
        <w:tc>
          <w:tcPr>
            <w:tcW w:w="9344" w:type="dxa"/>
            <w:gridSpan w:val="2"/>
          </w:tcPr>
          <w:p w14:paraId="59ABA6C6" w14:textId="77777777" w:rsidR="00E72FEB" w:rsidRPr="00E37B13" w:rsidRDefault="00E72FEB" w:rsidP="00033A84">
            <w:pPr>
              <w:rPr>
                <w:b/>
                <w:i/>
              </w:rPr>
            </w:pPr>
            <w:r w:rsidRPr="00E37B13">
              <w:rPr>
                <w:b/>
                <w:i/>
              </w:rPr>
              <w:t xml:space="preserve">2011 – 2012 </w:t>
            </w:r>
          </w:p>
        </w:tc>
      </w:tr>
      <w:tr w:rsidR="00E72FEB" w:rsidRPr="00E37B13" w14:paraId="48D1E61C" w14:textId="77777777" w:rsidTr="00FA0E32">
        <w:tc>
          <w:tcPr>
            <w:tcW w:w="4672" w:type="dxa"/>
          </w:tcPr>
          <w:p w14:paraId="489EF0D8" w14:textId="77777777" w:rsidR="00E72FEB" w:rsidRPr="00E37B13" w:rsidRDefault="00E72FEB" w:rsidP="00033A84">
            <w:r>
              <w:rPr>
                <w:u w:val="single"/>
              </w:rPr>
              <w:t>Place-Based</w:t>
            </w:r>
            <w:r w:rsidRPr="00E37B13">
              <w:rPr>
                <w:u w:val="single"/>
              </w:rPr>
              <w:t xml:space="preserve"> I</w:t>
            </w:r>
            <w:r w:rsidR="00F15809">
              <w:rPr>
                <w:u w:val="single"/>
              </w:rPr>
              <w:t>M</w:t>
            </w:r>
            <w:r w:rsidRPr="00E37B13">
              <w:t xml:space="preserve"> </w:t>
            </w:r>
          </w:p>
          <w:p w14:paraId="148A732D" w14:textId="77777777" w:rsidR="00E72FEB" w:rsidRPr="00E37B13" w:rsidRDefault="00E72FEB" w:rsidP="00033A84">
            <w:r w:rsidRPr="00E37B13">
              <w:t>Child Protection, Voluntary and Vulnerable Welfare Payment Recipient.</w:t>
            </w:r>
          </w:p>
        </w:tc>
        <w:tc>
          <w:tcPr>
            <w:tcW w:w="4672" w:type="dxa"/>
          </w:tcPr>
          <w:p w14:paraId="1E713D9F" w14:textId="77777777" w:rsidR="00E72FEB" w:rsidRPr="00E37B13" w:rsidRDefault="00E72FEB" w:rsidP="00033A84">
            <w:r w:rsidRPr="00E37B13">
              <w:t xml:space="preserve">Introduced </w:t>
            </w:r>
            <w:r>
              <w:t>Place-Based</w:t>
            </w:r>
            <w:r w:rsidRPr="00E37B13">
              <w:t xml:space="preserve"> </w:t>
            </w:r>
            <w:r w:rsidR="00F15809">
              <w:t>IM</w:t>
            </w:r>
            <w:r w:rsidRPr="00E37B13">
              <w:t xml:space="preserve"> to five Local Government Areas (LGA), chosen due to high unemployment rates and an overreliance on </w:t>
            </w:r>
            <w:r w:rsidR="00900C95">
              <w:t>income support</w:t>
            </w:r>
            <w:r w:rsidRPr="00E37B13">
              <w:t xml:space="preserve"> payments:</w:t>
            </w:r>
          </w:p>
          <w:p w14:paraId="7955C00B" w14:textId="77777777" w:rsidR="00E72FEB" w:rsidRPr="00E37B13" w:rsidRDefault="00E72FEB" w:rsidP="0010003B">
            <w:pPr>
              <w:numPr>
                <w:ilvl w:val="0"/>
                <w:numId w:val="16"/>
              </w:numPr>
            </w:pPr>
            <w:r w:rsidRPr="00E37B13">
              <w:t>Playford, South Australia</w:t>
            </w:r>
          </w:p>
          <w:p w14:paraId="69B56A8B" w14:textId="77777777" w:rsidR="00E72FEB" w:rsidRPr="00E37B13" w:rsidRDefault="00E72FEB" w:rsidP="0010003B">
            <w:pPr>
              <w:numPr>
                <w:ilvl w:val="0"/>
                <w:numId w:val="16"/>
              </w:numPr>
            </w:pPr>
            <w:r w:rsidRPr="00E37B13">
              <w:t>Bankstown, New South Wales</w:t>
            </w:r>
          </w:p>
          <w:p w14:paraId="6FC53CC5" w14:textId="77777777" w:rsidR="00E72FEB" w:rsidRPr="00E37B13" w:rsidRDefault="00E72FEB" w:rsidP="0010003B">
            <w:pPr>
              <w:numPr>
                <w:ilvl w:val="0"/>
                <w:numId w:val="16"/>
              </w:numPr>
            </w:pPr>
            <w:r w:rsidRPr="00E37B13">
              <w:t>Logan, Queensland</w:t>
            </w:r>
          </w:p>
          <w:p w14:paraId="7CB94F71" w14:textId="77777777" w:rsidR="00E72FEB" w:rsidRPr="00E37B13" w:rsidRDefault="00E72FEB" w:rsidP="0010003B">
            <w:pPr>
              <w:numPr>
                <w:ilvl w:val="0"/>
                <w:numId w:val="16"/>
              </w:numPr>
            </w:pPr>
            <w:r w:rsidRPr="00E37B13">
              <w:t>Rockhampton, Queensland</w:t>
            </w:r>
            <w:r>
              <w:t xml:space="preserve"> </w:t>
            </w:r>
            <w:r w:rsidRPr="00E37B13">
              <w:t>and</w:t>
            </w:r>
          </w:p>
          <w:p w14:paraId="6C29A83F" w14:textId="77777777" w:rsidR="00E72FEB" w:rsidRPr="00E37B13" w:rsidRDefault="00E72FEB" w:rsidP="0010003B">
            <w:pPr>
              <w:numPr>
                <w:ilvl w:val="0"/>
                <w:numId w:val="16"/>
              </w:numPr>
            </w:pPr>
            <w:r w:rsidRPr="00E37B13">
              <w:t>Greater Shepparton, Victoria.</w:t>
            </w:r>
          </w:p>
          <w:p w14:paraId="15285F04" w14:textId="77777777" w:rsidR="00E72FEB" w:rsidRPr="00E37B13" w:rsidRDefault="00E72FEB" w:rsidP="00033A84">
            <w:r w:rsidRPr="00E37B13">
              <w:t xml:space="preserve">Expanded </w:t>
            </w:r>
            <w:r>
              <w:t>Place-Based</w:t>
            </w:r>
            <w:r w:rsidRPr="00E37B13">
              <w:t xml:space="preserve"> I</w:t>
            </w:r>
            <w:r w:rsidR="00F15809">
              <w:t>M</w:t>
            </w:r>
            <w:r w:rsidRPr="00E37B13">
              <w:t xml:space="preserve"> to the Anangu Pitjantjatjara Yankunytjatjara (APY) Lands, South Australia, at the community’s request.</w:t>
            </w:r>
          </w:p>
        </w:tc>
      </w:tr>
      <w:tr w:rsidR="00E72FEB" w:rsidRPr="00E37B13" w14:paraId="544D98A5" w14:textId="77777777" w:rsidTr="00FA0E32">
        <w:tc>
          <w:tcPr>
            <w:tcW w:w="4672" w:type="dxa"/>
          </w:tcPr>
          <w:p w14:paraId="377588DA" w14:textId="77777777" w:rsidR="00E72FEB" w:rsidRPr="00E37B13" w:rsidRDefault="00E72FEB" w:rsidP="00033A84">
            <w:pPr>
              <w:rPr>
                <w:u w:val="single"/>
              </w:rPr>
            </w:pPr>
            <w:r w:rsidRPr="00E37B13">
              <w:rPr>
                <w:u w:val="single"/>
              </w:rPr>
              <w:t xml:space="preserve">Supporting People </w:t>
            </w:r>
            <w:r>
              <w:rPr>
                <w:u w:val="single"/>
              </w:rPr>
              <w:t>a</w:t>
            </w:r>
            <w:r w:rsidRPr="00E37B13">
              <w:rPr>
                <w:u w:val="single"/>
              </w:rPr>
              <w:t>t Risk</w:t>
            </w:r>
          </w:p>
          <w:p w14:paraId="330FF461" w14:textId="77777777" w:rsidR="00E72FEB" w:rsidRPr="00E37B13" w:rsidRDefault="00E72FEB" w:rsidP="00033A84">
            <w:r w:rsidRPr="00E37B13">
              <w:t>Complementing the Banned Drinkers’ Register, individuals are referred by a state or territory statutory body.</w:t>
            </w:r>
          </w:p>
          <w:p w14:paraId="061EF745" w14:textId="10B01A7C" w:rsidR="00E72FEB" w:rsidRPr="00E37B13" w:rsidRDefault="00456F59" w:rsidP="00033A84">
            <w:r>
              <w:t>70-30 payment split.</w:t>
            </w:r>
          </w:p>
        </w:tc>
        <w:tc>
          <w:tcPr>
            <w:tcW w:w="4672" w:type="dxa"/>
          </w:tcPr>
          <w:p w14:paraId="6D00D739" w14:textId="77777777" w:rsidR="00E72FEB" w:rsidRPr="00E37B13" w:rsidRDefault="00E72FEB" w:rsidP="00033A84">
            <w:r w:rsidRPr="00E37B13">
              <w:t>Introduced the Supporting People at Risk measure to the N</w:t>
            </w:r>
            <w:r w:rsidR="00F15809">
              <w:t>T</w:t>
            </w:r>
            <w:r w:rsidRPr="00E37B13">
              <w:t xml:space="preserve"> and authorised the Northern Territory Alcohol Mandatory Treatment Tribunal as the referring body.</w:t>
            </w:r>
          </w:p>
        </w:tc>
      </w:tr>
      <w:tr w:rsidR="00E72FEB" w:rsidRPr="00E37B13" w14:paraId="71765EE8" w14:textId="77777777" w:rsidTr="00FA0E32">
        <w:tc>
          <w:tcPr>
            <w:tcW w:w="9344" w:type="dxa"/>
            <w:gridSpan w:val="2"/>
          </w:tcPr>
          <w:p w14:paraId="3FE5E45B" w14:textId="77777777" w:rsidR="00E72FEB" w:rsidRPr="00E37B13" w:rsidRDefault="00E72FEB" w:rsidP="00033A84">
            <w:pPr>
              <w:rPr>
                <w:b/>
                <w:i/>
              </w:rPr>
            </w:pPr>
            <w:r w:rsidRPr="00E37B13">
              <w:rPr>
                <w:b/>
                <w:i/>
              </w:rPr>
              <w:t>2013</w:t>
            </w:r>
          </w:p>
        </w:tc>
      </w:tr>
      <w:tr w:rsidR="00E72FEB" w:rsidRPr="00E37B13" w14:paraId="13A0F1A5" w14:textId="77777777" w:rsidTr="00FA0E32">
        <w:tc>
          <w:tcPr>
            <w:tcW w:w="4672" w:type="dxa"/>
          </w:tcPr>
          <w:p w14:paraId="6523E10A" w14:textId="77777777" w:rsidR="00E72FEB" w:rsidRPr="00E37B13" w:rsidRDefault="00E72FEB" w:rsidP="00033A84">
            <w:pPr>
              <w:rPr>
                <w:u w:val="single"/>
              </w:rPr>
            </w:pPr>
            <w:r>
              <w:t>Place-Based</w:t>
            </w:r>
            <w:r w:rsidRPr="00E37B13">
              <w:t xml:space="preserve"> I</w:t>
            </w:r>
            <w:r w:rsidR="00F15809">
              <w:t>M</w:t>
            </w:r>
          </w:p>
        </w:tc>
        <w:tc>
          <w:tcPr>
            <w:tcW w:w="4672" w:type="dxa"/>
          </w:tcPr>
          <w:p w14:paraId="2C7D3917" w14:textId="77777777" w:rsidR="00E72FEB" w:rsidRPr="00E37B13" w:rsidRDefault="00E72FEB" w:rsidP="00033A84">
            <w:r w:rsidRPr="00E37B13">
              <w:t xml:space="preserve">Expanded </w:t>
            </w:r>
            <w:r>
              <w:t>Place-Based</w:t>
            </w:r>
            <w:r w:rsidRPr="00E37B13">
              <w:t xml:space="preserve"> Income Management to Laverton and the Ngaanyatjarra (Ng) Lands in Western Australia, following community consultations.</w:t>
            </w:r>
          </w:p>
          <w:p w14:paraId="5B03F5E1" w14:textId="77777777" w:rsidR="00E72FEB" w:rsidRPr="00E37B13" w:rsidRDefault="00E72FEB" w:rsidP="00033A84"/>
          <w:p w14:paraId="41FCA05D" w14:textId="77777777" w:rsidR="00E72FEB" w:rsidRPr="00E37B13" w:rsidRDefault="00E72FEB" w:rsidP="00033A84"/>
        </w:tc>
      </w:tr>
      <w:tr w:rsidR="00E72FEB" w:rsidRPr="00E37B13" w14:paraId="11755DCE" w14:textId="77777777" w:rsidTr="00FA0E32">
        <w:tc>
          <w:tcPr>
            <w:tcW w:w="9344" w:type="dxa"/>
            <w:gridSpan w:val="2"/>
          </w:tcPr>
          <w:p w14:paraId="206302F6" w14:textId="77777777" w:rsidR="00E72FEB" w:rsidRPr="00E37B13" w:rsidRDefault="00E72FEB" w:rsidP="00033A84">
            <w:pPr>
              <w:rPr>
                <w:b/>
                <w:i/>
              </w:rPr>
            </w:pPr>
            <w:r w:rsidRPr="00E37B13">
              <w:rPr>
                <w:b/>
                <w:i/>
              </w:rPr>
              <w:t xml:space="preserve">2014 </w:t>
            </w:r>
            <w:r>
              <w:rPr>
                <w:b/>
                <w:i/>
              </w:rPr>
              <w:t>–</w:t>
            </w:r>
            <w:r w:rsidRPr="00E37B13">
              <w:rPr>
                <w:b/>
                <w:i/>
              </w:rPr>
              <w:t xml:space="preserve"> 2015</w:t>
            </w:r>
          </w:p>
        </w:tc>
      </w:tr>
      <w:tr w:rsidR="00E72FEB" w:rsidRPr="00E37B13" w14:paraId="6263B51E" w14:textId="77777777" w:rsidTr="00FA0E32">
        <w:tc>
          <w:tcPr>
            <w:tcW w:w="4672" w:type="dxa"/>
          </w:tcPr>
          <w:p w14:paraId="5E9C516B" w14:textId="77777777" w:rsidR="00E72FEB" w:rsidRPr="00E37B13" w:rsidRDefault="00E72FEB" w:rsidP="00033A84">
            <w:r>
              <w:t>Place-Based</w:t>
            </w:r>
            <w:r w:rsidRPr="00E37B13">
              <w:t xml:space="preserve"> I</w:t>
            </w:r>
            <w:r w:rsidR="00F15809">
              <w:t>M</w:t>
            </w:r>
            <w:r w:rsidRPr="00E37B13">
              <w:t xml:space="preserve"> </w:t>
            </w:r>
          </w:p>
        </w:tc>
        <w:tc>
          <w:tcPr>
            <w:tcW w:w="4672" w:type="dxa"/>
          </w:tcPr>
          <w:p w14:paraId="2DEC6ECF" w14:textId="77777777" w:rsidR="00E72FEB" w:rsidRPr="00E37B13" w:rsidRDefault="00E72FEB" w:rsidP="00033A84">
            <w:r w:rsidRPr="00E37B13">
              <w:t>Expanded to Ceduna after multiple requests from the mayor and other local peak bodies.</w:t>
            </w:r>
          </w:p>
        </w:tc>
      </w:tr>
      <w:tr w:rsidR="00E72FEB" w:rsidRPr="00E37B13" w14:paraId="52D0BE6B" w14:textId="77777777" w:rsidTr="00FA0E32">
        <w:tc>
          <w:tcPr>
            <w:tcW w:w="4672" w:type="dxa"/>
          </w:tcPr>
          <w:p w14:paraId="26282966" w14:textId="77777777" w:rsidR="00E72FEB" w:rsidRPr="00E37B13" w:rsidRDefault="00E72FEB" w:rsidP="00033A84">
            <w:r w:rsidRPr="00E37B13">
              <w:t xml:space="preserve">Child Protection and Voluntary </w:t>
            </w:r>
          </w:p>
        </w:tc>
        <w:tc>
          <w:tcPr>
            <w:tcW w:w="4672" w:type="dxa"/>
          </w:tcPr>
          <w:p w14:paraId="6DC8FE4D" w14:textId="77777777" w:rsidR="00E72FEB" w:rsidRPr="00E37B13" w:rsidRDefault="00E72FEB" w:rsidP="00033A84">
            <w:r w:rsidRPr="00E37B13">
              <w:t>Introduced to the Greater Adelaide region following a recommendation from the South Australian State Coroner’s inquest into the death of Chloe Lee Valentine.</w:t>
            </w:r>
          </w:p>
        </w:tc>
      </w:tr>
    </w:tbl>
    <w:p w14:paraId="2D25DED2" w14:textId="77777777" w:rsidR="00E72FEB" w:rsidRDefault="00E72FEB" w:rsidP="00E72FEB"/>
    <w:p w14:paraId="20E1F0DD" w14:textId="77777777" w:rsidR="00E72FEB" w:rsidRDefault="00E72FEB" w:rsidP="00E72FEB">
      <w:r w:rsidRPr="00947B18">
        <w:t xml:space="preserve">The different Income Management measures have different payment splits, with anywhere from 50 to 90 per cent of a participant’s </w:t>
      </w:r>
      <w:r w:rsidR="00EB6044">
        <w:t>income support</w:t>
      </w:r>
      <w:r w:rsidRPr="00947B18">
        <w:t xml:space="preserve"> payment being placed on their BasicsCard. The multiple payment splits are a result of policy targeting of the separate measures and have been informed by community consultation. Continuing to implement the eight Income Management measures with five payment splits contributes to the costliness and complexity of the program.</w:t>
      </w:r>
    </w:p>
    <w:p w14:paraId="16E20835" w14:textId="4C80C10E" w:rsidR="00483CEB" w:rsidRDefault="00483CEB">
      <w:r>
        <w:br w:type="page"/>
      </w:r>
    </w:p>
    <w:p w14:paraId="7C0DAE60" w14:textId="134BD6C7" w:rsidR="00E72FEB" w:rsidRPr="007032A0" w:rsidRDefault="00E72FEB" w:rsidP="00FE197E">
      <w:pPr>
        <w:pStyle w:val="Title"/>
      </w:pPr>
      <w:bookmarkStart w:id="180" w:name="_Toc99449515"/>
      <w:bookmarkStart w:id="181" w:name="_Toc108008531"/>
      <w:bookmarkStart w:id="182" w:name="_Toc118103790"/>
      <w:r>
        <w:t>A</w:t>
      </w:r>
      <w:r w:rsidR="00F767BA">
        <w:t>ttachment</w:t>
      </w:r>
      <w:r>
        <w:t xml:space="preserve"> B</w:t>
      </w:r>
      <w:bookmarkEnd w:id="180"/>
      <w:bookmarkEnd w:id="181"/>
      <w:bookmarkEnd w:id="182"/>
    </w:p>
    <w:p w14:paraId="33E781C7" w14:textId="77777777" w:rsidR="00E72FEB" w:rsidRDefault="00E72FEB" w:rsidP="00025205">
      <w:pPr>
        <w:pStyle w:val="Heading2"/>
      </w:pPr>
      <w:bookmarkStart w:id="183" w:name="_Toc118103791"/>
      <w:bookmarkStart w:id="184" w:name="_Toc94621268"/>
      <w:bookmarkStart w:id="185" w:name="_Toc99449516"/>
      <w:bookmarkStart w:id="186" w:name="_Toc108008532"/>
      <w:r>
        <w:t>C</w:t>
      </w:r>
      <w:r w:rsidR="00E43889">
        <w:t>ashless Debit Card (CDC)</w:t>
      </w:r>
      <w:bookmarkEnd w:id="183"/>
      <w:r>
        <w:t xml:space="preserve"> </w:t>
      </w:r>
      <w:bookmarkEnd w:id="184"/>
      <w:bookmarkEnd w:id="185"/>
      <w:bookmarkEnd w:id="186"/>
    </w:p>
    <w:p w14:paraId="536A6E28" w14:textId="77777777" w:rsidR="00E72FEB" w:rsidRDefault="00E72FEB" w:rsidP="00025205">
      <w:pPr>
        <w:pStyle w:val="Heading3"/>
      </w:pPr>
      <w:bookmarkStart w:id="187" w:name="_Toc108008533"/>
      <w:bookmarkStart w:id="188" w:name="_Toc118103792"/>
      <w:r>
        <w:t xml:space="preserve">History of </w:t>
      </w:r>
      <w:bookmarkEnd w:id="187"/>
      <w:r w:rsidR="00E43889">
        <w:t>CDC</w:t>
      </w:r>
      <w:bookmarkEnd w:id="188"/>
    </w:p>
    <w:p w14:paraId="3510DD95" w14:textId="77777777" w:rsidR="00E72FEB" w:rsidRDefault="00E72FEB" w:rsidP="00E72FEB">
      <w:r>
        <w:t>In 2014 The Forrest Review: Creating Parity was published which made 27 recommendations around Indigenous education, welfare reform, housing and training and employment opportunities.</w:t>
      </w:r>
      <w:r w:rsidRPr="00A37564">
        <w:rPr>
          <w:rStyle w:val="FootnoteReference"/>
        </w:rPr>
        <w:t xml:space="preserve"> </w:t>
      </w:r>
      <w:r w:rsidRPr="000B76C8">
        <w:rPr>
          <w:rStyle w:val="FootnoteReference"/>
        </w:rPr>
        <w:footnoteReference w:id="38"/>
      </w:r>
      <w:r>
        <w:t xml:space="preserve"> The Forrest Review noted that while I</w:t>
      </w:r>
      <w:r w:rsidR="00F15809">
        <w:t>M</w:t>
      </w:r>
      <w:r>
        <w:t xml:space="preserve"> had been successful in helping people stabilise their financial circumstances and protecting vulnerable people from harm, it was becoming too complex and costly to sustain. A recommendation in the report was to replace I</w:t>
      </w:r>
      <w:r w:rsidR="00F15809">
        <w:t>M</w:t>
      </w:r>
      <w:r>
        <w:t xml:space="preserve"> with a Healthy Welfare Card.</w:t>
      </w:r>
    </w:p>
    <w:p w14:paraId="631169EE" w14:textId="22D688AE" w:rsidR="00E72FEB" w:rsidRDefault="00E72FEB" w:rsidP="00E72FEB">
      <w:r>
        <w:t xml:space="preserve">The </w:t>
      </w:r>
      <w:r w:rsidR="00245855">
        <w:t xml:space="preserve">then Commonwealth </w:t>
      </w:r>
      <w:r>
        <w:t>Government accepted the recommendations of the Forrest Review around improving I</w:t>
      </w:r>
      <w:r w:rsidR="00F15809">
        <w:t>M</w:t>
      </w:r>
      <w:r w:rsidR="00AB10F9">
        <w:t>.</w:t>
      </w:r>
    </w:p>
    <w:p w14:paraId="2E19B045" w14:textId="77777777" w:rsidR="00E72FEB" w:rsidRDefault="00E72FEB" w:rsidP="00E72FEB">
      <w:r>
        <w:t xml:space="preserve">The Review identified the challenges of ensuring Australia’s welfare system was used to build healthy lifestyles and support people make the best choices for themselves and their families </w:t>
      </w:r>
      <w:r w:rsidR="00E47883">
        <w:t>– particularly their children.</w:t>
      </w:r>
    </w:p>
    <w:p w14:paraId="2A8C149E" w14:textId="77777777" w:rsidR="00E72FEB" w:rsidRDefault="00E72FEB" w:rsidP="00E72FEB">
      <w:r>
        <w:t>A lack of financial understanding was identified as a key contributor to ongoing poverty and exclusion from economic particip</w:t>
      </w:r>
      <w:r w:rsidR="00E47883">
        <w:t xml:space="preserve">ation. </w:t>
      </w:r>
      <w:r>
        <w:t>The Review also identified that the use of welfare funds on alcohol or gambling can further exacerbate problems and directly lead to social harm and poor community outcomes.</w:t>
      </w:r>
    </w:p>
    <w:p w14:paraId="5AFFCB29" w14:textId="77777777" w:rsidR="00E72FEB" w:rsidRPr="00721577" w:rsidRDefault="00E72FEB" w:rsidP="00E72FEB">
      <w:pPr>
        <w:rPr>
          <w:b/>
          <w:sz w:val="22"/>
          <w:szCs w:val="22"/>
        </w:rPr>
      </w:pPr>
      <w:r w:rsidRPr="00F161F1">
        <w:rPr>
          <w:b/>
          <w:sz w:val="22"/>
          <w:szCs w:val="22"/>
        </w:rPr>
        <w:t xml:space="preserve">Table </w:t>
      </w:r>
      <w:r>
        <w:rPr>
          <w:b/>
          <w:sz w:val="22"/>
          <w:szCs w:val="22"/>
        </w:rPr>
        <w:t>2</w:t>
      </w:r>
      <w:r w:rsidRPr="00784362">
        <w:rPr>
          <w:b/>
          <w:sz w:val="22"/>
          <w:szCs w:val="22"/>
        </w:rPr>
        <w:t xml:space="preserve">: </w:t>
      </w:r>
      <w:r w:rsidRPr="000F73DA">
        <w:rPr>
          <w:b/>
          <w:sz w:val="22"/>
          <w:szCs w:val="22"/>
        </w:rPr>
        <w:t xml:space="preserve">Summary of consultation in </w:t>
      </w:r>
      <w:r>
        <w:rPr>
          <w:b/>
          <w:sz w:val="22"/>
          <w:szCs w:val="22"/>
        </w:rPr>
        <w:t>CDC</w:t>
      </w:r>
      <w:r w:rsidRPr="000F73DA">
        <w:rPr>
          <w:b/>
          <w:sz w:val="22"/>
          <w:szCs w:val="22"/>
        </w:rPr>
        <w:t xml:space="preserve"> sites and the No</w:t>
      </w:r>
      <w:r>
        <w:rPr>
          <w:b/>
          <w:sz w:val="22"/>
          <w:szCs w:val="22"/>
        </w:rPr>
        <w:t>rthern Territory and Cape York</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Summary of consultation in CDC sites and the Northern Territory and Cape York"/>
      </w:tblPr>
      <w:tblGrid>
        <w:gridCol w:w="1427"/>
        <w:gridCol w:w="1731"/>
        <w:gridCol w:w="1820"/>
        <w:gridCol w:w="3097"/>
        <w:gridCol w:w="2126"/>
      </w:tblGrid>
      <w:tr w:rsidR="00E72FEB" w:rsidRPr="00275526" w14:paraId="1B8BB10D" w14:textId="77777777" w:rsidTr="00FA0E32">
        <w:trPr>
          <w:tblHeader/>
        </w:trPr>
        <w:tc>
          <w:tcPr>
            <w:tcW w:w="1427" w:type="dxa"/>
          </w:tcPr>
          <w:p w14:paraId="2221D4F7" w14:textId="77777777" w:rsidR="00E72FEB" w:rsidRPr="00275526" w:rsidRDefault="00E72FEB" w:rsidP="00033A84">
            <w:pPr>
              <w:rPr>
                <w:b/>
              </w:rPr>
            </w:pPr>
            <w:r w:rsidRPr="00275526">
              <w:rPr>
                <w:b/>
              </w:rPr>
              <w:t>Location</w:t>
            </w:r>
          </w:p>
        </w:tc>
        <w:tc>
          <w:tcPr>
            <w:tcW w:w="1731" w:type="dxa"/>
          </w:tcPr>
          <w:p w14:paraId="06F3BEE2" w14:textId="77777777" w:rsidR="00E72FEB" w:rsidRPr="00275526" w:rsidRDefault="00E72FEB" w:rsidP="00033A84">
            <w:pPr>
              <w:rPr>
                <w:b/>
              </w:rPr>
            </w:pPr>
            <w:r w:rsidRPr="00275526">
              <w:rPr>
                <w:b/>
              </w:rPr>
              <w:t>Consultation Dates</w:t>
            </w:r>
          </w:p>
        </w:tc>
        <w:tc>
          <w:tcPr>
            <w:tcW w:w="1820" w:type="dxa"/>
          </w:tcPr>
          <w:p w14:paraId="4FEE8B97" w14:textId="77777777" w:rsidR="00E72FEB" w:rsidRPr="00275526" w:rsidRDefault="00E72FEB" w:rsidP="00033A84">
            <w:pPr>
              <w:rPr>
                <w:b/>
              </w:rPr>
            </w:pPr>
            <w:r w:rsidRPr="00275526">
              <w:rPr>
                <w:b/>
              </w:rPr>
              <w:t xml:space="preserve">Number </w:t>
            </w:r>
          </w:p>
        </w:tc>
        <w:tc>
          <w:tcPr>
            <w:tcW w:w="3097" w:type="dxa"/>
          </w:tcPr>
          <w:p w14:paraId="0D6DEF22" w14:textId="77777777" w:rsidR="00E72FEB" w:rsidRPr="00275526" w:rsidRDefault="00FA0E32" w:rsidP="00033A84">
            <w:pPr>
              <w:tabs>
                <w:tab w:val="center" w:pos="1944"/>
              </w:tabs>
              <w:rPr>
                <w:b/>
              </w:rPr>
            </w:pPr>
            <w:r w:rsidRPr="00275526">
              <w:rPr>
                <w:b/>
              </w:rPr>
              <w:t>Who</w:t>
            </w:r>
          </w:p>
        </w:tc>
        <w:tc>
          <w:tcPr>
            <w:tcW w:w="2126" w:type="dxa"/>
          </w:tcPr>
          <w:p w14:paraId="4D7BA592" w14:textId="77777777" w:rsidR="00E72FEB" w:rsidRPr="00275526" w:rsidRDefault="00E72FEB" w:rsidP="00033A84">
            <w:pPr>
              <w:tabs>
                <w:tab w:val="center" w:pos="1944"/>
              </w:tabs>
              <w:rPr>
                <w:b/>
              </w:rPr>
            </w:pPr>
            <w:r w:rsidRPr="00275526">
              <w:rPr>
                <w:b/>
              </w:rPr>
              <w:t>Format</w:t>
            </w:r>
          </w:p>
        </w:tc>
      </w:tr>
      <w:tr w:rsidR="00E72FEB" w14:paraId="0AE0D5C5" w14:textId="77777777" w:rsidTr="00FA0E32">
        <w:tc>
          <w:tcPr>
            <w:tcW w:w="1427" w:type="dxa"/>
          </w:tcPr>
          <w:p w14:paraId="5913FF7C" w14:textId="77777777" w:rsidR="00E72FEB" w:rsidRDefault="00E72FEB" w:rsidP="00033A84">
            <w:r>
              <w:t>Ceduna and surrounds, SA</w:t>
            </w:r>
          </w:p>
        </w:tc>
        <w:tc>
          <w:tcPr>
            <w:tcW w:w="1731" w:type="dxa"/>
          </w:tcPr>
          <w:p w14:paraId="6F3D27FD" w14:textId="77777777" w:rsidR="00E72FEB" w:rsidRDefault="00E72FEB" w:rsidP="00033A84">
            <w:r>
              <w:t>April 2015 – March 2016</w:t>
            </w:r>
          </w:p>
        </w:tc>
        <w:tc>
          <w:tcPr>
            <w:tcW w:w="1820" w:type="dxa"/>
          </w:tcPr>
          <w:p w14:paraId="1833FCFD" w14:textId="77777777" w:rsidR="00E72FEB" w:rsidRDefault="00E72FEB" w:rsidP="00033A84">
            <w:r>
              <w:t>Approximately 300 consultation sessions held, over 1,000 people consulted.</w:t>
            </w:r>
          </w:p>
        </w:tc>
        <w:tc>
          <w:tcPr>
            <w:tcW w:w="3097" w:type="dxa"/>
          </w:tcPr>
          <w:p w14:paraId="1D7D34ED" w14:textId="77777777" w:rsidR="00E72FEB" w:rsidRDefault="00E72FEB" w:rsidP="00033A84">
            <w:r>
              <w:t>Indigenous leaders (incl. Aboriginal corporations), local government, service providers, state government, local merchants and the general public.</w:t>
            </w:r>
          </w:p>
        </w:tc>
        <w:tc>
          <w:tcPr>
            <w:tcW w:w="2126" w:type="dxa"/>
          </w:tcPr>
          <w:p w14:paraId="676438B8" w14:textId="77777777" w:rsidR="00E72FEB" w:rsidRDefault="00E72FEB" w:rsidP="00033A84">
            <w:r>
              <w:t xml:space="preserve">Face to face meetings (round table or one on one meetings), </w:t>
            </w:r>
            <w:r>
              <w:br/>
              <w:t xml:space="preserve">teleconference. </w:t>
            </w:r>
          </w:p>
        </w:tc>
      </w:tr>
      <w:tr w:rsidR="00E72FEB" w14:paraId="2046E0C2" w14:textId="77777777" w:rsidTr="00FA0E32">
        <w:trPr>
          <w:trHeight w:val="1777"/>
        </w:trPr>
        <w:tc>
          <w:tcPr>
            <w:tcW w:w="1427" w:type="dxa"/>
          </w:tcPr>
          <w:p w14:paraId="6E75A1C2" w14:textId="77777777" w:rsidR="00E72FEB" w:rsidRDefault="00E72FEB" w:rsidP="00033A84">
            <w:r>
              <w:t>East Kimberley, WA</w:t>
            </w:r>
          </w:p>
        </w:tc>
        <w:tc>
          <w:tcPr>
            <w:tcW w:w="1731" w:type="dxa"/>
          </w:tcPr>
          <w:p w14:paraId="31CB7C59" w14:textId="77777777" w:rsidR="00E72FEB" w:rsidRDefault="00E72FEB" w:rsidP="00033A84">
            <w:r>
              <w:t>April 2015 – September 2016</w:t>
            </w:r>
          </w:p>
        </w:tc>
        <w:tc>
          <w:tcPr>
            <w:tcW w:w="1820" w:type="dxa"/>
          </w:tcPr>
          <w:p w14:paraId="666E3952" w14:textId="77777777" w:rsidR="00E72FEB" w:rsidRDefault="00E72FEB" w:rsidP="00033A84">
            <w:r>
              <w:t>110 consultation sessions.</w:t>
            </w:r>
          </w:p>
        </w:tc>
        <w:tc>
          <w:tcPr>
            <w:tcW w:w="3097" w:type="dxa"/>
          </w:tcPr>
          <w:p w14:paraId="2D99FA92" w14:textId="77777777" w:rsidR="00E72FEB" w:rsidRDefault="00E72FEB" w:rsidP="00033A84">
            <w:r>
              <w:t>C</w:t>
            </w:r>
            <w:r w:rsidRPr="00D73447">
              <w:t>ommunity members, Indigenous leaders, service providers, police, and local and state government agencies.</w:t>
            </w:r>
          </w:p>
        </w:tc>
        <w:tc>
          <w:tcPr>
            <w:tcW w:w="2126" w:type="dxa"/>
          </w:tcPr>
          <w:p w14:paraId="072E8F94" w14:textId="77777777" w:rsidR="00E72FEB" w:rsidRDefault="00E72FEB" w:rsidP="00033A84">
            <w:r>
              <w:t>Face to face meetings (round table or one on one meetings), teleconference.</w:t>
            </w:r>
          </w:p>
        </w:tc>
      </w:tr>
      <w:tr w:rsidR="00E72FEB" w14:paraId="4435E5FC" w14:textId="77777777" w:rsidTr="00FA0E32">
        <w:tc>
          <w:tcPr>
            <w:tcW w:w="1427" w:type="dxa"/>
          </w:tcPr>
          <w:p w14:paraId="5A292A99" w14:textId="02B88E42" w:rsidR="00E72FEB" w:rsidRDefault="00AB10F9" w:rsidP="00033A84">
            <w:r>
              <w:t>Goldfields region, WA</w:t>
            </w:r>
          </w:p>
        </w:tc>
        <w:tc>
          <w:tcPr>
            <w:tcW w:w="1731" w:type="dxa"/>
          </w:tcPr>
          <w:p w14:paraId="78540B4B" w14:textId="77777777" w:rsidR="00E72FEB" w:rsidRDefault="00E72FEB" w:rsidP="00033A84">
            <w:r>
              <w:t>May 2017 – September 2017</w:t>
            </w:r>
          </w:p>
        </w:tc>
        <w:tc>
          <w:tcPr>
            <w:tcW w:w="1820" w:type="dxa"/>
          </w:tcPr>
          <w:p w14:paraId="4B4222AC" w14:textId="77777777" w:rsidR="00E72FEB" w:rsidRDefault="00E72FEB" w:rsidP="00033A84">
            <w:r>
              <w:t>Over 270 consultation sessions.</w:t>
            </w:r>
          </w:p>
        </w:tc>
        <w:tc>
          <w:tcPr>
            <w:tcW w:w="3097" w:type="dxa"/>
          </w:tcPr>
          <w:p w14:paraId="43390603" w14:textId="77777777" w:rsidR="00E72FEB" w:rsidRDefault="00E72FEB" w:rsidP="00033A84">
            <w:r>
              <w:rPr>
                <w:rFonts w:cs="Arial"/>
              </w:rPr>
              <w:t>Community members (church leaders, business owners, general public), service providers (health, family &amp; child support and financial counselling), business sector (Chamber of Commerce &amp; local merchants), community sector, local government, and other Commonwealth Government agencies.</w:t>
            </w:r>
          </w:p>
        </w:tc>
        <w:tc>
          <w:tcPr>
            <w:tcW w:w="2126" w:type="dxa"/>
          </w:tcPr>
          <w:p w14:paraId="7DA87FA5" w14:textId="77777777" w:rsidR="00E72FEB" w:rsidRDefault="00E72FEB" w:rsidP="00033A84">
            <w:r w:rsidRPr="00624184">
              <w:t>Formal and informal community information sessions</w:t>
            </w:r>
            <w:r>
              <w:t>, one on one meetings and written consultation.</w:t>
            </w:r>
          </w:p>
        </w:tc>
      </w:tr>
      <w:tr w:rsidR="00E72FEB" w14:paraId="7CF385FD" w14:textId="77777777" w:rsidTr="00FA0E32">
        <w:tc>
          <w:tcPr>
            <w:tcW w:w="1427" w:type="dxa"/>
          </w:tcPr>
          <w:p w14:paraId="62C4D6ED" w14:textId="77777777" w:rsidR="00E72FEB" w:rsidRDefault="00E72FEB" w:rsidP="00033A84">
            <w:r>
              <w:t>Bundaberg and Hervey Bay, QLD</w:t>
            </w:r>
          </w:p>
        </w:tc>
        <w:tc>
          <w:tcPr>
            <w:tcW w:w="1731" w:type="dxa"/>
          </w:tcPr>
          <w:p w14:paraId="34762EE5" w14:textId="77777777" w:rsidR="00E72FEB" w:rsidRDefault="00E72FEB" w:rsidP="00033A84">
            <w:r>
              <w:t>May 2017 – December 2017</w:t>
            </w:r>
          </w:p>
        </w:tc>
        <w:tc>
          <w:tcPr>
            <w:tcW w:w="1820" w:type="dxa"/>
          </w:tcPr>
          <w:p w14:paraId="34F1D724" w14:textId="77777777" w:rsidR="00E72FEB" w:rsidRDefault="00E72FEB" w:rsidP="00033A84">
            <w:r>
              <w:t>220 consultation sessions prior to trial establishment.</w:t>
            </w:r>
          </w:p>
        </w:tc>
        <w:tc>
          <w:tcPr>
            <w:tcW w:w="3097" w:type="dxa"/>
          </w:tcPr>
          <w:p w14:paraId="3CD752A6" w14:textId="77777777" w:rsidR="00E72FEB" w:rsidRDefault="00E72FEB" w:rsidP="00033A84">
            <w:r>
              <w:t xml:space="preserve">Community members, service providers, all levels of government, </w:t>
            </w:r>
            <w:r w:rsidRPr="009B0188">
              <w:t xml:space="preserve">emergency relief and housing </w:t>
            </w:r>
            <w:r>
              <w:t>services.</w:t>
            </w:r>
          </w:p>
        </w:tc>
        <w:tc>
          <w:tcPr>
            <w:tcW w:w="2126" w:type="dxa"/>
          </w:tcPr>
          <w:p w14:paraId="2B8A8A97" w14:textId="77777777" w:rsidR="00E72FEB" w:rsidRDefault="00E72FEB" w:rsidP="00033A84">
            <w:r>
              <w:t>One on one and round table meetings.</w:t>
            </w:r>
          </w:p>
        </w:tc>
      </w:tr>
      <w:tr w:rsidR="00E72FEB" w14:paraId="68795E32" w14:textId="77777777" w:rsidTr="00FA0E32">
        <w:tc>
          <w:tcPr>
            <w:tcW w:w="1427" w:type="dxa"/>
          </w:tcPr>
          <w:p w14:paraId="25683186" w14:textId="77777777" w:rsidR="00E72FEB" w:rsidRDefault="00E72FEB" w:rsidP="00033A84">
            <w:r>
              <w:t>Northern Territory and Cape York, QLD</w:t>
            </w:r>
          </w:p>
        </w:tc>
        <w:tc>
          <w:tcPr>
            <w:tcW w:w="1731" w:type="dxa"/>
          </w:tcPr>
          <w:p w14:paraId="2940A9D6" w14:textId="77777777" w:rsidR="00E72FEB" w:rsidRDefault="00E72FEB" w:rsidP="00033A84">
            <w:r>
              <w:t>October 2019 – March 2020</w:t>
            </w:r>
          </w:p>
        </w:tc>
        <w:tc>
          <w:tcPr>
            <w:tcW w:w="1820" w:type="dxa"/>
          </w:tcPr>
          <w:p w14:paraId="30C04D83" w14:textId="77777777" w:rsidR="00E72FEB" w:rsidRDefault="00E72FEB" w:rsidP="00033A84">
            <w:r>
              <w:t>83 information sessions to over 70 communities, engaged nearly 3,500 community members and met with over 120 stakeholders and local organisations.</w:t>
            </w:r>
          </w:p>
        </w:tc>
        <w:tc>
          <w:tcPr>
            <w:tcW w:w="3097" w:type="dxa"/>
          </w:tcPr>
          <w:p w14:paraId="5C6A5B1A" w14:textId="449C6837" w:rsidR="00E72FEB" w:rsidRDefault="00E72FEB" w:rsidP="00033A84">
            <w:r>
              <w:t>Land Councils and other Aboriginal corporations, local providers and councils, community groups, police, state and te</w:t>
            </w:r>
            <w:r w:rsidR="00AB10F9">
              <w:t>rritory government departments.</w:t>
            </w:r>
          </w:p>
        </w:tc>
        <w:tc>
          <w:tcPr>
            <w:tcW w:w="2126" w:type="dxa"/>
          </w:tcPr>
          <w:p w14:paraId="7735DD58" w14:textId="77777777" w:rsidR="00E72FEB" w:rsidRDefault="00E72FEB" w:rsidP="00033A84">
            <w:r>
              <w:t>One on one meetings, round table, large and small community information sessions.</w:t>
            </w:r>
          </w:p>
        </w:tc>
      </w:tr>
    </w:tbl>
    <w:p w14:paraId="3C7C23A7" w14:textId="3A8072A1" w:rsidR="00E72FEB" w:rsidRDefault="00E72FEB" w:rsidP="00483CEB">
      <w:pPr>
        <w:spacing w:before="240"/>
      </w:pPr>
      <w:r>
        <w:t xml:space="preserve">To address the policy problem identified, the </w:t>
      </w:r>
      <w:r w:rsidR="00F15809">
        <w:t>D</w:t>
      </w:r>
      <w:r>
        <w:t>epartment undertook consultation with representatives from business and industry, the community sector, community leaders, and all levels of government on the issue. These consultations resulted in the development of the CDC, which aligned with community and industry</w:t>
      </w:r>
      <w:r w:rsidR="00AB10F9">
        <w:t xml:space="preserve"> expectations and capabilities.</w:t>
      </w:r>
    </w:p>
    <w:p w14:paraId="01709A5C" w14:textId="77777777" w:rsidR="00E72FEB" w:rsidRDefault="00E72FEB" w:rsidP="00025205">
      <w:pPr>
        <w:pStyle w:val="Heading3"/>
      </w:pPr>
      <w:bookmarkStart w:id="189" w:name="_Toc108008534"/>
      <w:bookmarkStart w:id="190" w:name="_Toc118103793"/>
      <w:r>
        <w:t>Ongoing consultation on the CDC</w:t>
      </w:r>
      <w:bookmarkEnd w:id="189"/>
      <w:bookmarkEnd w:id="190"/>
    </w:p>
    <w:p w14:paraId="57DE62FC" w14:textId="51C3C6DB" w:rsidR="00E72FEB" w:rsidRDefault="00106B26" w:rsidP="00E72FEB">
      <w:r>
        <w:t>The</w:t>
      </w:r>
      <w:r w:rsidR="00E72FEB">
        <w:t xml:space="preserve"> card provider, engages local partners to assist participants with practical enquiries and support, such as card activations, online account set up, paying bills and arranging hou</w:t>
      </w:r>
      <w:r w:rsidR="00AB10F9">
        <w:t>sing and other transfer limits.</w:t>
      </w:r>
    </w:p>
    <w:p w14:paraId="098833CB" w14:textId="77777777" w:rsidR="00E72FEB" w:rsidRDefault="00E72FEB" w:rsidP="00E72FEB">
      <w:r>
        <w:t xml:space="preserve">Community panels were also established in Ceduna, Kununurra and Wyndham so that CDC participants could apply to reduce the percentage of their </w:t>
      </w:r>
      <w:r w:rsidR="00EB6044">
        <w:t>income support</w:t>
      </w:r>
      <w:r>
        <w:t xml:space="preserve"> payment placed onto the card and thus have greater access to cash.</w:t>
      </w:r>
    </w:p>
    <w:p w14:paraId="4937B44F" w14:textId="77777777" w:rsidR="00E72FEB" w:rsidRDefault="00E72FEB" w:rsidP="00E72FEB">
      <w:r>
        <w:t>The Department worked closely with the community leaders to develop the guidelines and membership of the panels, in line with each community’s identified objectives and agreed-upon social norms. The community panel model allows community leaders to be involved in the delivery of the program, in the same manner as the models of local partners, consultation and co-design.</w:t>
      </w:r>
    </w:p>
    <w:p w14:paraId="790D1210" w14:textId="77777777" w:rsidR="00E72FEB" w:rsidRDefault="00E72FEB" w:rsidP="00025205">
      <w:pPr>
        <w:pStyle w:val="Heading3"/>
      </w:pPr>
      <w:bookmarkStart w:id="191" w:name="_Toc108008535"/>
      <w:bookmarkStart w:id="192" w:name="_Toc118103794"/>
      <w:r>
        <w:t>Stakeholders</w:t>
      </w:r>
      <w:bookmarkEnd w:id="191"/>
      <w:bookmarkEnd w:id="192"/>
      <w:r>
        <w:t xml:space="preserve"> </w:t>
      </w:r>
    </w:p>
    <w:p w14:paraId="057AE814" w14:textId="51C9C724" w:rsidR="00E72FEB" w:rsidRDefault="00E72FEB" w:rsidP="00E72FEB">
      <w:r>
        <w:t>Identifying and approaching appropriate stakeholders is essential to a successful consultation process with the CDC. Local departmental staff and other government agencies with a presence in the location have provided information on local politics, key stakeholders, previous government engagement and current government programs. This information will enable departmental staff to identify local leaders and other ke</w:t>
      </w:r>
      <w:r w:rsidR="00AB10F9">
        <w:t>y stakeholders to be consulted.</w:t>
      </w:r>
    </w:p>
    <w:p w14:paraId="5725E8E8" w14:textId="77777777" w:rsidR="00E72FEB" w:rsidRDefault="00E72FEB" w:rsidP="00E72FEB">
      <w:r>
        <w:t>The Department engaged Indigenous Liaison Officers to guide a consultation process in a location with a high Indigenous population.</w:t>
      </w:r>
    </w:p>
    <w:p w14:paraId="6464FB79" w14:textId="77777777" w:rsidR="00FE197E" w:rsidRDefault="00FE197E">
      <w:pPr>
        <w:rPr>
          <w:rFonts w:asciiTheme="majorHAnsi" w:hAnsiTheme="majorHAnsi"/>
          <w:color w:val="014463" w:themeColor="text2"/>
          <w:sz w:val="24"/>
          <w:szCs w:val="24"/>
        </w:rPr>
      </w:pPr>
      <w:r>
        <w:br w:type="page"/>
      </w:r>
    </w:p>
    <w:p w14:paraId="11104014" w14:textId="264A69D6" w:rsidR="00E72FEB" w:rsidRDefault="00E72FEB" w:rsidP="00221261">
      <w:pPr>
        <w:pStyle w:val="Title"/>
        <w:spacing w:after="0"/>
      </w:pPr>
      <w:bookmarkStart w:id="193" w:name="_Toc99449517"/>
      <w:bookmarkStart w:id="194" w:name="_Toc108008538"/>
      <w:bookmarkStart w:id="195" w:name="_Toc118103795"/>
      <w:r>
        <w:t>A</w:t>
      </w:r>
      <w:r w:rsidR="00F767BA">
        <w:t>ttachment</w:t>
      </w:r>
      <w:r>
        <w:t xml:space="preserve"> C</w:t>
      </w:r>
      <w:bookmarkEnd w:id="193"/>
      <w:bookmarkEnd w:id="194"/>
      <w:bookmarkEnd w:id="195"/>
    </w:p>
    <w:p w14:paraId="3777010E" w14:textId="77777777" w:rsidR="00E72FEB" w:rsidRDefault="00E72FEB" w:rsidP="00025205">
      <w:pPr>
        <w:pStyle w:val="Heading2"/>
      </w:pPr>
      <w:bookmarkStart w:id="196" w:name="_Toc108008539"/>
      <w:bookmarkStart w:id="197" w:name="_Toc118103796"/>
      <w:r w:rsidRPr="003A6D7E">
        <w:t>Summary of legislation related to the CDC</w:t>
      </w:r>
      <w:bookmarkEnd w:id="196"/>
      <w:r w:rsidR="0095682C">
        <w:t xml:space="preserve"> and IM</w:t>
      </w:r>
      <w:bookmarkEnd w:id="197"/>
    </w:p>
    <w:p w14:paraId="6B703BFE" w14:textId="77777777" w:rsidR="00414D48" w:rsidRDefault="00414D48" w:rsidP="002A2549">
      <w:pPr>
        <w:pStyle w:val="Heading3"/>
      </w:pPr>
      <w:bookmarkStart w:id="198" w:name="_Toc118103797"/>
      <w:r>
        <w:t>Six deferral instruments</w:t>
      </w:r>
      <w:bookmarkEnd w:id="19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x deferral instruments"/>
      </w:tblPr>
      <w:tblGrid>
        <w:gridCol w:w="683"/>
        <w:gridCol w:w="3565"/>
        <w:gridCol w:w="5670"/>
      </w:tblGrid>
      <w:tr w:rsidR="00275526" w:rsidRPr="00275526" w14:paraId="502E2208" w14:textId="77777777" w:rsidTr="00275526">
        <w:tc>
          <w:tcPr>
            <w:tcW w:w="4248" w:type="dxa"/>
            <w:gridSpan w:val="2"/>
            <w:shd w:val="clear" w:color="auto" w:fill="auto"/>
          </w:tcPr>
          <w:p w14:paraId="4BBA6B2B" w14:textId="77777777" w:rsidR="00414D48" w:rsidRPr="00275526" w:rsidRDefault="00414D48" w:rsidP="00275526">
            <w:pPr>
              <w:rPr>
                <w:rFonts w:cstheme="minorHAnsi"/>
                <w:b/>
                <w:color w:val="auto"/>
              </w:rPr>
            </w:pPr>
            <w:r w:rsidRPr="00275526">
              <w:rPr>
                <w:rFonts w:cstheme="minorHAnsi"/>
                <w:b/>
                <w:color w:val="auto"/>
                <w:lang w:eastAsia="en-AU"/>
              </w:rPr>
              <w:t>IM legislative instruments</w:t>
            </w:r>
          </w:p>
        </w:tc>
        <w:tc>
          <w:tcPr>
            <w:tcW w:w="5670" w:type="dxa"/>
            <w:shd w:val="clear" w:color="auto" w:fill="auto"/>
          </w:tcPr>
          <w:p w14:paraId="49AE400A" w14:textId="77777777" w:rsidR="00414D48" w:rsidRPr="00275526" w:rsidRDefault="00414D48" w:rsidP="00275526">
            <w:pPr>
              <w:rPr>
                <w:rFonts w:cstheme="minorHAnsi"/>
                <w:b/>
                <w:color w:val="auto"/>
              </w:rPr>
            </w:pPr>
            <w:r w:rsidRPr="00275526">
              <w:rPr>
                <w:rFonts w:cstheme="minorHAnsi"/>
                <w:b/>
                <w:color w:val="auto"/>
              </w:rPr>
              <w:t xml:space="preserve">Income Management </w:t>
            </w:r>
          </w:p>
          <w:p w14:paraId="3CDB9D4B" w14:textId="77777777" w:rsidR="00414D48" w:rsidRPr="00275526" w:rsidRDefault="00414D48" w:rsidP="00275526">
            <w:pPr>
              <w:rPr>
                <w:rFonts w:cstheme="minorHAnsi"/>
                <w:b/>
                <w:color w:val="auto"/>
              </w:rPr>
            </w:pPr>
            <w:r w:rsidRPr="00275526">
              <w:rPr>
                <w:rFonts w:cstheme="minorHAnsi"/>
                <w:b/>
                <w:color w:val="auto"/>
              </w:rPr>
              <w:t>Impacted State/Territory &amp; Measures</w:t>
            </w:r>
          </w:p>
        </w:tc>
      </w:tr>
      <w:tr w:rsidR="00414D48" w:rsidRPr="00414D48" w14:paraId="1134D902" w14:textId="77777777" w:rsidTr="00275526">
        <w:tc>
          <w:tcPr>
            <w:tcW w:w="683" w:type="dxa"/>
            <w:shd w:val="clear" w:color="auto" w:fill="auto"/>
          </w:tcPr>
          <w:p w14:paraId="14DC7A4E" w14:textId="77777777" w:rsidR="00414D48" w:rsidRPr="00275526" w:rsidRDefault="00414D48" w:rsidP="00275526">
            <w:pPr>
              <w:pStyle w:val="ListParagraph"/>
              <w:ind w:left="0" w:firstLine="32"/>
              <w:rPr>
                <w:rFonts w:cstheme="minorHAnsi"/>
                <w:b/>
              </w:rPr>
            </w:pPr>
            <w:r w:rsidRPr="00275526">
              <w:rPr>
                <w:rFonts w:cstheme="minorHAnsi"/>
                <w:b/>
              </w:rPr>
              <w:t>1</w:t>
            </w:r>
          </w:p>
        </w:tc>
        <w:tc>
          <w:tcPr>
            <w:tcW w:w="3565" w:type="dxa"/>
          </w:tcPr>
          <w:p w14:paraId="694CBD4D" w14:textId="77777777" w:rsidR="00414D48" w:rsidRPr="00414D48" w:rsidRDefault="00BF33E7" w:rsidP="00275526">
            <w:pPr>
              <w:pStyle w:val="ListParagraph"/>
              <w:spacing w:after="200" w:line="276" w:lineRule="auto"/>
              <w:ind w:left="0" w:firstLine="32"/>
              <w:rPr>
                <w:rFonts w:cstheme="minorHAnsi"/>
                <w:color w:val="2E75B6"/>
                <w:lang w:val="en-US"/>
              </w:rPr>
            </w:pPr>
            <w:hyperlink r:id="rId30" w:history="1">
              <w:r w:rsidR="00414D48" w:rsidRPr="00414D48">
                <w:rPr>
                  <w:rStyle w:val="Hyperlink"/>
                  <w:rFonts w:cstheme="minorHAnsi"/>
                  <w:color w:val="2E75B6"/>
                  <w:lang w:val="en-US"/>
                </w:rPr>
                <w:t>Social Security (Administration) (Declared child protection State — New South Wales, Queensland, South Australia and Victoria) Determination 2012</w:t>
              </w:r>
            </w:hyperlink>
          </w:p>
        </w:tc>
        <w:tc>
          <w:tcPr>
            <w:tcW w:w="5670" w:type="dxa"/>
          </w:tcPr>
          <w:p w14:paraId="4007314D" w14:textId="77777777" w:rsidR="00414D48" w:rsidRPr="00414D48" w:rsidRDefault="00414D48" w:rsidP="00275526">
            <w:pPr>
              <w:rPr>
                <w:rFonts w:cstheme="minorHAnsi"/>
              </w:rPr>
            </w:pPr>
            <w:r w:rsidRPr="00414D48">
              <w:rPr>
                <w:rFonts w:cstheme="minorHAnsi"/>
              </w:rPr>
              <w:t>New South Wales</w:t>
            </w:r>
          </w:p>
          <w:p w14:paraId="6EFB3A40" w14:textId="77777777" w:rsidR="00414D48" w:rsidRPr="00414D48" w:rsidRDefault="00414D48" w:rsidP="00275526">
            <w:pPr>
              <w:rPr>
                <w:rFonts w:cstheme="minorHAnsi"/>
              </w:rPr>
            </w:pPr>
            <w:r w:rsidRPr="00414D48">
              <w:rPr>
                <w:rFonts w:cstheme="minorHAnsi"/>
              </w:rPr>
              <w:t>Queensland</w:t>
            </w:r>
          </w:p>
          <w:p w14:paraId="36F69CF1" w14:textId="77777777" w:rsidR="00414D48" w:rsidRPr="00414D48" w:rsidRDefault="00414D48" w:rsidP="00275526">
            <w:pPr>
              <w:rPr>
                <w:rFonts w:cstheme="minorHAnsi"/>
              </w:rPr>
            </w:pPr>
            <w:r w:rsidRPr="00414D48">
              <w:rPr>
                <w:rFonts w:cstheme="minorHAnsi"/>
              </w:rPr>
              <w:t>South Australia</w:t>
            </w:r>
          </w:p>
          <w:p w14:paraId="2DEF8E69" w14:textId="77777777" w:rsidR="00414D48" w:rsidRPr="00414D48" w:rsidRDefault="00414D48" w:rsidP="00275526">
            <w:pPr>
              <w:rPr>
                <w:rFonts w:cstheme="minorHAnsi"/>
              </w:rPr>
            </w:pPr>
            <w:r w:rsidRPr="00414D48">
              <w:rPr>
                <w:rFonts w:cstheme="minorHAnsi"/>
              </w:rPr>
              <w:t>Victoria</w:t>
            </w:r>
          </w:p>
          <w:p w14:paraId="5A372936" w14:textId="77777777" w:rsidR="00414D48" w:rsidRPr="00391946" w:rsidRDefault="00414D48" w:rsidP="00275526">
            <w:pPr>
              <w:pStyle w:val="ListParagraph"/>
              <w:numPr>
                <w:ilvl w:val="0"/>
                <w:numId w:val="43"/>
              </w:numPr>
              <w:rPr>
                <w:rFonts w:cstheme="minorHAnsi"/>
              </w:rPr>
            </w:pPr>
            <w:r w:rsidRPr="00414D48">
              <w:rPr>
                <w:rFonts w:cstheme="minorHAnsi"/>
              </w:rPr>
              <w:t>Child Protection Measure</w:t>
            </w:r>
          </w:p>
        </w:tc>
      </w:tr>
      <w:tr w:rsidR="00414D48" w:rsidRPr="00414D48" w14:paraId="47C58EEC" w14:textId="77777777" w:rsidTr="00275526">
        <w:tc>
          <w:tcPr>
            <w:tcW w:w="683" w:type="dxa"/>
            <w:shd w:val="clear" w:color="auto" w:fill="auto"/>
          </w:tcPr>
          <w:p w14:paraId="3375D3C8" w14:textId="77777777" w:rsidR="00414D48" w:rsidRPr="00275526" w:rsidRDefault="00414D48" w:rsidP="00275526">
            <w:pPr>
              <w:pStyle w:val="ListParagraph"/>
              <w:ind w:left="0" w:firstLine="32"/>
              <w:rPr>
                <w:rFonts w:cstheme="minorHAnsi"/>
                <w:b/>
              </w:rPr>
            </w:pPr>
            <w:r w:rsidRPr="00275526">
              <w:rPr>
                <w:rFonts w:cstheme="minorHAnsi"/>
                <w:b/>
              </w:rPr>
              <w:t>2</w:t>
            </w:r>
          </w:p>
        </w:tc>
        <w:tc>
          <w:tcPr>
            <w:tcW w:w="3565" w:type="dxa"/>
          </w:tcPr>
          <w:p w14:paraId="4A4A6005" w14:textId="77777777" w:rsidR="00414D48" w:rsidRPr="00414D48" w:rsidRDefault="00BF33E7" w:rsidP="00275526">
            <w:pPr>
              <w:pStyle w:val="ListParagraph"/>
              <w:spacing w:after="200" w:line="276" w:lineRule="auto"/>
              <w:ind w:left="0" w:firstLine="32"/>
              <w:rPr>
                <w:rFonts w:cstheme="minorHAnsi"/>
                <w:color w:val="2E75B6"/>
                <w:lang w:val="en-US"/>
              </w:rPr>
            </w:pPr>
            <w:hyperlink r:id="rId31" w:history="1">
              <w:r w:rsidR="00414D48" w:rsidRPr="00414D48">
                <w:rPr>
                  <w:rStyle w:val="Hyperlink"/>
                  <w:rFonts w:cstheme="minorHAnsi"/>
                  <w:color w:val="2E75B6"/>
                  <w:lang w:val="en-US"/>
                </w:rPr>
                <w:t>Social Security (Administration) (Specified income management Territory - Northern Territory) Specification 2012</w:t>
              </w:r>
            </w:hyperlink>
          </w:p>
        </w:tc>
        <w:tc>
          <w:tcPr>
            <w:tcW w:w="5670" w:type="dxa"/>
          </w:tcPr>
          <w:p w14:paraId="22527AC8" w14:textId="2D02168F" w:rsidR="00414D48" w:rsidRPr="00414D48" w:rsidRDefault="00AB10F9" w:rsidP="00275526">
            <w:pPr>
              <w:rPr>
                <w:rFonts w:cstheme="minorHAnsi"/>
              </w:rPr>
            </w:pPr>
            <w:r>
              <w:rPr>
                <w:rFonts w:cstheme="minorHAnsi"/>
              </w:rPr>
              <w:t>Northern Territory</w:t>
            </w:r>
          </w:p>
          <w:p w14:paraId="513D11C3" w14:textId="77777777" w:rsidR="00414D48" w:rsidRPr="00414D48" w:rsidRDefault="00414D48" w:rsidP="00275526">
            <w:pPr>
              <w:pStyle w:val="ListParagraph"/>
              <w:numPr>
                <w:ilvl w:val="0"/>
                <w:numId w:val="42"/>
              </w:numPr>
              <w:rPr>
                <w:rFonts w:cstheme="minorHAnsi"/>
                <w:lang w:eastAsia="en-AU"/>
              </w:rPr>
            </w:pPr>
            <w:r w:rsidRPr="00414D48">
              <w:rPr>
                <w:rFonts w:cstheme="minorHAnsi"/>
                <w:lang w:eastAsia="en-AU"/>
              </w:rPr>
              <w:t>Disengaged Youth</w:t>
            </w:r>
          </w:p>
          <w:p w14:paraId="2EDF4E24" w14:textId="77777777" w:rsidR="00414D48" w:rsidRPr="00391946" w:rsidRDefault="00414D48" w:rsidP="00275526">
            <w:pPr>
              <w:pStyle w:val="ListParagraph"/>
              <w:numPr>
                <w:ilvl w:val="0"/>
                <w:numId w:val="42"/>
              </w:numPr>
              <w:rPr>
                <w:rFonts w:cstheme="minorHAnsi"/>
                <w:lang w:eastAsia="en-AU"/>
              </w:rPr>
            </w:pPr>
            <w:r w:rsidRPr="00414D48">
              <w:rPr>
                <w:rFonts w:cstheme="minorHAnsi"/>
                <w:lang w:eastAsia="en-AU"/>
              </w:rPr>
              <w:t>Long-term Welfare Payment Recipient</w:t>
            </w:r>
          </w:p>
        </w:tc>
      </w:tr>
      <w:tr w:rsidR="00414D48" w:rsidRPr="00414D48" w14:paraId="2D204A43" w14:textId="77777777" w:rsidTr="00275526">
        <w:tc>
          <w:tcPr>
            <w:tcW w:w="683" w:type="dxa"/>
            <w:shd w:val="clear" w:color="auto" w:fill="auto"/>
          </w:tcPr>
          <w:p w14:paraId="0108D765" w14:textId="77777777" w:rsidR="00414D48" w:rsidRPr="00275526" w:rsidRDefault="00414D48" w:rsidP="00275526">
            <w:pPr>
              <w:pStyle w:val="ListParagraph"/>
              <w:ind w:left="0" w:firstLine="32"/>
              <w:rPr>
                <w:rFonts w:cstheme="minorHAnsi"/>
                <w:b/>
              </w:rPr>
            </w:pPr>
            <w:r w:rsidRPr="00275526">
              <w:rPr>
                <w:rFonts w:cstheme="minorHAnsi"/>
                <w:b/>
              </w:rPr>
              <w:t>3</w:t>
            </w:r>
          </w:p>
        </w:tc>
        <w:tc>
          <w:tcPr>
            <w:tcW w:w="3565" w:type="dxa"/>
          </w:tcPr>
          <w:p w14:paraId="4B3BE122" w14:textId="77777777" w:rsidR="00414D48" w:rsidRPr="00414D48" w:rsidRDefault="00BF33E7" w:rsidP="00275526">
            <w:pPr>
              <w:rPr>
                <w:rFonts w:cstheme="minorHAnsi"/>
              </w:rPr>
            </w:pPr>
            <w:hyperlink r:id="rId32" w:history="1">
              <w:r w:rsidR="00414D48" w:rsidRPr="00414D48">
                <w:rPr>
                  <w:rStyle w:val="Hyperlink"/>
                  <w:rFonts w:cstheme="minorHAnsi"/>
                  <w:color w:val="25303B" w:themeColor="accent1"/>
                  <w:lang w:val="en-US"/>
                </w:rPr>
                <w:t>Social Security (Administration) (Recognised State or Territory — Northern Territory) Determination 2012</w:t>
              </w:r>
            </w:hyperlink>
          </w:p>
        </w:tc>
        <w:tc>
          <w:tcPr>
            <w:tcW w:w="5670" w:type="dxa"/>
          </w:tcPr>
          <w:p w14:paraId="5338ABF8" w14:textId="53F3D721" w:rsidR="00414D48" w:rsidRPr="00414D48" w:rsidRDefault="00AB10F9" w:rsidP="00275526">
            <w:pPr>
              <w:rPr>
                <w:rFonts w:cstheme="minorHAnsi"/>
              </w:rPr>
            </w:pPr>
            <w:r>
              <w:rPr>
                <w:rFonts w:cstheme="minorHAnsi"/>
              </w:rPr>
              <w:t>Northern Territory</w:t>
            </w:r>
          </w:p>
          <w:p w14:paraId="402A2D7F" w14:textId="77777777" w:rsidR="00414D48" w:rsidRPr="00414D48" w:rsidRDefault="00414D48" w:rsidP="00275526">
            <w:pPr>
              <w:pStyle w:val="ListParagraph"/>
              <w:numPr>
                <w:ilvl w:val="0"/>
                <w:numId w:val="42"/>
              </w:numPr>
              <w:rPr>
                <w:rFonts w:cstheme="minorHAnsi"/>
              </w:rPr>
            </w:pPr>
            <w:r w:rsidRPr="00414D48">
              <w:rPr>
                <w:rFonts w:cstheme="minorHAnsi"/>
                <w:lang w:eastAsia="en-AU"/>
              </w:rPr>
              <w:t>Supporting People at Risk</w:t>
            </w:r>
          </w:p>
        </w:tc>
      </w:tr>
      <w:tr w:rsidR="00414D48" w:rsidRPr="00414D48" w14:paraId="3203EA69" w14:textId="77777777" w:rsidTr="00275526">
        <w:tc>
          <w:tcPr>
            <w:tcW w:w="683" w:type="dxa"/>
            <w:shd w:val="clear" w:color="auto" w:fill="auto"/>
          </w:tcPr>
          <w:p w14:paraId="4ACDC01C" w14:textId="77777777" w:rsidR="00414D48" w:rsidRPr="00275526" w:rsidRDefault="00414D48" w:rsidP="00275526">
            <w:pPr>
              <w:pStyle w:val="ListParagraph"/>
              <w:ind w:left="32"/>
              <w:rPr>
                <w:rFonts w:cstheme="minorHAnsi"/>
                <w:b/>
              </w:rPr>
            </w:pPr>
            <w:r w:rsidRPr="00275526">
              <w:rPr>
                <w:rFonts w:cstheme="minorHAnsi"/>
                <w:b/>
              </w:rPr>
              <w:t>4</w:t>
            </w:r>
          </w:p>
        </w:tc>
        <w:tc>
          <w:tcPr>
            <w:tcW w:w="3565" w:type="dxa"/>
          </w:tcPr>
          <w:p w14:paraId="524FCEDB" w14:textId="77777777" w:rsidR="00414D48" w:rsidRPr="00414D48" w:rsidRDefault="00BF33E7" w:rsidP="00275526">
            <w:pPr>
              <w:pStyle w:val="ListParagraph"/>
              <w:spacing w:after="200" w:line="276" w:lineRule="auto"/>
              <w:ind w:left="32"/>
              <w:rPr>
                <w:rFonts w:cstheme="minorHAnsi"/>
                <w:color w:val="2E75B6"/>
              </w:rPr>
            </w:pPr>
            <w:hyperlink r:id="rId33" w:history="1">
              <w:r w:rsidR="00414D48" w:rsidRPr="00414D48">
                <w:rPr>
                  <w:rStyle w:val="Hyperlink"/>
                  <w:rFonts w:cstheme="minorHAnsi"/>
                  <w:color w:val="2E75B6"/>
                </w:rPr>
                <w:t>Social Security (Administration) (Declared voluntary income management areas – New South Wales, Queensland, South Australia and Victoria) Determination 2012</w:t>
              </w:r>
            </w:hyperlink>
          </w:p>
        </w:tc>
        <w:tc>
          <w:tcPr>
            <w:tcW w:w="5670" w:type="dxa"/>
          </w:tcPr>
          <w:p w14:paraId="5ABF9BD9" w14:textId="77777777" w:rsidR="00414D48" w:rsidRPr="00414D48" w:rsidRDefault="00414D48" w:rsidP="00275526">
            <w:pPr>
              <w:rPr>
                <w:rFonts w:cstheme="minorHAnsi"/>
              </w:rPr>
            </w:pPr>
            <w:r w:rsidRPr="00414D48">
              <w:rPr>
                <w:rFonts w:cstheme="minorHAnsi"/>
              </w:rPr>
              <w:t>New South Wales (Bankstown)</w:t>
            </w:r>
          </w:p>
          <w:p w14:paraId="03CAAA14" w14:textId="77777777" w:rsidR="00414D48" w:rsidRPr="00414D48" w:rsidRDefault="00414D48" w:rsidP="00275526">
            <w:pPr>
              <w:rPr>
                <w:rFonts w:cstheme="minorHAnsi"/>
              </w:rPr>
            </w:pPr>
            <w:r w:rsidRPr="00414D48">
              <w:rPr>
                <w:rFonts w:cstheme="minorHAnsi"/>
              </w:rPr>
              <w:t>Queensland (Logan, Livingstone &amp; Rockhampton)</w:t>
            </w:r>
          </w:p>
          <w:p w14:paraId="10EB775E" w14:textId="77777777" w:rsidR="00414D48" w:rsidRPr="00414D48" w:rsidRDefault="00414D48" w:rsidP="00275526">
            <w:pPr>
              <w:rPr>
                <w:rFonts w:cstheme="minorHAnsi"/>
              </w:rPr>
            </w:pPr>
            <w:r w:rsidRPr="00414D48">
              <w:rPr>
                <w:rFonts w:cstheme="minorHAnsi"/>
              </w:rPr>
              <w:t>South Australia (Greater Adelaide, Playford &amp; APY Lands)</w:t>
            </w:r>
          </w:p>
          <w:p w14:paraId="344F0A2B" w14:textId="77777777" w:rsidR="00414D48" w:rsidRPr="00414D48" w:rsidRDefault="00414D48" w:rsidP="00275526">
            <w:pPr>
              <w:rPr>
                <w:rFonts w:cstheme="minorHAnsi"/>
              </w:rPr>
            </w:pPr>
            <w:r w:rsidRPr="00414D48">
              <w:rPr>
                <w:rFonts w:cstheme="minorHAnsi"/>
              </w:rPr>
              <w:t>Victoria (Greater Shepparton)</w:t>
            </w:r>
          </w:p>
          <w:p w14:paraId="5745F63A" w14:textId="77777777" w:rsidR="00414D48" w:rsidRPr="00391946" w:rsidRDefault="00414D48" w:rsidP="00275526">
            <w:pPr>
              <w:pStyle w:val="ListParagraph"/>
              <w:numPr>
                <w:ilvl w:val="0"/>
                <w:numId w:val="44"/>
              </w:numPr>
              <w:rPr>
                <w:rFonts w:cstheme="minorHAnsi"/>
              </w:rPr>
            </w:pPr>
            <w:r w:rsidRPr="00414D48">
              <w:rPr>
                <w:rFonts w:cstheme="minorHAnsi"/>
              </w:rPr>
              <w:t>Voluntary Measure</w:t>
            </w:r>
          </w:p>
        </w:tc>
      </w:tr>
      <w:tr w:rsidR="00414D48" w:rsidRPr="00414D48" w14:paraId="4BE171B9" w14:textId="77777777" w:rsidTr="00275526">
        <w:tc>
          <w:tcPr>
            <w:tcW w:w="683" w:type="dxa"/>
            <w:shd w:val="clear" w:color="auto" w:fill="auto"/>
          </w:tcPr>
          <w:p w14:paraId="5B4481BA" w14:textId="77777777" w:rsidR="00414D48" w:rsidRPr="00275526" w:rsidRDefault="00414D48" w:rsidP="00275526">
            <w:pPr>
              <w:pStyle w:val="ListParagraph"/>
              <w:ind w:left="0"/>
              <w:rPr>
                <w:rFonts w:cstheme="minorHAnsi"/>
                <w:b/>
              </w:rPr>
            </w:pPr>
            <w:r w:rsidRPr="00275526">
              <w:rPr>
                <w:rFonts w:cstheme="minorHAnsi"/>
                <w:b/>
              </w:rPr>
              <w:t>5</w:t>
            </w:r>
          </w:p>
        </w:tc>
        <w:tc>
          <w:tcPr>
            <w:tcW w:w="3565" w:type="dxa"/>
          </w:tcPr>
          <w:p w14:paraId="6E31B6A0" w14:textId="77777777" w:rsidR="00414D48" w:rsidRPr="00414D48" w:rsidRDefault="00BF33E7" w:rsidP="00275526">
            <w:pPr>
              <w:pStyle w:val="ListParagraph"/>
              <w:spacing w:after="200" w:line="276" w:lineRule="auto"/>
              <w:ind w:left="0"/>
              <w:rPr>
                <w:rStyle w:val="Hyperlink"/>
                <w:rFonts w:cstheme="minorHAnsi"/>
                <w:color w:val="2E75B6"/>
              </w:rPr>
            </w:pPr>
            <w:hyperlink r:id="rId34" w:history="1">
              <w:r w:rsidR="00414D48" w:rsidRPr="00414D48">
                <w:rPr>
                  <w:rStyle w:val="Hyperlink"/>
                  <w:rFonts w:cstheme="minorHAnsi"/>
                  <w:color w:val="2E75B6"/>
                </w:rPr>
                <w:t>Social Security (Administration) (Declared income management area - Anangu Pitjantjatjara Yankunytjatjara lands) Determination 2012</w:t>
              </w:r>
            </w:hyperlink>
          </w:p>
        </w:tc>
        <w:tc>
          <w:tcPr>
            <w:tcW w:w="5670" w:type="dxa"/>
          </w:tcPr>
          <w:p w14:paraId="04381436" w14:textId="6E785EBC" w:rsidR="00414D48" w:rsidRPr="00414D48" w:rsidRDefault="00414D48" w:rsidP="00275526">
            <w:pPr>
              <w:rPr>
                <w:rFonts w:cstheme="minorHAnsi"/>
              </w:rPr>
            </w:pPr>
            <w:r w:rsidRPr="00414D48">
              <w:rPr>
                <w:rFonts w:cstheme="minorHAnsi"/>
              </w:rPr>
              <w:t>Anangu Pitjantjatj</w:t>
            </w:r>
            <w:r w:rsidR="00AB10F9">
              <w:rPr>
                <w:rFonts w:cstheme="minorHAnsi"/>
              </w:rPr>
              <w:t>ara Yankunytjatjara (APY) lands</w:t>
            </w:r>
          </w:p>
          <w:p w14:paraId="766C074C" w14:textId="77777777" w:rsidR="00414D48" w:rsidRPr="00414D48" w:rsidRDefault="00414D48" w:rsidP="00275526">
            <w:pPr>
              <w:pStyle w:val="ListParagraph"/>
              <w:numPr>
                <w:ilvl w:val="0"/>
                <w:numId w:val="44"/>
              </w:numPr>
              <w:rPr>
                <w:rFonts w:cstheme="minorHAnsi"/>
                <w:lang w:eastAsia="en-AU"/>
              </w:rPr>
            </w:pPr>
            <w:r w:rsidRPr="00414D48">
              <w:rPr>
                <w:rFonts w:cstheme="minorHAnsi"/>
                <w:lang w:eastAsia="en-AU"/>
              </w:rPr>
              <w:t>Vulnerable Welfare Payment Recipient</w:t>
            </w:r>
          </w:p>
          <w:p w14:paraId="2960EAD8" w14:textId="77777777" w:rsidR="00414D48" w:rsidRPr="00414D48" w:rsidRDefault="00414D48" w:rsidP="00275526">
            <w:pPr>
              <w:pStyle w:val="ListParagraph"/>
              <w:numPr>
                <w:ilvl w:val="0"/>
                <w:numId w:val="44"/>
              </w:numPr>
              <w:rPr>
                <w:rFonts w:cstheme="minorHAnsi"/>
                <w:lang w:eastAsia="en-AU"/>
              </w:rPr>
            </w:pPr>
            <w:r w:rsidRPr="00414D48">
              <w:rPr>
                <w:rFonts w:cstheme="minorHAnsi"/>
                <w:lang w:eastAsia="en-AU"/>
              </w:rPr>
              <w:t>Vulnerable Welfare Payment Recipient – Youth</w:t>
            </w:r>
          </w:p>
          <w:p w14:paraId="061E1A3E" w14:textId="77777777" w:rsidR="00414D48" w:rsidRPr="00391946" w:rsidRDefault="00414D48" w:rsidP="00275526">
            <w:pPr>
              <w:pStyle w:val="ListParagraph"/>
              <w:numPr>
                <w:ilvl w:val="0"/>
                <w:numId w:val="44"/>
              </w:numPr>
              <w:rPr>
                <w:rFonts w:cstheme="minorHAnsi"/>
              </w:rPr>
            </w:pPr>
            <w:r w:rsidRPr="00414D48">
              <w:rPr>
                <w:rFonts w:cstheme="minorHAnsi"/>
              </w:rPr>
              <w:t>Voluntary Measure</w:t>
            </w:r>
          </w:p>
        </w:tc>
      </w:tr>
      <w:tr w:rsidR="00414D48" w:rsidRPr="00414D48" w14:paraId="6D4DA404" w14:textId="77777777" w:rsidTr="00275526">
        <w:tc>
          <w:tcPr>
            <w:tcW w:w="683" w:type="dxa"/>
            <w:shd w:val="clear" w:color="auto" w:fill="auto"/>
          </w:tcPr>
          <w:p w14:paraId="22D49EB3" w14:textId="77777777" w:rsidR="00414D48" w:rsidRPr="00275526" w:rsidRDefault="00414D48" w:rsidP="00275526">
            <w:pPr>
              <w:pStyle w:val="ListParagraph"/>
              <w:ind w:left="0"/>
              <w:rPr>
                <w:rFonts w:cstheme="minorHAnsi"/>
                <w:b/>
              </w:rPr>
            </w:pPr>
            <w:r w:rsidRPr="00275526">
              <w:rPr>
                <w:rFonts w:cstheme="minorHAnsi"/>
                <w:b/>
              </w:rPr>
              <w:t>6</w:t>
            </w:r>
          </w:p>
        </w:tc>
        <w:tc>
          <w:tcPr>
            <w:tcW w:w="3565" w:type="dxa"/>
          </w:tcPr>
          <w:p w14:paraId="51D9005C" w14:textId="77777777" w:rsidR="00414D48" w:rsidRPr="00414D48" w:rsidRDefault="00BF33E7" w:rsidP="00275526">
            <w:pPr>
              <w:pStyle w:val="ListParagraph"/>
              <w:numPr>
                <w:ilvl w:val="0"/>
                <w:numId w:val="41"/>
              </w:numPr>
              <w:spacing w:after="200" w:line="276" w:lineRule="auto"/>
              <w:rPr>
                <w:rFonts w:cstheme="minorHAnsi"/>
                <w:lang w:val="en-US"/>
              </w:rPr>
            </w:pPr>
            <w:hyperlink r:id="rId35" w:history="1">
              <w:r w:rsidR="00414D48" w:rsidRPr="00414D48">
                <w:rPr>
                  <w:rStyle w:val="Hyperlink"/>
                  <w:rFonts w:cstheme="minorHAnsi"/>
                  <w:color w:val="2E75B6"/>
                  <w:lang w:val="en-US"/>
                </w:rPr>
                <w:t>Social Security (Administration) (Vulnerable income management areas) Specification 2012</w:t>
              </w:r>
            </w:hyperlink>
          </w:p>
        </w:tc>
        <w:tc>
          <w:tcPr>
            <w:tcW w:w="5670" w:type="dxa"/>
          </w:tcPr>
          <w:p w14:paraId="0CEFA044" w14:textId="77777777" w:rsidR="00414D48" w:rsidRPr="00414D48" w:rsidRDefault="00414D48" w:rsidP="00275526">
            <w:pPr>
              <w:rPr>
                <w:rFonts w:cstheme="minorHAnsi"/>
              </w:rPr>
            </w:pPr>
            <w:r w:rsidRPr="00414D48">
              <w:rPr>
                <w:rFonts w:cstheme="minorHAnsi"/>
              </w:rPr>
              <w:t>Northern Territory</w:t>
            </w:r>
          </w:p>
          <w:p w14:paraId="5FE4182F" w14:textId="77777777" w:rsidR="00414D48" w:rsidRPr="00414D48" w:rsidRDefault="00414D48" w:rsidP="00275526">
            <w:pPr>
              <w:rPr>
                <w:rFonts w:cstheme="minorHAnsi"/>
              </w:rPr>
            </w:pPr>
            <w:r w:rsidRPr="00414D48">
              <w:rPr>
                <w:rFonts w:cstheme="minorHAnsi"/>
              </w:rPr>
              <w:t>New South Wales (Bankstown)</w:t>
            </w:r>
          </w:p>
          <w:p w14:paraId="4C80A7DA" w14:textId="77777777" w:rsidR="00414D48" w:rsidRPr="00414D48" w:rsidRDefault="00414D48" w:rsidP="00275526">
            <w:pPr>
              <w:rPr>
                <w:rFonts w:cstheme="minorHAnsi"/>
              </w:rPr>
            </w:pPr>
            <w:r w:rsidRPr="00414D48">
              <w:rPr>
                <w:rFonts w:cstheme="minorHAnsi"/>
              </w:rPr>
              <w:t>Queensland (Logan, Livingstone &amp; Rockhampton)</w:t>
            </w:r>
          </w:p>
          <w:p w14:paraId="7EB43BCB" w14:textId="77777777" w:rsidR="00414D48" w:rsidRPr="00414D48" w:rsidRDefault="00414D48" w:rsidP="00275526">
            <w:pPr>
              <w:rPr>
                <w:rFonts w:cstheme="minorHAnsi"/>
              </w:rPr>
            </w:pPr>
            <w:r w:rsidRPr="00414D48">
              <w:rPr>
                <w:rFonts w:cstheme="minorHAnsi"/>
              </w:rPr>
              <w:t>South Australia (Greater Adelaide, Playford &amp; APY Lands)</w:t>
            </w:r>
          </w:p>
          <w:p w14:paraId="6366E6A3" w14:textId="77777777" w:rsidR="00414D48" w:rsidRPr="00414D48" w:rsidRDefault="00414D48" w:rsidP="00275526">
            <w:pPr>
              <w:rPr>
                <w:rFonts w:cstheme="minorHAnsi"/>
              </w:rPr>
            </w:pPr>
            <w:r w:rsidRPr="00414D48">
              <w:rPr>
                <w:rFonts w:cstheme="minorHAnsi"/>
              </w:rPr>
              <w:t>Victoria (Greater Shepparton)</w:t>
            </w:r>
          </w:p>
          <w:p w14:paraId="7DAAD9D9" w14:textId="77777777" w:rsidR="00414D48" w:rsidRPr="00414D48" w:rsidRDefault="00414D48" w:rsidP="00275526">
            <w:pPr>
              <w:pStyle w:val="ListParagraph"/>
              <w:numPr>
                <w:ilvl w:val="0"/>
                <w:numId w:val="44"/>
              </w:numPr>
              <w:rPr>
                <w:rFonts w:cstheme="minorHAnsi"/>
              </w:rPr>
            </w:pPr>
            <w:r w:rsidRPr="00414D48">
              <w:rPr>
                <w:rFonts w:cstheme="minorHAnsi"/>
              </w:rPr>
              <w:t>Vulnerable Welfare Payment Recipient</w:t>
            </w:r>
          </w:p>
          <w:p w14:paraId="1E74437C" w14:textId="77777777" w:rsidR="00414D48" w:rsidRPr="00391946" w:rsidRDefault="00414D48" w:rsidP="00275526">
            <w:pPr>
              <w:pStyle w:val="ListParagraph"/>
              <w:numPr>
                <w:ilvl w:val="0"/>
                <w:numId w:val="44"/>
              </w:numPr>
              <w:rPr>
                <w:rFonts w:cstheme="minorHAnsi"/>
              </w:rPr>
            </w:pPr>
            <w:r w:rsidRPr="00414D48">
              <w:rPr>
                <w:rFonts w:cstheme="minorHAnsi"/>
              </w:rPr>
              <w:t>Vulnerable Welfare Payment Recipient – Youth</w:t>
            </w:r>
          </w:p>
        </w:tc>
      </w:tr>
    </w:tbl>
    <w:p w14:paraId="569A2197" w14:textId="77777777" w:rsidR="00414D48" w:rsidRPr="00414D48" w:rsidRDefault="00B93A34" w:rsidP="002A2549">
      <w:pPr>
        <w:pStyle w:val="Heading3"/>
      </w:pPr>
      <w:bookmarkStart w:id="199" w:name="_Toc118103798"/>
      <w:r>
        <w:t>Amend</w:t>
      </w:r>
      <w:r w:rsidR="00391946">
        <w:t xml:space="preserve"> 4 instruments</w:t>
      </w:r>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mend 4 instruments"/>
      </w:tblPr>
      <w:tblGrid>
        <w:gridCol w:w="5097"/>
        <w:gridCol w:w="5097"/>
      </w:tblGrid>
      <w:tr w:rsidR="001F67B0" w:rsidRPr="00275526" w14:paraId="45E1C32B" w14:textId="77777777" w:rsidTr="00FA0E32">
        <w:tc>
          <w:tcPr>
            <w:tcW w:w="5097" w:type="dxa"/>
          </w:tcPr>
          <w:p w14:paraId="72078CAC" w14:textId="77777777" w:rsidR="001F67B0" w:rsidRPr="00275526" w:rsidRDefault="00414D48" w:rsidP="001F67B0">
            <w:pPr>
              <w:pStyle w:val="BodyText"/>
              <w:rPr>
                <w:b/>
              </w:rPr>
            </w:pPr>
            <w:r w:rsidRPr="00275526">
              <w:rPr>
                <w:b/>
              </w:rPr>
              <w:t>Legislative Instrument</w:t>
            </w:r>
          </w:p>
        </w:tc>
        <w:tc>
          <w:tcPr>
            <w:tcW w:w="5097" w:type="dxa"/>
          </w:tcPr>
          <w:p w14:paraId="26AC9520" w14:textId="77777777" w:rsidR="001F67B0" w:rsidRPr="00275526" w:rsidRDefault="00414D48" w:rsidP="001F67B0">
            <w:pPr>
              <w:pStyle w:val="BodyText"/>
              <w:rPr>
                <w:b/>
              </w:rPr>
            </w:pPr>
            <w:r w:rsidRPr="00275526">
              <w:rPr>
                <w:b/>
              </w:rPr>
              <w:t>Impact</w:t>
            </w:r>
          </w:p>
        </w:tc>
      </w:tr>
      <w:tr w:rsidR="001F67B0" w14:paraId="2D9A4B01" w14:textId="77777777" w:rsidTr="00FA0E32">
        <w:tc>
          <w:tcPr>
            <w:tcW w:w="5097" w:type="dxa"/>
          </w:tcPr>
          <w:p w14:paraId="01091A99" w14:textId="5E078C2B" w:rsidR="001F67B0" w:rsidRDefault="001F67B0" w:rsidP="001F67B0">
            <w:pPr>
              <w:pStyle w:val="BodyText"/>
            </w:pPr>
            <w:r>
              <w:rPr>
                <w:rFonts w:cs="Times New Roman"/>
              </w:rPr>
              <w:t>Social Security (Administration) Declared income management areas — Ngaanyatjarra Lands a</w:t>
            </w:r>
            <w:r w:rsidR="00AB10F9">
              <w:rPr>
                <w:rFonts w:cs="Times New Roman"/>
              </w:rPr>
              <w:t>nd Laverton) Determination 2013</w:t>
            </w:r>
          </w:p>
        </w:tc>
        <w:tc>
          <w:tcPr>
            <w:tcW w:w="5097" w:type="dxa"/>
          </w:tcPr>
          <w:p w14:paraId="554E081E" w14:textId="77777777" w:rsidR="001F67B0" w:rsidRPr="001F67B0" w:rsidRDefault="001F67B0" w:rsidP="001F67B0">
            <w:pPr>
              <w:rPr>
                <w:rFonts w:cs="Times New Roman"/>
              </w:rPr>
            </w:pPr>
            <w:r w:rsidRPr="001F67B0">
              <w:rPr>
                <w:rFonts w:cs="Times New Roman"/>
              </w:rPr>
              <w:t>This instrument will be amended to remove the compulsory Vulnerable Welfare Payment Recipient (VWPR) IM measure and maintain voluntary IM in Laverton.</w:t>
            </w:r>
          </w:p>
        </w:tc>
      </w:tr>
      <w:tr w:rsidR="001F67B0" w14:paraId="20775C58" w14:textId="77777777" w:rsidTr="00FA0E32">
        <w:tc>
          <w:tcPr>
            <w:tcW w:w="5097" w:type="dxa"/>
          </w:tcPr>
          <w:p w14:paraId="133C3E15" w14:textId="2C46009B" w:rsidR="001F67B0" w:rsidRDefault="001F67B0" w:rsidP="001F67B0">
            <w:pPr>
              <w:pStyle w:val="BodyText"/>
            </w:pPr>
            <w:r>
              <w:rPr>
                <w:rFonts w:cs="Times New Roman"/>
              </w:rPr>
              <w:t>Social Security (Administration) (Declared income management areas — Ceduna and Surrounding Region) Determination 2014</w:t>
            </w:r>
          </w:p>
        </w:tc>
        <w:tc>
          <w:tcPr>
            <w:tcW w:w="5097" w:type="dxa"/>
          </w:tcPr>
          <w:p w14:paraId="09266182" w14:textId="77777777" w:rsidR="001F67B0" w:rsidRDefault="001F67B0" w:rsidP="00FA0E32">
            <w:r w:rsidRPr="001F67B0">
              <w:rPr>
                <w:rFonts w:cs="Times New Roman"/>
              </w:rPr>
              <w:t>This instrument will be amended to remove the compulsory VWPR IM measure and maintain voluntary IM in Ceduna.</w:t>
            </w:r>
          </w:p>
        </w:tc>
      </w:tr>
      <w:tr w:rsidR="001F67B0" w14:paraId="55E6BC8C" w14:textId="77777777" w:rsidTr="00FA0E32">
        <w:tc>
          <w:tcPr>
            <w:tcW w:w="5097" w:type="dxa"/>
          </w:tcPr>
          <w:p w14:paraId="1E1E6494" w14:textId="3F393439" w:rsidR="001F67B0" w:rsidRDefault="001F67B0" w:rsidP="001F67B0">
            <w:pPr>
              <w:pStyle w:val="BodyText"/>
            </w:pPr>
            <w:r w:rsidRPr="002B2CE1">
              <w:rPr>
                <w:rFonts w:cs="Times New Roman"/>
              </w:rPr>
              <w:t>Social Security (Administration) (Declared voluntary income management areas — Western Australia) Determination 2022</w:t>
            </w:r>
          </w:p>
        </w:tc>
        <w:tc>
          <w:tcPr>
            <w:tcW w:w="5097" w:type="dxa"/>
          </w:tcPr>
          <w:p w14:paraId="0F05359F" w14:textId="77777777" w:rsidR="001F67B0" w:rsidRDefault="001F67B0" w:rsidP="00FA0E32">
            <w:r w:rsidRPr="001F67B0">
              <w:rPr>
                <w:rFonts w:cs="Times New Roman"/>
              </w:rPr>
              <w:t>This instrument will be amended to include Goldfields (not including Laverton) and East Kimberley as voluntary IM areas. Laverton, which is within the Goldfields area, is already a voluntary IM area under the Social Security (Administration) Declared income management areas — Ngaanyatjarra Lands and Laverton) Determination 2013.</w:t>
            </w:r>
          </w:p>
        </w:tc>
      </w:tr>
      <w:tr w:rsidR="001F67B0" w14:paraId="33E4ED29" w14:textId="77777777" w:rsidTr="00FA0E32">
        <w:tc>
          <w:tcPr>
            <w:tcW w:w="5097" w:type="dxa"/>
          </w:tcPr>
          <w:p w14:paraId="0FDC3203" w14:textId="4AF2EA2F" w:rsidR="001F67B0" w:rsidRDefault="00414D48" w:rsidP="001F67B0">
            <w:pPr>
              <w:pStyle w:val="BodyText"/>
            </w:pPr>
            <w:r w:rsidRPr="001F67B0">
              <w:rPr>
                <w:rFonts w:cs="Times New Roman"/>
              </w:rPr>
              <w:t>Social Security (Administration) (Declared voluntary income management areas — New South Wales, Queensland, South Australia a</w:t>
            </w:r>
            <w:r w:rsidR="00AB10F9">
              <w:rPr>
                <w:rFonts w:cs="Times New Roman"/>
              </w:rPr>
              <w:t>nd Victoria) Determination 2012</w:t>
            </w:r>
          </w:p>
        </w:tc>
        <w:tc>
          <w:tcPr>
            <w:tcW w:w="5097" w:type="dxa"/>
          </w:tcPr>
          <w:p w14:paraId="0D7746D4" w14:textId="6B105CE9" w:rsidR="001F67B0" w:rsidRDefault="00414D48" w:rsidP="00414D48">
            <w:pPr>
              <w:pStyle w:val="BodyText"/>
            </w:pPr>
            <w:r w:rsidRPr="001F67B0">
              <w:rPr>
                <w:rFonts w:cs="Times New Roman"/>
              </w:rPr>
              <w:t>This instrument will be amended to include Bundaberg and Hervey Bay and C</w:t>
            </w:r>
            <w:r w:rsidR="00AB10F9">
              <w:rPr>
                <w:rFonts w:cs="Times New Roman"/>
              </w:rPr>
              <w:t>ape York as voluntary IM areas.</w:t>
            </w:r>
          </w:p>
        </w:tc>
      </w:tr>
    </w:tbl>
    <w:p w14:paraId="706B15EF" w14:textId="77777777" w:rsidR="00391946" w:rsidRDefault="00391946" w:rsidP="002A2549">
      <w:pPr>
        <w:pStyle w:val="Heading3"/>
      </w:pPr>
      <w:bookmarkStart w:id="200" w:name="_Toc118103799"/>
      <w:r>
        <w:t>Amend two Instruments</w:t>
      </w:r>
      <w:bookmarkEnd w:id="200"/>
    </w:p>
    <w:p w14:paraId="57355C12" w14:textId="77777777" w:rsidR="00391946" w:rsidRDefault="00391946" w:rsidP="00535E16">
      <w:pPr>
        <w:pStyle w:val="BodyText"/>
        <w:numPr>
          <w:ilvl w:val="0"/>
          <w:numId w:val="20"/>
        </w:numPr>
      </w:pPr>
      <w:r>
        <w:t>Social Security (Administration) (Declared voluntary income management areas—Ceduna and Surrounding Region) Determination 2014 (Ceduna Determination)</w:t>
      </w:r>
    </w:p>
    <w:p w14:paraId="351A0E42" w14:textId="692F13CB" w:rsidR="00391946" w:rsidRDefault="00391946" w:rsidP="00535E16">
      <w:pPr>
        <w:pStyle w:val="BodyText"/>
        <w:numPr>
          <w:ilvl w:val="0"/>
          <w:numId w:val="20"/>
        </w:numPr>
      </w:pPr>
      <w:r>
        <w:t>Social Security (Administration) (Declared voluntary income management areas—Ngaanyatjarra Lands and Laverton) Determination</w:t>
      </w:r>
      <w:r w:rsidR="00AB10F9">
        <w:t xml:space="preserve"> 2013 (Laverton Determination).</w:t>
      </w:r>
    </w:p>
    <w:p w14:paraId="43A1CD26" w14:textId="77777777" w:rsidR="00391946" w:rsidRDefault="00391946">
      <w:pPr>
        <w:rPr>
          <w:rFonts w:cs="Times New Roman"/>
        </w:rPr>
      </w:pPr>
      <w:r>
        <w:rPr>
          <w:rFonts w:cs="Times New Roman"/>
        </w:rPr>
        <w:br w:type="page"/>
      </w:r>
    </w:p>
    <w:p w14:paraId="3147F61C" w14:textId="615C29D8" w:rsidR="00635503" w:rsidRDefault="00635503" w:rsidP="00635503">
      <w:pPr>
        <w:pStyle w:val="Title"/>
        <w:spacing w:after="0"/>
      </w:pPr>
      <w:bookmarkStart w:id="201" w:name="_Toc118103800"/>
      <w:r>
        <w:t>A</w:t>
      </w:r>
      <w:r w:rsidR="00F767BA">
        <w:t>ttachment</w:t>
      </w:r>
      <w:r>
        <w:t xml:space="preserve"> D</w:t>
      </w:r>
      <w:bookmarkEnd w:id="201"/>
    </w:p>
    <w:p w14:paraId="30B958B4" w14:textId="77777777" w:rsidR="00635503" w:rsidRPr="003A6D7E" w:rsidRDefault="009B0664" w:rsidP="00635503">
      <w:pPr>
        <w:pStyle w:val="Heading2"/>
      </w:pPr>
      <w:bookmarkStart w:id="202" w:name="_Toc118103801"/>
      <w:r>
        <w:t>S</w:t>
      </w:r>
      <w:r w:rsidR="00635503" w:rsidRPr="00635503">
        <w:t xml:space="preserve">upport services </w:t>
      </w:r>
      <w:r>
        <w:t>s</w:t>
      </w:r>
      <w:r w:rsidRPr="003A6D7E">
        <w:t xml:space="preserve">ummary </w:t>
      </w:r>
      <w:r w:rsidR="00635503" w:rsidRPr="00635503">
        <w:t xml:space="preserve">managed by the CDC area </w:t>
      </w:r>
      <w:r>
        <w:t xml:space="preserve">of </w:t>
      </w:r>
      <w:r w:rsidR="00635503">
        <w:t xml:space="preserve">the </w:t>
      </w:r>
      <w:r w:rsidR="00635503" w:rsidRPr="00635503">
        <w:t>Department</w:t>
      </w:r>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pport services summary managed by the CDC area of the Department"/>
      </w:tblPr>
      <w:tblGrid>
        <w:gridCol w:w="1980"/>
        <w:gridCol w:w="3118"/>
        <w:gridCol w:w="5096"/>
      </w:tblGrid>
      <w:tr w:rsidR="00B14D7C" w:rsidRPr="00275526" w14:paraId="1018B9EA" w14:textId="77777777" w:rsidTr="005001B5">
        <w:trPr>
          <w:tblHeader/>
        </w:trPr>
        <w:tc>
          <w:tcPr>
            <w:tcW w:w="1980" w:type="dxa"/>
          </w:tcPr>
          <w:p w14:paraId="518CC4A3" w14:textId="77777777" w:rsidR="00B14D7C" w:rsidRPr="00275526" w:rsidRDefault="00B14D7C" w:rsidP="00635503">
            <w:pPr>
              <w:pStyle w:val="NormalWeb"/>
              <w:spacing w:before="0" w:beforeAutospacing="0" w:after="0" w:afterAutospacing="0"/>
              <w:rPr>
                <w:rFonts w:asciiTheme="minorHAnsi" w:eastAsiaTheme="majorEastAsia" w:hAnsiTheme="minorHAnsi" w:cstheme="majorBidi"/>
                <w:b/>
                <w:sz w:val="22"/>
                <w:szCs w:val="22"/>
                <w:lang w:eastAsia="en-US"/>
              </w:rPr>
            </w:pPr>
            <w:r w:rsidRPr="00275526">
              <w:rPr>
                <w:rFonts w:asciiTheme="minorHAnsi" w:eastAsiaTheme="majorEastAsia" w:hAnsiTheme="minorHAnsi" w:cstheme="majorBidi"/>
                <w:b/>
                <w:sz w:val="22"/>
                <w:szCs w:val="22"/>
                <w:lang w:eastAsia="en-US"/>
              </w:rPr>
              <w:t>Location</w:t>
            </w:r>
          </w:p>
        </w:tc>
        <w:tc>
          <w:tcPr>
            <w:tcW w:w="3118" w:type="dxa"/>
          </w:tcPr>
          <w:p w14:paraId="2060737D" w14:textId="77777777" w:rsidR="00B14D7C" w:rsidRPr="00275526" w:rsidRDefault="00B14D7C" w:rsidP="00635503">
            <w:pPr>
              <w:pStyle w:val="NormalWeb"/>
              <w:spacing w:before="0" w:beforeAutospacing="0" w:after="0" w:afterAutospacing="0"/>
              <w:rPr>
                <w:rFonts w:asciiTheme="minorHAnsi" w:eastAsiaTheme="majorEastAsia" w:hAnsiTheme="minorHAnsi" w:cstheme="majorBidi"/>
                <w:b/>
                <w:sz w:val="22"/>
                <w:szCs w:val="22"/>
                <w:lang w:eastAsia="en-US"/>
              </w:rPr>
            </w:pPr>
            <w:r w:rsidRPr="00275526">
              <w:rPr>
                <w:rFonts w:asciiTheme="minorHAnsi" w:eastAsiaTheme="majorEastAsia" w:hAnsiTheme="minorHAnsi" w:cstheme="majorBidi"/>
                <w:b/>
                <w:sz w:val="22"/>
                <w:szCs w:val="22"/>
                <w:lang w:eastAsia="en-US"/>
              </w:rPr>
              <w:t xml:space="preserve">Initiative </w:t>
            </w:r>
          </w:p>
        </w:tc>
        <w:tc>
          <w:tcPr>
            <w:tcW w:w="5096" w:type="dxa"/>
          </w:tcPr>
          <w:p w14:paraId="2F3B46D2" w14:textId="77777777" w:rsidR="00B14D7C" w:rsidRPr="00275526" w:rsidRDefault="00B14D7C" w:rsidP="00635503">
            <w:pPr>
              <w:pStyle w:val="NormalWeb"/>
              <w:spacing w:before="0" w:beforeAutospacing="0" w:after="0" w:afterAutospacing="0"/>
              <w:rPr>
                <w:rFonts w:asciiTheme="minorHAnsi" w:eastAsiaTheme="majorEastAsia" w:hAnsiTheme="minorHAnsi" w:cstheme="majorBidi"/>
                <w:b/>
                <w:sz w:val="22"/>
                <w:szCs w:val="22"/>
                <w:lang w:eastAsia="en-US"/>
              </w:rPr>
            </w:pPr>
            <w:r w:rsidRPr="00275526">
              <w:rPr>
                <w:rFonts w:asciiTheme="minorHAnsi" w:eastAsiaTheme="majorEastAsia" w:hAnsiTheme="minorHAnsi" w:cstheme="majorBidi"/>
                <w:b/>
                <w:sz w:val="22"/>
                <w:szCs w:val="22"/>
                <w:lang w:eastAsia="en-US"/>
              </w:rPr>
              <w:t>Organisation</w:t>
            </w:r>
          </w:p>
        </w:tc>
      </w:tr>
      <w:tr w:rsidR="00524612" w:rsidRPr="00B14D7C" w14:paraId="6FA73E30" w14:textId="77777777" w:rsidTr="005001B5">
        <w:tc>
          <w:tcPr>
            <w:tcW w:w="1980" w:type="dxa"/>
            <w:vMerge w:val="restart"/>
          </w:tcPr>
          <w:p w14:paraId="1FA0EE65" w14:textId="77777777" w:rsidR="00524612" w:rsidRPr="00FA0E32" w:rsidRDefault="00524612" w:rsidP="00524612">
            <w:pPr>
              <w:rPr>
                <w:rFonts w:eastAsia="Calibri" w:cs="Times New Roman"/>
                <w:color w:val="auto"/>
                <w:sz w:val="22"/>
                <w:szCs w:val="22"/>
              </w:rPr>
            </w:pPr>
            <w:r w:rsidRPr="00FA0E32">
              <w:rPr>
                <w:rFonts w:eastAsia="Calibri" w:cs="Times New Roman"/>
                <w:color w:val="auto"/>
                <w:sz w:val="22"/>
                <w:szCs w:val="22"/>
              </w:rPr>
              <w:t xml:space="preserve">East Kimberley </w:t>
            </w:r>
          </w:p>
          <w:p w14:paraId="7BE66EDB"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tcPr>
          <w:p w14:paraId="5237C36A"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bCs/>
              </w:rPr>
              <w:t>Assistance for people severely impacted by Mental Illness - A Better Life (ABle)</w:t>
            </w:r>
          </w:p>
        </w:tc>
        <w:tc>
          <w:tcPr>
            <w:tcW w:w="5096" w:type="dxa"/>
          </w:tcPr>
          <w:p w14:paraId="40509D16"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rPr>
              <w:t>Boab Health Services Pty Ltd</w:t>
            </w:r>
          </w:p>
        </w:tc>
      </w:tr>
      <w:tr w:rsidR="00524612" w:rsidRPr="00B14D7C" w14:paraId="05DEFE00" w14:textId="77777777" w:rsidTr="005001B5">
        <w:tc>
          <w:tcPr>
            <w:tcW w:w="1980" w:type="dxa"/>
            <w:vMerge/>
          </w:tcPr>
          <w:p w14:paraId="7E09B889"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55F95EC6"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5096" w:type="dxa"/>
          </w:tcPr>
          <w:p w14:paraId="5AB5A746"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rPr>
              <w:t>Ord Valley Aboriginal Health Service Aboriginal Corporation</w:t>
            </w:r>
          </w:p>
        </w:tc>
      </w:tr>
      <w:tr w:rsidR="00524612" w:rsidRPr="00B14D7C" w14:paraId="0E9EF800" w14:textId="77777777" w:rsidTr="005001B5">
        <w:tc>
          <w:tcPr>
            <w:tcW w:w="1980" w:type="dxa"/>
            <w:vMerge/>
          </w:tcPr>
          <w:p w14:paraId="56C30A1C"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1367B249"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5096" w:type="dxa"/>
          </w:tcPr>
          <w:p w14:paraId="0C2F5365"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rPr>
              <w:t>Ngnowar-Aerwah Aboriginal Corporation</w:t>
            </w:r>
          </w:p>
        </w:tc>
      </w:tr>
      <w:tr w:rsidR="00524612" w:rsidRPr="00B14D7C" w14:paraId="01833F59" w14:textId="77777777" w:rsidTr="005001B5">
        <w:tc>
          <w:tcPr>
            <w:tcW w:w="1980" w:type="dxa"/>
            <w:vMerge/>
          </w:tcPr>
          <w:p w14:paraId="039CD538"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32AC882E"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5096" w:type="dxa"/>
          </w:tcPr>
          <w:p w14:paraId="1FF12774"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rPr>
              <w:t>Waringarri Arts Aboriginal Corporation</w:t>
            </w:r>
          </w:p>
        </w:tc>
      </w:tr>
      <w:tr w:rsidR="00524612" w:rsidRPr="00B14D7C" w14:paraId="6F46909A" w14:textId="77777777" w:rsidTr="005001B5">
        <w:tc>
          <w:tcPr>
            <w:tcW w:w="1980" w:type="dxa"/>
            <w:vMerge/>
          </w:tcPr>
          <w:p w14:paraId="2321E145"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65CBE6C9"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5096" w:type="dxa"/>
          </w:tcPr>
          <w:p w14:paraId="5A61A6BD"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Wyndham Early Learning Activity Centre (WELA) Incorporated</w:t>
            </w:r>
          </w:p>
        </w:tc>
      </w:tr>
      <w:tr w:rsidR="00524612" w:rsidRPr="00B14D7C" w14:paraId="75C67471" w14:textId="77777777" w:rsidTr="005001B5">
        <w:tc>
          <w:tcPr>
            <w:tcW w:w="1980" w:type="dxa"/>
            <w:vMerge/>
          </w:tcPr>
          <w:p w14:paraId="01264C06"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353F4132"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5096" w:type="dxa"/>
          </w:tcPr>
          <w:p w14:paraId="56B4EBC9"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Ngnowar-Aerwah Aboriginal Corporation</w:t>
            </w:r>
          </w:p>
        </w:tc>
      </w:tr>
      <w:tr w:rsidR="00524612" w:rsidRPr="00B14D7C" w14:paraId="1CFF7C9D" w14:textId="77777777" w:rsidTr="005001B5">
        <w:tc>
          <w:tcPr>
            <w:tcW w:w="1980" w:type="dxa"/>
            <w:vMerge/>
          </w:tcPr>
          <w:p w14:paraId="596E034B"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tcPr>
          <w:p w14:paraId="6C8131FB"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eastAsia="Calibri" w:cs="Calibri"/>
                <w:bCs/>
              </w:rPr>
              <w:t>National Plan to Reduce Violence against Women and their Children</w:t>
            </w:r>
          </w:p>
        </w:tc>
        <w:tc>
          <w:tcPr>
            <w:tcW w:w="5096" w:type="dxa"/>
          </w:tcPr>
          <w:p w14:paraId="33674CF1"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Joongari House \ Wyndham Family Support Incorporated</w:t>
            </w:r>
          </w:p>
        </w:tc>
      </w:tr>
      <w:tr w:rsidR="00524612" w:rsidRPr="00B14D7C" w14:paraId="40C91F2A" w14:textId="77777777" w:rsidTr="005001B5">
        <w:tc>
          <w:tcPr>
            <w:tcW w:w="1980" w:type="dxa"/>
            <w:vMerge/>
          </w:tcPr>
          <w:p w14:paraId="105C5C51"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424E5BA1" w14:textId="77777777" w:rsidR="00524612" w:rsidRPr="00FA0E32" w:rsidRDefault="00524612" w:rsidP="00524612">
            <w:pPr>
              <w:pStyle w:val="NormalWeb"/>
              <w:spacing w:before="0" w:beforeAutospacing="0" w:after="0" w:afterAutospacing="0"/>
              <w:rPr>
                <w:rFonts w:eastAsia="Calibri" w:cs="Calibri"/>
                <w:bCs/>
              </w:rPr>
            </w:pPr>
          </w:p>
        </w:tc>
        <w:tc>
          <w:tcPr>
            <w:tcW w:w="5096" w:type="dxa"/>
          </w:tcPr>
          <w:p w14:paraId="531DFEE9"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Kununurra Waringarri Aboriginal Corporation</w:t>
            </w:r>
          </w:p>
        </w:tc>
      </w:tr>
      <w:tr w:rsidR="00524612" w:rsidRPr="00B14D7C" w14:paraId="3A98D3A5" w14:textId="77777777" w:rsidTr="005001B5">
        <w:tc>
          <w:tcPr>
            <w:tcW w:w="1980" w:type="dxa"/>
            <w:vMerge/>
          </w:tcPr>
          <w:p w14:paraId="7EBD6505"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vAlign w:val="center"/>
          </w:tcPr>
          <w:p w14:paraId="42D97E0E" w14:textId="77777777" w:rsidR="00524612" w:rsidRPr="00FA0E32" w:rsidRDefault="00524612" w:rsidP="00524612">
            <w:pPr>
              <w:pStyle w:val="NormalWeb"/>
              <w:spacing w:before="0" w:beforeAutospacing="0" w:after="0" w:afterAutospacing="0"/>
              <w:rPr>
                <w:rFonts w:eastAsia="Calibri" w:cs="Calibri"/>
                <w:bCs/>
              </w:rPr>
            </w:pPr>
            <w:r w:rsidRPr="00FA0E32">
              <w:rPr>
                <w:rFonts w:eastAsia="Calibri" w:cs="Calibri"/>
                <w:bCs/>
              </w:rPr>
              <w:t>Strong and Resilient Communities - Cashless Debit Card Support Services</w:t>
            </w:r>
          </w:p>
        </w:tc>
        <w:tc>
          <w:tcPr>
            <w:tcW w:w="5096" w:type="dxa"/>
          </w:tcPr>
          <w:p w14:paraId="2CC5C810"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Wunan Foundation Inc.</w:t>
            </w:r>
          </w:p>
        </w:tc>
      </w:tr>
      <w:tr w:rsidR="00524612" w:rsidRPr="00B14D7C" w14:paraId="02FCFF85" w14:textId="77777777" w:rsidTr="005001B5">
        <w:tc>
          <w:tcPr>
            <w:tcW w:w="1980" w:type="dxa"/>
            <w:vMerge/>
          </w:tcPr>
          <w:p w14:paraId="13FC45DF"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50114930" w14:textId="77777777" w:rsidR="00524612" w:rsidRPr="00FA0E32" w:rsidRDefault="00524612" w:rsidP="00524612">
            <w:pPr>
              <w:pStyle w:val="NormalWeb"/>
              <w:spacing w:before="0" w:beforeAutospacing="0" w:after="0" w:afterAutospacing="0"/>
              <w:rPr>
                <w:rFonts w:eastAsia="Calibri" w:cs="Calibri"/>
                <w:bCs/>
              </w:rPr>
            </w:pPr>
          </w:p>
        </w:tc>
        <w:tc>
          <w:tcPr>
            <w:tcW w:w="5096" w:type="dxa"/>
          </w:tcPr>
          <w:p w14:paraId="423193B9"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Kununurra Waringarri Aboriginal Corporation</w:t>
            </w:r>
          </w:p>
        </w:tc>
      </w:tr>
      <w:tr w:rsidR="00524612" w:rsidRPr="00B14D7C" w14:paraId="284728BB" w14:textId="77777777" w:rsidTr="005001B5">
        <w:tc>
          <w:tcPr>
            <w:tcW w:w="1980" w:type="dxa"/>
            <w:vMerge/>
          </w:tcPr>
          <w:p w14:paraId="3EE34697"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3017EE51" w14:textId="77777777" w:rsidR="00524612" w:rsidRPr="00FA0E32" w:rsidRDefault="00524612" w:rsidP="00524612">
            <w:pPr>
              <w:pStyle w:val="NormalWeb"/>
              <w:spacing w:before="0" w:beforeAutospacing="0" w:after="0" w:afterAutospacing="0"/>
              <w:rPr>
                <w:rFonts w:eastAsia="Calibri" w:cs="Calibri"/>
                <w:bCs/>
              </w:rPr>
            </w:pPr>
          </w:p>
        </w:tc>
        <w:tc>
          <w:tcPr>
            <w:tcW w:w="5096" w:type="dxa"/>
          </w:tcPr>
          <w:p w14:paraId="211E73A4"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East Kimberley Job Pathways Pty Ltd Cocus Way</w:t>
            </w:r>
          </w:p>
        </w:tc>
      </w:tr>
      <w:tr w:rsidR="00524612" w:rsidRPr="00B14D7C" w14:paraId="6969E97D" w14:textId="77777777" w:rsidTr="005001B5">
        <w:tc>
          <w:tcPr>
            <w:tcW w:w="1980" w:type="dxa"/>
            <w:vMerge/>
          </w:tcPr>
          <w:p w14:paraId="4CF252B8"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075C2CF2" w14:textId="77777777" w:rsidR="00524612" w:rsidRPr="00FA0E32" w:rsidRDefault="00524612" w:rsidP="00524612">
            <w:pPr>
              <w:pStyle w:val="NormalWeb"/>
              <w:spacing w:before="0" w:beforeAutospacing="0" w:after="0" w:afterAutospacing="0"/>
              <w:rPr>
                <w:rFonts w:eastAsia="Calibri" w:cs="Calibri"/>
                <w:bCs/>
              </w:rPr>
            </w:pPr>
          </w:p>
        </w:tc>
        <w:tc>
          <w:tcPr>
            <w:tcW w:w="5096" w:type="dxa"/>
          </w:tcPr>
          <w:p w14:paraId="7634FA0E" w14:textId="77777777" w:rsidR="00524612" w:rsidRPr="00FA0E32" w:rsidRDefault="00524612" w:rsidP="00524612">
            <w:pPr>
              <w:pStyle w:val="NormalWeb"/>
              <w:spacing w:before="0" w:beforeAutospacing="0" w:after="0" w:afterAutospacing="0"/>
              <w:rPr>
                <w:rFonts w:eastAsia="Calibri" w:cs="Calibri"/>
              </w:rPr>
            </w:pPr>
          </w:p>
        </w:tc>
      </w:tr>
      <w:tr w:rsidR="00524612" w:rsidRPr="00B14D7C" w14:paraId="2FF04B89" w14:textId="77777777" w:rsidTr="005001B5">
        <w:tc>
          <w:tcPr>
            <w:tcW w:w="1980" w:type="dxa"/>
            <w:vMerge w:val="restart"/>
          </w:tcPr>
          <w:p w14:paraId="1F2F4ABC"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asciiTheme="minorHAnsi" w:eastAsiaTheme="majorEastAsia" w:hAnsiTheme="minorHAnsi" w:cstheme="majorBidi"/>
                <w:sz w:val="22"/>
                <w:szCs w:val="22"/>
                <w:lang w:eastAsia="en-US"/>
              </w:rPr>
              <w:t>Bundaberg and Harvey Bay</w:t>
            </w:r>
          </w:p>
        </w:tc>
        <w:tc>
          <w:tcPr>
            <w:tcW w:w="3118" w:type="dxa"/>
            <w:vMerge w:val="restart"/>
            <w:shd w:val="clear" w:color="auto" w:fill="auto"/>
          </w:tcPr>
          <w:p w14:paraId="7452DE78" w14:textId="77777777" w:rsidR="00524612" w:rsidRPr="00FA0E32" w:rsidRDefault="00524612" w:rsidP="00524612">
            <w:pPr>
              <w:pStyle w:val="NormalWeb"/>
              <w:spacing w:before="0" w:beforeAutospacing="0" w:after="0" w:afterAutospacing="0"/>
              <w:rPr>
                <w:rFonts w:eastAsia="Calibri" w:cs="Calibri"/>
                <w:bCs/>
              </w:rPr>
            </w:pPr>
            <w:r w:rsidRPr="00FA0E32">
              <w:rPr>
                <w:rFonts w:eastAsia="Calibri" w:cs="Calibri"/>
                <w:bCs/>
              </w:rPr>
              <w:t>Inclusive Communities Grants</w:t>
            </w:r>
          </w:p>
        </w:tc>
        <w:tc>
          <w:tcPr>
            <w:tcW w:w="5096" w:type="dxa"/>
            <w:shd w:val="clear" w:color="auto" w:fill="auto"/>
          </w:tcPr>
          <w:p w14:paraId="2A2D8912"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Hervey Bay Neighbourhood Centre Incorporated</w:t>
            </w:r>
          </w:p>
        </w:tc>
      </w:tr>
      <w:tr w:rsidR="00524612" w:rsidRPr="00B14D7C" w14:paraId="63E3271B" w14:textId="77777777" w:rsidTr="005001B5">
        <w:tc>
          <w:tcPr>
            <w:tcW w:w="1980" w:type="dxa"/>
            <w:vMerge/>
          </w:tcPr>
          <w:p w14:paraId="308E9200"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6883CB8F"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23252AAE"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IMPACT Community Services</w:t>
            </w:r>
          </w:p>
        </w:tc>
      </w:tr>
      <w:tr w:rsidR="00524612" w:rsidRPr="00B14D7C" w14:paraId="7642C632" w14:textId="77777777" w:rsidTr="005001B5">
        <w:tc>
          <w:tcPr>
            <w:tcW w:w="1980" w:type="dxa"/>
            <w:vMerge/>
          </w:tcPr>
          <w:p w14:paraId="1C60251B"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shd w:val="clear" w:color="auto" w:fill="auto"/>
          </w:tcPr>
          <w:p w14:paraId="2F7C3EAC" w14:textId="77777777" w:rsidR="00524612" w:rsidRPr="00FA0E32" w:rsidRDefault="00524612" w:rsidP="00524612">
            <w:pPr>
              <w:pStyle w:val="NormalWeb"/>
              <w:spacing w:before="0" w:beforeAutospacing="0" w:after="0" w:afterAutospacing="0"/>
              <w:rPr>
                <w:rFonts w:eastAsia="Calibri" w:cs="Calibri"/>
                <w:bCs/>
              </w:rPr>
            </w:pPr>
            <w:r w:rsidRPr="00FA0E32">
              <w:rPr>
                <w:rFonts w:eastAsia="Calibri" w:cs="Calibri"/>
                <w:bCs/>
              </w:rPr>
              <w:t>Strong and Resilient Communities - Cashless Debit Card Support Services</w:t>
            </w:r>
          </w:p>
        </w:tc>
        <w:tc>
          <w:tcPr>
            <w:tcW w:w="5096" w:type="dxa"/>
            <w:shd w:val="clear" w:color="auto" w:fill="auto"/>
          </w:tcPr>
          <w:p w14:paraId="4C7D195C"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Bayside Transformations Limited</w:t>
            </w:r>
          </w:p>
        </w:tc>
      </w:tr>
      <w:tr w:rsidR="00524612" w:rsidRPr="00B14D7C" w14:paraId="47AF0CE7" w14:textId="77777777" w:rsidTr="005001B5">
        <w:tc>
          <w:tcPr>
            <w:tcW w:w="1980" w:type="dxa"/>
            <w:vMerge/>
          </w:tcPr>
          <w:p w14:paraId="7ABA5BF4"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5A66A024"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2E1A72B3"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Fraser Coast Regional Council</w:t>
            </w:r>
          </w:p>
        </w:tc>
      </w:tr>
      <w:tr w:rsidR="00524612" w:rsidRPr="00B14D7C" w14:paraId="41A967F0" w14:textId="77777777" w:rsidTr="005001B5">
        <w:tc>
          <w:tcPr>
            <w:tcW w:w="1980" w:type="dxa"/>
            <w:vMerge/>
          </w:tcPr>
          <w:p w14:paraId="218EC586"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7D3C63B8"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10CA72F9"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IMPACT Community Services</w:t>
            </w:r>
          </w:p>
        </w:tc>
      </w:tr>
      <w:tr w:rsidR="00524612" w:rsidRPr="00B14D7C" w14:paraId="71FEEA4C" w14:textId="77777777" w:rsidTr="005001B5">
        <w:tc>
          <w:tcPr>
            <w:tcW w:w="1980" w:type="dxa"/>
            <w:vMerge/>
          </w:tcPr>
          <w:p w14:paraId="1B0545D8"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34553946"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4483090C"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Wide Bay Sexual Assault Service Incorporated</w:t>
            </w:r>
          </w:p>
        </w:tc>
      </w:tr>
      <w:tr w:rsidR="00524612" w:rsidRPr="00B14D7C" w14:paraId="16F693B1" w14:textId="77777777" w:rsidTr="005001B5">
        <w:tc>
          <w:tcPr>
            <w:tcW w:w="1980" w:type="dxa"/>
            <w:vMerge/>
          </w:tcPr>
          <w:p w14:paraId="5B6F56C0"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595FE861"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4F62A8E7"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Hervey Bay Neighbourhood Centre Incorporated</w:t>
            </w:r>
          </w:p>
        </w:tc>
      </w:tr>
      <w:tr w:rsidR="00524612" w:rsidRPr="00B14D7C" w14:paraId="7959723B" w14:textId="77777777" w:rsidTr="005001B5">
        <w:tc>
          <w:tcPr>
            <w:tcW w:w="1980" w:type="dxa"/>
            <w:vMerge w:val="restart"/>
          </w:tcPr>
          <w:p w14:paraId="0C8CA4C0"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asciiTheme="minorHAnsi" w:eastAsiaTheme="majorEastAsia" w:hAnsiTheme="minorHAnsi" w:cstheme="majorBidi"/>
                <w:sz w:val="22"/>
                <w:szCs w:val="22"/>
                <w:lang w:eastAsia="en-US"/>
              </w:rPr>
              <w:t>Northern Territory</w:t>
            </w:r>
          </w:p>
        </w:tc>
        <w:tc>
          <w:tcPr>
            <w:tcW w:w="3118" w:type="dxa"/>
            <w:vMerge w:val="restart"/>
            <w:shd w:val="clear" w:color="auto" w:fill="auto"/>
          </w:tcPr>
          <w:p w14:paraId="0A991D1D" w14:textId="77777777" w:rsidR="00524612" w:rsidRPr="00FA0E32" w:rsidRDefault="00524612" w:rsidP="00524612">
            <w:pPr>
              <w:pStyle w:val="NormalWeb"/>
              <w:spacing w:before="0" w:beforeAutospacing="0" w:after="0" w:afterAutospacing="0"/>
              <w:rPr>
                <w:rFonts w:eastAsia="Calibri" w:cs="Calibri"/>
                <w:bCs/>
              </w:rPr>
            </w:pPr>
            <w:r w:rsidRPr="00FA0E32">
              <w:rPr>
                <w:rFonts w:eastAsia="Calibri" w:cs="Calibri"/>
                <w:bCs/>
              </w:rPr>
              <w:t>Strong and Resilient Communities - Cashless Debit Card Support Services</w:t>
            </w:r>
          </w:p>
        </w:tc>
        <w:tc>
          <w:tcPr>
            <w:tcW w:w="5096" w:type="dxa"/>
            <w:shd w:val="clear" w:color="auto" w:fill="auto"/>
          </w:tcPr>
          <w:p w14:paraId="2EFEA054"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CatholicCare NT</w:t>
            </w:r>
          </w:p>
        </w:tc>
      </w:tr>
      <w:tr w:rsidR="00524612" w:rsidRPr="00B14D7C" w14:paraId="13D87387" w14:textId="77777777" w:rsidTr="005001B5">
        <w:tc>
          <w:tcPr>
            <w:tcW w:w="1980" w:type="dxa"/>
            <w:vMerge/>
          </w:tcPr>
          <w:p w14:paraId="778038B7"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D0CCB48"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3EDF33F1"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Waltja Tjutangku Palyapayi (Aboriginal Corporation)</w:t>
            </w:r>
          </w:p>
        </w:tc>
      </w:tr>
      <w:tr w:rsidR="00524612" w:rsidRPr="00B14D7C" w14:paraId="0C53BDD6" w14:textId="77777777" w:rsidTr="005001B5">
        <w:tc>
          <w:tcPr>
            <w:tcW w:w="1980" w:type="dxa"/>
            <w:vMerge/>
          </w:tcPr>
          <w:p w14:paraId="71D4C6C0"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AD9A33F" w14:textId="77777777" w:rsidR="00524612" w:rsidRPr="00FA0E32" w:rsidRDefault="00524612" w:rsidP="00524612">
            <w:pPr>
              <w:pStyle w:val="NormalWeb"/>
              <w:spacing w:before="0" w:beforeAutospacing="0" w:after="0" w:afterAutospacing="0"/>
              <w:rPr>
                <w:rFonts w:eastAsia="Calibri" w:cs="Calibri"/>
                <w:bCs/>
              </w:rPr>
            </w:pPr>
          </w:p>
        </w:tc>
        <w:tc>
          <w:tcPr>
            <w:tcW w:w="5096" w:type="dxa"/>
            <w:shd w:val="clear" w:color="auto" w:fill="auto"/>
          </w:tcPr>
          <w:p w14:paraId="5A586627"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Lutheran Church of Australia, South Australia and Northern Territory District In</w:t>
            </w:r>
          </w:p>
        </w:tc>
      </w:tr>
      <w:tr w:rsidR="00524612" w:rsidRPr="00B14D7C" w14:paraId="53FC78A1" w14:textId="77777777" w:rsidTr="005001B5">
        <w:tc>
          <w:tcPr>
            <w:tcW w:w="1980" w:type="dxa"/>
            <w:vMerge/>
          </w:tcPr>
          <w:p w14:paraId="03A68227" w14:textId="77777777" w:rsidR="00524612" w:rsidRPr="00FA0E32" w:rsidRDefault="00524612" w:rsidP="00524612">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ign w:val="center"/>
          </w:tcPr>
          <w:p w14:paraId="25DBC99E" w14:textId="77777777" w:rsidR="00524612" w:rsidRPr="00FA0E32" w:rsidRDefault="00524612" w:rsidP="00524612">
            <w:pPr>
              <w:pStyle w:val="NormalWeb"/>
              <w:spacing w:before="0" w:beforeAutospacing="0" w:after="0" w:afterAutospacing="0"/>
              <w:rPr>
                <w:rFonts w:eastAsia="Calibri" w:cs="Calibri"/>
                <w:bCs/>
              </w:rPr>
            </w:pPr>
          </w:p>
        </w:tc>
        <w:tc>
          <w:tcPr>
            <w:tcW w:w="5096" w:type="dxa"/>
          </w:tcPr>
          <w:p w14:paraId="7BD275C1" w14:textId="77777777" w:rsidR="00524612" w:rsidRPr="00FA0E32" w:rsidRDefault="00524612" w:rsidP="00524612">
            <w:pPr>
              <w:pStyle w:val="NormalWeb"/>
              <w:spacing w:before="0" w:beforeAutospacing="0" w:after="0" w:afterAutospacing="0"/>
              <w:rPr>
                <w:rFonts w:eastAsia="Calibri" w:cs="Calibri"/>
              </w:rPr>
            </w:pPr>
            <w:r w:rsidRPr="00FA0E32">
              <w:rPr>
                <w:rFonts w:eastAsia="Calibri" w:cs="Calibri"/>
              </w:rPr>
              <w:t>HK Training &amp; Consultancy Pty Ltd</w:t>
            </w:r>
          </w:p>
        </w:tc>
      </w:tr>
      <w:tr w:rsidR="009B0664" w:rsidRPr="00B14D7C" w14:paraId="1B7CCDF4" w14:textId="77777777" w:rsidTr="005001B5">
        <w:tc>
          <w:tcPr>
            <w:tcW w:w="1980" w:type="dxa"/>
            <w:vMerge w:val="restart"/>
          </w:tcPr>
          <w:p w14:paraId="17AC9AB9" w14:textId="77777777" w:rsidR="009B0664" w:rsidRPr="00FA0E32" w:rsidRDefault="009B0664" w:rsidP="00505706">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asciiTheme="minorHAnsi" w:eastAsiaTheme="majorEastAsia" w:hAnsiTheme="minorHAnsi" w:cstheme="majorBidi"/>
                <w:sz w:val="22"/>
                <w:szCs w:val="22"/>
                <w:lang w:eastAsia="en-US"/>
              </w:rPr>
              <w:t>Ceduna</w:t>
            </w:r>
          </w:p>
        </w:tc>
        <w:tc>
          <w:tcPr>
            <w:tcW w:w="3118" w:type="dxa"/>
            <w:vMerge w:val="restart"/>
            <w:shd w:val="clear" w:color="auto" w:fill="auto"/>
          </w:tcPr>
          <w:p w14:paraId="53B863B4" w14:textId="77777777" w:rsidR="009B0664" w:rsidRPr="00FA0E32" w:rsidRDefault="009B0664" w:rsidP="00505706">
            <w:pPr>
              <w:pStyle w:val="NormalWeb"/>
              <w:spacing w:before="0" w:beforeAutospacing="0" w:after="0" w:afterAutospacing="0"/>
              <w:rPr>
                <w:rFonts w:eastAsia="Calibri" w:cs="Calibri"/>
                <w:bCs/>
              </w:rPr>
            </w:pPr>
            <w:r w:rsidRPr="00FA0E32">
              <w:rPr>
                <w:rFonts w:eastAsia="Calibri" w:cs="Calibri"/>
                <w:bCs/>
              </w:rPr>
              <w:t>Children and Parent Support Services</w:t>
            </w:r>
          </w:p>
        </w:tc>
        <w:tc>
          <w:tcPr>
            <w:tcW w:w="5096" w:type="dxa"/>
            <w:shd w:val="clear" w:color="auto" w:fill="auto"/>
          </w:tcPr>
          <w:p w14:paraId="63D5C894" w14:textId="77777777" w:rsidR="009B0664" w:rsidRPr="00FA0E32" w:rsidRDefault="009B0664" w:rsidP="00505706">
            <w:pPr>
              <w:pStyle w:val="NormalWeb"/>
              <w:spacing w:before="0" w:beforeAutospacing="0" w:after="0" w:afterAutospacing="0"/>
              <w:rPr>
                <w:rFonts w:eastAsia="Calibri" w:cs="Calibri"/>
              </w:rPr>
            </w:pPr>
            <w:r w:rsidRPr="00FA0E32">
              <w:rPr>
                <w:rFonts w:eastAsia="Calibri" w:cs="Calibri"/>
              </w:rPr>
              <w:t>Oak Valley (Maralinga) Aboriginal Corporation</w:t>
            </w:r>
          </w:p>
        </w:tc>
      </w:tr>
      <w:tr w:rsidR="009B0664" w:rsidRPr="00B14D7C" w14:paraId="011BC1C3" w14:textId="77777777" w:rsidTr="005001B5">
        <w:tc>
          <w:tcPr>
            <w:tcW w:w="1980" w:type="dxa"/>
            <w:vMerge/>
          </w:tcPr>
          <w:p w14:paraId="1DF5CA9B" w14:textId="77777777" w:rsidR="009B0664" w:rsidRPr="00FA0E32" w:rsidRDefault="009B0664"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796A624A" w14:textId="77777777" w:rsidR="009B0664" w:rsidRPr="00FA0E32" w:rsidRDefault="009B0664" w:rsidP="00505706">
            <w:pPr>
              <w:pStyle w:val="NormalWeb"/>
              <w:spacing w:before="0" w:beforeAutospacing="0" w:after="0" w:afterAutospacing="0"/>
              <w:rPr>
                <w:rFonts w:eastAsia="Calibri" w:cs="Calibri"/>
                <w:bCs/>
              </w:rPr>
            </w:pPr>
          </w:p>
        </w:tc>
        <w:tc>
          <w:tcPr>
            <w:tcW w:w="5096" w:type="dxa"/>
            <w:shd w:val="clear" w:color="auto" w:fill="auto"/>
          </w:tcPr>
          <w:p w14:paraId="0149A3C1" w14:textId="77777777" w:rsidR="009B0664" w:rsidRPr="00FA0E32" w:rsidRDefault="009B0664" w:rsidP="00505706">
            <w:pPr>
              <w:pStyle w:val="NormalWeb"/>
              <w:spacing w:before="0" w:beforeAutospacing="0" w:after="0" w:afterAutospacing="0"/>
              <w:rPr>
                <w:rFonts w:eastAsia="Calibri" w:cs="Calibri"/>
              </w:rPr>
            </w:pPr>
            <w:r w:rsidRPr="00FA0E32">
              <w:rPr>
                <w:rFonts w:eastAsia="Calibri" w:cs="Calibri"/>
              </w:rPr>
              <w:t>Yalata Anangu Aboriginal Corporation</w:t>
            </w:r>
          </w:p>
        </w:tc>
      </w:tr>
      <w:tr w:rsidR="009B0664" w:rsidRPr="00B14D7C" w14:paraId="6AE16650" w14:textId="77777777" w:rsidTr="005001B5">
        <w:tc>
          <w:tcPr>
            <w:tcW w:w="1980" w:type="dxa"/>
            <w:vMerge/>
          </w:tcPr>
          <w:p w14:paraId="20E5147C" w14:textId="77777777" w:rsidR="009B0664" w:rsidRPr="00FA0E32" w:rsidRDefault="009B0664"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F4F9255" w14:textId="77777777" w:rsidR="009B0664" w:rsidRPr="00FA0E32" w:rsidRDefault="009B0664" w:rsidP="00505706">
            <w:pPr>
              <w:pStyle w:val="NormalWeb"/>
              <w:spacing w:before="0" w:beforeAutospacing="0" w:after="0" w:afterAutospacing="0"/>
              <w:rPr>
                <w:rFonts w:eastAsia="Calibri" w:cs="Calibri"/>
                <w:bCs/>
              </w:rPr>
            </w:pPr>
          </w:p>
        </w:tc>
        <w:tc>
          <w:tcPr>
            <w:tcW w:w="5096" w:type="dxa"/>
            <w:shd w:val="clear" w:color="auto" w:fill="auto"/>
          </w:tcPr>
          <w:p w14:paraId="7AAD7153" w14:textId="77777777" w:rsidR="009B0664" w:rsidRPr="00FA0E32" w:rsidRDefault="009B0664" w:rsidP="00505706">
            <w:pPr>
              <w:pStyle w:val="NormalWeb"/>
              <w:spacing w:before="0" w:beforeAutospacing="0" w:after="0" w:afterAutospacing="0"/>
              <w:rPr>
                <w:rFonts w:eastAsia="Calibri" w:cs="Calibri"/>
              </w:rPr>
            </w:pPr>
            <w:r w:rsidRPr="00FA0E32">
              <w:rPr>
                <w:rFonts w:eastAsia="Calibri" w:cs="Calibri"/>
              </w:rPr>
              <w:t>Koonibba Community Aboriginal Corporation</w:t>
            </w:r>
          </w:p>
        </w:tc>
      </w:tr>
      <w:tr w:rsidR="00505706" w:rsidRPr="00B14D7C" w14:paraId="36752304" w14:textId="77777777" w:rsidTr="005001B5">
        <w:tc>
          <w:tcPr>
            <w:tcW w:w="1980" w:type="dxa"/>
            <w:vMerge/>
          </w:tcPr>
          <w:p w14:paraId="641EF589"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shd w:val="clear" w:color="auto" w:fill="auto"/>
          </w:tcPr>
          <w:p w14:paraId="12BE66F5" w14:textId="77777777" w:rsidR="00505706" w:rsidRPr="00FA0E32" w:rsidRDefault="00505706" w:rsidP="00505706">
            <w:pPr>
              <w:pStyle w:val="NormalWeb"/>
              <w:spacing w:before="0" w:beforeAutospacing="0" w:after="0" w:afterAutospacing="0"/>
              <w:rPr>
                <w:rFonts w:eastAsia="Calibri" w:cs="Calibri"/>
                <w:bCs/>
              </w:rPr>
            </w:pPr>
            <w:r w:rsidRPr="00FA0E32">
              <w:rPr>
                <w:rFonts w:eastAsia="Calibri" w:cs="Calibri"/>
                <w:bCs/>
              </w:rPr>
              <w:t>Strong and Resilient Communities - Cashless Debit Card Support Services</w:t>
            </w:r>
          </w:p>
        </w:tc>
        <w:tc>
          <w:tcPr>
            <w:tcW w:w="5096" w:type="dxa"/>
            <w:shd w:val="clear" w:color="auto" w:fill="auto"/>
          </w:tcPr>
          <w:p w14:paraId="2D8084D8"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Australian Red Cross Society</w:t>
            </w:r>
          </w:p>
        </w:tc>
      </w:tr>
      <w:tr w:rsidR="00505706" w:rsidRPr="00B14D7C" w14:paraId="1E48F271" w14:textId="77777777" w:rsidTr="005001B5">
        <w:tc>
          <w:tcPr>
            <w:tcW w:w="1980" w:type="dxa"/>
            <w:vMerge/>
          </w:tcPr>
          <w:p w14:paraId="46CD3468"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49605F75"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113AF801"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Ceduna Aboriginal Corporation-Land Management Rangers</w:t>
            </w:r>
          </w:p>
        </w:tc>
      </w:tr>
      <w:tr w:rsidR="00505706" w:rsidRPr="00B14D7C" w14:paraId="3698DB0C" w14:textId="77777777" w:rsidTr="005001B5">
        <w:tc>
          <w:tcPr>
            <w:tcW w:w="1980" w:type="dxa"/>
            <w:vMerge/>
          </w:tcPr>
          <w:p w14:paraId="6F8995BD"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C4278D0"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6D216E7E"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Ceduna Aboriginal Corporation-Youth Leadership</w:t>
            </w:r>
          </w:p>
        </w:tc>
      </w:tr>
      <w:tr w:rsidR="00505706" w:rsidRPr="00B14D7C" w14:paraId="2E04B5EE" w14:textId="77777777" w:rsidTr="005001B5">
        <w:tc>
          <w:tcPr>
            <w:tcW w:w="1980" w:type="dxa"/>
            <w:vMerge/>
          </w:tcPr>
          <w:p w14:paraId="21183E31"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3A16A7AE"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122B9BCD"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Ceduna Aboriginal Corporation-Employment Hub</w:t>
            </w:r>
          </w:p>
        </w:tc>
      </w:tr>
      <w:tr w:rsidR="00505706" w:rsidRPr="00B14D7C" w14:paraId="7D30565C" w14:textId="77777777" w:rsidTr="005001B5">
        <w:tc>
          <w:tcPr>
            <w:tcW w:w="1980" w:type="dxa"/>
            <w:vMerge/>
          </w:tcPr>
          <w:p w14:paraId="05C4369E"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537005FE"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0BA2BCC4"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Ceduna Aboriginal Corporation-Far West Aboriginal Tourism Dev. Project</w:t>
            </w:r>
          </w:p>
        </w:tc>
      </w:tr>
      <w:tr w:rsidR="00505706" w:rsidRPr="00B14D7C" w14:paraId="5632A4AF" w14:textId="77777777" w:rsidTr="005001B5">
        <w:tc>
          <w:tcPr>
            <w:tcW w:w="1980" w:type="dxa"/>
            <w:vMerge/>
          </w:tcPr>
          <w:p w14:paraId="426DF93D"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FFF6FB5"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556D1E5C"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Ceduna Aboriginal Corporation – Youth Hub</w:t>
            </w:r>
          </w:p>
        </w:tc>
      </w:tr>
      <w:tr w:rsidR="00505706" w:rsidRPr="00B14D7C" w14:paraId="60A71C52" w14:textId="77777777" w:rsidTr="005001B5">
        <w:tc>
          <w:tcPr>
            <w:tcW w:w="1980" w:type="dxa"/>
            <w:vMerge/>
          </w:tcPr>
          <w:p w14:paraId="6FE4B1AD"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33812D77"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7DB9EC31"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Oak Valley (Maralinga) Aboriginal Corporation- Housing &amp; Community Maintenance</w:t>
            </w:r>
          </w:p>
        </w:tc>
      </w:tr>
      <w:tr w:rsidR="00505706" w:rsidRPr="00B14D7C" w14:paraId="40BE0CE1" w14:textId="77777777" w:rsidTr="005001B5">
        <w:tc>
          <w:tcPr>
            <w:tcW w:w="1980" w:type="dxa"/>
            <w:vMerge/>
          </w:tcPr>
          <w:p w14:paraId="05F64DD5"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5514A843"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148801E9"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Oak Valley (Maralinga) Aboriginal Corporation-Camping on Country</w:t>
            </w:r>
          </w:p>
        </w:tc>
      </w:tr>
      <w:tr w:rsidR="00505706" w:rsidRPr="00B14D7C" w14:paraId="69BF2E88" w14:textId="77777777" w:rsidTr="005001B5">
        <w:tc>
          <w:tcPr>
            <w:tcW w:w="1980" w:type="dxa"/>
            <w:vMerge/>
          </w:tcPr>
          <w:p w14:paraId="5600E748"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7BB5A34C"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02469B44"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Centacare Catholic Country SA Limited</w:t>
            </w:r>
          </w:p>
        </w:tc>
      </w:tr>
      <w:tr w:rsidR="00505706" w:rsidRPr="00B14D7C" w14:paraId="53416CCF" w14:textId="77777777" w:rsidTr="005001B5">
        <w:tc>
          <w:tcPr>
            <w:tcW w:w="1980" w:type="dxa"/>
            <w:vMerge/>
          </w:tcPr>
          <w:p w14:paraId="66690567"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660123C5"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54C63739"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Scotdesco Aboriginal Corporation-School Camps Project</w:t>
            </w:r>
          </w:p>
        </w:tc>
      </w:tr>
      <w:tr w:rsidR="00505706" w:rsidRPr="00B14D7C" w14:paraId="52D98C4E" w14:textId="77777777" w:rsidTr="005001B5">
        <w:tc>
          <w:tcPr>
            <w:tcW w:w="1980" w:type="dxa"/>
            <w:vMerge/>
          </w:tcPr>
          <w:p w14:paraId="0FF818A5"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3BD62472" w14:textId="77777777" w:rsidR="00505706" w:rsidRPr="00FA0E32" w:rsidRDefault="00505706" w:rsidP="00505706">
            <w:pPr>
              <w:pStyle w:val="NormalWeb"/>
              <w:spacing w:before="0" w:beforeAutospacing="0" w:after="0" w:afterAutospacing="0"/>
              <w:rPr>
                <w:rFonts w:eastAsia="Calibri" w:cs="Calibri"/>
                <w:bCs/>
              </w:rPr>
            </w:pPr>
          </w:p>
        </w:tc>
        <w:tc>
          <w:tcPr>
            <w:tcW w:w="5096" w:type="dxa"/>
            <w:shd w:val="clear" w:color="auto" w:fill="auto"/>
          </w:tcPr>
          <w:p w14:paraId="2140ED3A"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Koonibba Community Aboriginal Corporation-farming Ranger</w:t>
            </w:r>
          </w:p>
        </w:tc>
      </w:tr>
      <w:tr w:rsidR="00505706" w:rsidRPr="00B14D7C" w14:paraId="76B29D6D" w14:textId="77777777" w:rsidTr="005001B5">
        <w:tc>
          <w:tcPr>
            <w:tcW w:w="1980" w:type="dxa"/>
            <w:vMerge/>
          </w:tcPr>
          <w:p w14:paraId="7EE87C0D" w14:textId="77777777" w:rsidR="00505706" w:rsidRPr="00FA0E32" w:rsidRDefault="00505706" w:rsidP="00505706">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shd w:val="clear" w:color="auto" w:fill="FFFFFF" w:themeFill="background1"/>
            <w:vAlign w:val="center"/>
          </w:tcPr>
          <w:p w14:paraId="37EBF842" w14:textId="77777777" w:rsidR="00505706" w:rsidRPr="00FA0E32" w:rsidRDefault="00505706" w:rsidP="00505706">
            <w:pPr>
              <w:pStyle w:val="NormalWeb"/>
              <w:spacing w:before="0" w:beforeAutospacing="0" w:after="0" w:afterAutospacing="0"/>
              <w:rPr>
                <w:rFonts w:eastAsia="Calibri" w:cs="Calibri"/>
                <w:bCs/>
              </w:rPr>
            </w:pPr>
            <w:r w:rsidRPr="00FA0E32">
              <w:rPr>
                <w:rFonts w:eastAsia="Calibri" w:cs="Calibri"/>
                <w:bCs/>
              </w:rPr>
              <w:t>National Plan to Reduce Violence against Women and their Children</w:t>
            </w:r>
          </w:p>
        </w:tc>
        <w:tc>
          <w:tcPr>
            <w:tcW w:w="5096" w:type="dxa"/>
            <w:shd w:val="clear" w:color="auto" w:fill="FFFFFF" w:themeFill="background1"/>
          </w:tcPr>
          <w:p w14:paraId="729FC76D" w14:textId="77777777" w:rsidR="00505706" w:rsidRPr="00FA0E32" w:rsidRDefault="00505706" w:rsidP="00505706">
            <w:pPr>
              <w:pStyle w:val="NormalWeb"/>
              <w:spacing w:before="0" w:beforeAutospacing="0" w:after="0" w:afterAutospacing="0"/>
              <w:rPr>
                <w:rFonts w:eastAsia="Calibri" w:cs="Calibri"/>
              </w:rPr>
            </w:pPr>
            <w:r w:rsidRPr="00FA0E32">
              <w:rPr>
                <w:rFonts w:eastAsia="Calibri" w:cs="Calibri"/>
              </w:rPr>
              <w:t>Scotdesco Aboriginal Corporation-Women’s Engagement</w:t>
            </w:r>
          </w:p>
        </w:tc>
      </w:tr>
      <w:tr w:rsidR="009B0664" w:rsidRPr="00B14D7C" w14:paraId="69953FC0" w14:textId="77777777" w:rsidTr="005001B5">
        <w:tc>
          <w:tcPr>
            <w:tcW w:w="1980" w:type="dxa"/>
            <w:vMerge w:val="restart"/>
          </w:tcPr>
          <w:p w14:paraId="3D4E501D"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asciiTheme="minorHAnsi" w:eastAsiaTheme="majorEastAsia" w:hAnsiTheme="minorHAnsi" w:cstheme="majorBidi"/>
                <w:sz w:val="22"/>
                <w:szCs w:val="22"/>
                <w:lang w:eastAsia="en-US"/>
              </w:rPr>
              <w:t>Goldfields</w:t>
            </w:r>
          </w:p>
        </w:tc>
        <w:tc>
          <w:tcPr>
            <w:tcW w:w="3118" w:type="dxa"/>
            <w:vMerge w:val="restart"/>
            <w:shd w:val="clear" w:color="auto" w:fill="auto"/>
          </w:tcPr>
          <w:p w14:paraId="00644992" w14:textId="77777777" w:rsidR="009B0664" w:rsidRPr="00FA0E32" w:rsidRDefault="009B0664" w:rsidP="009B0664">
            <w:pPr>
              <w:pStyle w:val="NormalWeb"/>
              <w:spacing w:before="0" w:beforeAutospacing="0" w:after="0" w:afterAutospacing="0"/>
              <w:rPr>
                <w:rFonts w:eastAsia="Calibri" w:cs="Calibri"/>
                <w:bCs/>
              </w:rPr>
            </w:pPr>
            <w:r w:rsidRPr="00FA0E32">
              <w:rPr>
                <w:rFonts w:eastAsia="Calibri" w:cs="Calibri"/>
                <w:bCs/>
              </w:rPr>
              <w:t>Strong and Resilient Communities - Cashless Debit Card Support Services</w:t>
            </w:r>
          </w:p>
        </w:tc>
        <w:tc>
          <w:tcPr>
            <w:tcW w:w="5096" w:type="dxa"/>
            <w:shd w:val="clear" w:color="auto" w:fill="auto"/>
          </w:tcPr>
          <w:p w14:paraId="22672222"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Anglicare WA Inc.</w:t>
            </w:r>
          </w:p>
        </w:tc>
      </w:tr>
      <w:tr w:rsidR="009B0664" w:rsidRPr="00B14D7C" w14:paraId="486FB961" w14:textId="77777777" w:rsidTr="005001B5">
        <w:tc>
          <w:tcPr>
            <w:tcW w:w="1980" w:type="dxa"/>
            <w:vMerge/>
          </w:tcPr>
          <w:p w14:paraId="1DBBA954"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435BC9AA" w14:textId="77777777" w:rsidR="009B0664" w:rsidRPr="00FA0E32" w:rsidRDefault="009B0664" w:rsidP="009B0664">
            <w:pPr>
              <w:pStyle w:val="NormalWeb"/>
              <w:spacing w:before="0" w:beforeAutospacing="0" w:after="0" w:afterAutospacing="0"/>
              <w:rPr>
                <w:rFonts w:eastAsia="Calibri" w:cs="Calibri"/>
                <w:bCs/>
              </w:rPr>
            </w:pPr>
          </w:p>
        </w:tc>
        <w:tc>
          <w:tcPr>
            <w:tcW w:w="5096" w:type="dxa"/>
            <w:shd w:val="clear" w:color="auto" w:fill="auto"/>
          </w:tcPr>
          <w:p w14:paraId="335469E8"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Anglicare WA Inc.</w:t>
            </w:r>
          </w:p>
        </w:tc>
      </w:tr>
      <w:tr w:rsidR="009B0664" w:rsidRPr="00B14D7C" w14:paraId="38C6C180" w14:textId="77777777" w:rsidTr="005001B5">
        <w:tc>
          <w:tcPr>
            <w:tcW w:w="1980" w:type="dxa"/>
            <w:vMerge/>
          </w:tcPr>
          <w:p w14:paraId="01279EC0"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val="restart"/>
            <w:shd w:val="clear" w:color="auto" w:fill="auto"/>
          </w:tcPr>
          <w:p w14:paraId="6801DD6D" w14:textId="77777777" w:rsidR="009B0664" w:rsidRPr="00FA0E32" w:rsidRDefault="009B0664" w:rsidP="009B0664">
            <w:pPr>
              <w:pStyle w:val="NormalWeb"/>
              <w:spacing w:before="0" w:beforeAutospacing="0" w:after="0" w:afterAutospacing="0"/>
              <w:rPr>
                <w:rFonts w:eastAsia="Calibri" w:cs="Calibri"/>
                <w:bCs/>
              </w:rPr>
            </w:pPr>
            <w:r w:rsidRPr="00FA0E32">
              <w:rPr>
                <w:rFonts w:eastAsia="Calibri" w:cs="Calibri"/>
                <w:bCs/>
              </w:rPr>
              <w:t xml:space="preserve">Job Support Hubs - GOLDFIELDS </w:t>
            </w:r>
          </w:p>
        </w:tc>
        <w:tc>
          <w:tcPr>
            <w:tcW w:w="5096" w:type="dxa"/>
            <w:shd w:val="clear" w:color="auto" w:fill="auto"/>
          </w:tcPr>
          <w:p w14:paraId="2A9888D9"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City of Kalgoorlie-Boulder</w:t>
            </w:r>
          </w:p>
        </w:tc>
      </w:tr>
      <w:tr w:rsidR="009B0664" w:rsidRPr="00B14D7C" w14:paraId="76B1A8A8" w14:textId="77777777" w:rsidTr="005001B5">
        <w:tc>
          <w:tcPr>
            <w:tcW w:w="1980" w:type="dxa"/>
            <w:vMerge/>
          </w:tcPr>
          <w:p w14:paraId="3BFA2F15"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07ECFB78" w14:textId="77777777" w:rsidR="009B0664" w:rsidRPr="00FA0E32" w:rsidRDefault="009B0664" w:rsidP="009B0664">
            <w:pPr>
              <w:pStyle w:val="NormalWeb"/>
              <w:spacing w:before="0" w:beforeAutospacing="0" w:after="0" w:afterAutospacing="0"/>
              <w:rPr>
                <w:rFonts w:eastAsia="Calibri" w:cs="Calibri"/>
                <w:bCs/>
              </w:rPr>
            </w:pPr>
          </w:p>
        </w:tc>
        <w:tc>
          <w:tcPr>
            <w:tcW w:w="5096" w:type="dxa"/>
            <w:shd w:val="clear" w:color="auto" w:fill="auto"/>
          </w:tcPr>
          <w:p w14:paraId="2977DEF8" w14:textId="092422D9" w:rsidR="009B0664" w:rsidRPr="00FA0E32" w:rsidRDefault="00AB10F9" w:rsidP="009B0664">
            <w:pPr>
              <w:pStyle w:val="NormalWeb"/>
              <w:spacing w:before="0" w:beforeAutospacing="0" w:after="0" w:afterAutospacing="0"/>
              <w:rPr>
                <w:rFonts w:eastAsia="Calibri" w:cs="Calibri"/>
              </w:rPr>
            </w:pPr>
            <w:r>
              <w:rPr>
                <w:rFonts w:eastAsia="Calibri" w:cs="Calibri"/>
              </w:rPr>
              <w:t>Shire of Coolgardie</w:t>
            </w:r>
          </w:p>
        </w:tc>
      </w:tr>
      <w:tr w:rsidR="009B0664" w:rsidRPr="00B14D7C" w14:paraId="1DB75070" w14:textId="77777777" w:rsidTr="005001B5">
        <w:tc>
          <w:tcPr>
            <w:tcW w:w="1980" w:type="dxa"/>
            <w:vMerge/>
          </w:tcPr>
          <w:p w14:paraId="18A029B3"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vMerge/>
            <w:shd w:val="clear" w:color="auto" w:fill="auto"/>
            <w:vAlign w:val="center"/>
          </w:tcPr>
          <w:p w14:paraId="536C6475" w14:textId="77777777" w:rsidR="009B0664" w:rsidRPr="00FA0E32" w:rsidRDefault="009B0664" w:rsidP="009B0664">
            <w:pPr>
              <w:pStyle w:val="NormalWeb"/>
              <w:spacing w:before="0" w:beforeAutospacing="0" w:after="0" w:afterAutospacing="0"/>
              <w:rPr>
                <w:rFonts w:eastAsia="Calibri" w:cs="Calibri"/>
                <w:bCs/>
              </w:rPr>
            </w:pPr>
          </w:p>
        </w:tc>
        <w:tc>
          <w:tcPr>
            <w:tcW w:w="5096" w:type="dxa"/>
            <w:shd w:val="clear" w:color="auto" w:fill="auto"/>
          </w:tcPr>
          <w:p w14:paraId="0056D1B2"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Shire of Laverton</w:t>
            </w:r>
          </w:p>
        </w:tc>
      </w:tr>
      <w:tr w:rsidR="009B0664" w:rsidRPr="00B14D7C" w14:paraId="11F83456" w14:textId="77777777" w:rsidTr="005001B5">
        <w:tc>
          <w:tcPr>
            <w:tcW w:w="1980" w:type="dxa"/>
            <w:vMerge w:val="restart"/>
          </w:tcPr>
          <w:p w14:paraId="1C95AA10"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r w:rsidRPr="00FA0E32">
              <w:rPr>
                <w:rFonts w:asciiTheme="minorHAnsi" w:eastAsiaTheme="majorEastAsia" w:hAnsiTheme="minorHAnsi" w:cstheme="majorBidi"/>
                <w:sz w:val="22"/>
                <w:szCs w:val="22"/>
                <w:lang w:eastAsia="en-US"/>
              </w:rPr>
              <w:t>Cape York</w:t>
            </w:r>
          </w:p>
        </w:tc>
        <w:tc>
          <w:tcPr>
            <w:tcW w:w="3118" w:type="dxa"/>
          </w:tcPr>
          <w:p w14:paraId="34A9F3B7" w14:textId="77777777" w:rsidR="009B0664" w:rsidRPr="00FA0E32" w:rsidRDefault="009B0664" w:rsidP="009B0664">
            <w:pPr>
              <w:pStyle w:val="NormalWeb"/>
              <w:spacing w:before="0" w:beforeAutospacing="0" w:after="0" w:afterAutospacing="0"/>
              <w:rPr>
                <w:rFonts w:eastAsia="Calibri" w:cs="Calibri"/>
                <w:bCs/>
              </w:rPr>
            </w:pPr>
            <w:r w:rsidRPr="00FA0E32">
              <w:rPr>
                <w:rFonts w:eastAsia="Calibri" w:cs="Calibri"/>
                <w:bCs/>
              </w:rPr>
              <w:t>Money Support Hubs – Pama platform</w:t>
            </w:r>
          </w:p>
        </w:tc>
        <w:tc>
          <w:tcPr>
            <w:tcW w:w="5096" w:type="dxa"/>
          </w:tcPr>
          <w:p w14:paraId="76F78D64"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Cape York Institute-Pama Platform</w:t>
            </w:r>
          </w:p>
        </w:tc>
      </w:tr>
      <w:tr w:rsidR="009B0664" w:rsidRPr="00B14D7C" w14:paraId="77C654C4" w14:textId="77777777" w:rsidTr="005001B5">
        <w:tc>
          <w:tcPr>
            <w:tcW w:w="1980" w:type="dxa"/>
            <w:vMerge/>
          </w:tcPr>
          <w:p w14:paraId="79FC7638" w14:textId="77777777" w:rsidR="009B0664" w:rsidRPr="00FA0E32" w:rsidRDefault="009B0664" w:rsidP="009B0664">
            <w:pPr>
              <w:pStyle w:val="NormalWeb"/>
              <w:spacing w:before="0" w:beforeAutospacing="0" w:after="0" w:afterAutospacing="0"/>
              <w:rPr>
                <w:rFonts w:asciiTheme="minorHAnsi" w:eastAsiaTheme="majorEastAsia" w:hAnsiTheme="minorHAnsi" w:cstheme="majorBidi"/>
                <w:sz w:val="22"/>
                <w:szCs w:val="22"/>
                <w:lang w:eastAsia="en-US"/>
              </w:rPr>
            </w:pPr>
          </w:p>
        </w:tc>
        <w:tc>
          <w:tcPr>
            <w:tcW w:w="3118" w:type="dxa"/>
          </w:tcPr>
          <w:p w14:paraId="65503E46" w14:textId="77777777" w:rsidR="009B0664" w:rsidRPr="00FA0E32" w:rsidRDefault="00FD2793" w:rsidP="009B0664">
            <w:pPr>
              <w:pStyle w:val="NormalWeb"/>
              <w:spacing w:before="0" w:beforeAutospacing="0" w:after="0" w:afterAutospacing="0"/>
              <w:rPr>
                <w:rFonts w:eastAsia="Calibri" w:cs="Calibri"/>
                <w:bCs/>
              </w:rPr>
            </w:pPr>
            <w:r>
              <w:rPr>
                <w:rFonts w:eastAsia="Calibri" w:cs="Calibri"/>
                <w:bCs/>
              </w:rPr>
              <w:t>*</w:t>
            </w:r>
            <w:r w:rsidR="009B0664" w:rsidRPr="00FA0E32">
              <w:rPr>
                <w:rFonts w:eastAsia="Calibri" w:cs="Calibri"/>
                <w:bCs/>
              </w:rPr>
              <w:t>– Mpower</w:t>
            </w:r>
          </w:p>
        </w:tc>
        <w:tc>
          <w:tcPr>
            <w:tcW w:w="5096" w:type="dxa"/>
          </w:tcPr>
          <w:p w14:paraId="5271EE0D" w14:textId="77777777" w:rsidR="009B0664" w:rsidRPr="00FA0E32" w:rsidRDefault="009B0664" w:rsidP="009B0664">
            <w:pPr>
              <w:pStyle w:val="NormalWeb"/>
              <w:spacing w:before="0" w:beforeAutospacing="0" w:after="0" w:afterAutospacing="0"/>
              <w:rPr>
                <w:rFonts w:eastAsia="Calibri" w:cs="Calibri"/>
              </w:rPr>
            </w:pPr>
            <w:r w:rsidRPr="00FA0E32">
              <w:rPr>
                <w:rFonts w:eastAsia="Calibri" w:cs="Calibri"/>
              </w:rPr>
              <w:t>Cape York Institute</w:t>
            </w:r>
          </w:p>
        </w:tc>
      </w:tr>
    </w:tbl>
    <w:p w14:paraId="0EAEE090" w14:textId="77777777" w:rsidR="00F00F81" w:rsidRDefault="00F00F81">
      <w:pPr>
        <w:rPr>
          <w:rFonts w:asciiTheme="majorHAnsi" w:eastAsiaTheme="majorEastAsia" w:hAnsiTheme="majorHAnsi" w:cstheme="majorBidi"/>
          <w:color w:val="014463" w:themeColor="text2"/>
          <w:sz w:val="30"/>
          <w:szCs w:val="40"/>
        </w:rPr>
      </w:pPr>
      <w:r>
        <w:rPr>
          <w:rFonts w:asciiTheme="majorHAnsi" w:eastAsiaTheme="majorEastAsia" w:hAnsiTheme="majorHAnsi" w:cstheme="majorBidi"/>
          <w:color w:val="014463" w:themeColor="text2"/>
          <w:sz w:val="30"/>
          <w:szCs w:val="40"/>
        </w:rPr>
        <w:br w:type="page"/>
      </w:r>
    </w:p>
    <w:p w14:paraId="65E9A371" w14:textId="5B25AB53" w:rsidR="00E01B77" w:rsidRDefault="00F00F81" w:rsidP="00A073CF">
      <w:pPr>
        <w:pStyle w:val="Title"/>
      </w:pPr>
      <w:bookmarkStart w:id="203" w:name="_Toc118103802"/>
      <w:r>
        <w:t>A</w:t>
      </w:r>
      <w:r w:rsidR="00F767BA">
        <w:t>ttachment</w:t>
      </w:r>
      <w:r>
        <w:t xml:space="preserve"> E</w:t>
      </w:r>
      <w:bookmarkEnd w:id="203"/>
    </w:p>
    <w:p w14:paraId="4F30098E" w14:textId="77777777" w:rsidR="00F00F81" w:rsidRPr="00AD7612" w:rsidRDefault="00F00F81" w:rsidP="00A073CF">
      <w:pPr>
        <w:pStyle w:val="Heading2"/>
      </w:pPr>
      <w:bookmarkStart w:id="204" w:name="_Toc118103803"/>
      <w:r w:rsidRPr="00AD7612">
        <w:t>Outline of Merchants</w:t>
      </w:r>
      <w:bookmarkEnd w:id="204"/>
    </w:p>
    <w:p w14:paraId="00EB6ED2" w14:textId="32AE70AD" w:rsidR="00F00F81" w:rsidRPr="00AD7612" w:rsidRDefault="00F00F81" w:rsidP="00F00F81">
      <w:pPr>
        <w:spacing w:before="120" w:after="180" w:line="276" w:lineRule="auto"/>
        <w:rPr>
          <w:rFonts w:ascii="Calibri" w:eastAsia="Calibri" w:hAnsi="Calibri" w:cs="Times New Roman"/>
          <w:color w:val="262626"/>
        </w:rPr>
      </w:pPr>
      <w:r w:rsidRPr="00AD7612">
        <w:rPr>
          <w:rFonts w:ascii="Calibri" w:eastAsia="Calibri" w:hAnsi="Calibri" w:cs="Times New Roman"/>
          <w:color w:val="262626"/>
        </w:rPr>
        <w:t>There are approximately 2.5 million businesses in Australia.</w:t>
      </w:r>
      <w:r w:rsidRPr="00AD7612">
        <w:rPr>
          <w:rStyle w:val="FootnoteReference"/>
          <w:rFonts w:ascii="Calibri" w:eastAsia="Calibri" w:hAnsi="Calibri" w:cs="Times New Roman"/>
          <w:color w:val="262626"/>
        </w:rPr>
        <w:footnoteReference w:id="39"/>
      </w:r>
      <w:r w:rsidR="00FD2793">
        <w:rPr>
          <w:rFonts w:ascii="Calibri" w:eastAsia="Calibri" w:hAnsi="Calibri" w:cs="Times New Roman"/>
          <w:color w:val="262626"/>
        </w:rPr>
        <w:t xml:space="preserve"> </w:t>
      </w:r>
      <w:r w:rsidRPr="00AD7612">
        <w:rPr>
          <w:rFonts w:ascii="Calibri" w:eastAsia="Calibri" w:hAnsi="Calibri" w:cs="Times New Roman"/>
          <w:color w:val="262626"/>
        </w:rPr>
        <w:t xml:space="preserve">All businesses that are not classified as a mixed or blocked merchant can be classified as a general merchant, including online Australian businesses, and online business overseas. However, </w:t>
      </w:r>
      <w:r w:rsidR="00974FFF">
        <w:rPr>
          <w:rFonts w:eastAsia="Calibri"/>
        </w:rPr>
        <w:t xml:space="preserve">contemporary card </w:t>
      </w:r>
      <w:r w:rsidRPr="00AD7612">
        <w:rPr>
          <w:rFonts w:ascii="Calibri" w:eastAsia="Calibri" w:hAnsi="Calibri" w:cs="Times New Roman"/>
          <w:color w:val="262626"/>
        </w:rPr>
        <w:t>users would likely only engage with a small number of businesses given their locations. The exact number also depends on use of online retail by participants. The number of ‘general merchants’ impacted is unknown however as there are no costs associated with them accepting a new card we have not q</w:t>
      </w:r>
      <w:r w:rsidR="00AB10F9">
        <w:rPr>
          <w:rFonts w:ascii="Calibri" w:eastAsia="Calibri" w:hAnsi="Calibri" w:cs="Times New Roman"/>
          <w:color w:val="262626"/>
        </w:rPr>
        <w:t>uantified the cost for the RIS.</w:t>
      </w:r>
    </w:p>
    <w:p w14:paraId="630726C8" w14:textId="5A0E14B9" w:rsidR="00F00F81" w:rsidRPr="00AD7612" w:rsidRDefault="00F00F81" w:rsidP="00F00F81">
      <w:pPr>
        <w:spacing w:before="120" w:after="180" w:line="276" w:lineRule="auto"/>
        <w:rPr>
          <w:rFonts w:ascii="Calibri" w:eastAsia="Calibri" w:hAnsi="Calibri" w:cs="Times New Roman"/>
          <w:color w:val="262626"/>
        </w:rPr>
      </w:pPr>
      <w:r w:rsidRPr="00AD7612">
        <w:rPr>
          <w:rFonts w:ascii="Calibri" w:eastAsia="Calibri" w:hAnsi="Calibri" w:cs="Times New Roman"/>
          <w:color w:val="262626"/>
        </w:rPr>
        <w:t xml:space="preserve">Of the 18,000 IM merchants it is estimated 8,000 do not sell restricted items and will therefore transition to becoming ‘general merchants’. Of the 10,000 remaining 9,500 will be larger merchants </w:t>
      </w:r>
      <w:r w:rsidR="00AD7612" w:rsidRPr="00AD7612">
        <w:rPr>
          <w:rFonts w:ascii="Calibri" w:eastAsia="Calibri" w:hAnsi="Calibri" w:cs="Times New Roman"/>
          <w:color w:val="262626"/>
        </w:rPr>
        <w:t>and 500 smaller merchants</w:t>
      </w:r>
      <w:r w:rsidR="00AB10F9">
        <w:rPr>
          <w:rFonts w:ascii="Calibri" w:eastAsia="Calibri" w:hAnsi="Calibri" w:cs="Times New Roman"/>
          <w:color w:val="262626"/>
        </w:rPr>
        <w:t>.</w:t>
      </w:r>
    </w:p>
    <w:p w14:paraId="2467C537" w14:textId="3024BCAC" w:rsidR="00F00F81" w:rsidRPr="00AD7612" w:rsidRDefault="00F00F81" w:rsidP="00F00F81">
      <w:pPr>
        <w:rPr>
          <w:lang w:eastAsia="en-AU"/>
        </w:rPr>
      </w:pPr>
      <w:r w:rsidRPr="00AD7612">
        <w:rPr>
          <w:lang w:eastAsia="en-AU"/>
        </w:rPr>
        <w:t xml:space="preserve">It is estimated that over 3,000 merchants that sell restricted items could become </w:t>
      </w:r>
      <w:r w:rsidR="00974FFF">
        <w:rPr>
          <w:rFonts w:eastAsia="Calibri"/>
        </w:rPr>
        <w:t xml:space="preserve">contemporary card </w:t>
      </w:r>
      <w:r w:rsidRPr="00AD7612">
        <w:rPr>
          <w:lang w:eastAsia="en-AU"/>
        </w:rPr>
        <w:t>mixed card merchants in the current CDC and IM sites.</w:t>
      </w:r>
    </w:p>
    <w:p w14:paraId="3C0585E7" w14:textId="2CBAF1AD" w:rsidR="00F00F81" w:rsidRPr="00AD7612" w:rsidRDefault="00F00F81" w:rsidP="00F00F81">
      <w:pPr>
        <w:rPr>
          <w:lang w:eastAsia="en-AU"/>
        </w:rPr>
      </w:pPr>
      <w:r w:rsidRPr="00AD7612">
        <w:rPr>
          <w:lang w:eastAsia="en-AU"/>
        </w:rPr>
        <w:t xml:space="preserve">Of these, currently nine are large organisations (eg. Woolworths, Coles) with over 7,500 stores nationally having PLB technology. There are 150 smaller merchants that already have PLB or are working towards having PLB in place. These organisations will be required to undertake minimal/no steps to sign up to the </w:t>
      </w:r>
      <w:r w:rsidR="00974FFF">
        <w:rPr>
          <w:rFonts w:eastAsia="Calibri"/>
        </w:rPr>
        <w:t>contemporary card</w:t>
      </w:r>
      <w:r w:rsidRPr="00AD7612">
        <w:rPr>
          <w:lang w:eastAsia="en-AU"/>
        </w:rPr>
        <w:t xml:space="preserve">. It is expected all these merchants would accept the </w:t>
      </w:r>
      <w:r w:rsidR="00974FFF">
        <w:rPr>
          <w:rFonts w:eastAsia="Calibri"/>
        </w:rPr>
        <w:t xml:space="preserve">contemporary card </w:t>
      </w:r>
      <w:r w:rsidRPr="00AD7612">
        <w:rPr>
          <w:lang w:eastAsia="en-AU"/>
        </w:rPr>
        <w:t>being proposed as it is similar technology to what they currently have and will maintain a status quo in relat</w:t>
      </w:r>
      <w:r w:rsidR="00AB10F9">
        <w:rPr>
          <w:lang w:eastAsia="en-AU"/>
        </w:rPr>
        <w:t>ion to how POS currently works.</w:t>
      </w:r>
    </w:p>
    <w:p w14:paraId="3AEECE3A" w14:textId="2B7AB6EE" w:rsidR="00F00F81" w:rsidRDefault="00F00F81" w:rsidP="00F00F81">
      <w:pPr>
        <w:rPr>
          <w:lang w:eastAsia="en-AU"/>
        </w:rPr>
      </w:pPr>
      <w:r w:rsidRPr="00AD7612">
        <w:rPr>
          <w:lang w:eastAsia="en-AU"/>
        </w:rPr>
        <w:t xml:space="preserve">Based on the current take up of PLB we would expect that around 15 per cent of </w:t>
      </w:r>
      <w:r w:rsidR="00AD7612" w:rsidRPr="00AD7612">
        <w:rPr>
          <w:lang w:eastAsia="en-AU"/>
        </w:rPr>
        <w:t xml:space="preserve">mixed merchants in the sites </w:t>
      </w:r>
      <w:r w:rsidRPr="00AD7612">
        <w:rPr>
          <w:lang w:eastAsia="en-AU"/>
        </w:rPr>
        <w:t>may not want to implement PLB. Given the numbers of participants likely to participants in the new program will be less than the combined total of CDC and IM therefore rate of merchants not willing to participate could increase. Some other merchants may not jo</w:t>
      </w:r>
      <w:r w:rsidR="00AB10F9">
        <w:rPr>
          <w:lang w:eastAsia="en-AU"/>
        </w:rPr>
        <w:t>in unless they are compensated.</w:t>
      </w:r>
    </w:p>
    <w:p w14:paraId="766A62B4" w14:textId="77777777" w:rsidR="00652C51" w:rsidRDefault="00652C51">
      <w:pPr>
        <w:rPr>
          <w:lang w:eastAsia="en-AU"/>
        </w:rPr>
      </w:pPr>
      <w:r>
        <w:rPr>
          <w:lang w:eastAsia="en-AU"/>
        </w:rPr>
        <w:br w:type="page"/>
      </w:r>
    </w:p>
    <w:p w14:paraId="6A599936" w14:textId="77777777" w:rsidR="00652C51" w:rsidRDefault="00652C51" w:rsidP="00652C51">
      <w:pPr>
        <w:pStyle w:val="Title"/>
        <w:rPr>
          <w:lang w:eastAsia="en-AU"/>
        </w:rPr>
        <w:sectPr w:rsidR="00652C51" w:rsidSect="00753174">
          <w:headerReference w:type="default" r:id="rId36"/>
          <w:footerReference w:type="default" r:id="rId37"/>
          <w:headerReference w:type="first" r:id="rId38"/>
          <w:footerReference w:type="first" r:id="rId39"/>
          <w:pgSz w:w="11906" w:h="16838"/>
          <w:pgMar w:top="1559" w:right="851" w:bottom="1701" w:left="851" w:header="567" w:footer="57" w:gutter="0"/>
          <w:cols w:space="708"/>
          <w:docGrid w:linePitch="360"/>
        </w:sectPr>
      </w:pPr>
    </w:p>
    <w:p w14:paraId="0A579658" w14:textId="77777777" w:rsidR="001F0815" w:rsidRDefault="00652C51" w:rsidP="00652C51">
      <w:pPr>
        <w:pStyle w:val="Title"/>
        <w:rPr>
          <w:lang w:eastAsia="en-AU"/>
        </w:rPr>
      </w:pPr>
      <w:bookmarkStart w:id="205" w:name="_Toc118103804"/>
      <w:r>
        <w:rPr>
          <w:lang w:eastAsia="en-AU"/>
        </w:rPr>
        <w:t>Attachment F:</w:t>
      </w:r>
      <w:bookmarkEnd w:id="205"/>
      <w:r>
        <w:rPr>
          <w:lang w:eastAsia="en-AU"/>
        </w:rPr>
        <w:t xml:space="preserve"> </w:t>
      </w:r>
    </w:p>
    <w:p w14:paraId="5D2F6CC2" w14:textId="3B7CD9BE" w:rsidR="00652C51" w:rsidRDefault="00652C51" w:rsidP="007C0149">
      <w:pPr>
        <w:pStyle w:val="Heading2"/>
      </w:pPr>
      <w:bookmarkStart w:id="206" w:name="_Toc118103805"/>
      <w:r>
        <w:t>CDC an</w:t>
      </w:r>
      <w:r w:rsidR="00E0602C">
        <w:t>d</w:t>
      </w:r>
      <w:r w:rsidRPr="00652C51">
        <w:t xml:space="preserve"> IM participant numbers justification and assumptions</w:t>
      </w:r>
      <w:bookmarkEnd w:id="206"/>
    </w:p>
    <w:tbl>
      <w:tblPr>
        <w:tblW w:w="1565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DC and IM participant numbers justification and assumptions."/>
      </w:tblPr>
      <w:tblGrid>
        <w:gridCol w:w="846"/>
        <w:gridCol w:w="941"/>
        <w:gridCol w:w="2745"/>
        <w:gridCol w:w="2693"/>
        <w:gridCol w:w="775"/>
        <w:gridCol w:w="851"/>
        <w:gridCol w:w="850"/>
        <w:gridCol w:w="851"/>
        <w:gridCol w:w="850"/>
        <w:gridCol w:w="851"/>
        <w:gridCol w:w="850"/>
        <w:gridCol w:w="851"/>
        <w:gridCol w:w="850"/>
        <w:gridCol w:w="851"/>
      </w:tblGrid>
      <w:tr w:rsidR="00652C51" w:rsidRPr="005C4564" w14:paraId="79AB1F3E" w14:textId="77777777" w:rsidTr="00B901B6">
        <w:trPr>
          <w:trHeight w:val="300"/>
        </w:trPr>
        <w:tc>
          <w:tcPr>
            <w:tcW w:w="846" w:type="dxa"/>
            <w:vMerge w:val="restart"/>
            <w:shd w:val="clear" w:color="auto" w:fill="auto"/>
            <w:noWrap/>
            <w:vAlign w:val="center"/>
            <w:hideMark/>
          </w:tcPr>
          <w:p w14:paraId="7F6C308E" w14:textId="77777777" w:rsidR="00652C51" w:rsidRPr="005C4564" w:rsidRDefault="00652C51" w:rsidP="00F448CF">
            <w:pPr>
              <w:spacing w:after="0" w:line="240" w:lineRule="auto"/>
              <w:jc w:val="center"/>
              <w:rPr>
                <w:rFonts w:eastAsia="Times New Roman" w:cstheme="minorHAnsi"/>
                <w:b/>
                <w:sz w:val="16"/>
                <w:szCs w:val="16"/>
                <w:lang w:eastAsia="en-AU"/>
              </w:rPr>
            </w:pPr>
            <w:r w:rsidRPr="005C4564">
              <w:rPr>
                <w:rFonts w:eastAsia="Times New Roman" w:cstheme="minorHAnsi"/>
                <w:b/>
                <w:color w:val="000000"/>
                <w:sz w:val="16"/>
                <w:szCs w:val="16"/>
                <w:lang w:eastAsia="en-AU"/>
              </w:rPr>
              <w:t>Program</w:t>
            </w:r>
          </w:p>
        </w:tc>
        <w:tc>
          <w:tcPr>
            <w:tcW w:w="941" w:type="dxa"/>
            <w:vMerge w:val="restart"/>
            <w:shd w:val="clear" w:color="auto" w:fill="auto"/>
            <w:noWrap/>
            <w:vAlign w:val="center"/>
            <w:hideMark/>
          </w:tcPr>
          <w:p w14:paraId="748FAEDE" w14:textId="77777777" w:rsidR="00652C51" w:rsidRPr="005C4564" w:rsidRDefault="00652C51" w:rsidP="00F448CF">
            <w:pPr>
              <w:spacing w:after="0" w:line="240" w:lineRule="auto"/>
              <w:jc w:val="center"/>
              <w:rPr>
                <w:rFonts w:eastAsia="Times New Roman" w:cstheme="minorHAnsi"/>
                <w:b/>
                <w:sz w:val="16"/>
                <w:szCs w:val="16"/>
                <w:lang w:eastAsia="en-AU"/>
              </w:rPr>
            </w:pPr>
            <w:r w:rsidRPr="005C4564">
              <w:rPr>
                <w:rFonts w:eastAsia="Times New Roman" w:cstheme="minorHAnsi"/>
                <w:b/>
                <w:color w:val="000000"/>
                <w:sz w:val="16"/>
                <w:szCs w:val="16"/>
                <w:lang w:eastAsia="en-AU"/>
              </w:rPr>
              <w:t>Year of movement</w:t>
            </w:r>
          </w:p>
        </w:tc>
        <w:tc>
          <w:tcPr>
            <w:tcW w:w="2745" w:type="dxa"/>
            <w:vMerge w:val="restart"/>
            <w:shd w:val="clear" w:color="auto" w:fill="auto"/>
            <w:noWrap/>
            <w:vAlign w:val="center"/>
            <w:hideMark/>
          </w:tcPr>
          <w:p w14:paraId="47348172" w14:textId="77777777" w:rsidR="00652C51" w:rsidRPr="005C4564" w:rsidRDefault="00652C51" w:rsidP="00F448CF">
            <w:pPr>
              <w:spacing w:after="0" w:line="240" w:lineRule="auto"/>
              <w:jc w:val="center"/>
              <w:rPr>
                <w:rFonts w:eastAsia="Times New Roman" w:cstheme="minorHAnsi"/>
                <w:b/>
                <w:sz w:val="16"/>
                <w:szCs w:val="16"/>
                <w:lang w:eastAsia="en-AU"/>
              </w:rPr>
            </w:pPr>
            <w:r w:rsidRPr="005C4564">
              <w:rPr>
                <w:rFonts w:eastAsia="Times New Roman" w:cstheme="minorHAnsi"/>
                <w:b/>
                <w:color w:val="000000"/>
                <w:sz w:val="16"/>
                <w:szCs w:val="16"/>
                <w:lang w:eastAsia="en-AU"/>
              </w:rPr>
              <w:t>Description of participant movements</w:t>
            </w:r>
          </w:p>
        </w:tc>
        <w:tc>
          <w:tcPr>
            <w:tcW w:w="2693" w:type="dxa"/>
            <w:vMerge w:val="restart"/>
            <w:shd w:val="clear" w:color="auto" w:fill="auto"/>
            <w:noWrap/>
            <w:vAlign w:val="center"/>
            <w:hideMark/>
          </w:tcPr>
          <w:p w14:paraId="4456C390" w14:textId="77777777" w:rsidR="00652C51" w:rsidRPr="005C4564" w:rsidRDefault="00652C51" w:rsidP="00F448CF">
            <w:pPr>
              <w:spacing w:after="0" w:line="240" w:lineRule="auto"/>
              <w:jc w:val="center"/>
              <w:rPr>
                <w:rFonts w:eastAsia="Times New Roman" w:cstheme="minorHAnsi"/>
                <w:b/>
                <w:sz w:val="16"/>
                <w:szCs w:val="16"/>
                <w:lang w:eastAsia="en-AU"/>
              </w:rPr>
            </w:pPr>
            <w:r w:rsidRPr="005C4564">
              <w:rPr>
                <w:rFonts w:eastAsia="Times New Roman" w:cstheme="minorHAnsi"/>
                <w:b/>
                <w:color w:val="000000"/>
                <w:sz w:val="16"/>
                <w:szCs w:val="16"/>
                <w:lang w:eastAsia="en-AU"/>
              </w:rPr>
              <w:t>Justification/assumption to support movement</w:t>
            </w:r>
          </w:p>
        </w:tc>
        <w:tc>
          <w:tcPr>
            <w:tcW w:w="775" w:type="dxa"/>
            <w:shd w:val="clear" w:color="auto" w:fill="auto"/>
            <w:noWrap/>
            <w:vAlign w:val="bottom"/>
            <w:hideMark/>
          </w:tcPr>
          <w:p w14:paraId="4F993A49"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1</w:t>
            </w:r>
          </w:p>
        </w:tc>
        <w:tc>
          <w:tcPr>
            <w:tcW w:w="851" w:type="dxa"/>
            <w:shd w:val="clear" w:color="auto" w:fill="auto"/>
            <w:noWrap/>
            <w:vAlign w:val="bottom"/>
            <w:hideMark/>
          </w:tcPr>
          <w:p w14:paraId="445DED98"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2</w:t>
            </w:r>
          </w:p>
        </w:tc>
        <w:tc>
          <w:tcPr>
            <w:tcW w:w="850" w:type="dxa"/>
            <w:shd w:val="clear" w:color="auto" w:fill="auto"/>
            <w:noWrap/>
            <w:vAlign w:val="bottom"/>
            <w:hideMark/>
          </w:tcPr>
          <w:p w14:paraId="6270A959"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3</w:t>
            </w:r>
          </w:p>
        </w:tc>
        <w:tc>
          <w:tcPr>
            <w:tcW w:w="851" w:type="dxa"/>
            <w:shd w:val="clear" w:color="auto" w:fill="auto"/>
            <w:noWrap/>
            <w:vAlign w:val="bottom"/>
            <w:hideMark/>
          </w:tcPr>
          <w:p w14:paraId="171D9FF7"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4</w:t>
            </w:r>
          </w:p>
        </w:tc>
        <w:tc>
          <w:tcPr>
            <w:tcW w:w="850" w:type="dxa"/>
            <w:shd w:val="clear" w:color="auto" w:fill="auto"/>
            <w:noWrap/>
            <w:vAlign w:val="bottom"/>
            <w:hideMark/>
          </w:tcPr>
          <w:p w14:paraId="668E7808"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5</w:t>
            </w:r>
          </w:p>
        </w:tc>
        <w:tc>
          <w:tcPr>
            <w:tcW w:w="851" w:type="dxa"/>
            <w:shd w:val="clear" w:color="auto" w:fill="auto"/>
            <w:noWrap/>
            <w:vAlign w:val="bottom"/>
            <w:hideMark/>
          </w:tcPr>
          <w:p w14:paraId="029FB8AE"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6</w:t>
            </w:r>
          </w:p>
        </w:tc>
        <w:tc>
          <w:tcPr>
            <w:tcW w:w="850" w:type="dxa"/>
            <w:shd w:val="clear" w:color="auto" w:fill="auto"/>
            <w:noWrap/>
            <w:vAlign w:val="bottom"/>
            <w:hideMark/>
          </w:tcPr>
          <w:p w14:paraId="447CA2A8"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7</w:t>
            </w:r>
          </w:p>
        </w:tc>
        <w:tc>
          <w:tcPr>
            <w:tcW w:w="851" w:type="dxa"/>
            <w:shd w:val="clear" w:color="auto" w:fill="auto"/>
            <w:noWrap/>
            <w:vAlign w:val="bottom"/>
            <w:hideMark/>
          </w:tcPr>
          <w:p w14:paraId="7C78F0C1"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8</w:t>
            </w:r>
          </w:p>
        </w:tc>
        <w:tc>
          <w:tcPr>
            <w:tcW w:w="850" w:type="dxa"/>
            <w:shd w:val="clear" w:color="auto" w:fill="auto"/>
            <w:noWrap/>
            <w:vAlign w:val="bottom"/>
            <w:hideMark/>
          </w:tcPr>
          <w:p w14:paraId="46B91845"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9</w:t>
            </w:r>
          </w:p>
        </w:tc>
        <w:tc>
          <w:tcPr>
            <w:tcW w:w="851" w:type="dxa"/>
            <w:shd w:val="clear" w:color="auto" w:fill="auto"/>
            <w:noWrap/>
            <w:vAlign w:val="bottom"/>
            <w:hideMark/>
          </w:tcPr>
          <w:p w14:paraId="45E4E828" w14:textId="77777777" w:rsidR="00652C51" w:rsidRPr="005C4564" w:rsidRDefault="00652C51" w:rsidP="00F448CF">
            <w:pPr>
              <w:spacing w:after="0" w:line="240" w:lineRule="auto"/>
              <w:jc w:val="center"/>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Year 10</w:t>
            </w:r>
          </w:p>
        </w:tc>
      </w:tr>
      <w:tr w:rsidR="00652C51" w:rsidRPr="005C4564" w14:paraId="19A35111" w14:textId="77777777" w:rsidTr="00B901B6">
        <w:trPr>
          <w:trHeight w:val="300"/>
        </w:trPr>
        <w:tc>
          <w:tcPr>
            <w:tcW w:w="846" w:type="dxa"/>
            <w:vMerge/>
            <w:shd w:val="clear" w:color="auto" w:fill="auto"/>
            <w:noWrap/>
            <w:vAlign w:val="bottom"/>
            <w:hideMark/>
          </w:tcPr>
          <w:p w14:paraId="34DA9020"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vMerge/>
            <w:shd w:val="clear" w:color="auto" w:fill="auto"/>
            <w:noWrap/>
            <w:vAlign w:val="bottom"/>
            <w:hideMark/>
          </w:tcPr>
          <w:p w14:paraId="3FD7E62E" w14:textId="77777777" w:rsidR="00652C51" w:rsidRPr="005C4564" w:rsidRDefault="00652C51" w:rsidP="00F448CF">
            <w:pPr>
              <w:spacing w:after="0" w:line="240" w:lineRule="auto"/>
              <w:rPr>
                <w:rFonts w:eastAsia="Times New Roman" w:cstheme="minorHAnsi"/>
                <w:sz w:val="16"/>
                <w:szCs w:val="16"/>
                <w:lang w:eastAsia="en-AU"/>
              </w:rPr>
            </w:pPr>
          </w:p>
        </w:tc>
        <w:tc>
          <w:tcPr>
            <w:tcW w:w="2745" w:type="dxa"/>
            <w:vMerge/>
            <w:shd w:val="clear" w:color="auto" w:fill="auto"/>
            <w:noWrap/>
            <w:vAlign w:val="bottom"/>
            <w:hideMark/>
          </w:tcPr>
          <w:p w14:paraId="58A64249" w14:textId="77777777" w:rsidR="00652C51" w:rsidRPr="005C4564" w:rsidRDefault="00652C51" w:rsidP="00F448CF">
            <w:pPr>
              <w:spacing w:after="0" w:line="240" w:lineRule="auto"/>
              <w:rPr>
                <w:rFonts w:eastAsia="Times New Roman" w:cstheme="minorHAnsi"/>
                <w:sz w:val="16"/>
                <w:szCs w:val="16"/>
                <w:lang w:eastAsia="en-AU"/>
              </w:rPr>
            </w:pPr>
          </w:p>
        </w:tc>
        <w:tc>
          <w:tcPr>
            <w:tcW w:w="2693" w:type="dxa"/>
            <w:vMerge/>
            <w:shd w:val="clear" w:color="auto" w:fill="auto"/>
            <w:noWrap/>
            <w:vAlign w:val="bottom"/>
            <w:hideMark/>
          </w:tcPr>
          <w:p w14:paraId="7D49C09C" w14:textId="77777777" w:rsidR="00652C51" w:rsidRPr="005C4564" w:rsidRDefault="00652C51" w:rsidP="00F448CF">
            <w:pPr>
              <w:spacing w:after="0" w:line="240" w:lineRule="auto"/>
              <w:rPr>
                <w:rFonts w:eastAsia="Times New Roman" w:cstheme="minorHAnsi"/>
                <w:sz w:val="16"/>
                <w:szCs w:val="16"/>
                <w:lang w:eastAsia="en-AU"/>
              </w:rPr>
            </w:pPr>
          </w:p>
        </w:tc>
        <w:tc>
          <w:tcPr>
            <w:tcW w:w="775" w:type="dxa"/>
            <w:shd w:val="clear" w:color="auto" w:fill="auto"/>
            <w:noWrap/>
            <w:vAlign w:val="bottom"/>
            <w:hideMark/>
          </w:tcPr>
          <w:p w14:paraId="116F1590"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2022-23</w:t>
            </w:r>
          </w:p>
        </w:tc>
        <w:tc>
          <w:tcPr>
            <w:tcW w:w="851" w:type="dxa"/>
            <w:shd w:val="clear" w:color="auto" w:fill="auto"/>
            <w:noWrap/>
            <w:vAlign w:val="bottom"/>
            <w:hideMark/>
          </w:tcPr>
          <w:p w14:paraId="6D9AF693"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2023-24</w:t>
            </w:r>
          </w:p>
        </w:tc>
        <w:tc>
          <w:tcPr>
            <w:tcW w:w="850" w:type="dxa"/>
            <w:shd w:val="clear" w:color="auto" w:fill="auto"/>
            <w:noWrap/>
            <w:vAlign w:val="bottom"/>
            <w:hideMark/>
          </w:tcPr>
          <w:p w14:paraId="6CF24742"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2024-25</w:t>
            </w:r>
          </w:p>
        </w:tc>
        <w:tc>
          <w:tcPr>
            <w:tcW w:w="851" w:type="dxa"/>
            <w:shd w:val="clear" w:color="auto" w:fill="auto"/>
            <w:noWrap/>
            <w:vAlign w:val="bottom"/>
            <w:hideMark/>
          </w:tcPr>
          <w:p w14:paraId="25A49182"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2025-26</w:t>
            </w:r>
          </w:p>
        </w:tc>
        <w:tc>
          <w:tcPr>
            <w:tcW w:w="850" w:type="dxa"/>
            <w:shd w:val="clear" w:color="auto" w:fill="auto"/>
            <w:noWrap/>
            <w:vAlign w:val="bottom"/>
            <w:hideMark/>
          </w:tcPr>
          <w:p w14:paraId="356EFCAC"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2026-27</w:t>
            </w:r>
          </w:p>
        </w:tc>
        <w:tc>
          <w:tcPr>
            <w:tcW w:w="851" w:type="dxa"/>
            <w:shd w:val="clear" w:color="auto" w:fill="auto"/>
            <w:noWrap/>
            <w:vAlign w:val="bottom"/>
            <w:hideMark/>
          </w:tcPr>
          <w:p w14:paraId="7DE02128"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2027-28</w:t>
            </w:r>
          </w:p>
        </w:tc>
        <w:tc>
          <w:tcPr>
            <w:tcW w:w="850" w:type="dxa"/>
            <w:shd w:val="clear" w:color="auto" w:fill="auto"/>
            <w:noWrap/>
            <w:vAlign w:val="bottom"/>
            <w:hideMark/>
          </w:tcPr>
          <w:p w14:paraId="1A64F119"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2028-29</w:t>
            </w:r>
          </w:p>
        </w:tc>
        <w:tc>
          <w:tcPr>
            <w:tcW w:w="851" w:type="dxa"/>
            <w:shd w:val="clear" w:color="auto" w:fill="auto"/>
            <w:noWrap/>
            <w:vAlign w:val="bottom"/>
            <w:hideMark/>
          </w:tcPr>
          <w:p w14:paraId="2D81FF69"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2029-30</w:t>
            </w:r>
          </w:p>
        </w:tc>
        <w:tc>
          <w:tcPr>
            <w:tcW w:w="850" w:type="dxa"/>
            <w:shd w:val="clear" w:color="auto" w:fill="auto"/>
            <w:noWrap/>
            <w:vAlign w:val="bottom"/>
            <w:hideMark/>
          </w:tcPr>
          <w:p w14:paraId="6F3022E1"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2030-31</w:t>
            </w:r>
          </w:p>
        </w:tc>
        <w:tc>
          <w:tcPr>
            <w:tcW w:w="851" w:type="dxa"/>
            <w:shd w:val="clear" w:color="auto" w:fill="auto"/>
            <w:noWrap/>
            <w:vAlign w:val="bottom"/>
            <w:hideMark/>
          </w:tcPr>
          <w:p w14:paraId="24B6F35F" w14:textId="77777777" w:rsidR="00652C51" w:rsidRPr="005C4564" w:rsidRDefault="00652C51" w:rsidP="00F448CF">
            <w:pPr>
              <w:spacing w:after="0" w:line="240" w:lineRule="auto"/>
              <w:rPr>
                <w:rFonts w:eastAsia="Times New Roman" w:cstheme="minorHAnsi"/>
                <w:b/>
                <w:color w:val="000000"/>
                <w:sz w:val="16"/>
                <w:szCs w:val="16"/>
                <w:lang w:eastAsia="en-AU"/>
              </w:rPr>
            </w:pPr>
            <w:r w:rsidRPr="005C4564">
              <w:rPr>
                <w:rFonts w:eastAsia="Times New Roman" w:cstheme="minorHAnsi"/>
                <w:b/>
                <w:color w:val="000000"/>
                <w:sz w:val="16"/>
                <w:szCs w:val="16"/>
                <w:lang w:eastAsia="en-AU"/>
              </w:rPr>
              <w:t>2031-32</w:t>
            </w:r>
          </w:p>
        </w:tc>
      </w:tr>
      <w:tr w:rsidR="00652C51" w:rsidRPr="005C4564" w14:paraId="4169A177" w14:textId="77777777" w:rsidTr="00D17AC2">
        <w:trPr>
          <w:trHeight w:val="300"/>
        </w:trPr>
        <w:tc>
          <w:tcPr>
            <w:tcW w:w="846" w:type="dxa"/>
            <w:vMerge w:val="restart"/>
            <w:shd w:val="clear" w:color="auto" w:fill="auto"/>
            <w:noWrap/>
            <w:vAlign w:val="center"/>
            <w:hideMark/>
          </w:tcPr>
          <w:p w14:paraId="0396FD1C" w14:textId="757EAF12"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CDC</w:t>
            </w:r>
          </w:p>
        </w:tc>
        <w:tc>
          <w:tcPr>
            <w:tcW w:w="941" w:type="dxa"/>
            <w:shd w:val="clear" w:color="auto" w:fill="auto"/>
            <w:noWrap/>
            <w:vAlign w:val="bottom"/>
            <w:hideMark/>
          </w:tcPr>
          <w:p w14:paraId="5278C2A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All</w:t>
            </w:r>
          </w:p>
        </w:tc>
        <w:tc>
          <w:tcPr>
            <w:tcW w:w="2745" w:type="dxa"/>
            <w:shd w:val="clear" w:color="auto" w:fill="auto"/>
            <w:noWrap/>
            <w:vAlign w:val="bottom"/>
            <w:hideMark/>
          </w:tcPr>
          <w:p w14:paraId="7DD09CAA"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Start at beginning of each year</w:t>
            </w:r>
          </w:p>
        </w:tc>
        <w:tc>
          <w:tcPr>
            <w:tcW w:w="2693" w:type="dxa"/>
            <w:shd w:val="clear" w:color="auto" w:fill="auto"/>
            <w:noWrap/>
            <w:vAlign w:val="bottom"/>
            <w:hideMark/>
          </w:tcPr>
          <w:p w14:paraId="47172CB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775" w:type="dxa"/>
            <w:shd w:val="clear" w:color="auto" w:fill="auto"/>
            <w:noWrap/>
            <w:vAlign w:val="bottom"/>
            <w:hideMark/>
          </w:tcPr>
          <w:p w14:paraId="5F1AD479"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17300</w:t>
            </w:r>
          </w:p>
        </w:tc>
        <w:tc>
          <w:tcPr>
            <w:tcW w:w="851" w:type="dxa"/>
            <w:shd w:val="clear" w:color="auto" w:fill="auto"/>
            <w:noWrap/>
            <w:vAlign w:val="bottom"/>
            <w:hideMark/>
          </w:tcPr>
          <w:p w14:paraId="2356130E"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3825C58C"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1C184DF3"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6B731EB1"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3A6D6E14"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1324BFD3"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03DFAADE"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36AAB661"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4E2375C3"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r>
      <w:tr w:rsidR="00652C51" w:rsidRPr="005C4564" w14:paraId="579E794F" w14:textId="77777777" w:rsidTr="00B901B6">
        <w:trPr>
          <w:trHeight w:val="300"/>
        </w:trPr>
        <w:tc>
          <w:tcPr>
            <w:tcW w:w="846" w:type="dxa"/>
            <w:vMerge/>
            <w:shd w:val="clear" w:color="auto" w:fill="auto"/>
            <w:noWrap/>
            <w:vAlign w:val="bottom"/>
            <w:hideMark/>
          </w:tcPr>
          <w:p w14:paraId="0C643417"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7B2F125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1</w:t>
            </w:r>
          </w:p>
        </w:tc>
        <w:tc>
          <w:tcPr>
            <w:tcW w:w="2745" w:type="dxa"/>
            <w:shd w:val="clear" w:color="auto" w:fill="auto"/>
            <w:noWrap/>
            <w:vAlign w:val="bottom"/>
            <w:hideMark/>
          </w:tcPr>
          <w:p w14:paraId="57E0B34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All leave CDC</w:t>
            </w:r>
          </w:p>
        </w:tc>
        <w:tc>
          <w:tcPr>
            <w:tcW w:w="2693" w:type="dxa"/>
            <w:shd w:val="clear" w:color="auto" w:fill="auto"/>
            <w:noWrap/>
            <w:vAlign w:val="bottom"/>
            <w:hideMark/>
          </w:tcPr>
          <w:p w14:paraId="624BADA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CDC program ceases</w:t>
            </w:r>
          </w:p>
        </w:tc>
        <w:tc>
          <w:tcPr>
            <w:tcW w:w="775" w:type="dxa"/>
            <w:shd w:val="clear" w:color="auto" w:fill="auto"/>
            <w:noWrap/>
            <w:vAlign w:val="bottom"/>
            <w:hideMark/>
          </w:tcPr>
          <w:p w14:paraId="0C518BE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-17300</w:t>
            </w:r>
          </w:p>
        </w:tc>
        <w:tc>
          <w:tcPr>
            <w:tcW w:w="851" w:type="dxa"/>
            <w:shd w:val="clear" w:color="auto" w:fill="auto"/>
            <w:noWrap/>
            <w:vAlign w:val="bottom"/>
            <w:hideMark/>
          </w:tcPr>
          <w:p w14:paraId="2F6FF0A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4704687"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24E9FA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D4FB82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2659E03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0FB11E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AEB34D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C571F7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455E8EF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218FB63E" w14:textId="77777777" w:rsidTr="00B901B6">
        <w:trPr>
          <w:trHeight w:val="300"/>
        </w:trPr>
        <w:tc>
          <w:tcPr>
            <w:tcW w:w="846" w:type="dxa"/>
            <w:vMerge/>
            <w:shd w:val="clear" w:color="auto" w:fill="auto"/>
            <w:noWrap/>
            <w:vAlign w:val="bottom"/>
            <w:hideMark/>
          </w:tcPr>
          <w:p w14:paraId="75A0A9A8"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F9989B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auto" w:fill="auto"/>
            <w:noWrap/>
            <w:vAlign w:val="bottom"/>
            <w:hideMark/>
          </w:tcPr>
          <w:p w14:paraId="3044284A"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TOTAL by end of year</w:t>
            </w:r>
          </w:p>
        </w:tc>
        <w:tc>
          <w:tcPr>
            <w:tcW w:w="2693" w:type="dxa"/>
            <w:shd w:val="clear" w:color="auto" w:fill="auto"/>
            <w:noWrap/>
            <w:vAlign w:val="bottom"/>
            <w:hideMark/>
          </w:tcPr>
          <w:p w14:paraId="41CA6252"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775" w:type="dxa"/>
            <w:shd w:val="clear" w:color="auto" w:fill="auto"/>
            <w:noWrap/>
            <w:vAlign w:val="bottom"/>
            <w:hideMark/>
          </w:tcPr>
          <w:p w14:paraId="0C2AA98D"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5BB73DD1"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1FCB7297"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5AF7C167"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6DC36F3F"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7D8FB420"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0CFE33BA"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0F13230A"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6C340082"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22047F2D"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r>
      <w:tr w:rsidR="00652C51" w:rsidRPr="005C4564" w14:paraId="1F81E443" w14:textId="77777777" w:rsidTr="00B901B6">
        <w:trPr>
          <w:trHeight w:val="300"/>
        </w:trPr>
        <w:tc>
          <w:tcPr>
            <w:tcW w:w="846" w:type="dxa"/>
            <w:shd w:val="clear" w:color="000000" w:fill="D9D9D9"/>
            <w:noWrap/>
            <w:vAlign w:val="bottom"/>
            <w:hideMark/>
          </w:tcPr>
          <w:p w14:paraId="214F3AA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941" w:type="dxa"/>
            <w:shd w:val="clear" w:color="000000" w:fill="D9D9D9"/>
            <w:noWrap/>
            <w:vAlign w:val="bottom"/>
            <w:hideMark/>
          </w:tcPr>
          <w:p w14:paraId="7789A8C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000000" w:fill="D9D9D9"/>
            <w:noWrap/>
            <w:vAlign w:val="bottom"/>
            <w:hideMark/>
          </w:tcPr>
          <w:p w14:paraId="771CB627"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 </w:t>
            </w:r>
          </w:p>
        </w:tc>
        <w:tc>
          <w:tcPr>
            <w:tcW w:w="2693" w:type="dxa"/>
            <w:shd w:val="clear" w:color="000000" w:fill="D9D9D9"/>
            <w:noWrap/>
            <w:vAlign w:val="bottom"/>
            <w:hideMark/>
          </w:tcPr>
          <w:p w14:paraId="2384EAA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775" w:type="dxa"/>
            <w:shd w:val="clear" w:color="000000" w:fill="D9D9D9"/>
            <w:noWrap/>
            <w:vAlign w:val="bottom"/>
            <w:hideMark/>
          </w:tcPr>
          <w:p w14:paraId="3D2C006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5C19796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5852CDB7"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7BAABDE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6043E0E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2718726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6FE9F43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7D4AEC8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3E60A4F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1CA5CBA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096D69" w:rsidRPr="005C4564" w14:paraId="2549C8C2" w14:textId="77777777" w:rsidTr="00D17AC2">
        <w:trPr>
          <w:trHeight w:val="300"/>
        </w:trPr>
        <w:tc>
          <w:tcPr>
            <w:tcW w:w="846" w:type="dxa"/>
            <w:vMerge w:val="restart"/>
            <w:shd w:val="clear" w:color="auto" w:fill="auto"/>
            <w:noWrap/>
            <w:vAlign w:val="center"/>
            <w:hideMark/>
          </w:tcPr>
          <w:p w14:paraId="5C2879F4" w14:textId="0B3E4802" w:rsidR="00096D69" w:rsidRPr="005C4564" w:rsidRDefault="00D17AC2" w:rsidP="00F448CF">
            <w:pPr>
              <w:spacing w:after="0" w:line="240" w:lineRule="auto"/>
              <w:rPr>
                <w:rFonts w:eastAsia="Times New Roman" w:cstheme="minorHAnsi"/>
                <w:b/>
                <w:bCs/>
                <w:color w:val="000000"/>
                <w:sz w:val="16"/>
                <w:szCs w:val="16"/>
                <w:lang w:eastAsia="en-AU"/>
              </w:rPr>
            </w:pPr>
            <w:r>
              <w:rPr>
                <w:rFonts w:eastAsia="Times New Roman" w:cstheme="minorHAnsi"/>
                <w:b/>
                <w:bCs/>
                <w:color w:val="000000"/>
                <w:sz w:val="16"/>
                <w:szCs w:val="16"/>
                <w:lang w:eastAsia="en-AU"/>
              </w:rPr>
              <w:t>Comp IM</w:t>
            </w:r>
          </w:p>
        </w:tc>
        <w:tc>
          <w:tcPr>
            <w:tcW w:w="941" w:type="dxa"/>
            <w:shd w:val="clear" w:color="auto" w:fill="auto"/>
            <w:noWrap/>
            <w:vAlign w:val="bottom"/>
            <w:hideMark/>
          </w:tcPr>
          <w:p w14:paraId="17DB5A3D"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auto" w:fill="auto"/>
            <w:noWrap/>
            <w:vAlign w:val="bottom"/>
            <w:hideMark/>
          </w:tcPr>
          <w:p w14:paraId="55218C68"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Start at beginning of each year</w:t>
            </w:r>
          </w:p>
        </w:tc>
        <w:tc>
          <w:tcPr>
            <w:tcW w:w="2693" w:type="dxa"/>
            <w:shd w:val="clear" w:color="auto" w:fill="auto"/>
            <w:noWrap/>
            <w:vAlign w:val="bottom"/>
            <w:hideMark/>
          </w:tcPr>
          <w:p w14:paraId="03145F1B"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775" w:type="dxa"/>
            <w:shd w:val="clear" w:color="auto" w:fill="auto"/>
            <w:noWrap/>
            <w:vAlign w:val="bottom"/>
            <w:hideMark/>
          </w:tcPr>
          <w:p w14:paraId="3F9142CF" w14:textId="77777777" w:rsidR="00096D69" w:rsidRPr="005C4564" w:rsidRDefault="00096D69" w:rsidP="00F448CF">
            <w:pPr>
              <w:spacing w:after="0" w:line="240" w:lineRule="auto"/>
              <w:rPr>
                <w:rFonts w:eastAsia="Times New Roman" w:cstheme="minorHAnsi"/>
                <w:b/>
                <w:bCs/>
                <w:color w:val="FF0000"/>
                <w:sz w:val="16"/>
                <w:szCs w:val="16"/>
                <w:lang w:eastAsia="en-AU"/>
              </w:rPr>
            </w:pPr>
            <w:r w:rsidRPr="005C4564">
              <w:rPr>
                <w:rFonts w:eastAsia="Times New Roman" w:cstheme="minorHAnsi"/>
                <w:b/>
                <w:bCs/>
                <w:color w:val="FF0000"/>
                <w:sz w:val="16"/>
                <w:szCs w:val="16"/>
                <w:lang w:eastAsia="en-AU"/>
              </w:rPr>
              <w:t>24400</w:t>
            </w:r>
          </w:p>
        </w:tc>
        <w:tc>
          <w:tcPr>
            <w:tcW w:w="851" w:type="dxa"/>
            <w:shd w:val="clear" w:color="auto" w:fill="auto"/>
            <w:noWrap/>
            <w:vAlign w:val="bottom"/>
            <w:hideMark/>
          </w:tcPr>
          <w:p w14:paraId="42BCDB4A"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28200</w:t>
            </w:r>
          </w:p>
        </w:tc>
        <w:tc>
          <w:tcPr>
            <w:tcW w:w="850" w:type="dxa"/>
            <w:shd w:val="clear" w:color="auto" w:fill="auto"/>
            <w:noWrap/>
            <w:vAlign w:val="bottom"/>
            <w:hideMark/>
          </w:tcPr>
          <w:p w14:paraId="6235796D"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28200</w:t>
            </w:r>
          </w:p>
        </w:tc>
        <w:tc>
          <w:tcPr>
            <w:tcW w:w="851" w:type="dxa"/>
            <w:shd w:val="clear" w:color="auto" w:fill="auto"/>
            <w:noWrap/>
            <w:vAlign w:val="bottom"/>
            <w:hideMark/>
          </w:tcPr>
          <w:p w14:paraId="388038BE"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0" w:type="dxa"/>
            <w:shd w:val="clear" w:color="auto" w:fill="auto"/>
            <w:noWrap/>
            <w:vAlign w:val="bottom"/>
            <w:hideMark/>
          </w:tcPr>
          <w:p w14:paraId="2A0DAB50"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1" w:type="dxa"/>
            <w:shd w:val="clear" w:color="auto" w:fill="auto"/>
            <w:noWrap/>
            <w:vAlign w:val="bottom"/>
            <w:hideMark/>
          </w:tcPr>
          <w:p w14:paraId="6971F12E"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0" w:type="dxa"/>
            <w:shd w:val="clear" w:color="auto" w:fill="auto"/>
            <w:noWrap/>
            <w:vAlign w:val="bottom"/>
            <w:hideMark/>
          </w:tcPr>
          <w:p w14:paraId="533E58BD"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1" w:type="dxa"/>
            <w:shd w:val="clear" w:color="auto" w:fill="auto"/>
            <w:noWrap/>
            <w:vAlign w:val="bottom"/>
            <w:hideMark/>
          </w:tcPr>
          <w:p w14:paraId="19DF1B23"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0" w:type="dxa"/>
            <w:shd w:val="clear" w:color="auto" w:fill="auto"/>
            <w:noWrap/>
            <w:vAlign w:val="bottom"/>
            <w:hideMark/>
          </w:tcPr>
          <w:p w14:paraId="1F20C457"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c>
          <w:tcPr>
            <w:tcW w:w="851" w:type="dxa"/>
            <w:shd w:val="clear" w:color="auto" w:fill="auto"/>
            <w:noWrap/>
            <w:vAlign w:val="bottom"/>
            <w:hideMark/>
          </w:tcPr>
          <w:p w14:paraId="4719010A" w14:textId="77777777" w:rsidR="00096D69" w:rsidRPr="005C4564" w:rsidRDefault="00096D69" w:rsidP="00F448CF">
            <w:pPr>
              <w:spacing w:after="0" w:line="240" w:lineRule="auto"/>
              <w:rPr>
                <w:rFonts w:eastAsia="Times New Roman" w:cstheme="minorHAnsi"/>
                <w:b/>
                <w:bCs/>
                <w:sz w:val="16"/>
                <w:szCs w:val="16"/>
                <w:lang w:eastAsia="en-AU"/>
              </w:rPr>
            </w:pPr>
            <w:r w:rsidRPr="005C4564">
              <w:rPr>
                <w:rFonts w:eastAsia="Times New Roman" w:cstheme="minorHAnsi"/>
                <w:b/>
                <w:bCs/>
                <w:sz w:val="16"/>
                <w:szCs w:val="16"/>
                <w:lang w:eastAsia="en-AU"/>
              </w:rPr>
              <w:t>0</w:t>
            </w:r>
          </w:p>
        </w:tc>
      </w:tr>
      <w:tr w:rsidR="00096D69" w:rsidRPr="005C4564" w14:paraId="07B16942" w14:textId="77777777" w:rsidTr="00B901B6">
        <w:trPr>
          <w:trHeight w:val="300"/>
        </w:trPr>
        <w:tc>
          <w:tcPr>
            <w:tcW w:w="846" w:type="dxa"/>
            <w:vMerge/>
            <w:shd w:val="clear" w:color="auto" w:fill="auto"/>
            <w:noWrap/>
            <w:vAlign w:val="bottom"/>
            <w:hideMark/>
          </w:tcPr>
          <w:p w14:paraId="1AA77213" w14:textId="77777777" w:rsidR="00096D69" w:rsidRPr="005C4564" w:rsidRDefault="00096D69"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4D01434"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1</w:t>
            </w:r>
          </w:p>
        </w:tc>
        <w:tc>
          <w:tcPr>
            <w:tcW w:w="2745" w:type="dxa"/>
            <w:shd w:val="clear" w:color="auto" w:fill="auto"/>
            <w:noWrap/>
            <w:hideMark/>
          </w:tcPr>
          <w:p w14:paraId="5DA3C570"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xml:space="preserve">Add CDC NT participants </w:t>
            </w:r>
          </w:p>
        </w:tc>
        <w:tc>
          <w:tcPr>
            <w:tcW w:w="2693" w:type="dxa"/>
            <w:shd w:val="clear" w:color="auto" w:fill="auto"/>
            <w:noWrap/>
            <w:vAlign w:val="bottom"/>
            <w:hideMark/>
          </w:tcPr>
          <w:p w14:paraId="6EDA3C84" w14:textId="77777777" w:rsidR="00096D69" w:rsidRPr="005C4564" w:rsidRDefault="00096D69" w:rsidP="00B901B6">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NT agree</w:t>
            </w:r>
            <w:r>
              <w:rPr>
                <w:rFonts w:eastAsia="Times New Roman" w:cstheme="minorHAnsi"/>
                <w:color w:val="000000"/>
                <w:sz w:val="16"/>
                <w:szCs w:val="16"/>
                <w:lang w:eastAsia="en-AU"/>
              </w:rPr>
              <w:t xml:space="preserve">d to transition from CDC to IM </w:t>
            </w:r>
          </w:p>
        </w:tc>
        <w:tc>
          <w:tcPr>
            <w:tcW w:w="775" w:type="dxa"/>
            <w:shd w:val="clear" w:color="auto" w:fill="auto"/>
            <w:noWrap/>
            <w:vAlign w:val="bottom"/>
            <w:hideMark/>
          </w:tcPr>
          <w:p w14:paraId="45508432"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3800</w:t>
            </w:r>
          </w:p>
        </w:tc>
        <w:tc>
          <w:tcPr>
            <w:tcW w:w="851" w:type="dxa"/>
            <w:shd w:val="clear" w:color="auto" w:fill="auto"/>
            <w:noWrap/>
            <w:vAlign w:val="bottom"/>
            <w:hideMark/>
          </w:tcPr>
          <w:p w14:paraId="3CEC4FE6"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50C20D4F"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F8578F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E7ECA2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11E81B3"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A62A523"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5662C3E"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1BBC4262"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204B66BF"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096D69" w:rsidRPr="005C4564" w14:paraId="2041F67B" w14:textId="77777777" w:rsidTr="00B901B6">
        <w:trPr>
          <w:trHeight w:val="300"/>
        </w:trPr>
        <w:tc>
          <w:tcPr>
            <w:tcW w:w="846" w:type="dxa"/>
            <w:vMerge/>
            <w:shd w:val="clear" w:color="auto" w:fill="auto"/>
            <w:noWrap/>
            <w:vAlign w:val="bottom"/>
            <w:hideMark/>
          </w:tcPr>
          <w:p w14:paraId="3C1FC179" w14:textId="77777777" w:rsidR="00096D69" w:rsidRPr="005C4564" w:rsidRDefault="00096D69"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94E1726"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1</w:t>
            </w:r>
          </w:p>
        </w:tc>
        <w:tc>
          <w:tcPr>
            <w:tcW w:w="2745" w:type="dxa"/>
            <w:shd w:val="clear" w:color="auto" w:fill="auto"/>
            <w:noWrap/>
            <w:vAlign w:val="bottom"/>
            <w:hideMark/>
          </w:tcPr>
          <w:p w14:paraId="33DADEA1"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Cape York CDC participants</w:t>
            </w:r>
          </w:p>
        </w:tc>
        <w:tc>
          <w:tcPr>
            <w:tcW w:w="2693" w:type="dxa"/>
            <w:shd w:val="clear" w:color="auto" w:fill="auto"/>
            <w:noWrap/>
            <w:vAlign w:val="bottom"/>
            <w:hideMark/>
          </w:tcPr>
          <w:p w14:paraId="6E9B8773"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None - assume move onto voluntary straight away</w:t>
            </w:r>
          </w:p>
        </w:tc>
        <w:tc>
          <w:tcPr>
            <w:tcW w:w="775" w:type="dxa"/>
            <w:shd w:val="clear" w:color="auto" w:fill="auto"/>
            <w:noWrap/>
            <w:vAlign w:val="bottom"/>
            <w:hideMark/>
          </w:tcPr>
          <w:p w14:paraId="5FA8331F"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1" w:type="dxa"/>
            <w:shd w:val="clear" w:color="auto" w:fill="auto"/>
            <w:noWrap/>
            <w:vAlign w:val="bottom"/>
            <w:hideMark/>
          </w:tcPr>
          <w:p w14:paraId="52BE1F47"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2C2B9A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359848D"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C3EEE3C"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5466BE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9A683B7"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417D48E"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1421397"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EF6770D"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096D69" w:rsidRPr="005C4564" w14:paraId="34CC28E7" w14:textId="77777777" w:rsidTr="00B901B6">
        <w:trPr>
          <w:trHeight w:val="300"/>
        </w:trPr>
        <w:tc>
          <w:tcPr>
            <w:tcW w:w="846" w:type="dxa"/>
            <w:vMerge/>
            <w:shd w:val="clear" w:color="auto" w:fill="auto"/>
            <w:noWrap/>
            <w:vAlign w:val="bottom"/>
            <w:hideMark/>
          </w:tcPr>
          <w:p w14:paraId="1D998E79" w14:textId="77777777" w:rsidR="00096D69" w:rsidRPr="005C4564" w:rsidRDefault="00096D69"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6FB7DDE"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3</w:t>
            </w:r>
          </w:p>
        </w:tc>
        <w:tc>
          <w:tcPr>
            <w:tcW w:w="2745" w:type="dxa"/>
            <w:shd w:val="clear" w:color="auto" w:fill="auto"/>
            <w:noWrap/>
            <w:vAlign w:val="bottom"/>
            <w:hideMark/>
          </w:tcPr>
          <w:p w14:paraId="1918732F"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All leave compulsory IM</w:t>
            </w:r>
          </w:p>
        </w:tc>
        <w:tc>
          <w:tcPr>
            <w:tcW w:w="2693" w:type="dxa"/>
            <w:shd w:val="clear" w:color="auto" w:fill="auto"/>
            <w:noWrap/>
            <w:vAlign w:val="bottom"/>
            <w:hideMark/>
          </w:tcPr>
          <w:p w14:paraId="5A079B21" w14:textId="77777777" w:rsidR="00096D69" w:rsidRPr="00043626" w:rsidRDefault="00096D69"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xml:space="preserve">Compulsory IM program ceases </w:t>
            </w:r>
          </w:p>
        </w:tc>
        <w:tc>
          <w:tcPr>
            <w:tcW w:w="775" w:type="dxa"/>
            <w:shd w:val="clear" w:color="auto" w:fill="auto"/>
            <w:noWrap/>
            <w:vAlign w:val="bottom"/>
            <w:hideMark/>
          </w:tcPr>
          <w:p w14:paraId="70D71EA5"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7BFA218"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5DBA39D3" w14:textId="77777777" w:rsidR="00096D69" w:rsidRPr="005C4564" w:rsidRDefault="00096D69"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-28200</w:t>
            </w:r>
          </w:p>
        </w:tc>
        <w:tc>
          <w:tcPr>
            <w:tcW w:w="851" w:type="dxa"/>
            <w:shd w:val="clear" w:color="auto" w:fill="auto"/>
            <w:noWrap/>
            <w:vAlign w:val="bottom"/>
            <w:hideMark/>
          </w:tcPr>
          <w:p w14:paraId="4C493BF4"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08DD37D"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4BF71FB3"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2880631"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76282C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9400B99"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909B75C"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096D69" w:rsidRPr="005C4564" w14:paraId="227619CE" w14:textId="77777777" w:rsidTr="00B901B6">
        <w:trPr>
          <w:trHeight w:val="300"/>
        </w:trPr>
        <w:tc>
          <w:tcPr>
            <w:tcW w:w="846" w:type="dxa"/>
            <w:vMerge/>
            <w:shd w:val="clear" w:color="auto" w:fill="auto"/>
            <w:noWrap/>
            <w:vAlign w:val="bottom"/>
            <w:hideMark/>
          </w:tcPr>
          <w:p w14:paraId="1749EFA6" w14:textId="77777777" w:rsidR="00096D69" w:rsidRPr="005C4564" w:rsidRDefault="00096D69"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0A7B82F5" w14:textId="77777777" w:rsidR="00096D69" w:rsidRPr="005C4564" w:rsidRDefault="00096D69"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auto" w:fill="auto"/>
            <w:noWrap/>
            <w:vAlign w:val="bottom"/>
            <w:hideMark/>
          </w:tcPr>
          <w:p w14:paraId="3F5BA7B4"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TOTAL by end of year</w:t>
            </w:r>
          </w:p>
        </w:tc>
        <w:tc>
          <w:tcPr>
            <w:tcW w:w="2693" w:type="dxa"/>
            <w:shd w:val="clear" w:color="auto" w:fill="auto"/>
            <w:noWrap/>
            <w:vAlign w:val="bottom"/>
            <w:hideMark/>
          </w:tcPr>
          <w:p w14:paraId="3A3D6ECC" w14:textId="77777777" w:rsidR="00096D69" w:rsidRPr="00043626" w:rsidRDefault="00096D69"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w:t>
            </w:r>
          </w:p>
        </w:tc>
        <w:tc>
          <w:tcPr>
            <w:tcW w:w="775" w:type="dxa"/>
            <w:shd w:val="clear" w:color="auto" w:fill="auto"/>
            <w:noWrap/>
            <w:vAlign w:val="bottom"/>
            <w:hideMark/>
          </w:tcPr>
          <w:p w14:paraId="61D049BF"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28200</w:t>
            </w:r>
          </w:p>
        </w:tc>
        <w:tc>
          <w:tcPr>
            <w:tcW w:w="851" w:type="dxa"/>
            <w:shd w:val="clear" w:color="auto" w:fill="auto"/>
            <w:noWrap/>
            <w:vAlign w:val="bottom"/>
            <w:hideMark/>
          </w:tcPr>
          <w:p w14:paraId="0EAA02BA"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28200</w:t>
            </w:r>
          </w:p>
        </w:tc>
        <w:tc>
          <w:tcPr>
            <w:tcW w:w="850" w:type="dxa"/>
            <w:shd w:val="clear" w:color="auto" w:fill="auto"/>
            <w:noWrap/>
            <w:vAlign w:val="bottom"/>
            <w:hideMark/>
          </w:tcPr>
          <w:p w14:paraId="2B3740FC"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01C4CBDB"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75CD4EE5"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6058AC31"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44D2AE17"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616D7D79"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0" w:type="dxa"/>
            <w:shd w:val="clear" w:color="auto" w:fill="auto"/>
            <w:noWrap/>
            <w:vAlign w:val="bottom"/>
            <w:hideMark/>
          </w:tcPr>
          <w:p w14:paraId="407371FC"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c>
          <w:tcPr>
            <w:tcW w:w="851" w:type="dxa"/>
            <w:shd w:val="clear" w:color="auto" w:fill="auto"/>
            <w:noWrap/>
            <w:vAlign w:val="bottom"/>
            <w:hideMark/>
          </w:tcPr>
          <w:p w14:paraId="27E8A106" w14:textId="77777777" w:rsidR="00096D69" w:rsidRPr="005C4564" w:rsidRDefault="00096D69"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0</w:t>
            </w:r>
          </w:p>
        </w:tc>
      </w:tr>
      <w:tr w:rsidR="00652C51" w:rsidRPr="005C4564" w14:paraId="340644FC" w14:textId="77777777" w:rsidTr="00B901B6">
        <w:trPr>
          <w:trHeight w:val="300"/>
        </w:trPr>
        <w:tc>
          <w:tcPr>
            <w:tcW w:w="846" w:type="dxa"/>
            <w:shd w:val="clear" w:color="000000" w:fill="D9D9D9"/>
            <w:noWrap/>
            <w:vAlign w:val="bottom"/>
            <w:hideMark/>
          </w:tcPr>
          <w:p w14:paraId="27C8B74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941" w:type="dxa"/>
            <w:shd w:val="clear" w:color="000000" w:fill="D9D9D9"/>
            <w:noWrap/>
            <w:vAlign w:val="bottom"/>
            <w:hideMark/>
          </w:tcPr>
          <w:p w14:paraId="5A2BBE3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000000" w:fill="D9D9D9"/>
            <w:noWrap/>
            <w:vAlign w:val="bottom"/>
            <w:hideMark/>
          </w:tcPr>
          <w:p w14:paraId="5B2C1565"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 </w:t>
            </w:r>
          </w:p>
        </w:tc>
        <w:tc>
          <w:tcPr>
            <w:tcW w:w="2693" w:type="dxa"/>
            <w:shd w:val="clear" w:color="000000" w:fill="D9D9D9"/>
            <w:noWrap/>
            <w:vAlign w:val="bottom"/>
            <w:hideMark/>
          </w:tcPr>
          <w:p w14:paraId="453DBB5A" w14:textId="77777777" w:rsidR="00652C51" w:rsidRPr="00043626" w:rsidRDefault="00652C51"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w:t>
            </w:r>
          </w:p>
        </w:tc>
        <w:tc>
          <w:tcPr>
            <w:tcW w:w="775" w:type="dxa"/>
            <w:shd w:val="clear" w:color="000000" w:fill="D9D9D9"/>
            <w:noWrap/>
            <w:vAlign w:val="bottom"/>
            <w:hideMark/>
          </w:tcPr>
          <w:p w14:paraId="6C49489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5273452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2B30400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7515577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4EC91A9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140CF84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509DA032"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4A17874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000000" w:fill="D9D9D9"/>
            <w:noWrap/>
            <w:vAlign w:val="bottom"/>
            <w:hideMark/>
          </w:tcPr>
          <w:p w14:paraId="03ADF5A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000000" w:fill="D9D9D9"/>
            <w:noWrap/>
            <w:vAlign w:val="bottom"/>
            <w:hideMark/>
          </w:tcPr>
          <w:p w14:paraId="43B5E45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518D390E" w14:textId="77777777" w:rsidTr="00D17AC2">
        <w:trPr>
          <w:trHeight w:val="300"/>
        </w:trPr>
        <w:tc>
          <w:tcPr>
            <w:tcW w:w="846" w:type="dxa"/>
            <w:vMerge w:val="restart"/>
            <w:shd w:val="clear" w:color="auto" w:fill="auto"/>
            <w:noWrap/>
            <w:vAlign w:val="center"/>
            <w:hideMark/>
          </w:tcPr>
          <w:p w14:paraId="6243E5B3" w14:textId="16A81EBB" w:rsidR="00652C51" w:rsidRPr="00D17AC2" w:rsidRDefault="00D17AC2" w:rsidP="00F448CF">
            <w:pPr>
              <w:spacing w:after="0" w:line="240" w:lineRule="auto"/>
              <w:rPr>
                <w:rFonts w:eastAsia="Times New Roman" w:cstheme="minorHAnsi"/>
                <w:b/>
                <w:bCs/>
                <w:color w:val="000000"/>
                <w:sz w:val="16"/>
                <w:szCs w:val="16"/>
                <w:lang w:eastAsia="en-AU"/>
              </w:rPr>
            </w:pPr>
            <w:r>
              <w:rPr>
                <w:rFonts w:eastAsia="Times New Roman" w:cstheme="minorHAnsi"/>
                <w:b/>
                <w:bCs/>
                <w:color w:val="000000"/>
                <w:sz w:val="16"/>
                <w:szCs w:val="16"/>
                <w:lang w:eastAsia="en-AU"/>
              </w:rPr>
              <w:t>Vol IM</w:t>
            </w:r>
            <w:r w:rsidR="00652C51" w:rsidRPr="005C4564">
              <w:rPr>
                <w:rFonts w:eastAsia="Times New Roman" w:cstheme="minorHAnsi"/>
                <w:color w:val="000000"/>
                <w:sz w:val="16"/>
                <w:szCs w:val="16"/>
                <w:lang w:eastAsia="en-AU"/>
              </w:rPr>
              <w:t> </w:t>
            </w:r>
          </w:p>
        </w:tc>
        <w:tc>
          <w:tcPr>
            <w:tcW w:w="941" w:type="dxa"/>
            <w:shd w:val="clear" w:color="auto" w:fill="auto"/>
            <w:noWrap/>
            <w:vAlign w:val="bottom"/>
            <w:hideMark/>
          </w:tcPr>
          <w:p w14:paraId="61CFDD0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auto" w:fill="auto"/>
            <w:noWrap/>
            <w:vAlign w:val="bottom"/>
            <w:hideMark/>
          </w:tcPr>
          <w:p w14:paraId="7E5FC0BD"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Start at beginning of each year</w:t>
            </w:r>
          </w:p>
        </w:tc>
        <w:tc>
          <w:tcPr>
            <w:tcW w:w="2693" w:type="dxa"/>
            <w:shd w:val="clear" w:color="auto" w:fill="auto"/>
            <w:noWrap/>
            <w:vAlign w:val="bottom"/>
            <w:hideMark/>
          </w:tcPr>
          <w:p w14:paraId="3A721962" w14:textId="77777777" w:rsidR="00652C51" w:rsidRPr="00043626" w:rsidRDefault="00652C51"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w:t>
            </w:r>
          </w:p>
        </w:tc>
        <w:tc>
          <w:tcPr>
            <w:tcW w:w="775" w:type="dxa"/>
            <w:shd w:val="clear" w:color="auto" w:fill="auto"/>
            <w:noWrap/>
            <w:vAlign w:val="bottom"/>
            <w:hideMark/>
          </w:tcPr>
          <w:p w14:paraId="46448ED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1" w:type="dxa"/>
            <w:shd w:val="clear" w:color="auto" w:fill="auto"/>
            <w:noWrap/>
            <w:vAlign w:val="bottom"/>
            <w:hideMark/>
          </w:tcPr>
          <w:p w14:paraId="4F29419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500</w:t>
            </w:r>
          </w:p>
        </w:tc>
        <w:tc>
          <w:tcPr>
            <w:tcW w:w="850" w:type="dxa"/>
            <w:shd w:val="clear" w:color="auto" w:fill="auto"/>
            <w:noWrap/>
            <w:vAlign w:val="bottom"/>
            <w:hideMark/>
          </w:tcPr>
          <w:p w14:paraId="7CC7575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500</w:t>
            </w:r>
          </w:p>
        </w:tc>
        <w:tc>
          <w:tcPr>
            <w:tcW w:w="851" w:type="dxa"/>
            <w:shd w:val="clear" w:color="auto" w:fill="auto"/>
            <w:noWrap/>
            <w:vAlign w:val="bottom"/>
            <w:hideMark/>
          </w:tcPr>
          <w:p w14:paraId="066E71A3"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0" w:type="dxa"/>
            <w:shd w:val="clear" w:color="auto" w:fill="auto"/>
            <w:noWrap/>
            <w:vAlign w:val="bottom"/>
            <w:hideMark/>
          </w:tcPr>
          <w:p w14:paraId="560A2333"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1" w:type="dxa"/>
            <w:shd w:val="clear" w:color="auto" w:fill="auto"/>
            <w:noWrap/>
            <w:vAlign w:val="bottom"/>
            <w:hideMark/>
          </w:tcPr>
          <w:p w14:paraId="5DF54314"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0" w:type="dxa"/>
            <w:shd w:val="clear" w:color="auto" w:fill="auto"/>
            <w:noWrap/>
            <w:vAlign w:val="bottom"/>
            <w:hideMark/>
          </w:tcPr>
          <w:p w14:paraId="251B3128"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1" w:type="dxa"/>
            <w:shd w:val="clear" w:color="auto" w:fill="auto"/>
            <w:noWrap/>
            <w:vAlign w:val="bottom"/>
            <w:hideMark/>
          </w:tcPr>
          <w:p w14:paraId="1F398BAC"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0" w:type="dxa"/>
            <w:shd w:val="clear" w:color="auto" w:fill="auto"/>
            <w:noWrap/>
            <w:vAlign w:val="bottom"/>
            <w:hideMark/>
          </w:tcPr>
          <w:p w14:paraId="7DB00B8A"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c>
          <w:tcPr>
            <w:tcW w:w="851" w:type="dxa"/>
            <w:shd w:val="clear" w:color="auto" w:fill="auto"/>
            <w:noWrap/>
            <w:vAlign w:val="bottom"/>
            <w:hideMark/>
          </w:tcPr>
          <w:p w14:paraId="65B7A6F7" w14:textId="77777777" w:rsidR="00652C51" w:rsidRPr="005C4564" w:rsidRDefault="00652C51" w:rsidP="00F448CF">
            <w:pPr>
              <w:spacing w:after="0" w:line="240" w:lineRule="auto"/>
              <w:rPr>
                <w:rFonts w:eastAsia="Times New Roman" w:cstheme="minorHAnsi"/>
                <w:color w:val="FF0000"/>
                <w:sz w:val="16"/>
                <w:szCs w:val="16"/>
                <w:lang w:eastAsia="en-AU"/>
              </w:rPr>
            </w:pPr>
            <w:r w:rsidRPr="005C4564">
              <w:rPr>
                <w:rFonts w:eastAsia="Times New Roman" w:cstheme="minorHAnsi"/>
                <w:color w:val="FF0000"/>
                <w:sz w:val="16"/>
                <w:szCs w:val="16"/>
                <w:lang w:eastAsia="en-AU"/>
              </w:rPr>
              <w:t>7550</w:t>
            </w:r>
          </w:p>
        </w:tc>
      </w:tr>
      <w:tr w:rsidR="00652C51" w:rsidRPr="005C4564" w14:paraId="10B50833" w14:textId="77777777" w:rsidTr="00C66D2A">
        <w:trPr>
          <w:trHeight w:val="300"/>
        </w:trPr>
        <w:tc>
          <w:tcPr>
            <w:tcW w:w="846" w:type="dxa"/>
            <w:vMerge/>
            <w:shd w:val="clear" w:color="auto" w:fill="auto"/>
            <w:noWrap/>
            <w:vAlign w:val="bottom"/>
            <w:hideMark/>
          </w:tcPr>
          <w:p w14:paraId="31D2BA6F"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7C4700D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1</w:t>
            </w:r>
          </w:p>
        </w:tc>
        <w:tc>
          <w:tcPr>
            <w:tcW w:w="2745" w:type="dxa"/>
            <w:shd w:val="clear" w:color="auto" w:fill="auto"/>
            <w:noWrap/>
            <w:hideMark/>
          </w:tcPr>
          <w:p w14:paraId="4AF789F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Vol IM from CDC</w:t>
            </w:r>
          </w:p>
        </w:tc>
        <w:tc>
          <w:tcPr>
            <w:tcW w:w="2693" w:type="dxa"/>
            <w:shd w:val="clear" w:color="auto" w:fill="auto"/>
            <w:noWrap/>
            <w:vAlign w:val="bottom"/>
            <w:hideMark/>
          </w:tcPr>
          <w:p w14:paraId="15740D51" w14:textId="77777777" w:rsidR="00652C51" w:rsidRPr="00043626" w:rsidRDefault="0080357D" w:rsidP="00EE0170">
            <w:pPr>
              <w:spacing w:after="0" w:line="240" w:lineRule="auto"/>
              <w:rPr>
                <w:rFonts w:eastAsia="Times New Roman" w:cstheme="minorHAnsi"/>
                <w:color w:val="auto"/>
                <w:sz w:val="16"/>
                <w:szCs w:val="16"/>
                <w:lang w:eastAsia="en-AU"/>
              </w:rPr>
            </w:pPr>
            <w:r w:rsidRPr="0088698E">
              <w:rPr>
                <w:rFonts w:eastAsia="Times New Roman" w:cstheme="minorHAnsi"/>
                <w:color w:val="auto"/>
                <w:sz w:val="16"/>
                <w:szCs w:val="16"/>
                <w:lang w:eastAsia="en-AU"/>
              </w:rPr>
              <w:t>10 to 11 percent of the population of CDC participants after removing participants from NT and Cape York</w:t>
            </w:r>
            <w:r w:rsidR="00EE0170" w:rsidRPr="0088698E">
              <w:rPr>
                <w:rFonts w:eastAsia="Times New Roman" w:cstheme="minorHAnsi"/>
                <w:color w:val="auto"/>
                <w:sz w:val="16"/>
                <w:szCs w:val="16"/>
                <w:lang w:eastAsia="en-AU"/>
              </w:rPr>
              <w:t xml:space="preserve"> and BHB</w:t>
            </w:r>
            <w:r w:rsidRPr="0088698E">
              <w:rPr>
                <w:rFonts w:eastAsia="Times New Roman" w:cstheme="minorHAnsi"/>
                <w:color w:val="auto"/>
                <w:sz w:val="16"/>
                <w:szCs w:val="16"/>
                <w:lang w:eastAsia="en-AU"/>
              </w:rPr>
              <w:t xml:space="preserve"> </w:t>
            </w:r>
            <w:r w:rsidR="00EE0170" w:rsidRPr="0088698E">
              <w:rPr>
                <w:rFonts w:eastAsia="Times New Roman" w:cstheme="minorHAnsi"/>
                <w:color w:val="auto"/>
                <w:sz w:val="16"/>
                <w:szCs w:val="16"/>
                <w:lang w:eastAsia="en-AU"/>
              </w:rPr>
              <w:t>and outside of area.</w:t>
            </w:r>
          </w:p>
        </w:tc>
        <w:tc>
          <w:tcPr>
            <w:tcW w:w="775" w:type="dxa"/>
            <w:shd w:val="clear" w:color="auto" w:fill="auto"/>
            <w:noWrap/>
            <w:vAlign w:val="bottom"/>
            <w:hideMark/>
          </w:tcPr>
          <w:p w14:paraId="202F8E5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400</w:t>
            </w:r>
          </w:p>
        </w:tc>
        <w:tc>
          <w:tcPr>
            <w:tcW w:w="851" w:type="dxa"/>
            <w:shd w:val="clear" w:color="auto" w:fill="auto"/>
            <w:noWrap/>
            <w:vAlign w:val="bottom"/>
            <w:hideMark/>
          </w:tcPr>
          <w:p w14:paraId="5B74054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0CFC648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49A9EED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173D108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CB054D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3B3029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757614F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E0F52F2"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CEDFAA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0B14F448" w14:textId="77777777" w:rsidTr="00C66D2A">
        <w:trPr>
          <w:trHeight w:val="300"/>
        </w:trPr>
        <w:tc>
          <w:tcPr>
            <w:tcW w:w="846" w:type="dxa"/>
            <w:vMerge/>
            <w:shd w:val="clear" w:color="auto" w:fill="auto"/>
            <w:noWrap/>
            <w:vAlign w:val="bottom"/>
            <w:hideMark/>
          </w:tcPr>
          <w:p w14:paraId="0C083CDC"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33137D7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1</w:t>
            </w:r>
          </w:p>
        </w:tc>
        <w:tc>
          <w:tcPr>
            <w:tcW w:w="2745" w:type="dxa"/>
            <w:shd w:val="clear" w:color="auto" w:fill="auto"/>
            <w:noWrap/>
            <w:hideMark/>
          </w:tcPr>
          <w:p w14:paraId="0DC12B4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'100 for Cape York'</w:t>
            </w:r>
          </w:p>
        </w:tc>
        <w:tc>
          <w:tcPr>
            <w:tcW w:w="2693" w:type="dxa"/>
            <w:shd w:val="clear" w:color="auto" w:fill="auto"/>
            <w:noWrap/>
            <w:vAlign w:val="bottom"/>
            <w:hideMark/>
          </w:tcPr>
          <w:p w14:paraId="46A51B1A" w14:textId="77777777" w:rsidR="00652C51" w:rsidRPr="00043626" w:rsidRDefault="00652C51"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xml:space="preserve">All Cape York transitions </w:t>
            </w:r>
          </w:p>
        </w:tc>
        <w:tc>
          <w:tcPr>
            <w:tcW w:w="775" w:type="dxa"/>
            <w:shd w:val="clear" w:color="auto" w:fill="auto"/>
            <w:noWrap/>
            <w:vAlign w:val="bottom"/>
            <w:hideMark/>
          </w:tcPr>
          <w:p w14:paraId="470DA10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100</w:t>
            </w:r>
          </w:p>
        </w:tc>
        <w:tc>
          <w:tcPr>
            <w:tcW w:w="851" w:type="dxa"/>
            <w:shd w:val="clear" w:color="auto" w:fill="auto"/>
            <w:noWrap/>
            <w:vAlign w:val="bottom"/>
            <w:hideMark/>
          </w:tcPr>
          <w:p w14:paraId="70E6F7D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7BF91D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B4B5DC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555A096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7A280B1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D3E343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665168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F1E84C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0D8753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6FCA269E" w14:textId="77777777" w:rsidTr="00C66D2A">
        <w:trPr>
          <w:trHeight w:val="351"/>
        </w:trPr>
        <w:tc>
          <w:tcPr>
            <w:tcW w:w="846" w:type="dxa"/>
            <w:vMerge/>
            <w:shd w:val="clear" w:color="auto" w:fill="auto"/>
            <w:noWrap/>
            <w:vAlign w:val="bottom"/>
            <w:hideMark/>
          </w:tcPr>
          <w:p w14:paraId="3DEC1DF6"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646475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3</w:t>
            </w:r>
          </w:p>
        </w:tc>
        <w:tc>
          <w:tcPr>
            <w:tcW w:w="2745" w:type="dxa"/>
            <w:shd w:val="clear" w:color="auto" w:fill="auto"/>
            <w:noWrap/>
            <w:hideMark/>
          </w:tcPr>
          <w:p w14:paraId="712C869C"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'4,000 who continue to volunteer'</w:t>
            </w:r>
          </w:p>
        </w:tc>
        <w:tc>
          <w:tcPr>
            <w:tcW w:w="2693" w:type="dxa"/>
            <w:shd w:val="clear" w:color="auto" w:fill="auto"/>
            <w:noWrap/>
            <w:vAlign w:val="bottom"/>
            <w:hideMark/>
          </w:tcPr>
          <w:p w14:paraId="543507FB" w14:textId="77777777" w:rsidR="00652C51" w:rsidRPr="00043626" w:rsidRDefault="00752E21" w:rsidP="00F448CF">
            <w:pPr>
              <w:spacing w:after="0" w:line="240" w:lineRule="auto"/>
              <w:rPr>
                <w:rFonts w:eastAsia="Times New Roman" w:cstheme="minorHAnsi"/>
                <w:color w:val="auto"/>
                <w:sz w:val="16"/>
                <w:szCs w:val="16"/>
                <w:lang w:eastAsia="en-AU"/>
              </w:rPr>
            </w:pPr>
            <w:r>
              <w:rPr>
                <w:rFonts w:eastAsia="Times New Roman" w:cstheme="minorHAnsi"/>
                <w:color w:val="auto"/>
                <w:sz w:val="16"/>
                <w:szCs w:val="16"/>
                <w:lang w:eastAsia="en-AU"/>
              </w:rPr>
              <w:t>14</w:t>
            </w:r>
            <w:r w:rsidR="00652C51" w:rsidRPr="00043626">
              <w:rPr>
                <w:rFonts w:eastAsia="Times New Roman" w:cstheme="minorHAnsi"/>
                <w:color w:val="auto"/>
                <w:sz w:val="16"/>
                <w:szCs w:val="16"/>
                <w:lang w:eastAsia="en-AU"/>
              </w:rPr>
              <w:t>% of IM and CDC</w:t>
            </w:r>
            <w:r>
              <w:rPr>
                <w:rFonts w:eastAsia="Times New Roman" w:cstheme="minorHAnsi"/>
                <w:color w:val="auto"/>
                <w:sz w:val="16"/>
                <w:szCs w:val="16"/>
                <w:lang w:eastAsia="en-AU"/>
              </w:rPr>
              <w:t xml:space="preserve"> participants in the NT who revert to IM in year 1. </w:t>
            </w:r>
          </w:p>
        </w:tc>
        <w:tc>
          <w:tcPr>
            <w:tcW w:w="775" w:type="dxa"/>
            <w:shd w:val="clear" w:color="auto" w:fill="auto"/>
            <w:noWrap/>
            <w:vAlign w:val="bottom"/>
            <w:hideMark/>
          </w:tcPr>
          <w:p w14:paraId="1180050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774D6CA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04F1D3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4000</w:t>
            </w:r>
          </w:p>
        </w:tc>
        <w:tc>
          <w:tcPr>
            <w:tcW w:w="851" w:type="dxa"/>
            <w:shd w:val="clear" w:color="auto" w:fill="auto"/>
            <w:noWrap/>
            <w:vAlign w:val="bottom"/>
            <w:hideMark/>
          </w:tcPr>
          <w:p w14:paraId="26207DE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78AE64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6B1FA9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4E6DB1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7705E6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7CE21C62"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0967D7B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4896DF32" w14:textId="77777777" w:rsidTr="00C66D2A">
        <w:trPr>
          <w:trHeight w:val="300"/>
        </w:trPr>
        <w:tc>
          <w:tcPr>
            <w:tcW w:w="846" w:type="dxa"/>
            <w:vMerge/>
            <w:shd w:val="clear" w:color="auto" w:fill="auto"/>
            <w:noWrap/>
            <w:vAlign w:val="bottom"/>
            <w:hideMark/>
          </w:tcPr>
          <w:p w14:paraId="393877A1"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46523B9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3</w:t>
            </w:r>
          </w:p>
        </w:tc>
        <w:tc>
          <w:tcPr>
            <w:tcW w:w="2745" w:type="dxa"/>
            <w:shd w:val="clear" w:color="auto" w:fill="auto"/>
            <w:noWrap/>
            <w:hideMark/>
          </w:tcPr>
          <w:p w14:paraId="5BC61E5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'National IM volunteers'</w:t>
            </w:r>
          </w:p>
        </w:tc>
        <w:tc>
          <w:tcPr>
            <w:tcW w:w="2693" w:type="dxa"/>
            <w:shd w:val="clear" w:color="auto" w:fill="auto"/>
            <w:noWrap/>
            <w:vAlign w:val="bottom"/>
            <w:hideMark/>
          </w:tcPr>
          <w:p w14:paraId="5A862EA4" w14:textId="77777777" w:rsidR="00652C51" w:rsidRPr="00043626" w:rsidRDefault="002E3D1D" w:rsidP="002E3D1D">
            <w:pPr>
              <w:spacing w:after="0" w:line="240" w:lineRule="auto"/>
              <w:rPr>
                <w:rFonts w:eastAsia="Times New Roman" w:cstheme="minorHAnsi"/>
                <w:color w:val="auto"/>
                <w:sz w:val="16"/>
                <w:szCs w:val="16"/>
                <w:lang w:eastAsia="en-AU"/>
              </w:rPr>
            </w:pPr>
            <w:r>
              <w:rPr>
                <w:rFonts w:eastAsia="Times New Roman" w:cstheme="minorHAnsi"/>
                <w:color w:val="auto"/>
                <w:sz w:val="16"/>
                <w:szCs w:val="16"/>
                <w:lang w:eastAsia="en-AU"/>
              </w:rPr>
              <w:t>W</w:t>
            </w:r>
            <w:r w:rsidR="004032E8" w:rsidRPr="004032E8">
              <w:rPr>
                <w:rFonts w:eastAsia="Times New Roman" w:cstheme="minorHAnsi"/>
                <w:color w:val="auto"/>
                <w:sz w:val="16"/>
                <w:szCs w:val="16"/>
                <w:lang w:eastAsia="en-AU"/>
              </w:rPr>
              <w:t>ho will volunteer from sites other than the current CDC and IM designated sites.</w:t>
            </w:r>
            <w:r>
              <w:rPr>
                <w:rFonts w:eastAsia="Times New Roman" w:cstheme="minorHAnsi"/>
                <w:color w:val="auto"/>
                <w:sz w:val="16"/>
                <w:szCs w:val="16"/>
                <w:lang w:eastAsia="en-AU"/>
              </w:rPr>
              <w:t xml:space="preserve"> This figure is approximately a third of the expected volunteers from CDC and IM sites reflecting other sites have no experience with the program. </w:t>
            </w:r>
          </w:p>
        </w:tc>
        <w:tc>
          <w:tcPr>
            <w:tcW w:w="775" w:type="dxa"/>
            <w:shd w:val="clear" w:color="auto" w:fill="auto"/>
            <w:noWrap/>
            <w:vAlign w:val="bottom"/>
            <w:hideMark/>
          </w:tcPr>
          <w:p w14:paraId="68B8374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7E2D4F4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2B46F7EA"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1600</w:t>
            </w:r>
            <w:r w:rsidR="00A73CE6">
              <w:rPr>
                <w:rFonts w:eastAsia="Times New Roman" w:cstheme="minorHAnsi"/>
                <w:color w:val="000000"/>
                <w:sz w:val="16"/>
                <w:szCs w:val="16"/>
                <w:lang w:eastAsia="en-AU"/>
              </w:rPr>
              <w:t>*</w:t>
            </w:r>
          </w:p>
        </w:tc>
        <w:tc>
          <w:tcPr>
            <w:tcW w:w="851" w:type="dxa"/>
            <w:shd w:val="clear" w:color="auto" w:fill="auto"/>
            <w:noWrap/>
            <w:vAlign w:val="bottom"/>
            <w:hideMark/>
          </w:tcPr>
          <w:p w14:paraId="5CA18A92"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C4DF69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5F9690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1C3FF70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5CF4C98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5E4B8F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22985237"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306006B0" w14:textId="77777777" w:rsidTr="00C66D2A">
        <w:trPr>
          <w:trHeight w:val="300"/>
        </w:trPr>
        <w:tc>
          <w:tcPr>
            <w:tcW w:w="846" w:type="dxa"/>
            <w:vMerge/>
            <w:shd w:val="clear" w:color="auto" w:fill="auto"/>
            <w:noWrap/>
            <w:vAlign w:val="bottom"/>
            <w:hideMark/>
          </w:tcPr>
          <w:p w14:paraId="5EFD6B7C"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3B116A9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3</w:t>
            </w:r>
          </w:p>
        </w:tc>
        <w:tc>
          <w:tcPr>
            <w:tcW w:w="2745" w:type="dxa"/>
            <w:shd w:val="clear" w:color="auto" w:fill="auto"/>
            <w:noWrap/>
            <w:hideMark/>
          </w:tcPr>
          <w:p w14:paraId="2632BD9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'1340 for a new community referral'</w:t>
            </w:r>
          </w:p>
        </w:tc>
        <w:tc>
          <w:tcPr>
            <w:tcW w:w="2693" w:type="dxa"/>
            <w:shd w:val="clear" w:color="auto" w:fill="auto"/>
            <w:noWrap/>
            <w:vAlign w:val="bottom"/>
            <w:hideMark/>
          </w:tcPr>
          <w:p w14:paraId="03A0B73B" w14:textId="77777777" w:rsidR="00652C51" w:rsidRPr="00043626" w:rsidRDefault="00652C51" w:rsidP="00B901B6">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xml:space="preserve">One 'medium sized' community </w:t>
            </w:r>
          </w:p>
        </w:tc>
        <w:tc>
          <w:tcPr>
            <w:tcW w:w="775" w:type="dxa"/>
            <w:shd w:val="clear" w:color="auto" w:fill="auto"/>
            <w:noWrap/>
            <w:vAlign w:val="bottom"/>
            <w:hideMark/>
          </w:tcPr>
          <w:p w14:paraId="47A216B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04D7059"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25DBDD5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1340</w:t>
            </w:r>
            <w:r w:rsidR="00A73CE6">
              <w:rPr>
                <w:rFonts w:eastAsia="Times New Roman" w:cstheme="minorHAnsi"/>
                <w:color w:val="000000"/>
                <w:sz w:val="16"/>
                <w:szCs w:val="16"/>
                <w:lang w:eastAsia="en-AU"/>
              </w:rPr>
              <w:t>*</w:t>
            </w:r>
          </w:p>
        </w:tc>
        <w:tc>
          <w:tcPr>
            <w:tcW w:w="851" w:type="dxa"/>
            <w:shd w:val="clear" w:color="auto" w:fill="auto"/>
            <w:noWrap/>
            <w:vAlign w:val="bottom"/>
            <w:hideMark/>
          </w:tcPr>
          <w:p w14:paraId="7EC68E9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2258539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318B14D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FAAEE7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B8B493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98376E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5374514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3772782D" w14:textId="77777777" w:rsidTr="00C66D2A">
        <w:trPr>
          <w:trHeight w:val="300"/>
        </w:trPr>
        <w:tc>
          <w:tcPr>
            <w:tcW w:w="846" w:type="dxa"/>
            <w:vMerge/>
            <w:shd w:val="clear" w:color="auto" w:fill="auto"/>
            <w:noWrap/>
            <w:vAlign w:val="bottom"/>
            <w:hideMark/>
          </w:tcPr>
          <w:p w14:paraId="6EED503F"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212C779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3</w:t>
            </w:r>
          </w:p>
        </w:tc>
        <w:tc>
          <w:tcPr>
            <w:tcW w:w="2745" w:type="dxa"/>
            <w:shd w:val="clear" w:color="auto" w:fill="auto"/>
            <w:noWrap/>
            <w:hideMark/>
          </w:tcPr>
          <w:p w14:paraId="41F4117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Add '110 SPaR and Child Protection'</w:t>
            </w:r>
          </w:p>
        </w:tc>
        <w:tc>
          <w:tcPr>
            <w:tcW w:w="2693" w:type="dxa"/>
            <w:shd w:val="clear" w:color="auto" w:fill="auto"/>
            <w:noWrap/>
            <w:vAlign w:val="bottom"/>
            <w:hideMark/>
          </w:tcPr>
          <w:p w14:paraId="4B4E5AD1" w14:textId="77777777" w:rsidR="00652C51" w:rsidRPr="00043626" w:rsidRDefault="00652C51" w:rsidP="00B901B6">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 xml:space="preserve">Based on current </w:t>
            </w:r>
            <w:r w:rsidR="00B901B6" w:rsidRPr="00043626">
              <w:rPr>
                <w:rFonts w:eastAsia="Times New Roman" w:cstheme="minorHAnsi"/>
                <w:color w:val="auto"/>
                <w:sz w:val="16"/>
                <w:szCs w:val="16"/>
                <w:lang w:eastAsia="en-AU"/>
              </w:rPr>
              <w:t>no.</w:t>
            </w:r>
            <w:r w:rsidRPr="00043626">
              <w:rPr>
                <w:rFonts w:eastAsia="Times New Roman" w:cstheme="minorHAnsi"/>
                <w:color w:val="auto"/>
                <w:sz w:val="16"/>
                <w:szCs w:val="16"/>
                <w:lang w:eastAsia="en-AU"/>
              </w:rPr>
              <w:t xml:space="preserve"> of participants</w:t>
            </w:r>
          </w:p>
        </w:tc>
        <w:tc>
          <w:tcPr>
            <w:tcW w:w="775" w:type="dxa"/>
            <w:shd w:val="clear" w:color="auto" w:fill="auto"/>
            <w:noWrap/>
            <w:vAlign w:val="bottom"/>
            <w:hideMark/>
          </w:tcPr>
          <w:p w14:paraId="17FEEF4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2A2F1B9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C432A2D"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110</w:t>
            </w:r>
            <w:r w:rsidR="00A73CE6">
              <w:rPr>
                <w:rFonts w:eastAsia="Times New Roman" w:cstheme="minorHAnsi"/>
                <w:color w:val="000000"/>
                <w:sz w:val="16"/>
                <w:szCs w:val="16"/>
                <w:lang w:eastAsia="en-AU"/>
              </w:rPr>
              <w:t>*</w:t>
            </w:r>
          </w:p>
        </w:tc>
        <w:tc>
          <w:tcPr>
            <w:tcW w:w="851" w:type="dxa"/>
            <w:shd w:val="clear" w:color="auto" w:fill="auto"/>
            <w:noWrap/>
            <w:vAlign w:val="bottom"/>
            <w:hideMark/>
          </w:tcPr>
          <w:p w14:paraId="67B5FFE0"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4C26143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BE21B4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5C3E684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61348AF8"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37C437FE"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7DA4D453"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r>
      <w:tr w:rsidR="00652C51" w:rsidRPr="005C4564" w14:paraId="357B31E4" w14:textId="77777777" w:rsidTr="00C66D2A">
        <w:trPr>
          <w:trHeight w:val="300"/>
        </w:trPr>
        <w:tc>
          <w:tcPr>
            <w:tcW w:w="846" w:type="dxa"/>
            <w:vMerge/>
            <w:shd w:val="clear" w:color="auto" w:fill="auto"/>
            <w:noWrap/>
            <w:vAlign w:val="bottom"/>
            <w:hideMark/>
          </w:tcPr>
          <w:p w14:paraId="3D793249"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6D8AEF7C"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Year 4-10</w:t>
            </w:r>
          </w:p>
        </w:tc>
        <w:tc>
          <w:tcPr>
            <w:tcW w:w="2745" w:type="dxa"/>
            <w:shd w:val="clear" w:color="auto" w:fill="auto"/>
            <w:noWrap/>
            <w:hideMark/>
          </w:tcPr>
          <w:p w14:paraId="06126781"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No change in numbers</w:t>
            </w:r>
          </w:p>
        </w:tc>
        <w:tc>
          <w:tcPr>
            <w:tcW w:w="2693" w:type="dxa"/>
            <w:shd w:val="clear" w:color="auto" w:fill="auto"/>
            <w:noWrap/>
            <w:vAlign w:val="bottom"/>
            <w:hideMark/>
          </w:tcPr>
          <w:p w14:paraId="0B19724B" w14:textId="77777777" w:rsidR="00652C51" w:rsidRPr="00043626" w:rsidRDefault="00652C51" w:rsidP="00F448CF">
            <w:pPr>
              <w:spacing w:after="0" w:line="240" w:lineRule="auto"/>
              <w:rPr>
                <w:rFonts w:eastAsia="Times New Roman" w:cstheme="minorHAnsi"/>
                <w:color w:val="auto"/>
                <w:sz w:val="16"/>
                <w:szCs w:val="16"/>
                <w:lang w:eastAsia="en-AU"/>
              </w:rPr>
            </w:pPr>
            <w:r w:rsidRPr="00043626">
              <w:rPr>
                <w:rFonts w:eastAsia="Times New Roman" w:cstheme="minorHAnsi"/>
                <w:color w:val="auto"/>
                <w:sz w:val="16"/>
                <w:szCs w:val="16"/>
                <w:lang w:eastAsia="en-AU"/>
              </w:rPr>
              <w:t>Assume people leaving = people coming on (approx 15% turnover)</w:t>
            </w:r>
          </w:p>
        </w:tc>
        <w:tc>
          <w:tcPr>
            <w:tcW w:w="775" w:type="dxa"/>
            <w:shd w:val="clear" w:color="auto" w:fill="auto"/>
            <w:noWrap/>
            <w:vAlign w:val="bottom"/>
            <w:hideMark/>
          </w:tcPr>
          <w:p w14:paraId="6A42641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10068CB7"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0" w:type="dxa"/>
            <w:shd w:val="clear" w:color="auto" w:fill="auto"/>
            <w:noWrap/>
            <w:vAlign w:val="bottom"/>
            <w:hideMark/>
          </w:tcPr>
          <w:p w14:paraId="66511175"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851" w:type="dxa"/>
            <w:shd w:val="clear" w:color="auto" w:fill="auto"/>
            <w:noWrap/>
            <w:vAlign w:val="bottom"/>
            <w:hideMark/>
          </w:tcPr>
          <w:p w14:paraId="4F17B28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0" w:type="dxa"/>
            <w:shd w:val="clear" w:color="auto" w:fill="auto"/>
            <w:noWrap/>
            <w:vAlign w:val="bottom"/>
            <w:hideMark/>
          </w:tcPr>
          <w:p w14:paraId="5B29F7DB"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1" w:type="dxa"/>
            <w:shd w:val="clear" w:color="auto" w:fill="auto"/>
            <w:noWrap/>
            <w:vAlign w:val="bottom"/>
            <w:hideMark/>
          </w:tcPr>
          <w:p w14:paraId="74167994"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0" w:type="dxa"/>
            <w:shd w:val="clear" w:color="auto" w:fill="auto"/>
            <w:noWrap/>
            <w:vAlign w:val="bottom"/>
            <w:hideMark/>
          </w:tcPr>
          <w:p w14:paraId="1D43079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1" w:type="dxa"/>
            <w:shd w:val="clear" w:color="auto" w:fill="auto"/>
            <w:noWrap/>
            <w:vAlign w:val="bottom"/>
            <w:hideMark/>
          </w:tcPr>
          <w:p w14:paraId="2F88251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0" w:type="dxa"/>
            <w:shd w:val="clear" w:color="auto" w:fill="auto"/>
            <w:noWrap/>
            <w:vAlign w:val="bottom"/>
            <w:hideMark/>
          </w:tcPr>
          <w:p w14:paraId="1504DF3F"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c>
          <w:tcPr>
            <w:tcW w:w="851" w:type="dxa"/>
            <w:shd w:val="clear" w:color="auto" w:fill="auto"/>
            <w:noWrap/>
            <w:vAlign w:val="bottom"/>
            <w:hideMark/>
          </w:tcPr>
          <w:p w14:paraId="76F5243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0</w:t>
            </w:r>
          </w:p>
        </w:tc>
      </w:tr>
      <w:tr w:rsidR="00652C51" w:rsidRPr="005C4564" w14:paraId="5912F9C2" w14:textId="77777777" w:rsidTr="00B901B6">
        <w:trPr>
          <w:trHeight w:val="300"/>
        </w:trPr>
        <w:tc>
          <w:tcPr>
            <w:tcW w:w="846" w:type="dxa"/>
            <w:vMerge/>
            <w:shd w:val="clear" w:color="auto" w:fill="auto"/>
            <w:noWrap/>
            <w:vAlign w:val="bottom"/>
            <w:hideMark/>
          </w:tcPr>
          <w:p w14:paraId="5235BE7C" w14:textId="77777777" w:rsidR="00652C51" w:rsidRPr="005C4564" w:rsidRDefault="00652C51" w:rsidP="00F448CF">
            <w:pPr>
              <w:spacing w:after="0" w:line="240" w:lineRule="auto"/>
              <w:rPr>
                <w:rFonts w:eastAsia="Times New Roman" w:cstheme="minorHAnsi"/>
                <w:color w:val="000000"/>
                <w:sz w:val="16"/>
                <w:szCs w:val="16"/>
                <w:lang w:eastAsia="en-AU"/>
              </w:rPr>
            </w:pPr>
          </w:p>
        </w:tc>
        <w:tc>
          <w:tcPr>
            <w:tcW w:w="941" w:type="dxa"/>
            <w:shd w:val="clear" w:color="auto" w:fill="auto"/>
            <w:noWrap/>
            <w:vAlign w:val="bottom"/>
            <w:hideMark/>
          </w:tcPr>
          <w:p w14:paraId="72D97FE6" w14:textId="77777777" w:rsidR="00652C51" w:rsidRPr="005C4564" w:rsidRDefault="00652C51" w:rsidP="00F448CF">
            <w:pPr>
              <w:spacing w:after="0" w:line="240" w:lineRule="auto"/>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2745" w:type="dxa"/>
            <w:shd w:val="clear" w:color="auto" w:fill="auto"/>
            <w:noWrap/>
            <w:vAlign w:val="bottom"/>
            <w:hideMark/>
          </w:tcPr>
          <w:p w14:paraId="1D0C8721"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TOTAL by end of year</w:t>
            </w:r>
          </w:p>
        </w:tc>
        <w:tc>
          <w:tcPr>
            <w:tcW w:w="2693" w:type="dxa"/>
            <w:shd w:val="clear" w:color="auto" w:fill="auto"/>
            <w:noWrap/>
            <w:vAlign w:val="bottom"/>
            <w:hideMark/>
          </w:tcPr>
          <w:p w14:paraId="04A8B81C" w14:textId="77777777" w:rsidR="00652C51" w:rsidRPr="005C4564" w:rsidRDefault="00652C51" w:rsidP="00F448CF">
            <w:pPr>
              <w:spacing w:after="0" w:line="240" w:lineRule="auto"/>
              <w:ind w:hanging="321"/>
              <w:rPr>
                <w:rFonts w:eastAsia="Times New Roman" w:cstheme="minorHAnsi"/>
                <w:color w:val="000000"/>
                <w:sz w:val="16"/>
                <w:szCs w:val="16"/>
                <w:lang w:eastAsia="en-AU"/>
              </w:rPr>
            </w:pPr>
            <w:r w:rsidRPr="005C4564">
              <w:rPr>
                <w:rFonts w:eastAsia="Times New Roman" w:cstheme="minorHAnsi"/>
                <w:color w:val="000000"/>
                <w:sz w:val="16"/>
                <w:szCs w:val="16"/>
                <w:lang w:eastAsia="en-AU"/>
              </w:rPr>
              <w:t> </w:t>
            </w:r>
          </w:p>
        </w:tc>
        <w:tc>
          <w:tcPr>
            <w:tcW w:w="775" w:type="dxa"/>
            <w:shd w:val="clear" w:color="auto" w:fill="auto"/>
            <w:noWrap/>
            <w:vAlign w:val="bottom"/>
            <w:hideMark/>
          </w:tcPr>
          <w:p w14:paraId="57ABC9B6"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500</w:t>
            </w:r>
          </w:p>
        </w:tc>
        <w:tc>
          <w:tcPr>
            <w:tcW w:w="851" w:type="dxa"/>
            <w:shd w:val="clear" w:color="auto" w:fill="auto"/>
            <w:noWrap/>
            <w:vAlign w:val="bottom"/>
            <w:hideMark/>
          </w:tcPr>
          <w:p w14:paraId="74662627"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500</w:t>
            </w:r>
          </w:p>
        </w:tc>
        <w:tc>
          <w:tcPr>
            <w:tcW w:w="850" w:type="dxa"/>
            <w:shd w:val="clear" w:color="auto" w:fill="auto"/>
            <w:noWrap/>
            <w:vAlign w:val="bottom"/>
            <w:hideMark/>
          </w:tcPr>
          <w:p w14:paraId="0DD29A9C"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1" w:type="dxa"/>
            <w:shd w:val="clear" w:color="auto" w:fill="auto"/>
            <w:noWrap/>
            <w:vAlign w:val="bottom"/>
            <w:hideMark/>
          </w:tcPr>
          <w:p w14:paraId="638210A3"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0" w:type="dxa"/>
            <w:shd w:val="clear" w:color="auto" w:fill="auto"/>
            <w:noWrap/>
            <w:vAlign w:val="bottom"/>
            <w:hideMark/>
          </w:tcPr>
          <w:p w14:paraId="0FC51F60"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1" w:type="dxa"/>
            <w:shd w:val="clear" w:color="auto" w:fill="auto"/>
            <w:noWrap/>
            <w:vAlign w:val="bottom"/>
            <w:hideMark/>
          </w:tcPr>
          <w:p w14:paraId="18515768"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0" w:type="dxa"/>
            <w:shd w:val="clear" w:color="auto" w:fill="auto"/>
            <w:noWrap/>
            <w:vAlign w:val="bottom"/>
            <w:hideMark/>
          </w:tcPr>
          <w:p w14:paraId="0392E6BC"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1" w:type="dxa"/>
            <w:shd w:val="clear" w:color="auto" w:fill="auto"/>
            <w:noWrap/>
            <w:vAlign w:val="bottom"/>
            <w:hideMark/>
          </w:tcPr>
          <w:p w14:paraId="35AA6562"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0" w:type="dxa"/>
            <w:shd w:val="clear" w:color="auto" w:fill="auto"/>
            <w:noWrap/>
            <w:vAlign w:val="bottom"/>
            <w:hideMark/>
          </w:tcPr>
          <w:p w14:paraId="65002516"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c>
          <w:tcPr>
            <w:tcW w:w="851" w:type="dxa"/>
            <w:shd w:val="clear" w:color="auto" w:fill="auto"/>
            <w:noWrap/>
            <w:vAlign w:val="bottom"/>
            <w:hideMark/>
          </w:tcPr>
          <w:p w14:paraId="519B9794" w14:textId="77777777" w:rsidR="00652C51" w:rsidRPr="005C4564" w:rsidRDefault="00652C51" w:rsidP="00F448CF">
            <w:pPr>
              <w:spacing w:after="0" w:line="240" w:lineRule="auto"/>
              <w:rPr>
                <w:rFonts w:eastAsia="Times New Roman" w:cstheme="minorHAnsi"/>
                <w:b/>
                <w:bCs/>
                <w:color w:val="000000"/>
                <w:sz w:val="16"/>
                <w:szCs w:val="16"/>
                <w:lang w:eastAsia="en-AU"/>
              </w:rPr>
            </w:pPr>
            <w:r w:rsidRPr="005C4564">
              <w:rPr>
                <w:rFonts w:eastAsia="Times New Roman" w:cstheme="minorHAnsi"/>
                <w:b/>
                <w:bCs/>
                <w:color w:val="000000"/>
                <w:sz w:val="16"/>
                <w:szCs w:val="16"/>
                <w:lang w:eastAsia="en-AU"/>
              </w:rPr>
              <w:t>7550</w:t>
            </w:r>
          </w:p>
        </w:tc>
      </w:tr>
    </w:tbl>
    <w:p w14:paraId="48045E05" w14:textId="77777777" w:rsidR="00A73CE6" w:rsidRPr="00A73CE6" w:rsidRDefault="00A73CE6" w:rsidP="00A73CE6">
      <w:pPr>
        <w:pStyle w:val="NormalWeb"/>
        <w:spacing w:before="0" w:beforeAutospacing="0" w:after="0" w:afterAutospacing="0"/>
        <w:ind w:hanging="993"/>
        <w:rPr>
          <w:sz w:val="16"/>
        </w:rPr>
      </w:pPr>
      <w:r w:rsidRPr="00C66D2A">
        <w:rPr>
          <w:sz w:val="16"/>
        </w:rPr>
        <w:t>*These numbers are contingent on further consideration by government.</w:t>
      </w:r>
    </w:p>
    <w:p w14:paraId="6A97B7C9" w14:textId="77777777" w:rsidR="00652C51" w:rsidRPr="00B901B6" w:rsidRDefault="00652C51" w:rsidP="00B901B6">
      <w:pPr>
        <w:rPr>
          <w:sz w:val="8"/>
          <w:lang w:eastAsia="en-AU"/>
        </w:rPr>
      </w:pPr>
    </w:p>
    <w:sectPr w:rsidR="00652C51" w:rsidRPr="00B901B6" w:rsidSect="00B901B6">
      <w:pgSz w:w="16838" w:h="11906" w:orient="landscape"/>
      <w:pgMar w:top="851" w:right="1559"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73C4" w14:textId="77777777" w:rsidR="00F673D2" w:rsidRDefault="00F673D2" w:rsidP="00B95533">
      <w:pPr>
        <w:spacing w:after="0" w:line="240" w:lineRule="auto"/>
      </w:pPr>
      <w:r>
        <w:separator/>
      </w:r>
    </w:p>
  </w:endnote>
  <w:endnote w:type="continuationSeparator" w:id="0">
    <w:p w14:paraId="711609A8" w14:textId="77777777" w:rsidR="00F673D2" w:rsidRDefault="00F673D2" w:rsidP="00B95533">
      <w:pPr>
        <w:spacing w:after="0" w:line="240" w:lineRule="auto"/>
      </w:pPr>
      <w:r>
        <w:continuationSeparator/>
      </w:r>
    </w:p>
  </w:endnote>
  <w:endnote w:type="continuationNotice" w:id="1">
    <w:p w14:paraId="691E3355" w14:textId="77777777" w:rsidR="00F673D2" w:rsidRDefault="00F67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8C5F" w14:textId="77777777" w:rsidR="00BF33E7" w:rsidRDefault="00BF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showingPlcHdr/>
      <w:dataBinding w:xpath="/root[1]/Classification[1]" w:storeItemID="{00000000-0000-0000-0000-000000000000}"/>
      <w:text/>
    </w:sdtPr>
    <w:sdtEndPr/>
    <w:sdtContent>
      <w:p w14:paraId="0CAC761B" w14:textId="77777777" w:rsidR="00EF7C0F" w:rsidRPr="00B87E45" w:rsidRDefault="00EF7C0F" w:rsidP="001007B9">
        <w:pPr>
          <w:pStyle w:val="ProtectiveMarking"/>
        </w:pPr>
        <w:r>
          <w:t xml:space="preserve">     </w:t>
        </w:r>
      </w:p>
    </w:sdtContent>
  </w:sdt>
  <w:p w14:paraId="4F3BA35A" w14:textId="77777777" w:rsidR="00EF7C0F" w:rsidRPr="00073D52" w:rsidRDefault="00EF7C0F" w:rsidP="001007B9">
    <w:pPr>
      <w:pStyle w:val="Footerline"/>
    </w:pPr>
    <w:r>
      <w:rPr>
        <w:lang w:eastAsia="en-AU"/>
      </w:rPr>
      <mc:AlternateContent>
        <mc:Choice Requires="wps">
          <w:drawing>
            <wp:anchor distT="45720" distB="45720" distL="114300" distR="114300" simplePos="0" relativeHeight="251657216" behindDoc="0" locked="1" layoutInCell="1" allowOverlap="1" wp14:anchorId="4E4CFEEF" wp14:editId="7ADCF2FC">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21B6C02" w14:textId="77777777" w:rsidR="00EF7C0F" w:rsidRPr="00073D52" w:rsidRDefault="00EF7C0F"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34</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4CFEEF" id="_x0000_t202" coordsize="21600,21600" o:spt="202" path="m,l,21600r21600,l21600,xe">
              <v:stroke joinstyle="miter"/>
              <v:path gradientshapeok="t" o:connecttype="rect"/>
            </v:shapetype>
            <v:shape id="Text Box 2" o:spid="_x0000_s1026" type="#_x0000_t202" style="position:absolute;margin-left:483.65pt;margin-top:783.5pt;width:26.15pt;height:5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421B6C02" w14:textId="77777777" w:rsidR="00EF7C0F" w:rsidRPr="00073D52" w:rsidRDefault="00EF7C0F"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34</w:t>
                    </w:r>
                    <w:r w:rsidRPr="00073D52">
                      <w:rPr>
                        <w:b w:val="0"/>
                        <w:bCs/>
                        <w:noProof/>
                        <w:sz w:val="16"/>
                        <w:szCs w:val="16"/>
                      </w:rPr>
                      <w:fldChar w:fldCharType="end"/>
                    </w:r>
                  </w:p>
                </w:txbxContent>
              </v:textbox>
              <w10:wrap anchorx="margin" anchory="page"/>
              <w10:anchorlock/>
            </v:shape>
          </w:pict>
        </mc:Fallback>
      </mc:AlternateContent>
    </w:r>
  </w:p>
  <w:p w14:paraId="3DF6A0B7" w14:textId="77777777" w:rsidR="00EF7C0F" w:rsidRPr="001007B9" w:rsidRDefault="00EF7C0F"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B674" w14:textId="17348D82" w:rsidR="00EF7C0F" w:rsidRPr="00B87E45" w:rsidRDefault="00EF7C0F" w:rsidP="00E3101C">
    <w:pPr>
      <w:pStyle w:val="ProtectiveMarking"/>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65255"/>
      <w:docPartObj>
        <w:docPartGallery w:val="Page Numbers (Bottom of Page)"/>
        <w:docPartUnique/>
      </w:docPartObj>
    </w:sdtPr>
    <w:sdtEndPr>
      <w:rPr>
        <w:noProof/>
      </w:rPr>
    </w:sdtEndPr>
    <w:sdtContent>
      <w:p w14:paraId="4CFBB233" w14:textId="5FBF2E0C" w:rsidR="00EF7C0F" w:rsidRDefault="00EF7C0F">
        <w:pPr>
          <w:pStyle w:val="Footer"/>
        </w:pPr>
        <w:r>
          <w:fldChar w:fldCharType="begin"/>
        </w:r>
        <w:r>
          <w:instrText xml:space="preserve"> PAGE   \* MERGEFORMAT </w:instrText>
        </w:r>
        <w:r>
          <w:fldChar w:fldCharType="separate"/>
        </w:r>
        <w:r w:rsidR="00BF33E7">
          <w:rPr>
            <w:noProof/>
          </w:rPr>
          <w:t>1</w:t>
        </w:r>
        <w:r>
          <w:rPr>
            <w:noProof/>
          </w:rPr>
          <w:fldChar w:fldCharType="end"/>
        </w:r>
      </w:p>
    </w:sdtContent>
  </w:sdt>
  <w:p w14:paraId="34993473" w14:textId="243CD673" w:rsidR="00EF7C0F" w:rsidRPr="00825B23" w:rsidRDefault="00EF7C0F" w:rsidP="009B4379">
    <w:pPr>
      <w:pStyle w:val="Footer"/>
      <w:spacing w:after="500"/>
      <w:contextualSpacing/>
      <w:jc w:val="left"/>
      <w:rPr>
        <w:b w:val="0"/>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00000000-0000-0000-0000-000000000000}"/>
      <w:text/>
    </w:sdtPr>
    <w:sdtEndPr/>
    <w:sdtContent>
      <w:p w14:paraId="61A36C49" w14:textId="77777777" w:rsidR="00EF7C0F" w:rsidRPr="00B87E45" w:rsidRDefault="00EF7C0F" w:rsidP="00917F95">
        <w:pPr>
          <w:pStyle w:val="ProtectiveMarking"/>
        </w:pPr>
        <w:r>
          <w:t xml:space="preserve">     </w:t>
        </w:r>
      </w:p>
    </w:sdtContent>
  </w:sdt>
  <w:p w14:paraId="557E1DBC" w14:textId="77777777" w:rsidR="00EF7C0F" w:rsidRPr="00073D52" w:rsidRDefault="00EF7C0F" w:rsidP="00917F95">
    <w:pPr>
      <w:pStyle w:val="Footerline"/>
    </w:pPr>
  </w:p>
  <w:p w14:paraId="6247A0BE" w14:textId="77777777" w:rsidR="00EF7C0F" w:rsidRPr="00195BA8" w:rsidRDefault="00EF7C0F"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 xml:space="preserve">Reforming the Cashless Debit Card and Income Management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E0DD" w14:textId="77777777" w:rsidR="00F673D2" w:rsidRPr="003A7E73" w:rsidRDefault="00F673D2" w:rsidP="00B95533">
      <w:pPr>
        <w:spacing w:after="0" w:line="240" w:lineRule="auto"/>
        <w:rPr>
          <w:color w:val="014463" w:themeColor="accent2"/>
        </w:rPr>
      </w:pPr>
      <w:r w:rsidRPr="003A7E73">
        <w:rPr>
          <w:color w:val="014463" w:themeColor="accent2"/>
        </w:rPr>
        <w:separator/>
      </w:r>
    </w:p>
  </w:footnote>
  <w:footnote w:type="continuationSeparator" w:id="0">
    <w:p w14:paraId="458DF5A1" w14:textId="77777777" w:rsidR="00F673D2" w:rsidRPr="003A7E73" w:rsidRDefault="00F673D2" w:rsidP="00B95533">
      <w:pPr>
        <w:spacing w:after="0" w:line="240" w:lineRule="auto"/>
        <w:rPr>
          <w:color w:val="014463" w:themeColor="accent2"/>
        </w:rPr>
      </w:pPr>
      <w:r w:rsidRPr="003A7E73">
        <w:rPr>
          <w:color w:val="014463" w:themeColor="accent2"/>
        </w:rPr>
        <w:continuationSeparator/>
      </w:r>
    </w:p>
  </w:footnote>
  <w:footnote w:type="continuationNotice" w:id="1">
    <w:p w14:paraId="2914A189" w14:textId="77777777" w:rsidR="00F673D2" w:rsidRDefault="00F673D2">
      <w:pPr>
        <w:spacing w:after="0" w:line="240" w:lineRule="auto"/>
      </w:pPr>
    </w:p>
  </w:footnote>
  <w:footnote w:id="2">
    <w:p w14:paraId="2657D70A" w14:textId="77777777" w:rsidR="00EF7C0F" w:rsidRDefault="00EF7C0F">
      <w:pPr>
        <w:pStyle w:val="FootnoteText"/>
      </w:pPr>
      <w:r>
        <w:rPr>
          <w:rStyle w:val="FootnoteReference"/>
        </w:rPr>
        <w:footnoteRef/>
      </w:r>
      <w:r>
        <w:t xml:space="preserve"> </w:t>
      </w:r>
      <w:r w:rsidRPr="00254CCC">
        <w:rPr>
          <w:sz w:val="16"/>
          <w:szCs w:val="16"/>
        </w:rPr>
        <w:t>Future of Employment and Skills Research Centre, University of Adelaide, 2021, Evaluation of the Cashless Debit Card in Ceduna, East Kimberley and the Goldfields Regions</w:t>
      </w:r>
      <w:r w:rsidRPr="00254CCC">
        <w:rPr>
          <w:color w:val="1F497D"/>
          <w:sz w:val="16"/>
          <w:szCs w:val="16"/>
        </w:rPr>
        <w:t xml:space="preserve">: </w:t>
      </w:r>
      <w:r w:rsidRPr="00254CCC">
        <w:rPr>
          <w:sz w:val="16"/>
          <w:szCs w:val="16"/>
        </w:rPr>
        <w:t xml:space="preserve">Consolidated Report, p192 </w:t>
      </w:r>
      <w:hyperlink r:id="rId1" w:history="1">
        <w:r w:rsidRPr="00254CCC">
          <w:rPr>
            <w:rStyle w:val="Hyperlink"/>
            <w:rFonts w:cs="Arial"/>
            <w:sz w:val="16"/>
            <w:szCs w:val="16"/>
            <w:lang w:eastAsia="en-AU"/>
          </w:rPr>
          <w:t>https://www.dss.gov.au/sites/default/files/documents/02_2021/fac_evaluation-cdc-ceduna-east-kimberley-and-goldfields-region-consolidated-report_012021 [PDF 8.1MB]</w:t>
        </w:r>
      </w:hyperlink>
      <w:r w:rsidRPr="00254CCC">
        <w:rPr>
          <w:rFonts w:cs="Arial"/>
          <w:sz w:val="16"/>
          <w:szCs w:val="16"/>
          <w:lang w:eastAsia="en-AU"/>
        </w:rPr>
        <w:t xml:space="preserve"> </w:t>
      </w:r>
      <w:r w:rsidRPr="00254CCC">
        <w:rPr>
          <w:rFonts w:cs="Arial"/>
          <w:sz w:val="16"/>
          <w:szCs w:val="16"/>
        </w:rPr>
        <w:t>accessed on 17 August</w:t>
      </w:r>
      <w:r>
        <w:rPr>
          <w:rFonts w:cs="Arial"/>
          <w:sz w:val="16"/>
          <w:szCs w:val="16"/>
        </w:rPr>
        <w:t xml:space="preserve"> 2022</w:t>
      </w:r>
    </w:p>
  </w:footnote>
  <w:footnote w:id="3">
    <w:p w14:paraId="12E15514" w14:textId="77777777" w:rsidR="00EF7C0F" w:rsidRPr="00254CCC" w:rsidRDefault="00EF7C0F">
      <w:pPr>
        <w:pStyle w:val="FootnoteText"/>
        <w:rPr>
          <w:sz w:val="16"/>
          <w:szCs w:val="16"/>
        </w:rPr>
      </w:pPr>
      <w:r w:rsidRPr="00254CCC">
        <w:rPr>
          <w:rStyle w:val="FootnoteReference"/>
          <w:sz w:val="16"/>
          <w:szCs w:val="16"/>
        </w:rPr>
        <w:footnoteRef/>
      </w:r>
      <w:r w:rsidRPr="00254CCC">
        <w:rPr>
          <w:sz w:val="16"/>
          <w:szCs w:val="16"/>
        </w:rPr>
        <w:t xml:space="preserve"> Future of Employment and Skills Research Centre, University of Adelaide, 2021, Evaluation of the Cashless Debit Card in Ceduna, East Kimberley and the Goldfields Regions</w:t>
      </w:r>
      <w:r w:rsidRPr="00254CCC">
        <w:rPr>
          <w:color w:val="1F497D"/>
          <w:sz w:val="16"/>
          <w:szCs w:val="16"/>
        </w:rPr>
        <w:t xml:space="preserve">: </w:t>
      </w:r>
      <w:r w:rsidRPr="00254CCC">
        <w:rPr>
          <w:sz w:val="16"/>
          <w:szCs w:val="16"/>
        </w:rPr>
        <w:t xml:space="preserve">Consolidated Report, p192 </w:t>
      </w:r>
      <w:hyperlink r:id="rId2" w:history="1">
        <w:r w:rsidRPr="00254CCC">
          <w:rPr>
            <w:rStyle w:val="Hyperlink"/>
            <w:rFonts w:cs="Arial"/>
            <w:sz w:val="16"/>
            <w:szCs w:val="16"/>
            <w:lang w:eastAsia="en-AU"/>
          </w:rPr>
          <w:t>https://www.dss.gov.au/sites/default/files/documents/02_2021/fac_evaluation-cdc-ceduna-east-kimberley-and-goldfields-region-consolidated-report_012021 [PDF 8.1MB]</w:t>
        </w:r>
      </w:hyperlink>
      <w:r w:rsidRPr="00254CCC">
        <w:rPr>
          <w:rFonts w:cs="Arial"/>
          <w:sz w:val="16"/>
          <w:szCs w:val="16"/>
          <w:lang w:eastAsia="en-AU"/>
        </w:rPr>
        <w:t xml:space="preserve"> </w:t>
      </w:r>
      <w:r w:rsidRPr="00254CCC">
        <w:rPr>
          <w:rFonts w:cs="Arial"/>
          <w:sz w:val="16"/>
          <w:szCs w:val="16"/>
        </w:rPr>
        <w:t>accessed on 17 August 2022</w:t>
      </w:r>
    </w:p>
  </w:footnote>
  <w:footnote w:id="4">
    <w:p w14:paraId="6989ADD0" w14:textId="77777777" w:rsidR="00EF7C0F" w:rsidRPr="00254CCC" w:rsidRDefault="00EF7C0F" w:rsidP="003D22DE">
      <w:pPr>
        <w:pStyle w:val="FootnoteText"/>
        <w:rPr>
          <w:sz w:val="16"/>
          <w:szCs w:val="16"/>
        </w:rPr>
      </w:pPr>
      <w:r w:rsidRPr="00254CCC">
        <w:rPr>
          <w:rStyle w:val="FootnoteReference"/>
          <w:sz w:val="16"/>
          <w:szCs w:val="16"/>
        </w:rPr>
        <w:footnoteRef/>
      </w:r>
      <w:r w:rsidRPr="00254CCC">
        <w:rPr>
          <w:sz w:val="16"/>
          <w:szCs w:val="16"/>
        </w:rPr>
        <w:t xml:space="preserve"> Department of Health, 2017, National Drug Strategy 2017-2026, </w:t>
      </w:r>
      <w:hyperlink r:id="rId3" w:history="1">
        <w:r w:rsidRPr="00254CCC">
          <w:rPr>
            <w:rStyle w:val="Hyperlink"/>
            <w:sz w:val="16"/>
            <w:szCs w:val="16"/>
          </w:rPr>
          <w:t>https://www.health.gov.au/resources/publications/national-drug-strategy-2017-2026</w:t>
        </w:r>
      </w:hyperlink>
      <w:r w:rsidRPr="00254CCC">
        <w:rPr>
          <w:rFonts w:cstheme="minorHAnsi"/>
          <w:sz w:val="16"/>
          <w:szCs w:val="16"/>
          <w:lang w:eastAsia="en-AU"/>
        </w:rPr>
        <w:t xml:space="preserve"> accessed on 17 August 2022</w:t>
      </w:r>
    </w:p>
  </w:footnote>
  <w:footnote w:id="5">
    <w:p w14:paraId="61DE04B0" w14:textId="77777777" w:rsidR="00EF7C0F" w:rsidRPr="00254CCC" w:rsidRDefault="00EF7C0F" w:rsidP="00B05014">
      <w:pPr>
        <w:spacing w:after="0"/>
        <w:rPr>
          <w:sz w:val="16"/>
          <w:szCs w:val="16"/>
        </w:rPr>
      </w:pPr>
      <w:r w:rsidRPr="00254CCC">
        <w:rPr>
          <w:rStyle w:val="FootnoteReference"/>
          <w:sz w:val="16"/>
          <w:szCs w:val="16"/>
        </w:rPr>
        <w:footnoteRef/>
      </w:r>
      <w:r w:rsidRPr="00254CCC">
        <w:rPr>
          <w:sz w:val="16"/>
          <w:szCs w:val="16"/>
        </w:rPr>
        <w:t xml:space="preserve"> Department of Health, 2019, National Alcohol Strategy 2019-2028, </w:t>
      </w:r>
      <w:hyperlink r:id="rId4" w:history="1">
        <w:r w:rsidRPr="00254CCC">
          <w:rPr>
            <w:rStyle w:val="Hyperlink"/>
            <w:sz w:val="16"/>
            <w:szCs w:val="16"/>
          </w:rPr>
          <w:t>https://www.health.gov.au/resources/publications/national-alcohol-strategy-2019-2028</w:t>
        </w:r>
      </w:hyperlink>
      <w:r w:rsidRPr="00254CCC">
        <w:rPr>
          <w:rFonts w:cstheme="minorHAnsi"/>
          <w:sz w:val="16"/>
          <w:szCs w:val="16"/>
        </w:rPr>
        <w:t xml:space="preserve"> accessed on 17 August 2022</w:t>
      </w:r>
    </w:p>
  </w:footnote>
  <w:footnote w:id="6">
    <w:p w14:paraId="1D66C502" w14:textId="77777777" w:rsidR="00EF7C0F" w:rsidRPr="00254CCC" w:rsidRDefault="00EF7C0F" w:rsidP="00B05014">
      <w:pPr>
        <w:spacing w:after="0"/>
        <w:rPr>
          <w:sz w:val="16"/>
          <w:szCs w:val="16"/>
        </w:rPr>
      </w:pPr>
      <w:r w:rsidRPr="00254CCC">
        <w:rPr>
          <w:rStyle w:val="FootnoteReference"/>
          <w:sz w:val="16"/>
          <w:szCs w:val="16"/>
        </w:rPr>
        <w:footnoteRef/>
      </w:r>
      <w:r w:rsidRPr="00254CCC">
        <w:rPr>
          <w:sz w:val="16"/>
          <w:szCs w:val="16"/>
        </w:rPr>
        <w:t xml:space="preserve"> Department of Social Services, 2018 (updated 3 May 2022), National Consumer Protection Framework for Online Wagering in Australia – National Policy Statement, </w:t>
      </w:r>
      <w:hyperlink r:id="rId5" w:history="1">
        <w:r w:rsidRPr="00254CCC">
          <w:rPr>
            <w:rStyle w:val="Hyperlink"/>
            <w:sz w:val="16"/>
            <w:szCs w:val="16"/>
          </w:rPr>
          <w:t>https://www.dss.gov.au/communities-and-vulnerable-people-programs-services-gambling/national-consumer-protection-framework-for-online-wagering-national-policy-statement</w:t>
        </w:r>
      </w:hyperlink>
      <w:r w:rsidRPr="00254CCC">
        <w:rPr>
          <w:rFonts w:cstheme="minorHAnsi"/>
          <w:sz w:val="16"/>
          <w:szCs w:val="16"/>
        </w:rPr>
        <w:t xml:space="preserve"> accessed on 17 August 2022</w:t>
      </w:r>
    </w:p>
  </w:footnote>
  <w:footnote w:id="7">
    <w:p w14:paraId="0AA094E1" w14:textId="77777777" w:rsidR="00EF7C0F" w:rsidRPr="00254CCC" w:rsidRDefault="00EF7C0F">
      <w:pPr>
        <w:pStyle w:val="FootnoteText"/>
        <w:rPr>
          <w:sz w:val="16"/>
          <w:szCs w:val="16"/>
        </w:rPr>
      </w:pPr>
      <w:r w:rsidRPr="00254CCC">
        <w:rPr>
          <w:rStyle w:val="FootnoteReference"/>
          <w:sz w:val="16"/>
          <w:szCs w:val="16"/>
        </w:rPr>
        <w:footnoteRef/>
      </w:r>
      <w:r w:rsidRPr="00254CCC">
        <w:rPr>
          <w:sz w:val="16"/>
          <w:szCs w:val="16"/>
        </w:rPr>
        <w:t xml:space="preserve"> NSW Health, Centre for Alcohol and other Drugs, </w:t>
      </w:r>
      <w:hyperlink r:id="rId6" w:history="1">
        <w:r w:rsidRPr="00254CCC">
          <w:rPr>
            <w:rStyle w:val="Hyperlink"/>
            <w:sz w:val="16"/>
            <w:szCs w:val="16"/>
          </w:rPr>
          <w:t>https://www.health.nsw.gov.au/about/ministry/Pages/aod.aspx</w:t>
        </w:r>
      </w:hyperlink>
      <w:r w:rsidRPr="00254CCC">
        <w:rPr>
          <w:sz w:val="16"/>
          <w:szCs w:val="16"/>
        </w:rPr>
        <w:t xml:space="preserve"> accessed on 24 August 2022 </w:t>
      </w:r>
    </w:p>
  </w:footnote>
  <w:footnote w:id="8">
    <w:p w14:paraId="4D7C233A" w14:textId="77777777" w:rsidR="00EF7C0F" w:rsidRPr="00254CCC" w:rsidRDefault="00EF7C0F">
      <w:pPr>
        <w:pStyle w:val="FootnoteText"/>
        <w:rPr>
          <w:sz w:val="16"/>
          <w:szCs w:val="16"/>
        </w:rPr>
      </w:pPr>
      <w:r w:rsidRPr="00254CCC">
        <w:rPr>
          <w:rStyle w:val="FootnoteReference"/>
          <w:sz w:val="16"/>
          <w:szCs w:val="16"/>
        </w:rPr>
        <w:footnoteRef/>
      </w:r>
      <w:r w:rsidRPr="00254CCC">
        <w:rPr>
          <w:sz w:val="16"/>
          <w:szCs w:val="16"/>
        </w:rPr>
        <w:t xml:space="preserve"> Closing the Gap Agreement (2020) </w:t>
      </w:r>
      <w:hyperlink r:id="rId7" w:history="1">
        <w:r w:rsidRPr="00254CCC">
          <w:rPr>
            <w:rStyle w:val="Hyperlink"/>
            <w:sz w:val="16"/>
            <w:szCs w:val="16"/>
          </w:rPr>
          <w:t>https://www.closingthegap.gov.au/national-agreement/national-agreement-closing-the-gap</w:t>
        </w:r>
      </w:hyperlink>
      <w:r w:rsidRPr="00254CCC">
        <w:rPr>
          <w:sz w:val="16"/>
          <w:szCs w:val="16"/>
        </w:rPr>
        <w:t xml:space="preserve"> accessed on 23 August 2022</w:t>
      </w:r>
    </w:p>
  </w:footnote>
  <w:footnote w:id="9">
    <w:p w14:paraId="2E603759" w14:textId="77777777" w:rsidR="00EF7C0F" w:rsidRDefault="00EF7C0F" w:rsidP="00142497">
      <w:pPr>
        <w:shd w:val="clear" w:color="auto" w:fill="FFFFFF"/>
        <w:spacing w:after="0" w:line="240" w:lineRule="auto"/>
        <w:rPr>
          <w:rFonts w:ascii="Arial" w:eastAsia="Times New Roman" w:hAnsi="Arial" w:cs="Arial"/>
          <w:color w:val="262626"/>
          <w:sz w:val="16"/>
          <w:szCs w:val="16"/>
          <w:lang w:val="en" w:eastAsia="en-AU"/>
        </w:rPr>
      </w:pPr>
      <w:r w:rsidRPr="00254CCC">
        <w:rPr>
          <w:rStyle w:val="FootnoteReference"/>
        </w:rPr>
        <w:footnoteRef/>
      </w:r>
      <w:r w:rsidRPr="00254CCC">
        <w:t xml:space="preserve"> </w:t>
      </w:r>
      <w:r w:rsidRPr="00254CCC">
        <w:rPr>
          <w:rFonts w:eastAsia="Times New Roman" w:cs="Arial"/>
          <w:color w:val="262626"/>
          <w:sz w:val="16"/>
          <w:szCs w:val="16"/>
          <w:lang w:val="en" w:eastAsia="en-AU"/>
        </w:rPr>
        <w:t xml:space="preserve">Fagan AA, Hawkins JD, Catalano RF. Engaging Communities to Prevent Underage Drinking. Alcohol Research &amp; Health. 2011;34(2):167-74. </w:t>
      </w:r>
      <w:r w:rsidRPr="00254CCC">
        <w:rPr>
          <w:rFonts w:cstheme="minorHAnsi"/>
          <w:color w:val="212121"/>
          <w:sz w:val="16"/>
          <w:szCs w:val="16"/>
          <w:shd w:val="clear" w:color="auto" w:fill="FFFFFF"/>
        </w:rPr>
        <w:t>PMID: 22330215; PMCID: PMC3860564.</w:t>
      </w:r>
    </w:p>
  </w:footnote>
  <w:footnote w:id="10">
    <w:p w14:paraId="3C380B8D" w14:textId="77777777" w:rsidR="00EF7C0F" w:rsidRPr="00444A1A" w:rsidRDefault="00EF7C0F" w:rsidP="00142497">
      <w:pPr>
        <w:shd w:val="clear" w:color="auto" w:fill="FFFFFF"/>
        <w:spacing w:after="0" w:line="240" w:lineRule="auto"/>
        <w:rPr>
          <w:rFonts w:eastAsia="Times New Roman" w:cs="Arial"/>
          <w:color w:val="262626"/>
          <w:sz w:val="16"/>
          <w:szCs w:val="16"/>
          <w:lang w:val="en" w:eastAsia="en-AU"/>
        </w:rPr>
      </w:pPr>
      <w:r w:rsidRPr="00444A1A">
        <w:rPr>
          <w:rStyle w:val="FootnoteReference"/>
        </w:rPr>
        <w:footnoteRef/>
      </w:r>
      <w:r w:rsidRPr="00444A1A">
        <w:t xml:space="preserve"> </w:t>
      </w:r>
      <w:r w:rsidRPr="00444A1A">
        <w:rPr>
          <w:rFonts w:eastAsia="Times New Roman" w:cs="Arial"/>
          <w:color w:val="262626"/>
          <w:sz w:val="16"/>
          <w:szCs w:val="16"/>
          <w:lang w:val="en" w:eastAsia="en-AU"/>
        </w:rPr>
        <w:t xml:space="preserve">Loxley W, Toumbourou J, Stockwell T, Haines B, Scott K, Godfrey C, and Waters, E. and Patton, G. and Fordham, R. and Gray, D. and Marshall, J. and Ryder, D. and Saggers, S. and Sand, L. and Williams, J. 2004. The prevention of substance use, risk and harm in Australia: a review of the evidence, ed. A. Kirsner. Commonwealth of Australia. </w:t>
      </w:r>
      <w:hyperlink r:id="rId8" w:history="1">
        <w:r w:rsidRPr="00444A1A">
          <w:rPr>
            <w:rStyle w:val="Hyperlink"/>
            <w:rFonts w:eastAsia="Times New Roman" w:cs="Arial"/>
            <w:sz w:val="16"/>
            <w:szCs w:val="16"/>
            <w:lang w:val="en" w:eastAsia="en-AU"/>
          </w:rPr>
          <w:t>https://espace.curtin.edu.au/handle/20.500.11937/30403</w:t>
        </w:r>
      </w:hyperlink>
      <w:r w:rsidRPr="00444A1A">
        <w:rPr>
          <w:rFonts w:eastAsia="Times New Roman" w:cs="Arial"/>
          <w:color w:val="262626"/>
          <w:sz w:val="16"/>
          <w:szCs w:val="16"/>
          <w:lang w:val="en" w:eastAsia="en-AU"/>
        </w:rPr>
        <w:t xml:space="preserve"> accessed on 16 August 2022.</w:t>
      </w:r>
    </w:p>
  </w:footnote>
  <w:footnote w:id="11">
    <w:p w14:paraId="4D1FFF3B" w14:textId="77777777" w:rsidR="00EF7C0F" w:rsidRDefault="00EF7C0F" w:rsidP="00142497">
      <w:pPr>
        <w:spacing w:after="0"/>
        <w:rPr>
          <w:color w:val="auto"/>
          <w:sz w:val="16"/>
          <w:szCs w:val="16"/>
        </w:rPr>
      </w:pPr>
      <w:r w:rsidRPr="00444A1A">
        <w:rPr>
          <w:rStyle w:val="FootnoteReference"/>
        </w:rPr>
        <w:footnoteRef/>
      </w:r>
      <w:r w:rsidRPr="00444A1A">
        <w:t xml:space="preserve"> </w:t>
      </w:r>
      <w:r w:rsidRPr="00444A1A">
        <w:rPr>
          <w:sz w:val="16"/>
          <w:szCs w:val="16"/>
        </w:rPr>
        <w:t>Anderson LM, Adeney KL, Shinn C, Safranek S, Buckner-Brown J, Krause LKendall. Community coalition-driven interventions to reduce health disparities among racial and ethnic minority populations. Cochrane Database of Systematic Reviews 2015, Issue 6. Art. No.: CD009905. DOI:10.1002/14651858.CD009905.pub2</w:t>
      </w:r>
    </w:p>
  </w:footnote>
  <w:footnote w:id="12">
    <w:p w14:paraId="5F8F608F" w14:textId="77777777" w:rsidR="00EF7C0F" w:rsidRPr="003D5C62" w:rsidRDefault="00EF7C0F" w:rsidP="008F1F7D">
      <w:pPr>
        <w:rPr>
          <w:color w:val="015F8B" w:themeColor="hyperlink"/>
          <w:sz w:val="16"/>
          <w:szCs w:val="16"/>
          <w:u w:val="single"/>
        </w:rPr>
      </w:pPr>
      <w:r>
        <w:rPr>
          <w:rStyle w:val="FootnoteReference"/>
        </w:rPr>
        <w:footnoteRef/>
      </w:r>
      <w:r>
        <w:t xml:space="preserve"> </w:t>
      </w:r>
      <w:r w:rsidRPr="00444A1A">
        <w:rPr>
          <w:sz w:val="16"/>
          <w:szCs w:val="16"/>
        </w:rPr>
        <w:t>Future of Employment and Skills Research Centre, University of Adelaide, 2021, Evaluation of the Cashless Debit Card in Ceduna, East Kimberley and the Goldfields Regions</w:t>
      </w:r>
      <w:r w:rsidRPr="00444A1A">
        <w:rPr>
          <w:color w:val="1F497D"/>
          <w:sz w:val="16"/>
          <w:szCs w:val="16"/>
        </w:rPr>
        <w:t xml:space="preserve">: </w:t>
      </w:r>
      <w:r>
        <w:rPr>
          <w:sz w:val="16"/>
          <w:szCs w:val="16"/>
        </w:rPr>
        <w:t>Consolidated Report,</w:t>
      </w:r>
      <w:r w:rsidRPr="00444A1A">
        <w:rPr>
          <w:sz w:val="16"/>
          <w:szCs w:val="16"/>
        </w:rPr>
        <w:t xml:space="preserve"> </w:t>
      </w:r>
      <w:hyperlink r:id="rId9" w:history="1">
        <w:r w:rsidRPr="00444A1A">
          <w:rPr>
            <w:rStyle w:val="Hyperlink"/>
            <w:sz w:val="16"/>
            <w:szCs w:val="16"/>
          </w:rPr>
          <w:t>https://www.dss.gov.au/sites/default/files/documents/02_2021/fac_evaluation-cdc-ceduna-east-kimberley-and-goldfields-region-consolidated-report_012021.pdf</w:t>
        </w:r>
      </w:hyperlink>
      <w:r w:rsidRPr="00444A1A">
        <w:rPr>
          <w:rStyle w:val="Hyperlink"/>
          <w:sz w:val="16"/>
          <w:szCs w:val="16"/>
        </w:rPr>
        <w:t xml:space="preserve"> </w:t>
      </w:r>
      <w:r w:rsidRPr="00444A1A">
        <w:rPr>
          <w:sz w:val="16"/>
          <w:szCs w:val="16"/>
        </w:rPr>
        <w:t>accessed 24 August 2022</w:t>
      </w:r>
    </w:p>
  </w:footnote>
  <w:footnote w:id="13">
    <w:p w14:paraId="1A783DE5" w14:textId="77777777" w:rsidR="00EF7C0F" w:rsidRDefault="00EF7C0F">
      <w:pPr>
        <w:pStyle w:val="FootnoteText"/>
      </w:pPr>
      <w:r w:rsidRPr="00444A1A">
        <w:rPr>
          <w:rStyle w:val="FootnoteReference"/>
        </w:rPr>
        <w:footnoteRef/>
      </w:r>
      <w:r w:rsidRPr="00444A1A">
        <w:t xml:space="preserve"> </w:t>
      </w:r>
      <w:r w:rsidRPr="00444A1A">
        <w:rPr>
          <w:sz w:val="16"/>
        </w:rPr>
        <w:t xml:space="preserve">Social Policy Research Centre, UNSW (2012), </w:t>
      </w:r>
      <w:r w:rsidRPr="00444A1A">
        <w:t>“</w:t>
      </w:r>
      <w:r w:rsidRPr="00444A1A">
        <w:rPr>
          <w:sz w:val="16"/>
        </w:rPr>
        <w:t xml:space="preserve">Evaluating New Income Management in </w:t>
      </w:r>
      <w:r w:rsidRPr="00444A1A">
        <w:rPr>
          <w:sz w:val="16"/>
          <w:szCs w:val="16"/>
        </w:rPr>
        <w:t>the Northern Territory:</w:t>
      </w:r>
      <w:r w:rsidRPr="00444A1A">
        <w:rPr>
          <w:rStyle w:val="Hyperlink"/>
          <w:rFonts w:cs="Segoe UI"/>
          <w:color w:val="4F52B2"/>
          <w:sz w:val="16"/>
          <w:szCs w:val="16"/>
          <w:u w:val="none"/>
          <w:shd w:val="clear" w:color="auto" w:fill="FFFFFF"/>
        </w:rPr>
        <w:t xml:space="preserve"> </w:t>
      </w:r>
      <w:r w:rsidRPr="00444A1A">
        <w:rPr>
          <w:rStyle w:val="Hyperlink"/>
          <w:rFonts w:cs="Segoe UI"/>
          <w:color w:val="auto"/>
          <w:sz w:val="16"/>
          <w:szCs w:val="16"/>
          <w:u w:val="none"/>
          <w:shd w:val="clear" w:color="auto" w:fill="FFFFFF"/>
        </w:rPr>
        <w:t>First Evaluation Report November 2012</w:t>
      </w:r>
      <w:r w:rsidRPr="00444A1A">
        <w:rPr>
          <w:sz w:val="16"/>
          <w:szCs w:val="16"/>
        </w:rPr>
        <w:t xml:space="preserve">” </w:t>
      </w:r>
      <w:hyperlink r:id="rId10" w:history="1">
        <w:r w:rsidRPr="00444A1A">
          <w:rPr>
            <w:rStyle w:val="Hyperlink"/>
            <w:rFonts w:cs="Segoe UI"/>
            <w:sz w:val="16"/>
            <w:szCs w:val="16"/>
            <w:shd w:val="clear" w:color="auto" w:fill="FFFFFF"/>
          </w:rPr>
          <w:t>https://www.dss.gov.au/our-responsibilities/families-and-children/programs-services/income-management/evaluating-new-income-management-in-the-northern-territory-first-evaluation-report</w:t>
        </w:r>
      </w:hyperlink>
      <w:r w:rsidRPr="00444A1A">
        <w:rPr>
          <w:rStyle w:val="Hyperlink"/>
          <w:rFonts w:cs="Segoe UI"/>
          <w:color w:val="4F52B2"/>
          <w:sz w:val="16"/>
          <w:szCs w:val="16"/>
          <w:shd w:val="clear" w:color="auto" w:fill="FFFFFF"/>
        </w:rPr>
        <w:t xml:space="preserve"> </w:t>
      </w:r>
      <w:r w:rsidRPr="00444A1A">
        <w:rPr>
          <w:rStyle w:val="Hyperlink"/>
          <w:rFonts w:cs="Segoe UI"/>
          <w:color w:val="auto"/>
          <w:sz w:val="16"/>
          <w:szCs w:val="16"/>
          <w:u w:val="none"/>
          <w:shd w:val="clear" w:color="auto" w:fill="FFFFFF"/>
        </w:rPr>
        <w:t>accessed on 23 August 2022</w:t>
      </w:r>
      <w:r w:rsidRPr="00444A1A">
        <w:rPr>
          <w:rStyle w:val="Hyperlink"/>
          <w:rFonts w:cs="Segoe UI"/>
          <w:color w:val="auto"/>
          <w:sz w:val="16"/>
          <w:szCs w:val="16"/>
          <w:shd w:val="clear" w:color="auto" w:fill="FFFFFF"/>
        </w:rPr>
        <w:t>.</w:t>
      </w:r>
    </w:p>
  </w:footnote>
  <w:footnote w:id="14">
    <w:p w14:paraId="11EB3BE8" w14:textId="77777777" w:rsidR="00EF7C0F" w:rsidRPr="002B3310" w:rsidRDefault="00EF7C0F">
      <w:pPr>
        <w:pStyle w:val="FootnoteText"/>
        <w:rPr>
          <w:sz w:val="16"/>
          <w:szCs w:val="16"/>
        </w:rPr>
      </w:pPr>
      <w:r w:rsidRPr="00444A1A">
        <w:rPr>
          <w:rStyle w:val="FootnoteReference"/>
          <w:sz w:val="16"/>
          <w:szCs w:val="16"/>
        </w:rPr>
        <w:footnoteRef/>
      </w:r>
      <w:r w:rsidRPr="00444A1A">
        <w:rPr>
          <w:sz w:val="16"/>
          <w:szCs w:val="16"/>
        </w:rPr>
        <w:t xml:space="preserve"> Australian Bureau of Statistics, 2022, Aboriginal and Torres Strait Islander people: Census, </w:t>
      </w:r>
      <w:r w:rsidRPr="00444A1A">
        <w:rPr>
          <w:rStyle w:val="Hyperlink"/>
          <w:sz w:val="16"/>
          <w:szCs w:val="16"/>
        </w:rPr>
        <w:t xml:space="preserve">ps://www.abs.gov.au/statistics/people/aboriginal-and-torres-strait-islander-peoples/aboriginal-and-torres-strait-islander-people-census/2021 </w:t>
      </w:r>
      <w:r w:rsidRPr="00444A1A">
        <w:rPr>
          <w:sz w:val="16"/>
          <w:szCs w:val="16"/>
        </w:rPr>
        <w:t>accessed on 24 August 2022</w:t>
      </w:r>
    </w:p>
  </w:footnote>
  <w:footnote w:id="15">
    <w:p w14:paraId="0865F23A" w14:textId="77777777" w:rsidR="00EF7C0F" w:rsidRPr="00444A1A" w:rsidRDefault="00EF7C0F">
      <w:pPr>
        <w:pStyle w:val="FootnoteText"/>
        <w:rPr>
          <w:rFonts w:ascii="Arial" w:hAnsi="Arial"/>
        </w:rPr>
      </w:pPr>
      <w:r w:rsidRPr="00444A1A">
        <w:rPr>
          <w:rStyle w:val="FootnoteReference"/>
        </w:rPr>
        <w:footnoteRef/>
      </w:r>
      <w:r w:rsidRPr="00444A1A">
        <w:rPr>
          <w:sz w:val="16"/>
          <w:szCs w:val="16"/>
        </w:rPr>
        <w:t xml:space="preserve">Deloitte Access Economics, 27 May 2015, </w:t>
      </w:r>
      <w:r w:rsidRPr="00444A1A">
        <w:rPr>
          <w:i/>
          <w:sz w:val="16"/>
          <w:szCs w:val="16"/>
        </w:rPr>
        <w:t>Consolidated Place Based Income Management Evaluation Report 2012-2015</w:t>
      </w:r>
      <w:r w:rsidRPr="00444A1A">
        <w:rPr>
          <w:sz w:val="16"/>
          <w:szCs w:val="16"/>
        </w:rPr>
        <w:t>, pp 40-41</w:t>
      </w:r>
      <w:r w:rsidRPr="00444A1A">
        <w:t xml:space="preserve"> </w:t>
      </w:r>
      <w:hyperlink r:id="rId11" w:history="1">
        <w:r w:rsidRPr="00444A1A">
          <w:rPr>
            <w:rStyle w:val="Hyperlink"/>
            <w:sz w:val="16"/>
            <w:szCs w:val="16"/>
          </w:rPr>
          <w:t>https://www.dss.gov.au/families-and-children/programmes-services/welfare-conditionality/income-management/consolidated-place-based-income-management-evaluation-report-2012-2015</w:t>
        </w:r>
      </w:hyperlink>
      <w:r w:rsidRPr="00444A1A">
        <w:rPr>
          <w:sz w:val="16"/>
          <w:szCs w:val="16"/>
        </w:rPr>
        <w:t xml:space="preserve"> accessed 24 August 2022.</w:t>
      </w:r>
    </w:p>
  </w:footnote>
  <w:footnote w:id="16">
    <w:p w14:paraId="4A0A3E5C" w14:textId="77777777" w:rsidR="00EF7C0F" w:rsidRPr="00444A1A" w:rsidRDefault="00EF7C0F">
      <w:pPr>
        <w:pStyle w:val="FootnoteText"/>
      </w:pPr>
      <w:r w:rsidRPr="00444A1A">
        <w:rPr>
          <w:rStyle w:val="FootnoteReference"/>
        </w:rPr>
        <w:footnoteRef/>
      </w:r>
      <w:r w:rsidRPr="00444A1A">
        <w:rPr>
          <w:sz w:val="16"/>
        </w:rPr>
        <w:t xml:space="preserve">Social Policy Research Centre, UNSW (2012), </w:t>
      </w:r>
      <w:r w:rsidRPr="00444A1A">
        <w:t>“</w:t>
      </w:r>
      <w:r w:rsidRPr="00444A1A">
        <w:rPr>
          <w:sz w:val="16"/>
        </w:rPr>
        <w:t xml:space="preserve">Evaluating New Income Management in </w:t>
      </w:r>
      <w:r w:rsidRPr="00444A1A">
        <w:rPr>
          <w:sz w:val="16"/>
          <w:szCs w:val="16"/>
        </w:rPr>
        <w:t>the Northern Territory:</w:t>
      </w:r>
      <w:r w:rsidRPr="00444A1A">
        <w:rPr>
          <w:rStyle w:val="Hyperlink"/>
          <w:rFonts w:cs="Segoe UI"/>
          <w:color w:val="4F52B2"/>
          <w:sz w:val="16"/>
          <w:szCs w:val="16"/>
          <w:u w:val="none"/>
          <w:shd w:val="clear" w:color="auto" w:fill="FFFFFF"/>
        </w:rPr>
        <w:t xml:space="preserve"> </w:t>
      </w:r>
      <w:r w:rsidRPr="00444A1A">
        <w:rPr>
          <w:rStyle w:val="Hyperlink"/>
          <w:rFonts w:cs="Segoe UI"/>
          <w:color w:val="auto"/>
          <w:sz w:val="16"/>
          <w:szCs w:val="16"/>
          <w:u w:val="none"/>
          <w:shd w:val="clear" w:color="auto" w:fill="FFFFFF"/>
        </w:rPr>
        <w:t>First Evaluation Report November 2012</w:t>
      </w:r>
      <w:r w:rsidRPr="00444A1A">
        <w:rPr>
          <w:sz w:val="16"/>
          <w:szCs w:val="16"/>
        </w:rPr>
        <w:t xml:space="preserve">” </w:t>
      </w:r>
      <w:hyperlink r:id="rId12" w:history="1">
        <w:r w:rsidRPr="00444A1A">
          <w:rPr>
            <w:rStyle w:val="Hyperlink"/>
            <w:rFonts w:cs="Segoe UI"/>
            <w:sz w:val="16"/>
            <w:szCs w:val="16"/>
            <w:shd w:val="clear" w:color="auto" w:fill="FFFFFF"/>
          </w:rPr>
          <w:t>https://www.dss.gov.au/our-responsibilities/families-and-children/programs-services/income-management/evaluating-new-income-management-in-the-northern-territory-first-evaluation-report</w:t>
        </w:r>
      </w:hyperlink>
      <w:r w:rsidRPr="00444A1A">
        <w:rPr>
          <w:rStyle w:val="Hyperlink"/>
          <w:rFonts w:cs="Segoe UI"/>
          <w:color w:val="4F52B2"/>
          <w:sz w:val="16"/>
          <w:szCs w:val="16"/>
          <w:shd w:val="clear" w:color="auto" w:fill="FFFFFF"/>
        </w:rPr>
        <w:t xml:space="preserve"> </w:t>
      </w:r>
      <w:r w:rsidRPr="00444A1A">
        <w:rPr>
          <w:rStyle w:val="Hyperlink"/>
          <w:rFonts w:cs="Segoe UI"/>
          <w:color w:val="auto"/>
          <w:sz w:val="16"/>
          <w:szCs w:val="16"/>
          <w:u w:val="none"/>
          <w:shd w:val="clear" w:color="auto" w:fill="FFFFFF"/>
        </w:rPr>
        <w:t>accessed on 23 August 2022</w:t>
      </w:r>
      <w:r w:rsidRPr="00444A1A">
        <w:rPr>
          <w:rStyle w:val="Hyperlink"/>
          <w:rFonts w:cs="Segoe UI"/>
          <w:color w:val="auto"/>
          <w:sz w:val="16"/>
          <w:szCs w:val="16"/>
          <w:shd w:val="clear" w:color="auto" w:fill="FFFFFF"/>
        </w:rPr>
        <w:t>.</w:t>
      </w:r>
    </w:p>
  </w:footnote>
  <w:footnote w:id="17">
    <w:p w14:paraId="06073E78" w14:textId="77777777" w:rsidR="00EF7C0F" w:rsidRPr="00444A1A" w:rsidRDefault="00EF7C0F" w:rsidP="00B54D1E">
      <w:pPr>
        <w:pStyle w:val="FootnoteText"/>
        <w:rPr>
          <w:rFonts w:ascii="Arial" w:hAnsi="Arial"/>
        </w:rPr>
      </w:pPr>
      <w:r w:rsidRPr="00444A1A">
        <w:rPr>
          <w:rStyle w:val="FootnoteReference"/>
          <w:sz w:val="16"/>
          <w:szCs w:val="16"/>
        </w:rPr>
        <w:footnoteRef/>
      </w:r>
      <w:r w:rsidRPr="00444A1A">
        <w:rPr>
          <w:sz w:val="16"/>
          <w:szCs w:val="16"/>
        </w:rPr>
        <w:t xml:space="preserve"> Deloitte Access Economics, 27 May 2015, </w:t>
      </w:r>
      <w:r w:rsidRPr="00444A1A">
        <w:rPr>
          <w:i/>
          <w:sz w:val="16"/>
          <w:szCs w:val="16"/>
        </w:rPr>
        <w:t>Consolidated Place Based Income Management Evaluation Report 2012-2015</w:t>
      </w:r>
      <w:r w:rsidRPr="00444A1A">
        <w:rPr>
          <w:sz w:val="16"/>
          <w:szCs w:val="16"/>
        </w:rPr>
        <w:t>, Executive Summary piv</w:t>
      </w:r>
      <w:r w:rsidRPr="00444A1A">
        <w:t>.</w:t>
      </w:r>
    </w:p>
  </w:footnote>
  <w:footnote w:id="18">
    <w:p w14:paraId="5EF43C69" w14:textId="751549B6" w:rsidR="00EF7C0F" w:rsidRDefault="00EF7C0F" w:rsidP="00B54D1E">
      <w:pPr>
        <w:pStyle w:val="FootnoteText"/>
      </w:pPr>
      <w:r w:rsidRPr="00444A1A">
        <w:rPr>
          <w:rStyle w:val="FootnoteReference"/>
        </w:rPr>
        <w:footnoteRef/>
      </w:r>
      <w:r w:rsidRPr="00444A1A">
        <w:t xml:space="preserve"> </w:t>
      </w:r>
      <w:r w:rsidRPr="00444A1A">
        <w:rPr>
          <w:sz w:val="16"/>
          <w:szCs w:val="16"/>
        </w:rPr>
        <w:t>Future of Employment and Skills Research Centre, University of Adelaide, 2021, Evaluation of the Cashless Debit Card in Ceduna, East Kimberley and the Goldfields Regions</w:t>
      </w:r>
      <w:r w:rsidRPr="00444A1A">
        <w:rPr>
          <w:color w:val="1F497D"/>
          <w:sz w:val="16"/>
          <w:szCs w:val="16"/>
        </w:rPr>
        <w:t xml:space="preserve">: </w:t>
      </w:r>
      <w:r w:rsidRPr="00444A1A">
        <w:rPr>
          <w:sz w:val="16"/>
          <w:szCs w:val="16"/>
        </w:rPr>
        <w:t xml:space="preserve">Consolidated Report, p192 </w:t>
      </w:r>
      <w:hyperlink r:id="rId13" w:history="1">
        <w:r w:rsidRPr="00444A1A">
          <w:rPr>
            <w:rStyle w:val="Hyperlink"/>
            <w:rFonts w:cs="Arial"/>
            <w:sz w:val="16"/>
            <w:szCs w:val="16"/>
            <w:lang w:eastAsia="en-AU"/>
          </w:rPr>
          <w:t>https://www.dss.gov.au/sites/default/files/documents/02_2021/fac_evaluation-cdc-ceduna-east-kimberley-and-goldfields-region-consolidated-report_012021 [PDF 8.1MB]</w:t>
        </w:r>
      </w:hyperlink>
      <w:r w:rsidRPr="00444A1A">
        <w:rPr>
          <w:rFonts w:cs="Arial"/>
          <w:sz w:val="16"/>
          <w:szCs w:val="16"/>
          <w:lang w:eastAsia="en-AU"/>
        </w:rPr>
        <w:t xml:space="preserve"> </w:t>
      </w:r>
      <w:r w:rsidRPr="00444A1A">
        <w:rPr>
          <w:rFonts w:cs="Arial"/>
          <w:sz w:val="16"/>
          <w:szCs w:val="16"/>
        </w:rPr>
        <w:t>accessed on 17 August</w:t>
      </w:r>
      <w:r w:rsidR="00035A66">
        <w:rPr>
          <w:rFonts w:cs="Arial"/>
          <w:sz w:val="16"/>
          <w:szCs w:val="16"/>
        </w:rPr>
        <w:t xml:space="preserve"> 2022.</w:t>
      </w:r>
    </w:p>
  </w:footnote>
  <w:footnote w:id="19">
    <w:p w14:paraId="5ABE7889" w14:textId="77777777" w:rsidR="00EF7C0F" w:rsidRDefault="00EF7C0F">
      <w:pPr>
        <w:pStyle w:val="FootnoteText"/>
      </w:pPr>
      <w:r w:rsidRPr="00A172E5">
        <w:rPr>
          <w:rStyle w:val="FootnoteReference"/>
        </w:rPr>
        <w:footnoteRef/>
      </w:r>
      <w:r w:rsidRPr="00A172E5">
        <w:rPr>
          <w:sz w:val="16"/>
          <w:szCs w:val="16"/>
        </w:rPr>
        <w:t xml:space="preserve"> Department of Social Service, 2019, Fourth Action Plan 2019-2022, The National Plan to Reduce Violence against Women and their Children 2010-2022 </w:t>
      </w:r>
      <w:hyperlink r:id="rId14" w:history="1">
        <w:r w:rsidRPr="00A172E5">
          <w:rPr>
            <w:rStyle w:val="Hyperlink"/>
            <w:sz w:val="16"/>
            <w:szCs w:val="16"/>
          </w:rPr>
          <w:t>Implementation and Performance of the Cashless Debit Card Trial — Follow-on | Australian National Audit Office (anao.gov.au)</w:t>
        </w:r>
      </w:hyperlink>
      <w:r w:rsidRPr="00A172E5">
        <w:rPr>
          <w:sz w:val="16"/>
          <w:szCs w:val="16"/>
        </w:rPr>
        <w:t xml:space="preserve"> accessed 24 August 2022</w:t>
      </w:r>
    </w:p>
  </w:footnote>
  <w:footnote w:id="20">
    <w:p w14:paraId="58230B4A" w14:textId="77777777" w:rsidR="00EF7C0F" w:rsidRDefault="00EF7C0F" w:rsidP="00963A06">
      <w:pPr>
        <w:pStyle w:val="FootnoteText"/>
        <w:rPr>
          <w:rFonts w:ascii="Arial" w:hAnsi="Arial"/>
        </w:rPr>
      </w:pPr>
      <w:r w:rsidRPr="00D75D59">
        <w:rPr>
          <w:rStyle w:val="FootnoteReference"/>
          <w:sz w:val="16"/>
          <w:szCs w:val="16"/>
        </w:rPr>
        <w:footnoteRef/>
      </w:r>
      <w:r w:rsidRPr="00D75D59">
        <w:rPr>
          <w:sz w:val="16"/>
          <w:szCs w:val="16"/>
        </w:rPr>
        <w:t xml:space="preserve"> Deloitte Access Economics, 27 May 2015, </w:t>
      </w:r>
      <w:r w:rsidRPr="00D75D59">
        <w:rPr>
          <w:i/>
          <w:sz w:val="16"/>
          <w:szCs w:val="16"/>
        </w:rPr>
        <w:t>Consolidated Place Based Income Management Evaluation Report 2012-2015</w:t>
      </w:r>
      <w:r w:rsidRPr="00D75D59">
        <w:rPr>
          <w:sz w:val="16"/>
          <w:szCs w:val="16"/>
        </w:rPr>
        <w:t>, Executive Summary piv</w:t>
      </w:r>
      <w:r w:rsidRPr="00D75D59">
        <w:t>.</w:t>
      </w:r>
    </w:p>
  </w:footnote>
  <w:footnote w:id="21">
    <w:p w14:paraId="537508D2" w14:textId="77777777" w:rsidR="00EF7C0F" w:rsidRDefault="00EF7C0F" w:rsidP="00250026">
      <w:r>
        <w:rPr>
          <w:rStyle w:val="FootnoteReference"/>
        </w:rPr>
        <w:footnoteRef/>
      </w:r>
      <w:r>
        <w:t xml:space="preserve"> </w:t>
      </w:r>
      <w:r w:rsidRPr="005D74C5">
        <w:rPr>
          <w:rFonts w:cstheme="minorHAnsi"/>
          <w:sz w:val="16"/>
          <w:szCs w:val="16"/>
        </w:rPr>
        <w:t xml:space="preserve">Deloitte Access Economics, </w:t>
      </w:r>
      <w:r>
        <w:rPr>
          <w:rFonts w:cstheme="minorHAnsi"/>
          <w:sz w:val="16"/>
          <w:szCs w:val="16"/>
        </w:rPr>
        <w:t>Place Based Income Management -</w:t>
      </w:r>
      <w:r w:rsidRPr="00F762D9">
        <w:rPr>
          <w:rFonts w:cstheme="minorHAnsi"/>
          <w:sz w:val="16"/>
          <w:szCs w:val="16"/>
        </w:rPr>
        <w:t xml:space="preserve"> Process and short term outcomes evaluation</w:t>
      </w:r>
      <w:r w:rsidRPr="005D74C5">
        <w:rPr>
          <w:rFonts w:cstheme="minorHAnsi"/>
          <w:sz w:val="16"/>
          <w:szCs w:val="16"/>
        </w:rPr>
        <w:t xml:space="preserve">, </w:t>
      </w:r>
      <w:r>
        <w:rPr>
          <w:rFonts w:cstheme="minorHAnsi"/>
          <w:sz w:val="16"/>
          <w:szCs w:val="16"/>
        </w:rPr>
        <w:t xml:space="preserve">2014, Executive Summary </w:t>
      </w:r>
      <w:hyperlink r:id="rId15" w:history="1">
        <w:r w:rsidRPr="00A56812">
          <w:rPr>
            <w:rStyle w:val="Hyperlink"/>
            <w:rFonts w:cstheme="minorHAnsi"/>
            <w:sz w:val="16"/>
            <w:szCs w:val="16"/>
          </w:rPr>
          <w:t>Place Based Income Management – Process and short term outcomes evaluation | Department of Social Services, Australian Government (dss.gov.au)</w:t>
        </w:r>
      </w:hyperlink>
      <w:r>
        <w:rPr>
          <w:rFonts w:cstheme="minorHAnsi"/>
          <w:sz w:val="16"/>
          <w:szCs w:val="16"/>
        </w:rPr>
        <w:t xml:space="preserve"> accessed on</w:t>
      </w:r>
      <w:r w:rsidRPr="00A56812">
        <w:rPr>
          <w:rFonts w:cstheme="minorHAnsi"/>
          <w:sz w:val="16"/>
          <w:szCs w:val="16"/>
        </w:rPr>
        <w:t xml:space="preserve"> 17 August 2022</w:t>
      </w:r>
    </w:p>
  </w:footnote>
  <w:footnote w:id="22">
    <w:p w14:paraId="4BE0528E" w14:textId="77777777" w:rsidR="00EF7C0F" w:rsidRPr="007718E1" w:rsidRDefault="00EF7C0F" w:rsidP="00AA3D0F">
      <w:pPr>
        <w:pStyle w:val="FootnoteText"/>
        <w:rPr>
          <w:sz w:val="16"/>
          <w:szCs w:val="16"/>
        </w:rPr>
      </w:pPr>
      <w:r w:rsidRPr="007718E1">
        <w:rPr>
          <w:rStyle w:val="FootnoteReference"/>
          <w:sz w:val="16"/>
          <w:szCs w:val="16"/>
        </w:rPr>
        <w:footnoteRef/>
      </w:r>
      <w:r w:rsidRPr="007718E1">
        <w:rPr>
          <w:sz w:val="16"/>
          <w:szCs w:val="16"/>
        </w:rPr>
        <w:t xml:space="preserve"> Reserve Bank of Australia, 2020, Cash Use in Australian: Results from the 2019 Consumer Payments Survey, </w:t>
      </w:r>
      <w:hyperlink r:id="rId16" w:history="1">
        <w:r w:rsidRPr="007718E1">
          <w:rPr>
            <w:rStyle w:val="Hyperlink1"/>
            <w:sz w:val="16"/>
            <w:szCs w:val="16"/>
          </w:rPr>
          <w:t>www.rba.gov.au</w:t>
        </w:r>
      </w:hyperlink>
    </w:p>
  </w:footnote>
  <w:footnote w:id="23">
    <w:p w14:paraId="77CBEB7F" w14:textId="77777777" w:rsidR="00EF7C0F" w:rsidRPr="00444A1A" w:rsidRDefault="00EF7C0F">
      <w:pPr>
        <w:pStyle w:val="FootnoteText"/>
        <w:rPr>
          <w:sz w:val="16"/>
          <w:szCs w:val="16"/>
        </w:rPr>
      </w:pPr>
      <w:r w:rsidRPr="00444A1A">
        <w:rPr>
          <w:rStyle w:val="FootnoteReference"/>
          <w:sz w:val="16"/>
          <w:szCs w:val="16"/>
        </w:rPr>
        <w:footnoteRef/>
      </w:r>
      <w:r w:rsidRPr="00444A1A">
        <w:rPr>
          <w:sz w:val="16"/>
          <w:szCs w:val="16"/>
        </w:rPr>
        <w:t xml:space="preserve"> Future of Employment and Skills Research Centre, University of Adelaide, 2021, Evaluation of the Cashless Debit Card in Ceduna, East Kimberley and the Goldfields Regions</w:t>
      </w:r>
      <w:r w:rsidRPr="00444A1A">
        <w:rPr>
          <w:color w:val="1F497D"/>
          <w:sz w:val="16"/>
          <w:szCs w:val="16"/>
        </w:rPr>
        <w:t xml:space="preserve">: </w:t>
      </w:r>
      <w:r w:rsidRPr="00444A1A">
        <w:rPr>
          <w:sz w:val="16"/>
          <w:szCs w:val="16"/>
        </w:rPr>
        <w:t xml:space="preserve">Consolidated Report, p192 </w:t>
      </w:r>
      <w:hyperlink r:id="rId17" w:history="1">
        <w:r w:rsidRPr="00444A1A">
          <w:rPr>
            <w:rStyle w:val="Hyperlink"/>
            <w:rFonts w:cs="Arial"/>
            <w:sz w:val="16"/>
            <w:szCs w:val="16"/>
            <w:lang w:eastAsia="en-AU"/>
          </w:rPr>
          <w:t>https://www.dss.gov.au/sites/default/files/documents/02_2021/fac_evaluation-cdc-ceduna-east-kimberley-and-goldfields-region-consolidated-report_012021 [PDF 8.1MB]</w:t>
        </w:r>
      </w:hyperlink>
      <w:r w:rsidRPr="00444A1A">
        <w:rPr>
          <w:rFonts w:cs="Arial"/>
          <w:sz w:val="16"/>
          <w:szCs w:val="16"/>
          <w:lang w:eastAsia="en-AU"/>
        </w:rPr>
        <w:t xml:space="preserve"> </w:t>
      </w:r>
      <w:r w:rsidRPr="00444A1A">
        <w:rPr>
          <w:rFonts w:cs="Arial"/>
          <w:sz w:val="16"/>
          <w:szCs w:val="16"/>
        </w:rPr>
        <w:t>accessed on 17 August 2022</w:t>
      </w:r>
    </w:p>
  </w:footnote>
  <w:footnote w:id="24">
    <w:p w14:paraId="65166623" w14:textId="7EF7B429" w:rsidR="00EF7C0F" w:rsidRPr="00444A1A" w:rsidRDefault="00EF7C0F" w:rsidP="00444A1A">
      <w:pPr>
        <w:spacing w:after="0"/>
        <w:rPr>
          <w:sz w:val="16"/>
          <w:szCs w:val="16"/>
        </w:rPr>
      </w:pPr>
      <w:r w:rsidRPr="00444A1A">
        <w:rPr>
          <w:rStyle w:val="FootnoteReference"/>
          <w:sz w:val="16"/>
          <w:szCs w:val="16"/>
        </w:rPr>
        <w:footnoteRef/>
      </w:r>
      <w:r w:rsidRPr="00444A1A">
        <w:rPr>
          <w:sz w:val="16"/>
          <w:szCs w:val="16"/>
        </w:rPr>
        <w:t xml:space="preserve"> Mavromaras, K., Maskos, M., Mahuteau, S., Isherwood, L. (January 2021), Evaluation of the Cashless Debit Card in Ceduna, East Kimberley and the Goldfields Region – Consolidated Report, The University of Adelaide Future of Employment and Skil</w:t>
      </w:r>
      <w:r>
        <w:rPr>
          <w:sz w:val="16"/>
          <w:szCs w:val="16"/>
        </w:rPr>
        <w:t>ls Research Centre, Adelaide.</w:t>
      </w:r>
    </w:p>
  </w:footnote>
  <w:footnote w:id="25">
    <w:p w14:paraId="2759486C" w14:textId="77777777" w:rsidR="00EF7C0F" w:rsidRPr="00AC4C50" w:rsidRDefault="00EF7C0F" w:rsidP="00444A1A">
      <w:pPr>
        <w:pStyle w:val="FootnoteText"/>
        <w:rPr>
          <w:sz w:val="16"/>
          <w:szCs w:val="16"/>
        </w:rPr>
      </w:pPr>
      <w:r w:rsidRPr="00444A1A">
        <w:rPr>
          <w:rStyle w:val="FootnoteReference"/>
          <w:sz w:val="16"/>
          <w:szCs w:val="16"/>
        </w:rPr>
        <w:footnoteRef/>
      </w:r>
      <w:r w:rsidRPr="00444A1A">
        <w:rPr>
          <w:sz w:val="16"/>
          <w:szCs w:val="16"/>
        </w:rPr>
        <w:t xml:space="preserve"> Deloitte Access Economics, 27 May 2015, </w:t>
      </w:r>
      <w:r w:rsidRPr="00444A1A">
        <w:rPr>
          <w:i/>
          <w:sz w:val="16"/>
          <w:szCs w:val="16"/>
        </w:rPr>
        <w:t>Consolidated Place Based Income Management Evaluation Report 2012-2015</w:t>
      </w:r>
    </w:p>
  </w:footnote>
  <w:footnote w:id="26">
    <w:p w14:paraId="273C2CCE" w14:textId="77777777" w:rsidR="00EF7C0F" w:rsidRPr="0041129C" w:rsidRDefault="00EF7C0F" w:rsidP="001F3FA9">
      <w:pPr>
        <w:pStyle w:val="FootnoteText"/>
      </w:pPr>
      <w:r w:rsidRPr="0041129C">
        <w:rPr>
          <w:rStyle w:val="FootnoteReference"/>
          <w:sz w:val="16"/>
        </w:rPr>
        <w:footnoteRef/>
      </w:r>
      <w:r w:rsidRPr="0041129C">
        <w:rPr>
          <w:sz w:val="16"/>
          <w:szCs w:val="16"/>
        </w:rPr>
        <w:t xml:space="preserve">Deloitte Access Economics, 2015 Consolidated Place Based Income Management Evaluation Report 2012-2015, </w:t>
      </w:r>
      <w:hyperlink r:id="rId18" w:history="1">
        <w:r w:rsidRPr="0041129C">
          <w:rPr>
            <w:rStyle w:val="Hyperlink"/>
            <w:sz w:val="16"/>
            <w:szCs w:val="16"/>
          </w:rPr>
          <w:t>https://www.dss.gov.au/families-and-children/programmes-services/welfare-conditionality/income-management/consolidated-place-based-income-management-evaluation-report-2012-2015</w:t>
        </w:r>
      </w:hyperlink>
      <w:r w:rsidRPr="0041129C">
        <w:rPr>
          <w:sz w:val="16"/>
          <w:szCs w:val="16"/>
        </w:rPr>
        <w:t xml:space="preserve"> accessed 14 August 2022 p.26.</w:t>
      </w:r>
    </w:p>
  </w:footnote>
  <w:footnote w:id="27">
    <w:p w14:paraId="4A8F9EF2" w14:textId="77777777" w:rsidR="00EF7C0F" w:rsidRDefault="00EF7C0F" w:rsidP="00F66EC6">
      <w:pPr>
        <w:pStyle w:val="FootnoteText"/>
      </w:pPr>
      <w:r w:rsidRPr="0041129C">
        <w:rPr>
          <w:rStyle w:val="FootnoteReference"/>
        </w:rPr>
        <w:footnoteRef/>
      </w:r>
      <w:r w:rsidRPr="0041129C">
        <w:t xml:space="preserve"> </w:t>
      </w:r>
      <w:r w:rsidRPr="0041129C">
        <w:rPr>
          <w:sz w:val="16"/>
        </w:rPr>
        <w:t>D</w:t>
      </w:r>
      <w:r w:rsidRPr="0041129C">
        <w:rPr>
          <w:sz w:val="16"/>
          <w:szCs w:val="16"/>
        </w:rPr>
        <w:t xml:space="preserve">eloitte Access Economics, 2015, </w:t>
      </w:r>
      <w:r w:rsidRPr="0041129C">
        <w:rPr>
          <w:i/>
          <w:sz w:val="16"/>
          <w:szCs w:val="16"/>
        </w:rPr>
        <w:t>Place Based Income Management - Medium Term Outcomes Evaluation Report</w:t>
      </w:r>
      <w:r w:rsidRPr="0041129C">
        <w:rPr>
          <w:sz w:val="16"/>
          <w:szCs w:val="16"/>
        </w:rPr>
        <w:t xml:space="preserve"> </w:t>
      </w:r>
      <w:hyperlink r:id="rId19" w:history="1">
        <w:r w:rsidRPr="0041129C">
          <w:rPr>
            <w:rStyle w:val="Hyperlink"/>
            <w:sz w:val="16"/>
            <w:szCs w:val="16"/>
          </w:rPr>
          <w:t>https://www.dss.gov.au/families-and-children/programmes-services/welfare-conditionality/income-management/place-based-income-management-medium-term-outcomes-evaluation-report</w:t>
        </w:r>
      </w:hyperlink>
      <w:r w:rsidRPr="0041129C">
        <w:rPr>
          <w:sz w:val="16"/>
          <w:szCs w:val="16"/>
        </w:rPr>
        <w:t xml:space="preserve"> accessed on 23 August 2022</w:t>
      </w:r>
    </w:p>
  </w:footnote>
  <w:footnote w:id="28">
    <w:p w14:paraId="02D18807" w14:textId="77777777" w:rsidR="00EF7C0F" w:rsidRDefault="00EF7C0F" w:rsidP="0047046B">
      <w:pPr>
        <w:pStyle w:val="FootnoteText"/>
      </w:pPr>
      <w:r>
        <w:rPr>
          <w:rStyle w:val="FootnoteReference"/>
        </w:rPr>
        <w:footnoteRef/>
      </w:r>
      <w:r>
        <w:t xml:space="preserve"> </w:t>
      </w:r>
      <w:r>
        <w:rPr>
          <w:sz w:val="16"/>
          <w:szCs w:val="16"/>
        </w:rPr>
        <w:t xml:space="preserve">Department of Social Services, 2014, </w:t>
      </w:r>
      <w:r>
        <w:rPr>
          <w:i/>
          <w:iCs/>
          <w:sz w:val="16"/>
          <w:szCs w:val="16"/>
        </w:rPr>
        <w:t>Review of Child Protection Income Management in WA</w:t>
      </w:r>
      <w:r>
        <w:rPr>
          <w:sz w:val="16"/>
          <w:szCs w:val="16"/>
        </w:rPr>
        <w:t>, accessed February 2022, from &lt;</w:t>
      </w:r>
      <w:hyperlink r:id="rId20" w:history="1">
        <w:r>
          <w:rPr>
            <w:rStyle w:val="Hyperlink"/>
            <w:sz w:val="16"/>
            <w:szCs w:val="16"/>
          </w:rPr>
          <w:t>A review of Child Protection Income Management in Western Australia | Department of Social Services, Australian Government (dss.gov.au)</w:t>
        </w:r>
      </w:hyperlink>
      <w:r>
        <w:rPr>
          <w:sz w:val="16"/>
          <w:szCs w:val="16"/>
        </w:rPr>
        <w:t>&gt;</w:t>
      </w:r>
    </w:p>
  </w:footnote>
  <w:footnote w:id="29">
    <w:p w14:paraId="3B5C2D6A" w14:textId="77777777" w:rsidR="00EF7C0F" w:rsidRDefault="00EF7C0F" w:rsidP="0047046B">
      <w:pPr>
        <w:pStyle w:val="FootnoteText"/>
      </w:pPr>
      <w:r>
        <w:rPr>
          <w:rStyle w:val="FootnoteReference"/>
        </w:rPr>
        <w:footnoteRef/>
      </w:r>
      <w:r>
        <w:t xml:space="preserve"> </w:t>
      </w:r>
      <w:r>
        <w:rPr>
          <w:sz w:val="16"/>
          <w:szCs w:val="16"/>
        </w:rPr>
        <w:t xml:space="preserve">Deloitte Access Economics, 2012, </w:t>
      </w:r>
      <w:r>
        <w:rPr>
          <w:i/>
          <w:iCs/>
          <w:sz w:val="16"/>
          <w:szCs w:val="16"/>
        </w:rPr>
        <w:t>Evaluation of Place-Based Income Management (2014 and 2015)</w:t>
      </w:r>
      <w:r>
        <w:rPr>
          <w:sz w:val="16"/>
          <w:szCs w:val="16"/>
        </w:rPr>
        <w:t>, accessed February 2022, from &lt;</w:t>
      </w:r>
      <w:hyperlink r:id="rId21" w:history="1">
        <w:r>
          <w:rPr>
            <w:rStyle w:val="Hyperlink"/>
            <w:sz w:val="16"/>
            <w:szCs w:val="16"/>
          </w:rPr>
          <w:t>Consolidated Place Based Income Management Evaluation Report 2012-2015 | Department of Social Services, Australian Government (dss.gov.au)</w:t>
        </w:r>
      </w:hyperlink>
      <w:r>
        <w:rPr>
          <w:sz w:val="16"/>
          <w:szCs w:val="16"/>
        </w:rPr>
        <w:t>&gt;</w:t>
      </w:r>
    </w:p>
  </w:footnote>
  <w:footnote w:id="30">
    <w:p w14:paraId="5A47102E" w14:textId="77777777" w:rsidR="00EF7C0F" w:rsidRPr="003E548C" w:rsidRDefault="00EF7C0F" w:rsidP="0047046B">
      <w:pPr>
        <w:rPr>
          <w:sz w:val="16"/>
        </w:rPr>
      </w:pPr>
      <w:r>
        <w:rPr>
          <w:rStyle w:val="FootnoteReference"/>
        </w:rPr>
        <w:footnoteRef/>
      </w:r>
      <w:r>
        <w:t xml:space="preserve"> </w:t>
      </w:r>
      <w:r w:rsidRPr="00FC256D">
        <w:rPr>
          <w:sz w:val="16"/>
        </w:rPr>
        <w:t>UNSW,</w:t>
      </w:r>
      <w:r>
        <w:rPr>
          <w:sz w:val="16"/>
        </w:rPr>
        <w:t xml:space="preserve"> 2014, </w:t>
      </w:r>
      <w:r w:rsidRPr="00FC256D">
        <w:rPr>
          <w:i/>
          <w:sz w:val="16"/>
        </w:rPr>
        <w:t>The Evaluation of New Income Management in the NT</w:t>
      </w:r>
      <w:r>
        <w:rPr>
          <w:sz w:val="16"/>
        </w:rPr>
        <w:t>, accessed February 2022, &lt;</w:t>
      </w:r>
      <w:hyperlink r:id="rId22" w:history="1">
        <w:r w:rsidRPr="00FC256D">
          <w:rPr>
            <w:rStyle w:val="Hyperlink"/>
            <w:sz w:val="16"/>
          </w:rPr>
          <w:t>Evaluation of New Income Management in the Northern Territory | Department of Social Services, Australian Government (dss.gov.au)</w:t>
        </w:r>
      </w:hyperlink>
      <w:r>
        <w:rPr>
          <w:sz w:val="16"/>
        </w:rPr>
        <w:t>&gt;</w:t>
      </w:r>
    </w:p>
  </w:footnote>
  <w:footnote w:id="31">
    <w:p w14:paraId="734488ED" w14:textId="77777777" w:rsidR="00EF7C0F" w:rsidRDefault="00EF7C0F">
      <w:pPr>
        <w:pStyle w:val="FootnoteText"/>
      </w:pPr>
      <w:r>
        <w:rPr>
          <w:rStyle w:val="FootnoteReference"/>
        </w:rPr>
        <w:footnoteRef/>
      </w:r>
      <w:r>
        <w:t xml:space="preserve"> </w:t>
      </w:r>
      <w:r>
        <w:rPr>
          <w:sz w:val="16"/>
          <w:szCs w:val="16"/>
        </w:rPr>
        <w:t>Future of Employment and Skills Research Centre, University of Adelaide, 2021, Evaluation of the Cashless Debit Card in Ceduna, East Kimberley and the Goldfields Regions</w:t>
      </w:r>
      <w:r>
        <w:rPr>
          <w:color w:val="1F497D"/>
          <w:sz w:val="16"/>
          <w:szCs w:val="16"/>
        </w:rPr>
        <w:t xml:space="preserve">: </w:t>
      </w:r>
      <w:r>
        <w:rPr>
          <w:sz w:val="16"/>
          <w:szCs w:val="16"/>
        </w:rPr>
        <w:t>Consolidated Report, </w:t>
      </w:r>
      <w:hyperlink r:id="rId23" w:history="1">
        <w:r>
          <w:rPr>
            <w:rStyle w:val="Hyperlink"/>
            <w:sz w:val="16"/>
            <w:szCs w:val="16"/>
          </w:rPr>
          <w:t>https://www.dss.gov.au/sites/default/files/documents/02_2021/fac_evaluation-cdc-ceduna-east-kimberley-and-goldfields-region-consolidated-report_012021.pdf</w:t>
        </w:r>
      </w:hyperlink>
    </w:p>
  </w:footnote>
  <w:footnote w:id="32">
    <w:p w14:paraId="2745F299" w14:textId="77777777" w:rsidR="00EF7C0F" w:rsidRDefault="00EF7C0F">
      <w:pPr>
        <w:pStyle w:val="FootnoteText"/>
      </w:pPr>
      <w:r>
        <w:rPr>
          <w:rStyle w:val="FootnoteReference"/>
        </w:rPr>
        <w:footnoteRef/>
      </w:r>
      <w:r>
        <w:t xml:space="preserve"> </w:t>
      </w:r>
      <w:r>
        <w:rPr>
          <w:sz w:val="16"/>
          <w:szCs w:val="16"/>
        </w:rPr>
        <w:t xml:space="preserve">Australian Bureau of Statistics, 2022, Aboriginal and Torres Strait Islander people: Census, </w:t>
      </w:r>
      <w:hyperlink r:id="rId24" w:history="1">
        <w:r>
          <w:rPr>
            <w:rStyle w:val="Hyperlink"/>
            <w:sz w:val="16"/>
            <w:szCs w:val="16"/>
          </w:rPr>
          <w:t>Aboriginal and Torres Strait Islander people: Census, 2021 | Australian Bureau of Statistics (abs.gov.au)</w:t>
        </w:r>
      </w:hyperlink>
    </w:p>
  </w:footnote>
  <w:footnote w:id="33">
    <w:p w14:paraId="41788CDB" w14:textId="77777777" w:rsidR="00EF7C0F" w:rsidRDefault="00EF7C0F" w:rsidP="0089754F">
      <w:pPr>
        <w:pStyle w:val="FootnoteText"/>
      </w:pPr>
      <w:r>
        <w:rPr>
          <w:rStyle w:val="FootnoteReference"/>
        </w:rPr>
        <w:footnoteRef/>
      </w:r>
      <w:r>
        <w:t xml:space="preserve"> </w:t>
      </w:r>
      <w:r w:rsidRPr="00995DC8">
        <w:rPr>
          <w:sz w:val="18"/>
        </w:rPr>
        <w:t xml:space="preserve">Counts of Australian Businesses (2020-21) </w:t>
      </w:r>
      <w:hyperlink r:id="rId25" w:anchor=":~:text=At%20June%2030%202021%20there,entry%20rate%2C%20with%20365%2C480%20entries." w:history="1">
        <w:r w:rsidRPr="00995DC8">
          <w:rPr>
            <w:rStyle w:val="Hyperlink"/>
            <w:sz w:val="18"/>
          </w:rPr>
          <w:t>Counts of Australian Businesses, including Entries and Exits, July 2017 - June 2021 | Australian Bureau of Statistics (abs.gov.au)</w:t>
        </w:r>
      </w:hyperlink>
      <w:r w:rsidRPr="00995DC8">
        <w:rPr>
          <w:sz w:val="18"/>
        </w:rPr>
        <w:t xml:space="preserve"> </w:t>
      </w:r>
    </w:p>
  </w:footnote>
  <w:footnote w:id="34">
    <w:p w14:paraId="48C08D04" w14:textId="77777777" w:rsidR="00EF7C0F" w:rsidRDefault="00EF7C0F" w:rsidP="005E3C47">
      <w:pPr>
        <w:pStyle w:val="FootnoteText"/>
      </w:pPr>
      <w:r>
        <w:rPr>
          <w:rStyle w:val="FootnoteReference"/>
        </w:rPr>
        <w:footnoteRef/>
      </w:r>
      <w:r>
        <w:t xml:space="preserve"> </w:t>
      </w:r>
      <w:r>
        <w:rPr>
          <w:sz w:val="16"/>
          <w:szCs w:val="16"/>
        </w:rPr>
        <w:t>Future of Employment and Skills Research Centre, University of Adelaide, 2021, Evaluation of the Cashless Debit Card in Ceduna, East Kimberley and the Goldfields Regions</w:t>
      </w:r>
      <w:r>
        <w:rPr>
          <w:color w:val="1F497D"/>
          <w:sz w:val="16"/>
          <w:szCs w:val="16"/>
        </w:rPr>
        <w:t xml:space="preserve">: </w:t>
      </w:r>
      <w:r>
        <w:rPr>
          <w:sz w:val="16"/>
          <w:szCs w:val="16"/>
        </w:rPr>
        <w:t>Consolidated Report, </w:t>
      </w:r>
      <w:hyperlink r:id="rId26" w:history="1">
        <w:r>
          <w:rPr>
            <w:rStyle w:val="Hyperlink"/>
            <w:sz w:val="16"/>
            <w:szCs w:val="16"/>
          </w:rPr>
          <w:t>https://www.dss.gov.au/sites/default/files/documents/02_2021/fac_evaluation-cdc-ceduna-east-kimberley-and-goldfields-region-consolidated-report_012021.pdf</w:t>
        </w:r>
      </w:hyperlink>
    </w:p>
  </w:footnote>
  <w:footnote w:id="35">
    <w:p w14:paraId="1DEEBC08" w14:textId="77777777" w:rsidR="00EF7C0F" w:rsidRDefault="00EF7C0F" w:rsidP="0082100B">
      <w:pPr>
        <w:pStyle w:val="FootnoteText"/>
      </w:pPr>
      <w:r>
        <w:rPr>
          <w:rStyle w:val="FootnoteReference"/>
        </w:rPr>
        <w:footnoteRef/>
      </w:r>
      <w:r>
        <w:t xml:space="preserve"> </w:t>
      </w:r>
      <w:r w:rsidRPr="00296846">
        <w:rPr>
          <w:sz w:val="14"/>
        </w:rPr>
        <w:t>Australian Institute of Health and Welfare. (2014). Australia’s Health 2014. AIHW: Canberra.</w:t>
      </w:r>
      <w:r w:rsidRPr="00296846">
        <w:t xml:space="preserve"> </w:t>
      </w:r>
      <w:hyperlink r:id="rId27" w:history="1">
        <w:r w:rsidRPr="00FD6D73">
          <w:rPr>
            <w:rStyle w:val="Hyperlink"/>
            <w:sz w:val="14"/>
          </w:rPr>
          <w:t>https://www.aihw.gov.au/reports/australias-health/australias-health-2014/data</w:t>
        </w:r>
      </w:hyperlink>
      <w:r>
        <w:rPr>
          <w:sz w:val="14"/>
        </w:rPr>
        <w:t xml:space="preserve"> accessed on 19 August 2022</w:t>
      </w:r>
    </w:p>
  </w:footnote>
  <w:footnote w:id="36">
    <w:p w14:paraId="6AB02FC2" w14:textId="77777777" w:rsidR="00EF7C0F" w:rsidRPr="00090006" w:rsidRDefault="00EF7C0F" w:rsidP="00E72FEB">
      <w:pPr>
        <w:pStyle w:val="FootnoteText"/>
        <w:rPr>
          <w:sz w:val="18"/>
          <w:szCs w:val="18"/>
        </w:rPr>
      </w:pPr>
      <w:r w:rsidRPr="00090006">
        <w:rPr>
          <w:rStyle w:val="FootnoteReference"/>
          <w:sz w:val="18"/>
          <w:szCs w:val="18"/>
        </w:rPr>
        <w:footnoteRef/>
      </w:r>
      <w:r w:rsidRPr="00090006">
        <w:rPr>
          <w:sz w:val="18"/>
          <w:szCs w:val="18"/>
        </w:rPr>
        <w:t xml:space="preserve"> Northern Territory Government, </w:t>
      </w:r>
      <w:r w:rsidRPr="00090006">
        <w:rPr>
          <w:i/>
          <w:sz w:val="18"/>
          <w:szCs w:val="18"/>
        </w:rPr>
        <w:t>Little Children Are Sacred</w:t>
      </w:r>
      <w:r>
        <w:rPr>
          <w:sz w:val="18"/>
          <w:szCs w:val="18"/>
        </w:rPr>
        <w:t xml:space="preserve">, </w:t>
      </w:r>
      <w:hyperlink r:id="rId28" w:history="1">
        <w:r w:rsidRPr="00090006">
          <w:rPr>
            <w:rStyle w:val="Hyperlink"/>
            <w:sz w:val="18"/>
            <w:szCs w:val="18"/>
          </w:rPr>
          <w:t>http://www.inquirysaac.nt.gov.au/pdf/bipacsa_final_report.pdf</w:t>
        </w:r>
      </w:hyperlink>
    </w:p>
  </w:footnote>
  <w:footnote w:id="37">
    <w:p w14:paraId="04250FCE" w14:textId="77777777" w:rsidR="00EF7C0F" w:rsidRPr="00C82437" w:rsidRDefault="00EF7C0F" w:rsidP="00E72FEB">
      <w:pPr>
        <w:pStyle w:val="FootnoteText"/>
      </w:pPr>
      <w:r w:rsidRPr="00090006">
        <w:rPr>
          <w:rStyle w:val="FootnoteReference"/>
          <w:sz w:val="18"/>
          <w:szCs w:val="18"/>
        </w:rPr>
        <w:footnoteRef/>
      </w:r>
      <w:r w:rsidRPr="00090006">
        <w:rPr>
          <w:sz w:val="18"/>
          <w:szCs w:val="18"/>
        </w:rPr>
        <w:t xml:space="preserve"> Australian Government, </w:t>
      </w:r>
      <w:r w:rsidRPr="00090006">
        <w:rPr>
          <w:i/>
          <w:sz w:val="18"/>
          <w:szCs w:val="18"/>
        </w:rPr>
        <w:t>Northern Territory Emergency Response: One Year On</w:t>
      </w:r>
      <w:r w:rsidRPr="00090006">
        <w:rPr>
          <w:sz w:val="18"/>
          <w:szCs w:val="18"/>
        </w:rPr>
        <w:t xml:space="preserve">, </w:t>
      </w:r>
      <w:hyperlink r:id="rId29" w:history="1">
        <w:r w:rsidRPr="00090006">
          <w:rPr>
            <w:rStyle w:val="Hyperlink"/>
            <w:rFonts w:eastAsiaTheme="majorEastAsia"/>
            <w:sz w:val="18"/>
            <w:szCs w:val="18"/>
          </w:rPr>
          <w:t>https://www.dss.gov.au/sites/default/files/documents/05_2012/nter_review.pdf</w:t>
        </w:r>
      </w:hyperlink>
    </w:p>
  </w:footnote>
  <w:footnote w:id="38">
    <w:p w14:paraId="1CDBFBA6" w14:textId="77777777" w:rsidR="00EF7C0F" w:rsidRPr="00090006" w:rsidRDefault="00EF7C0F" w:rsidP="00E72FEB">
      <w:pPr>
        <w:pStyle w:val="FootnoteText"/>
        <w:rPr>
          <w:sz w:val="18"/>
          <w:szCs w:val="18"/>
        </w:rPr>
      </w:pPr>
      <w:r w:rsidRPr="00090006">
        <w:rPr>
          <w:rStyle w:val="FootnoteReference"/>
          <w:sz w:val="18"/>
          <w:szCs w:val="18"/>
        </w:rPr>
        <w:footnoteRef/>
      </w:r>
      <w:r w:rsidRPr="00090006">
        <w:rPr>
          <w:sz w:val="18"/>
          <w:szCs w:val="18"/>
        </w:rPr>
        <w:t xml:space="preserve"> The Minderoo Foundation, </w:t>
      </w:r>
      <w:r w:rsidRPr="00090006">
        <w:rPr>
          <w:i/>
          <w:sz w:val="18"/>
          <w:szCs w:val="18"/>
        </w:rPr>
        <w:t>The Forrest Review: Creating Parity</w:t>
      </w:r>
      <w:r w:rsidRPr="00090006">
        <w:rPr>
          <w:sz w:val="18"/>
          <w:szCs w:val="18"/>
        </w:rPr>
        <w:t xml:space="preserve">, </w:t>
      </w:r>
      <w:hyperlink r:id="rId30" w:history="1">
        <w:r w:rsidRPr="00090006">
          <w:rPr>
            <w:rStyle w:val="Hyperlink"/>
            <w:rFonts w:eastAsiaTheme="majorEastAsia"/>
            <w:sz w:val="18"/>
            <w:szCs w:val="18"/>
          </w:rPr>
          <w:t>https://cdn.minderoo.com.au/content/uploads/2019/02/05183022/3838-Forrest-Review-Update-Full-Report-Complete-PDF-PRO1-p.pdf</w:t>
        </w:r>
      </w:hyperlink>
    </w:p>
  </w:footnote>
  <w:footnote w:id="39">
    <w:p w14:paraId="3E51D06B" w14:textId="77777777" w:rsidR="00EF7C0F" w:rsidRDefault="00EF7C0F" w:rsidP="00F00F81">
      <w:pPr>
        <w:pStyle w:val="FootnoteText"/>
      </w:pPr>
      <w:r>
        <w:rPr>
          <w:rStyle w:val="FootnoteReference"/>
        </w:rPr>
        <w:footnoteRef/>
      </w:r>
      <w:r>
        <w:t xml:space="preserve"> </w:t>
      </w:r>
      <w:r w:rsidRPr="00995DC8">
        <w:rPr>
          <w:sz w:val="18"/>
        </w:rPr>
        <w:t xml:space="preserve">Counts of Australian Businesses (2020-21) </w:t>
      </w:r>
      <w:hyperlink r:id="rId31" w:anchor=":~:text=At%20June%2030%202021%20there,entry%20rate%2C%20with%20365%2C480%20entries." w:history="1">
        <w:r w:rsidRPr="00995DC8">
          <w:rPr>
            <w:rStyle w:val="Hyperlink"/>
            <w:sz w:val="18"/>
          </w:rPr>
          <w:t>Counts of Australian Businesses, including Entries and Exits, July 2017 - June 2021 | Australian Bureau of Statistics (abs.gov.au)</w:t>
        </w:r>
      </w:hyperlink>
      <w:r w:rsidRPr="00995DC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D8D3" w14:textId="77777777" w:rsidR="00BF33E7" w:rsidRDefault="00BF3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showingPlcHdr/>
      <w:dataBinding w:xpath="/root[1]/Classification[1]" w:storeItemID="{00000000-0000-0000-0000-000000000000}"/>
      <w:text/>
    </w:sdtPr>
    <w:sdtEndPr/>
    <w:sdtContent>
      <w:p w14:paraId="75BEF907" w14:textId="77777777" w:rsidR="00EF7C0F" w:rsidRPr="00B87E45" w:rsidRDefault="00EF7C0F" w:rsidP="001007B9">
        <w:pPr>
          <w:pStyle w:val="ProtectiveMarking"/>
        </w:pPr>
        <w:r>
          <w:t xml:space="preserve">     </w:t>
        </w:r>
      </w:p>
    </w:sdtContent>
  </w:sdt>
  <w:p w14:paraId="3A646666" w14:textId="77777777" w:rsidR="00EF7C0F" w:rsidRPr="00073D52" w:rsidRDefault="00EF7C0F" w:rsidP="001007B9">
    <w:pPr>
      <w:pStyle w:val="Footerline"/>
    </w:pPr>
  </w:p>
  <w:p w14:paraId="38B91D6A" w14:textId="77777777" w:rsidR="00EF7C0F" w:rsidRDefault="00EF7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C012" w14:textId="77777777" w:rsidR="00BF33E7" w:rsidRDefault="00BF3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80E3" w14:textId="77777777" w:rsidR="00EF7C0F" w:rsidRPr="00753174" w:rsidRDefault="00EF7C0F" w:rsidP="00DB43DD">
    <w:pPr>
      <w:pStyle w:val="Header"/>
      <w:jc w:val="center"/>
    </w:pPr>
  </w:p>
  <w:p w14:paraId="54D3522A" w14:textId="77777777" w:rsidR="00EF7C0F" w:rsidRPr="00753174" w:rsidRDefault="00EF7C0F"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showingPlcHdr/>
      <w:dataBinding w:xpath="/root[1]/Classification[1]" w:storeItemID="{00000000-0000-0000-0000-000000000000}"/>
      <w:text/>
    </w:sdtPr>
    <w:sdtEndPr/>
    <w:sdtContent>
      <w:p w14:paraId="1CBED806" w14:textId="77777777" w:rsidR="00EF7C0F" w:rsidRPr="00B87E45" w:rsidRDefault="00EF7C0F" w:rsidP="00663EAD">
        <w:pPr>
          <w:pStyle w:val="ProtectiveMarking"/>
        </w:pPr>
        <w:r>
          <w:t xml:space="preserve">     </w:t>
        </w:r>
      </w:p>
    </w:sdtContent>
  </w:sdt>
  <w:p w14:paraId="60723253" w14:textId="77777777" w:rsidR="00EF7C0F" w:rsidRPr="00073D52" w:rsidRDefault="00EF7C0F" w:rsidP="00663EAD">
    <w:pPr>
      <w:pStyle w:val="Footerline"/>
    </w:pPr>
  </w:p>
  <w:p w14:paraId="18017352" w14:textId="77777777" w:rsidR="00EF7C0F" w:rsidRDefault="00EF7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232"/>
    <w:multiLevelType w:val="hybridMultilevel"/>
    <w:tmpl w:val="C4625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425E8"/>
    <w:multiLevelType w:val="hybridMultilevel"/>
    <w:tmpl w:val="ED043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A20CAA"/>
    <w:multiLevelType w:val="hybridMultilevel"/>
    <w:tmpl w:val="31B8E21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B29C0"/>
    <w:multiLevelType w:val="hybridMultilevel"/>
    <w:tmpl w:val="A8765C8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EF5064F"/>
    <w:multiLevelType w:val="hybridMultilevel"/>
    <w:tmpl w:val="50621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475357"/>
    <w:multiLevelType w:val="hybridMultilevel"/>
    <w:tmpl w:val="83609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31D7A"/>
    <w:multiLevelType w:val="hybridMultilevel"/>
    <w:tmpl w:val="D7F8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396D40"/>
    <w:multiLevelType w:val="hybridMultilevel"/>
    <w:tmpl w:val="1C58E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82017"/>
    <w:multiLevelType w:val="hybridMultilevel"/>
    <w:tmpl w:val="7E4C8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87EF0"/>
    <w:multiLevelType w:val="hybridMultilevel"/>
    <w:tmpl w:val="33E8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14D80"/>
    <w:multiLevelType w:val="hybridMultilevel"/>
    <w:tmpl w:val="D62E1FF4"/>
    <w:lvl w:ilvl="0" w:tplc="5D620A38">
      <w:start w:val="1"/>
      <w:numFmt w:val="bullet"/>
      <w:pStyle w:val="FESboxbullet"/>
      <w:lvlText w:val="o"/>
      <w:lvlJc w:val="left"/>
      <w:pPr>
        <w:ind w:left="770" w:hanging="41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1B04180D"/>
    <w:multiLevelType w:val="hybridMultilevel"/>
    <w:tmpl w:val="DEF6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B1116"/>
    <w:multiLevelType w:val="multilevel"/>
    <w:tmpl w:val="1DA824CA"/>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FBB743D"/>
    <w:multiLevelType w:val="hybridMultilevel"/>
    <w:tmpl w:val="503A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6F5536"/>
    <w:multiLevelType w:val="hybridMultilevel"/>
    <w:tmpl w:val="36C6B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BB7458"/>
    <w:multiLevelType w:val="hybridMultilevel"/>
    <w:tmpl w:val="FED03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9B47D6"/>
    <w:multiLevelType w:val="hybridMultilevel"/>
    <w:tmpl w:val="464A0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3C011D9"/>
    <w:multiLevelType w:val="hybridMultilevel"/>
    <w:tmpl w:val="DFB0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4031A"/>
    <w:multiLevelType w:val="hybridMultilevel"/>
    <w:tmpl w:val="D63C6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6F344C"/>
    <w:multiLevelType w:val="hybridMultilevel"/>
    <w:tmpl w:val="31B8E21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DB51B2"/>
    <w:multiLevelType w:val="hybridMultilevel"/>
    <w:tmpl w:val="FCCCDA18"/>
    <w:lvl w:ilvl="0" w:tplc="0C090001">
      <w:start w:val="1"/>
      <w:numFmt w:val="bullet"/>
      <w:lvlText w:val=""/>
      <w:lvlJc w:val="left"/>
      <w:pPr>
        <w:ind w:left="720" w:hanging="360"/>
      </w:pPr>
      <w:rPr>
        <w:rFonts w:ascii="Symbol" w:hAnsi="Symbol" w:hint="default"/>
      </w:rPr>
    </w:lvl>
    <w:lvl w:ilvl="1" w:tplc="CDFCBB02">
      <w:start w:val="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6" w15:restartNumberingAfterBreak="0">
    <w:nsid w:val="375F78BD"/>
    <w:multiLevelType w:val="hybridMultilevel"/>
    <w:tmpl w:val="6B9CB2E6"/>
    <w:lvl w:ilvl="0" w:tplc="8F7E4534">
      <w:start w:val="1"/>
      <w:numFmt w:val="bullet"/>
      <w:pStyle w:val="BulletedListlvl2"/>
      <w:lvlText w:val="o"/>
      <w:lvlJc w:val="left"/>
      <w:pPr>
        <w:ind w:left="1458" w:hanging="360"/>
      </w:pPr>
      <w:rPr>
        <w:rFonts w:ascii="Courier New" w:hAnsi="Courier New" w:cs="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pStyle w:val="BulletedListlvl3"/>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27" w15:restartNumberingAfterBreak="0">
    <w:nsid w:val="399C53B2"/>
    <w:multiLevelType w:val="multilevel"/>
    <w:tmpl w:val="1DA824CA"/>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B8B71BB"/>
    <w:multiLevelType w:val="hybridMultilevel"/>
    <w:tmpl w:val="DD905E28"/>
    <w:lvl w:ilvl="0" w:tplc="0C090001">
      <w:start w:val="1"/>
      <w:numFmt w:val="bullet"/>
      <w:lvlText w:val=""/>
      <w:lvlJc w:val="left"/>
      <w:pPr>
        <w:ind w:left="644" w:hanging="360"/>
      </w:pPr>
      <w:rPr>
        <w:rFonts w:ascii="Symbol" w:hAnsi="Symbol" w:hint="default"/>
        <w:color w:val="262626" w:themeColor="text1" w:themeTint="D9"/>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3DFC37B0"/>
    <w:multiLevelType w:val="hybridMultilevel"/>
    <w:tmpl w:val="54A46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D95258"/>
    <w:multiLevelType w:val="hybridMultilevel"/>
    <w:tmpl w:val="7180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7E43D7"/>
    <w:multiLevelType w:val="hybridMultilevel"/>
    <w:tmpl w:val="AC22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E96BEB"/>
    <w:multiLevelType w:val="hybridMultilevel"/>
    <w:tmpl w:val="7494D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26F2679"/>
    <w:multiLevelType w:val="hybridMultilevel"/>
    <w:tmpl w:val="6670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CF00A5"/>
    <w:multiLevelType w:val="hybridMultilevel"/>
    <w:tmpl w:val="D550E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7A80394"/>
    <w:multiLevelType w:val="hybridMultilevel"/>
    <w:tmpl w:val="EFD20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BD259E3"/>
    <w:multiLevelType w:val="hybridMultilevel"/>
    <w:tmpl w:val="5772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557F54"/>
    <w:multiLevelType w:val="hybridMultilevel"/>
    <w:tmpl w:val="29F61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E50683"/>
    <w:multiLevelType w:val="hybridMultilevel"/>
    <w:tmpl w:val="1BC25030"/>
    <w:lvl w:ilvl="0" w:tplc="0C090001">
      <w:start w:val="1"/>
      <w:numFmt w:val="bullet"/>
      <w:lvlText w:val=""/>
      <w:lvlJc w:val="left"/>
      <w:pPr>
        <w:ind w:left="720" w:hanging="360"/>
      </w:pPr>
      <w:rPr>
        <w:rFonts w:ascii="Symbol" w:hAnsi="Symbol" w:hint="default"/>
      </w:rPr>
    </w:lvl>
    <w:lvl w:ilvl="1" w:tplc="CDFCBB02">
      <w:start w:val="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AD0C79"/>
    <w:multiLevelType w:val="hybridMultilevel"/>
    <w:tmpl w:val="B7BE66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1" w15:restartNumberingAfterBreak="0">
    <w:nsid w:val="608102BA"/>
    <w:multiLevelType w:val="hybridMultilevel"/>
    <w:tmpl w:val="8F9E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8F21F8"/>
    <w:multiLevelType w:val="multilevel"/>
    <w:tmpl w:val="C180DD9E"/>
    <w:lvl w:ilvl="0">
      <w:start w:val="1"/>
      <w:numFmt w:val="bullet"/>
      <w:pStyle w:val="BulletedListlvl1"/>
      <w:lvlText w:val=""/>
      <w:lvlJc w:val="left"/>
      <w:pPr>
        <w:ind w:left="567" w:hanging="283"/>
      </w:pPr>
      <w:rPr>
        <w:rFonts w:ascii="Symbol" w:hAnsi="Symbol" w:hint="default"/>
        <w:b/>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3" w15:restartNumberingAfterBreak="0">
    <w:nsid w:val="60CA5FB9"/>
    <w:multiLevelType w:val="hybridMultilevel"/>
    <w:tmpl w:val="31D6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3E482D"/>
    <w:multiLevelType w:val="multilevel"/>
    <w:tmpl w:val="AAF29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520" w:hanging="72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AB390A"/>
    <w:multiLevelType w:val="hybridMultilevel"/>
    <w:tmpl w:val="E5EC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123627"/>
    <w:multiLevelType w:val="hybridMultilevel"/>
    <w:tmpl w:val="5E44B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E565F1"/>
    <w:multiLevelType w:val="hybridMultilevel"/>
    <w:tmpl w:val="379CA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B84F6B"/>
    <w:multiLevelType w:val="hybridMultilevel"/>
    <w:tmpl w:val="E30606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6FD75A73"/>
    <w:multiLevelType w:val="hybridMultilevel"/>
    <w:tmpl w:val="6D782C68"/>
    <w:lvl w:ilvl="0" w:tplc="0C09000F">
      <w:start w:val="1"/>
      <w:numFmt w:val="decimal"/>
      <w:lvlText w:val="%1."/>
      <w:lvlJc w:val="left"/>
      <w:pPr>
        <w:ind w:left="0" w:hanging="360"/>
      </w:p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5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51" w15:restartNumberingAfterBreak="0">
    <w:nsid w:val="73100CEC"/>
    <w:multiLevelType w:val="hybridMultilevel"/>
    <w:tmpl w:val="F6EE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3" w15:restartNumberingAfterBreak="0">
    <w:nsid w:val="76F26231"/>
    <w:multiLevelType w:val="hybridMultilevel"/>
    <w:tmpl w:val="C5889A8E"/>
    <w:lvl w:ilvl="0" w:tplc="8E527014">
      <w:start w:val="1"/>
      <w:numFmt w:val="bullet"/>
      <w:pStyle w:val="CABBulletList"/>
      <w:lvlText w:val=""/>
      <w:lvlJc w:val="left"/>
      <w:pPr>
        <w:ind w:left="284" w:hanging="284"/>
      </w:pPr>
      <w:rPr>
        <w:rFonts w:ascii="Symbol" w:hAnsi="Symbol" w:hint="default"/>
        <w:color w:val="auto"/>
      </w:rPr>
    </w:lvl>
    <w:lvl w:ilvl="1" w:tplc="1F10F5EC" w:tentative="1">
      <w:start w:val="1"/>
      <w:numFmt w:val="bullet"/>
      <w:lvlText w:val="o"/>
      <w:lvlJc w:val="left"/>
      <w:pPr>
        <w:ind w:left="1440" w:hanging="360"/>
      </w:pPr>
      <w:rPr>
        <w:rFonts w:ascii="Courier New" w:hAnsi="Courier New" w:hint="default"/>
      </w:rPr>
    </w:lvl>
    <w:lvl w:ilvl="2" w:tplc="111A662C" w:tentative="1">
      <w:start w:val="1"/>
      <w:numFmt w:val="bullet"/>
      <w:lvlText w:val=""/>
      <w:lvlJc w:val="left"/>
      <w:pPr>
        <w:ind w:left="2160" w:hanging="360"/>
      </w:pPr>
      <w:rPr>
        <w:rFonts w:ascii="Wingdings" w:hAnsi="Wingdings" w:hint="default"/>
      </w:rPr>
    </w:lvl>
    <w:lvl w:ilvl="3" w:tplc="29F64FAC" w:tentative="1">
      <w:start w:val="1"/>
      <w:numFmt w:val="bullet"/>
      <w:lvlText w:val=""/>
      <w:lvlJc w:val="left"/>
      <w:pPr>
        <w:ind w:left="2880" w:hanging="360"/>
      </w:pPr>
      <w:rPr>
        <w:rFonts w:ascii="Symbol" w:hAnsi="Symbol" w:hint="default"/>
      </w:rPr>
    </w:lvl>
    <w:lvl w:ilvl="4" w:tplc="ED521892" w:tentative="1">
      <w:start w:val="1"/>
      <w:numFmt w:val="bullet"/>
      <w:lvlText w:val="o"/>
      <w:lvlJc w:val="left"/>
      <w:pPr>
        <w:ind w:left="3600" w:hanging="360"/>
      </w:pPr>
      <w:rPr>
        <w:rFonts w:ascii="Courier New" w:hAnsi="Courier New" w:hint="default"/>
      </w:rPr>
    </w:lvl>
    <w:lvl w:ilvl="5" w:tplc="F9607EDE" w:tentative="1">
      <w:start w:val="1"/>
      <w:numFmt w:val="bullet"/>
      <w:lvlText w:val=""/>
      <w:lvlJc w:val="left"/>
      <w:pPr>
        <w:ind w:left="4320" w:hanging="360"/>
      </w:pPr>
      <w:rPr>
        <w:rFonts w:ascii="Wingdings" w:hAnsi="Wingdings" w:hint="default"/>
      </w:rPr>
    </w:lvl>
    <w:lvl w:ilvl="6" w:tplc="6E36839C" w:tentative="1">
      <w:start w:val="1"/>
      <w:numFmt w:val="bullet"/>
      <w:lvlText w:val=""/>
      <w:lvlJc w:val="left"/>
      <w:pPr>
        <w:ind w:left="5040" w:hanging="360"/>
      </w:pPr>
      <w:rPr>
        <w:rFonts w:ascii="Symbol" w:hAnsi="Symbol" w:hint="default"/>
      </w:rPr>
    </w:lvl>
    <w:lvl w:ilvl="7" w:tplc="5C7A36F2" w:tentative="1">
      <w:start w:val="1"/>
      <w:numFmt w:val="bullet"/>
      <w:lvlText w:val="o"/>
      <w:lvlJc w:val="left"/>
      <w:pPr>
        <w:ind w:left="5760" w:hanging="360"/>
      </w:pPr>
      <w:rPr>
        <w:rFonts w:ascii="Courier New" w:hAnsi="Courier New" w:hint="default"/>
      </w:rPr>
    </w:lvl>
    <w:lvl w:ilvl="8" w:tplc="49385982" w:tentative="1">
      <w:start w:val="1"/>
      <w:numFmt w:val="bullet"/>
      <w:lvlText w:val=""/>
      <w:lvlJc w:val="left"/>
      <w:pPr>
        <w:ind w:left="6480" w:hanging="360"/>
      </w:pPr>
      <w:rPr>
        <w:rFonts w:ascii="Wingdings" w:hAnsi="Wingdings" w:hint="default"/>
      </w:rPr>
    </w:lvl>
  </w:abstractNum>
  <w:abstractNum w:abstractNumId="54" w15:restartNumberingAfterBreak="0">
    <w:nsid w:val="77D9113F"/>
    <w:multiLevelType w:val="hybridMultilevel"/>
    <w:tmpl w:val="CF463A90"/>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B6F2A"/>
    <w:multiLevelType w:val="hybridMultilevel"/>
    <w:tmpl w:val="C0E2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D63806"/>
    <w:multiLevelType w:val="hybridMultilevel"/>
    <w:tmpl w:val="077A44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0"/>
  </w:num>
  <w:num w:numId="2">
    <w:abstractNumId w:val="42"/>
  </w:num>
  <w:num w:numId="3">
    <w:abstractNumId w:val="2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
    <w:abstractNumId w:val="5"/>
  </w:num>
  <w:num w:numId="5">
    <w:abstractNumId w:val="52"/>
  </w:num>
  <w:num w:numId="6">
    <w:abstractNumId w:val="50"/>
  </w:num>
  <w:num w:numId="7">
    <w:abstractNumId w:val="9"/>
  </w:num>
  <w:num w:numId="8">
    <w:abstractNumId w:val="19"/>
  </w:num>
  <w:num w:numId="9">
    <w:abstractNumId w:val="3"/>
  </w:num>
  <w:num w:numId="10">
    <w:abstractNumId w:val="36"/>
  </w:num>
  <w:num w:numId="11">
    <w:abstractNumId w:val="44"/>
  </w:num>
  <w:num w:numId="12">
    <w:abstractNumId w:val="7"/>
  </w:num>
  <w:num w:numId="13">
    <w:abstractNumId w:val="41"/>
  </w:num>
  <w:num w:numId="14">
    <w:abstractNumId w:val="6"/>
  </w:num>
  <w:num w:numId="15">
    <w:abstractNumId w:val="1"/>
  </w:num>
  <w:num w:numId="16">
    <w:abstractNumId w:val="46"/>
  </w:num>
  <w:num w:numId="17">
    <w:abstractNumId w:val="29"/>
  </w:num>
  <w:num w:numId="18">
    <w:abstractNumId w:val="34"/>
  </w:num>
  <w:num w:numId="19">
    <w:abstractNumId w:val="54"/>
  </w:num>
  <w:num w:numId="20">
    <w:abstractNumId w:val="16"/>
  </w:num>
  <w:num w:numId="21">
    <w:abstractNumId w:val="2"/>
  </w:num>
  <w:num w:numId="22">
    <w:abstractNumId w:val="56"/>
  </w:num>
  <w:num w:numId="23">
    <w:abstractNumId w:val="26"/>
  </w:num>
  <w:num w:numId="24">
    <w:abstractNumId w:val="15"/>
  </w:num>
  <w:num w:numId="25">
    <w:abstractNumId w:val="4"/>
  </w:num>
  <w:num w:numId="26">
    <w:abstractNumId w:val="45"/>
  </w:num>
  <w:num w:numId="27">
    <w:abstractNumId w:val="24"/>
  </w:num>
  <w:num w:numId="28">
    <w:abstractNumId w:val="38"/>
  </w:num>
  <w:num w:numId="29">
    <w:abstractNumId w:val="8"/>
  </w:num>
  <w:num w:numId="30">
    <w:abstractNumId w:val="32"/>
  </w:num>
  <w:num w:numId="31">
    <w:abstractNumId w:val="22"/>
  </w:num>
  <w:num w:numId="32">
    <w:abstractNumId w:val="37"/>
  </w:num>
  <w:num w:numId="33">
    <w:abstractNumId w:val="32"/>
  </w:num>
  <w:num w:numId="34">
    <w:abstractNumId w:val="33"/>
  </w:num>
  <w:num w:numId="35">
    <w:abstractNumId w:val="39"/>
  </w:num>
  <w:num w:numId="36">
    <w:abstractNumId w:val="48"/>
  </w:num>
  <w:num w:numId="37">
    <w:abstractNumId w:val="55"/>
  </w:num>
  <w:num w:numId="38">
    <w:abstractNumId w:val="42"/>
  </w:num>
  <w:num w:numId="39">
    <w:abstractNumId w:val="43"/>
  </w:num>
  <w:num w:numId="40">
    <w:abstractNumId w:val="21"/>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17"/>
  </w:num>
  <w:num w:numId="45">
    <w:abstractNumId w:val="28"/>
  </w:num>
  <w:num w:numId="46">
    <w:abstractNumId w:val="42"/>
  </w:num>
  <w:num w:numId="47">
    <w:abstractNumId w:val="13"/>
  </w:num>
  <w:num w:numId="48">
    <w:abstractNumId w:val="23"/>
  </w:num>
  <w:num w:numId="49">
    <w:abstractNumId w:val="30"/>
  </w:num>
  <w:num w:numId="50">
    <w:abstractNumId w:val="18"/>
  </w:num>
  <w:num w:numId="51">
    <w:abstractNumId w:val="35"/>
  </w:num>
  <w:num w:numId="52">
    <w:abstractNumId w:val="20"/>
  </w:num>
  <w:num w:numId="53">
    <w:abstractNumId w:val="51"/>
  </w:num>
  <w:num w:numId="54">
    <w:abstractNumId w:val="47"/>
  </w:num>
  <w:num w:numId="55">
    <w:abstractNumId w:val="53"/>
  </w:num>
  <w:num w:numId="56">
    <w:abstractNumId w:val="12"/>
  </w:num>
  <w:num w:numId="57">
    <w:abstractNumId w:val="10"/>
  </w:num>
  <w:num w:numId="58">
    <w:abstractNumId w:val="14"/>
  </w:num>
  <w:num w:numId="59">
    <w:abstractNumId w:val="11"/>
  </w:num>
  <w:num w:numId="60">
    <w:abstractNumId w:val="42"/>
  </w:num>
  <w:num w:numId="61">
    <w:abstractNumId w:val="42"/>
  </w:num>
  <w:num w:numId="62">
    <w:abstractNumId w:val="27"/>
  </w:num>
  <w:num w:numId="63">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052"/>
    <w:rsid w:val="00000627"/>
    <w:rsid w:val="000006BA"/>
    <w:rsid w:val="00000CD4"/>
    <w:rsid w:val="000011FF"/>
    <w:rsid w:val="00001E89"/>
    <w:rsid w:val="00002B6D"/>
    <w:rsid w:val="00002F73"/>
    <w:rsid w:val="00003675"/>
    <w:rsid w:val="00003EEA"/>
    <w:rsid w:val="0000407B"/>
    <w:rsid w:val="0000461A"/>
    <w:rsid w:val="00007615"/>
    <w:rsid w:val="000079CE"/>
    <w:rsid w:val="00007CD8"/>
    <w:rsid w:val="0001056A"/>
    <w:rsid w:val="00010807"/>
    <w:rsid w:val="00010E08"/>
    <w:rsid w:val="00010EA6"/>
    <w:rsid w:val="0001118F"/>
    <w:rsid w:val="00011FB1"/>
    <w:rsid w:val="00012762"/>
    <w:rsid w:val="00013E4A"/>
    <w:rsid w:val="00014B18"/>
    <w:rsid w:val="0001521D"/>
    <w:rsid w:val="000154D6"/>
    <w:rsid w:val="00015B47"/>
    <w:rsid w:val="0001609E"/>
    <w:rsid w:val="000162B5"/>
    <w:rsid w:val="000163C5"/>
    <w:rsid w:val="00017548"/>
    <w:rsid w:val="00017A75"/>
    <w:rsid w:val="0002068D"/>
    <w:rsid w:val="000209F5"/>
    <w:rsid w:val="00021742"/>
    <w:rsid w:val="0002215E"/>
    <w:rsid w:val="0002236E"/>
    <w:rsid w:val="00022F1B"/>
    <w:rsid w:val="000234A0"/>
    <w:rsid w:val="00023AC4"/>
    <w:rsid w:val="00024862"/>
    <w:rsid w:val="00025205"/>
    <w:rsid w:val="00025F93"/>
    <w:rsid w:val="00025F9D"/>
    <w:rsid w:val="00026354"/>
    <w:rsid w:val="000263B0"/>
    <w:rsid w:val="00026598"/>
    <w:rsid w:val="00026CE2"/>
    <w:rsid w:val="00026E83"/>
    <w:rsid w:val="0002754C"/>
    <w:rsid w:val="000304B2"/>
    <w:rsid w:val="00030B7B"/>
    <w:rsid w:val="00030F4A"/>
    <w:rsid w:val="00031315"/>
    <w:rsid w:val="0003138C"/>
    <w:rsid w:val="00031B5C"/>
    <w:rsid w:val="00031DCD"/>
    <w:rsid w:val="00032CC9"/>
    <w:rsid w:val="00033A84"/>
    <w:rsid w:val="00033D8B"/>
    <w:rsid w:val="00034FEC"/>
    <w:rsid w:val="00035A66"/>
    <w:rsid w:val="00036F38"/>
    <w:rsid w:val="00036FEB"/>
    <w:rsid w:val="00037374"/>
    <w:rsid w:val="00037B59"/>
    <w:rsid w:val="000405EB"/>
    <w:rsid w:val="00041699"/>
    <w:rsid w:val="00041E3E"/>
    <w:rsid w:val="00041F73"/>
    <w:rsid w:val="000423F3"/>
    <w:rsid w:val="00042E89"/>
    <w:rsid w:val="0004304E"/>
    <w:rsid w:val="000433A1"/>
    <w:rsid w:val="00043626"/>
    <w:rsid w:val="00043895"/>
    <w:rsid w:val="0004421A"/>
    <w:rsid w:val="00044BF9"/>
    <w:rsid w:val="00045000"/>
    <w:rsid w:val="00046A2B"/>
    <w:rsid w:val="000503A6"/>
    <w:rsid w:val="00050643"/>
    <w:rsid w:val="00051258"/>
    <w:rsid w:val="00051F7B"/>
    <w:rsid w:val="00052205"/>
    <w:rsid w:val="000524BE"/>
    <w:rsid w:val="00052B66"/>
    <w:rsid w:val="00052E86"/>
    <w:rsid w:val="00052FA9"/>
    <w:rsid w:val="00053CD9"/>
    <w:rsid w:val="00054B97"/>
    <w:rsid w:val="000554D0"/>
    <w:rsid w:val="000560BD"/>
    <w:rsid w:val="00056F04"/>
    <w:rsid w:val="00056F8F"/>
    <w:rsid w:val="00057ED7"/>
    <w:rsid w:val="00060B11"/>
    <w:rsid w:val="00060B3F"/>
    <w:rsid w:val="00060C79"/>
    <w:rsid w:val="0006294F"/>
    <w:rsid w:val="00063034"/>
    <w:rsid w:val="00063105"/>
    <w:rsid w:val="00064074"/>
    <w:rsid w:val="000660BF"/>
    <w:rsid w:val="000665E8"/>
    <w:rsid w:val="0006762A"/>
    <w:rsid w:val="00067F72"/>
    <w:rsid w:val="00070411"/>
    <w:rsid w:val="0007054F"/>
    <w:rsid w:val="00071786"/>
    <w:rsid w:val="00071A4C"/>
    <w:rsid w:val="0007241C"/>
    <w:rsid w:val="0007323D"/>
    <w:rsid w:val="00073578"/>
    <w:rsid w:val="00073D52"/>
    <w:rsid w:val="00073FE3"/>
    <w:rsid w:val="00074191"/>
    <w:rsid w:val="000744B4"/>
    <w:rsid w:val="000747AF"/>
    <w:rsid w:val="000747DB"/>
    <w:rsid w:val="000748E7"/>
    <w:rsid w:val="00074990"/>
    <w:rsid w:val="00074A14"/>
    <w:rsid w:val="00074DB4"/>
    <w:rsid w:val="00075925"/>
    <w:rsid w:val="00075B61"/>
    <w:rsid w:val="00075C98"/>
    <w:rsid w:val="00076AD1"/>
    <w:rsid w:val="00076F54"/>
    <w:rsid w:val="00076F6C"/>
    <w:rsid w:val="000772E6"/>
    <w:rsid w:val="00077419"/>
    <w:rsid w:val="00077C03"/>
    <w:rsid w:val="000803CA"/>
    <w:rsid w:val="00081709"/>
    <w:rsid w:val="0008323C"/>
    <w:rsid w:val="00083D0F"/>
    <w:rsid w:val="0008431C"/>
    <w:rsid w:val="0008460A"/>
    <w:rsid w:val="000846FC"/>
    <w:rsid w:val="00084A9E"/>
    <w:rsid w:val="00084E61"/>
    <w:rsid w:val="00085646"/>
    <w:rsid w:val="000856F9"/>
    <w:rsid w:val="00085855"/>
    <w:rsid w:val="00086DA1"/>
    <w:rsid w:val="00086E6B"/>
    <w:rsid w:val="0009068A"/>
    <w:rsid w:val="000906AB"/>
    <w:rsid w:val="00090A5D"/>
    <w:rsid w:val="00090D5E"/>
    <w:rsid w:val="00091044"/>
    <w:rsid w:val="00091BCD"/>
    <w:rsid w:val="00091D5F"/>
    <w:rsid w:val="00091EA5"/>
    <w:rsid w:val="0009265A"/>
    <w:rsid w:val="00092ACF"/>
    <w:rsid w:val="00092DFE"/>
    <w:rsid w:val="000935EF"/>
    <w:rsid w:val="00093D0B"/>
    <w:rsid w:val="000944E9"/>
    <w:rsid w:val="000959B0"/>
    <w:rsid w:val="00095BF3"/>
    <w:rsid w:val="00095DE9"/>
    <w:rsid w:val="0009645C"/>
    <w:rsid w:val="00096D69"/>
    <w:rsid w:val="00097101"/>
    <w:rsid w:val="000973D6"/>
    <w:rsid w:val="000975CA"/>
    <w:rsid w:val="00097A77"/>
    <w:rsid w:val="00097F4C"/>
    <w:rsid w:val="000A0093"/>
    <w:rsid w:val="000A0194"/>
    <w:rsid w:val="000A025F"/>
    <w:rsid w:val="000A0377"/>
    <w:rsid w:val="000A08CA"/>
    <w:rsid w:val="000A09CA"/>
    <w:rsid w:val="000A0E4C"/>
    <w:rsid w:val="000A1168"/>
    <w:rsid w:val="000A17FB"/>
    <w:rsid w:val="000A1AE5"/>
    <w:rsid w:val="000A1D0F"/>
    <w:rsid w:val="000A1E4B"/>
    <w:rsid w:val="000A227B"/>
    <w:rsid w:val="000A2589"/>
    <w:rsid w:val="000A32A6"/>
    <w:rsid w:val="000A38B9"/>
    <w:rsid w:val="000A39DC"/>
    <w:rsid w:val="000A4F18"/>
    <w:rsid w:val="000A51E8"/>
    <w:rsid w:val="000A5ECF"/>
    <w:rsid w:val="000A5EFC"/>
    <w:rsid w:val="000A5F64"/>
    <w:rsid w:val="000A7014"/>
    <w:rsid w:val="000A7637"/>
    <w:rsid w:val="000A7DFC"/>
    <w:rsid w:val="000B0B9E"/>
    <w:rsid w:val="000B1350"/>
    <w:rsid w:val="000B17AC"/>
    <w:rsid w:val="000B1D1F"/>
    <w:rsid w:val="000B27DD"/>
    <w:rsid w:val="000B3340"/>
    <w:rsid w:val="000B3FC3"/>
    <w:rsid w:val="000B471B"/>
    <w:rsid w:val="000B4A97"/>
    <w:rsid w:val="000B4AFB"/>
    <w:rsid w:val="000B5237"/>
    <w:rsid w:val="000B56BC"/>
    <w:rsid w:val="000B778D"/>
    <w:rsid w:val="000B7B10"/>
    <w:rsid w:val="000C04B4"/>
    <w:rsid w:val="000C0868"/>
    <w:rsid w:val="000C1DF8"/>
    <w:rsid w:val="000C2C6C"/>
    <w:rsid w:val="000C4F9D"/>
    <w:rsid w:val="000C5404"/>
    <w:rsid w:val="000C6AC6"/>
    <w:rsid w:val="000C6F93"/>
    <w:rsid w:val="000C7CE1"/>
    <w:rsid w:val="000D04E4"/>
    <w:rsid w:val="000D04F3"/>
    <w:rsid w:val="000D05F5"/>
    <w:rsid w:val="000D0A02"/>
    <w:rsid w:val="000D0C41"/>
    <w:rsid w:val="000D2456"/>
    <w:rsid w:val="000D2BE5"/>
    <w:rsid w:val="000D3375"/>
    <w:rsid w:val="000D3979"/>
    <w:rsid w:val="000D4960"/>
    <w:rsid w:val="000D4CFB"/>
    <w:rsid w:val="000D508A"/>
    <w:rsid w:val="000D5B5B"/>
    <w:rsid w:val="000D60CF"/>
    <w:rsid w:val="000D62EE"/>
    <w:rsid w:val="000D6389"/>
    <w:rsid w:val="000D770C"/>
    <w:rsid w:val="000E0721"/>
    <w:rsid w:val="000E1594"/>
    <w:rsid w:val="000E16AE"/>
    <w:rsid w:val="000E1E4B"/>
    <w:rsid w:val="000E23DE"/>
    <w:rsid w:val="000E3677"/>
    <w:rsid w:val="000E3690"/>
    <w:rsid w:val="000E3CE8"/>
    <w:rsid w:val="000E3D90"/>
    <w:rsid w:val="000E496C"/>
    <w:rsid w:val="000E544B"/>
    <w:rsid w:val="000E699D"/>
    <w:rsid w:val="000E69A6"/>
    <w:rsid w:val="000E78D2"/>
    <w:rsid w:val="000F0272"/>
    <w:rsid w:val="000F059B"/>
    <w:rsid w:val="000F0DEB"/>
    <w:rsid w:val="000F0E6C"/>
    <w:rsid w:val="000F12EA"/>
    <w:rsid w:val="000F2024"/>
    <w:rsid w:val="000F2292"/>
    <w:rsid w:val="000F23B0"/>
    <w:rsid w:val="000F42BA"/>
    <w:rsid w:val="000F50E0"/>
    <w:rsid w:val="000F5708"/>
    <w:rsid w:val="000F5B3D"/>
    <w:rsid w:val="000F66C2"/>
    <w:rsid w:val="000F6708"/>
    <w:rsid w:val="000F6814"/>
    <w:rsid w:val="000F77C7"/>
    <w:rsid w:val="000F7948"/>
    <w:rsid w:val="0010003B"/>
    <w:rsid w:val="0010037F"/>
    <w:rsid w:val="001007B9"/>
    <w:rsid w:val="00101F72"/>
    <w:rsid w:val="00102298"/>
    <w:rsid w:val="001024D6"/>
    <w:rsid w:val="00102BCC"/>
    <w:rsid w:val="00102C70"/>
    <w:rsid w:val="00102F36"/>
    <w:rsid w:val="00102FB0"/>
    <w:rsid w:val="00103334"/>
    <w:rsid w:val="0010336F"/>
    <w:rsid w:val="001036EE"/>
    <w:rsid w:val="0010383A"/>
    <w:rsid w:val="001047B2"/>
    <w:rsid w:val="00104B38"/>
    <w:rsid w:val="00104DF1"/>
    <w:rsid w:val="00105804"/>
    <w:rsid w:val="00105ECB"/>
    <w:rsid w:val="0010628D"/>
    <w:rsid w:val="00106635"/>
    <w:rsid w:val="001066E8"/>
    <w:rsid w:val="00106B26"/>
    <w:rsid w:val="00106C69"/>
    <w:rsid w:val="001101EA"/>
    <w:rsid w:val="00110468"/>
    <w:rsid w:val="00110A2F"/>
    <w:rsid w:val="00111024"/>
    <w:rsid w:val="0011138D"/>
    <w:rsid w:val="001113C2"/>
    <w:rsid w:val="00111A70"/>
    <w:rsid w:val="00111F92"/>
    <w:rsid w:val="0011200A"/>
    <w:rsid w:val="00112351"/>
    <w:rsid w:val="00113D7C"/>
    <w:rsid w:val="00114472"/>
    <w:rsid w:val="00114BF2"/>
    <w:rsid w:val="00115728"/>
    <w:rsid w:val="00115E1F"/>
    <w:rsid w:val="00115F42"/>
    <w:rsid w:val="00121B61"/>
    <w:rsid w:val="001222B0"/>
    <w:rsid w:val="00122766"/>
    <w:rsid w:val="00122F2F"/>
    <w:rsid w:val="001240FD"/>
    <w:rsid w:val="001247C1"/>
    <w:rsid w:val="001248E5"/>
    <w:rsid w:val="001256B3"/>
    <w:rsid w:val="00125B9B"/>
    <w:rsid w:val="00125E4F"/>
    <w:rsid w:val="00125E52"/>
    <w:rsid w:val="0012625B"/>
    <w:rsid w:val="001262CB"/>
    <w:rsid w:val="00126367"/>
    <w:rsid w:val="00126E50"/>
    <w:rsid w:val="001279A1"/>
    <w:rsid w:val="00127A8B"/>
    <w:rsid w:val="00127AE4"/>
    <w:rsid w:val="001303BB"/>
    <w:rsid w:val="001304E9"/>
    <w:rsid w:val="0013130C"/>
    <w:rsid w:val="00131315"/>
    <w:rsid w:val="00132116"/>
    <w:rsid w:val="00132268"/>
    <w:rsid w:val="00132B95"/>
    <w:rsid w:val="00133FB2"/>
    <w:rsid w:val="00134474"/>
    <w:rsid w:val="00134807"/>
    <w:rsid w:val="00134DF2"/>
    <w:rsid w:val="00135979"/>
    <w:rsid w:val="00137038"/>
    <w:rsid w:val="00141753"/>
    <w:rsid w:val="00141B1C"/>
    <w:rsid w:val="00141DB0"/>
    <w:rsid w:val="00142497"/>
    <w:rsid w:val="001435E2"/>
    <w:rsid w:val="0014365E"/>
    <w:rsid w:val="0014388D"/>
    <w:rsid w:val="001454C9"/>
    <w:rsid w:val="00145C92"/>
    <w:rsid w:val="00146341"/>
    <w:rsid w:val="00146476"/>
    <w:rsid w:val="001465E5"/>
    <w:rsid w:val="001467BC"/>
    <w:rsid w:val="00147816"/>
    <w:rsid w:val="00147829"/>
    <w:rsid w:val="001502D9"/>
    <w:rsid w:val="001507C8"/>
    <w:rsid w:val="0015368B"/>
    <w:rsid w:val="00153ED5"/>
    <w:rsid w:val="00154356"/>
    <w:rsid w:val="00154BEA"/>
    <w:rsid w:val="00154F35"/>
    <w:rsid w:val="0015537B"/>
    <w:rsid w:val="0015576B"/>
    <w:rsid w:val="0015576D"/>
    <w:rsid w:val="00156180"/>
    <w:rsid w:val="00156202"/>
    <w:rsid w:val="00156875"/>
    <w:rsid w:val="001575C1"/>
    <w:rsid w:val="0015777A"/>
    <w:rsid w:val="00157C37"/>
    <w:rsid w:val="001608DA"/>
    <w:rsid w:val="001621ED"/>
    <w:rsid w:val="00162257"/>
    <w:rsid w:val="00162C8F"/>
    <w:rsid w:val="0016317D"/>
    <w:rsid w:val="0016488E"/>
    <w:rsid w:val="0016491C"/>
    <w:rsid w:val="001649FE"/>
    <w:rsid w:val="00170AA0"/>
    <w:rsid w:val="00170DC0"/>
    <w:rsid w:val="00172173"/>
    <w:rsid w:val="001727AF"/>
    <w:rsid w:val="001727F9"/>
    <w:rsid w:val="00172800"/>
    <w:rsid w:val="00173E2C"/>
    <w:rsid w:val="00174454"/>
    <w:rsid w:val="00174EFD"/>
    <w:rsid w:val="00175471"/>
    <w:rsid w:val="00176403"/>
    <w:rsid w:val="0017675F"/>
    <w:rsid w:val="00176CD1"/>
    <w:rsid w:val="00176EA5"/>
    <w:rsid w:val="00177492"/>
    <w:rsid w:val="00177611"/>
    <w:rsid w:val="0017798C"/>
    <w:rsid w:val="00177B5E"/>
    <w:rsid w:val="001809C6"/>
    <w:rsid w:val="00180D06"/>
    <w:rsid w:val="00180FA3"/>
    <w:rsid w:val="00181D89"/>
    <w:rsid w:val="00182C26"/>
    <w:rsid w:val="00183679"/>
    <w:rsid w:val="00184C01"/>
    <w:rsid w:val="001850CB"/>
    <w:rsid w:val="001851AD"/>
    <w:rsid w:val="001851AF"/>
    <w:rsid w:val="001859C1"/>
    <w:rsid w:val="00185AD3"/>
    <w:rsid w:val="001861CC"/>
    <w:rsid w:val="00186884"/>
    <w:rsid w:val="001874C8"/>
    <w:rsid w:val="00190B3E"/>
    <w:rsid w:val="00190CE5"/>
    <w:rsid w:val="00190F50"/>
    <w:rsid w:val="00190F8F"/>
    <w:rsid w:val="001910FF"/>
    <w:rsid w:val="00191CAF"/>
    <w:rsid w:val="00192155"/>
    <w:rsid w:val="00193270"/>
    <w:rsid w:val="001936D5"/>
    <w:rsid w:val="00193BCE"/>
    <w:rsid w:val="00194320"/>
    <w:rsid w:val="0019517D"/>
    <w:rsid w:val="0019594D"/>
    <w:rsid w:val="00195BA8"/>
    <w:rsid w:val="00195DE8"/>
    <w:rsid w:val="001964EB"/>
    <w:rsid w:val="001978C0"/>
    <w:rsid w:val="00197BA2"/>
    <w:rsid w:val="00197E71"/>
    <w:rsid w:val="001A11A3"/>
    <w:rsid w:val="001A2600"/>
    <w:rsid w:val="001A2F86"/>
    <w:rsid w:val="001A31EB"/>
    <w:rsid w:val="001A33C5"/>
    <w:rsid w:val="001A3BDB"/>
    <w:rsid w:val="001A4C81"/>
    <w:rsid w:val="001A53D6"/>
    <w:rsid w:val="001A66AD"/>
    <w:rsid w:val="001A6C50"/>
    <w:rsid w:val="001A7CF6"/>
    <w:rsid w:val="001B0144"/>
    <w:rsid w:val="001B01F7"/>
    <w:rsid w:val="001B032E"/>
    <w:rsid w:val="001B10ED"/>
    <w:rsid w:val="001B11A5"/>
    <w:rsid w:val="001B1823"/>
    <w:rsid w:val="001B18D9"/>
    <w:rsid w:val="001B1EAE"/>
    <w:rsid w:val="001B2723"/>
    <w:rsid w:val="001B3690"/>
    <w:rsid w:val="001B3DBB"/>
    <w:rsid w:val="001B3FBF"/>
    <w:rsid w:val="001B5821"/>
    <w:rsid w:val="001B5B4B"/>
    <w:rsid w:val="001B60AA"/>
    <w:rsid w:val="001B68CE"/>
    <w:rsid w:val="001B6D65"/>
    <w:rsid w:val="001C08A8"/>
    <w:rsid w:val="001C0AFA"/>
    <w:rsid w:val="001C0F7C"/>
    <w:rsid w:val="001C129C"/>
    <w:rsid w:val="001C1778"/>
    <w:rsid w:val="001C1D57"/>
    <w:rsid w:val="001C3423"/>
    <w:rsid w:val="001C4420"/>
    <w:rsid w:val="001C51AE"/>
    <w:rsid w:val="001C5346"/>
    <w:rsid w:val="001C59CA"/>
    <w:rsid w:val="001C5C03"/>
    <w:rsid w:val="001C61E0"/>
    <w:rsid w:val="001C6A81"/>
    <w:rsid w:val="001C6B95"/>
    <w:rsid w:val="001C6BA1"/>
    <w:rsid w:val="001D0E4F"/>
    <w:rsid w:val="001D1125"/>
    <w:rsid w:val="001D13A1"/>
    <w:rsid w:val="001D14F3"/>
    <w:rsid w:val="001D1F3A"/>
    <w:rsid w:val="001D283B"/>
    <w:rsid w:val="001D320C"/>
    <w:rsid w:val="001D3C37"/>
    <w:rsid w:val="001D411F"/>
    <w:rsid w:val="001D414B"/>
    <w:rsid w:val="001D46C3"/>
    <w:rsid w:val="001D65B4"/>
    <w:rsid w:val="001D6BE6"/>
    <w:rsid w:val="001D6C9C"/>
    <w:rsid w:val="001D6F30"/>
    <w:rsid w:val="001D6F93"/>
    <w:rsid w:val="001D76B3"/>
    <w:rsid w:val="001E08EA"/>
    <w:rsid w:val="001E1F5D"/>
    <w:rsid w:val="001E3756"/>
    <w:rsid w:val="001E3C52"/>
    <w:rsid w:val="001E50C0"/>
    <w:rsid w:val="001E5215"/>
    <w:rsid w:val="001E77C4"/>
    <w:rsid w:val="001F0815"/>
    <w:rsid w:val="001F096E"/>
    <w:rsid w:val="001F0A3D"/>
    <w:rsid w:val="001F1501"/>
    <w:rsid w:val="001F16E6"/>
    <w:rsid w:val="001F19C7"/>
    <w:rsid w:val="001F1B45"/>
    <w:rsid w:val="001F2279"/>
    <w:rsid w:val="001F28C7"/>
    <w:rsid w:val="001F30CA"/>
    <w:rsid w:val="001F3179"/>
    <w:rsid w:val="001F36EA"/>
    <w:rsid w:val="001F3722"/>
    <w:rsid w:val="001F3C27"/>
    <w:rsid w:val="001F3FA9"/>
    <w:rsid w:val="001F414F"/>
    <w:rsid w:val="001F4433"/>
    <w:rsid w:val="001F47CB"/>
    <w:rsid w:val="001F5848"/>
    <w:rsid w:val="001F613A"/>
    <w:rsid w:val="001F65BE"/>
    <w:rsid w:val="001F67B0"/>
    <w:rsid w:val="001F7379"/>
    <w:rsid w:val="001F738E"/>
    <w:rsid w:val="001F76B8"/>
    <w:rsid w:val="001F7CF3"/>
    <w:rsid w:val="0020076A"/>
    <w:rsid w:val="0020151D"/>
    <w:rsid w:val="00201DBA"/>
    <w:rsid w:val="00203551"/>
    <w:rsid w:val="002036A5"/>
    <w:rsid w:val="00203756"/>
    <w:rsid w:val="002039B4"/>
    <w:rsid w:val="00203A1A"/>
    <w:rsid w:val="00203B54"/>
    <w:rsid w:val="00204F16"/>
    <w:rsid w:val="0020508B"/>
    <w:rsid w:val="00205F59"/>
    <w:rsid w:val="0020677B"/>
    <w:rsid w:val="00206989"/>
    <w:rsid w:val="00206A21"/>
    <w:rsid w:val="00206EA5"/>
    <w:rsid w:val="002079EF"/>
    <w:rsid w:val="0021002C"/>
    <w:rsid w:val="00210CC0"/>
    <w:rsid w:val="002116A4"/>
    <w:rsid w:val="00211957"/>
    <w:rsid w:val="0021247A"/>
    <w:rsid w:val="002125F9"/>
    <w:rsid w:val="0021277C"/>
    <w:rsid w:val="00212B31"/>
    <w:rsid w:val="00213ADE"/>
    <w:rsid w:val="00213F13"/>
    <w:rsid w:val="0021409E"/>
    <w:rsid w:val="0021522C"/>
    <w:rsid w:val="002154AF"/>
    <w:rsid w:val="002154DD"/>
    <w:rsid w:val="00215C3E"/>
    <w:rsid w:val="00216655"/>
    <w:rsid w:val="00216834"/>
    <w:rsid w:val="00216DE4"/>
    <w:rsid w:val="002174C9"/>
    <w:rsid w:val="0021775E"/>
    <w:rsid w:val="00217F35"/>
    <w:rsid w:val="002201EA"/>
    <w:rsid w:val="00221261"/>
    <w:rsid w:val="0022151E"/>
    <w:rsid w:val="002217B2"/>
    <w:rsid w:val="00221C0A"/>
    <w:rsid w:val="002220D3"/>
    <w:rsid w:val="0022226E"/>
    <w:rsid w:val="0022242E"/>
    <w:rsid w:val="00222D00"/>
    <w:rsid w:val="00222D21"/>
    <w:rsid w:val="00224841"/>
    <w:rsid w:val="00224F17"/>
    <w:rsid w:val="00225E60"/>
    <w:rsid w:val="00226790"/>
    <w:rsid w:val="00226D0F"/>
    <w:rsid w:val="00227321"/>
    <w:rsid w:val="00227332"/>
    <w:rsid w:val="002279DD"/>
    <w:rsid w:val="00227D10"/>
    <w:rsid w:val="00227EB9"/>
    <w:rsid w:val="00230653"/>
    <w:rsid w:val="0023103D"/>
    <w:rsid w:val="00231A2C"/>
    <w:rsid w:val="00231B22"/>
    <w:rsid w:val="00231F4C"/>
    <w:rsid w:val="00231FEE"/>
    <w:rsid w:val="00232267"/>
    <w:rsid w:val="0023294E"/>
    <w:rsid w:val="00232EAF"/>
    <w:rsid w:val="0023312B"/>
    <w:rsid w:val="002334EE"/>
    <w:rsid w:val="00234035"/>
    <w:rsid w:val="0023537B"/>
    <w:rsid w:val="0023580F"/>
    <w:rsid w:val="00236A01"/>
    <w:rsid w:val="00237B34"/>
    <w:rsid w:val="00240150"/>
    <w:rsid w:val="00240358"/>
    <w:rsid w:val="00240487"/>
    <w:rsid w:val="002405D1"/>
    <w:rsid w:val="0024191E"/>
    <w:rsid w:val="002435A2"/>
    <w:rsid w:val="00244079"/>
    <w:rsid w:val="0024408A"/>
    <w:rsid w:val="00244522"/>
    <w:rsid w:val="002446A3"/>
    <w:rsid w:val="002446B9"/>
    <w:rsid w:val="00244A3F"/>
    <w:rsid w:val="00244C36"/>
    <w:rsid w:val="00244F3A"/>
    <w:rsid w:val="0024555B"/>
    <w:rsid w:val="0024580A"/>
    <w:rsid w:val="00245855"/>
    <w:rsid w:val="00246AD7"/>
    <w:rsid w:val="00246D8D"/>
    <w:rsid w:val="002471DB"/>
    <w:rsid w:val="00247AC4"/>
    <w:rsid w:val="00250026"/>
    <w:rsid w:val="00251A54"/>
    <w:rsid w:val="00251D62"/>
    <w:rsid w:val="00252E39"/>
    <w:rsid w:val="00252F38"/>
    <w:rsid w:val="0025349F"/>
    <w:rsid w:val="00254AFA"/>
    <w:rsid w:val="00254CCC"/>
    <w:rsid w:val="00255686"/>
    <w:rsid w:val="0025624B"/>
    <w:rsid w:val="00257385"/>
    <w:rsid w:val="002573D9"/>
    <w:rsid w:val="0025793B"/>
    <w:rsid w:val="00257A05"/>
    <w:rsid w:val="00260389"/>
    <w:rsid w:val="00260B2D"/>
    <w:rsid w:val="00260C99"/>
    <w:rsid w:val="0026101E"/>
    <w:rsid w:val="00261D9B"/>
    <w:rsid w:val="0026210B"/>
    <w:rsid w:val="002629BC"/>
    <w:rsid w:val="00265698"/>
    <w:rsid w:val="00265C86"/>
    <w:rsid w:val="002674AA"/>
    <w:rsid w:val="00267594"/>
    <w:rsid w:val="00270113"/>
    <w:rsid w:val="00270F75"/>
    <w:rsid w:val="002719E3"/>
    <w:rsid w:val="00272D02"/>
    <w:rsid w:val="0027322A"/>
    <w:rsid w:val="0027417F"/>
    <w:rsid w:val="00274459"/>
    <w:rsid w:val="0027447B"/>
    <w:rsid w:val="00274790"/>
    <w:rsid w:val="00274ADA"/>
    <w:rsid w:val="00275526"/>
    <w:rsid w:val="0027588A"/>
    <w:rsid w:val="00275C8A"/>
    <w:rsid w:val="00276222"/>
    <w:rsid w:val="002775DB"/>
    <w:rsid w:val="0027769C"/>
    <w:rsid w:val="0028039B"/>
    <w:rsid w:val="002806BC"/>
    <w:rsid w:val="002807BA"/>
    <w:rsid w:val="00280EA1"/>
    <w:rsid w:val="002817A7"/>
    <w:rsid w:val="00281835"/>
    <w:rsid w:val="002819A3"/>
    <w:rsid w:val="0028218B"/>
    <w:rsid w:val="00282F1A"/>
    <w:rsid w:val="002832F2"/>
    <w:rsid w:val="002835CC"/>
    <w:rsid w:val="00284710"/>
    <w:rsid w:val="00284B6C"/>
    <w:rsid w:val="00285F5D"/>
    <w:rsid w:val="002876D1"/>
    <w:rsid w:val="002876E6"/>
    <w:rsid w:val="002900C1"/>
    <w:rsid w:val="002913AC"/>
    <w:rsid w:val="002926D2"/>
    <w:rsid w:val="00292B78"/>
    <w:rsid w:val="00292BFD"/>
    <w:rsid w:val="00293419"/>
    <w:rsid w:val="002935FB"/>
    <w:rsid w:val="002938ED"/>
    <w:rsid w:val="00293CD0"/>
    <w:rsid w:val="002940C0"/>
    <w:rsid w:val="0029455E"/>
    <w:rsid w:val="00294D1D"/>
    <w:rsid w:val="00294EFD"/>
    <w:rsid w:val="00295333"/>
    <w:rsid w:val="002955DD"/>
    <w:rsid w:val="00295956"/>
    <w:rsid w:val="00295F77"/>
    <w:rsid w:val="00296846"/>
    <w:rsid w:val="002A0289"/>
    <w:rsid w:val="002A0336"/>
    <w:rsid w:val="002A242F"/>
    <w:rsid w:val="002A2549"/>
    <w:rsid w:val="002A27B2"/>
    <w:rsid w:val="002A3656"/>
    <w:rsid w:val="002A371E"/>
    <w:rsid w:val="002A479B"/>
    <w:rsid w:val="002A56E1"/>
    <w:rsid w:val="002A5846"/>
    <w:rsid w:val="002A72A1"/>
    <w:rsid w:val="002A7929"/>
    <w:rsid w:val="002A7D27"/>
    <w:rsid w:val="002B072E"/>
    <w:rsid w:val="002B1DA2"/>
    <w:rsid w:val="002B3310"/>
    <w:rsid w:val="002B4B0A"/>
    <w:rsid w:val="002B5087"/>
    <w:rsid w:val="002B50F6"/>
    <w:rsid w:val="002B6550"/>
    <w:rsid w:val="002B696E"/>
    <w:rsid w:val="002B6A7E"/>
    <w:rsid w:val="002B6BDA"/>
    <w:rsid w:val="002B6BEC"/>
    <w:rsid w:val="002B776A"/>
    <w:rsid w:val="002B77E4"/>
    <w:rsid w:val="002B7D81"/>
    <w:rsid w:val="002C0033"/>
    <w:rsid w:val="002C005D"/>
    <w:rsid w:val="002C0C87"/>
    <w:rsid w:val="002C2A28"/>
    <w:rsid w:val="002C4309"/>
    <w:rsid w:val="002C572D"/>
    <w:rsid w:val="002C5F5B"/>
    <w:rsid w:val="002C777D"/>
    <w:rsid w:val="002C7986"/>
    <w:rsid w:val="002C7DC3"/>
    <w:rsid w:val="002D00C2"/>
    <w:rsid w:val="002D1043"/>
    <w:rsid w:val="002D24BB"/>
    <w:rsid w:val="002D27B6"/>
    <w:rsid w:val="002D2CC5"/>
    <w:rsid w:val="002D3E82"/>
    <w:rsid w:val="002D40B1"/>
    <w:rsid w:val="002D45CD"/>
    <w:rsid w:val="002D6833"/>
    <w:rsid w:val="002D6921"/>
    <w:rsid w:val="002D7515"/>
    <w:rsid w:val="002D75E0"/>
    <w:rsid w:val="002D75F9"/>
    <w:rsid w:val="002E07AC"/>
    <w:rsid w:val="002E0D4C"/>
    <w:rsid w:val="002E1583"/>
    <w:rsid w:val="002E194F"/>
    <w:rsid w:val="002E1DED"/>
    <w:rsid w:val="002E2699"/>
    <w:rsid w:val="002E2F71"/>
    <w:rsid w:val="002E3069"/>
    <w:rsid w:val="002E32C4"/>
    <w:rsid w:val="002E3374"/>
    <w:rsid w:val="002E3605"/>
    <w:rsid w:val="002E362F"/>
    <w:rsid w:val="002E3C35"/>
    <w:rsid w:val="002E3C86"/>
    <w:rsid w:val="002E3D1D"/>
    <w:rsid w:val="002E6AA1"/>
    <w:rsid w:val="002E6C6E"/>
    <w:rsid w:val="002E6CDD"/>
    <w:rsid w:val="002E6F80"/>
    <w:rsid w:val="002E738E"/>
    <w:rsid w:val="002E7472"/>
    <w:rsid w:val="002F03AD"/>
    <w:rsid w:val="002F0974"/>
    <w:rsid w:val="002F0AE6"/>
    <w:rsid w:val="002F19FE"/>
    <w:rsid w:val="002F1B05"/>
    <w:rsid w:val="002F3DA9"/>
    <w:rsid w:val="002F4CAC"/>
    <w:rsid w:val="002F5431"/>
    <w:rsid w:val="002F55B5"/>
    <w:rsid w:val="002F57C6"/>
    <w:rsid w:val="002F6190"/>
    <w:rsid w:val="002F70E6"/>
    <w:rsid w:val="002F7768"/>
    <w:rsid w:val="0030045D"/>
    <w:rsid w:val="00300746"/>
    <w:rsid w:val="00300A08"/>
    <w:rsid w:val="00300C71"/>
    <w:rsid w:val="00301A3A"/>
    <w:rsid w:val="00302819"/>
    <w:rsid w:val="00302B79"/>
    <w:rsid w:val="003035E6"/>
    <w:rsid w:val="00303B86"/>
    <w:rsid w:val="003040E0"/>
    <w:rsid w:val="0030466E"/>
    <w:rsid w:val="00304761"/>
    <w:rsid w:val="00304C19"/>
    <w:rsid w:val="00304EB7"/>
    <w:rsid w:val="0030544D"/>
    <w:rsid w:val="0030661F"/>
    <w:rsid w:val="0030685E"/>
    <w:rsid w:val="00306E2E"/>
    <w:rsid w:val="003073B0"/>
    <w:rsid w:val="003079D3"/>
    <w:rsid w:val="00307A17"/>
    <w:rsid w:val="00307A69"/>
    <w:rsid w:val="00311022"/>
    <w:rsid w:val="003117D5"/>
    <w:rsid w:val="00311FD8"/>
    <w:rsid w:val="0031291E"/>
    <w:rsid w:val="00312E4A"/>
    <w:rsid w:val="003131CC"/>
    <w:rsid w:val="0031376E"/>
    <w:rsid w:val="00313E52"/>
    <w:rsid w:val="0031444B"/>
    <w:rsid w:val="00314BA9"/>
    <w:rsid w:val="00314C9C"/>
    <w:rsid w:val="0031546F"/>
    <w:rsid w:val="003156FC"/>
    <w:rsid w:val="00316B0D"/>
    <w:rsid w:val="00316BBC"/>
    <w:rsid w:val="003171C7"/>
    <w:rsid w:val="00320C9F"/>
    <w:rsid w:val="00322451"/>
    <w:rsid w:val="00322B31"/>
    <w:rsid w:val="00323522"/>
    <w:rsid w:val="00323591"/>
    <w:rsid w:val="00323925"/>
    <w:rsid w:val="00323DDE"/>
    <w:rsid w:val="00326936"/>
    <w:rsid w:val="0032708A"/>
    <w:rsid w:val="00327CD8"/>
    <w:rsid w:val="00327E56"/>
    <w:rsid w:val="003300DB"/>
    <w:rsid w:val="0033088D"/>
    <w:rsid w:val="003317CD"/>
    <w:rsid w:val="00331FB1"/>
    <w:rsid w:val="0033305C"/>
    <w:rsid w:val="003331E9"/>
    <w:rsid w:val="00333948"/>
    <w:rsid w:val="00334943"/>
    <w:rsid w:val="00334C51"/>
    <w:rsid w:val="00335425"/>
    <w:rsid w:val="00335A67"/>
    <w:rsid w:val="003364B7"/>
    <w:rsid w:val="00336503"/>
    <w:rsid w:val="0033775D"/>
    <w:rsid w:val="0034135D"/>
    <w:rsid w:val="003421C2"/>
    <w:rsid w:val="0034269C"/>
    <w:rsid w:val="00343D35"/>
    <w:rsid w:val="003443DE"/>
    <w:rsid w:val="00344658"/>
    <w:rsid w:val="00344DF8"/>
    <w:rsid w:val="0034586E"/>
    <w:rsid w:val="00346485"/>
    <w:rsid w:val="0034671A"/>
    <w:rsid w:val="00346896"/>
    <w:rsid w:val="00346FA5"/>
    <w:rsid w:val="003500C6"/>
    <w:rsid w:val="00350503"/>
    <w:rsid w:val="0035071A"/>
    <w:rsid w:val="003508C1"/>
    <w:rsid w:val="003519A5"/>
    <w:rsid w:val="00351B92"/>
    <w:rsid w:val="00351EC8"/>
    <w:rsid w:val="0035359C"/>
    <w:rsid w:val="003537D8"/>
    <w:rsid w:val="00354BE4"/>
    <w:rsid w:val="0035516A"/>
    <w:rsid w:val="003553E8"/>
    <w:rsid w:val="003559EA"/>
    <w:rsid w:val="00355AA7"/>
    <w:rsid w:val="003571D4"/>
    <w:rsid w:val="00357426"/>
    <w:rsid w:val="00357B90"/>
    <w:rsid w:val="00357CEB"/>
    <w:rsid w:val="00357D26"/>
    <w:rsid w:val="00361B62"/>
    <w:rsid w:val="00361BDF"/>
    <w:rsid w:val="003624F7"/>
    <w:rsid w:val="00362810"/>
    <w:rsid w:val="00362BDF"/>
    <w:rsid w:val="0036331B"/>
    <w:rsid w:val="00363AE5"/>
    <w:rsid w:val="00363E0A"/>
    <w:rsid w:val="003640C7"/>
    <w:rsid w:val="00364388"/>
    <w:rsid w:val="00364C1D"/>
    <w:rsid w:val="00364CE3"/>
    <w:rsid w:val="00365D14"/>
    <w:rsid w:val="003670B3"/>
    <w:rsid w:val="00370F81"/>
    <w:rsid w:val="0037211A"/>
    <w:rsid w:val="0037223C"/>
    <w:rsid w:val="00372841"/>
    <w:rsid w:val="00372942"/>
    <w:rsid w:val="0037411D"/>
    <w:rsid w:val="00375000"/>
    <w:rsid w:val="00375A7B"/>
    <w:rsid w:val="00375FCD"/>
    <w:rsid w:val="0037648B"/>
    <w:rsid w:val="0037686A"/>
    <w:rsid w:val="003770EC"/>
    <w:rsid w:val="00377138"/>
    <w:rsid w:val="003776C5"/>
    <w:rsid w:val="00380096"/>
    <w:rsid w:val="00380661"/>
    <w:rsid w:val="0038083B"/>
    <w:rsid w:val="00380AE9"/>
    <w:rsid w:val="0038185F"/>
    <w:rsid w:val="003836C4"/>
    <w:rsid w:val="003842BB"/>
    <w:rsid w:val="003848EF"/>
    <w:rsid w:val="00384997"/>
    <w:rsid w:val="003854D6"/>
    <w:rsid w:val="00385B65"/>
    <w:rsid w:val="00385DEC"/>
    <w:rsid w:val="00385F9A"/>
    <w:rsid w:val="003864C6"/>
    <w:rsid w:val="00386681"/>
    <w:rsid w:val="003870E6"/>
    <w:rsid w:val="003908E1"/>
    <w:rsid w:val="0039131B"/>
    <w:rsid w:val="00391594"/>
    <w:rsid w:val="0039164A"/>
    <w:rsid w:val="0039182D"/>
    <w:rsid w:val="00391929"/>
    <w:rsid w:val="00391946"/>
    <w:rsid w:val="00391E56"/>
    <w:rsid w:val="00392009"/>
    <w:rsid w:val="00393FBE"/>
    <w:rsid w:val="0039559F"/>
    <w:rsid w:val="00396406"/>
    <w:rsid w:val="003965E7"/>
    <w:rsid w:val="00397BB6"/>
    <w:rsid w:val="00397E44"/>
    <w:rsid w:val="003A0299"/>
    <w:rsid w:val="003A0C94"/>
    <w:rsid w:val="003A1F32"/>
    <w:rsid w:val="003A25C2"/>
    <w:rsid w:val="003A28B2"/>
    <w:rsid w:val="003A3953"/>
    <w:rsid w:val="003A3E57"/>
    <w:rsid w:val="003A40C3"/>
    <w:rsid w:val="003A5BF4"/>
    <w:rsid w:val="003A5C0A"/>
    <w:rsid w:val="003A5E5A"/>
    <w:rsid w:val="003A71A2"/>
    <w:rsid w:val="003A7A77"/>
    <w:rsid w:val="003A7C46"/>
    <w:rsid w:val="003A7E73"/>
    <w:rsid w:val="003B0445"/>
    <w:rsid w:val="003B0A20"/>
    <w:rsid w:val="003B14FD"/>
    <w:rsid w:val="003B17A1"/>
    <w:rsid w:val="003B1832"/>
    <w:rsid w:val="003B2185"/>
    <w:rsid w:val="003B3039"/>
    <w:rsid w:val="003B4183"/>
    <w:rsid w:val="003B513E"/>
    <w:rsid w:val="003B54B6"/>
    <w:rsid w:val="003B6353"/>
    <w:rsid w:val="003B69B6"/>
    <w:rsid w:val="003B743D"/>
    <w:rsid w:val="003B75DF"/>
    <w:rsid w:val="003B76AD"/>
    <w:rsid w:val="003C04C4"/>
    <w:rsid w:val="003C1201"/>
    <w:rsid w:val="003C17E9"/>
    <w:rsid w:val="003C1E18"/>
    <w:rsid w:val="003C1E3F"/>
    <w:rsid w:val="003C31B0"/>
    <w:rsid w:val="003C3893"/>
    <w:rsid w:val="003C42AE"/>
    <w:rsid w:val="003C43D6"/>
    <w:rsid w:val="003C487E"/>
    <w:rsid w:val="003C5114"/>
    <w:rsid w:val="003C60C8"/>
    <w:rsid w:val="003C6872"/>
    <w:rsid w:val="003C6961"/>
    <w:rsid w:val="003C6D05"/>
    <w:rsid w:val="003C70F6"/>
    <w:rsid w:val="003C7517"/>
    <w:rsid w:val="003C7E35"/>
    <w:rsid w:val="003D0D39"/>
    <w:rsid w:val="003D1513"/>
    <w:rsid w:val="003D18DF"/>
    <w:rsid w:val="003D2106"/>
    <w:rsid w:val="003D21A3"/>
    <w:rsid w:val="003D22DE"/>
    <w:rsid w:val="003D2786"/>
    <w:rsid w:val="003D2E40"/>
    <w:rsid w:val="003D333E"/>
    <w:rsid w:val="003D3659"/>
    <w:rsid w:val="003D3725"/>
    <w:rsid w:val="003D3998"/>
    <w:rsid w:val="003D39B5"/>
    <w:rsid w:val="003D4339"/>
    <w:rsid w:val="003D4463"/>
    <w:rsid w:val="003D500A"/>
    <w:rsid w:val="003D5592"/>
    <w:rsid w:val="003D5BF4"/>
    <w:rsid w:val="003D5C62"/>
    <w:rsid w:val="003D6E5C"/>
    <w:rsid w:val="003D7966"/>
    <w:rsid w:val="003D7E30"/>
    <w:rsid w:val="003E1D08"/>
    <w:rsid w:val="003E233F"/>
    <w:rsid w:val="003E23DC"/>
    <w:rsid w:val="003E26D2"/>
    <w:rsid w:val="003E286C"/>
    <w:rsid w:val="003E2FD7"/>
    <w:rsid w:val="003E40B7"/>
    <w:rsid w:val="003E46AD"/>
    <w:rsid w:val="003E48A5"/>
    <w:rsid w:val="003E525B"/>
    <w:rsid w:val="003E548C"/>
    <w:rsid w:val="003E5689"/>
    <w:rsid w:val="003E56FF"/>
    <w:rsid w:val="003E5F74"/>
    <w:rsid w:val="003E62E2"/>
    <w:rsid w:val="003E6B8B"/>
    <w:rsid w:val="003E7CA1"/>
    <w:rsid w:val="003F017E"/>
    <w:rsid w:val="003F0C7B"/>
    <w:rsid w:val="003F101C"/>
    <w:rsid w:val="003F17BC"/>
    <w:rsid w:val="003F19DE"/>
    <w:rsid w:val="003F1A1E"/>
    <w:rsid w:val="003F1E17"/>
    <w:rsid w:val="003F21B0"/>
    <w:rsid w:val="003F276C"/>
    <w:rsid w:val="003F2C66"/>
    <w:rsid w:val="003F2CCA"/>
    <w:rsid w:val="003F37F7"/>
    <w:rsid w:val="003F3E3D"/>
    <w:rsid w:val="003F3EDC"/>
    <w:rsid w:val="003F45F0"/>
    <w:rsid w:val="003F47E0"/>
    <w:rsid w:val="003F4A9C"/>
    <w:rsid w:val="003F5670"/>
    <w:rsid w:val="003F5B9A"/>
    <w:rsid w:val="003F6DCF"/>
    <w:rsid w:val="003F716C"/>
    <w:rsid w:val="003F77A2"/>
    <w:rsid w:val="003F7E70"/>
    <w:rsid w:val="0040233D"/>
    <w:rsid w:val="004032E8"/>
    <w:rsid w:val="00404BC4"/>
    <w:rsid w:val="00404F51"/>
    <w:rsid w:val="00405657"/>
    <w:rsid w:val="004056A1"/>
    <w:rsid w:val="004067BB"/>
    <w:rsid w:val="00406DFE"/>
    <w:rsid w:val="00407104"/>
    <w:rsid w:val="00407304"/>
    <w:rsid w:val="004074C4"/>
    <w:rsid w:val="00407B7F"/>
    <w:rsid w:val="004102D4"/>
    <w:rsid w:val="00410E5D"/>
    <w:rsid w:val="00411295"/>
    <w:rsid w:val="0041129C"/>
    <w:rsid w:val="00412FDA"/>
    <w:rsid w:val="00413221"/>
    <w:rsid w:val="00413697"/>
    <w:rsid w:val="00413B64"/>
    <w:rsid w:val="00414023"/>
    <w:rsid w:val="004142CB"/>
    <w:rsid w:val="00414D48"/>
    <w:rsid w:val="00415466"/>
    <w:rsid w:val="0041554D"/>
    <w:rsid w:val="0041611C"/>
    <w:rsid w:val="0041662D"/>
    <w:rsid w:val="00417347"/>
    <w:rsid w:val="004174B3"/>
    <w:rsid w:val="00417D2D"/>
    <w:rsid w:val="004212D6"/>
    <w:rsid w:val="0042167E"/>
    <w:rsid w:val="00423C58"/>
    <w:rsid w:val="00423C97"/>
    <w:rsid w:val="00423E92"/>
    <w:rsid w:val="00424453"/>
    <w:rsid w:val="004256E5"/>
    <w:rsid w:val="0042587A"/>
    <w:rsid w:val="00425BC6"/>
    <w:rsid w:val="004260A4"/>
    <w:rsid w:val="00426E0D"/>
    <w:rsid w:val="00427306"/>
    <w:rsid w:val="004276D8"/>
    <w:rsid w:val="00427E38"/>
    <w:rsid w:val="00430B45"/>
    <w:rsid w:val="004312E5"/>
    <w:rsid w:val="0043135B"/>
    <w:rsid w:val="004313BC"/>
    <w:rsid w:val="004325C9"/>
    <w:rsid w:val="00432690"/>
    <w:rsid w:val="00432FAB"/>
    <w:rsid w:val="004334DB"/>
    <w:rsid w:val="00433D4C"/>
    <w:rsid w:val="0043401F"/>
    <w:rsid w:val="00434411"/>
    <w:rsid w:val="00434D64"/>
    <w:rsid w:val="00435AF2"/>
    <w:rsid w:val="004363EA"/>
    <w:rsid w:val="004363FD"/>
    <w:rsid w:val="0043641A"/>
    <w:rsid w:val="004366AE"/>
    <w:rsid w:val="004369E8"/>
    <w:rsid w:val="00436B9A"/>
    <w:rsid w:val="00436ED7"/>
    <w:rsid w:val="00437A6F"/>
    <w:rsid w:val="00440167"/>
    <w:rsid w:val="004405E6"/>
    <w:rsid w:val="0044062B"/>
    <w:rsid w:val="0044065C"/>
    <w:rsid w:val="004409A8"/>
    <w:rsid w:val="004412FF"/>
    <w:rsid w:val="00442D9C"/>
    <w:rsid w:val="0044371A"/>
    <w:rsid w:val="00443787"/>
    <w:rsid w:val="00444A1A"/>
    <w:rsid w:val="00444F8A"/>
    <w:rsid w:val="004450C3"/>
    <w:rsid w:val="00445703"/>
    <w:rsid w:val="00447455"/>
    <w:rsid w:val="00451AE8"/>
    <w:rsid w:val="00454458"/>
    <w:rsid w:val="00454696"/>
    <w:rsid w:val="004546E9"/>
    <w:rsid w:val="004547E3"/>
    <w:rsid w:val="00454C85"/>
    <w:rsid w:val="00455EFA"/>
    <w:rsid w:val="004563FE"/>
    <w:rsid w:val="00456566"/>
    <w:rsid w:val="004565F3"/>
    <w:rsid w:val="00456AB5"/>
    <w:rsid w:val="00456F59"/>
    <w:rsid w:val="0045712A"/>
    <w:rsid w:val="004578AB"/>
    <w:rsid w:val="00460189"/>
    <w:rsid w:val="004616FF"/>
    <w:rsid w:val="00461779"/>
    <w:rsid w:val="00461780"/>
    <w:rsid w:val="00461A47"/>
    <w:rsid w:val="00461CF7"/>
    <w:rsid w:val="004624C1"/>
    <w:rsid w:val="0046277E"/>
    <w:rsid w:val="00463E93"/>
    <w:rsid w:val="00465551"/>
    <w:rsid w:val="00466486"/>
    <w:rsid w:val="00466F43"/>
    <w:rsid w:val="0046750F"/>
    <w:rsid w:val="0047046B"/>
    <w:rsid w:val="004709F3"/>
    <w:rsid w:val="00470AD5"/>
    <w:rsid w:val="00470B1C"/>
    <w:rsid w:val="00470C9C"/>
    <w:rsid w:val="00471031"/>
    <w:rsid w:val="004714BE"/>
    <w:rsid w:val="004716A2"/>
    <w:rsid w:val="00471FAE"/>
    <w:rsid w:val="004726D8"/>
    <w:rsid w:val="00472739"/>
    <w:rsid w:val="00472B81"/>
    <w:rsid w:val="00473305"/>
    <w:rsid w:val="0047439D"/>
    <w:rsid w:val="00474D8D"/>
    <w:rsid w:val="00475740"/>
    <w:rsid w:val="004759ED"/>
    <w:rsid w:val="00475BEE"/>
    <w:rsid w:val="0047610A"/>
    <w:rsid w:val="004761F2"/>
    <w:rsid w:val="004761F6"/>
    <w:rsid w:val="0047777C"/>
    <w:rsid w:val="00477B69"/>
    <w:rsid w:val="0048043D"/>
    <w:rsid w:val="004804B1"/>
    <w:rsid w:val="00480921"/>
    <w:rsid w:val="00480D49"/>
    <w:rsid w:val="00480EF4"/>
    <w:rsid w:val="0048162D"/>
    <w:rsid w:val="00482E11"/>
    <w:rsid w:val="00482EB7"/>
    <w:rsid w:val="00483CEB"/>
    <w:rsid w:val="00483E59"/>
    <w:rsid w:val="004849D9"/>
    <w:rsid w:val="00484B02"/>
    <w:rsid w:val="00484B24"/>
    <w:rsid w:val="00484CB0"/>
    <w:rsid w:val="00485C69"/>
    <w:rsid w:val="00487155"/>
    <w:rsid w:val="00487162"/>
    <w:rsid w:val="00487F9B"/>
    <w:rsid w:val="00490142"/>
    <w:rsid w:val="00490EB8"/>
    <w:rsid w:val="00491328"/>
    <w:rsid w:val="00492863"/>
    <w:rsid w:val="004929BC"/>
    <w:rsid w:val="00493E2B"/>
    <w:rsid w:val="0049561F"/>
    <w:rsid w:val="004957BB"/>
    <w:rsid w:val="004957C1"/>
    <w:rsid w:val="00495D1B"/>
    <w:rsid w:val="00497753"/>
    <w:rsid w:val="004A020F"/>
    <w:rsid w:val="004A139D"/>
    <w:rsid w:val="004A1F85"/>
    <w:rsid w:val="004A344F"/>
    <w:rsid w:val="004A361B"/>
    <w:rsid w:val="004A3E7F"/>
    <w:rsid w:val="004A3EE1"/>
    <w:rsid w:val="004A4775"/>
    <w:rsid w:val="004A59E1"/>
    <w:rsid w:val="004A6F5F"/>
    <w:rsid w:val="004B0174"/>
    <w:rsid w:val="004B053A"/>
    <w:rsid w:val="004B09CB"/>
    <w:rsid w:val="004B14C8"/>
    <w:rsid w:val="004B1F19"/>
    <w:rsid w:val="004B2222"/>
    <w:rsid w:val="004B2CB0"/>
    <w:rsid w:val="004B31D7"/>
    <w:rsid w:val="004B36D4"/>
    <w:rsid w:val="004B3A1F"/>
    <w:rsid w:val="004B403F"/>
    <w:rsid w:val="004B4BD6"/>
    <w:rsid w:val="004B506C"/>
    <w:rsid w:val="004B66BB"/>
    <w:rsid w:val="004B7086"/>
    <w:rsid w:val="004B78DC"/>
    <w:rsid w:val="004B79B9"/>
    <w:rsid w:val="004B7B8B"/>
    <w:rsid w:val="004B7BE7"/>
    <w:rsid w:val="004C00D5"/>
    <w:rsid w:val="004C0891"/>
    <w:rsid w:val="004C09E9"/>
    <w:rsid w:val="004C0AC5"/>
    <w:rsid w:val="004C0D63"/>
    <w:rsid w:val="004C1E61"/>
    <w:rsid w:val="004C2C50"/>
    <w:rsid w:val="004C2D55"/>
    <w:rsid w:val="004C2D79"/>
    <w:rsid w:val="004C3200"/>
    <w:rsid w:val="004C374C"/>
    <w:rsid w:val="004C621D"/>
    <w:rsid w:val="004C6518"/>
    <w:rsid w:val="004C6E74"/>
    <w:rsid w:val="004C76BB"/>
    <w:rsid w:val="004C7FBB"/>
    <w:rsid w:val="004D0B06"/>
    <w:rsid w:val="004D1175"/>
    <w:rsid w:val="004D122E"/>
    <w:rsid w:val="004D1491"/>
    <w:rsid w:val="004D180B"/>
    <w:rsid w:val="004D1B63"/>
    <w:rsid w:val="004D1F9D"/>
    <w:rsid w:val="004D24EB"/>
    <w:rsid w:val="004D2AC8"/>
    <w:rsid w:val="004D3000"/>
    <w:rsid w:val="004D3CDA"/>
    <w:rsid w:val="004D3D9D"/>
    <w:rsid w:val="004D3DE9"/>
    <w:rsid w:val="004D4320"/>
    <w:rsid w:val="004D55DC"/>
    <w:rsid w:val="004D5807"/>
    <w:rsid w:val="004D614E"/>
    <w:rsid w:val="004D6A6B"/>
    <w:rsid w:val="004D6C45"/>
    <w:rsid w:val="004D7714"/>
    <w:rsid w:val="004D7780"/>
    <w:rsid w:val="004D7E18"/>
    <w:rsid w:val="004E0CC4"/>
    <w:rsid w:val="004E0D73"/>
    <w:rsid w:val="004E1125"/>
    <w:rsid w:val="004E1BC8"/>
    <w:rsid w:val="004E1D82"/>
    <w:rsid w:val="004E2523"/>
    <w:rsid w:val="004E29B0"/>
    <w:rsid w:val="004E2EAF"/>
    <w:rsid w:val="004E3725"/>
    <w:rsid w:val="004E3DA2"/>
    <w:rsid w:val="004E4AEB"/>
    <w:rsid w:val="004E509C"/>
    <w:rsid w:val="004E515E"/>
    <w:rsid w:val="004E5343"/>
    <w:rsid w:val="004E5596"/>
    <w:rsid w:val="004E5758"/>
    <w:rsid w:val="004E5D5E"/>
    <w:rsid w:val="004E720A"/>
    <w:rsid w:val="004E757C"/>
    <w:rsid w:val="004F00A4"/>
    <w:rsid w:val="004F0B96"/>
    <w:rsid w:val="004F0B99"/>
    <w:rsid w:val="004F0D89"/>
    <w:rsid w:val="004F0EAA"/>
    <w:rsid w:val="004F2FFF"/>
    <w:rsid w:val="004F3033"/>
    <w:rsid w:val="004F3889"/>
    <w:rsid w:val="004F4C1F"/>
    <w:rsid w:val="004F5126"/>
    <w:rsid w:val="004F58CA"/>
    <w:rsid w:val="004F5AF0"/>
    <w:rsid w:val="004F5CD1"/>
    <w:rsid w:val="004F60B3"/>
    <w:rsid w:val="004F61DD"/>
    <w:rsid w:val="004F6495"/>
    <w:rsid w:val="004F685D"/>
    <w:rsid w:val="004F6A6C"/>
    <w:rsid w:val="004F73E8"/>
    <w:rsid w:val="005001B5"/>
    <w:rsid w:val="00500FA6"/>
    <w:rsid w:val="00502180"/>
    <w:rsid w:val="005021B1"/>
    <w:rsid w:val="00505706"/>
    <w:rsid w:val="00505F3E"/>
    <w:rsid w:val="00506C80"/>
    <w:rsid w:val="00506E5D"/>
    <w:rsid w:val="00507C43"/>
    <w:rsid w:val="00507D40"/>
    <w:rsid w:val="00511009"/>
    <w:rsid w:val="00511369"/>
    <w:rsid w:val="005117BB"/>
    <w:rsid w:val="0051191B"/>
    <w:rsid w:val="00511A60"/>
    <w:rsid w:val="00512E37"/>
    <w:rsid w:val="005133EC"/>
    <w:rsid w:val="00513BD4"/>
    <w:rsid w:val="005148C5"/>
    <w:rsid w:val="00514BFC"/>
    <w:rsid w:val="00514C0B"/>
    <w:rsid w:val="005153D9"/>
    <w:rsid w:val="005159DF"/>
    <w:rsid w:val="00516261"/>
    <w:rsid w:val="005166BC"/>
    <w:rsid w:val="00517A64"/>
    <w:rsid w:val="0052007B"/>
    <w:rsid w:val="00520DFB"/>
    <w:rsid w:val="00520FA2"/>
    <w:rsid w:val="00522ABF"/>
    <w:rsid w:val="00523958"/>
    <w:rsid w:val="00524532"/>
    <w:rsid w:val="00524612"/>
    <w:rsid w:val="00524C48"/>
    <w:rsid w:val="00524C99"/>
    <w:rsid w:val="00525180"/>
    <w:rsid w:val="005252BC"/>
    <w:rsid w:val="005259CB"/>
    <w:rsid w:val="00526467"/>
    <w:rsid w:val="00526B12"/>
    <w:rsid w:val="00526FB2"/>
    <w:rsid w:val="00527603"/>
    <w:rsid w:val="00527F19"/>
    <w:rsid w:val="005305D2"/>
    <w:rsid w:val="005305F6"/>
    <w:rsid w:val="0053074D"/>
    <w:rsid w:val="00531359"/>
    <w:rsid w:val="00531631"/>
    <w:rsid w:val="005316CB"/>
    <w:rsid w:val="00531917"/>
    <w:rsid w:val="00532717"/>
    <w:rsid w:val="005339D8"/>
    <w:rsid w:val="00533CC5"/>
    <w:rsid w:val="0053512C"/>
    <w:rsid w:val="00535B2C"/>
    <w:rsid w:val="00535E16"/>
    <w:rsid w:val="0053651D"/>
    <w:rsid w:val="00537B9A"/>
    <w:rsid w:val="005400C8"/>
    <w:rsid w:val="00540F96"/>
    <w:rsid w:val="00540FDF"/>
    <w:rsid w:val="005413E4"/>
    <w:rsid w:val="00542C06"/>
    <w:rsid w:val="00542CEC"/>
    <w:rsid w:val="00543693"/>
    <w:rsid w:val="00543E44"/>
    <w:rsid w:val="00543FDE"/>
    <w:rsid w:val="0054459C"/>
    <w:rsid w:val="00544D14"/>
    <w:rsid w:val="0054500D"/>
    <w:rsid w:val="00545128"/>
    <w:rsid w:val="0054524B"/>
    <w:rsid w:val="00545474"/>
    <w:rsid w:val="00546B85"/>
    <w:rsid w:val="00547158"/>
    <w:rsid w:val="00547886"/>
    <w:rsid w:val="00547F32"/>
    <w:rsid w:val="00550BE2"/>
    <w:rsid w:val="005518B0"/>
    <w:rsid w:val="005518DB"/>
    <w:rsid w:val="00552793"/>
    <w:rsid w:val="005527D1"/>
    <w:rsid w:val="005536A9"/>
    <w:rsid w:val="00553746"/>
    <w:rsid w:val="005553B7"/>
    <w:rsid w:val="005561A1"/>
    <w:rsid w:val="0055695B"/>
    <w:rsid w:val="00556E11"/>
    <w:rsid w:val="00560D8C"/>
    <w:rsid w:val="00560E8B"/>
    <w:rsid w:val="00560FE1"/>
    <w:rsid w:val="00561204"/>
    <w:rsid w:val="00561469"/>
    <w:rsid w:val="00561516"/>
    <w:rsid w:val="00561B42"/>
    <w:rsid w:val="00561C8C"/>
    <w:rsid w:val="005625B2"/>
    <w:rsid w:val="00562CAA"/>
    <w:rsid w:val="00563494"/>
    <w:rsid w:val="00563D29"/>
    <w:rsid w:val="00565290"/>
    <w:rsid w:val="005652F7"/>
    <w:rsid w:val="0056582F"/>
    <w:rsid w:val="005675E5"/>
    <w:rsid w:val="00567769"/>
    <w:rsid w:val="005709F8"/>
    <w:rsid w:val="00570A86"/>
    <w:rsid w:val="00570B5B"/>
    <w:rsid w:val="00570F75"/>
    <w:rsid w:val="00571228"/>
    <w:rsid w:val="005718F8"/>
    <w:rsid w:val="00572579"/>
    <w:rsid w:val="005736E0"/>
    <w:rsid w:val="005743B4"/>
    <w:rsid w:val="00574793"/>
    <w:rsid w:val="00574F28"/>
    <w:rsid w:val="0057592D"/>
    <w:rsid w:val="00575B97"/>
    <w:rsid w:val="00575E75"/>
    <w:rsid w:val="00576978"/>
    <w:rsid w:val="00576BEC"/>
    <w:rsid w:val="005774E8"/>
    <w:rsid w:val="0058019E"/>
    <w:rsid w:val="0058026C"/>
    <w:rsid w:val="00580688"/>
    <w:rsid w:val="00580BF2"/>
    <w:rsid w:val="00581110"/>
    <w:rsid w:val="00582BBA"/>
    <w:rsid w:val="00583283"/>
    <w:rsid w:val="005836AC"/>
    <w:rsid w:val="0058388B"/>
    <w:rsid w:val="00584117"/>
    <w:rsid w:val="0058462F"/>
    <w:rsid w:val="00585533"/>
    <w:rsid w:val="00585791"/>
    <w:rsid w:val="00585A4A"/>
    <w:rsid w:val="00586CC6"/>
    <w:rsid w:val="0058793B"/>
    <w:rsid w:val="00587975"/>
    <w:rsid w:val="00587C40"/>
    <w:rsid w:val="0059021D"/>
    <w:rsid w:val="0059082A"/>
    <w:rsid w:val="0059089D"/>
    <w:rsid w:val="00590BBD"/>
    <w:rsid w:val="0059279B"/>
    <w:rsid w:val="00593A2B"/>
    <w:rsid w:val="005942E7"/>
    <w:rsid w:val="005948C2"/>
    <w:rsid w:val="005957B8"/>
    <w:rsid w:val="00596568"/>
    <w:rsid w:val="00596912"/>
    <w:rsid w:val="00596A07"/>
    <w:rsid w:val="00596C8A"/>
    <w:rsid w:val="00597682"/>
    <w:rsid w:val="005977A4"/>
    <w:rsid w:val="00597AC5"/>
    <w:rsid w:val="005A039A"/>
    <w:rsid w:val="005A0DE7"/>
    <w:rsid w:val="005A2606"/>
    <w:rsid w:val="005A2AC8"/>
    <w:rsid w:val="005A406B"/>
    <w:rsid w:val="005A4A62"/>
    <w:rsid w:val="005A4BCE"/>
    <w:rsid w:val="005A4D4F"/>
    <w:rsid w:val="005A4E0E"/>
    <w:rsid w:val="005A4E6F"/>
    <w:rsid w:val="005A57E8"/>
    <w:rsid w:val="005A5F9C"/>
    <w:rsid w:val="005A6F4B"/>
    <w:rsid w:val="005A75DB"/>
    <w:rsid w:val="005A77F6"/>
    <w:rsid w:val="005B0161"/>
    <w:rsid w:val="005B0709"/>
    <w:rsid w:val="005B13FE"/>
    <w:rsid w:val="005B14F1"/>
    <w:rsid w:val="005B1A2F"/>
    <w:rsid w:val="005B2264"/>
    <w:rsid w:val="005B241C"/>
    <w:rsid w:val="005B27D0"/>
    <w:rsid w:val="005B2EEE"/>
    <w:rsid w:val="005B306B"/>
    <w:rsid w:val="005B43D4"/>
    <w:rsid w:val="005B4BD1"/>
    <w:rsid w:val="005B57EF"/>
    <w:rsid w:val="005B717B"/>
    <w:rsid w:val="005B7CB6"/>
    <w:rsid w:val="005B7CED"/>
    <w:rsid w:val="005B7EB4"/>
    <w:rsid w:val="005C002E"/>
    <w:rsid w:val="005C00B9"/>
    <w:rsid w:val="005C03E9"/>
    <w:rsid w:val="005C04B0"/>
    <w:rsid w:val="005C095B"/>
    <w:rsid w:val="005C1BBE"/>
    <w:rsid w:val="005C1C52"/>
    <w:rsid w:val="005C1FD0"/>
    <w:rsid w:val="005C2600"/>
    <w:rsid w:val="005C3DFF"/>
    <w:rsid w:val="005C4A60"/>
    <w:rsid w:val="005C4F43"/>
    <w:rsid w:val="005C5F96"/>
    <w:rsid w:val="005C72DA"/>
    <w:rsid w:val="005C7655"/>
    <w:rsid w:val="005C7C79"/>
    <w:rsid w:val="005C7E0A"/>
    <w:rsid w:val="005C7FCC"/>
    <w:rsid w:val="005D2582"/>
    <w:rsid w:val="005D2D7A"/>
    <w:rsid w:val="005D3BC6"/>
    <w:rsid w:val="005D3CB2"/>
    <w:rsid w:val="005D4739"/>
    <w:rsid w:val="005D57A4"/>
    <w:rsid w:val="005D5825"/>
    <w:rsid w:val="005D5D5B"/>
    <w:rsid w:val="005D5D7D"/>
    <w:rsid w:val="005E02B2"/>
    <w:rsid w:val="005E034F"/>
    <w:rsid w:val="005E0407"/>
    <w:rsid w:val="005E0890"/>
    <w:rsid w:val="005E09DE"/>
    <w:rsid w:val="005E15FF"/>
    <w:rsid w:val="005E3A39"/>
    <w:rsid w:val="005E3C47"/>
    <w:rsid w:val="005E423F"/>
    <w:rsid w:val="005E427D"/>
    <w:rsid w:val="005E5E10"/>
    <w:rsid w:val="005E5F50"/>
    <w:rsid w:val="005E6159"/>
    <w:rsid w:val="005E6424"/>
    <w:rsid w:val="005E64D3"/>
    <w:rsid w:val="005E6985"/>
    <w:rsid w:val="005E6B0C"/>
    <w:rsid w:val="005F0392"/>
    <w:rsid w:val="005F09CE"/>
    <w:rsid w:val="005F186B"/>
    <w:rsid w:val="005F26DA"/>
    <w:rsid w:val="005F2758"/>
    <w:rsid w:val="005F3D48"/>
    <w:rsid w:val="005F4027"/>
    <w:rsid w:val="005F42B9"/>
    <w:rsid w:val="005F49F4"/>
    <w:rsid w:val="005F58E9"/>
    <w:rsid w:val="005F62A4"/>
    <w:rsid w:val="005F6ADE"/>
    <w:rsid w:val="005F79CC"/>
    <w:rsid w:val="006001C8"/>
    <w:rsid w:val="00602770"/>
    <w:rsid w:val="00602EC1"/>
    <w:rsid w:val="00603546"/>
    <w:rsid w:val="00603FC1"/>
    <w:rsid w:val="006050AD"/>
    <w:rsid w:val="006056B6"/>
    <w:rsid w:val="00605CCD"/>
    <w:rsid w:val="00605E55"/>
    <w:rsid w:val="00606CEC"/>
    <w:rsid w:val="00607356"/>
    <w:rsid w:val="00607994"/>
    <w:rsid w:val="00607B3E"/>
    <w:rsid w:val="00610548"/>
    <w:rsid w:val="00611A0B"/>
    <w:rsid w:val="006125DD"/>
    <w:rsid w:val="006127F2"/>
    <w:rsid w:val="0061337A"/>
    <w:rsid w:val="0061381E"/>
    <w:rsid w:val="00614897"/>
    <w:rsid w:val="00614E60"/>
    <w:rsid w:val="006159CC"/>
    <w:rsid w:val="00615A3D"/>
    <w:rsid w:val="00615B4D"/>
    <w:rsid w:val="0061619A"/>
    <w:rsid w:val="0061669F"/>
    <w:rsid w:val="00616731"/>
    <w:rsid w:val="0061696F"/>
    <w:rsid w:val="006173D0"/>
    <w:rsid w:val="006201D7"/>
    <w:rsid w:val="0062097F"/>
    <w:rsid w:val="00620B6D"/>
    <w:rsid w:val="00620D28"/>
    <w:rsid w:val="0062186F"/>
    <w:rsid w:val="00621BEB"/>
    <w:rsid w:val="00621F99"/>
    <w:rsid w:val="006235DE"/>
    <w:rsid w:val="006236FA"/>
    <w:rsid w:val="00623CE5"/>
    <w:rsid w:val="0062425B"/>
    <w:rsid w:val="00626155"/>
    <w:rsid w:val="006269A7"/>
    <w:rsid w:val="00626CA4"/>
    <w:rsid w:val="00630740"/>
    <w:rsid w:val="00630D1D"/>
    <w:rsid w:val="00631270"/>
    <w:rsid w:val="006312AA"/>
    <w:rsid w:val="0063181E"/>
    <w:rsid w:val="006318BC"/>
    <w:rsid w:val="00631F81"/>
    <w:rsid w:val="0063274F"/>
    <w:rsid w:val="00632775"/>
    <w:rsid w:val="0063292A"/>
    <w:rsid w:val="006334E4"/>
    <w:rsid w:val="00634EC1"/>
    <w:rsid w:val="00635177"/>
    <w:rsid w:val="0063522F"/>
    <w:rsid w:val="00635503"/>
    <w:rsid w:val="00635D14"/>
    <w:rsid w:val="006377D8"/>
    <w:rsid w:val="00637921"/>
    <w:rsid w:val="00637EAF"/>
    <w:rsid w:val="0064220C"/>
    <w:rsid w:val="006427AA"/>
    <w:rsid w:val="006429D7"/>
    <w:rsid w:val="00642EDA"/>
    <w:rsid w:val="006431D9"/>
    <w:rsid w:val="006438EE"/>
    <w:rsid w:val="0064390A"/>
    <w:rsid w:val="00643AA1"/>
    <w:rsid w:val="00643DC5"/>
    <w:rsid w:val="00643F28"/>
    <w:rsid w:val="00644616"/>
    <w:rsid w:val="006446D4"/>
    <w:rsid w:val="00644E5E"/>
    <w:rsid w:val="0064565D"/>
    <w:rsid w:val="00645B4C"/>
    <w:rsid w:val="006468FB"/>
    <w:rsid w:val="006478FC"/>
    <w:rsid w:val="0065014E"/>
    <w:rsid w:val="006505A6"/>
    <w:rsid w:val="00650DEB"/>
    <w:rsid w:val="006514EC"/>
    <w:rsid w:val="00651CFE"/>
    <w:rsid w:val="00651F89"/>
    <w:rsid w:val="00652229"/>
    <w:rsid w:val="00652C51"/>
    <w:rsid w:val="00652D00"/>
    <w:rsid w:val="00653481"/>
    <w:rsid w:val="00653DAB"/>
    <w:rsid w:val="00655EA2"/>
    <w:rsid w:val="00657D2D"/>
    <w:rsid w:val="00657F78"/>
    <w:rsid w:val="00661125"/>
    <w:rsid w:val="0066120E"/>
    <w:rsid w:val="006612D6"/>
    <w:rsid w:val="006618FB"/>
    <w:rsid w:val="006620C1"/>
    <w:rsid w:val="00662136"/>
    <w:rsid w:val="0066222F"/>
    <w:rsid w:val="00663E8C"/>
    <w:rsid w:val="00663EAD"/>
    <w:rsid w:val="00664273"/>
    <w:rsid w:val="006643B4"/>
    <w:rsid w:val="0066516B"/>
    <w:rsid w:val="00665687"/>
    <w:rsid w:val="0066776A"/>
    <w:rsid w:val="00667793"/>
    <w:rsid w:val="006702D7"/>
    <w:rsid w:val="006706FA"/>
    <w:rsid w:val="00670F08"/>
    <w:rsid w:val="00671922"/>
    <w:rsid w:val="006719C9"/>
    <w:rsid w:val="00671FFF"/>
    <w:rsid w:val="006730E9"/>
    <w:rsid w:val="00673130"/>
    <w:rsid w:val="00673792"/>
    <w:rsid w:val="00673E43"/>
    <w:rsid w:val="00674403"/>
    <w:rsid w:val="006746B3"/>
    <w:rsid w:val="00675B34"/>
    <w:rsid w:val="00675F43"/>
    <w:rsid w:val="006762E5"/>
    <w:rsid w:val="0067650C"/>
    <w:rsid w:val="00676B4A"/>
    <w:rsid w:val="00677102"/>
    <w:rsid w:val="006771F8"/>
    <w:rsid w:val="00677971"/>
    <w:rsid w:val="006815CA"/>
    <w:rsid w:val="00681935"/>
    <w:rsid w:val="006822DE"/>
    <w:rsid w:val="00682D90"/>
    <w:rsid w:val="00682DE0"/>
    <w:rsid w:val="00683A67"/>
    <w:rsid w:val="006840CF"/>
    <w:rsid w:val="00684131"/>
    <w:rsid w:val="00684797"/>
    <w:rsid w:val="00684A1B"/>
    <w:rsid w:val="006851CC"/>
    <w:rsid w:val="00685474"/>
    <w:rsid w:val="00685B9B"/>
    <w:rsid w:val="00685BF1"/>
    <w:rsid w:val="00685C83"/>
    <w:rsid w:val="006867B5"/>
    <w:rsid w:val="00687A08"/>
    <w:rsid w:val="006901E6"/>
    <w:rsid w:val="006903D3"/>
    <w:rsid w:val="00690B8A"/>
    <w:rsid w:val="00691643"/>
    <w:rsid w:val="00692583"/>
    <w:rsid w:val="00692E77"/>
    <w:rsid w:val="00693229"/>
    <w:rsid w:val="00693AF4"/>
    <w:rsid w:val="00693B95"/>
    <w:rsid w:val="00694A35"/>
    <w:rsid w:val="006958D7"/>
    <w:rsid w:val="006965FB"/>
    <w:rsid w:val="00697279"/>
    <w:rsid w:val="00697B56"/>
    <w:rsid w:val="00697C07"/>
    <w:rsid w:val="00697F91"/>
    <w:rsid w:val="006A069B"/>
    <w:rsid w:val="006A106D"/>
    <w:rsid w:val="006A12F7"/>
    <w:rsid w:val="006A131D"/>
    <w:rsid w:val="006A2795"/>
    <w:rsid w:val="006A3133"/>
    <w:rsid w:val="006A34FC"/>
    <w:rsid w:val="006A4670"/>
    <w:rsid w:val="006A4DBE"/>
    <w:rsid w:val="006A5EAE"/>
    <w:rsid w:val="006A6A47"/>
    <w:rsid w:val="006A6E4E"/>
    <w:rsid w:val="006A70CC"/>
    <w:rsid w:val="006A7177"/>
    <w:rsid w:val="006A73FA"/>
    <w:rsid w:val="006A7591"/>
    <w:rsid w:val="006B023D"/>
    <w:rsid w:val="006B039B"/>
    <w:rsid w:val="006B089B"/>
    <w:rsid w:val="006B0AD2"/>
    <w:rsid w:val="006B0B27"/>
    <w:rsid w:val="006B127D"/>
    <w:rsid w:val="006B1451"/>
    <w:rsid w:val="006B27C0"/>
    <w:rsid w:val="006B3301"/>
    <w:rsid w:val="006B3EFE"/>
    <w:rsid w:val="006B456A"/>
    <w:rsid w:val="006B475C"/>
    <w:rsid w:val="006B4E5F"/>
    <w:rsid w:val="006B56FC"/>
    <w:rsid w:val="006B5B22"/>
    <w:rsid w:val="006B7246"/>
    <w:rsid w:val="006B7756"/>
    <w:rsid w:val="006B7ECD"/>
    <w:rsid w:val="006C038C"/>
    <w:rsid w:val="006C0869"/>
    <w:rsid w:val="006C0A81"/>
    <w:rsid w:val="006C0FD1"/>
    <w:rsid w:val="006C1971"/>
    <w:rsid w:val="006C2EB9"/>
    <w:rsid w:val="006C4BE2"/>
    <w:rsid w:val="006C5145"/>
    <w:rsid w:val="006C54F0"/>
    <w:rsid w:val="006C598A"/>
    <w:rsid w:val="006C6ABC"/>
    <w:rsid w:val="006C6EB2"/>
    <w:rsid w:val="006C7B63"/>
    <w:rsid w:val="006C7C79"/>
    <w:rsid w:val="006C7FC3"/>
    <w:rsid w:val="006D1760"/>
    <w:rsid w:val="006D17A6"/>
    <w:rsid w:val="006D2DAE"/>
    <w:rsid w:val="006D2F68"/>
    <w:rsid w:val="006D319E"/>
    <w:rsid w:val="006D33B4"/>
    <w:rsid w:val="006D3ACB"/>
    <w:rsid w:val="006D407F"/>
    <w:rsid w:val="006D419E"/>
    <w:rsid w:val="006D4AA6"/>
    <w:rsid w:val="006D4E82"/>
    <w:rsid w:val="006D62E6"/>
    <w:rsid w:val="006D7809"/>
    <w:rsid w:val="006E0348"/>
    <w:rsid w:val="006E0477"/>
    <w:rsid w:val="006E086B"/>
    <w:rsid w:val="006E17BF"/>
    <w:rsid w:val="006E350F"/>
    <w:rsid w:val="006E3D99"/>
    <w:rsid w:val="006E3E17"/>
    <w:rsid w:val="006E440E"/>
    <w:rsid w:val="006E4778"/>
    <w:rsid w:val="006E5A3C"/>
    <w:rsid w:val="006E5D16"/>
    <w:rsid w:val="006E6635"/>
    <w:rsid w:val="006F0382"/>
    <w:rsid w:val="006F0BBB"/>
    <w:rsid w:val="006F17F0"/>
    <w:rsid w:val="006F1884"/>
    <w:rsid w:val="006F2645"/>
    <w:rsid w:val="006F3A55"/>
    <w:rsid w:val="006F3A80"/>
    <w:rsid w:val="006F507D"/>
    <w:rsid w:val="006F5A54"/>
    <w:rsid w:val="006F5E75"/>
    <w:rsid w:val="006F5ECC"/>
    <w:rsid w:val="006F6A3C"/>
    <w:rsid w:val="006F6B80"/>
    <w:rsid w:val="006F7419"/>
    <w:rsid w:val="006F7D29"/>
    <w:rsid w:val="006F7E59"/>
    <w:rsid w:val="007000F3"/>
    <w:rsid w:val="00700F68"/>
    <w:rsid w:val="0070165C"/>
    <w:rsid w:val="007016F5"/>
    <w:rsid w:val="00701D26"/>
    <w:rsid w:val="007026AA"/>
    <w:rsid w:val="00702C3D"/>
    <w:rsid w:val="00702F86"/>
    <w:rsid w:val="00704493"/>
    <w:rsid w:val="00705475"/>
    <w:rsid w:val="0070664B"/>
    <w:rsid w:val="007105C4"/>
    <w:rsid w:val="00710669"/>
    <w:rsid w:val="007109F8"/>
    <w:rsid w:val="00711272"/>
    <w:rsid w:val="007116ED"/>
    <w:rsid w:val="00711BF8"/>
    <w:rsid w:val="0071281F"/>
    <w:rsid w:val="007128EA"/>
    <w:rsid w:val="00712C66"/>
    <w:rsid w:val="007140E7"/>
    <w:rsid w:val="007147FF"/>
    <w:rsid w:val="00714E79"/>
    <w:rsid w:val="00714EF9"/>
    <w:rsid w:val="00714FC1"/>
    <w:rsid w:val="007151F7"/>
    <w:rsid w:val="00715624"/>
    <w:rsid w:val="007157A7"/>
    <w:rsid w:val="0071588C"/>
    <w:rsid w:val="00715E6F"/>
    <w:rsid w:val="00715F5D"/>
    <w:rsid w:val="00716A5F"/>
    <w:rsid w:val="007178F5"/>
    <w:rsid w:val="00720510"/>
    <w:rsid w:val="00721245"/>
    <w:rsid w:val="007239F8"/>
    <w:rsid w:val="00725EDC"/>
    <w:rsid w:val="00726D8A"/>
    <w:rsid w:val="007272B0"/>
    <w:rsid w:val="007274BB"/>
    <w:rsid w:val="0073030A"/>
    <w:rsid w:val="007307E5"/>
    <w:rsid w:val="007315DE"/>
    <w:rsid w:val="007321DD"/>
    <w:rsid w:val="00733EA2"/>
    <w:rsid w:val="0073517B"/>
    <w:rsid w:val="007353B6"/>
    <w:rsid w:val="0073638D"/>
    <w:rsid w:val="00737951"/>
    <w:rsid w:val="0074022E"/>
    <w:rsid w:val="00740759"/>
    <w:rsid w:val="00741F53"/>
    <w:rsid w:val="0074214A"/>
    <w:rsid w:val="007422C7"/>
    <w:rsid w:val="007425BD"/>
    <w:rsid w:val="007427D2"/>
    <w:rsid w:val="007430C0"/>
    <w:rsid w:val="00743A05"/>
    <w:rsid w:val="0074484D"/>
    <w:rsid w:val="00746840"/>
    <w:rsid w:val="00746AEF"/>
    <w:rsid w:val="00746B41"/>
    <w:rsid w:val="00746D1D"/>
    <w:rsid w:val="00747009"/>
    <w:rsid w:val="00747022"/>
    <w:rsid w:val="007471FC"/>
    <w:rsid w:val="00750BD0"/>
    <w:rsid w:val="00751160"/>
    <w:rsid w:val="007518C2"/>
    <w:rsid w:val="00751CDB"/>
    <w:rsid w:val="00752349"/>
    <w:rsid w:val="007526A9"/>
    <w:rsid w:val="00752E21"/>
    <w:rsid w:val="0075304E"/>
    <w:rsid w:val="00753135"/>
    <w:rsid w:val="00753174"/>
    <w:rsid w:val="00753219"/>
    <w:rsid w:val="00753309"/>
    <w:rsid w:val="0075338A"/>
    <w:rsid w:val="0075367C"/>
    <w:rsid w:val="00753864"/>
    <w:rsid w:val="007538E9"/>
    <w:rsid w:val="00753B4D"/>
    <w:rsid w:val="00754949"/>
    <w:rsid w:val="0075509E"/>
    <w:rsid w:val="007557FB"/>
    <w:rsid w:val="00755E7E"/>
    <w:rsid w:val="00757098"/>
    <w:rsid w:val="0075772C"/>
    <w:rsid w:val="00757ECF"/>
    <w:rsid w:val="00760239"/>
    <w:rsid w:val="00760657"/>
    <w:rsid w:val="00760B4D"/>
    <w:rsid w:val="00760D00"/>
    <w:rsid w:val="00761441"/>
    <w:rsid w:val="00761CE7"/>
    <w:rsid w:val="00763BD6"/>
    <w:rsid w:val="00763E3A"/>
    <w:rsid w:val="00764438"/>
    <w:rsid w:val="007660B9"/>
    <w:rsid w:val="00766CCD"/>
    <w:rsid w:val="00767411"/>
    <w:rsid w:val="00767AD3"/>
    <w:rsid w:val="0077044C"/>
    <w:rsid w:val="00770A07"/>
    <w:rsid w:val="00770BA2"/>
    <w:rsid w:val="00770D37"/>
    <w:rsid w:val="00773AC7"/>
    <w:rsid w:val="00773D79"/>
    <w:rsid w:val="00774EFD"/>
    <w:rsid w:val="00775419"/>
    <w:rsid w:val="00775C90"/>
    <w:rsid w:val="00776809"/>
    <w:rsid w:val="00776B60"/>
    <w:rsid w:val="0077760F"/>
    <w:rsid w:val="00777830"/>
    <w:rsid w:val="00780AC4"/>
    <w:rsid w:val="0078172B"/>
    <w:rsid w:val="00781797"/>
    <w:rsid w:val="00782329"/>
    <w:rsid w:val="00782717"/>
    <w:rsid w:val="0078291B"/>
    <w:rsid w:val="00782E08"/>
    <w:rsid w:val="007833E9"/>
    <w:rsid w:val="00784211"/>
    <w:rsid w:val="00784214"/>
    <w:rsid w:val="00785FC7"/>
    <w:rsid w:val="007864E8"/>
    <w:rsid w:val="007876C5"/>
    <w:rsid w:val="00787AC0"/>
    <w:rsid w:val="007908F9"/>
    <w:rsid w:val="00790D19"/>
    <w:rsid w:val="00791040"/>
    <w:rsid w:val="007920A6"/>
    <w:rsid w:val="00792734"/>
    <w:rsid w:val="007952F0"/>
    <w:rsid w:val="007956C4"/>
    <w:rsid w:val="00795AD0"/>
    <w:rsid w:val="00796A73"/>
    <w:rsid w:val="00796FAF"/>
    <w:rsid w:val="00797AF4"/>
    <w:rsid w:val="00797C5A"/>
    <w:rsid w:val="007A04D0"/>
    <w:rsid w:val="007A0901"/>
    <w:rsid w:val="007A099E"/>
    <w:rsid w:val="007A1579"/>
    <w:rsid w:val="007A27C5"/>
    <w:rsid w:val="007A4210"/>
    <w:rsid w:val="007A4946"/>
    <w:rsid w:val="007A52E1"/>
    <w:rsid w:val="007A5F55"/>
    <w:rsid w:val="007A79E3"/>
    <w:rsid w:val="007B0343"/>
    <w:rsid w:val="007B043C"/>
    <w:rsid w:val="007B078D"/>
    <w:rsid w:val="007B0B35"/>
    <w:rsid w:val="007B1A87"/>
    <w:rsid w:val="007B26E8"/>
    <w:rsid w:val="007B2863"/>
    <w:rsid w:val="007B38B1"/>
    <w:rsid w:val="007B39E3"/>
    <w:rsid w:val="007B3E7F"/>
    <w:rsid w:val="007B4046"/>
    <w:rsid w:val="007B4425"/>
    <w:rsid w:val="007B5754"/>
    <w:rsid w:val="007B5FB1"/>
    <w:rsid w:val="007B6F9A"/>
    <w:rsid w:val="007C0149"/>
    <w:rsid w:val="007C02F4"/>
    <w:rsid w:val="007C1087"/>
    <w:rsid w:val="007C2536"/>
    <w:rsid w:val="007C2B8B"/>
    <w:rsid w:val="007C2D67"/>
    <w:rsid w:val="007C37EC"/>
    <w:rsid w:val="007C3F60"/>
    <w:rsid w:val="007C4131"/>
    <w:rsid w:val="007C45B3"/>
    <w:rsid w:val="007C4921"/>
    <w:rsid w:val="007C5065"/>
    <w:rsid w:val="007C550F"/>
    <w:rsid w:val="007C572F"/>
    <w:rsid w:val="007C59D5"/>
    <w:rsid w:val="007C5AFA"/>
    <w:rsid w:val="007C5FA7"/>
    <w:rsid w:val="007C6FAC"/>
    <w:rsid w:val="007C7462"/>
    <w:rsid w:val="007C75D4"/>
    <w:rsid w:val="007C77E9"/>
    <w:rsid w:val="007C7BB6"/>
    <w:rsid w:val="007D0298"/>
    <w:rsid w:val="007D0511"/>
    <w:rsid w:val="007D1C09"/>
    <w:rsid w:val="007D4215"/>
    <w:rsid w:val="007D51D2"/>
    <w:rsid w:val="007D52DC"/>
    <w:rsid w:val="007D5C16"/>
    <w:rsid w:val="007D6069"/>
    <w:rsid w:val="007D626B"/>
    <w:rsid w:val="007D6322"/>
    <w:rsid w:val="007D680C"/>
    <w:rsid w:val="007D6AA0"/>
    <w:rsid w:val="007D74D6"/>
    <w:rsid w:val="007D7901"/>
    <w:rsid w:val="007E0448"/>
    <w:rsid w:val="007E1DFE"/>
    <w:rsid w:val="007E1F87"/>
    <w:rsid w:val="007E21E5"/>
    <w:rsid w:val="007E2263"/>
    <w:rsid w:val="007E237E"/>
    <w:rsid w:val="007E2797"/>
    <w:rsid w:val="007E30EE"/>
    <w:rsid w:val="007E508F"/>
    <w:rsid w:val="007E55EA"/>
    <w:rsid w:val="007E6BCB"/>
    <w:rsid w:val="007E73D4"/>
    <w:rsid w:val="007E766D"/>
    <w:rsid w:val="007E7747"/>
    <w:rsid w:val="007F0F31"/>
    <w:rsid w:val="007F13AB"/>
    <w:rsid w:val="007F2558"/>
    <w:rsid w:val="007F25D9"/>
    <w:rsid w:val="007F2973"/>
    <w:rsid w:val="007F3060"/>
    <w:rsid w:val="007F37C3"/>
    <w:rsid w:val="007F3AD7"/>
    <w:rsid w:val="007F3BA5"/>
    <w:rsid w:val="007F4065"/>
    <w:rsid w:val="007F4D16"/>
    <w:rsid w:val="007F5046"/>
    <w:rsid w:val="007F50BC"/>
    <w:rsid w:val="007F5A0F"/>
    <w:rsid w:val="007F5D33"/>
    <w:rsid w:val="007F695D"/>
    <w:rsid w:val="007F6B4B"/>
    <w:rsid w:val="007F6E17"/>
    <w:rsid w:val="007F73D2"/>
    <w:rsid w:val="007F77E2"/>
    <w:rsid w:val="007F7A61"/>
    <w:rsid w:val="007F7FED"/>
    <w:rsid w:val="008008D2"/>
    <w:rsid w:val="008009AA"/>
    <w:rsid w:val="00801994"/>
    <w:rsid w:val="008019EF"/>
    <w:rsid w:val="0080253C"/>
    <w:rsid w:val="00802745"/>
    <w:rsid w:val="008034CE"/>
    <w:rsid w:val="0080357D"/>
    <w:rsid w:val="00804629"/>
    <w:rsid w:val="00804632"/>
    <w:rsid w:val="008049F6"/>
    <w:rsid w:val="00804FE3"/>
    <w:rsid w:val="008051C4"/>
    <w:rsid w:val="00805599"/>
    <w:rsid w:val="00805801"/>
    <w:rsid w:val="00805A26"/>
    <w:rsid w:val="00805B42"/>
    <w:rsid w:val="00806393"/>
    <w:rsid w:val="00807030"/>
    <w:rsid w:val="008074B5"/>
    <w:rsid w:val="00810713"/>
    <w:rsid w:val="00811B2B"/>
    <w:rsid w:val="0081234D"/>
    <w:rsid w:val="00813371"/>
    <w:rsid w:val="00813607"/>
    <w:rsid w:val="00813FA9"/>
    <w:rsid w:val="00814A4B"/>
    <w:rsid w:val="0081512D"/>
    <w:rsid w:val="0081514B"/>
    <w:rsid w:val="008151B4"/>
    <w:rsid w:val="00815BB9"/>
    <w:rsid w:val="00816514"/>
    <w:rsid w:val="00816F17"/>
    <w:rsid w:val="00817F8F"/>
    <w:rsid w:val="00820433"/>
    <w:rsid w:val="00820E0F"/>
    <w:rsid w:val="0082100B"/>
    <w:rsid w:val="00821124"/>
    <w:rsid w:val="00823549"/>
    <w:rsid w:val="00825B23"/>
    <w:rsid w:val="00825BF7"/>
    <w:rsid w:val="00825DF5"/>
    <w:rsid w:val="00826F4E"/>
    <w:rsid w:val="00827038"/>
    <w:rsid w:val="008273A4"/>
    <w:rsid w:val="008275B9"/>
    <w:rsid w:val="0082787F"/>
    <w:rsid w:val="00827EED"/>
    <w:rsid w:val="00831C62"/>
    <w:rsid w:val="00831C74"/>
    <w:rsid w:val="008324F7"/>
    <w:rsid w:val="0083261D"/>
    <w:rsid w:val="00832CCD"/>
    <w:rsid w:val="00832D89"/>
    <w:rsid w:val="00832EB9"/>
    <w:rsid w:val="00833C0B"/>
    <w:rsid w:val="00833C32"/>
    <w:rsid w:val="0083444D"/>
    <w:rsid w:val="0083456E"/>
    <w:rsid w:val="00834C35"/>
    <w:rsid w:val="00835E26"/>
    <w:rsid w:val="00835EA3"/>
    <w:rsid w:val="008361B2"/>
    <w:rsid w:val="00836CA5"/>
    <w:rsid w:val="00836FED"/>
    <w:rsid w:val="008378E2"/>
    <w:rsid w:val="00837A73"/>
    <w:rsid w:val="008402D6"/>
    <w:rsid w:val="00840865"/>
    <w:rsid w:val="00840A18"/>
    <w:rsid w:val="00840DBB"/>
    <w:rsid w:val="00841A75"/>
    <w:rsid w:val="00841B94"/>
    <w:rsid w:val="00841D41"/>
    <w:rsid w:val="00842210"/>
    <w:rsid w:val="008436AB"/>
    <w:rsid w:val="00844439"/>
    <w:rsid w:val="00844739"/>
    <w:rsid w:val="0084486B"/>
    <w:rsid w:val="008456A7"/>
    <w:rsid w:val="008462EA"/>
    <w:rsid w:val="00846E31"/>
    <w:rsid w:val="0084776D"/>
    <w:rsid w:val="00847817"/>
    <w:rsid w:val="0085018D"/>
    <w:rsid w:val="008501C0"/>
    <w:rsid w:val="0085033A"/>
    <w:rsid w:val="00850420"/>
    <w:rsid w:val="008508F9"/>
    <w:rsid w:val="00850FB5"/>
    <w:rsid w:val="00851364"/>
    <w:rsid w:val="0085148F"/>
    <w:rsid w:val="008515A8"/>
    <w:rsid w:val="008523CC"/>
    <w:rsid w:val="00852BEA"/>
    <w:rsid w:val="00852FCF"/>
    <w:rsid w:val="008533E5"/>
    <w:rsid w:val="0085425F"/>
    <w:rsid w:val="008549C6"/>
    <w:rsid w:val="00856239"/>
    <w:rsid w:val="00860134"/>
    <w:rsid w:val="0086063A"/>
    <w:rsid w:val="00860D82"/>
    <w:rsid w:val="0086151D"/>
    <w:rsid w:val="008624A9"/>
    <w:rsid w:val="008624BD"/>
    <w:rsid w:val="00863645"/>
    <w:rsid w:val="00863B67"/>
    <w:rsid w:val="00864B66"/>
    <w:rsid w:val="0086524A"/>
    <w:rsid w:val="00865531"/>
    <w:rsid w:val="0086565E"/>
    <w:rsid w:val="00866427"/>
    <w:rsid w:val="00866DE7"/>
    <w:rsid w:val="008678C1"/>
    <w:rsid w:val="00867A60"/>
    <w:rsid w:val="00867D3D"/>
    <w:rsid w:val="0087047E"/>
    <w:rsid w:val="00870B04"/>
    <w:rsid w:val="008713BD"/>
    <w:rsid w:val="0087168B"/>
    <w:rsid w:val="008721CF"/>
    <w:rsid w:val="008725A3"/>
    <w:rsid w:val="00873DED"/>
    <w:rsid w:val="0087506F"/>
    <w:rsid w:val="00876E0E"/>
    <w:rsid w:val="00877425"/>
    <w:rsid w:val="008777F4"/>
    <w:rsid w:val="00877EB6"/>
    <w:rsid w:val="00880786"/>
    <w:rsid w:val="00881187"/>
    <w:rsid w:val="008811A3"/>
    <w:rsid w:val="008815D3"/>
    <w:rsid w:val="00881A8E"/>
    <w:rsid w:val="00882034"/>
    <w:rsid w:val="00882E09"/>
    <w:rsid w:val="0088329D"/>
    <w:rsid w:val="0088350D"/>
    <w:rsid w:val="008835CD"/>
    <w:rsid w:val="00883EB4"/>
    <w:rsid w:val="008846C0"/>
    <w:rsid w:val="00884776"/>
    <w:rsid w:val="00884F2C"/>
    <w:rsid w:val="00886606"/>
    <w:rsid w:val="0088698E"/>
    <w:rsid w:val="00886A76"/>
    <w:rsid w:val="00887898"/>
    <w:rsid w:val="008878D7"/>
    <w:rsid w:val="00890172"/>
    <w:rsid w:val="008908CA"/>
    <w:rsid w:val="00891255"/>
    <w:rsid w:val="00891360"/>
    <w:rsid w:val="008915D5"/>
    <w:rsid w:val="00891A34"/>
    <w:rsid w:val="00891CB5"/>
    <w:rsid w:val="0089264E"/>
    <w:rsid w:val="008938B4"/>
    <w:rsid w:val="00893CE3"/>
    <w:rsid w:val="00893EA6"/>
    <w:rsid w:val="00894E96"/>
    <w:rsid w:val="0089728C"/>
    <w:rsid w:val="0089754F"/>
    <w:rsid w:val="008A0FB0"/>
    <w:rsid w:val="008A1205"/>
    <w:rsid w:val="008A13C0"/>
    <w:rsid w:val="008A1B02"/>
    <w:rsid w:val="008A251A"/>
    <w:rsid w:val="008A31B8"/>
    <w:rsid w:val="008A41F0"/>
    <w:rsid w:val="008A4A07"/>
    <w:rsid w:val="008A4E39"/>
    <w:rsid w:val="008A52EB"/>
    <w:rsid w:val="008A603A"/>
    <w:rsid w:val="008A764A"/>
    <w:rsid w:val="008A7DD4"/>
    <w:rsid w:val="008B02E4"/>
    <w:rsid w:val="008B0B00"/>
    <w:rsid w:val="008B0BD3"/>
    <w:rsid w:val="008B0BED"/>
    <w:rsid w:val="008B0C9D"/>
    <w:rsid w:val="008B13ED"/>
    <w:rsid w:val="008B19D1"/>
    <w:rsid w:val="008B27FC"/>
    <w:rsid w:val="008B3FFA"/>
    <w:rsid w:val="008B493F"/>
    <w:rsid w:val="008B51E7"/>
    <w:rsid w:val="008B6079"/>
    <w:rsid w:val="008B655D"/>
    <w:rsid w:val="008B6EFB"/>
    <w:rsid w:val="008B73D7"/>
    <w:rsid w:val="008C10EA"/>
    <w:rsid w:val="008C115E"/>
    <w:rsid w:val="008C2092"/>
    <w:rsid w:val="008C255C"/>
    <w:rsid w:val="008C26EB"/>
    <w:rsid w:val="008C3B51"/>
    <w:rsid w:val="008C42B8"/>
    <w:rsid w:val="008C4C5E"/>
    <w:rsid w:val="008C524D"/>
    <w:rsid w:val="008C545B"/>
    <w:rsid w:val="008C593B"/>
    <w:rsid w:val="008C77BC"/>
    <w:rsid w:val="008D03B9"/>
    <w:rsid w:val="008D0504"/>
    <w:rsid w:val="008D07B9"/>
    <w:rsid w:val="008D10FB"/>
    <w:rsid w:val="008D1256"/>
    <w:rsid w:val="008D275A"/>
    <w:rsid w:val="008D2E82"/>
    <w:rsid w:val="008D36B2"/>
    <w:rsid w:val="008D3783"/>
    <w:rsid w:val="008D4B16"/>
    <w:rsid w:val="008D5046"/>
    <w:rsid w:val="008D58C6"/>
    <w:rsid w:val="008D5D6C"/>
    <w:rsid w:val="008D6982"/>
    <w:rsid w:val="008D6C37"/>
    <w:rsid w:val="008D6D07"/>
    <w:rsid w:val="008D7AA2"/>
    <w:rsid w:val="008D7B57"/>
    <w:rsid w:val="008E030A"/>
    <w:rsid w:val="008E0389"/>
    <w:rsid w:val="008E064B"/>
    <w:rsid w:val="008E1FDE"/>
    <w:rsid w:val="008E2FCF"/>
    <w:rsid w:val="008E35AA"/>
    <w:rsid w:val="008E4BAE"/>
    <w:rsid w:val="008E4D03"/>
    <w:rsid w:val="008E4DAE"/>
    <w:rsid w:val="008E50A9"/>
    <w:rsid w:val="008E584D"/>
    <w:rsid w:val="008E7442"/>
    <w:rsid w:val="008E7EA2"/>
    <w:rsid w:val="008F087E"/>
    <w:rsid w:val="008F1A1E"/>
    <w:rsid w:val="008F1EDD"/>
    <w:rsid w:val="008F1F7D"/>
    <w:rsid w:val="008F24A8"/>
    <w:rsid w:val="008F2754"/>
    <w:rsid w:val="008F28C5"/>
    <w:rsid w:val="008F2ED6"/>
    <w:rsid w:val="008F2F60"/>
    <w:rsid w:val="008F3500"/>
    <w:rsid w:val="008F376A"/>
    <w:rsid w:val="008F4B72"/>
    <w:rsid w:val="008F5186"/>
    <w:rsid w:val="008F62B3"/>
    <w:rsid w:val="008F74AA"/>
    <w:rsid w:val="008F7D47"/>
    <w:rsid w:val="0090057F"/>
    <w:rsid w:val="00900C95"/>
    <w:rsid w:val="00900DA6"/>
    <w:rsid w:val="0090175C"/>
    <w:rsid w:val="00902355"/>
    <w:rsid w:val="00902930"/>
    <w:rsid w:val="00902CAC"/>
    <w:rsid w:val="009034BE"/>
    <w:rsid w:val="009036CA"/>
    <w:rsid w:val="00903C4E"/>
    <w:rsid w:val="0090446A"/>
    <w:rsid w:val="0090500F"/>
    <w:rsid w:val="009057CF"/>
    <w:rsid w:val="009064C1"/>
    <w:rsid w:val="00906822"/>
    <w:rsid w:val="00906ED5"/>
    <w:rsid w:val="0090769B"/>
    <w:rsid w:val="00907B2C"/>
    <w:rsid w:val="009105BC"/>
    <w:rsid w:val="00910F07"/>
    <w:rsid w:val="00911002"/>
    <w:rsid w:val="00911B08"/>
    <w:rsid w:val="00912767"/>
    <w:rsid w:val="00914C53"/>
    <w:rsid w:val="00915B9C"/>
    <w:rsid w:val="00917F01"/>
    <w:rsid w:val="00917F95"/>
    <w:rsid w:val="00920430"/>
    <w:rsid w:val="009205C1"/>
    <w:rsid w:val="009206F1"/>
    <w:rsid w:val="00920AC1"/>
    <w:rsid w:val="00920F52"/>
    <w:rsid w:val="009211EC"/>
    <w:rsid w:val="00921475"/>
    <w:rsid w:val="00921DBD"/>
    <w:rsid w:val="00922281"/>
    <w:rsid w:val="009226BF"/>
    <w:rsid w:val="009227A8"/>
    <w:rsid w:val="009233DB"/>
    <w:rsid w:val="00923868"/>
    <w:rsid w:val="00923C27"/>
    <w:rsid w:val="00923EDF"/>
    <w:rsid w:val="0092419C"/>
    <w:rsid w:val="009246AC"/>
    <w:rsid w:val="00925352"/>
    <w:rsid w:val="00925B13"/>
    <w:rsid w:val="00925EA8"/>
    <w:rsid w:val="0092617E"/>
    <w:rsid w:val="009266D5"/>
    <w:rsid w:val="009268F1"/>
    <w:rsid w:val="00926964"/>
    <w:rsid w:val="00926B13"/>
    <w:rsid w:val="00926B97"/>
    <w:rsid w:val="00926E60"/>
    <w:rsid w:val="00927A42"/>
    <w:rsid w:val="009300DF"/>
    <w:rsid w:val="00930D67"/>
    <w:rsid w:val="00931791"/>
    <w:rsid w:val="0093267E"/>
    <w:rsid w:val="0093409D"/>
    <w:rsid w:val="009348DD"/>
    <w:rsid w:val="00935390"/>
    <w:rsid w:val="00935692"/>
    <w:rsid w:val="0093639B"/>
    <w:rsid w:val="009367DE"/>
    <w:rsid w:val="00940041"/>
    <w:rsid w:val="00940879"/>
    <w:rsid w:val="00941622"/>
    <w:rsid w:val="00941A53"/>
    <w:rsid w:val="00942338"/>
    <w:rsid w:val="00942892"/>
    <w:rsid w:val="009428C1"/>
    <w:rsid w:val="009439D1"/>
    <w:rsid w:val="00943FDA"/>
    <w:rsid w:val="00944071"/>
    <w:rsid w:val="00944096"/>
    <w:rsid w:val="009441FD"/>
    <w:rsid w:val="00944381"/>
    <w:rsid w:val="00944524"/>
    <w:rsid w:val="009463B5"/>
    <w:rsid w:val="0094688C"/>
    <w:rsid w:val="009470B6"/>
    <w:rsid w:val="00947238"/>
    <w:rsid w:val="009475E4"/>
    <w:rsid w:val="009502FD"/>
    <w:rsid w:val="00950900"/>
    <w:rsid w:val="00951571"/>
    <w:rsid w:val="00951A26"/>
    <w:rsid w:val="009520A9"/>
    <w:rsid w:val="0095471A"/>
    <w:rsid w:val="00954DDB"/>
    <w:rsid w:val="00954F21"/>
    <w:rsid w:val="00955600"/>
    <w:rsid w:val="0095675E"/>
    <w:rsid w:val="0095682C"/>
    <w:rsid w:val="00956F70"/>
    <w:rsid w:val="00957296"/>
    <w:rsid w:val="009573E8"/>
    <w:rsid w:val="00957567"/>
    <w:rsid w:val="00957BBD"/>
    <w:rsid w:val="00957D28"/>
    <w:rsid w:val="00961AB6"/>
    <w:rsid w:val="0096228E"/>
    <w:rsid w:val="00962EE8"/>
    <w:rsid w:val="009633CD"/>
    <w:rsid w:val="00963422"/>
    <w:rsid w:val="00963A06"/>
    <w:rsid w:val="00963FB3"/>
    <w:rsid w:val="009640CD"/>
    <w:rsid w:val="009646FE"/>
    <w:rsid w:val="00964F3C"/>
    <w:rsid w:val="0096567B"/>
    <w:rsid w:val="00965A08"/>
    <w:rsid w:val="00971560"/>
    <w:rsid w:val="00971B0A"/>
    <w:rsid w:val="0097317B"/>
    <w:rsid w:val="0097348C"/>
    <w:rsid w:val="009740DD"/>
    <w:rsid w:val="00974578"/>
    <w:rsid w:val="00974D32"/>
    <w:rsid w:val="00974F22"/>
    <w:rsid w:val="00974FFF"/>
    <w:rsid w:val="00975147"/>
    <w:rsid w:val="009756D3"/>
    <w:rsid w:val="009757F9"/>
    <w:rsid w:val="0097582F"/>
    <w:rsid w:val="009761B1"/>
    <w:rsid w:val="009775A0"/>
    <w:rsid w:val="009775DA"/>
    <w:rsid w:val="009775DC"/>
    <w:rsid w:val="0098009F"/>
    <w:rsid w:val="00980AC6"/>
    <w:rsid w:val="009816DF"/>
    <w:rsid w:val="0098261D"/>
    <w:rsid w:val="009841F0"/>
    <w:rsid w:val="009844AE"/>
    <w:rsid w:val="00984C6B"/>
    <w:rsid w:val="00984EC6"/>
    <w:rsid w:val="00985425"/>
    <w:rsid w:val="009862A2"/>
    <w:rsid w:val="009863D7"/>
    <w:rsid w:val="00987CAF"/>
    <w:rsid w:val="009901EC"/>
    <w:rsid w:val="00990318"/>
    <w:rsid w:val="00990B13"/>
    <w:rsid w:val="009916E4"/>
    <w:rsid w:val="00992C8B"/>
    <w:rsid w:val="00993093"/>
    <w:rsid w:val="00993B67"/>
    <w:rsid w:val="009943D7"/>
    <w:rsid w:val="009959E0"/>
    <w:rsid w:val="00995DC8"/>
    <w:rsid w:val="0099645E"/>
    <w:rsid w:val="00996787"/>
    <w:rsid w:val="00996919"/>
    <w:rsid w:val="0099699C"/>
    <w:rsid w:val="00996BEA"/>
    <w:rsid w:val="009A042D"/>
    <w:rsid w:val="009A0E3A"/>
    <w:rsid w:val="009A2343"/>
    <w:rsid w:val="009A2D83"/>
    <w:rsid w:val="009A33FB"/>
    <w:rsid w:val="009A3446"/>
    <w:rsid w:val="009A521E"/>
    <w:rsid w:val="009A5DA4"/>
    <w:rsid w:val="009A7408"/>
    <w:rsid w:val="009B0410"/>
    <w:rsid w:val="009B0483"/>
    <w:rsid w:val="009B0525"/>
    <w:rsid w:val="009B0603"/>
    <w:rsid w:val="009B0664"/>
    <w:rsid w:val="009B16E6"/>
    <w:rsid w:val="009B1A44"/>
    <w:rsid w:val="009B1EDC"/>
    <w:rsid w:val="009B1F9C"/>
    <w:rsid w:val="009B21B8"/>
    <w:rsid w:val="009B251E"/>
    <w:rsid w:val="009B2DA9"/>
    <w:rsid w:val="009B3911"/>
    <w:rsid w:val="009B3E8D"/>
    <w:rsid w:val="009B4379"/>
    <w:rsid w:val="009B4E47"/>
    <w:rsid w:val="009B4FEA"/>
    <w:rsid w:val="009B51A5"/>
    <w:rsid w:val="009B5AED"/>
    <w:rsid w:val="009B6F94"/>
    <w:rsid w:val="009B7C6A"/>
    <w:rsid w:val="009B7D2F"/>
    <w:rsid w:val="009C03F5"/>
    <w:rsid w:val="009C07A0"/>
    <w:rsid w:val="009C0A18"/>
    <w:rsid w:val="009C0BF6"/>
    <w:rsid w:val="009C16EA"/>
    <w:rsid w:val="009C1A65"/>
    <w:rsid w:val="009C1BA9"/>
    <w:rsid w:val="009C2E0B"/>
    <w:rsid w:val="009C2F29"/>
    <w:rsid w:val="009C31E9"/>
    <w:rsid w:val="009C3D9D"/>
    <w:rsid w:val="009C5B94"/>
    <w:rsid w:val="009C614B"/>
    <w:rsid w:val="009C6271"/>
    <w:rsid w:val="009C70C1"/>
    <w:rsid w:val="009C7666"/>
    <w:rsid w:val="009D1E05"/>
    <w:rsid w:val="009D28A6"/>
    <w:rsid w:val="009D33F9"/>
    <w:rsid w:val="009D3EDC"/>
    <w:rsid w:val="009D3F29"/>
    <w:rsid w:val="009D40EA"/>
    <w:rsid w:val="009D4C49"/>
    <w:rsid w:val="009D5706"/>
    <w:rsid w:val="009D58A9"/>
    <w:rsid w:val="009D59C7"/>
    <w:rsid w:val="009D5F34"/>
    <w:rsid w:val="009D6078"/>
    <w:rsid w:val="009E0235"/>
    <w:rsid w:val="009E03B1"/>
    <w:rsid w:val="009E0565"/>
    <w:rsid w:val="009E0680"/>
    <w:rsid w:val="009E0B53"/>
    <w:rsid w:val="009E0D6E"/>
    <w:rsid w:val="009E1178"/>
    <w:rsid w:val="009E24D3"/>
    <w:rsid w:val="009E28DC"/>
    <w:rsid w:val="009E3BAC"/>
    <w:rsid w:val="009E4233"/>
    <w:rsid w:val="009E4FC8"/>
    <w:rsid w:val="009E5BF9"/>
    <w:rsid w:val="009E65F4"/>
    <w:rsid w:val="009E6FF3"/>
    <w:rsid w:val="009E7968"/>
    <w:rsid w:val="009E7E4F"/>
    <w:rsid w:val="009F1862"/>
    <w:rsid w:val="009F1B08"/>
    <w:rsid w:val="009F1DC6"/>
    <w:rsid w:val="009F27ED"/>
    <w:rsid w:val="009F301E"/>
    <w:rsid w:val="009F3279"/>
    <w:rsid w:val="009F6CD1"/>
    <w:rsid w:val="009F6EDF"/>
    <w:rsid w:val="009F7037"/>
    <w:rsid w:val="009F70AE"/>
    <w:rsid w:val="009F750C"/>
    <w:rsid w:val="009F751D"/>
    <w:rsid w:val="009F7A80"/>
    <w:rsid w:val="00A0000B"/>
    <w:rsid w:val="00A00EF2"/>
    <w:rsid w:val="00A01939"/>
    <w:rsid w:val="00A01D74"/>
    <w:rsid w:val="00A01EFA"/>
    <w:rsid w:val="00A01F62"/>
    <w:rsid w:val="00A02068"/>
    <w:rsid w:val="00A031FC"/>
    <w:rsid w:val="00A03238"/>
    <w:rsid w:val="00A03365"/>
    <w:rsid w:val="00A0692D"/>
    <w:rsid w:val="00A069F9"/>
    <w:rsid w:val="00A073CF"/>
    <w:rsid w:val="00A1048F"/>
    <w:rsid w:val="00A10F60"/>
    <w:rsid w:val="00A1129F"/>
    <w:rsid w:val="00A116FA"/>
    <w:rsid w:val="00A119D5"/>
    <w:rsid w:val="00A11EDD"/>
    <w:rsid w:val="00A1225C"/>
    <w:rsid w:val="00A12E7F"/>
    <w:rsid w:val="00A12EC6"/>
    <w:rsid w:val="00A1339F"/>
    <w:rsid w:val="00A13FCA"/>
    <w:rsid w:val="00A14214"/>
    <w:rsid w:val="00A14294"/>
    <w:rsid w:val="00A14B14"/>
    <w:rsid w:val="00A14D82"/>
    <w:rsid w:val="00A14DDA"/>
    <w:rsid w:val="00A14F51"/>
    <w:rsid w:val="00A157CD"/>
    <w:rsid w:val="00A17116"/>
    <w:rsid w:val="00A172E5"/>
    <w:rsid w:val="00A173EC"/>
    <w:rsid w:val="00A205EF"/>
    <w:rsid w:val="00A20777"/>
    <w:rsid w:val="00A20CE9"/>
    <w:rsid w:val="00A20EC2"/>
    <w:rsid w:val="00A22370"/>
    <w:rsid w:val="00A22DF3"/>
    <w:rsid w:val="00A232B7"/>
    <w:rsid w:val="00A24064"/>
    <w:rsid w:val="00A24794"/>
    <w:rsid w:val="00A24914"/>
    <w:rsid w:val="00A25389"/>
    <w:rsid w:val="00A2579E"/>
    <w:rsid w:val="00A2714E"/>
    <w:rsid w:val="00A2720E"/>
    <w:rsid w:val="00A305EF"/>
    <w:rsid w:val="00A31087"/>
    <w:rsid w:val="00A338ED"/>
    <w:rsid w:val="00A344CA"/>
    <w:rsid w:val="00A351D8"/>
    <w:rsid w:val="00A359D9"/>
    <w:rsid w:val="00A35D2B"/>
    <w:rsid w:val="00A36503"/>
    <w:rsid w:val="00A371C5"/>
    <w:rsid w:val="00A37218"/>
    <w:rsid w:val="00A4043F"/>
    <w:rsid w:val="00A40EEA"/>
    <w:rsid w:val="00A40F3A"/>
    <w:rsid w:val="00A416A5"/>
    <w:rsid w:val="00A41764"/>
    <w:rsid w:val="00A41934"/>
    <w:rsid w:val="00A43104"/>
    <w:rsid w:val="00A43382"/>
    <w:rsid w:val="00A43703"/>
    <w:rsid w:val="00A43F55"/>
    <w:rsid w:val="00A43F60"/>
    <w:rsid w:val="00A43FD6"/>
    <w:rsid w:val="00A4465F"/>
    <w:rsid w:val="00A4604F"/>
    <w:rsid w:val="00A46441"/>
    <w:rsid w:val="00A46965"/>
    <w:rsid w:val="00A46A92"/>
    <w:rsid w:val="00A46E94"/>
    <w:rsid w:val="00A47C07"/>
    <w:rsid w:val="00A50E77"/>
    <w:rsid w:val="00A51349"/>
    <w:rsid w:val="00A51CCD"/>
    <w:rsid w:val="00A528DE"/>
    <w:rsid w:val="00A5299E"/>
    <w:rsid w:val="00A52E40"/>
    <w:rsid w:val="00A538F2"/>
    <w:rsid w:val="00A53A9A"/>
    <w:rsid w:val="00A53CFA"/>
    <w:rsid w:val="00A541CF"/>
    <w:rsid w:val="00A54FDC"/>
    <w:rsid w:val="00A55832"/>
    <w:rsid w:val="00A56016"/>
    <w:rsid w:val="00A56B5E"/>
    <w:rsid w:val="00A603BA"/>
    <w:rsid w:val="00A61533"/>
    <w:rsid w:val="00A61711"/>
    <w:rsid w:val="00A61A9B"/>
    <w:rsid w:val="00A6264E"/>
    <w:rsid w:val="00A62F19"/>
    <w:rsid w:val="00A63196"/>
    <w:rsid w:val="00A6724A"/>
    <w:rsid w:val="00A70D2F"/>
    <w:rsid w:val="00A70D6F"/>
    <w:rsid w:val="00A71D77"/>
    <w:rsid w:val="00A72414"/>
    <w:rsid w:val="00A727CC"/>
    <w:rsid w:val="00A732A1"/>
    <w:rsid w:val="00A733EC"/>
    <w:rsid w:val="00A73684"/>
    <w:rsid w:val="00A7377C"/>
    <w:rsid w:val="00A73CE6"/>
    <w:rsid w:val="00A73D28"/>
    <w:rsid w:val="00A73E7B"/>
    <w:rsid w:val="00A74CF3"/>
    <w:rsid w:val="00A74DDE"/>
    <w:rsid w:val="00A761A1"/>
    <w:rsid w:val="00A7693B"/>
    <w:rsid w:val="00A76B27"/>
    <w:rsid w:val="00A775C1"/>
    <w:rsid w:val="00A80023"/>
    <w:rsid w:val="00A8024A"/>
    <w:rsid w:val="00A8034C"/>
    <w:rsid w:val="00A80666"/>
    <w:rsid w:val="00A80863"/>
    <w:rsid w:val="00A8100F"/>
    <w:rsid w:val="00A81616"/>
    <w:rsid w:val="00A81697"/>
    <w:rsid w:val="00A817DE"/>
    <w:rsid w:val="00A81B91"/>
    <w:rsid w:val="00A81E32"/>
    <w:rsid w:val="00A828CD"/>
    <w:rsid w:val="00A82C91"/>
    <w:rsid w:val="00A82DF7"/>
    <w:rsid w:val="00A8328A"/>
    <w:rsid w:val="00A8365E"/>
    <w:rsid w:val="00A8435B"/>
    <w:rsid w:val="00A85FF0"/>
    <w:rsid w:val="00A8671E"/>
    <w:rsid w:val="00A86AC0"/>
    <w:rsid w:val="00A876FD"/>
    <w:rsid w:val="00A877A5"/>
    <w:rsid w:val="00A87C34"/>
    <w:rsid w:val="00A916FD"/>
    <w:rsid w:val="00A91FD1"/>
    <w:rsid w:val="00A93103"/>
    <w:rsid w:val="00A93341"/>
    <w:rsid w:val="00A94746"/>
    <w:rsid w:val="00A9488D"/>
    <w:rsid w:val="00A950E7"/>
    <w:rsid w:val="00A9523C"/>
    <w:rsid w:val="00A95BC0"/>
    <w:rsid w:val="00A95F7F"/>
    <w:rsid w:val="00A96C2C"/>
    <w:rsid w:val="00A9726B"/>
    <w:rsid w:val="00A9740A"/>
    <w:rsid w:val="00A97DCC"/>
    <w:rsid w:val="00A97EFB"/>
    <w:rsid w:val="00AA11A5"/>
    <w:rsid w:val="00AA1850"/>
    <w:rsid w:val="00AA1E0B"/>
    <w:rsid w:val="00AA1F4D"/>
    <w:rsid w:val="00AA2893"/>
    <w:rsid w:val="00AA2D71"/>
    <w:rsid w:val="00AA3050"/>
    <w:rsid w:val="00AA3630"/>
    <w:rsid w:val="00AA3D0F"/>
    <w:rsid w:val="00AA3EC8"/>
    <w:rsid w:val="00AA418B"/>
    <w:rsid w:val="00AA453E"/>
    <w:rsid w:val="00AA5301"/>
    <w:rsid w:val="00AA5398"/>
    <w:rsid w:val="00AA5422"/>
    <w:rsid w:val="00AA5DF7"/>
    <w:rsid w:val="00AA67A6"/>
    <w:rsid w:val="00AA7206"/>
    <w:rsid w:val="00AA7812"/>
    <w:rsid w:val="00AA7A58"/>
    <w:rsid w:val="00AB0155"/>
    <w:rsid w:val="00AB0244"/>
    <w:rsid w:val="00AB03D6"/>
    <w:rsid w:val="00AB040A"/>
    <w:rsid w:val="00AB0454"/>
    <w:rsid w:val="00AB050B"/>
    <w:rsid w:val="00AB10F9"/>
    <w:rsid w:val="00AB1453"/>
    <w:rsid w:val="00AB179C"/>
    <w:rsid w:val="00AB1CBE"/>
    <w:rsid w:val="00AB1D95"/>
    <w:rsid w:val="00AB2CD1"/>
    <w:rsid w:val="00AB350C"/>
    <w:rsid w:val="00AB3C78"/>
    <w:rsid w:val="00AB3F11"/>
    <w:rsid w:val="00AB47C8"/>
    <w:rsid w:val="00AB4A81"/>
    <w:rsid w:val="00AB551A"/>
    <w:rsid w:val="00AB61FA"/>
    <w:rsid w:val="00AB6D93"/>
    <w:rsid w:val="00AB6E4A"/>
    <w:rsid w:val="00AB702D"/>
    <w:rsid w:val="00AC07C9"/>
    <w:rsid w:val="00AC0B2F"/>
    <w:rsid w:val="00AC0F4C"/>
    <w:rsid w:val="00AC1264"/>
    <w:rsid w:val="00AC139B"/>
    <w:rsid w:val="00AC1940"/>
    <w:rsid w:val="00AC1947"/>
    <w:rsid w:val="00AC1AA3"/>
    <w:rsid w:val="00AC1E4E"/>
    <w:rsid w:val="00AC1E8E"/>
    <w:rsid w:val="00AC234A"/>
    <w:rsid w:val="00AC2526"/>
    <w:rsid w:val="00AC2C13"/>
    <w:rsid w:val="00AC36B9"/>
    <w:rsid w:val="00AC46E7"/>
    <w:rsid w:val="00AC47D2"/>
    <w:rsid w:val="00AC4A1B"/>
    <w:rsid w:val="00AC4C50"/>
    <w:rsid w:val="00AC5924"/>
    <w:rsid w:val="00AC6410"/>
    <w:rsid w:val="00AC69E0"/>
    <w:rsid w:val="00AC706F"/>
    <w:rsid w:val="00AC7720"/>
    <w:rsid w:val="00AD00BF"/>
    <w:rsid w:val="00AD04DB"/>
    <w:rsid w:val="00AD10D5"/>
    <w:rsid w:val="00AD10F9"/>
    <w:rsid w:val="00AD132D"/>
    <w:rsid w:val="00AD1864"/>
    <w:rsid w:val="00AD1994"/>
    <w:rsid w:val="00AD245B"/>
    <w:rsid w:val="00AD32A4"/>
    <w:rsid w:val="00AD33F6"/>
    <w:rsid w:val="00AD3C10"/>
    <w:rsid w:val="00AD44F4"/>
    <w:rsid w:val="00AD4C6A"/>
    <w:rsid w:val="00AD4EF0"/>
    <w:rsid w:val="00AD5B52"/>
    <w:rsid w:val="00AD618E"/>
    <w:rsid w:val="00AD672F"/>
    <w:rsid w:val="00AD7612"/>
    <w:rsid w:val="00AD7961"/>
    <w:rsid w:val="00AE00C3"/>
    <w:rsid w:val="00AE0299"/>
    <w:rsid w:val="00AE02D2"/>
    <w:rsid w:val="00AE0E38"/>
    <w:rsid w:val="00AE199D"/>
    <w:rsid w:val="00AE23AC"/>
    <w:rsid w:val="00AE297B"/>
    <w:rsid w:val="00AE379D"/>
    <w:rsid w:val="00AE37F8"/>
    <w:rsid w:val="00AE3AC5"/>
    <w:rsid w:val="00AE3BD3"/>
    <w:rsid w:val="00AE4336"/>
    <w:rsid w:val="00AE446A"/>
    <w:rsid w:val="00AE4E29"/>
    <w:rsid w:val="00AE5058"/>
    <w:rsid w:val="00AE58D5"/>
    <w:rsid w:val="00AE59C4"/>
    <w:rsid w:val="00AE5AC0"/>
    <w:rsid w:val="00AE6686"/>
    <w:rsid w:val="00AE6AC9"/>
    <w:rsid w:val="00AE7DC1"/>
    <w:rsid w:val="00AF0A39"/>
    <w:rsid w:val="00AF0B97"/>
    <w:rsid w:val="00AF10CE"/>
    <w:rsid w:val="00AF1247"/>
    <w:rsid w:val="00AF17E8"/>
    <w:rsid w:val="00AF1C07"/>
    <w:rsid w:val="00AF21D6"/>
    <w:rsid w:val="00AF2389"/>
    <w:rsid w:val="00AF2E10"/>
    <w:rsid w:val="00AF2F3A"/>
    <w:rsid w:val="00AF3142"/>
    <w:rsid w:val="00AF3CD4"/>
    <w:rsid w:val="00AF491B"/>
    <w:rsid w:val="00AF49E5"/>
    <w:rsid w:val="00AF5347"/>
    <w:rsid w:val="00AF60DD"/>
    <w:rsid w:val="00AF67BF"/>
    <w:rsid w:val="00AF6880"/>
    <w:rsid w:val="00AF68FA"/>
    <w:rsid w:val="00AF6A43"/>
    <w:rsid w:val="00AF6A72"/>
    <w:rsid w:val="00AF6C0F"/>
    <w:rsid w:val="00AF73D1"/>
    <w:rsid w:val="00AF7FE3"/>
    <w:rsid w:val="00B00744"/>
    <w:rsid w:val="00B00DCB"/>
    <w:rsid w:val="00B00E50"/>
    <w:rsid w:val="00B01ED2"/>
    <w:rsid w:val="00B031BA"/>
    <w:rsid w:val="00B03268"/>
    <w:rsid w:val="00B03C72"/>
    <w:rsid w:val="00B03F9A"/>
    <w:rsid w:val="00B04887"/>
    <w:rsid w:val="00B04CC2"/>
    <w:rsid w:val="00B04FE9"/>
    <w:rsid w:val="00B05014"/>
    <w:rsid w:val="00B0611D"/>
    <w:rsid w:val="00B06546"/>
    <w:rsid w:val="00B065AC"/>
    <w:rsid w:val="00B076D7"/>
    <w:rsid w:val="00B07903"/>
    <w:rsid w:val="00B079E7"/>
    <w:rsid w:val="00B07AD1"/>
    <w:rsid w:val="00B07D96"/>
    <w:rsid w:val="00B10843"/>
    <w:rsid w:val="00B10F6B"/>
    <w:rsid w:val="00B110B0"/>
    <w:rsid w:val="00B11F93"/>
    <w:rsid w:val="00B129B9"/>
    <w:rsid w:val="00B136EC"/>
    <w:rsid w:val="00B13717"/>
    <w:rsid w:val="00B137D1"/>
    <w:rsid w:val="00B13F6C"/>
    <w:rsid w:val="00B14A35"/>
    <w:rsid w:val="00B14D7C"/>
    <w:rsid w:val="00B151E5"/>
    <w:rsid w:val="00B153D7"/>
    <w:rsid w:val="00B1569C"/>
    <w:rsid w:val="00B16E80"/>
    <w:rsid w:val="00B173C0"/>
    <w:rsid w:val="00B20849"/>
    <w:rsid w:val="00B21EAB"/>
    <w:rsid w:val="00B22D78"/>
    <w:rsid w:val="00B231CF"/>
    <w:rsid w:val="00B23DA9"/>
    <w:rsid w:val="00B24031"/>
    <w:rsid w:val="00B24A24"/>
    <w:rsid w:val="00B24D0A"/>
    <w:rsid w:val="00B25C93"/>
    <w:rsid w:val="00B25F92"/>
    <w:rsid w:val="00B262DC"/>
    <w:rsid w:val="00B26373"/>
    <w:rsid w:val="00B26497"/>
    <w:rsid w:val="00B278FA"/>
    <w:rsid w:val="00B304D3"/>
    <w:rsid w:val="00B307F0"/>
    <w:rsid w:val="00B3086B"/>
    <w:rsid w:val="00B3143E"/>
    <w:rsid w:val="00B32030"/>
    <w:rsid w:val="00B32036"/>
    <w:rsid w:val="00B321D9"/>
    <w:rsid w:val="00B3294A"/>
    <w:rsid w:val="00B3317D"/>
    <w:rsid w:val="00B33B88"/>
    <w:rsid w:val="00B33DDD"/>
    <w:rsid w:val="00B34E45"/>
    <w:rsid w:val="00B3505A"/>
    <w:rsid w:val="00B3545C"/>
    <w:rsid w:val="00B3605F"/>
    <w:rsid w:val="00B362F6"/>
    <w:rsid w:val="00B36583"/>
    <w:rsid w:val="00B36FCC"/>
    <w:rsid w:val="00B373DF"/>
    <w:rsid w:val="00B37FCC"/>
    <w:rsid w:val="00B40297"/>
    <w:rsid w:val="00B414B9"/>
    <w:rsid w:val="00B42D11"/>
    <w:rsid w:val="00B42D5A"/>
    <w:rsid w:val="00B42DB5"/>
    <w:rsid w:val="00B43598"/>
    <w:rsid w:val="00B44C1A"/>
    <w:rsid w:val="00B455C1"/>
    <w:rsid w:val="00B461DC"/>
    <w:rsid w:val="00B465BD"/>
    <w:rsid w:val="00B4697C"/>
    <w:rsid w:val="00B470A2"/>
    <w:rsid w:val="00B47238"/>
    <w:rsid w:val="00B47835"/>
    <w:rsid w:val="00B47FC2"/>
    <w:rsid w:val="00B51427"/>
    <w:rsid w:val="00B517EB"/>
    <w:rsid w:val="00B518EF"/>
    <w:rsid w:val="00B52DAA"/>
    <w:rsid w:val="00B52E19"/>
    <w:rsid w:val="00B52E8E"/>
    <w:rsid w:val="00B53058"/>
    <w:rsid w:val="00B53BF0"/>
    <w:rsid w:val="00B54D1E"/>
    <w:rsid w:val="00B5649B"/>
    <w:rsid w:val="00B564CA"/>
    <w:rsid w:val="00B5675F"/>
    <w:rsid w:val="00B5694D"/>
    <w:rsid w:val="00B573DC"/>
    <w:rsid w:val="00B57D5F"/>
    <w:rsid w:val="00B57F45"/>
    <w:rsid w:val="00B57FFA"/>
    <w:rsid w:val="00B60395"/>
    <w:rsid w:val="00B6077D"/>
    <w:rsid w:val="00B627A5"/>
    <w:rsid w:val="00B62FF2"/>
    <w:rsid w:val="00B651DF"/>
    <w:rsid w:val="00B65911"/>
    <w:rsid w:val="00B65FA4"/>
    <w:rsid w:val="00B66369"/>
    <w:rsid w:val="00B665F8"/>
    <w:rsid w:val="00B6739B"/>
    <w:rsid w:val="00B67915"/>
    <w:rsid w:val="00B67D66"/>
    <w:rsid w:val="00B67F27"/>
    <w:rsid w:val="00B701ED"/>
    <w:rsid w:val="00B71207"/>
    <w:rsid w:val="00B71B7E"/>
    <w:rsid w:val="00B71FC1"/>
    <w:rsid w:val="00B720E9"/>
    <w:rsid w:val="00B72B39"/>
    <w:rsid w:val="00B730C3"/>
    <w:rsid w:val="00B73CA9"/>
    <w:rsid w:val="00B74237"/>
    <w:rsid w:val="00B749B4"/>
    <w:rsid w:val="00B74A1C"/>
    <w:rsid w:val="00B751B4"/>
    <w:rsid w:val="00B75914"/>
    <w:rsid w:val="00B75AF0"/>
    <w:rsid w:val="00B75C37"/>
    <w:rsid w:val="00B764C4"/>
    <w:rsid w:val="00B77EE8"/>
    <w:rsid w:val="00B77F6C"/>
    <w:rsid w:val="00B81891"/>
    <w:rsid w:val="00B8319C"/>
    <w:rsid w:val="00B832FE"/>
    <w:rsid w:val="00B83630"/>
    <w:rsid w:val="00B84E84"/>
    <w:rsid w:val="00B85286"/>
    <w:rsid w:val="00B859A1"/>
    <w:rsid w:val="00B865DE"/>
    <w:rsid w:val="00B8687A"/>
    <w:rsid w:val="00B8735E"/>
    <w:rsid w:val="00B8740E"/>
    <w:rsid w:val="00B8749D"/>
    <w:rsid w:val="00B87E45"/>
    <w:rsid w:val="00B901B6"/>
    <w:rsid w:val="00B90237"/>
    <w:rsid w:val="00B91E85"/>
    <w:rsid w:val="00B92328"/>
    <w:rsid w:val="00B9245B"/>
    <w:rsid w:val="00B9295A"/>
    <w:rsid w:val="00B930ED"/>
    <w:rsid w:val="00B93A34"/>
    <w:rsid w:val="00B942FA"/>
    <w:rsid w:val="00B948E3"/>
    <w:rsid w:val="00B95533"/>
    <w:rsid w:val="00B95F98"/>
    <w:rsid w:val="00B96067"/>
    <w:rsid w:val="00B9628E"/>
    <w:rsid w:val="00B963EE"/>
    <w:rsid w:val="00B97689"/>
    <w:rsid w:val="00B97786"/>
    <w:rsid w:val="00B97CA5"/>
    <w:rsid w:val="00BA0737"/>
    <w:rsid w:val="00BA0B4E"/>
    <w:rsid w:val="00BA161C"/>
    <w:rsid w:val="00BA23B7"/>
    <w:rsid w:val="00BA2878"/>
    <w:rsid w:val="00BA336A"/>
    <w:rsid w:val="00BA37EC"/>
    <w:rsid w:val="00BA39E8"/>
    <w:rsid w:val="00BA4092"/>
    <w:rsid w:val="00BA4E07"/>
    <w:rsid w:val="00BA5048"/>
    <w:rsid w:val="00BA524D"/>
    <w:rsid w:val="00BA553A"/>
    <w:rsid w:val="00BA57BF"/>
    <w:rsid w:val="00BA57F3"/>
    <w:rsid w:val="00BA63F2"/>
    <w:rsid w:val="00BA65DB"/>
    <w:rsid w:val="00BA74F8"/>
    <w:rsid w:val="00BA7BD9"/>
    <w:rsid w:val="00BA7D84"/>
    <w:rsid w:val="00BA7F47"/>
    <w:rsid w:val="00BB12CA"/>
    <w:rsid w:val="00BB1FFF"/>
    <w:rsid w:val="00BB2581"/>
    <w:rsid w:val="00BB2608"/>
    <w:rsid w:val="00BB26B5"/>
    <w:rsid w:val="00BB31F8"/>
    <w:rsid w:val="00BB3382"/>
    <w:rsid w:val="00BB4659"/>
    <w:rsid w:val="00BB4724"/>
    <w:rsid w:val="00BB4EC1"/>
    <w:rsid w:val="00BB502D"/>
    <w:rsid w:val="00BB58F3"/>
    <w:rsid w:val="00BB7A7A"/>
    <w:rsid w:val="00BB7EA7"/>
    <w:rsid w:val="00BC08B3"/>
    <w:rsid w:val="00BC0C64"/>
    <w:rsid w:val="00BC15F8"/>
    <w:rsid w:val="00BC1972"/>
    <w:rsid w:val="00BC1A3D"/>
    <w:rsid w:val="00BC1CA5"/>
    <w:rsid w:val="00BC1EFF"/>
    <w:rsid w:val="00BC24CA"/>
    <w:rsid w:val="00BC2F76"/>
    <w:rsid w:val="00BC4860"/>
    <w:rsid w:val="00BC4996"/>
    <w:rsid w:val="00BC511E"/>
    <w:rsid w:val="00BC5122"/>
    <w:rsid w:val="00BC5437"/>
    <w:rsid w:val="00BC59F3"/>
    <w:rsid w:val="00BC616C"/>
    <w:rsid w:val="00BC768B"/>
    <w:rsid w:val="00BC7C3F"/>
    <w:rsid w:val="00BD0751"/>
    <w:rsid w:val="00BD0E0E"/>
    <w:rsid w:val="00BD113A"/>
    <w:rsid w:val="00BD16C9"/>
    <w:rsid w:val="00BD1D2F"/>
    <w:rsid w:val="00BD2BD2"/>
    <w:rsid w:val="00BD3A69"/>
    <w:rsid w:val="00BD3DA8"/>
    <w:rsid w:val="00BD4583"/>
    <w:rsid w:val="00BD45D5"/>
    <w:rsid w:val="00BD4797"/>
    <w:rsid w:val="00BD4B03"/>
    <w:rsid w:val="00BD5396"/>
    <w:rsid w:val="00BD53A3"/>
    <w:rsid w:val="00BD5B94"/>
    <w:rsid w:val="00BD6138"/>
    <w:rsid w:val="00BD629A"/>
    <w:rsid w:val="00BD6304"/>
    <w:rsid w:val="00BD648D"/>
    <w:rsid w:val="00BD65D0"/>
    <w:rsid w:val="00BD6F10"/>
    <w:rsid w:val="00BD6FC9"/>
    <w:rsid w:val="00BD7A0E"/>
    <w:rsid w:val="00BE07BA"/>
    <w:rsid w:val="00BE2819"/>
    <w:rsid w:val="00BE37EA"/>
    <w:rsid w:val="00BE3A9E"/>
    <w:rsid w:val="00BE3C21"/>
    <w:rsid w:val="00BE40A8"/>
    <w:rsid w:val="00BE43E6"/>
    <w:rsid w:val="00BE44CA"/>
    <w:rsid w:val="00BE4DD3"/>
    <w:rsid w:val="00BE59F0"/>
    <w:rsid w:val="00BE5BEB"/>
    <w:rsid w:val="00BE6770"/>
    <w:rsid w:val="00BE6829"/>
    <w:rsid w:val="00BE6853"/>
    <w:rsid w:val="00BE6EAA"/>
    <w:rsid w:val="00BF0A6C"/>
    <w:rsid w:val="00BF0BA6"/>
    <w:rsid w:val="00BF0C71"/>
    <w:rsid w:val="00BF181E"/>
    <w:rsid w:val="00BF26CD"/>
    <w:rsid w:val="00BF33E7"/>
    <w:rsid w:val="00BF3522"/>
    <w:rsid w:val="00BF3BE8"/>
    <w:rsid w:val="00BF45CF"/>
    <w:rsid w:val="00BF4A15"/>
    <w:rsid w:val="00BF79D8"/>
    <w:rsid w:val="00C00560"/>
    <w:rsid w:val="00C00697"/>
    <w:rsid w:val="00C0095A"/>
    <w:rsid w:val="00C00A39"/>
    <w:rsid w:val="00C0135D"/>
    <w:rsid w:val="00C01788"/>
    <w:rsid w:val="00C0202F"/>
    <w:rsid w:val="00C023CB"/>
    <w:rsid w:val="00C02A48"/>
    <w:rsid w:val="00C02CBB"/>
    <w:rsid w:val="00C02DD1"/>
    <w:rsid w:val="00C03236"/>
    <w:rsid w:val="00C037FE"/>
    <w:rsid w:val="00C04535"/>
    <w:rsid w:val="00C045D7"/>
    <w:rsid w:val="00C0481A"/>
    <w:rsid w:val="00C04F36"/>
    <w:rsid w:val="00C050EB"/>
    <w:rsid w:val="00C05130"/>
    <w:rsid w:val="00C05618"/>
    <w:rsid w:val="00C05D08"/>
    <w:rsid w:val="00C0669B"/>
    <w:rsid w:val="00C068DD"/>
    <w:rsid w:val="00C0692E"/>
    <w:rsid w:val="00C06934"/>
    <w:rsid w:val="00C0788B"/>
    <w:rsid w:val="00C07E28"/>
    <w:rsid w:val="00C10F3A"/>
    <w:rsid w:val="00C11E42"/>
    <w:rsid w:val="00C12081"/>
    <w:rsid w:val="00C1229E"/>
    <w:rsid w:val="00C1239C"/>
    <w:rsid w:val="00C127EB"/>
    <w:rsid w:val="00C1379E"/>
    <w:rsid w:val="00C1399B"/>
    <w:rsid w:val="00C14722"/>
    <w:rsid w:val="00C14DAA"/>
    <w:rsid w:val="00C151BF"/>
    <w:rsid w:val="00C1545F"/>
    <w:rsid w:val="00C15A20"/>
    <w:rsid w:val="00C15BFB"/>
    <w:rsid w:val="00C1652E"/>
    <w:rsid w:val="00C165C4"/>
    <w:rsid w:val="00C165D4"/>
    <w:rsid w:val="00C172C7"/>
    <w:rsid w:val="00C172EC"/>
    <w:rsid w:val="00C20262"/>
    <w:rsid w:val="00C205C4"/>
    <w:rsid w:val="00C20868"/>
    <w:rsid w:val="00C209F0"/>
    <w:rsid w:val="00C20BDA"/>
    <w:rsid w:val="00C21DA3"/>
    <w:rsid w:val="00C22474"/>
    <w:rsid w:val="00C22519"/>
    <w:rsid w:val="00C2287F"/>
    <w:rsid w:val="00C23033"/>
    <w:rsid w:val="00C24115"/>
    <w:rsid w:val="00C24555"/>
    <w:rsid w:val="00C24A47"/>
    <w:rsid w:val="00C25291"/>
    <w:rsid w:val="00C266AF"/>
    <w:rsid w:val="00C27CFA"/>
    <w:rsid w:val="00C27DB6"/>
    <w:rsid w:val="00C30717"/>
    <w:rsid w:val="00C30FDD"/>
    <w:rsid w:val="00C322AF"/>
    <w:rsid w:val="00C33AF8"/>
    <w:rsid w:val="00C33D82"/>
    <w:rsid w:val="00C353D3"/>
    <w:rsid w:val="00C35AEA"/>
    <w:rsid w:val="00C368A1"/>
    <w:rsid w:val="00C36CEB"/>
    <w:rsid w:val="00C411B7"/>
    <w:rsid w:val="00C41A63"/>
    <w:rsid w:val="00C42A1F"/>
    <w:rsid w:val="00C42D6C"/>
    <w:rsid w:val="00C446BB"/>
    <w:rsid w:val="00C45297"/>
    <w:rsid w:val="00C45560"/>
    <w:rsid w:val="00C45F1B"/>
    <w:rsid w:val="00C46226"/>
    <w:rsid w:val="00C46C6E"/>
    <w:rsid w:val="00C47172"/>
    <w:rsid w:val="00C479BB"/>
    <w:rsid w:val="00C5028A"/>
    <w:rsid w:val="00C50A39"/>
    <w:rsid w:val="00C510A5"/>
    <w:rsid w:val="00C51551"/>
    <w:rsid w:val="00C51A48"/>
    <w:rsid w:val="00C51C42"/>
    <w:rsid w:val="00C5210C"/>
    <w:rsid w:val="00C52522"/>
    <w:rsid w:val="00C52D65"/>
    <w:rsid w:val="00C53C4B"/>
    <w:rsid w:val="00C54087"/>
    <w:rsid w:val="00C5447B"/>
    <w:rsid w:val="00C54787"/>
    <w:rsid w:val="00C55DDC"/>
    <w:rsid w:val="00C560F1"/>
    <w:rsid w:val="00C5614D"/>
    <w:rsid w:val="00C56634"/>
    <w:rsid w:val="00C57584"/>
    <w:rsid w:val="00C57A37"/>
    <w:rsid w:val="00C57E22"/>
    <w:rsid w:val="00C6042C"/>
    <w:rsid w:val="00C6084D"/>
    <w:rsid w:val="00C60B8E"/>
    <w:rsid w:val="00C60E05"/>
    <w:rsid w:val="00C611B2"/>
    <w:rsid w:val="00C61B92"/>
    <w:rsid w:val="00C620D9"/>
    <w:rsid w:val="00C6222F"/>
    <w:rsid w:val="00C6246A"/>
    <w:rsid w:val="00C627D0"/>
    <w:rsid w:val="00C633FA"/>
    <w:rsid w:val="00C636CC"/>
    <w:rsid w:val="00C64E1D"/>
    <w:rsid w:val="00C64EEF"/>
    <w:rsid w:val="00C658D8"/>
    <w:rsid w:val="00C65BC2"/>
    <w:rsid w:val="00C65FFB"/>
    <w:rsid w:val="00C661B7"/>
    <w:rsid w:val="00C669CB"/>
    <w:rsid w:val="00C66A73"/>
    <w:rsid w:val="00C66D2A"/>
    <w:rsid w:val="00C671CB"/>
    <w:rsid w:val="00C67AA6"/>
    <w:rsid w:val="00C67EC2"/>
    <w:rsid w:val="00C67ECF"/>
    <w:rsid w:val="00C70C3A"/>
    <w:rsid w:val="00C7247A"/>
    <w:rsid w:val="00C73641"/>
    <w:rsid w:val="00C736C6"/>
    <w:rsid w:val="00C73D7B"/>
    <w:rsid w:val="00C74909"/>
    <w:rsid w:val="00C77259"/>
    <w:rsid w:val="00C7755D"/>
    <w:rsid w:val="00C77B71"/>
    <w:rsid w:val="00C80071"/>
    <w:rsid w:val="00C802CD"/>
    <w:rsid w:val="00C80478"/>
    <w:rsid w:val="00C80503"/>
    <w:rsid w:val="00C80CAE"/>
    <w:rsid w:val="00C8197D"/>
    <w:rsid w:val="00C819E0"/>
    <w:rsid w:val="00C81CAF"/>
    <w:rsid w:val="00C81F58"/>
    <w:rsid w:val="00C82A8F"/>
    <w:rsid w:val="00C82F10"/>
    <w:rsid w:val="00C83BF4"/>
    <w:rsid w:val="00C83FAA"/>
    <w:rsid w:val="00C8574D"/>
    <w:rsid w:val="00C865EF"/>
    <w:rsid w:val="00C86F22"/>
    <w:rsid w:val="00C91435"/>
    <w:rsid w:val="00C91606"/>
    <w:rsid w:val="00C91721"/>
    <w:rsid w:val="00C9199E"/>
    <w:rsid w:val="00C91A5D"/>
    <w:rsid w:val="00C91A84"/>
    <w:rsid w:val="00C9205E"/>
    <w:rsid w:val="00C92367"/>
    <w:rsid w:val="00C92B32"/>
    <w:rsid w:val="00C933C9"/>
    <w:rsid w:val="00C93776"/>
    <w:rsid w:val="00C93BD3"/>
    <w:rsid w:val="00C93C77"/>
    <w:rsid w:val="00C95166"/>
    <w:rsid w:val="00C954CF"/>
    <w:rsid w:val="00C95BAB"/>
    <w:rsid w:val="00C95C46"/>
    <w:rsid w:val="00C9650F"/>
    <w:rsid w:val="00C96D48"/>
    <w:rsid w:val="00C9741E"/>
    <w:rsid w:val="00CA20CA"/>
    <w:rsid w:val="00CA2E17"/>
    <w:rsid w:val="00CA33C7"/>
    <w:rsid w:val="00CA3B71"/>
    <w:rsid w:val="00CA432F"/>
    <w:rsid w:val="00CA4EF2"/>
    <w:rsid w:val="00CA5BFB"/>
    <w:rsid w:val="00CA6030"/>
    <w:rsid w:val="00CA60B4"/>
    <w:rsid w:val="00CA64AA"/>
    <w:rsid w:val="00CA67FB"/>
    <w:rsid w:val="00CA7409"/>
    <w:rsid w:val="00CA7AD8"/>
    <w:rsid w:val="00CB0825"/>
    <w:rsid w:val="00CB2C58"/>
    <w:rsid w:val="00CB38A3"/>
    <w:rsid w:val="00CB441F"/>
    <w:rsid w:val="00CB6894"/>
    <w:rsid w:val="00CB7617"/>
    <w:rsid w:val="00CB7884"/>
    <w:rsid w:val="00CC00DD"/>
    <w:rsid w:val="00CC21DF"/>
    <w:rsid w:val="00CC23C1"/>
    <w:rsid w:val="00CC26D2"/>
    <w:rsid w:val="00CC29D1"/>
    <w:rsid w:val="00CC2E4A"/>
    <w:rsid w:val="00CC351E"/>
    <w:rsid w:val="00CC38A5"/>
    <w:rsid w:val="00CC3AD2"/>
    <w:rsid w:val="00CC3C7F"/>
    <w:rsid w:val="00CC4AB0"/>
    <w:rsid w:val="00CC513D"/>
    <w:rsid w:val="00CC5222"/>
    <w:rsid w:val="00CC563D"/>
    <w:rsid w:val="00CC570E"/>
    <w:rsid w:val="00CC5EE5"/>
    <w:rsid w:val="00CC6092"/>
    <w:rsid w:val="00CC6512"/>
    <w:rsid w:val="00CC6E17"/>
    <w:rsid w:val="00CC7DC9"/>
    <w:rsid w:val="00CD2B2B"/>
    <w:rsid w:val="00CD3A33"/>
    <w:rsid w:val="00CD3D0C"/>
    <w:rsid w:val="00CD3DB4"/>
    <w:rsid w:val="00CD3F4F"/>
    <w:rsid w:val="00CD3FFA"/>
    <w:rsid w:val="00CD49EA"/>
    <w:rsid w:val="00CD4EE2"/>
    <w:rsid w:val="00CD53D1"/>
    <w:rsid w:val="00CD59B2"/>
    <w:rsid w:val="00CD5C08"/>
    <w:rsid w:val="00CD5DDA"/>
    <w:rsid w:val="00CD6646"/>
    <w:rsid w:val="00CD6E18"/>
    <w:rsid w:val="00CD730D"/>
    <w:rsid w:val="00CD7A01"/>
    <w:rsid w:val="00CE0C43"/>
    <w:rsid w:val="00CE13EA"/>
    <w:rsid w:val="00CE1635"/>
    <w:rsid w:val="00CE1C02"/>
    <w:rsid w:val="00CE2649"/>
    <w:rsid w:val="00CE37BA"/>
    <w:rsid w:val="00CE427B"/>
    <w:rsid w:val="00CE4705"/>
    <w:rsid w:val="00CE4BAD"/>
    <w:rsid w:val="00CE5149"/>
    <w:rsid w:val="00CE58BA"/>
    <w:rsid w:val="00CE5C32"/>
    <w:rsid w:val="00CE62CE"/>
    <w:rsid w:val="00CE76D5"/>
    <w:rsid w:val="00CE7DE7"/>
    <w:rsid w:val="00CF0290"/>
    <w:rsid w:val="00CF0ABC"/>
    <w:rsid w:val="00CF0B59"/>
    <w:rsid w:val="00CF0D33"/>
    <w:rsid w:val="00CF1920"/>
    <w:rsid w:val="00CF1A36"/>
    <w:rsid w:val="00CF1AED"/>
    <w:rsid w:val="00CF25A6"/>
    <w:rsid w:val="00CF4284"/>
    <w:rsid w:val="00CF42CE"/>
    <w:rsid w:val="00CF7819"/>
    <w:rsid w:val="00CF7857"/>
    <w:rsid w:val="00CF7A4B"/>
    <w:rsid w:val="00D0330F"/>
    <w:rsid w:val="00D03317"/>
    <w:rsid w:val="00D03A2C"/>
    <w:rsid w:val="00D03FBF"/>
    <w:rsid w:val="00D05819"/>
    <w:rsid w:val="00D062CD"/>
    <w:rsid w:val="00D06657"/>
    <w:rsid w:val="00D07B1A"/>
    <w:rsid w:val="00D07C75"/>
    <w:rsid w:val="00D10770"/>
    <w:rsid w:val="00D10B72"/>
    <w:rsid w:val="00D10ECF"/>
    <w:rsid w:val="00D10F06"/>
    <w:rsid w:val="00D11A55"/>
    <w:rsid w:val="00D12124"/>
    <w:rsid w:val="00D12720"/>
    <w:rsid w:val="00D12972"/>
    <w:rsid w:val="00D12B8D"/>
    <w:rsid w:val="00D12FA1"/>
    <w:rsid w:val="00D1362B"/>
    <w:rsid w:val="00D13AF7"/>
    <w:rsid w:val="00D13B96"/>
    <w:rsid w:val="00D13EAB"/>
    <w:rsid w:val="00D14B44"/>
    <w:rsid w:val="00D1538B"/>
    <w:rsid w:val="00D154D3"/>
    <w:rsid w:val="00D15529"/>
    <w:rsid w:val="00D1697C"/>
    <w:rsid w:val="00D16CE0"/>
    <w:rsid w:val="00D1717A"/>
    <w:rsid w:val="00D17805"/>
    <w:rsid w:val="00D17A8C"/>
    <w:rsid w:val="00D17AC2"/>
    <w:rsid w:val="00D205F4"/>
    <w:rsid w:val="00D20FC7"/>
    <w:rsid w:val="00D211D9"/>
    <w:rsid w:val="00D216A2"/>
    <w:rsid w:val="00D21C55"/>
    <w:rsid w:val="00D22B4B"/>
    <w:rsid w:val="00D23B53"/>
    <w:rsid w:val="00D24FF4"/>
    <w:rsid w:val="00D25FB6"/>
    <w:rsid w:val="00D26D41"/>
    <w:rsid w:val="00D273C7"/>
    <w:rsid w:val="00D27646"/>
    <w:rsid w:val="00D2777A"/>
    <w:rsid w:val="00D27C7B"/>
    <w:rsid w:val="00D30046"/>
    <w:rsid w:val="00D30313"/>
    <w:rsid w:val="00D30744"/>
    <w:rsid w:val="00D30CCA"/>
    <w:rsid w:val="00D31B72"/>
    <w:rsid w:val="00D32986"/>
    <w:rsid w:val="00D32BCA"/>
    <w:rsid w:val="00D33344"/>
    <w:rsid w:val="00D33F41"/>
    <w:rsid w:val="00D34073"/>
    <w:rsid w:val="00D34B92"/>
    <w:rsid w:val="00D35BE4"/>
    <w:rsid w:val="00D3618F"/>
    <w:rsid w:val="00D3659D"/>
    <w:rsid w:val="00D3667D"/>
    <w:rsid w:val="00D369DE"/>
    <w:rsid w:val="00D36A20"/>
    <w:rsid w:val="00D373A6"/>
    <w:rsid w:val="00D37D84"/>
    <w:rsid w:val="00D40085"/>
    <w:rsid w:val="00D42121"/>
    <w:rsid w:val="00D426A4"/>
    <w:rsid w:val="00D429E7"/>
    <w:rsid w:val="00D42C8A"/>
    <w:rsid w:val="00D42E2F"/>
    <w:rsid w:val="00D42FC6"/>
    <w:rsid w:val="00D434D4"/>
    <w:rsid w:val="00D43868"/>
    <w:rsid w:val="00D43C83"/>
    <w:rsid w:val="00D43ED6"/>
    <w:rsid w:val="00D43F6A"/>
    <w:rsid w:val="00D440A4"/>
    <w:rsid w:val="00D44C35"/>
    <w:rsid w:val="00D45B4D"/>
    <w:rsid w:val="00D4602A"/>
    <w:rsid w:val="00D4643A"/>
    <w:rsid w:val="00D4679A"/>
    <w:rsid w:val="00D4715F"/>
    <w:rsid w:val="00D47222"/>
    <w:rsid w:val="00D47323"/>
    <w:rsid w:val="00D47F37"/>
    <w:rsid w:val="00D50D43"/>
    <w:rsid w:val="00D50E26"/>
    <w:rsid w:val="00D52159"/>
    <w:rsid w:val="00D539BD"/>
    <w:rsid w:val="00D54228"/>
    <w:rsid w:val="00D54CE5"/>
    <w:rsid w:val="00D54D96"/>
    <w:rsid w:val="00D54E18"/>
    <w:rsid w:val="00D556C3"/>
    <w:rsid w:val="00D560A8"/>
    <w:rsid w:val="00D575CE"/>
    <w:rsid w:val="00D57CC6"/>
    <w:rsid w:val="00D57E29"/>
    <w:rsid w:val="00D60884"/>
    <w:rsid w:val="00D611A9"/>
    <w:rsid w:val="00D6204D"/>
    <w:rsid w:val="00D621F3"/>
    <w:rsid w:val="00D62478"/>
    <w:rsid w:val="00D62DE8"/>
    <w:rsid w:val="00D63053"/>
    <w:rsid w:val="00D63D06"/>
    <w:rsid w:val="00D63E66"/>
    <w:rsid w:val="00D6447E"/>
    <w:rsid w:val="00D652E5"/>
    <w:rsid w:val="00D6542A"/>
    <w:rsid w:val="00D6565E"/>
    <w:rsid w:val="00D6576E"/>
    <w:rsid w:val="00D66643"/>
    <w:rsid w:val="00D67455"/>
    <w:rsid w:val="00D67AA7"/>
    <w:rsid w:val="00D67FCD"/>
    <w:rsid w:val="00D7027F"/>
    <w:rsid w:val="00D702E0"/>
    <w:rsid w:val="00D702E5"/>
    <w:rsid w:val="00D705DA"/>
    <w:rsid w:val="00D7101C"/>
    <w:rsid w:val="00D718D4"/>
    <w:rsid w:val="00D718FA"/>
    <w:rsid w:val="00D71C90"/>
    <w:rsid w:val="00D71E70"/>
    <w:rsid w:val="00D722A8"/>
    <w:rsid w:val="00D734AF"/>
    <w:rsid w:val="00D73AA9"/>
    <w:rsid w:val="00D73F26"/>
    <w:rsid w:val="00D75D59"/>
    <w:rsid w:val="00D76EB9"/>
    <w:rsid w:val="00D7729E"/>
    <w:rsid w:val="00D77907"/>
    <w:rsid w:val="00D77911"/>
    <w:rsid w:val="00D77AF0"/>
    <w:rsid w:val="00D80CB8"/>
    <w:rsid w:val="00D80DB1"/>
    <w:rsid w:val="00D80FC3"/>
    <w:rsid w:val="00D82E43"/>
    <w:rsid w:val="00D838FA"/>
    <w:rsid w:val="00D83DCA"/>
    <w:rsid w:val="00D84616"/>
    <w:rsid w:val="00D8471F"/>
    <w:rsid w:val="00D85948"/>
    <w:rsid w:val="00D85A0B"/>
    <w:rsid w:val="00D85AA4"/>
    <w:rsid w:val="00D85E9F"/>
    <w:rsid w:val="00D85FEE"/>
    <w:rsid w:val="00D9012E"/>
    <w:rsid w:val="00D906D1"/>
    <w:rsid w:val="00D90897"/>
    <w:rsid w:val="00D91043"/>
    <w:rsid w:val="00D9131F"/>
    <w:rsid w:val="00D9176D"/>
    <w:rsid w:val="00D91E2B"/>
    <w:rsid w:val="00D92CC6"/>
    <w:rsid w:val="00D92E3D"/>
    <w:rsid w:val="00D93D99"/>
    <w:rsid w:val="00D93FAA"/>
    <w:rsid w:val="00D941DF"/>
    <w:rsid w:val="00D94476"/>
    <w:rsid w:val="00D944C9"/>
    <w:rsid w:val="00D947F3"/>
    <w:rsid w:val="00D94DC3"/>
    <w:rsid w:val="00D954E2"/>
    <w:rsid w:val="00D959CD"/>
    <w:rsid w:val="00D95A96"/>
    <w:rsid w:val="00D95AB2"/>
    <w:rsid w:val="00D96351"/>
    <w:rsid w:val="00D96372"/>
    <w:rsid w:val="00D96A49"/>
    <w:rsid w:val="00D97CDA"/>
    <w:rsid w:val="00DA0B23"/>
    <w:rsid w:val="00DA1046"/>
    <w:rsid w:val="00DA2ACE"/>
    <w:rsid w:val="00DA2C96"/>
    <w:rsid w:val="00DA3036"/>
    <w:rsid w:val="00DA3181"/>
    <w:rsid w:val="00DA3AAE"/>
    <w:rsid w:val="00DA4E79"/>
    <w:rsid w:val="00DA5708"/>
    <w:rsid w:val="00DA5DDB"/>
    <w:rsid w:val="00DA6641"/>
    <w:rsid w:val="00DA6F00"/>
    <w:rsid w:val="00DA711A"/>
    <w:rsid w:val="00DA7153"/>
    <w:rsid w:val="00DA772D"/>
    <w:rsid w:val="00DA7B0C"/>
    <w:rsid w:val="00DA7B0E"/>
    <w:rsid w:val="00DB015B"/>
    <w:rsid w:val="00DB0C0D"/>
    <w:rsid w:val="00DB1329"/>
    <w:rsid w:val="00DB1765"/>
    <w:rsid w:val="00DB17A3"/>
    <w:rsid w:val="00DB1818"/>
    <w:rsid w:val="00DB2011"/>
    <w:rsid w:val="00DB28B7"/>
    <w:rsid w:val="00DB31B6"/>
    <w:rsid w:val="00DB33BD"/>
    <w:rsid w:val="00DB3742"/>
    <w:rsid w:val="00DB3780"/>
    <w:rsid w:val="00DB43DD"/>
    <w:rsid w:val="00DB45F7"/>
    <w:rsid w:val="00DB56E8"/>
    <w:rsid w:val="00DB5E67"/>
    <w:rsid w:val="00DB6F16"/>
    <w:rsid w:val="00DB71F5"/>
    <w:rsid w:val="00DB788B"/>
    <w:rsid w:val="00DB7E4A"/>
    <w:rsid w:val="00DC0CAA"/>
    <w:rsid w:val="00DC2383"/>
    <w:rsid w:val="00DC26E3"/>
    <w:rsid w:val="00DC2B6D"/>
    <w:rsid w:val="00DC2BD3"/>
    <w:rsid w:val="00DC2D7B"/>
    <w:rsid w:val="00DC3003"/>
    <w:rsid w:val="00DC3310"/>
    <w:rsid w:val="00DC3614"/>
    <w:rsid w:val="00DC3A51"/>
    <w:rsid w:val="00DC4576"/>
    <w:rsid w:val="00DC4D56"/>
    <w:rsid w:val="00DC51DE"/>
    <w:rsid w:val="00DC6318"/>
    <w:rsid w:val="00DC7947"/>
    <w:rsid w:val="00DD0FFB"/>
    <w:rsid w:val="00DD1612"/>
    <w:rsid w:val="00DD189F"/>
    <w:rsid w:val="00DD2130"/>
    <w:rsid w:val="00DD33BF"/>
    <w:rsid w:val="00DD3592"/>
    <w:rsid w:val="00DD3E07"/>
    <w:rsid w:val="00DD514B"/>
    <w:rsid w:val="00DD51B2"/>
    <w:rsid w:val="00DD541F"/>
    <w:rsid w:val="00DD578A"/>
    <w:rsid w:val="00DD6053"/>
    <w:rsid w:val="00DD68F3"/>
    <w:rsid w:val="00DD6ECC"/>
    <w:rsid w:val="00DE03BB"/>
    <w:rsid w:val="00DE193D"/>
    <w:rsid w:val="00DE2DA9"/>
    <w:rsid w:val="00DE41B3"/>
    <w:rsid w:val="00DE549B"/>
    <w:rsid w:val="00DE580C"/>
    <w:rsid w:val="00DE632B"/>
    <w:rsid w:val="00DE710F"/>
    <w:rsid w:val="00DE72BF"/>
    <w:rsid w:val="00DE7EED"/>
    <w:rsid w:val="00DF0C19"/>
    <w:rsid w:val="00DF0C74"/>
    <w:rsid w:val="00DF1496"/>
    <w:rsid w:val="00DF195B"/>
    <w:rsid w:val="00DF1A9E"/>
    <w:rsid w:val="00DF1E4F"/>
    <w:rsid w:val="00DF2185"/>
    <w:rsid w:val="00DF2DB2"/>
    <w:rsid w:val="00DF3697"/>
    <w:rsid w:val="00DF37E1"/>
    <w:rsid w:val="00DF4042"/>
    <w:rsid w:val="00DF4074"/>
    <w:rsid w:val="00DF42AE"/>
    <w:rsid w:val="00DF49B1"/>
    <w:rsid w:val="00DF622C"/>
    <w:rsid w:val="00DF73CF"/>
    <w:rsid w:val="00DF75C1"/>
    <w:rsid w:val="00E00EFA"/>
    <w:rsid w:val="00E016F7"/>
    <w:rsid w:val="00E01B77"/>
    <w:rsid w:val="00E02689"/>
    <w:rsid w:val="00E02B3A"/>
    <w:rsid w:val="00E02E5D"/>
    <w:rsid w:val="00E02EA6"/>
    <w:rsid w:val="00E0313E"/>
    <w:rsid w:val="00E03603"/>
    <w:rsid w:val="00E0525A"/>
    <w:rsid w:val="00E0602C"/>
    <w:rsid w:val="00E06324"/>
    <w:rsid w:val="00E069B4"/>
    <w:rsid w:val="00E070D3"/>
    <w:rsid w:val="00E077C4"/>
    <w:rsid w:val="00E07C2A"/>
    <w:rsid w:val="00E103B0"/>
    <w:rsid w:val="00E1046F"/>
    <w:rsid w:val="00E1077A"/>
    <w:rsid w:val="00E1121A"/>
    <w:rsid w:val="00E11D76"/>
    <w:rsid w:val="00E12374"/>
    <w:rsid w:val="00E128E0"/>
    <w:rsid w:val="00E12EC9"/>
    <w:rsid w:val="00E12FB6"/>
    <w:rsid w:val="00E133B9"/>
    <w:rsid w:val="00E143D3"/>
    <w:rsid w:val="00E14B90"/>
    <w:rsid w:val="00E15051"/>
    <w:rsid w:val="00E151D9"/>
    <w:rsid w:val="00E1555E"/>
    <w:rsid w:val="00E15561"/>
    <w:rsid w:val="00E15F1A"/>
    <w:rsid w:val="00E1632B"/>
    <w:rsid w:val="00E16A74"/>
    <w:rsid w:val="00E16D1A"/>
    <w:rsid w:val="00E16E4D"/>
    <w:rsid w:val="00E170EC"/>
    <w:rsid w:val="00E200BE"/>
    <w:rsid w:val="00E20838"/>
    <w:rsid w:val="00E20C73"/>
    <w:rsid w:val="00E2144D"/>
    <w:rsid w:val="00E21769"/>
    <w:rsid w:val="00E2232C"/>
    <w:rsid w:val="00E223CF"/>
    <w:rsid w:val="00E22CF4"/>
    <w:rsid w:val="00E22E7B"/>
    <w:rsid w:val="00E23225"/>
    <w:rsid w:val="00E234FE"/>
    <w:rsid w:val="00E23B18"/>
    <w:rsid w:val="00E245BD"/>
    <w:rsid w:val="00E2495F"/>
    <w:rsid w:val="00E2545F"/>
    <w:rsid w:val="00E259B4"/>
    <w:rsid w:val="00E259C5"/>
    <w:rsid w:val="00E26AD9"/>
    <w:rsid w:val="00E27C94"/>
    <w:rsid w:val="00E27DFC"/>
    <w:rsid w:val="00E30953"/>
    <w:rsid w:val="00E3101C"/>
    <w:rsid w:val="00E319DA"/>
    <w:rsid w:val="00E322FB"/>
    <w:rsid w:val="00E32350"/>
    <w:rsid w:val="00E323C8"/>
    <w:rsid w:val="00E33175"/>
    <w:rsid w:val="00E331AC"/>
    <w:rsid w:val="00E336F8"/>
    <w:rsid w:val="00E33B04"/>
    <w:rsid w:val="00E33EA4"/>
    <w:rsid w:val="00E35547"/>
    <w:rsid w:val="00E3630B"/>
    <w:rsid w:val="00E366CB"/>
    <w:rsid w:val="00E36BFD"/>
    <w:rsid w:val="00E37752"/>
    <w:rsid w:val="00E37B5B"/>
    <w:rsid w:val="00E401B3"/>
    <w:rsid w:val="00E40C18"/>
    <w:rsid w:val="00E40F22"/>
    <w:rsid w:val="00E41B63"/>
    <w:rsid w:val="00E42634"/>
    <w:rsid w:val="00E42C38"/>
    <w:rsid w:val="00E43889"/>
    <w:rsid w:val="00E44B0A"/>
    <w:rsid w:val="00E456F6"/>
    <w:rsid w:val="00E45D84"/>
    <w:rsid w:val="00E461E0"/>
    <w:rsid w:val="00E462E7"/>
    <w:rsid w:val="00E4661D"/>
    <w:rsid w:val="00E46CCC"/>
    <w:rsid w:val="00E471FE"/>
    <w:rsid w:val="00E47883"/>
    <w:rsid w:val="00E47BE5"/>
    <w:rsid w:val="00E526C4"/>
    <w:rsid w:val="00E52935"/>
    <w:rsid w:val="00E52ECC"/>
    <w:rsid w:val="00E53D7D"/>
    <w:rsid w:val="00E5400B"/>
    <w:rsid w:val="00E54EA0"/>
    <w:rsid w:val="00E5547A"/>
    <w:rsid w:val="00E555D1"/>
    <w:rsid w:val="00E55872"/>
    <w:rsid w:val="00E561A1"/>
    <w:rsid w:val="00E566C9"/>
    <w:rsid w:val="00E56B5B"/>
    <w:rsid w:val="00E56C00"/>
    <w:rsid w:val="00E56D27"/>
    <w:rsid w:val="00E57288"/>
    <w:rsid w:val="00E57335"/>
    <w:rsid w:val="00E578A8"/>
    <w:rsid w:val="00E578B7"/>
    <w:rsid w:val="00E57D0D"/>
    <w:rsid w:val="00E60863"/>
    <w:rsid w:val="00E60F44"/>
    <w:rsid w:val="00E61198"/>
    <w:rsid w:val="00E619FA"/>
    <w:rsid w:val="00E61BDA"/>
    <w:rsid w:val="00E61FE3"/>
    <w:rsid w:val="00E6205A"/>
    <w:rsid w:val="00E624C2"/>
    <w:rsid w:val="00E629EF"/>
    <w:rsid w:val="00E64330"/>
    <w:rsid w:val="00E647E0"/>
    <w:rsid w:val="00E6483C"/>
    <w:rsid w:val="00E65031"/>
    <w:rsid w:val="00E6506A"/>
    <w:rsid w:val="00E6567D"/>
    <w:rsid w:val="00E670FA"/>
    <w:rsid w:val="00E7007C"/>
    <w:rsid w:val="00E7090C"/>
    <w:rsid w:val="00E70D9B"/>
    <w:rsid w:val="00E70F0B"/>
    <w:rsid w:val="00E70F7F"/>
    <w:rsid w:val="00E71183"/>
    <w:rsid w:val="00E72376"/>
    <w:rsid w:val="00E72754"/>
    <w:rsid w:val="00E72CBA"/>
    <w:rsid w:val="00E72CCE"/>
    <w:rsid w:val="00E72E70"/>
    <w:rsid w:val="00E72FEB"/>
    <w:rsid w:val="00E7329A"/>
    <w:rsid w:val="00E747C0"/>
    <w:rsid w:val="00E74960"/>
    <w:rsid w:val="00E75CED"/>
    <w:rsid w:val="00E76451"/>
    <w:rsid w:val="00E76B53"/>
    <w:rsid w:val="00E77B0D"/>
    <w:rsid w:val="00E80030"/>
    <w:rsid w:val="00E8016F"/>
    <w:rsid w:val="00E80E52"/>
    <w:rsid w:val="00E81111"/>
    <w:rsid w:val="00E816CE"/>
    <w:rsid w:val="00E81977"/>
    <w:rsid w:val="00E8337D"/>
    <w:rsid w:val="00E83ED2"/>
    <w:rsid w:val="00E8493A"/>
    <w:rsid w:val="00E85094"/>
    <w:rsid w:val="00E860AB"/>
    <w:rsid w:val="00E868DA"/>
    <w:rsid w:val="00E87149"/>
    <w:rsid w:val="00E8728D"/>
    <w:rsid w:val="00E873BE"/>
    <w:rsid w:val="00E873F1"/>
    <w:rsid w:val="00E87B20"/>
    <w:rsid w:val="00E87BA2"/>
    <w:rsid w:val="00E9003B"/>
    <w:rsid w:val="00E90A1C"/>
    <w:rsid w:val="00E90FB5"/>
    <w:rsid w:val="00E9115F"/>
    <w:rsid w:val="00E915CF"/>
    <w:rsid w:val="00E9165C"/>
    <w:rsid w:val="00E918D8"/>
    <w:rsid w:val="00E91BCF"/>
    <w:rsid w:val="00E920EB"/>
    <w:rsid w:val="00E922E3"/>
    <w:rsid w:val="00E9234F"/>
    <w:rsid w:val="00E9281D"/>
    <w:rsid w:val="00E938E5"/>
    <w:rsid w:val="00E93BD0"/>
    <w:rsid w:val="00E93C8E"/>
    <w:rsid w:val="00E93D99"/>
    <w:rsid w:val="00E94880"/>
    <w:rsid w:val="00E949C5"/>
    <w:rsid w:val="00E9543B"/>
    <w:rsid w:val="00E95C72"/>
    <w:rsid w:val="00E972BF"/>
    <w:rsid w:val="00E97877"/>
    <w:rsid w:val="00E97885"/>
    <w:rsid w:val="00E97C93"/>
    <w:rsid w:val="00EA03CD"/>
    <w:rsid w:val="00EA0688"/>
    <w:rsid w:val="00EA10CE"/>
    <w:rsid w:val="00EA1ED6"/>
    <w:rsid w:val="00EA2325"/>
    <w:rsid w:val="00EA23C9"/>
    <w:rsid w:val="00EA2D28"/>
    <w:rsid w:val="00EA39BB"/>
    <w:rsid w:val="00EA44C7"/>
    <w:rsid w:val="00EA4DA5"/>
    <w:rsid w:val="00EA52B8"/>
    <w:rsid w:val="00EB0780"/>
    <w:rsid w:val="00EB1027"/>
    <w:rsid w:val="00EB14A1"/>
    <w:rsid w:val="00EB1C78"/>
    <w:rsid w:val="00EB1E00"/>
    <w:rsid w:val="00EB1EA0"/>
    <w:rsid w:val="00EB2808"/>
    <w:rsid w:val="00EB3F2E"/>
    <w:rsid w:val="00EB4D0B"/>
    <w:rsid w:val="00EB4FC6"/>
    <w:rsid w:val="00EB5222"/>
    <w:rsid w:val="00EB5A6A"/>
    <w:rsid w:val="00EB5B31"/>
    <w:rsid w:val="00EB5C54"/>
    <w:rsid w:val="00EB5C63"/>
    <w:rsid w:val="00EB5F3C"/>
    <w:rsid w:val="00EB6044"/>
    <w:rsid w:val="00EB6AD4"/>
    <w:rsid w:val="00EB7496"/>
    <w:rsid w:val="00EC0059"/>
    <w:rsid w:val="00EC08A0"/>
    <w:rsid w:val="00EC1C37"/>
    <w:rsid w:val="00EC21FF"/>
    <w:rsid w:val="00EC3842"/>
    <w:rsid w:val="00EC42FD"/>
    <w:rsid w:val="00EC61D3"/>
    <w:rsid w:val="00EC6348"/>
    <w:rsid w:val="00EC6C51"/>
    <w:rsid w:val="00EC6E0F"/>
    <w:rsid w:val="00ED0781"/>
    <w:rsid w:val="00ED0CB2"/>
    <w:rsid w:val="00ED0D84"/>
    <w:rsid w:val="00ED1350"/>
    <w:rsid w:val="00ED20BC"/>
    <w:rsid w:val="00ED2EE7"/>
    <w:rsid w:val="00ED30C0"/>
    <w:rsid w:val="00ED334F"/>
    <w:rsid w:val="00ED346C"/>
    <w:rsid w:val="00ED3A0B"/>
    <w:rsid w:val="00ED3DCC"/>
    <w:rsid w:val="00ED42A9"/>
    <w:rsid w:val="00ED456E"/>
    <w:rsid w:val="00ED480F"/>
    <w:rsid w:val="00ED4FA1"/>
    <w:rsid w:val="00ED558B"/>
    <w:rsid w:val="00ED55F2"/>
    <w:rsid w:val="00ED5E58"/>
    <w:rsid w:val="00ED5E9C"/>
    <w:rsid w:val="00ED6191"/>
    <w:rsid w:val="00ED7816"/>
    <w:rsid w:val="00ED788C"/>
    <w:rsid w:val="00ED793F"/>
    <w:rsid w:val="00ED7949"/>
    <w:rsid w:val="00ED7C62"/>
    <w:rsid w:val="00EE0170"/>
    <w:rsid w:val="00EE0450"/>
    <w:rsid w:val="00EE0921"/>
    <w:rsid w:val="00EE0B42"/>
    <w:rsid w:val="00EE1C7D"/>
    <w:rsid w:val="00EE1DD7"/>
    <w:rsid w:val="00EE2679"/>
    <w:rsid w:val="00EE26F8"/>
    <w:rsid w:val="00EE3036"/>
    <w:rsid w:val="00EE343C"/>
    <w:rsid w:val="00EE3773"/>
    <w:rsid w:val="00EE3965"/>
    <w:rsid w:val="00EE6151"/>
    <w:rsid w:val="00EE66EC"/>
    <w:rsid w:val="00EE6FC6"/>
    <w:rsid w:val="00EF125F"/>
    <w:rsid w:val="00EF12DE"/>
    <w:rsid w:val="00EF167B"/>
    <w:rsid w:val="00EF292F"/>
    <w:rsid w:val="00EF2D35"/>
    <w:rsid w:val="00EF4856"/>
    <w:rsid w:val="00EF4E29"/>
    <w:rsid w:val="00EF5281"/>
    <w:rsid w:val="00EF701C"/>
    <w:rsid w:val="00EF70B3"/>
    <w:rsid w:val="00EF7370"/>
    <w:rsid w:val="00EF7396"/>
    <w:rsid w:val="00EF7B9E"/>
    <w:rsid w:val="00EF7C0F"/>
    <w:rsid w:val="00F000FA"/>
    <w:rsid w:val="00F00370"/>
    <w:rsid w:val="00F00F81"/>
    <w:rsid w:val="00F017E0"/>
    <w:rsid w:val="00F034B3"/>
    <w:rsid w:val="00F038BE"/>
    <w:rsid w:val="00F03B20"/>
    <w:rsid w:val="00F03D26"/>
    <w:rsid w:val="00F04E62"/>
    <w:rsid w:val="00F050D3"/>
    <w:rsid w:val="00F05938"/>
    <w:rsid w:val="00F05A3B"/>
    <w:rsid w:val="00F06320"/>
    <w:rsid w:val="00F065A0"/>
    <w:rsid w:val="00F06791"/>
    <w:rsid w:val="00F073F9"/>
    <w:rsid w:val="00F07821"/>
    <w:rsid w:val="00F10B91"/>
    <w:rsid w:val="00F1137E"/>
    <w:rsid w:val="00F11BC9"/>
    <w:rsid w:val="00F11F5F"/>
    <w:rsid w:val="00F122F3"/>
    <w:rsid w:val="00F12549"/>
    <w:rsid w:val="00F12623"/>
    <w:rsid w:val="00F12AD9"/>
    <w:rsid w:val="00F1359D"/>
    <w:rsid w:val="00F13812"/>
    <w:rsid w:val="00F13A9D"/>
    <w:rsid w:val="00F144FD"/>
    <w:rsid w:val="00F145DD"/>
    <w:rsid w:val="00F146AD"/>
    <w:rsid w:val="00F14C19"/>
    <w:rsid w:val="00F14D64"/>
    <w:rsid w:val="00F14E52"/>
    <w:rsid w:val="00F15657"/>
    <w:rsid w:val="00F15809"/>
    <w:rsid w:val="00F15D9D"/>
    <w:rsid w:val="00F15F50"/>
    <w:rsid w:val="00F16EB7"/>
    <w:rsid w:val="00F1749C"/>
    <w:rsid w:val="00F20942"/>
    <w:rsid w:val="00F214BB"/>
    <w:rsid w:val="00F218CF"/>
    <w:rsid w:val="00F21C70"/>
    <w:rsid w:val="00F21CE9"/>
    <w:rsid w:val="00F22035"/>
    <w:rsid w:val="00F2394E"/>
    <w:rsid w:val="00F23959"/>
    <w:rsid w:val="00F24170"/>
    <w:rsid w:val="00F24798"/>
    <w:rsid w:val="00F24F03"/>
    <w:rsid w:val="00F256AE"/>
    <w:rsid w:val="00F2752E"/>
    <w:rsid w:val="00F276F2"/>
    <w:rsid w:val="00F27CBE"/>
    <w:rsid w:val="00F27D54"/>
    <w:rsid w:val="00F27EF5"/>
    <w:rsid w:val="00F30071"/>
    <w:rsid w:val="00F30088"/>
    <w:rsid w:val="00F3186E"/>
    <w:rsid w:val="00F322B5"/>
    <w:rsid w:val="00F32D5B"/>
    <w:rsid w:val="00F3325F"/>
    <w:rsid w:val="00F34CA7"/>
    <w:rsid w:val="00F355BB"/>
    <w:rsid w:val="00F356C9"/>
    <w:rsid w:val="00F356DA"/>
    <w:rsid w:val="00F363D1"/>
    <w:rsid w:val="00F36793"/>
    <w:rsid w:val="00F36A4E"/>
    <w:rsid w:val="00F37486"/>
    <w:rsid w:val="00F40B36"/>
    <w:rsid w:val="00F40BD5"/>
    <w:rsid w:val="00F4121E"/>
    <w:rsid w:val="00F419F2"/>
    <w:rsid w:val="00F42585"/>
    <w:rsid w:val="00F429E9"/>
    <w:rsid w:val="00F4310D"/>
    <w:rsid w:val="00F4440F"/>
    <w:rsid w:val="00F448CF"/>
    <w:rsid w:val="00F455C3"/>
    <w:rsid w:val="00F45F72"/>
    <w:rsid w:val="00F46160"/>
    <w:rsid w:val="00F46D45"/>
    <w:rsid w:val="00F46D66"/>
    <w:rsid w:val="00F4704F"/>
    <w:rsid w:val="00F472E5"/>
    <w:rsid w:val="00F476C2"/>
    <w:rsid w:val="00F47F4E"/>
    <w:rsid w:val="00F515E9"/>
    <w:rsid w:val="00F51DF0"/>
    <w:rsid w:val="00F51FFE"/>
    <w:rsid w:val="00F52EBC"/>
    <w:rsid w:val="00F53173"/>
    <w:rsid w:val="00F533F6"/>
    <w:rsid w:val="00F53469"/>
    <w:rsid w:val="00F53D21"/>
    <w:rsid w:val="00F541CC"/>
    <w:rsid w:val="00F54ADB"/>
    <w:rsid w:val="00F54B35"/>
    <w:rsid w:val="00F56BE9"/>
    <w:rsid w:val="00F56D27"/>
    <w:rsid w:val="00F57AF5"/>
    <w:rsid w:val="00F57EC9"/>
    <w:rsid w:val="00F57ECD"/>
    <w:rsid w:val="00F6046E"/>
    <w:rsid w:val="00F615EF"/>
    <w:rsid w:val="00F61ABF"/>
    <w:rsid w:val="00F62921"/>
    <w:rsid w:val="00F63186"/>
    <w:rsid w:val="00F633A3"/>
    <w:rsid w:val="00F635F2"/>
    <w:rsid w:val="00F65511"/>
    <w:rsid w:val="00F66EC6"/>
    <w:rsid w:val="00F66F57"/>
    <w:rsid w:val="00F6701F"/>
    <w:rsid w:val="00F67253"/>
    <w:rsid w:val="00F67288"/>
    <w:rsid w:val="00F673D2"/>
    <w:rsid w:val="00F67DCB"/>
    <w:rsid w:val="00F70119"/>
    <w:rsid w:val="00F70A92"/>
    <w:rsid w:val="00F7124A"/>
    <w:rsid w:val="00F71D25"/>
    <w:rsid w:val="00F73AFD"/>
    <w:rsid w:val="00F748A9"/>
    <w:rsid w:val="00F750C4"/>
    <w:rsid w:val="00F756D6"/>
    <w:rsid w:val="00F767BA"/>
    <w:rsid w:val="00F7682E"/>
    <w:rsid w:val="00F770EF"/>
    <w:rsid w:val="00F77BCB"/>
    <w:rsid w:val="00F77D37"/>
    <w:rsid w:val="00F80140"/>
    <w:rsid w:val="00F80374"/>
    <w:rsid w:val="00F80E2F"/>
    <w:rsid w:val="00F811E8"/>
    <w:rsid w:val="00F81870"/>
    <w:rsid w:val="00F81BDF"/>
    <w:rsid w:val="00F824A2"/>
    <w:rsid w:val="00F824D5"/>
    <w:rsid w:val="00F82AE5"/>
    <w:rsid w:val="00F834FA"/>
    <w:rsid w:val="00F84225"/>
    <w:rsid w:val="00F844A3"/>
    <w:rsid w:val="00F84689"/>
    <w:rsid w:val="00F8532C"/>
    <w:rsid w:val="00F85401"/>
    <w:rsid w:val="00F85BFE"/>
    <w:rsid w:val="00F85DB5"/>
    <w:rsid w:val="00F86057"/>
    <w:rsid w:val="00F86CF5"/>
    <w:rsid w:val="00F878BB"/>
    <w:rsid w:val="00F87E1C"/>
    <w:rsid w:val="00F87F39"/>
    <w:rsid w:val="00F90356"/>
    <w:rsid w:val="00F90C71"/>
    <w:rsid w:val="00F911FE"/>
    <w:rsid w:val="00F9344F"/>
    <w:rsid w:val="00F93576"/>
    <w:rsid w:val="00F9387E"/>
    <w:rsid w:val="00F93D9E"/>
    <w:rsid w:val="00F93DA9"/>
    <w:rsid w:val="00F94074"/>
    <w:rsid w:val="00F9423A"/>
    <w:rsid w:val="00F94894"/>
    <w:rsid w:val="00F94F58"/>
    <w:rsid w:val="00F9536C"/>
    <w:rsid w:val="00F95C06"/>
    <w:rsid w:val="00F95F1F"/>
    <w:rsid w:val="00F95F26"/>
    <w:rsid w:val="00F960C0"/>
    <w:rsid w:val="00F96569"/>
    <w:rsid w:val="00F97294"/>
    <w:rsid w:val="00FA0E32"/>
    <w:rsid w:val="00FA117C"/>
    <w:rsid w:val="00FA16EE"/>
    <w:rsid w:val="00FA18C9"/>
    <w:rsid w:val="00FA1D3E"/>
    <w:rsid w:val="00FA204B"/>
    <w:rsid w:val="00FA2F09"/>
    <w:rsid w:val="00FA3225"/>
    <w:rsid w:val="00FA3619"/>
    <w:rsid w:val="00FA4207"/>
    <w:rsid w:val="00FA4E2B"/>
    <w:rsid w:val="00FA52D8"/>
    <w:rsid w:val="00FA581F"/>
    <w:rsid w:val="00FA5DD6"/>
    <w:rsid w:val="00FA6275"/>
    <w:rsid w:val="00FA6357"/>
    <w:rsid w:val="00FA7186"/>
    <w:rsid w:val="00FA75FD"/>
    <w:rsid w:val="00FB10D6"/>
    <w:rsid w:val="00FB15D3"/>
    <w:rsid w:val="00FB17F7"/>
    <w:rsid w:val="00FB1A70"/>
    <w:rsid w:val="00FB1AB4"/>
    <w:rsid w:val="00FB24FA"/>
    <w:rsid w:val="00FB308F"/>
    <w:rsid w:val="00FB39E3"/>
    <w:rsid w:val="00FB3C96"/>
    <w:rsid w:val="00FB42B1"/>
    <w:rsid w:val="00FB44A2"/>
    <w:rsid w:val="00FB470C"/>
    <w:rsid w:val="00FB47A6"/>
    <w:rsid w:val="00FB5541"/>
    <w:rsid w:val="00FB56CB"/>
    <w:rsid w:val="00FB5ADF"/>
    <w:rsid w:val="00FB62BD"/>
    <w:rsid w:val="00FB66F9"/>
    <w:rsid w:val="00FB6B42"/>
    <w:rsid w:val="00FB6FA4"/>
    <w:rsid w:val="00FB71B4"/>
    <w:rsid w:val="00FB7CC3"/>
    <w:rsid w:val="00FB7F20"/>
    <w:rsid w:val="00FC0338"/>
    <w:rsid w:val="00FC0E65"/>
    <w:rsid w:val="00FC1FDF"/>
    <w:rsid w:val="00FC22E1"/>
    <w:rsid w:val="00FC3008"/>
    <w:rsid w:val="00FC321B"/>
    <w:rsid w:val="00FC32EB"/>
    <w:rsid w:val="00FC3982"/>
    <w:rsid w:val="00FC47D8"/>
    <w:rsid w:val="00FC5756"/>
    <w:rsid w:val="00FC57E3"/>
    <w:rsid w:val="00FC6197"/>
    <w:rsid w:val="00FC667A"/>
    <w:rsid w:val="00FC66C4"/>
    <w:rsid w:val="00FC7F20"/>
    <w:rsid w:val="00FD018E"/>
    <w:rsid w:val="00FD0731"/>
    <w:rsid w:val="00FD0BA1"/>
    <w:rsid w:val="00FD0C86"/>
    <w:rsid w:val="00FD124F"/>
    <w:rsid w:val="00FD130F"/>
    <w:rsid w:val="00FD18F6"/>
    <w:rsid w:val="00FD2748"/>
    <w:rsid w:val="00FD2793"/>
    <w:rsid w:val="00FD4AE4"/>
    <w:rsid w:val="00FD5D10"/>
    <w:rsid w:val="00FD69C4"/>
    <w:rsid w:val="00FD7B3C"/>
    <w:rsid w:val="00FE05BA"/>
    <w:rsid w:val="00FE084A"/>
    <w:rsid w:val="00FE09D3"/>
    <w:rsid w:val="00FE0D81"/>
    <w:rsid w:val="00FE14FE"/>
    <w:rsid w:val="00FE1971"/>
    <w:rsid w:val="00FE197E"/>
    <w:rsid w:val="00FE1C29"/>
    <w:rsid w:val="00FE36DE"/>
    <w:rsid w:val="00FE3D3C"/>
    <w:rsid w:val="00FE46AB"/>
    <w:rsid w:val="00FE5344"/>
    <w:rsid w:val="00FE64BF"/>
    <w:rsid w:val="00FE6563"/>
    <w:rsid w:val="00FE6A0D"/>
    <w:rsid w:val="00FE7156"/>
    <w:rsid w:val="00FE7253"/>
    <w:rsid w:val="00FE79AD"/>
    <w:rsid w:val="00FF0F14"/>
    <w:rsid w:val="00FF0F70"/>
    <w:rsid w:val="00FF14DB"/>
    <w:rsid w:val="00FF19AF"/>
    <w:rsid w:val="00FF3E03"/>
    <w:rsid w:val="00FF599A"/>
    <w:rsid w:val="00FF59C0"/>
    <w:rsid w:val="00FF6000"/>
    <w:rsid w:val="00FF6161"/>
    <w:rsid w:val="00FF702C"/>
    <w:rsid w:val="00FF74F3"/>
    <w:rsid w:val="00FF7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A29E3"/>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0665E8"/>
    <w:pPr>
      <w:keepNext/>
      <w:keepLines/>
      <w:spacing w:before="240"/>
      <w:outlineLvl w:val="0"/>
    </w:pPr>
    <w:rPr>
      <w:rFonts w:asciiTheme="majorHAnsi" w:hAnsiTheme="majorHAnsi"/>
      <w:b/>
      <w:color w:val="014463" w:themeColor="text2"/>
      <w:sz w:val="36"/>
      <w:szCs w:val="60"/>
    </w:rPr>
  </w:style>
  <w:style w:type="paragraph" w:styleId="Heading2">
    <w:name w:val="heading 2"/>
    <w:basedOn w:val="Normal"/>
    <w:next w:val="BodyText"/>
    <w:link w:val="Heading2Char"/>
    <w:uiPriority w:val="9"/>
    <w:unhideWhenUsed/>
    <w:qFormat/>
    <w:rsid w:val="000665E8"/>
    <w:pPr>
      <w:keepNext/>
      <w:keepLines/>
      <w:spacing w:before="240"/>
      <w:outlineLvl w:val="1"/>
    </w:pPr>
    <w:rPr>
      <w:rFonts w:asciiTheme="majorHAnsi" w:eastAsiaTheme="majorEastAsia" w:hAnsiTheme="majorHAnsi" w:cstheme="majorBidi"/>
      <w:color w:val="014463" w:themeColor="text2"/>
      <w:sz w:val="30"/>
      <w:szCs w:val="40"/>
    </w:rPr>
  </w:style>
  <w:style w:type="paragraph" w:styleId="Heading3">
    <w:name w:val="heading 3"/>
    <w:basedOn w:val="Normal"/>
    <w:next w:val="BodyText"/>
    <w:link w:val="Heading3Char"/>
    <w:uiPriority w:val="9"/>
    <w:unhideWhenUsed/>
    <w:qFormat/>
    <w:rsid w:val="000665E8"/>
    <w:pPr>
      <w:keepNext/>
      <w:keepLines/>
      <w:spacing w:before="240" w:line="240" w:lineRule="auto"/>
      <w:outlineLvl w:val="2"/>
    </w:pPr>
    <w:rPr>
      <w:rFonts w:asciiTheme="majorHAnsi" w:eastAsiaTheme="majorEastAsia" w:hAnsiTheme="majorHAnsi" w:cstheme="majorBidi"/>
      <w:color w:val="014463" w:themeColor="text2"/>
      <w:sz w:val="24"/>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character" w:customStyle="1" w:styleId="Heading1Char">
    <w:name w:val="Heading 1 Char"/>
    <w:basedOn w:val="DefaultParagraphFont"/>
    <w:link w:val="Heading1"/>
    <w:uiPriority w:val="9"/>
    <w:rsid w:val="000665E8"/>
    <w:rPr>
      <w:rFonts w:asciiTheme="majorHAnsi" w:hAnsiTheme="majorHAnsi"/>
      <w:b/>
      <w:color w:val="014463" w:themeColor="text2"/>
      <w:sz w:val="36"/>
      <w:szCs w:val="60"/>
    </w:rPr>
  </w:style>
  <w:style w:type="character" w:customStyle="1" w:styleId="Heading2Char">
    <w:name w:val="Heading 2 Char"/>
    <w:basedOn w:val="DefaultParagraphFont"/>
    <w:link w:val="Heading2"/>
    <w:uiPriority w:val="9"/>
    <w:rsid w:val="000665E8"/>
    <w:rPr>
      <w:rFonts w:asciiTheme="majorHAnsi" w:eastAsiaTheme="majorEastAsia" w:hAnsiTheme="majorHAnsi" w:cstheme="majorBidi"/>
      <w:color w:val="014463" w:themeColor="text2"/>
      <w:sz w:val="30"/>
      <w:szCs w:val="40"/>
    </w:rPr>
  </w:style>
  <w:style w:type="character" w:customStyle="1" w:styleId="Heading3Char">
    <w:name w:val="Heading 3 Char"/>
    <w:basedOn w:val="DefaultParagraphFont"/>
    <w:link w:val="Heading3"/>
    <w:uiPriority w:val="9"/>
    <w:rsid w:val="000665E8"/>
    <w:rPr>
      <w:rFonts w:asciiTheme="majorHAnsi" w:eastAsiaTheme="majorEastAsia" w:hAnsiTheme="majorHAnsi" w:cstheme="majorBidi"/>
      <w:color w:val="014463" w:themeColor="text2"/>
      <w:sz w:val="24"/>
      <w:szCs w:val="30"/>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L,Bullet Point,Bullet point,Bullet points,Content descriptions,List Paragraph1,List Paragraph11,NFP GP Bulleted List,FooterText,numbered,Paragraphe de liste1,Bulletr List Paragraph,列出段落,列出段落1,List Paragraph2,CV text,Dot pt"/>
    <w:basedOn w:val="Normal"/>
    <w:link w:val="ListParagraphChar"/>
    <w:uiPriority w:val="34"/>
    <w:qFormat/>
    <w:rsid w:val="00820E0F"/>
    <w:pPr>
      <w:ind w:left="720"/>
      <w:contextualSpacing/>
    </w:pPr>
  </w:style>
  <w:style w:type="character" w:customStyle="1" w:styleId="ListParagraphChar">
    <w:name w:val="List Paragraph Char"/>
    <w:aliases w:val="Recommendation Char,L Char,Bullet Point Char,Bullet point Char,Bullet points Char,Content descriptions Char,List Paragraph1 Char,List Paragraph11 Char,NFP GP Bulleted List Char,FooterText Char,numbered Char,Paragraphe de liste1 Char"/>
    <w:link w:val="ListParagraph"/>
    <w:uiPriority w:val="34"/>
    <w:qFormat/>
    <w:rsid w:val="001A3BDB"/>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paragraph" w:customStyle="1" w:styleId="NumberedListlvl1">
    <w:name w:val="Numbered List lvl1"/>
    <w:basedOn w:val="ListParagraph"/>
    <w:uiPriority w:val="9"/>
    <w:qFormat/>
    <w:rsid w:val="00FE7253"/>
    <w:pPr>
      <w:numPr>
        <w:numId w:val="6"/>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customStyle="1" w:styleId="BulletedListlvl2">
    <w:name w:val="Bulleted List lvl2"/>
    <w:basedOn w:val="BulletedListlvl1"/>
    <w:uiPriority w:val="10"/>
    <w:rsid w:val="00E7329A"/>
    <w:pPr>
      <w:numPr>
        <w:numId w:val="23"/>
      </w:numPr>
    </w:pPr>
  </w:style>
  <w:style w:type="paragraph" w:customStyle="1" w:styleId="TableBody">
    <w:name w:val="Table Body"/>
    <w:basedOn w:val="Normal"/>
    <w:uiPriority w:val="11"/>
    <w:qFormat/>
    <w:rsid w:val="00840865"/>
    <w:pPr>
      <w:spacing w:before="40" w:after="40"/>
    </w:pPr>
    <w:rPr>
      <w:color w:val="000000" w:themeColor="text1"/>
      <w:sz w:val="18"/>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3"/>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4"/>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5"/>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uiPriority w:val="10"/>
    <w:qFormat/>
    <w:rsid w:val="009520A9"/>
    <w:rPr>
      <w:sz w:val="52"/>
    </w:rPr>
  </w:style>
  <w:style w:type="character" w:customStyle="1" w:styleId="TitleChar">
    <w:name w:val="Title Char"/>
    <w:basedOn w:val="DefaultParagraphFont"/>
    <w:link w:val="Title"/>
    <w:uiPriority w:val="10"/>
    <w:rsid w:val="009520A9"/>
    <w:rPr>
      <w:rFonts w:asciiTheme="majorHAnsi" w:hAnsiTheme="majorHAnsi"/>
      <w:b/>
      <w:color w:val="014463" w:themeColor="text2"/>
      <w:sz w:val="52"/>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styleId="NormalWeb">
    <w:name w:val="Normal (Web)"/>
    <w:basedOn w:val="Normal"/>
    <w:uiPriority w:val="99"/>
    <w:unhideWhenUsed/>
    <w:rsid w:val="00C96D48"/>
    <w:pPr>
      <w:spacing w:before="100" w:beforeAutospacing="1" w:after="100" w:afterAutospacing="1" w:line="240" w:lineRule="auto"/>
    </w:pPr>
    <w:rPr>
      <w:rFonts w:ascii="Calibri" w:eastAsia="Times New Roman" w:hAnsi="Calibri" w:cs="Times New Roman"/>
      <w:color w:val="auto"/>
      <w:szCs w:val="24"/>
      <w:lang w:eastAsia="en-AU"/>
    </w:rPr>
  </w:style>
  <w:style w:type="paragraph" w:styleId="ListBullet">
    <w:name w:val="List Bullet"/>
    <w:basedOn w:val="Normal"/>
    <w:uiPriority w:val="1"/>
    <w:qFormat/>
    <w:rsid w:val="00DB43DD"/>
    <w:pPr>
      <w:numPr>
        <w:numId w:val="7"/>
      </w:numPr>
      <w:tabs>
        <w:tab w:val="clear" w:pos="360"/>
        <w:tab w:val="left" w:pos="170"/>
      </w:tabs>
      <w:spacing w:before="60" w:line="280" w:lineRule="atLeast"/>
      <w:ind w:left="170" w:hanging="170"/>
    </w:pPr>
    <w:rPr>
      <w:rFonts w:ascii="Arial" w:eastAsia="Times New Roman" w:hAnsi="Arial" w:cs="Times New Roman"/>
      <w:color w:val="auto"/>
      <w:spacing w:val="4"/>
      <w:sz w:val="24"/>
      <w:szCs w:val="24"/>
      <w:lang w:eastAsia="en-AU"/>
    </w:rPr>
  </w:style>
  <w:style w:type="character" w:customStyle="1" w:styleId="TalkingPointChar">
    <w:name w:val="TalkingPoint Char"/>
    <w:basedOn w:val="DefaultParagraphFont"/>
    <w:link w:val="TalkingPoint"/>
    <w:locked/>
    <w:rsid w:val="001A3BDB"/>
    <w:rPr>
      <w:rFonts w:ascii="Calibri" w:hAnsi="Calibri" w:cs="Calibri"/>
      <w:color w:val="000000"/>
    </w:rPr>
  </w:style>
  <w:style w:type="paragraph" w:customStyle="1" w:styleId="TalkingPoint">
    <w:name w:val="TalkingPoint"/>
    <w:basedOn w:val="Normal"/>
    <w:link w:val="TalkingPointChar"/>
    <w:qFormat/>
    <w:rsid w:val="001A3BDB"/>
    <w:pPr>
      <w:spacing w:after="0" w:line="240" w:lineRule="auto"/>
    </w:pPr>
    <w:rPr>
      <w:rFonts w:ascii="Calibri" w:hAnsi="Calibri" w:cs="Calibri"/>
      <w:color w:val="000000"/>
    </w:rPr>
  </w:style>
  <w:style w:type="table" w:styleId="PlainTable4">
    <w:name w:val="Plain Table 4"/>
    <w:basedOn w:val="TableNormal"/>
    <w:uiPriority w:val="44"/>
    <w:rsid w:val="001A3B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050EB"/>
    <w:rPr>
      <w:sz w:val="16"/>
      <w:szCs w:val="16"/>
    </w:rPr>
  </w:style>
  <w:style w:type="paragraph" w:styleId="CommentText">
    <w:name w:val="annotation text"/>
    <w:basedOn w:val="Normal"/>
    <w:link w:val="CommentTextChar"/>
    <w:uiPriority w:val="99"/>
    <w:unhideWhenUsed/>
    <w:rsid w:val="00C050EB"/>
    <w:pPr>
      <w:spacing w:line="240" w:lineRule="auto"/>
    </w:pPr>
  </w:style>
  <w:style w:type="character" w:customStyle="1" w:styleId="CommentTextChar">
    <w:name w:val="Comment Text Char"/>
    <w:basedOn w:val="DefaultParagraphFont"/>
    <w:link w:val="CommentText"/>
    <w:uiPriority w:val="99"/>
    <w:rsid w:val="00C050EB"/>
  </w:style>
  <w:style w:type="paragraph" w:styleId="CommentSubject">
    <w:name w:val="annotation subject"/>
    <w:basedOn w:val="CommentText"/>
    <w:next w:val="CommentText"/>
    <w:link w:val="CommentSubjectChar"/>
    <w:uiPriority w:val="99"/>
    <w:semiHidden/>
    <w:unhideWhenUsed/>
    <w:rsid w:val="00C050EB"/>
    <w:rPr>
      <w:b/>
      <w:bCs/>
    </w:rPr>
  </w:style>
  <w:style w:type="character" w:customStyle="1" w:styleId="CommentSubjectChar">
    <w:name w:val="Comment Subject Char"/>
    <w:basedOn w:val="CommentTextChar"/>
    <w:link w:val="CommentSubject"/>
    <w:uiPriority w:val="99"/>
    <w:semiHidden/>
    <w:rsid w:val="00C050EB"/>
    <w:rPr>
      <w:b/>
      <w:bCs/>
    </w:rPr>
  </w:style>
  <w:style w:type="paragraph" w:customStyle="1" w:styleId="CABNETParagraph">
    <w:name w:val="CABNET Paragraph."/>
    <w:basedOn w:val="Normal"/>
    <w:link w:val="CABNETParagraphChar"/>
    <w:uiPriority w:val="98"/>
    <w:qFormat/>
    <w:rsid w:val="008C3B51"/>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8C3B51"/>
    <w:rPr>
      <w:rFonts w:ascii="Arial" w:hAnsi="Arial" w:cstheme="minorHAnsi"/>
      <w:color w:val="auto"/>
      <w:sz w:val="22"/>
      <w:szCs w:val="22"/>
    </w:rPr>
  </w:style>
  <w:style w:type="paragraph" w:styleId="Revision">
    <w:name w:val="Revision"/>
    <w:hidden/>
    <w:uiPriority w:val="99"/>
    <w:semiHidden/>
    <w:rsid w:val="0011138D"/>
    <w:pPr>
      <w:spacing w:after="0" w:line="240" w:lineRule="auto"/>
    </w:pPr>
  </w:style>
  <w:style w:type="table" w:customStyle="1" w:styleId="LightGrid-Accent21">
    <w:name w:val="Light Grid - Accent 21"/>
    <w:basedOn w:val="TableNormal"/>
    <w:next w:val="LightGrid-Accent2"/>
    <w:uiPriority w:val="62"/>
    <w:rsid w:val="003E48A5"/>
    <w:pPr>
      <w:spacing w:after="0" w:line="240" w:lineRule="auto"/>
    </w:pPr>
    <w:rPr>
      <w:rFonts w:eastAsia="Times New Roman"/>
      <w:color w:val="auto"/>
      <w:sz w:val="24"/>
      <w:szCs w:val="24"/>
    </w:rPr>
    <w:tblPr>
      <w:tblStyleRowBandSize w:val="1"/>
      <w:tblStyleColBandSize w:val="1"/>
      <w:tblBorders>
        <w:top w:val="single" w:sz="8" w:space="0" w:color="014463"/>
        <w:left w:val="single" w:sz="8" w:space="0" w:color="014463"/>
        <w:bottom w:val="single" w:sz="8" w:space="0" w:color="014463"/>
        <w:right w:val="single" w:sz="8" w:space="0" w:color="014463"/>
        <w:insideH w:val="single" w:sz="8" w:space="0" w:color="014463"/>
        <w:insideV w:val="single" w:sz="8" w:space="0" w:color="014463"/>
      </w:tblBorders>
    </w:tblPr>
    <w:tcPr>
      <w:shd w:val="clear" w:color="auto" w:fill="auto"/>
    </w:tcPr>
    <w:tblStylePr w:type="firstRow">
      <w:pPr>
        <w:spacing w:before="0" w:after="0" w:line="240" w:lineRule="auto"/>
      </w:pPr>
      <w:rPr>
        <w:rFonts w:ascii="Book Antiqua" w:eastAsia="Times New Roman" w:hAnsi="Book Antiqua" w:cs="Times New Roman"/>
        <w:b/>
        <w:bCs/>
      </w:rPr>
      <w:tblPr/>
      <w:tcPr>
        <w:shd w:val="clear" w:color="auto" w:fill="CD0920"/>
      </w:tcPr>
    </w:tblStylePr>
    <w:tblStylePr w:type="lastRow">
      <w:pPr>
        <w:spacing w:before="0" w:after="0" w:line="240" w:lineRule="auto"/>
      </w:pPr>
      <w:rPr>
        <w:rFonts w:ascii="Book Antiqua" w:eastAsia="Times New Roman" w:hAnsi="Book Antiqua" w:cs="Times New Roman"/>
        <w:b/>
        <w:bCs/>
      </w:rPr>
      <w:tblPr/>
      <w:tcPr>
        <w:tcBorders>
          <w:top w:val="double" w:sz="6" w:space="0" w:color="014463"/>
          <w:left w:val="single" w:sz="8" w:space="0" w:color="014463"/>
          <w:bottom w:val="single" w:sz="8" w:space="0" w:color="014463"/>
          <w:right w:val="single" w:sz="8" w:space="0" w:color="014463"/>
          <w:insideH w:val="nil"/>
          <w:insideV w:val="single" w:sz="8" w:space="0" w:color="014463"/>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014463"/>
          <w:left w:val="single" w:sz="8" w:space="0" w:color="014463"/>
          <w:bottom w:val="single" w:sz="8" w:space="0" w:color="014463"/>
          <w:right w:val="single" w:sz="8" w:space="0" w:color="014463"/>
        </w:tcBorders>
      </w:tcPr>
    </w:tblStylePr>
    <w:tblStylePr w:type="band2Horz">
      <w:tblPr/>
      <w:tcPr>
        <w:tcBorders>
          <w:top w:val="single" w:sz="8" w:space="0" w:color="014463"/>
          <w:left w:val="single" w:sz="8" w:space="0" w:color="014463"/>
          <w:bottom w:val="single" w:sz="8" w:space="0" w:color="014463"/>
          <w:right w:val="single" w:sz="8" w:space="0" w:color="014463"/>
          <w:insideV w:val="single" w:sz="8" w:space="0" w:color="014463"/>
        </w:tcBorders>
      </w:tcPr>
    </w:tblStylePr>
  </w:style>
  <w:style w:type="table" w:styleId="LightGrid-Accent2">
    <w:name w:val="Light Grid Accent 2"/>
    <w:basedOn w:val="TableNormal"/>
    <w:uiPriority w:val="62"/>
    <w:semiHidden/>
    <w:unhideWhenUsed/>
    <w:rsid w:val="003E48A5"/>
    <w:pPr>
      <w:spacing w:after="0" w:line="240" w:lineRule="auto"/>
    </w:pPr>
    <w:tblPr>
      <w:tblStyleRowBandSize w:val="1"/>
      <w:tblStyleColBandSize w:val="1"/>
      <w:tblBorders>
        <w:top w:val="single" w:sz="8" w:space="0" w:color="014463" w:themeColor="accent2"/>
        <w:left w:val="single" w:sz="8" w:space="0" w:color="014463" w:themeColor="accent2"/>
        <w:bottom w:val="single" w:sz="8" w:space="0" w:color="014463" w:themeColor="accent2"/>
        <w:right w:val="single" w:sz="8" w:space="0" w:color="014463" w:themeColor="accent2"/>
        <w:insideH w:val="single" w:sz="8" w:space="0" w:color="014463" w:themeColor="accent2"/>
        <w:insideV w:val="single" w:sz="8" w:space="0" w:color="01446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4463" w:themeColor="accent2"/>
          <w:left w:val="single" w:sz="8" w:space="0" w:color="014463" w:themeColor="accent2"/>
          <w:bottom w:val="single" w:sz="18" w:space="0" w:color="014463" w:themeColor="accent2"/>
          <w:right w:val="single" w:sz="8" w:space="0" w:color="014463" w:themeColor="accent2"/>
          <w:insideH w:val="nil"/>
          <w:insideV w:val="single" w:sz="8" w:space="0" w:color="01446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4463" w:themeColor="accent2"/>
          <w:left w:val="single" w:sz="8" w:space="0" w:color="014463" w:themeColor="accent2"/>
          <w:bottom w:val="single" w:sz="8" w:space="0" w:color="014463" w:themeColor="accent2"/>
          <w:right w:val="single" w:sz="8" w:space="0" w:color="014463" w:themeColor="accent2"/>
          <w:insideH w:val="nil"/>
          <w:insideV w:val="single" w:sz="8" w:space="0" w:color="01446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4463" w:themeColor="accent2"/>
          <w:left w:val="single" w:sz="8" w:space="0" w:color="014463" w:themeColor="accent2"/>
          <w:bottom w:val="single" w:sz="8" w:space="0" w:color="014463" w:themeColor="accent2"/>
          <w:right w:val="single" w:sz="8" w:space="0" w:color="014463" w:themeColor="accent2"/>
        </w:tcBorders>
      </w:tcPr>
    </w:tblStylePr>
    <w:tblStylePr w:type="band1Vert">
      <w:tblPr/>
      <w:tcPr>
        <w:tcBorders>
          <w:top w:val="single" w:sz="8" w:space="0" w:color="014463" w:themeColor="accent2"/>
          <w:left w:val="single" w:sz="8" w:space="0" w:color="014463" w:themeColor="accent2"/>
          <w:bottom w:val="single" w:sz="8" w:space="0" w:color="014463" w:themeColor="accent2"/>
          <w:right w:val="single" w:sz="8" w:space="0" w:color="014463" w:themeColor="accent2"/>
        </w:tcBorders>
        <w:shd w:val="clear" w:color="auto" w:fill="9ADEFE" w:themeFill="accent2" w:themeFillTint="3F"/>
      </w:tcPr>
    </w:tblStylePr>
    <w:tblStylePr w:type="band1Horz">
      <w:tblPr/>
      <w:tcPr>
        <w:tcBorders>
          <w:top w:val="single" w:sz="8" w:space="0" w:color="014463" w:themeColor="accent2"/>
          <w:left w:val="single" w:sz="8" w:space="0" w:color="014463" w:themeColor="accent2"/>
          <w:bottom w:val="single" w:sz="8" w:space="0" w:color="014463" w:themeColor="accent2"/>
          <w:right w:val="single" w:sz="8" w:space="0" w:color="014463" w:themeColor="accent2"/>
          <w:insideV w:val="single" w:sz="8" w:space="0" w:color="014463" w:themeColor="accent2"/>
        </w:tcBorders>
        <w:shd w:val="clear" w:color="auto" w:fill="9ADEFE" w:themeFill="accent2" w:themeFillTint="3F"/>
      </w:tcPr>
    </w:tblStylePr>
    <w:tblStylePr w:type="band2Horz">
      <w:tblPr/>
      <w:tcPr>
        <w:tcBorders>
          <w:top w:val="single" w:sz="8" w:space="0" w:color="014463" w:themeColor="accent2"/>
          <w:left w:val="single" w:sz="8" w:space="0" w:color="014463" w:themeColor="accent2"/>
          <w:bottom w:val="single" w:sz="8" w:space="0" w:color="014463" w:themeColor="accent2"/>
          <w:right w:val="single" w:sz="8" w:space="0" w:color="014463" w:themeColor="accent2"/>
          <w:insideV w:val="single" w:sz="8" w:space="0" w:color="014463" w:themeColor="accent2"/>
        </w:tcBorders>
      </w:tcPr>
    </w:tblStylePr>
  </w:style>
  <w:style w:type="character" w:styleId="FollowedHyperlink">
    <w:name w:val="FollowedHyperlink"/>
    <w:basedOn w:val="DefaultParagraphFont"/>
    <w:uiPriority w:val="99"/>
    <w:semiHidden/>
    <w:unhideWhenUsed/>
    <w:rsid w:val="00413B64"/>
    <w:rPr>
      <w:color w:val="015F8B" w:themeColor="followedHyperlink"/>
      <w:u w:val="single"/>
    </w:rPr>
  </w:style>
  <w:style w:type="table" w:customStyle="1" w:styleId="TableGrid1">
    <w:name w:val="Table Grid1"/>
    <w:basedOn w:val="TableNormal"/>
    <w:next w:val="TableGrid"/>
    <w:uiPriority w:val="59"/>
    <w:rsid w:val="005F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5F26DA"/>
    <w:pPr>
      <w:spacing w:after="0" w:line="240" w:lineRule="auto"/>
    </w:pPr>
    <w:rPr>
      <w:rFonts w:eastAsia="Times New Roman"/>
      <w:color w:val="auto"/>
      <w:sz w:val="24"/>
      <w:szCs w:val="24"/>
    </w:rPr>
    <w:tblPr>
      <w:tblStyleRowBandSize w:val="1"/>
      <w:tblStyleColBandSize w:val="1"/>
      <w:tblBorders>
        <w:top w:val="single" w:sz="8" w:space="0" w:color="014463"/>
        <w:left w:val="single" w:sz="8" w:space="0" w:color="014463"/>
        <w:bottom w:val="single" w:sz="8" w:space="0" w:color="014463"/>
        <w:right w:val="single" w:sz="8" w:space="0" w:color="014463"/>
        <w:insideH w:val="single" w:sz="8" w:space="0" w:color="014463"/>
        <w:insideV w:val="single" w:sz="8" w:space="0" w:color="014463"/>
      </w:tblBorders>
    </w:tblPr>
    <w:tcPr>
      <w:shd w:val="clear" w:color="auto" w:fill="auto"/>
    </w:tcPr>
    <w:tblStylePr w:type="firstRow">
      <w:pPr>
        <w:spacing w:before="0" w:after="0" w:line="240" w:lineRule="auto"/>
      </w:pPr>
      <w:rPr>
        <w:rFonts w:ascii="Book Antiqua" w:eastAsia="Times New Roman" w:hAnsi="Book Antiqua" w:cs="Times New Roman"/>
        <w:b/>
        <w:bCs/>
      </w:rPr>
      <w:tblPr/>
      <w:tcPr>
        <w:shd w:val="clear" w:color="auto" w:fill="CD0920"/>
      </w:tcPr>
    </w:tblStylePr>
    <w:tblStylePr w:type="lastRow">
      <w:pPr>
        <w:spacing w:before="0" w:after="0" w:line="240" w:lineRule="auto"/>
      </w:pPr>
      <w:rPr>
        <w:rFonts w:ascii="Book Antiqua" w:eastAsia="Times New Roman" w:hAnsi="Book Antiqua" w:cs="Times New Roman"/>
        <w:b/>
        <w:bCs/>
      </w:rPr>
      <w:tblPr/>
      <w:tcPr>
        <w:tcBorders>
          <w:top w:val="double" w:sz="6" w:space="0" w:color="014463"/>
          <w:left w:val="single" w:sz="8" w:space="0" w:color="014463"/>
          <w:bottom w:val="single" w:sz="8" w:space="0" w:color="014463"/>
          <w:right w:val="single" w:sz="8" w:space="0" w:color="014463"/>
          <w:insideH w:val="nil"/>
          <w:insideV w:val="single" w:sz="8" w:space="0" w:color="014463"/>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014463"/>
          <w:left w:val="single" w:sz="8" w:space="0" w:color="014463"/>
          <w:bottom w:val="single" w:sz="8" w:space="0" w:color="014463"/>
          <w:right w:val="single" w:sz="8" w:space="0" w:color="014463"/>
        </w:tcBorders>
      </w:tcPr>
    </w:tblStylePr>
    <w:tblStylePr w:type="band2Horz">
      <w:tblPr/>
      <w:tcPr>
        <w:tcBorders>
          <w:top w:val="single" w:sz="8" w:space="0" w:color="014463"/>
          <w:left w:val="single" w:sz="8" w:space="0" w:color="014463"/>
          <w:bottom w:val="single" w:sz="8" w:space="0" w:color="014463"/>
          <w:right w:val="single" w:sz="8" w:space="0" w:color="014463"/>
          <w:insideV w:val="single" w:sz="8" w:space="0" w:color="014463"/>
        </w:tcBorders>
      </w:tcPr>
    </w:tblStylePr>
  </w:style>
  <w:style w:type="paragraph" w:styleId="TOCHeading">
    <w:name w:val="TOC Heading"/>
    <w:basedOn w:val="Heading1"/>
    <w:next w:val="Normal"/>
    <w:uiPriority w:val="39"/>
    <w:unhideWhenUsed/>
    <w:qFormat/>
    <w:rsid w:val="00E9234F"/>
    <w:pPr>
      <w:spacing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4C374C"/>
    <w:pPr>
      <w:tabs>
        <w:tab w:val="right" w:leader="dot" w:pos="10194"/>
      </w:tabs>
      <w:spacing w:after="100"/>
    </w:pPr>
  </w:style>
  <w:style w:type="paragraph" w:styleId="TOC3">
    <w:name w:val="toc 3"/>
    <w:basedOn w:val="Normal"/>
    <w:next w:val="Normal"/>
    <w:autoRedefine/>
    <w:uiPriority w:val="39"/>
    <w:unhideWhenUsed/>
    <w:rsid w:val="00E9234F"/>
    <w:pPr>
      <w:spacing w:after="100"/>
      <w:ind w:left="400"/>
    </w:pPr>
  </w:style>
  <w:style w:type="paragraph" w:styleId="TOC2">
    <w:name w:val="toc 2"/>
    <w:basedOn w:val="Normal"/>
    <w:next w:val="Normal"/>
    <w:autoRedefine/>
    <w:uiPriority w:val="39"/>
    <w:unhideWhenUsed/>
    <w:rsid w:val="00E9234F"/>
    <w:pPr>
      <w:spacing w:after="100"/>
      <w:ind w:left="200"/>
    </w:pPr>
  </w:style>
  <w:style w:type="paragraph" w:styleId="TableofFigures">
    <w:name w:val="table of figures"/>
    <w:basedOn w:val="Normal"/>
    <w:next w:val="Normal"/>
    <w:uiPriority w:val="99"/>
    <w:unhideWhenUsed/>
    <w:rsid w:val="000A7637"/>
    <w:pPr>
      <w:spacing w:after="0"/>
    </w:pPr>
  </w:style>
  <w:style w:type="character" w:customStyle="1" w:styleId="StyleArial10pt">
    <w:name w:val="Style Arial 10 pt"/>
    <w:basedOn w:val="DefaultParagraphFont"/>
    <w:uiPriority w:val="99"/>
    <w:rsid w:val="006377D8"/>
    <w:rPr>
      <w:rFonts w:ascii="Arial" w:hAnsi="Arial" w:cs="Times New Roman" w:hint="default"/>
      <w:sz w:val="20"/>
    </w:rPr>
  </w:style>
  <w:style w:type="paragraph" w:customStyle="1" w:styleId="ListBullet1">
    <w:name w:val="List Bullet1"/>
    <w:basedOn w:val="ListParagraph"/>
    <w:autoRedefine/>
    <w:uiPriority w:val="7"/>
    <w:qFormat/>
    <w:rsid w:val="00511369"/>
    <w:pPr>
      <w:keepLines/>
      <w:tabs>
        <w:tab w:val="num" w:pos="360"/>
      </w:tabs>
      <w:spacing w:line="240" w:lineRule="auto"/>
      <w:contextualSpacing w:val="0"/>
    </w:pPr>
    <w:rPr>
      <w:rFonts w:ascii="Arial" w:eastAsia="Times New Roman" w:hAnsi="Arial" w:cs="Times New Roman"/>
      <w:sz w:val="24"/>
      <w:szCs w:val="24"/>
      <w:lang w:eastAsia="en-AU"/>
    </w:rPr>
  </w:style>
  <w:style w:type="character" w:customStyle="1" w:styleId="Hyperlink1">
    <w:name w:val="Hyperlink1"/>
    <w:basedOn w:val="DefaultParagraphFont"/>
    <w:uiPriority w:val="99"/>
    <w:unhideWhenUsed/>
    <w:rsid w:val="00923C27"/>
    <w:rPr>
      <w:color w:val="015F8B"/>
      <w:u w:val="single"/>
    </w:rPr>
  </w:style>
  <w:style w:type="paragraph" w:customStyle="1" w:styleId="FESboxbullet">
    <w:name w:val="FES box bullet"/>
    <w:basedOn w:val="Normal"/>
    <w:link w:val="FESboxbulletChar"/>
    <w:qFormat/>
    <w:rsid w:val="00E33EA4"/>
    <w:pPr>
      <w:numPr>
        <w:numId w:val="47"/>
      </w:numPr>
      <w:spacing w:line="280" w:lineRule="exact"/>
      <w:ind w:left="408" w:hanging="408"/>
      <w:jc w:val="both"/>
    </w:pPr>
    <w:rPr>
      <w:rFonts w:ascii="Calibri Light" w:hAnsi="Calibri Light" w:cs="Calibri Light"/>
      <w:color w:val="auto"/>
      <w:lang w:val="en-MY"/>
    </w:rPr>
  </w:style>
  <w:style w:type="character" w:customStyle="1" w:styleId="FESboxbulletChar">
    <w:name w:val="FES box bullet Char"/>
    <w:basedOn w:val="DefaultParagraphFont"/>
    <w:link w:val="FESboxbullet"/>
    <w:rsid w:val="00E33EA4"/>
    <w:rPr>
      <w:rFonts w:ascii="Calibri Light" w:hAnsi="Calibri Light" w:cs="Calibri Light"/>
      <w:color w:val="auto"/>
      <w:lang w:val="en-MY"/>
    </w:rPr>
  </w:style>
  <w:style w:type="paragraph" w:styleId="TOC4">
    <w:name w:val="toc 4"/>
    <w:basedOn w:val="Normal"/>
    <w:next w:val="Normal"/>
    <w:autoRedefine/>
    <w:uiPriority w:val="39"/>
    <w:unhideWhenUsed/>
    <w:rsid w:val="00796FAF"/>
    <w:pPr>
      <w:spacing w:after="100" w:line="259" w:lineRule="auto"/>
      <w:ind w:left="660"/>
    </w:pPr>
    <w:rPr>
      <w:rFonts w:eastAsiaTheme="minorEastAsia"/>
      <w:color w:val="auto"/>
      <w:sz w:val="22"/>
      <w:szCs w:val="22"/>
      <w:lang w:eastAsia="en-AU"/>
    </w:rPr>
  </w:style>
  <w:style w:type="paragraph" w:styleId="TOC5">
    <w:name w:val="toc 5"/>
    <w:basedOn w:val="Normal"/>
    <w:next w:val="Normal"/>
    <w:autoRedefine/>
    <w:uiPriority w:val="39"/>
    <w:unhideWhenUsed/>
    <w:rsid w:val="00796FAF"/>
    <w:pPr>
      <w:spacing w:after="100" w:line="259" w:lineRule="auto"/>
      <w:ind w:left="880"/>
    </w:pPr>
    <w:rPr>
      <w:rFonts w:eastAsiaTheme="minorEastAsia"/>
      <w:color w:val="auto"/>
      <w:sz w:val="22"/>
      <w:szCs w:val="22"/>
      <w:lang w:eastAsia="en-AU"/>
    </w:rPr>
  </w:style>
  <w:style w:type="paragraph" w:styleId="TOC6">
    <w:name w:val="toc 6"/>
    <w:basedOn w:val="Normal"/>
    <w:next w:val="Normal"/>
    <w:autoRedefine/>
    <w:uiPriority w:val="39"/>
    <w:unhideWhenUsed/>
    <w:rsid w:val="00796FAF"/>
    <w:pPr>
      <w:spacing w:after="100" w:line="259" w:lineRule="auto"/>
      <w:ind w:left="1100"/>
    </w:pPr>
    <w:rPr>
      <w:rFonts w:eastAsiaTheme="minorEastAsia"/>
      <w:color w:val="auto"/>
      <w:sz w:val="22"/>
      <w:szCs w:val="22"/>
      <w:lang w:eastAsia="en-AU"/>
    </w:rPr>
  </w:style>
  <w:style w:type="paragraph" w:styleId="TOC7">
    <w:name w:val="toc 7"/>
    <w:basedOn w:val="Normal"/>
    <w:next w:val="Normal"/>
    <w:autoRedefine/>
    <w:uiPriority w:val="39"/>
    <w:unhideWhenUsed/>
    <w:rsid w:val="00796FAF"/>
    <w:pPr>
      <w:spacing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796FAF"/>
    <w:pPr>
      <w:spacing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796FAF"/>
    <w:pPr>
      <w:spacing w:after="100" w:line="259" w:lineRule="auto"/>
      <w:ind w:left="1760"/>
    </w:pPr>
    <w:rPr>
      <w:rFonts w:eastAsiaTheme="minorEastAsia"/>
      <w:color w:val="auto"/>
      <w:sz w:val="22"/>
      <w:szCs w:val="22"/>
      <w:lang w:eastAsia="en-AU"/>
    </w:rPr>
  </w:style>
  <w:style w:type="paragraph" w:customStyle="1" w:styleId="CABBulletList">
    <w:name w:val="CAB Bullet List"/>
    <w:basedOn w:val="ListParagraph"/>
    <w:uiPriority w:val="98"/>
    <w:qFormat/>
    <w:rsid w:val="00070411"/>
    <w:pPr>
      <w:numPr>
        <w:numId w:val="55"/>
      </w:numPr>
      <w:tabs>
        <w:tab w:val="left" w:pos="851"/>
      </w:tabs>
      <w:spacing w:before="60" w:after="60" w:line="240" w:lineRule="auto"/>
      <w:ind w:left="850" w:hanging="288"/>
    </w:pPr>
    <w:rPr>
      <w:rFonts w:ascii="Arial"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64">
      <w:bodyDiv w:val="1"/>
      <w:marLeft w:val="0"/>
      <w:marRight w:val="0"/>
      <w:marTop w:val="0"/>
      <w:marBottom w:val="0"/>
      <w:divBdr>
        <w:top w:val="none" w:sz="0" w:space="0" w:color="auto"/>
        <w:left w:val="none" w:sz="0" w:space="0" w:color="auto"/>
        <w:bottom w:val="none" w:sz="0" w:space="0" w:color="auto"/>
        <w:right w:val="none" w:sz="0" w:space="0" w:color="auto"/>
      </w:divBdr>
    </w:div>
    <w:div w:id="2637594">
      <w:bodyDiv w:val="1"/>
      <w:marLeft w:val="0"/>
      <w:marRight w:val="0"/>
      <w:marTop w:val="0"/>
      <w:marBottom w:val="0"/>
      <w:divBdr>
        <w:top w:val="none" w:sz="0" w:space="0" w:color="auto"/>
        <w:left w:val="none" w:sz="0" w:space="0" w:color="auto"/>
        <w:bottom w:val="none" w:sz="0" w:space="0" w:color="auto"/>
        <w:right w:val="none" w:sz="0" w:space="0" w:color="auto"/>
      </w:divBdr>
    </w:div>
    <w:div w:id="6834353">
      <w:bodyDiv w:val="1"/>
      <w:marLeft w:val="0"/>
      <w:marRight w:val="0"/>
      <w:marTop w:val="0"/>
      <w:marBottom w:val="0"/>
      <w:divBdr>
        <w:top w:val="none" w:sz="0" w:space="0" w:color="auto"/>
        <w:left w:val="none" w:sz="0" w:space="0" w:color="auto"/>
        <w:bottom w:val="none" w:sz="0" w:space="0" w:color="auto"/>
        <w:right w:val="none" w:sz="0" w:space="0" w:color="auto"/>
      </w:divBdr>
    </w:div>
    <w:div w:id="12193221">
      <w:bodyDiv w:val="1"/>
      <w:marLeft w:val="0"/>
      <w:marRight w:val="0"/>
      <w:marTop w:val="0"/>
      <w:marBottom w:val="0"/>
      <w:divBdr>
        <w:top w:val="none" w:sz="0" w:space="0" w:color="auto"/>
        <w:left w:val="none" w:sz="0" w:space="0" w:color="auto"/>
        <w:bottom w:val="none" w:sz="0" w:space="0" w:color="auto"/>
        <w:right w:val="none" w:sz="0" w:space="0" w:color="auto"/>
      </w:divBdr>
    </w:div>
    <w:div w:id="47727226">
      <w:bodyDiv w:val="1"/>
      <w:marLeft w:val="0"/>
      <w:marRight w:val="0"/>
      <w:marTop w:val="0"/>
      <w:marBottom w:val="0"/>
      <w:divBdr>
        <w:top w:val="none" w:sz="0" w:space="0" w:color="auto"/>
        <w:left w:val="none" w:sz="0" w:space="0" w:color="auto"/>
        <w:bottom w:val="none" w:sz="0" w:space="0" w:color="auto"/>
        <w:right w:val="none" w:sz="0" w:space="0" w:color="auto"/>
      </w:divBdr>
    </w:div>
    <w:div w:id="51662065">
      <w:bodyDiv w:val="1"/>
      <w:marLeft w:val="0"/>
      <w:marRight w:val="0"/>
      <w:marTop w:val="0"/>
      <w:marBottom w:val="0"/>
      <w:divBdr>
        <w:top w:val="none" w:sz="0" w:space="0" w:color="auto"/>
        <w:left w:val="none" w:sz="0" w:space="0" w:color="auto"/>
        <w:bottom w:val="none" w:sz="0" w:space="0" w:color="auto"/>
        <w:right w:val="none" w:sz="0" w:space="0" w:color="auto"/>
      </w:divBdr>
    </w:div>
    <w:div w:id="55054232">
      <w:bodyDiv w:val="1"/>
      <w:marLeft w:val="0"/>
      <w:marRight w:val="0"/>
      <w:marTop w:val="0"/>
      <w:marBottom w:val="0"/>
      <w:divBdr>
        <w:top w:val="none" w:sz="0" w:space="0" w:color="auto"/>
        <w:left w:val="none" w:sz="0" w:space="0" w:color="auto"/>
        <w:bottom w:val="none" w:sz="0" w:space="0" w:color="auto"/>
        <w:right w:val="none" w:sz="0" w:space="0" w:color="auto"/>
      </w:divBdr>
    </w:div>
    <w:div w:id="61216810">
      <w:bodyDiv w:val="1"/>
      <w:marLeft w:val="0"/>
      <w:marRight w:val="0"/>
      <w:marTop w:val="0"/>
      <w:marBottom w:val="0"/>
      <w:divBdr>
        <w:top w:val="none" w:sz="0" w:space="0" w:color="auto"/>
        <w:left w:val="none" w:sz="0" w:space="0" w:color="auto"/>
        <w:bottom w:val="none" w:sz="0" w:space="0" w:color="auto"/>
        <w:right w:val="none" w:sz="0" w:space="0" w:color="auto"/>
      </w:divBdr>
    </w:div>
    <w:div w:id="72704167">
      <w:bodyDiv w:val="1"/>
      <w:marLeft w:val="0"/>
      <w:marRight w:val="0"/>
      <w:marTop w:val="0"/>
      <w:marBottom w:val="0"/>
      <w:divBdr>
        <w:top w:val="none" w:sz="0" w:space="0" w:color="auto"/>
        <w:left w:val="none" w:sz="0" w:space="0" w:color="auto"/>
        <w:bottom w:val="none" w:sz="0" w:space="0" w:color="auto"/>
        <w:right w:val="none" w:sz="0" w:space="0" w:color="auto"/>
      </w:divBdr>
    </w:div>
    <w:div w:id="79646455">
      <w:bodyDiv w:val="1"/>
      <w:marLeft w:val="0"/>
      <w:marRight w:val="0"/>
      <w:marTop w:val="0"/>
      <w:marBottom w:val="0"/>
      <w:divBdr>
        <w:top w:val="none" w:sz="0" w:space="0" w:color="auto"/>
        <w:left w:val="none" w:sz="0" w:space="0" w:color="auto"/>
        <w:bottom w:val="none" w:sz="0" w:space="0" w:color="auto"/>
        <w:right w:val="none" w:sz="0" w:space="0" w:color="auto"/>
      </w:divBdr>
    </w:div>
    <w:div w:id="93600124">
      <w:bodyDiv w:val="1"/>
      <w:marLeft w:val="0"/>
      <w:marRight w:val="0"/>
      <w:marTop w:val="0"/>
      <w:marBottom w:val="0"/>
      <w:divBdr>
        <w:top w:val="none" w:sz="0" w:space="0" w:color="auto"/>
        <w:left w:val="none" w:sz="0" w:space="0" w:color="auto"/>
        <w:bottom w:val="none" w:sz="0" w:space="0" w:color="auto"/>
        <w:right w:val="none" w:sz="0" w:space="0" w:color="auto"/>
      </w:divBdr>
    </w:div>
    <w:div w:id="97679621">
      <w:bodyDiv w:val="1"/>
      <w:marLeft w:val="0"/>
      <w:marRight w:val="0"/>
      <w:marTop w:val="0"/>
      <w:marBottom w:val="0"/>
      <w:divBdr>
        <w:top w:val="none" w:sz="0" w:space="0" w:color="auto"/>
        <w:left w:val="none" w:sz="0" w:space="0" w:color="auto"/>
        <w:bottom w:val="none" w:sz="0" w:space="0" w:color="auto"/>
        <w:right w:val="none" w:sz="0" w:space="0" w:color="auto"/>
      </w:divBdr>
    </w:div>
    <w:div w:id="104810081">
      <w:bodyDiv w:val="1"/>
      <w:marLeft w:val="0"/>
      <w:marRight w:val="0"/>
      <w:marTop w:val="0"/>
      <w:marBottom w:val="0"/>
      <w:divBdr>
        <w:top w:val="none" w:sz="0" w:space="0" w:color="auto"/>
        <w:left w:val="none" w:sz="0" w:space="0" w:color="auto"/>
        <w:bottom w:val="none" w:sz="0" w:space="0" w:color="auto"/>
        <w:right w:val="none" w:sz="0" w:space="0" w:color="auto"/>
      </w:divBdr>
    </w:div>
    <w:div w:id="136999376">
      <w:bodyDiv w:val="1"/>
      <w:marLeft w:val="0"/>
      <w:marRight w:val="0"/>
      <w:marTop w:val="0"/>
      <w:marBottom w:val="0"/>
      <w:divBdr>
        <w:top w:val="none" w:sz="0" w:space="0" w:color="auto"/>
        <w:left w:val="none" w:sz="0" w:space="0" w:color="auto"/>
        <w:bottom w:val="none" w:sz="0" w:space="0" w:color="auto"/>
        <w:right w:val="none" w:sz="0" w:space="0" w:color="auto"/>
      </w:divBdr>
    </w:div>
    <w:div w:id="163057818">
      <w:bodyDiv w:val="1"/>
      <w:marLeft w:val="0"/>
      <w:marRight w:val="0"/>
      <w:marTop w:val="0"/>
      <w:marBottom w:val="0"/>
      <w:divBdr>
        <w:top w:val="none" w:sz="0" w:space="0" w:color="auto"/>
        <w:left w:val="none" w:sz="0" w:space="0" w:color="auto"/>
        <w:bottom w:val="none" w:sz="0" w:space="0" w:color="auto"/>
        <w:right w:val="none" w:sz="0" w:space="0" w:color="auto"/>
      </w:divBdr>
    </w:div>
    <w:div w:id="169754420">
      <w:bodyDiv w:val="1"/>
      <w:marLeft w:val="0"/>
      <w:marRight w:val="0"/>
      <w:marTop w:val="0"/>
      <w:marBottom w:val="0"/>
      <w:divBdr>
        <w:top w:val="none" w:sz="0" w:space="0" w:color="auto"/>
        <w:left w:val="none" w:sz="0" w:space="0" w:color="auto"/>
        <w:bottom w:val="none" w:sz="0" w:space="0" w:color="auto"/>
        <w:right w:val="none" w:sz="0" w:space="0" w:color="auto"/>
      </w:divBdr>
    </w:div>
    <w:div w:id="176773881">
      <w:bodyDiv w:val="1"/>
      <w:marLeft w:val="0"/>
      <w:marRight w:val="0"/>
      <w:marTop w:val="0"/>
      <w:marBottom w:val="0"/>
      <w:divBdr>
        <w:top w:val="none" w:sz="0" w:space="0" w:color="auto"/>
        <w:left w:val="none" w:sz="0" w:space="0" w:color="auto"/>
        <w:bottom w:val="none" w:sz="0" w:space="0" w:color="auto"/>
        <w:right w:val="none" w:sz="0" w:space="0" w:color="auto"/>
      </w:divBdr>
    </w:div>
    <w:div w:id="177358234">
      <w:bodyDiv w:val="1"/>
      <w:marLeft w:val="0"/>
      <w:marRight w:val="0"/>
      <w:marTop w:val="0"/>
      <w:marBottom w:val="0"/>
      <w:divBdr>
        <w:top w:val="none" w:sz="0" w:space="0" w:color="auto"/>
        <w:left w:val="none" w:sz="0" w:space="0" w:color="auto"/>
        <w:bottom w:val="none" w:sz="0" w:space="0" w:color="auto"/>
        <w:right w:val="none" w:sz="0" w:space="0" w:color="auto"/>
      </w:divBdr>
    </w:div>
    <w:div w:id="186531910">
      <w:bodyDiv w:val="1"/>
      <w:marLeft w:val="0"/>
      <w:marRight w:val="0"/>
      <w:marTop w:val="0"/>
      <w:marBottom w:val="0"/>
      <w:divBdr>
        <w:top w:val="none" w:sz="0" w:space="0" w:color="auto"/>
        <w:left w:val="none" w:sz="0" w:space="0" w:color="auto"/>
        <w:bottom w:val="none" w:sz="0" w:space="0" w:color="auto"/>
        <w:right w:val="none" w:sz="0" w:space="0" w:color="auto"/>
      </w:divBdr>
    </w:div>
    <w:div w:id="187989662">
      <w:bodyDiv w:val="1"/>
      <w:marLeft w:val="0"/>
      <w:marRight w:val="0"/>
      <w:marTop w:val="0"/>
      <w:marBottom w:val="0"/>
      <w:divBdr>
        <w:top w:val="none" w:sz="0" w:space="0" w:color="auto"/>
        <w:left w:val="none" w:sz="0" w:space="0" w:color="auto"/>
        <w:bottom w:val="none" w:sz="0" w:space="0" w:color="auto"/>
        <w:right w:val="none" w:sz="0" w:space="0" w:color="auto"/>
      </w:divBdr>
    </w:div>
    <w:div w:id="195777839">
      <w:bodyDiv w:val="1"/>
      <w:marLeft w:val="0"/>
      <w:marRight w:val="0"/>
      <w:marTop w:val="0"/>
      <w:marBottom w:val="0"/>
      <w:divBdr>
        <w:top w:val="none" w:sz="0" w:space="0" w:color="auto"/>
        <w:left w:val="none" w:sz="0" w:space="0" w:color="auto"/>
        <w:bottom w:val="none" w:sz="0" w:space="0" w:color="auto"/>
        <w:right w:val="none" w:sz="0" w:space="0" w:color="auto"/>
      </w:divBdr>
    </w:div>
    <w:div w:id="213978428">
      <w:bodyDiv w:val="1"/>
      <w:marLeft w:val="0"/>
      <w:marRight w:val="0"/>
      <w:marTop w:val="0"/>
      <w:marBottom w:val="0"/>
      <w:divBdr>
        <w:top w:val="none" w:sz="0" w:space="0" w:color="auto"/>
        <w:left w:val="none" w:sz="0" w:space="0" w:color="auto"/>
        <w:bottom w:val="none" w:sz="0" w:space="0" w:color="auto"/>
        <w:right w:val="none" w:sz="0" w:space="0" w:color="auto"/>
      </w:divBdr>
    </w:div>
    <w:div w:id="238365295">
      <w:bodyDiv w:val="1"/>
      <w:marLeft w:val="0"/>
      <w:marRight w:val="0"/>
      <w:marTop w:val="0"/>
      <w:marBottom w:val="0"/>
      <w:divBdr>
        <w:top w:val="none" w:sz="0" w:space="0" w:color="auto"/>
        <w:left w:val="none" w:sz="0" w:space="0" w:color="auto"/>
        <w:bottom w:val="none" w:sz="0" w:space="0" w:color="auto"/>
        <w:right w:val="none" w:sz="0" w:space="0" w:color="auto"/>
      </w:divBdr>
    </w:div>
    <w:div w:id="272128898">
      <w:bodyDiv w:val="1"/>
      <w:marLeft w:val="0"/>
      <w:marRight w:val="0"/>
      <w:marTop w:val="0"/>
      <w:marBottom w:val="0"/>
      <w:divBdr>
        <w:top w:val="none" w:sz="0" w:space="0" w:color="auto"/>
        <w:left w:val="none" w:sz="0" w:space="0" w:color="auto"/>
        <w:bottom w:val="none" w:sz="0" w:space="0" w:color="auto"/>
        <w:right w:val="none" w:sz="0" w:space="0" w:color="auto"/>
      </w:divBdr>
    </w:div>
    <w:div w:id="272254138">
      <w:bodyDiv w:val="1"/>
      <w:marLeft w:val="0"/>
      <w:marRight w:val="0"/>
      <w:marTop w:val="0"/>
      <w:marBottom w:val="0"/>
      <w:divBdr>
        <w:top w:val="none" w:sz="0" w:space="0" w:color="auto"/>
        <w:left w:val="none" w:sz="0" w:space="0" w:color="auto"/>
        <w:bottom w:val="none" w:sz="0" w:space="0" w:color="auto"/>
        <w:right w:val="none" w:sz="0" w:space="0" w:color="auto"/>
      </w:divBdr>
    </w:div>
    <w:div w:id="273250171">
      <w:bodyDiv w:val="1"/>
      <w:marLeft w:val="0"/>
      <w:marRight w:val="0"/>
      <w:marTop w:val="0"/>
      <w:marBottom w:val="0"/>
      <w:divBdr>
        <w:top w:val="none" w:sz="0" w:space="0" w:color="auto"/>
        <w:left w:val="none" w:sz="0" w:space="0" w:color="auto"/>
        <w:bottom w:val="none" w:sz="0" w:space="0" w:color="auto"/>
        <w:right w:val="none" w:sz="0" w:space="0" w:color="auto"/>
      </w:divBdr>
    </w:div>
    <w:div w:id="274140758">
      <w:bodyDiv w:val="1"/>
      <w:marLeft w:val="0"/>
      <w:marRight w:val="0"/>
      <w:marTop w:val="0"/>
      <w:marBottom w:val="0"/>
      <w:divBdr>
        <w:top w:val="none" w:sz="0" w:space="0" w:color="auto"/>
        <w:left w:val="none" w:sz="0" w:space="0" w:color="auto"/>
        <w:bottom w:val="none" w:sz="0" w:space="0" w:color="auto"/>
        <w:right w:val="none" w:sz="0" w:space="0" w:color="auto"/>
      </w:divBdr>
    </w:div>
    <w:div w:id="280186575">
      <w:bodyDiv w:val="1"/>
      <w:marLeft w:val="0"/>
      <w:marRight w:val="0"/>
      <w:marTop w:val="0"/>
      <w:marBottom w:val="0"/>
      <w:divBdr>
        <w:top w:val="none" w:sz="0" w:space="0" w:color="auto"/>
        <w:left w:val="none" w:sz="0" w:space="0" w:color="auto"/>
        <w:bottom w:val="none" w:sz="0" w:space="0" w:color="auto"/>
        <w:right w:val="none" w:sz="0" w:space="0" w:color="auto"/>
      </w:divBdr>
    </w:div>
    <w:div w:id="287707004">
      <w:bodyDiv w:val="1"/>
      <w:marLeft w:val="0"/>
      <w:marRight w:val="0"/>
      <w:marTop w:val="0"/>
      <w:marBottom w:val="0"/>
      <w:divBdr>
        <w:top w:val="none" w:sz="0" w:space="0" w:color="auto"/>
        <w:left w:val="none" w:sz="0" w:space="0" w:color="auto"/>
        <w:bottom w:val="none" w:sz="0" w:space="0" w:color="auto"/>
        <w:right w:val="none" w:sz="0" w:space="0" w:color="auto"/>
      </w:divBdr>
    </w:div>
    <w:div w:id="292290764">
      <w:bodyDiv w:val="1"/>
      <w:marLeft w:val="0"/>
      <w:marRight w:val="0"/>
      <w:marTop w:val="0"/>
      <w:marBottom w:val="0"/>
      <w:divBdr>
        <w:top w:val="none" w:sz="0" w:space="0" w:color="auto"/>
        <w:left w:val="none" w:sz="0" w:space="0" w:color="auto"/>
        <w:bottom w:val="none" w:sz="0" w:space="0" w:color="auto"/>
        <w:right w:val="none" w:sz="0" w:space="0" w:color="auto"/>
      </w:divBdr>
    </w:div>
    <w:div w:id="331031663">
      <w:bodyDiv w:val="1"/>
      <w:marLeft w:val="0"/>
      <w:marRight w:val="0"/>
      <w:marTop w:val="0"/>
      <w:marBottom w:val="0"/>
      <w:divBdr>
        <w:top w:val="none" w:sz="0" w:space="0" w:color="auto"/>
        <w:left w:val="none" w:sz="0" w:space="0" w:color="auto"/>
        <w:bottom w:val="none" w:sz="0" w:space="0" w:color="auto"/>
        <w:right w:val="none" w:sz="0" w:space="0" w:color="auto"/>
      </w:divBdr>
    </w:div>
    <w:div w:id="339279876">
      <w:bodyDiv w:val="1"/>
      <w:marLeft w:val="0"/>
      <w:marRight w:val="0"/>
      <w:marTop w:val="0"/>
      <w:marBottom w:val="0"/>
      <w:divBdr>
        <w:top w:val="none" w:sz="0" w:space="0" w:color="auto"/>
        <w:left w:val="none" w:sz="0" w:space="0" w:color="auto"/>
        <w:bottom w:val="none" w:sz="0" w:space="0" w:color="auto"/>
        <w:right w:val="none" w:sz="0" w:space="0" w:color="auto"/>
      </w:divBdr>
    </w:div>
    <w:div w:id="344330005">
      <w:bodyDiv w:val="1"/>
      <w:marLeft w:val="0"/>
      <w:marRight w:val="0"/>
      <w:marTop w:val="0"/>
      <w:marBottom w:val="0"/>
      <w:divBdr>
        <w:top w:val="none" w:sz="0" w:space="0" w:color="auto"/>
        <w:left w:val="none" w:sz="0" w:space="0" w:color="auto"/>
        <w:bottom w:val="none" w:sz="0" w:space="0" w:color="auto"/>
        <w:right w:val="none" w:sz="0" w:space="0" w:color="auto"/>
      </w:divBdr>
    </w:div>
    <w:div w:id="346175922">
      <w:bodyDiv w:val="1"/>
      <w:marLeft w:val="0"/>
      <w:marRight w:val="0"/>
      <w:marTop w:val="0"/>
      <w:marBottom w:val="0"/>
      <w:divBdr>
        <w:top w:val="none" w:sz="0" w:space="0" w:color="auto"/>
        <w:left w:val="none" w:sz="0" w:space="0" w:color="auto"/>
        <w:bottom w:val="none" w:sz="0" w:space="0" w:color="auto"/>
        <w:right w:val="none" w:sz="0" w:space="0" w:color="auto"/>
      </w:divBdr>
    </w:div>
    <w:div w:id="350255778">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60975078">
      <w:bodyDiv w:val="1"/>
      <w:marLeft w:val="0"/>
      <w:marRight w:val="0"/>
      <w:marTop w:val="0"/>
      <w:marBottom w:val="0"/>
      <w:divBdr>
        <w:top w:val="none" w:sz="0" w:space="0" w:color="auto"/>
        <w:left w:val="none" w:sz="0" w:space="0" w:color="auto"/>
        <w:bottom w:val="none" w:sz="0" w:space="0" w:color="auto"/>
        <w:right w:val="none" w:sz="0" w:space="0" w:color="auto"/>
      </w:divBdr>
    </w:div>
    <w:div w:id="375666842">
      <w:bodyDiv w:val="1"/>
      <w:marLeft w:val="0"/>
      <w:marRight w:val="0"/>
      <w:marTop w:val="0"/>
      <w:marBottom w:val="0"/>
      <w:divBdr>
        <w:top w:val="none" w:sz="0" w:space="0" w:color="auto"/>
        <w:left w:val="none" w:sz="0" w:space="0" w:color="auto"/>
        <w:bottom w:val="none" w:sz="0" w:space="0" w:color="auto"/>
        <w:right w:val="none" w:sz="0" w:space="0" w:color="auto"/>
      </w:divBdr>
    </w:div>
    <w:div w:id="381833900">
      <w:bodyDiv w:val="1"/>
      <w:marLeft w:val="0"/>
      <w:marRight w:val="0"/>
      <w:marTop w:val="0"/>
      <w:marBottom w:val="0"/>
      <w:divBdr>
        <w:top w:val="none" w:sz="0" w:space="0" w:color="auto"/>
        <w:left w:val="none" w:sz="0" w:space="0" w:color="auto"/>
        <w:bottom w:val="none" w:sz="0" w:space="0" w:color="auto"/>
        <w:right w:val="none" w:sz="0" w:space="0" w:color="auto"/>
      </w:divBdr>
    </w:div>
    <w:div w:id="384136246">
      <w:bodyDiv w:val="1"/>
      <w:marLeft w:val="0"/>
      <w:marRight w:val="0"/>
      <w:marTop w:val="0"/>
      <w:marBottom w:val="0"/>
      <w:divBdr>
        <w:top w:val="none" w:sz="0" w:space="0" w:color="auto"/>
        <w:left w:val="none" w:sz="0" w:space="0" w:color="auto"/>
        <w:bottom w:val="none" w:sz="0" w:space="0" w:color="auto"/>
        <w:right w:val="none" w:sz="0" w:space="0" w:color="auto"/>
      </w:divBdr>
    </w:div>
    <w:div w:id="402872177">
      <w:bodyDiv w:val="1"/>
      <w:marLeft w:val="0"/>
      <w:marRight w:val="0"/>
      <w:marTop w:val="0"/>
      <w:marBottom w:val="0"/>
      <w:divBdr>
        <w:top w:val="none" w:sz="0" w:space="0" w:color="auto"/>
        <w:left w:val="none" w:sz="0" w:space="0" w:color="auto"/>
        <w:bottom w:val="none" w:sz="0" w:space="0" w:color="auto"/>
        <w:right w:val="none" w:sz="0" w:space="0" w:color="auto"/>
      </w:divBdr>
    </w:div>
    <w:div w:id="429008728">
      <w:bodyDiv w:val="1"/>
      <w:marLeft w:val="0"/>
      <w:marRight w:val="0"/>
      <w:marTop w:val="0"/>
      <w:marBottom w:val="0"/>
      <w:divBdr>
        <w:top w:val="none" w:sz="0" w:space="0" w:color="auto"/>
        <w:left w:val="none" w:sz="0" w:space="0" w:color="auto"/>
        <w:bottom w:val="none" w:sz="0" w:space="0" w:color="auto"/>
        <w:right w:val="none" w:sz="0" w:space="0" w:color="auto"/>
      </w:divBdr>
    </w:div>
    <w:div w:id="433090589">
      <w:bodyDiv w:val="1"/>
      <w:marLeft w:val="0"/>
      <w:marRight w:val="0"/>
      <w:marTop w:val="0"/>
      <w:marBottom w:val="0"/>
      <w:divBdr>
        <w:top w:val="none" w:sz="0" w:space="0" w:color="auto"/>
        <w:left w:val="none" w:sz="0" w:space="0" w:color="auto"/>
        <w:bottom w:val="none" w:sz="0" w:space="0" w:color="auto"/>
        <w:right w:val="none" w:sz="0" w:space="0" w:color="auto"/>
      </w:divBdr>
    </w:div>
    <w:div w:id="435904052">
      <w:bodyDiv w:val="1"/>
      <w:marLeft w:val="0"/>
      <w:marRight w:val="0"/>
      <w:marTop w:val="0"/>
      <w:marBottom w:val="0"/>
      <w:divBdr>
        <w:top w:val="none" w:sz="0" w:space="0" w:color="auto"/>
        <w:left w:val="none" w:sz="0" w:space="0" w:color="auto"/>
        <w:bottom w:val="none" w:sz="0" w:space="0" w:color="auto"/>
        <w:right w:val="none" w:sz="0" w:space="0" w:color="auto"/>
      </w:divBdr>
    </w:div>
    <w:div w:id="472716289">
      <w:bodyDiv w:val="1"/>
      <w:marLeft w:val="0"/>
      <w:marRight w:val="0"/>
      <w:marTop w:val="0"/>
      <w:marBottom w:val="0"/>
      <w:divBdr>
        <w:top w:val="none" w:sz="0" w:space="0" w:color="auto"/>
        <w:left w:val="none" w:sz="0" w:space="0" w:color="auto"/>
        <w:bottom w:val="none" w:sz="0" w:space="0" w:color="auto"/>
        <w:right w:val="none" w:sz="0" w:space="0" w:color="auto"/>
      </w:divBdr>
    </w:div>
    <w:div w:id="472985447">
      <w:bodyDiv w:val="1"/>
      <w:marLeft w:val="0"/>
      <w:marRight w:val="0"/>
      <w:marTop w:val="0"/>
      <w:marBottom w:val="0"/>
      <w:divBdr>
        <w:top w:val="none" w:sz="0" w:space="0" w:color="auto"/>
        <w:left w:val="none" w:sz="0" w:space="0" w:color="auto"/>
        <w:bottom w:val="none" w:sz="0" w:space="0" w:color="auto"/>
        <w:right w:val="none" w:sz="0" w:space="0" w:color="auto"/>
      </w:divBdr>
    </w:div>
    <w:div w:id="475948604">
      <w:bodyDiv w:val="1"/>
      <w:marLeft w:val="0"/>
      <w:marRight w:val="0"/>
      <w:marTop w:val="0"/>
      <w:marBottom w:val="0"/>
      <w:divBdr>
        <w:top w:val="none" w:sz="0" w:space="0" w:color="auto"/>
        <w:left w:val="none" w:sz="0" w:space="0" w:color="auto"/>
        <w:bottom w:val="none" w:sz="0" w:space="0" w:color="auto"/>
        <w:right w:val="none" w:sz="0" w:space="0" w:color="auto"/>
      </w:divBdr>
    </w:div>
    <w:div w:id="481700003">
      <w:bodyDiv w:val="1"/>
      <w:marLeft w:val="0"/>
      <w:marRight w:val="0"/>
      <w:marTop w:val="0"/>
      <w:marBottom w:val="0"/>
      <w:divBdr>
        <w:top w:val="none" w:sz="0" w:space="0" w:color="auto"/>
        <w:left w:val="none" w:sz="0" w:space="0" w:color="auto"/>
        <w:bottom w:val="none" w:sz="0" w:space="0" w:color="auto"/>
        <w:right w:val="none" w:sz="0" w:space="0" w:color="auto"/>
      </w:divBdr>
    </w:div>
    <w:div w:id="488180523">
      <w:bodyDiv w:val="1"/>
      <w:marLeft w:val="0"/>
      <w:marRight w:val="0"/>
      <w:marTop w:val="0"/>
      <w:marBottom w:val="0"/>
      <w:divBdr>
        <w:top w:val="none" w:sz="0" w:space="0" w:color="auto"/>
        <w:left w:val="none" w:sz="0" w:space="0" w:color="auto"/>
        <w:bottom w:val="none" w:sz="0" w:space="0" w:color="auto"/>
        <w:right w:val="none" w:sz="0" w:space="0" w:color="auto"/>
      </w:divBdr>
    </w:div>
    <w:div w:id="491483064">
      <w:bodyDiv w:val="1"/>
      <w:marLeft w:val="0"/>
      <w:marRight w:val="0"/>
      <w:marTop w:val="0"/>
      <w:marBottom w:val="0"/>
      <w:divBdr>
        <w:top w:val="none" w:sz="0" w:space="0" w:color="auto"/>
        <w:left w:val="none" w:sz="0" w:space="0" w:color="auto"/>
        <w:bottom w:val="none" w:sz="0" w:space="0" w:color="auto"/>
        <w:right w:val="none" w:sz="0" w:space="0" w:color="auto"/>
      </w:divBdr>
    </w:div>
    <w:div w:id="495733062">
      <w:bodyDiv w:val="1"/>
      <w:marLeft w:val="0"/>
      <w:marRight w:val="0"/>
      <w:marTop w:val="0"/>
      <w:marBottom w:val="0"/>
      <w:divBdr>
        <w:top w:val="none" w:sz="0" w:space="0" w:color="auto"/>
        <w:left w:val="none" w:sz="0" w:space="0" w:color="auto"/>
        <w:bottom w:val="none" w:sz="0" w:space="0" w:color="auto"/>
        <w:right w:val="none" w:sz="0" w:space="0" w:color="auto"/>
      </w:divBdr>
    </w:div>
    <w:div w:id="506794640">
      <w:bodyDiv w:val="1"/>
      <w:marLeft w:val="0"/>
      <w:marRight w:val="0"/>
      <w:marTop w:val="0"/>
      <w:marBottom w:val="0"/>
      <w:divBdr>
        <w:top w:val="none" w:sz="0" w:space="0" w:color="auto"/>
        <w:left w:val="none" w:sz="0" w:space="0" w:color="auto"/>
        <w:bottom w:val="none" w:sz="0" w:space="0" w:color="auto"/>
        <w:right w:val="none" w:sz="0" w:space="0" w:color="auto"/>
      </w:divBdr>
    </w:div>
    <w:div w:id="510026557">
      <w:bodyDiv w:val="1"/>
      <w:marLeft w:val="0"/>
      <w:marRight w:val="0"/>
      <w:marTop w:val="0"/>
      <w:marBottom w:val="0"/>
      <w:divBdr>
        <w:top w:val="none" w:sz="0" w:space="0" w:color="auto"/>
        <w:left w:val="none" w:sz="0" w:space="0" w:color="auto"/>
        <w:bottom w:val="none" w:sz="0" w:space="0" w:color="auto"/>
        <w:right w:val="none" w:sz="0" w:space="0" w:color="auto"/>
      </w:divBdr>
    </w:div>
    <w:div w:id="515461512">
      <w:bodyDiv w:val="1"/>
      <w:marLeft w:val="0"/>
      <w:marRight w:val="0"/>
      <w:marTop w:val="0"/>
      <w:marBottom w:val="0"/>
      <w:divBdr>
        <w:top w:val="none" w:sz="0" w:space="0" w:color="auto"/>
        <w:left w:val="none" w:sz="0" w:space="0" w:color="auto"/>
        <w:bottom w:val="none" w:sz="0" w:space="0" w:color="auto"/>
        <w:right w:val="none" w:sz="0" w:space="0" w:color="auto"/>
      </w:divBdr>
    </w:div>
    <w:div w:id="518473363">
      <w:bodyDiv w:val="1"/>
      <w:marLeft w:val="0"/>
      <w:marRight w:val="0"/>
      <w:marTop w:val="0"/>
      <w:marBottom w:val="0"/>
      <w:divBdr>
        <w:top w:val="none" w:sz="0" w:space="0" w:color="auto"/>
        <w:left w:val="none" w:sz="0" w:space="0" w:color="auto"/>
        <w:bottom w:val="none" w:sz="0" w:space="0" w:color="auto"/>
        <w:right w:val="none" w:sz="0" w:space="0" w:color="auto"/>
      </w:divBdr>
    </w:div>
    <w:div w:id="521944661">
      <w:bodyDiv w:val="1"/>
      <w:marLeft w:val="0"/>
      <w:marRight w:val="0"/>
      <w:marTop w:val="0"/>
      <w:marBottom w:val="0"/>
      <w:divBdr>
        <w:top w:val="none" w:sz="0" w:space="0" w:color="auto"/>
        <w:left w:val="none" w:sz="0" w:space="0" w:color="auto"/>
        <w:bottom w:val="none" w:sz="0" w:space="0" w:color="auto"/>
        <w:right w:val="none" w:sz="0" w:space="0" w:color="auto"/>
      </w:divBdr>
    </w:div>
    <w:div w:id="537861123">
      <w:bodyDiv w:val="1"/>
      <w:marLeft w:val="0"/>
      <w:marRight w:val="0"/>
      <w:marTop w:val="0"/>
      <w:marBottom w:val="0"/>
      <w:divBdr>
        <w:top w:val="none" w:sz="0" w:space="0" w:color="auto"/>
        <w:left w:val="none" w:sz="0" w:space="0" w:color="auto"/>
        <w:bottom w:val="none" w:sz="0" w:space="0" w:color="auto"/>
        <w:right w:val="none" w:sz="0" w:space="0" w:color="auto"/>
      </w:divBdr>
    </w:div>
    <w:div w:id="544290445">
      <w:bodyDiv w:val="1"/>
      <w:marLeft w:val="0"/>
      <w:marRight w:val="0"/>
      <w:marTop w:val="0"/>
      <w:marBottom w:val="0"/>
      <w:divBdr>
        <w:top w:val="none" w:sz="0" w:space="0" w:color="auto"/>
        <w:left w:val="none" w:sz="0" w:space="0" w:color="auto"/>
        <w:bottom w:val="none" w:sz="0" w:space="0" w:color="auto"/>
        <w:right w:val="none" w:sz="0" w:space="0" w:color="auto"/>
      </w:divBdr>
    </w:div>
    <w:div w:id="547647934">
      <w:bodyDiv w:val="1"/>
      <w:marLeft w:val="0"/>
      <w:marRight w:val="0"/>
      <w:marTop w:val="0"/>
      <w:marBottom w:val="0"/>
      <w:divBdr>
        <w:top w:val="none" w:sz="0" w:space="0" w:color="auto"/>
        <w:left w:val="none" w:sz="0" w:space="0" w:color="auto"/>
        <w:bottom w:val="none" w:sz="0" w:space="0" w:color="auto"/>
        <w:right w:val="none" w:sz="0" w:space="0" w:color="auto"/>
      </w:divBdr>
    </w:div>
    <w:div w:id="569996014">
      <w:bodyDiv w:val="1"/>
      <w:marLeft w:val="0"/>
      <w:marRight w:val="0"/>
      <w:marTop w:val="0"/>
      <w:marBottom w:val="0"/>
      <w:divBdr>
        <w:top w:val="none" w:sz="0" w:space="0" w:color="auto"/>
        <w:left w:val="none" w:sz="0" w:space="0" w:color="auto"/>
        <w:bottom w:val="none" w:sz="0" w:space="0" w:color="auto"/>
        <w:right w:val="none" w:sz="0" w:space="0" w:color="auto"/>
      </w:divBdr>
    </w:div>
    <w:div w:id="570425901">
      <w:bodyDiv w:val="1"/>
      <w:marLeft w:val="0"/>
      <w:marRight w:val="0"/>
      <w:marTop w:val="0"/>
      <w:marBottom w:val="0"/>
      <w:divBdr>
        <w:top w:val="none" w:sz="0" w:space="0" w:color="auto"/>
        <w:left w:val="none" w:sz="0" w:space="0" w:color="auto"/>
        <w:bottom w:val="none" w:sz="0" w:space="0" w:color="auto"/>
        <w:right w:val="none" w:sz="0" w:space="0" w:color="auto"/>
      </w:divBdr>
    </w:div>
    <w:div w:id="574777339">
      <w:bodyDiv w:val="1"/>
      <w:marLeft w:val="0"/>
      <w:marRight w:val="0"/>
      <w:marTop w:val="0"/>
      <w:marBottom w:val="0"/>
      <w:divBdr>
        <w:top w:val="none" w:sz="0" w:space="0" w:color="auto"/>
        <w:left w:val="none" w:sz="0" w:space="0" w:color="auto"/>
        <w:bottom w:val="none" w:sz="0" w:space="0" w:color="auto"/>
        <w:right w:val="none" w:sz="0" w:space="0" w:color="auto"/>
      </w:divBdr>
    </w:div>
    <w:div w:id="575633966">
      <w:bodyDiv w:val="1"/>
      <w:marLeft w:val="0"/>
      <w:marRight w:val="0"/>
      <w:marTop w:val="0"/>
      <w:marBottom w:val="0"/>
      <w:divBdr>
        <w:top w:val="none" w:sz="0" w:space="0" w:color="auto"/>
        <w:left w:val="none" w:sz="0" w:space="0" w:color="auto"/>
        <w:bottom w:val="none" w:sz="0" w:space="0" w:color="auto"/>
        <w:right w:val="none" w:sz="0" w:space="0" w:color="auto"/>
      </w:divBdr>
    </w:div>
    <w:div w:id="580718571">
      <w:bodyDiv w:val="1"/>
      <w:marLeft w:val="0"/>
      <w:marRight w:val="0"/>
      <w:marTop w:val="0"/>
      <w:marBottom w:val="0"/>
      <w:divBdr>
        <w:top w:val="none" w:sz="0" w:space="0" w:color="auto"/>
        <w:left w:val="none" w:sz="0" w:space="0" w:color="auto"/>
        <w:bottom w:val="none" w:sz="0" w:space="0" w:color="auto"/>
        <w:right w:val="none" w:sz="0" w:space="0" w:color="auto"/>
      </w:divBdr>
    </w:div>
    <w:div w:id="592982099">
      <w:bodyDiv w:val="1"/>
      <w:marLeft w:val="0"/>
      <w:marRight w:val="0"/>
      <w:marTop w:val="0"/>
      <w:marBottom w:val="0"/>
      <w:divBdr>
        <w:top w:val="none" w:sz="0" w:space="0" w:color="auto"/>
        <w:left w:val="none" w:sz="0" w:space="0" w:color="auto"/>
        <w:bottom w:val="none" w:sz="0" w:space="0" w:color="auto"/>
        <w:right w:val="none" w:sz="0" w:space="0" w:color="auto"/>
      </w:divBdr>
    </w:div>
    <w:div w:id="598174044">
      <w:bodyDiv w:val="1"/>
      <w:marLeft w:val="0"/>
      <w:marRight w:val="0"/>
      <w:marTop w:val="0"/>
      <w:marBottom w:val="0"/>
      <w:divBdr>
        <w:top w:val="none" w:sz="0" w:space="0" w:color="auto"/>
        <w:left w:val="none" w:sz="0" w:space="0" w:color="auto"/>
        <w:bottom w:val="none" w:sz="0" w:space="0" w:color="auto"/>
        <w:right w:val="none" w:sz="0" w:space="0" w:color="auto"/>
      </w:divBdr>
    </w:div>
    <w:div w:id="599336513">
      <w:bodyDiv w:val="1"/>
      <w:marLeft w:val="0"/>
      <w:marRight w:val="0"/>
      <w:marTop w:val="0"/>
      <w:marBottom w:val="0"/>
      <w:divBdr>
        <w:top w:val="none" w:sz="0" w:space="0" w:color="auto"/>
        <w:left w:val="none" w:sz="0" w:space="0" w:color="auto"/>
        <w:bottom w:val="none" w:sz="0" w:space="0" w:color="auto"/>
        <w:right w:val="none" w:sz="0" w:space="0" w:color="auto"/>
      </w:divBdr>
    </w:div>
    <w:div w:id="599407811">
      <w:bodyDiv w:val="1"/>
      <w:marLeft w:val="0"/>
      <w:marRight w:val="0"/>
      <w:marTop w:val="0"/>
      <w:marBottom w:val="0"/>
      <w:divBdr>
        <w:top w:val="none" w:sz="0" w:space="0" w:color="auto"/>
        <w:left w:val="none" w:sz="0" w:space="0" w:color="auto"/>
        <w:bottom w:val="none" w:sz="0" w:space="0" w:color="auto"/>
        <w:right w:val="none" w:sz="0" w:space="0" w:color="auto"/>
      </w:divBdr>
      <w:divsChild>
        <w:div w:id="2023241956">
          <w:marLeft w:val="446"/>
          <w:marRight w:val="0"/>
          <w:marTop w:val="0"/>
          <w:marBottom w:val="0"/>
          <w:divBdr>
            <w:top w:val="none" w:sz="0" w:space="0" w:color="auto"/>
            <w:left w:val="none" w:sz="0" w:space="0" w:color="auto"/>
            <w:bottom w:val="none" w:sz="0" w:space="0" w:color="auto"/>
            <w:right w:val="none" w:sz="0" w:space="0" w:color="auto"/>
          </w:divBdr>
        </w:div>
        <w:div w:id="1136098531">
          <w:marLeft w:val="446"/>
          <w:marRight w:val="0"/>
          <w:marTop w:val="0"/>
          <w:marBottom w:val="0"/>
          <w:divBdr>
            <w:top w:val="none" w:sz="0" w:space="0" w:color="auto"/>
            <w:left w:val="none" w:sz="0" w:space="0" w:color="auto"/>
            <w:bottom w:val="none" w:sz="0" w:space="0" w:color="auto"/>
            <w:right w:val="none" w:sz="0" w:space="0" w:color="auto"/>
          </w:divBdr>
        </w:div>
        <w:div w:id="147744259">
          <w:marLeft w:val="446"/>
          <w:marRight w:val="0"/>
          <w:marTop w:val="0"/>
          <w:marBottom w:val="0"/>
          <w:divBdr>
            <w:top w:val="none" w:sz="0" w:space="0" w:color="auto"/>
            <w:left w:val="none" w:sz="0" w:space="0" w:color="auto"/>
            <w:bottom w:val="none" w:sz="0" w:space="0" w:color="auto"/>
            <w:right w:val="none" w:sz="0" w:space="0" w:color="auto"/>
          </w:divBdr>
        </w:div>
      </w:divsChild>
    </w:div>
    <w:div w:id="616330309">
      <w:bodyDiv w:val="1"/>
      <w:marLeft w:val="0"/>
      <w:marRight w:val="0"/>
      <w:marTop w:val="0"/>
      <w:marBottom w:val="0"/>
      <w:divBdr>
        <w:top w:val="none" w:sz="0" w:space="0" w:color="auto"/>
        <w:left w:val="none" w:sz="0" w:space="0" w:color="auto"/>
        <w:bottom w:val="none" w:sz="0" w:space="0" w:color="auto"/>
        <w:right w:val="none" w:sz="0" w:space="0" w:color="auto"/>
      </w:divBdr>
    </w:div>
    <w:div w:id="617025381">
      <w:bodyDiv w:val="1"/>
      <w:marLeft w:val="0"/>
      <w:marRight w:val="0"/>
      <w:marTop w:val="0"/>
      <w:marBottom w:val="0"/>
      <w:divBdr>
        <w:top w:val="none" w:sz="0" w:space="0" w:color="auto"/>
        <w:left w:val="none" w:sz="0" w:space="0" w:color="auto"/>
        <w:bottom w:val="none" w:sz="0" w:space="0" w:color="auto"/>
        <w:right w:val="none" w:sz="0" w:space="0" w:color="auto"/>
      </w:divBdr>
    </w:div>
    <w:div w:id="636422340">
      <w:bodyDiv w:val="1"/>
      <w:marLeft w:val="0"/>
      <w:marRight w:val="0"/>
      <w:marTop w:val="0"/>
      <w:marBottom w:val="0"/>
      <w:divBdr>
        <w:top w:val="none" w:sz="0" w:space="0" w:color="auto"/>
        <w:left w:val="none" w:sz="0" w:space="0" w:color="auto"/>
        <w:bottom w:val="none" w:sz="0" w:space="0" w:color="auto"/>
        <w:right w:val="none" w:sz="0" w:space="0" w:color="auto"/>
      </w:divBdr>
    </w:div>
    <w:div w:id="652411549">
      <w:bodyDiv w:val="1"/>
      <w:marLeft w:val="0"/>
      <w:marRight w:val="0"/>
      <w:marTop w:val="0"/>
      <w:marBottom w:val="0"/>
      <w:divBdr>
        <w:top w:val="none" w:sz="0" w:space="0" w:color="auto"/>
        <w:left w:val="none" w:sz="0" w:space="0" w:color="auto"/>
        <w:bottom w:val="none" w:sz="0" w:space="0" w:color="auto"/>
        <w:right w:val="none" w:sz="0" w:space="0" w:color="auto"/>
      </w:divBdr>
    </w:div>
    <w:div w:id="665519363">
      <w:bodyDiv w:val="1"/>
      <w:marLeft w:val="0"/>
      <w:marRight w:val="0"/>
      <w:marTop w:val="0"/>
      <w:marBottom w:val="0"/>
      <w:divBdr>
        <w:top w:val="none" w:sz="0" w:space="0" w:color="auto"/>
        <w:left w:val="none" w:sz="0" w:space="0" w:color="auto"/>
        <w:bottom w:val="none" w:sz="0" w:space="0" w:color="auto"/>
        <w:right w:val="none" w:sz="0" w:space="0" w:color="auto"/>
      </w:divBdr>
    </w:div>
    <w:div w:id="671493001">
      <w:bodyDiv w:val="1"/>
      <w:marLeft w:val="0"/>
      <w:marRight w:val="0"/>
      <w:marTop w:val="0"/>
      <w:marBottom w:val="0"/>
      <w:divBdr>
        <w:top w:val="none" w:sz="0" w:space="0" w:color="auto"/>
        <w:left w:val="none" w:sz="0" w:space="0" w:color="auto"/>
        <w:bottom w:val="none" w:sz="0" w:space="0" w:color="auto"/>
        <w:right w:val="none" w:sz="0" w:space="0" w:color="auto"/>
      </w:divBdr>
    </w:div>
    <w:div w:id="673849143">
      <w:bodyDiv w:val="1"/>
      <w:marLeft w:val="0"/>
      <w:marRight w:val="0"/>
      <w:marTop w:val="0"/>
      <w:marBottom w:val="0"/>
      <w:divBdr>
        <w:top w:val="none" w:sz="0" w:space="0" w:color="auto"/>
        <w:left w:val="none" w:sz="0" w:space="0" w:color="auto"/>
        <w:bottom w:val="none" w:sz="0" w:space="0" w:color="auto"/>
        <w:right w:val="none" w:sz="0" w:space="0" w:color="auto"/>
      </w:divBdr>
    </w:div>
    <w:div w:id="686951751">
      <w:bodyDiv w:val="1"/>
      <w:marLeft w:val="0"/>
      <w:marRight w:val="0"/>
      <w:marTop w:val="0"/>
      <w:marBottom w:val="0"/>
      <w:divBdr>
        <w:top w:val="none" w:sz="0" w:space="0" w:color="auto"/>
        <w:left w:val="none" w:sz="0" w:space="0" w:color="auto"/>
        <w:bottom w:val="none" w:sz="0" w:space="0" w:color="auto"/>
        <w:right w:val="none" w:sz="0" w:space="0" w:color="auto"/>
      </w:divBdr>
    </w:div>
    <w:div w:id="691147804">
      <w:bodyDiv w:val="1"/>
      <w:marLeft w:val="0"/>
      <w:marRight w:val="0"/>
      <w:marTop w:val="0"/>
      <w:marBottom w:val="0"/>
      <w:divBdr>
        <w:top w:val="none" w:sz="0" w:space="0" w:color="auto"/>
        <w:left w:val="none" w:sz="0" w:space="0" w:color="auto"/>
        <w:bottom w:val="none" w:sz="0" w:space="0" w:color="auto"/>
        <w:right w:val="none" w:sz="0" w:space="0" w:color="auto"/>
      </w:divBdr>
    </w:div>
    <w:div w:id="693580424">
      <w:bodyDiv w:val="1"/>
      <w:marLeft w:val="0"/>
      <w:marRight w:val="0"/>
      <w:marTop w:val="0"/>
      <w:marBottom w:val="0"/>
      <w:divBdr>
        <w:top w:val="none" w:sz="0" w:space="0" w:color="auto"/>
        <w:left w:val="none" w:sz="0" w:space="0" w:color="auto"/>
        <w:bottom w:val="none" w:sz="0" w:space="0" w:color="auto"/>
        <w:right w:val="none" w:sz="0" w:space="0" w:color="auto"/>
      </w:divBdr>
    </w:div>
    <w:div w:id="695694321">
      <w:bodyDiv w:val="1"/>
      <w:marLeft w:val="0"/>
      <w:marRight w:val="0"/>
      <w:marTop w:val="0"/>
      <w:marBottom w:val="0"/>
      <w:divBdr>
        <w:top w:val="none" w:sz="0" w:space="0" w:color="auto"/>
        <w:left w:val="none" w:sz="0" w:space="0" w:color="auto"/>
        <w:bottom w:val="none" w:sz="0" w:space="0" w:color="auto"/>
        <w:right w:val="none" w:sz="0" w:space="0" w:color="auto"/>
      </w:divBdr>
    </w:div>
    <w:div w:id="699671652">
      <w:bodyDiv w:val="1"/>
      <w:marLeft w:val="0"/>
      <w:marRight w:val="0"/>
      <w:marTop w:val="0"/>
      <w:marBottom w:val="0"/>
      <w:divBdr>
        <w:top w:val="none" w:sz="0" w:space="0" w:color="auto"/>
        <w:left w:val="none" w:sz="0" w:space="0" w:color="auto"/>
        <w:bottom w:val="none" w:sz="0" w:space="0" w:color="auto"/>
        <w:right w:val="none" w:sz="0" w:space="0" w:color="auto"/>
      </w:divBdr>
    </w:div>
    <w:div w:id="712195149">
      <w:bodyDiv w:val="1"/>
      <w:marLeft w:val="0"/>
      <w:marRight w:val="0"/>
      <w:marTop w:val="0"/>
      <w:marBottom w:val="0"/>
      <w:divBdr>
        <w:top w:val="none" w:sz="0" w:space="0" w:color="auto"/>
        <w:left w:val="none" w:sz="0" w:space="0" w:color="auto"/>
        <w:bottom w:val="none" w:sz="0" w:space="0" w:color="auto"/>
        <w:right w:val="none" w:sz="0" w:space="0" w:color="auto"/>
      </w:divBdr>
    </w:div>
    <w:div w:id="724065377">
      <w:bodyDiv w:val="1"/>
      <w:marLeft w:val="0"/>
      <w:marRight w:val="0"/>
      <w:marTop w:val="0"/>
      <w:marBottom w:val="0"/>
      <w:divBdr>
        <w:top w:val="none" w:sz="0" w:space="0" w:color="auto"/>
        <w:left w:val="none" w:sz="0" w:space="0" w:color="auto"/>
        <w:bottom w:val="none" w:sz="0" w:space="0" w:color="auto"/>
        <w:right w:val="none" w:sz="0" w:space="0" w:color="auto"/>
      </w:divBdr>
    </w:div>
    <w:div w:id="736634317">
      <w:bodyDiv w:val="1"/>
      <w:marLeft w:val="0"/>
      <w:marRight w:val="0"/>
      <w:marTop w:val="0"/>
      <w:marBottom w:val="0"/>
      <w:divBdr>
        <w:top w:val="none" w:sz="0" w:space="0" w:color="auto"/>
        <w:left w:val="none" w:sz="0" w:space="0" w:color="auto"/>
        <w:bottom w:val="none" w:sz="0" w:space="0" w:color="auto"/>
        <w:right w:val="none" w:sz="0" w:space="0" w:color="auto"/>
      </w:divBdr>
    </w:div>
    <w:div w:id="737944435">
      <w:bodyDiv w:val="1"/>
      <w:marLeft w:val="0"/>
      <w:marRight w:val="0"/>
      <w:marTop w:val="0"/>
      <w:marBottom w:val="0"/>
      <w:divBdr>
        <w:top w:val="none" w:sz="0" w:space="0" w:color="auto"/>
        <w:left w:val="none" w:sz="0" w:space="0" w:color="auto"/>
        <w:bottom w:val="none" w:sz="0" w:space="0" w:color="auto"/>
        <w:right w:val="none" w:sz="0" w:space="0" w:color="auto"/>
      </w:divBdr>
    </w:div>
    <w:div w:id="738599653">
      <w:bodyDiv w:val="1"/>
      <w:marLeft w:val="0"/>
      <w:marRight w:val="0"/>
      <w:marTop w:val="0"/>
      <w:marBottom w:val="0"/>
      <w:divBdr>
        <w:top w:val="none" w:sz="0" w:space="0" w:color="auto"/>
        <w:left w:val="none" w:sz="0" w:space="0" w:color="auto"/>
        <w:bottom w:val="none" w:sz="0" w:space="0" w:color="auto"/>
        <w:right w:val="none" w:sz="0" w:space="0" w:color="auto"/>
      </w:divBdr>
    </w:div>
    <w:div w:id="753892489">
      <w:bodyDiv w:val="1"/>
      <w:marLeft w:val="0"/>
      <w:marRight w:val="0"/>
      <w:marTop w:val="0"/>
      <w:marBottom w:val="0"/>
      <w:divBdr>
        <w:top w:val="none" w:sz="0" w:space="0" w:color="auto"/>
        <w:left w:val="none" w:sz="0" w:space="0" w:color="auto"/>
        <w:bottom w:val="none" w:sz="0" w:space="0" w:color="auto"/>
        <w:right w:val="none" w:sz="0" w:space="0" w:color="auto"/>
      </w:divBdr>
    </w:div>
    <w:div w:id="771752364">
      <w:bodyDiv w:val="1"/>
      <w:marLeft w:val="0"/>
      <w:marRight w:val="0"/>
      <w:marTop w:val="0"/>
      <w:marBottom w:val="0"/>
      <w:divBdr>
        <w:top w:val="none" w:sz="0" w:space="0" w:color="auto"/>
        <w:left w:val="none" w:sz="0" w:space="0" w:color="auto"/>
        <w:bottom w:val="none" w:sz="0" w:space="0" w:color="auto"/>
        <w:right w:val="none" w:sz="0" w:space="0" w:color="auto"/>
      </w:divBdr>
    </w:div>
    <w:div w:id="805515719">
      <w:bodyDiv w:val="1"/>
      <w:marLeft w:val="0"/>
      <w:marRight w:val="0"/>
      <w:marTop w:val="0"/>
      <w:marBottom w:val="0"/>
      <w:divBdr>
        <w:top w:val="none" w:sz="0" w:space="0" w:color="auto"/>
        <w:left w:val="none" w:sz="0" w:space="0" w:color="auto"/>
        <w:bottom w:val="none" w:sz="0" w:space="0" w:color="auto"/>
        <w:right w:val="none" w:sz="0" w:space="0" w:color="auto"/>
      </w:divBdr>
    </w:div>
    <w:div w:id="819885951">
      <w:bodyDiv w:val="1"/>
      <w:marLeft w:val="0"/>
      <w:marRight w:val="0"/>
      <w:marTop w:val="0"/>
      <w:marBottom w:val="0"/>
      <w:divBdr>
        <w:top w:val="none" w:sz="0" w:space="0" w:color="auto"/>
        <w:left w:val="none" w:sz="0" w:space="0" w:color="auto"/>
        <w:bottom w:val="none" w:sz="0" w:space="0" w:color="auto"/>
        <w:right w:val="none" w:sz="0" w:space="0" w:color="auto"/>
      </w:divBdr>
    </w:div>
    <w:div w:id="835878565">
      <w:bodyDiv w:val="1"/>
      <w:marLeft w:val="0"/>
      <w:marRight w:val="0"/>
      <w:marTop w:val="0"/>
      <w:marBottom w:val="0"/>
      <w:divBdr>
        <w:top w:val="none" w:sz="0" w:space="0" w:color="auto"/>
        <w:left w:val="none" w:sz="0" w:space="0" w:color="auto"/>
        <w:bottom w:val="none" w:sz="0" w:space="0" w:color="auto"/>
        <w:right w:val="none" w:sz="0" w:space="0" w:color="auto"/>
      </w:divBdr>
    </w:div>
    <w:div w:id="855660023">
      <w:bodyDiv w:val="1"/>
      <w:marLeft w:val="0"/>
      <w:marRight w:val="0"/>
      <w:marTop w:val="0"/>
      <w:marBottom w:val="0"/>
      <w:divBdr>
        <w:top w:val="none" w:sz="0" w:space="0" w:color="auto"/>
        <w:left w:val="none" w:sz="0" w:space="0" w:color="auto"/>
        <w:bottom w:val="none" w:sz="0" w:space="0" w:color="auto"/>
        <w:right w:val="none" w:sz="0" w:space="0" w:color="auto"/>
      </w:divBdr>
    </w:div>
    <w:div w:id="858658453">
      <w:bodyDiv w:val="1"/>
      <w:marLeft w:val="0"/>
      <w:marRight w:val="0"/>
      <w:marTop w:val="0"/>
      <w:marBottom w:val="0"/>
      <w:divBdr>
        <w:top w:val="none" w:sz="0" w:space="0" w:color="auto"/>
        <w:left w:val="none" w:sz="0" w:space="0" w:color="auto"/>
        <w:bottom w:val="none" w:sz="0" w:space="0" w:color="auto"/>
        <w:right w:val="none" w:sz="0" w:space="0" w:color="auto"/>
      </w:divBdr>
    </w:div>
    <w:div w:id="879978519">
      <w:bodyDiv w:val="1"/>
      <w:marLeft w:val="0"/>
      <w:marRight w:val="0"/>
      <w:marTop w:val="0"/>
      <w:marBottom w:val="0"/>
      <w:divBdr>
        <w:top w:val="none" w:sz="0" w:space="0" w:color="auto"/>
        <w:left w:val="none" w:sz="0" w:space="0" w:color="auto"/>
        <w:bottom w:val="none" w:sz="0" w:space="0" w:color="auto"/>
        <w:right w:val="none" w:sz="0" w:space="0" w:color="auto"/>
      </w:divBdr>
    </w:div>
    <w:div w:id="884372305">
      <w:bodyDiv w:val="1"/>
      <w:marLeft w:val="0"/>
      <w:marRight w:val="0"/>
      <w:marTop w:val="0"/>
      <w:marBottom w:val="0"/>
      <w:divBdr>
        <w:top w:val="none" w:sz="0" w:space="0" w:color="auto"/>
        <w:left w:val="none" w:sz="0" w:space="0" w:color="auto"/>
        <w:bottom w:val="none" w:sz="0" w:space="0" w:color="auto"/>
        <w:right w:val="none" w:sz="0" w:space="0" w:color="auto"/>
      </w:divBdr>
    </w:div>
    <w:div w:id="904144739">
      <w:bodyDiv w:val="1"/>
      <w:marLeft w:val="0"/>
      <w:marRight w:val="0"/>
      <w:marTop w:val="0"/>
      <w:marBottom w:val="0"/>
      <w:divBdr>
        <w:top w:val="none" w:sz="0" w:space="0" w:color="auto"/>
        <w:left w:val="none" w:sz="0" w:space="0" w:color="auto"/>
        <w:bottom w:val="none" w:sz="0" w:space="0" w:color="auto"/>
        <w:right w:val="none" w:sz="0" w:space="0" w:color="auto"/>
      </w:divBdr>
    </w:div>
    <w:div w:id="912854370">
      <w:bodyDiv w:val="1"/>
      <w:marLeft w:val="0"/>
      <w:marRight w:val="0"/>
      <w:marTop w:val="0"/>
      <w:marBottom w:val="0"/>
      <w:divBdr>
        <w:top w:val="none" w:sz="0" w:space="0" w:color="auto"/>
        <w:left w:val="none" w:sz="0" w:space="0" w:color="auto"/>
        <w:bottom w:val="none" w:sz="0" w:space="0" w:color="auto"/>
        <w:right w:val="none" w:sz="0" w:space="0" w:color="auto"/>
      </w:divBdr>
    </w:div>
    <w:div w:id="923801805">
      <w:bodyDiv w:val="1"/>
      <w:marLeft w:val="0"/>
      <w:marRight w:val="0"/>
      <w:marTop w:val="0"/>
      <w:marBottom w:val="0"/>
      <w:divBdr>
        <w:top w:val="none" w:sz="0" w:space="0" w:color="auto"/>
        <w:left w:val="none" w:sz="0" w:space="0" w:color="auto"/>
        <w:bottom w:val="none" w:sz="0" w:space="0" w:color="auto"/>
        <w:right w:val="none" w:sz="0" w:space="0" w:color="auto"/>
      </w:divBdr>
    </w:div>
    <w:div w:id="925260071">
      <w:bodyDiv w:val="1"/>
      <w:marLeft w:val="0"/>
      <w:marRight w:val="0"/>
      <w:marTop w:val="0"/>
      <w:marBottom w:val="0"/>
      <w:divBdr>
        <w:top w:val="none" w:sz="0" w:space="0" w:color="auto"/>
        <w:left w:val="none" w:sz="0" w:space="0" w:color="auto"/>
        <w:bottom w:val="none" w:sz="0" w:space="0" w:color="auto"/>
        <w:right w:val="none" w:sz="0" w:space="0" w:color="auto"/>
      </w:divBdr>
    </w:div>
    <w:div w:id="946041456">
      <w:bodyDiv w:val="1"/>
      <w:marLeft w:val="0"/>
      <w:marRight w:val="0"/>
      <w:marTop w:val="0"/>
      <w:marBottom w:val="0"/>
      <w:divBdr>
        <w:top w:val="none" w:sz="0" w:space="0" w:color="auto"/>
        <w:left w:val="none" w:sz="0" w:space="0" w:color="auto"/>
        <w:bottom w:val="none" w:sz="0" w:space="0" w:color="auto"/>
        <w:right w:val="none" w:sz="0" w:space="0" w:color="auto"/>
      </w:divBdr>
    </w:div>
    <w:div w:id="950665513">
      <w:bodyDiv w:val="1"/>
      <w:marLeft w:val="0"/>
      <w:marRight w:val="0"/>
      <w:marTop w:val="0"/>
      <w:marBottom w:val="0"/>
      <w:divBdr>
        <w:top w:val="none" w:sz="0" w:space="0" w:color="auto"/>
        <w:left w:val="none" w:sz="0" w:space="0" w:color="auto"/>
        <w:bottom w:val="none" w:sz="0" w:space="0" w:color="auto"/>
        <w:right w:val="none" w:sz="0" w:space="0" w:color="auto"/>
      </w:divBdr>
    </w:div>
    <w:div w:id="952245782">
      <w:bodyDiv w:val="1"/>
      <w:marLeft w:val="0"/>
      <w:marRight w:val="0"/>
      <w:marTop w:val="0"/>
      <w:marBottom w:val="0"/>
      <w:divBdr>
        <w:top w:val="none" w:sz="0" w:space="0" w:color="auto"/>
        <w:left w:val="none" w:sz="0" w:space="0" w:color="auto"/>
        <w:bottom w:val="none" w:sz="0" w:space="0" w:color="auto"/>
        <w:right w:val="none" w:sz="0" w:space="0" w:color="auto"/>
      </w:divBdr>
    </w:div>
    <w:div w:id="989600528">
      <w:bodyDiv w:val="1"/>
      <w:marLeft w:val="0"/>
      <w:marRight w:val="0"/>
      <w:marTop w:val="0"/>
      <w:marBottom w:val="0"/>
      <w:divBdr>
        <w:top w:val="none" w:sz="0" w:space="0" w:color="auto"/>
        <w:left w:val="none" w:sz="0" w:space="0" w:color="auto"/>
        <w:bottom w:val="none" w:sz="0" w:space="0" w:color="auto"/>
        <w:right w:val="none" w:sz="0" w:space="0" w:color="auto"/>
      </w:divBdr>
    </w:div>
    <w:div w:id="997927593">
      <w:bodyDiv w:val="1"/>
      <w:marLeft w:val="0"/>
      <w:marRight w:val="0"/>
      <w:marTop w:val="0"/>
      <w:marBottom w:val="0"/>
      <w:divBdr>
        <w:top w:val="none" w:sz="0" w:space="0" w:color="auto"/>
        <w:left w:val="none" w:sz="0" w:space="0" w:color="auto"/>
        <w:bottom w:val="none" w:sz="0" w:space="0" w:color="auto"/>
        <w:right w:val="none" w:sz="0" w:space="0" w:color="auto"/>
      </w:divBdr>
    </w:div>
    <w:div w:id="1002657985">
      <w:bodyDiv w:val="1"/>
      <w:marLeft w:val="0"/>
      <w:marRight w:val="0"/>
      <w:marTop w:val="0"/>
      <w:marBottom w:val="0"/>
      <w:divBdr>
        <w:top w:val="none" w:sz="0" w:space="0" w:color="auto"/>
        <w:left w:val="none" w:sz="0" w:space="0" w:color="auto"/>
        <w:bottom w:val="none" w:sz="0" w:space="0" w:color="auto"/>
        <w:right w:val="none" w:sz="0" w:space="0" w:color="auto"/>
      </w:divBdr>
    </w:div>
    <w:div w:id="1005203312">
      <w:bodyDiv w:val="1"/>
      <w:marLeft w:val="0"/>
      <w:marRight w:val="0"/>
      <w:marTop w:val="0"/>
      <w:marBottom w:val="0"/>
      <w:divBdr>
        <w:top w:val="none" w:sz="0" w:space="0" w:color="auto"/>
        <w:left w:val="none" w:sz="0" w:space="0" w:color="auto"/>
        <w:bottom w:val="none" w:sz="0" w:space="0" w:color="auto"/>
        <w:right w:val="none" w:sz="0" w:space="0" w:color="auto"/>
      </w:divBdr>
    </w:div>
    <w:div w:id="1012608657">
      <w:bodyDiv w:val="1"/>
      <w:marLeft w:val="0"/>
      <w:marRight w:val="0"/>
      <w:marTop w:val="0"/>
      <w:marBottom w:val="0"/>
      <w:divBdr>
        <w:top w:val="none" w:sz="0" w:space="0" w:color="auto"/>
        <w:left w:val="none" w:sz="0" w:space="0" w:color="auto"/>
        <w:bottom w:val="none" w:sz="0" w:space="0" w:color="auto"/>
        <w:right w:val="none" w:sz="0" w:space="0" w:color="auto"/>
      </w:divBdr>
    </w:div>
    <w:div w:id="1054621660">
      <w:bodyDiv w:val="1"/>
      <w:marLeft w:val="0"/>
      <w:marRight w:val="0"/>
      <w:marTop w:val="0"/>
      <w:marBottom w:val="0"/>
      <w:divBdr>
        <w:top w:val="none" w:sz="0" w:space="0" w:color="auto"/>
        <w:left w:val="none" w:sz="0" w:space="0" w:color="auto"/>
        <w:bottom w:val="none" w:sz="0" w:space="0" w:color="auto"/>
        <w:right w:val="none" w:sz="0" w:space="0" w:color="auto"/>
      </w:divBdr>
    </w:div>
    <w:div w:id="1067726201">
      <w:bodyDiv w:val="1"/>
      <w:marLeft w:val="0"/>
      <w:marRight w:val="0"/>
      <w:marTop w:val="0"/>
      <w:marBottom w:val="0"/>
      <w:divBdr>
        <w:top w:val="none" w:sz="0" w:space="0" w:color="auto"/>
        <w:left w:val="none" w:sz="0" w:space="0" w:color="auto"/>
        <w:bottom w:val="none" w:sz="0" w:space="0" w:color="auto"/>
        <w:right w:val="none" w:sz="0" w:space="0" w:color="auto"/>
      </w:divBdr>
    </w:div>
    <w:div w:id="1069617689">
      <w:bodyDiv w:val="1"/>
      <w:marLeft w:val="0"/>
      <w:marRight w:val="0"/>
      <w:marTop w:val="0"/>
      <w:marBottom w:val="0"/>
      <w:divBdr>
        <w:top w:val="none" w:sz="0" w:space="0" w:color="auto"/>
        <w:left w:val="none" w:sz="0" w:space="0" w:color="auto"/>
        <w:bottom w:val="none" w:sz="0" w:space="0" w:color="auto"/>
        <w:right w:val="none" w:sz="0" w:space="0" w:color="auto"/>
      </w:divBdr>
    </w:div>
    <w:div w:id="1075590010">
      <w:bodyDiv w:val="1"/>
      <w:marLeft w:val="0"/>
      <w:marRight w:val="0"/>
      <w:marTop w:val="0"/>
      <w:marBottom w:val="0"/>
      <w:divBdr>
        <w:top w:val="none" w:sz="0" w:space="0" w:color="auto"/>
        <w:left w:val="none" w:sz="0" w:space="0" w:color="auto"/>
        <w:bottom w:val="none" w:sz="0" w:space="0" w:color="auto"/>
        <w:right w:val="none" w:sz="0" w:space="0" w:color="auto"/>
      </w:divBdr>
    </w:div>
    <w:div w:id="1109931696">
      <w:bodyDiv w:val="1"/>
      <w:marLeft w:val="0"/>
      <w:marRight w:val="0"/>
      <w:marTop w:val="0"/>
      <w:marBottom w:val="0"/>
      <w:divBdr>
        <w:top w:val="none" w:sz="0" w:space="0" w:color="auto"/>
        <w:left w:val="none" w:sz="0" w:space="0" w:color="auto"/>
        <w:bottom w:val="none" w:sz="0" w:space="0" w:color="auto"/>
        <w:right w:val="none" w:sz="0" w:space="0" w:color="auto"/>
      </w:divBdr>
    </w:div>
    <w:div w:id="1115251743">
      <w:bodyDiv w:val="1"/>
      <w:marLeft w:val="0"/>
      <w:marRight w:val="0"/>
      <w:marTop w:val="0"/>
      <w:marBottom w:val="0"/>
      <w:divBdr>
        <w:top w:val="none" w:sz="0" w:space="0" w:color="auto"/>
        <w:left w:val="none" w:sz="0" w:space="0" w:color="auto"/>
        <w:bottom w:val="none" w:sz="0" w:space="0" w:color="auto"/>
        <w:right w:val="none" w:sz="0" w:space="0" w:color="auto"/>
      </w:divBdr>
    </w:div>
    <w:div w:id="1125077512">
      <w:bodyDiv w:val="1"/>
      <w:marLeft w:val="0"/>
      <w:marRight w:val="0"/>
      <w:marTop w:val="0"/>
      <w:marBottom w:val="0"/>
      <w:divBdr>
        <w:top w:val="none" w:sz="0" w:space="0" w:color="auto"/>
        <w:left w:val="none" w:sz="0" w:space="0" w:color="auto"/>
        <w:bottom w:val="none" w:sz="0" w:space="0" w:color="auto"/>
        <w:right w:val="none" w:sz="0" w:space="0" w:color="auto"/>
      </w:divBdr>
    </w:div>
    <w:div w:id="1127577546">
      <w:bodyDiv w:val="1"/>
      <w:marLeft w:val="0"/>
      <w:marRight w:val="0"/>
      <w:marTop w:val="0"/>
      <w:marBottom w:val="0"/>
      <w:divBdr>
        <w:top w:val="none" w:sz="0" w:space="0" w:color="auto"/>
        <w:left w:val="none" w:sz="0" w:space="0" w:color="auto"/>
        <w:bottom w:val="none" w:sz="0" w:space="0" w:color="auto"/>
        <w:right w:val="none" w:sz="0" w:space="0" w:color="auto"/>
      </w:divBdr>
    </w:div>
    <w:div w:id="1130635139">
      <w:bodyDiv w:val="1"/>
      <w:marLeft w:val="0"/>
      <w:marRight w:val="0"/>
      <w:marTop w:val="0"/>
      <w:marBottom w:val="0"/>
      <w:divBdr>
        <w:top w:val="none" w:sz="0" w:space="0" w:color="auto"/>
        <w:left w:val="none" w:sz="0" w:space="0" w:color="auto"/>
        <w:bottom w:val="none" w:sz="0" w:space="0" w:color="auto"/>
        <w:right w:val="none" w:sz="0" w:space="0" w:color="auto"/>
      </w:divBdr>
    </w:div>
    <w:div w:id="1141652290">
      <w:bodyDiv w:val="1"/>
      <w:marLeft w:val="0"/>
      <w:marRight w:val="0"/>
      <w:marTop w:val="0"/>
      <w:marBottom w:val="0"/>
      <w:divBdr>
        <w:top w:val="none" w:sz="0" w:space="0" w:color="auto"/>
        <w:left w:val="none" w:sz="0" w:space="0" w:color="auto"/>
        <w:bottom w:val="none" w:sz="0" w:space="0" w:color="auto"/>
        <w:right w:val="none" w:sz="0" w:space="0" w:color="auto"/>
      </w:divBdr>
    </w:div>
    <w:div w:id="1149201837">
      <w:bodyDiv w:val="1"/>
      <w:marLeft w:val="0"/>
      <w:marRight w:val="0"/>
      <w:marTop w:val="0"/>
      <w:marBottom w:val="0"/>
      <w:divBdr>
        <w:top w:val="none" w:sz="0" w:space="0" w:color="auto"/>
        <w:left w:val="none" w:sz="0" w:space="0" w:color="auto"/>
        <w:bottom w:val="none" w:sz="0" w:space="0" w:color="auto"/>
        <w:right w:val="none" w:sz="0" w:space="0" w:color="auto"/>
      </w:divBdr>
    </w:div>
    <w:div w:id="1161044520">
      <w:bodyDiv w:val="1"/>
      <w:marLeft w:val="0"/>
      <w:marRight w:val="0"/>
      <w:marTop w:val="0"/>
      <w:marBottom w:val="0"/>
      <w:divBdr>
        <w:top w:val="none" w:sz="0" w:space="0" w:color="auto"/>
        <w:left w:val="none" w:sz="0" w:space="0" w:color="auto"/>
        <w:bottom w:val="none" w:sz="0" w:space="0" w:color="auto"/>
        <w:right w:val="none" w:sz="0" w:space="0" w:color="auto"/>
      </w:divBdr>
    </w:div>
    <w:div w:id="1176381053">
      <w:bodyDiv w:val="1"/>
      <w:marLeft w:val="0"/>
      <w:marRight w:val="0"/>
      <w:marTop w:val="0"/>
      <w:marBottom w:val="0"/>
      <w:divBdr>
        <w:top w:val="none" w:sz="0" w:space="0" w:color="auto"/>
        <w:left w:val="none" w:sz="0" w:space="0" w:color="auto"/>
        <w:bottom w:val="none" w:sz="0" w:space="0" w:color="auto"/>
        <w:right w:val="none" w:sz="0" w:space="0" w:color="auto"/>
      </w:divBdr>
    </w:div>
    <w:div w:id="1184517428">
      <w:bodyDiv w:val="1"/>
      <w:marLeft w:val="0"/>
      <w:marRight w:val="0"/>
      <w:marTop w:val="0"/>
      <w:marBottom w:val="0"/>
      <w:divBdr>
        <w:top w:val="none" w:sz="0" w:space="0" w:color="auto"/>
        <w:left w:val="none" w:sz="0" w:space="0" w:color="auto"/>
        <w:bottom w:val="none" w:sz="0" w:space="0" w:color="auto"/>
        <w:right w:val="none" w:sz="0" w:space="0" w:color="auto"/>
      </w:divBdr>
    </w:div>
    <w:div w:id="1199855247">
      <w:bodyDiv w:val="1"/>
      <w:marLeft w:val="0"/>
      <w:marRight w:val="0"/>
      <w:marTop w:val="0"/>
      <w:marBottom w:val="0"/>
      <w:divBdr>
        <w:top w:val="none" w:sz="0" w:space="0" w:color="auto"/>
        <w:left w:val="none" w:sz="0" w:space="0" w:color="auto"/>
        <w:bottom w:val="none" w:sz="0" w:space="0" w:color="auto"/>
        <w:right w:val="none" w:sz="0" w:space="0" w:color="auto"/>
      </w:divBdr>
    </w:div>
    <w:div w:id="1214855458">
      <w:bodyDiv w:val="1"/>
      <w:marLeft w:val="0"/>
      <w:marRight w:val="0"/>
      <w:marTop w:val="0"/>
      <w:marBottom w:val="0"/>
      <w:divBdr>
        <w:top w:val="none" w:sz="0" w:space="0" w:color="auto"/>
        <w:left w:val="none" w:sz="0" w:space="0" w:color="auto"/>
        <w:bottom w:val="none" w:sz="0" w:space="0" w:color="auto"/>
        <w:right w:val="none" w:sz="0" w:space="0" w:color="auto"/>
      </w:divBdr>
    </w:div>
    <w:div w:id="1215115218">
      <w:bodyDiv w:val="1"/>
      <w:marLeft w:val="0"/>
      <w:marRight w:val="0"/>
      <w:marTop w:val="0"/>
      <w:marBottom w:val="0"/>
      <w:divBdr>
        <w:top w:val="none" w:sz="0" w:space="0" w:color="auto"/>
        <w:left w:val="none" w:sz="0" w:space="0" w:color="auto"/>
        <w:bottom w:val="none" w:sz="0" w:space="0" w:color="auto"/>
        <w:right w:val="none" w:sz="0" w:space="0" w:color="auto"/>
      </w:divBdr>
    </w:div>
    <w:div w:id="1218055962">
      <w:bodyDiv w:val="1"/>
      <w:marLeft w:val="0"/>
      <w:marRight w:val="0"/>
      <w:marTop w:val="0"/>
      <w:marBottom w:val="0"/>
      <w:divBdr>
        <w:top w:val="none" w:sz="0" w:space="0" w:color="auto"/>
        <w:left w:val="none" w:sz="0" w:space="0" w:color="auto"/>
        <w:bottom w:val="none" w:sz="0" w:space="0" w:color="auto"/>
        <w:right w:val="none" w:sz="0" w:space="0" w:color="auto"/>
      </w:divBdr>
    </w:div>
    <w:div w:id="1224098448">
      <w:bodyDiv w:val="1"/>
      <w:marLeft w:val="0"/>
      <w:marRight w:val="0"/>
      <w:marTop w:val="0"/>
      <w:marBottom w:val="0"/>
      <w:divBdr>
        <w:top w:val="none" w:sz="0" w:space="0" w:color="auto"/>
        <w:left w:val="none" w:sz="0" w:space="0" w:color="auto"/>
        <w:bottom w:val="none" w:sz="0" w:space="0" w:color="auto"/>
        <w:right w:val="none" w:sz="0" w:space="0" w:color="auto"/>
      </w:divBdr>
    </w:div>
    <w:div w:id="1229652643">
      <w:bodyDiv w:val="1"/>
      <w:marLeft w:val="0"/>
      <w:marRight w:val="0"/>
      <w:marTop w:val="0"/>
      <w:marBottom w:val="0"/>
      <w:divBdr>
        <w:top w:val="none" w:sz="0" w:space="0" w:color="auto"/>
        <w:left w:val="none" w:sz="0" w:space="0" w:color="auto"/>
        <w:bottom w:val="none" w:sz="0" w:space="0" w:color="auto"/>
        <w:right w:val="none" w:sz="0" w:space="0" w:color="auto"/>
      </w:divBdr>
    </w:div>
    <w:div w:id="1235510486">
      <w:bodyDiv w:val="1"/>
      <w:marLeft w:val="0"/>
      <w:marRight w:val="0"/>
      <w:marTop w:val="0"/>
      <w:marBottom w:val="0"/>
      <w:divBdr>
        <w:top w:val="none" w:sz="0" w:space="0" w:color="auto"/>
        <w:left w:val="none" w:sz="0" w:space="0" w:color="auto"/>
        <w:bottom w:val="none" w:sz="0" w:space="0" w:color="auto"/>
        <w:right w:val="none" w:sz="0" w:space="0" w:color="auto"/>
      </w:divBdr>
    </w:div>
    <w:div w:id="1240093905">
      <w:bodyDiv w:val="1"/>
      <w:marLeft w:val="0"/>
      <w:marRight w:val="0"/>
      <w:marTop w:val="0"/>
      <w:marBottom w:val="0"/>
      <w:divBdr>
        <w:top w:val="none" w:sz="0" w:space="0" w:color="auto"/>
        <w:left w:val="none" w:sz="0" w:space="0" w:color="auto"/>
        <w:bottom w:val="none" w:sz="0" w:space="0" w:color="auto"/>
        <w:right w:val="none" w:sz="0" w:space="0" w:color="auto"/>
      </w:divBdr>
    </w:div>
    <w:div w:id="1255748429">
      <w:bodyDiv w:val="1"/>
      <w:marLeft w:val="0"/>
      <w:marRight w:val="0"/>
      <w:marTop w:val="0"/>
      <w:marBottom w:val="0"/>
      <w:divBdr>
        <w:top w:val="none" w:sz="0" w:space="0" w:color="auto"/>
        <w:left w:val="none" w:sz="0" w:space="0" w:color="auto"/>
        <w:bottom w:val="none" w:sz="0" w:space="0" w:color="auto"/>
        <w:right w:val="none" w:sz="0" w:space="0" w:color="auto"/>
      </w:divBdr>
    </w:div>
    <w:div w:id="1256524203">
      <w:bodyDiv w:val="1"/>
      <w:marLeft w:val="0"/>
      <w:marRight w:val="0"/>
      <w:marTop w:val="0"/>
      <w:marBottom w:val="0"/>
      <w:divBdr>
        <w:top w:val="none" w:sz="0" w:space="0" w:color="auto"/>
        <w:left w:val="none" w:sz="0" w:space="0" w:color="auto"/>
        <w:bottom w:val="none" w:sz="0" w:space="0" w:color="auto"/>
        <w:right w:val="none" w:sz="0" w:space="0" w:color="auto"/>
      </w:divBdr>
    </w:div>
    <w:div w:id="1262028414">
      <w:bodyDiv w:val="1"/>
      <w:marLeft w:val="0"/>
      <w:marRight w:val="0"/>
      <w:marTop w:val="0"/>
      <w:marBottom w:val="0"/>
      <w:divBdr>
        <w:top w:val="none" w:sz="0" w:space="0" w:color="auto"/>
        <w:left w:val="none" w:sz="0" w:space="0" w:color="auto"/>
        <w:bottom w:val="none" w:sz="0" w:space="0" w:color="auto"/>
        <w:right w:val="none" w:sz="0" w:space="0" w:color="auto"/>
      </w:divBdr>
    </w:div>
    <w:div w:id="1266959670">
      <w:bodyDiv w:val="1"/>
      <w:marLeft w:val="0"/>
      <w:marRight w:val="0"/>
      <w:marTop w:val="0"/>
      <w:marBottom w:val="0"/>
      <w:divBdr>
        <w:top w:val="none" w:sz="0" w:space="0" w:color="auto"/>
        <w:left w:val="none" w:sz="0" w:space="0" w:color="auto"/>
        <w:bottom w:val="none" w:sz="0" w:space="0" w:color="auto"/>
        <w:right w:val="none" w:sz="0" w:space="0" w:color="auto"/>
      </w:divBdr>
    </w:div>
    <w:div w:id="1273243113">
      <w:bodyDiv w:val="1"/>
      <w:marLeft w:val="0"/>
      <w:marRight w:val="0"/>
      <w:marTop w:val="0"/>
      <w:marBottom w:val="0"/>
      <w:divBdr>
        <w:top w:val="none" w:sz="0" w:space="0" w:color="auto"/>
        <w:left w:val="none" w:sz="0" w:space="0" w:color="auto"/>
        <w:bottom w:val="none" w:sz="0" w:space="0" w:color="auto"/>
        <w:right w:val="none" w:sz="0" w:space="0" w:color="auto"/>
      </w:divBdr>
    </w:div>
    <w:div w:id="1291010677">
      <w:bodyDiv w:val="1"/>
      <w:marLeft w:val="0"/>
      <w:marRight w:val="0"/>
      <w:marTop w:val="0"/>
      <w:marBottom w:val="0"/>
      <w:divBdr>
        <w:top w:val="none" w:sz="0" w:space="0" w:color="auto"/>
        <w:left w:val="none" w:sz="0" w:space="0" w:color="auto"/>
        <w:bottom w:val="none" w:sz="0" w:space="0" w:color="auto"/>
        <w:right w:val="none" w:sz="0" w:space="0" w:color="auto"/>
      </w:divBdr>
    </w:div>
    <w:div w:id="1311904713">
      <w:bodyDiv w:val="1"/>
      <w:marLeft w:val="0"/>
      <w:marRight w:val="0"/>
      <w:marTop w:val="0"/>
      <w:marBottom w:val="0"/>
      <w:divBdr>
        <w:top w:val="none" w:sz="0" w:space="0" w:color="auto"/>
        <w:left w:val="none" w:sz="0" w:space="0" w:color="auto"/>
        <w:bottom w:val="none" w:sz="0" w:space="0" w:color="auto"/>
        <w:right w:val="none" w:sz="0" w:space="0" w:color="auto"/>
      </w:divBdr>
    </w:div>
    <w:div w:id="1315724766">
      <w:bodyDiv w:val="1"/>
      <w:marLeft w:val="0"/>
      <w:marRight w:val="0"/>
      <w:marTop w:val="0"/>
      <w:marBottom w:val="0"/>
      <w:divBdr>
        <w:top w:val="none" w:sz="0" w:space="0" w:color="auto"/>
        <w:left w:val="none" w:sz="0" w:space="0" w:color="auto"/>
        <w:bottom w:val="none" w:sz="0" w:space="0" w:color="auto"/>
        <w:right w:val="none" w:sz="0" w:space="0" w:color="auto"/>
      </w:divBdr>
    </w:div>
    <w:div w:id="1336958264">
      <w:bodyDiv w:val="1"/>
      <w:marLeft w:val="0"/>
      <w:marRight w:val="0"/>
      <w:marTop w:val="0"/>
      <w:marBottom w:val="0"/>
      <w:divBdr>
        <w:top w:val="none" w:sz="0" w:space="0" w:color="auto"/>
        <w:left w:val="none" w:sz="0" w:space="0" w:color="auto"/>
        <w:bottom w:val="none" w:sz="0" w:space="0" w:color="auto"/>
        <w:right w:val="none" w:sz="0" w:space="0" w:color="auto"/>
      </w:divBdr>
    </w:div>
    <w:div w:id="1342702188">
      <w:bodyDiv w:val="1"/>
      <w:marLeft w:val="0"/>
      <w:marRight w:val="0"/>
      <w:marTop w:val="0"/>
      <w:marBottom w:val="0"/>
      <w:divBdr>
        <w:top w:val="none" w:sz="0" w:space="0" w:color="auto"/>
        <w:left w:val="none" w:sz="0" w:space="0" w:color="auto"/>
        <w:bottom w:val="none" w:sz="0" w:space="0" w:color="auto"/>
        <w:right w:val="none" w:sz="0" w:space="0" w:color="auto"/>
      </w:divBdr>
    </w:div>
    <w:div w:id="1350838727">
      <w:bodyDiv w:val="1"/>
      <w:marLeft w:val="0"/>
      <w:marRight w:val="0"/>
      <w:marTop w:val="0"/>
      <w:marBottom w:val="0"/>
      <w:divBdr>
        <w:top w:val="none" w:sz="0" w:space="0" w:color="auto"/>
        <w:left w:val="none" w:sz="0" w:space="0" w:color="auto"/>
        <w:bottom w:val="none" w:sz="0" w:space="0" w:color="auto"/>
        <w:right w:val="none" w:sz="0" w:space="0" w:color="auto"/>
      </w:divBdr>
    </w:div>
    <w:div w:id="1352730559">
      <w:bodyDiv w:val="1"/>
      <w:marLeft w:val="0"/>
      <w:marRight w:val="0"/>
      <w:marTop w:val="0"/>
      <w:marBottom w:val="0"/>
      <w:divBdr>
        <w:top w:val="none" w:sz="0" w:space="0" w:color="auto"/>
        <w:left w:val="none" w:sz="0" w:space="0" w:color="auto"/>
        <w:bottom w:val="none" w:sz="0" w:space="0" w:color="auto"/>
        <w:right w:val="none" w:sz="0" w:space="0" w:color="auto"/>
      </w:divBdr>
    </w:div>
    <w:div w:id="1352997843">
      <w:bodyDiv w:val="1"/>
      <w:marLeft w:val="0"/>
      <w:marRight w:val="0"/>
      <w:marTop w:val="0"/>
      <w:marBottom w:val="0"/>
      <w:divBdr>
        <w:top w:val="none" w:sz="0" w:space="0" w:color="auto"/>
        <w:left w:val="none" w:sz="0" w:space="0" w:color="auto"/>
        <w:bottom w:val="none" w:sz="0" w:space="0" w:color="auto"/>
        <w:right w:val="none" w:sz="0" w:space="0" w:color="auto"/>
      </w:divBdr>
    </w:div>
    <w:div w:id="1356733300">
      <w:bodyDiv w:val="1"/>
      <w:marLeft w:val="0"/>
      <w:marRight w:val="0"/>
      <w:marTop w:val="0"/>
      <w:marBottom w:val="0"/>
      <w:divBdr>
        <w:top w:val="none" w:sz="0" w:space="0" w:color="auto"/>
        <w:left w:val="none" w:sz="0" w:space="0" w:color="auto"/>
        <w:bottom w:val="none" w:sz="0" w:space="0" w:color="auto"/>
        <w:right w:val="none" w:sz="0" w:space="0" w:color="auto"/>
      </w:divBdr>
    </w:div>
    <w:div w:id="1390227208">
      <w:bodyDiv w:val="1"/>
      <w:marLeft w:val="0"/>
      <w:marRight w:val="0"/>
      <w:marTop w:val="0"/>
      <w:marBottom w:val="0"/>
      <w:divBdr>
        <w:top w:val="none" w:sz="0" w:space="0" w:color="auto"/>
        <w:left w:val="none" w:sz="0" w:space="0" w:color="auto"/>
        <w:bottom w:val="none" w:sz="0" w:space="0" w:color="auto"/>
        <w:right w:val="none" w:sz="0" w:space="0" w:color="auto"/>
      </w:divBdr>
    </w:div>
    <w:div w:id="1391928167">
      <w:bodyDiv w:val="1"/>
      <w:marLeft w:val="0"/>
      <w:marRight w:val="0"/>
      <w:marTop w:val="0"/>
      <w:marBottom w:val="0"/>
      <w:divBdr>
        <w:top w:val="none" w:sz="0" w:space="0" w:color="auto"/>
        <w:left w:val="none" w:sz="0" w:space="0" w:color="auto"/>
        <w:bottom w:val="none" w:sz="0" w:space="0" w:color="auto"/>
        <w:right w:val="none" w:sz="0" w:space="0" w:color="auto"/>
      </w:divBdr>
    </w:div>
    <w:div w:id="1399784772">
      <w:bodyDiv w:val="1"/>
      <w:marLeft w:val="0"/>
      <w:marRight w:val="0"/>
      <w:marTop w:val="0"/>
      <w:marBottom w:val="0"/>
      <w:divBdr>
        <w:top w:val="none" w:sz="0" w:space="0" w:color="auto"/>
        <w:left w:val="none" w:sz="0" w:space="0" w:color="auto"/>
        <w:bottom w:val="none" w:sz="0" w:space="0" w:color="auto"/>
        <w:right w:val="none" w:sz="0" w:space="0" w:color="auto"/>
      </w:divBdr>
    </w:div>
    <w:div w:id="1404138242">
      <w:bodyDiv w:val="1"/>
      <w:marLeft w:val="0"/>
      <w:marRight w:val="0"/>
      <w:marTop w:val="0"/>
      <w:marBottom w:val="0"/>
      <w:divBdr>
        <w:top w:val="none" w:sz="0" w:space="0" w:color="auto"/>
        <w:left w:val="none" w:sz="0" w:space="0" w:color="auto"/>
        <w:bottom w:val="none" w:sz="0" w:space="0" w:color="auto"/>
        <w:right w:val="none" w:sz="0" w:space="0" w:color="auto"/>
      </w:divBdr>
    </w:div>
    <w:div w:id="1410351444">
      <w:bodyDiv w:val="1"/>
      <w:marLeft w:val="0"/>
      <w:marRight w:val="0"/>
      <w:marTop w:val="0"/>
      <w:marBottom w:val="0"/>
      <w:divBdr>
        <w:top w:val="none" w:sz="0" w:space="0" w:color="auto"/>
        <w:left w:val="none" w:sz="0" w:space="0" w:color="auto"/>
        <w:bottom w:val="none" w:sz="0" w:space="0" w:color="auto"/>
        <w:right w:val="none" w:sz="0" w:space="0" w:color="auto"/>
      </w:divBdr>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49157912">
      <w:bodyDiv w:val="1"/>
      <w:marLeft w:val="0"/>
      <w:marRight w:val="0"/>
      <w:marTop w:val="0"/>
      <w:marBottom w:val="0"/>
      <w:divBdr>
        <w:top w:val="none" w:sz="0" w:space="0" w:color="auto"/>
        <w:left w:val="none" w:sz="0" w:space="0" w:color="auto"/>
        <w:bottom w:val="none" w:sz="0" w:space="0" w:color="auto"/>
        <w:right w:val="none" w:sz="0" w:space="0" w:color="auto"/>
      </w:divBdr>
    </w:div>
    <w:div w:id="1450516354">
      <w:bodyDiv w:val="1"/>
      <w:marLeft w:val="0"/>
      <w:marRight w:val="0"/>
      <w:marTop w:val="0"/>
      <w:marBottom w:val="0"/>
      <w:divBdr>
        <w:top w:val="none" w:sz="0" w:space="0" w:color="auto"/>
        <w:left w:val="none" w:sz="0" w:space="0" w:color="auto"/>
        <w:bottom w:val="none" w:sz="0" w:space="0" w:color="auto"/>
        <w:right w:val="none" w:sz="0" w:space="0" w:color="auto"/>
      </w:divBdr>
    </w:div>
    <w:div w:id="1454252720">
      <w:bodyDiv w:val="1"/>
      <w:marLeft w:val="0"/>
      <w:marRight w:val="0"/>
      <w:marTop w:val="0"/>
      <w:marBottom w:val="0"/>
      <w:divBdr>
        <w:top w:val="none" w:sz="0" w:space="0" w:color="auto"/>
        <w:left w:val="none" w:sz="0" w:space="0" w:color="auto"/>
        <w:bottom w:val="none" w:sz="0" w:space="0" w:color="auto"/>
        <w:right w:val="none" w:sz="0" w:space="0" w:color="auto"/>
      </w:divBdr>
    </w:div>
    <w:div w:id="1463158918">
      <w:bodyDiv w:val="1"/>
      <w:marLeft w:val="0"/>
      <w:marRight w:val="0"/>
      <w:marTop w:val="0"/>
      <w:marBottom w:val="0"/>
      <w:divBdr>
        <w:top w:val="none" w:sz="0" w:space="0" w:color="auto"/>
        <w:left w:val="none" w:sz="0" w:space="0" w:color="auto"/>
        <w:bottom w:val="none" w:sz="0" w:space="0" w:color="auto"/>
        <w:right w:val="none" w:sz="0" w:space="0" w:color="auto"/>
      </w:divBdr>
    </w:div>
    <w:div w:id="1471289401">
      <w:bodyDiv w:val="1"/>
      <w:marLeft w:val="0"/>
      <w:marRight w:val="0"/>
      <w:marTop w:val="0"/>
      <w:marBottom w:val="0"/>
      <w:divBdr>
        <w:top w:val="none" w:sz="0" w:space="0" w:color="auto"/>
        <w:left w:val="none" w:sz="0" w:space="0" w:color="auto"/>
        <w:bottom w:val="none" w:sz="0" w:space="0" w:color="auto"/>
        <w:right w:val="none" w:sz="0" w:space="0" w:color="auto"/>
      </w:divBdr>
    </w:div>
    <w:div w:id="1483935354">
      <w:bodyDiv w:val="1"/>
      <w:marLeft w:val="0"/>
      <w:marRight w:val="0"/>
      <w:marTop w:val="0"/>
      <w:marBottom w:val="0"/>
      <w:divBdr>
        <w:top w:val="none" w:sz="0" w:space="0" w:color="auto"/>
        <w:left w:val="none" w:sz="0" w:space="0" w:color="auto"/>
        <w:bottom w:val="none" w:sz="0" w:space="0" w:color="auto"/>
        <w:right w:val="none" w:sz="0" w:space="0" w:color="auto"/>
      </w:divBdr>
    </w:div>
    <w:div w:id="1487939448">
      <w:bodyDiv w:val="1"/>
      <w:marLeft w:val="0"/>
      <w:marRight w:val="0"/>
      <w:marTop w:val="0"/>
      <w:marBottom w:val="0"/>
      <w:divBdr>
        <w:top w:val="none" w:sz="0" w:space="0" w:color="auto"/>
        <w:left w:val="none" w:sz="0" w:space="0" w:color="auto"/>
        <w:bottom w:val="none" w:sz="0" w:space="0" w:color="auto"/>
        <w:right w:val="none" w:sz="0" w:space="0" w:color="auto"/>
      </w:divBdr>
    </w:div>
    <w:div w:id="1500003016">
      <w:bodyDiv w:val="1"/>
      <w:marLeft w:val="0"/>
      <w:marRight w:val="0"/>
      <w:marTop w:val="0"/>
      <w:marBottom w:val="0"/>
      <w:divBdr>
        <w:top w:val="none" w:sz="0" w:space="0" w:color="auto"/>
        <w:left w:val="none" w:sz="0" w:space="0" w:color="auto"/>
        <w:bottom w:val="none" w:sz="0" w:space="0" w:color="auto"/>
        <w:right w:val="none" w:sz="0" w:space="0" w:color="auto"/>
      </w:divBdr>
    </w:div>
    <w:div w:id="1506435650">
      <w:bodyDiv w:val="1"/>
      <w:marLeft w:val="0"/>
      <w:marRight w:val="0"/>
      <w:marTop w:val="0"/>
      <w:marBottom w:val="0"/>
      <w:divBdr>
        <w:top w:val="none" w:sz="0" w:space="0" w:color="auto"/>
        <w:left w:val="none" w:sz="0" w:space="0" w:color="auto"/>
        <w:bottom w:val="none" w:sz="0" w:space="0" w:color="auto"/>
        <w:right w:val="none" w:sz="0" w:space="0" w:color="auto"/>
      </w:divBdr>
    </w:div>
    <w:div w:id="1522083810">
      <w:bodyDiv w:val="1"/>
      <w:marLeft w:val="0"/>
      <w:marRight w:val="0"/>
      <w:marTop w:val="0"/>
      <w:marBottom w:val="0"/>
      <w:divBdr>
        <w:top w:val="none" w:sz="0" w:space="0" w:color="auto"/>
        <w:left w:val="none" w:sz="0" w:space="0" w:color="auto"/>
        <w:bottom w:val="none" w:sz="0" w:space="0" w:color="auto"/>
        <w:right w:val="none" w:sz="0" w:space="0" w:color="auto"/>
      </w:divBdr>
    </w:div>
    <w:div w:id="1537616236">
      <w:bodyDiv w:val="1"/>
      <w:marLeft w:val="0"/>
      <w:marRight w:val="0"/>
      <w:marTop w:val="0"/>
      <w:marBottom w:val="0"/>
      <w:divBdr>
        <w:top w:val="none" w:sz="0" w:space="0" w:color="auto"/>
        <w:left w:val="none" w:sz="0" w:space="0" w:color="auto"/>
        <w:bottom w:val="none" w:sz="0" w:space="0" w:color="auto"/>
        <w:right w:val="none" w:sz="0" w:space="0" w:color="auto"/>
      </w:divBdr>
    </w:div>
    <w:div w:id="1563246412">
      <w:bodyDiv w:val="1"/>
      <w:marLeft w:val="0"/>
      <w:marRight w:val="0"/>
      <w:marTop w:val="0"/>
      <w:marBottom w:val="0"/>
      <w:divBdr>
        <w:top w:val="none" w:sz="0" w:space="0" w:color="auto"/>
        <w:left w:val="none" w:sz="0" w:space="0" w:color="auto"/>
        <w:bottom w:val="none" w:sz="0" w:space="0" w:color="auto"/>
        <w:right w:val="none" w:sz="0" w:space="0" w:color="auto"/>
      </w:divBdr>
    </w:div>
    <w:div w:id="1568419146">
      <w:bodyDiv w:val="1"/>
      <w:marLeft w:val="0"/>
      <w:marRight w:val="0"/>
      <w:marTop w:val="0"/>
      <w:marBottom w:val="0"/>
      <w:divBdr>
        <w:top w:val="none" w:sz="0" w:space="0" w:color="auto"/>
        <w:left w:val="none" w:sz="0" w:space="0" w:color="auto"/>
        <w:bottom w:val="none" w:sz="0" w:space="0" w:color="auto"/>
        <w:right w:val="none" w:sz="0" w:space="0" w:color="auto"/>
      </w:divBdr>
    </w:div>
    <w:div w:id="1582832218">
      <w:bodyDiv w:val="1"/>
      <w:marLeft w:val="0"/>
      <w:marRight w:val="0"/>
      <w:marTop w:val="0"/>
      <w:marBottom w:val="0"/>
      <w:divBdr>
        <w:top w:val="none" w:sz="0" w:space="0" w:color="auto"/>
        <w:left w:val="none" w:sz="0" w:space="0" w:color="auto"/>
        <w:bottom w:val="none" w:sz="0" w:space="0" w:color="auto"/>
        <w:right w:val="none" w:sz="0" w:space="0" w:color="auto"/>
      </w:divBdr>
    </w:div>
    <w:div w:id="1593009223">
      <w:bodyDiv w:val="1"/>
      <w:marLeft w:val="0"/>
      <w:marRight w:val="0"/>
      <w:marTop w:val="0"/>
      <w:marBottom w:val="0"/>
      <w:divBdr>
        <w:top w:val="none" w:sz="0" w:space="0" w:color="auto"/>
        <w:left w:val="none" w:sz="0" w:space="0" w:color="auto"/>
        <w:bottom w:val="none" w:sz="0" w:space="0" w:color="auto"/>
        <w:right w:val="none" w:sz="0" w:space="0" w:color="auto"/>
      </w:divBdr>
    </w:div>
    <w:div w:id="1593858680">
      <w:bodyDiv w:val="1"/>
      <w:marLeft w:val="0"/>
      <w:marRight w:val="0"/>
      <w:marTop w:val="0"/>
      <w:marBottom w:val="0"/>
      <w:divBdr>
        <w:top w:val="none" w:sz="0" w:space="0" w:color="auto"/>
        <w:left w:val="none" w:sz="0" w:space="0" w:color="auto"/>
        <w:bottom w:val="none" w:sz="0" w:space="0" w:color="auto"/>
        <w:right w:val="none" w:sz="0" w:space="0" w:color="auto"/>
      </w:divBdr>
    </w:div>
    <w:div w:id="1630435922">
      <w:bodyDiv w:val="1"/>
      <w:marLeft w:val="0"/>
      <w:marRight w:val="0"/>
      <w:marTop w:val="0"/>
      <w:marBottom w:val="0"/>
      <w:divBdr>
        <w:top w:val="none" w:sz="0" w:space="0" w:color="auto"/>
        <w:left w:val="none" w:sz="0" w:space="0" w:color="auto"/>
        <w:bottom w:val="none" w:sz="0" w:space="0" w:color="auto"/>
        <w:right w:val="none" w:sz="0" w:space="0" w:color="auto"/>
      </w:divBdr>
    </w:div>
    <w:div w:id="1649282803">
      <w:bodyDiv w:val="1"/>
      <w:marLeft w:val="0"/>
      <w:marRight w:val="0"/>
      <w:marTop w:val="0"/>
      <w:marBottom w:val="0"/>
      <w:divBdr>
        <w:top w:val="none" w:sz="0" w:space="0" w:color="auto"/>
        <w:left w:val="none" w:sz="0" w:space="0" w:color="auto"/>
        <w:bottom w:val="none" w:sz="0" w:space="0" w:color="auto"/>
        <w:right w:val="none" w:sz="0" w:space="0" w:color="auto"/>
      </w:divBdr>
    </w:div>
    <w:div w:id="1657106687">
      <w:bodyDiv w:val="1"/>
      <w:marLeft w:val="0"/>
      <w:marRight w:val="0"/>
      <w:marTop w:val="0"/>
      <w:marBottom w:val="0"/>
      <w:divBdr>
        <w:top w:val="none" w:sz="0" w:space="0" w:color="auto"/>
        <w:left w:val="none" w:sz="0" w:space="0" w:color="auto"/>
        <w:bottom w:val="none" w:sz="0" w:space="0" w:color="auto"/>
        <w:right w:val="none" w:sz="0" w:space="0" w:color="auto"/>
      </w:divBdr>
    </w:div>
    <w:div w:id="1659308818">
      <w:bodyDiv w:val="1"/>
      <w:marLeft w:val="0"/>
      <w:marRight w:val="0"/>
      <w:marTop w:val="0"/>
      <w:marBottom w:val="0"/>
      <w:divBdr>
        <w:top w:val="none" w:sz="0" w:space="0" w:color="auto"/>
        <w:left w:val="none" w:sz="0" w:space="0" w:color="auto"/>
        <w:bottom w:val="none" w:sz="0" w:space="0" w:color="auto"/>
        <w:right w:val="none" w:sz="0" w:space="0" w:color="auto"/>
      </w:divBdr>
    </w:div>
    <w:div w:id="1707749507">
      <w:bodyDiv w:val="1"/>
      <w:marLeft w:val="0"/>
      <w:marRight w:val="0"/>
      <w:marTop w:val="0"/>
      <w:marBottom w:val="0"/>
      <w:divBdr>
        <w:top w:val="none" w:sz="0" w:space="0" w:color="auto"/>
        <w:left w:val="none" w:sz="0" w:space="0" w:color="auto"/>
        <w:bottom w:val="none" w:sz="0" w:space="0" w:color="auto"/>
        <w:right w:val="none" w:sz="0" w:space="0" w:color="auto"/>
      </w:divBdr>
    </w:div>
    <w:div w:id="1711882853">
      <w:bodyDiv w:val="1"/>
      <w:marLeft w:val="0"/>
      <w:marRight w:val="0"/>
      <w:marTop w:val="0"/>
      <w:marBottom w:val="0"/>
      <w:divBdr>
        <w:top w:val="none" w:sz="0" w:space="0" w:color="auto"/>
        <w:left w:val="none" w:sz="0" w:space="0" w:color="auto"/>
        <w:bottom w:val="none" w:sz="0" w:space="0" w:color="auto"/>
        <w:right w:val="none" w:sz="0" w:space="0" w:color="auto"/>
      </w:divBdr>
    </w:div>
    <w:div w:id="1732341357">
      <w:bodyDiv w:val="1"/>
      <w:marLeft w:val="0"/>
      <w:marRight w:val="0"/>
      <w:marTop w:val="0"/>
      <w:marBottom w:val="0"/>
      <w:divBdr>
        <w:top w:val="none" w:sz="0" w:space="0" w:color="auto"/>
        <w:left w:val="none" w:sz="0" w:space="0" w:color="auto"/>
        <w:bottom w:val="none" w:sz="0" w:space="0" w:color="auto"/>
        <w:right w:val="none" w:sz="0" w:space="0" w:color="auto"/>
      </w:divBdr>
    </w:div>
    <w:div w:id="1736392699">
      <w:bodyDiv w:val="1"/>
      <w:marLeft w:val="0"/>
      <w:marRight w:val="0"/>
      <w:marTop w:val="0"/>
      <w:marBottom w:val="0"/>
      <w:divBdr>
        <w:top w:val="none" w:sz="0" w:space="0" w:color="auto"/>
        <w:left w:val="none" w:sz="0" w:space="0" w:color="auto"/>
        <w:bottom w:val="none" w:sz="0" w:space="0" w:color="auto"/>
        <w:right w:val="none" w:sz="0" w:space="0" w:color="auto"/>
      </w:divBdr>
    </w:div>
    <w:div w:id="1743479715">
      <w:bodyDiv w:val="1"/>
      <w:marLeft w:val="0"/>
      <w:marRight w:val="0"/>
      <w:marTop w:val="0"/>
      <w:marBottom w:val="0"/>
      <w:divBdr>
        <w:top w:val="none" w:sz="0" w:space="0" w:color="auto"/>
        <w:left w:val="none" w:sz="0" w:space="0" w:color="auto"/>
        <w:bottom w:val="none" w:sz="0" w:space="0" w:color="auto"/>
        <w:right w:val="none" w:sz="0" w:space="0" w:color="auto"/>
      </w:divBdr>
    </w:div>
    <w:div w:id="1763378710">
      <w:bodyDiv w:val="1"/>
      <w:marLeft w:val="0"/>
      <w:marRight w:val="0"/>
      <w:marTop w:val="0"/>
      <w:marBottom w:val="0"/>
      <w:divBdr>
        <w:top w:val="none" w:sz="0" w:space="0" w:color="auto"/>
        <w:left w:val="none" w:sz="0" w:space="0" w:color="auto"/>
        <w:bottom w:val="none" w:sz="0" w:space="0" w:color="auto"/>
        <w:right w:val="none" w:sz="0" w:space="0" w:color="auto"/>
      </w:divBdr>
    </w:div>
    <w:div w:id="1769545944">
      <w:bodyDiv w:val="1"/>
      <w:marLeft w:val="0"/>
      <w:marRight w:val="0"/>
      <w:marTop w:val="0"/>
      <w:marBottom w:val="0"/>
      <w:divBdr>
        <w:top w:val="none" w:sz="0" w:space="0" w:color="auto"/>
        <w:left w:val="none" w:sz="0" w:space="0" w:color="auto"/>
        <w:bottom w:val="none" w:sz="0" w:space="0" w:color="auto"/>
        <w:right w:val="none" w:sz="0" w:space="0" w:color="auto"/>
      </w:divBdr>
    </w:div>
    <w:div w:id="1786731496">
      <w:bodyDiv w:val="1"/>
      <w:marLeft w:val="0"/>
      <w:marRight w:val="0"/>
      <w:marTop w:val="0"/>
      <w:marBottom w:val="0"/>
      <w:divBdr>
        <w:top w:val="none" w:sz="0" w:space="0" w:color="auto"/>
        <w:left w:val="none" w:sz="0" w:space="0" w:color="auto"/>
        <w:bottom w:val="none" w:sz="0" w:space="0" w:color="auto"/>
        <w:right w:val="none" w:sz="0" w:space="0" w:color="auto"/>
      </w:divBdr>
    </w:div>
    <w:div w:id="1789084769">
      <w:bodyDiv w:val="1"/>
      <w:marLeft w:val="0"/>
      <w:marRight w:val="0"/>
      <w:marTop w:val="0"/>
      <w:marBottom w:val="0"/>
      <w:divBdr>
        <w:top w:val="none" w:sz="0" w:space="0" w:color="auto"/>
        <w:left w:val="none" w:sz="0" w:space="0" w:color="auto"/>
        <w:bottom w:val="none" w:sz="0" w:space="0" w:color="auto"/>
        <w:right w:val="none" w:sz="0" w:space="0" w:color="auto"/>
      </w:divBdr>
    </w:div>
    <w:div w:id="1793936708">
      <w:bodyDiv w:val="1"/>
      <w:marLeft w:val="0"/>
      <w:marRight w:val="0"/>
      <w:marTop w:val="0"/>
      <w:marBottom w:val="0"/>
      <w:divBdr>
        <w:top w:val="none" w:sz="0" w:space="0" w:color="auto"/>
        <w:left w:val="none" w:sz="0" w:space="0" w:color="auto"/>
        <w:bottom w:val="none" w:sz="0" w:space="0" w:color="auto"/>
        <w:right w:val="none" w:sz="0" w:space="0" w:color="auto"/>
      </w:divBdr>
    </w:div>
    <w:div w:id="1800031488">
      <w:bodyDiv w:val="1"/>
      <w:marLeft w:val="0"/>
      <w:marRight w:val="0"/>
      <w:marTop w:val="0"/>
      <w:marBottom w:val="0"/>
      <w:divBdr>
        <w:top w:val="none" w:sz="0" w:space="0" w:color="auto"/>
        <w:left w:val="none" w:sz="0" w:space="0" w:color="auto"/>
        <w:bottom w:val="none" w:sz="0" w:space="0" w:color="auto"/>
        <w:right w:val="none" w:sz="0" w:space="0" w:color="auto"/>
      </w:divBdr>
    </w:div>
    <w:div w:id="1807432323">
      <w:bodyDiv w:val="1"/>
      <w:marLeft w:val="0"/>
      <w:marRight w:val="0"/>
      <w:marTop w:val="0"/>
      <w:marBottom w:val="0"/>
      <w:divBdr>
        <w:top w:val="none" w:sz="0" w:space="0" w:color="auto"/>
        <w:left w:val="none" w:sz="0" w:space="0" w:color="auto"/>
        <w:bottom w:val="none" w:sz="0" w:space="0" w:color="auto"/>
        <w:right w:val="none" w:sz="0" w:space="0" w:color="auto"/>
      </w:divBdr>
    </w:div>
    <w:div w:id="1812669366">
      <w:bodyDiv w:val="1"/>
      <w:marLeft w:val="0"/>
      <w:marRight w:val="0"/>
      <w:marTop w:val="0"/>
      <w:marBottom w:val="0"/>
      <w:divBdr>
        <w:top w:val="none" w:sz="0" w:space="0" w:color="auto"/>
        <w:left w:val="none" w:sz="0" w:space="0" w:color="auto"/>
        <w:bottom w:val="none" w:sz="0" w:space="0" w:color="auto"/>
        <w:right w:val="none" w:sz="0" w:space="0" w:color="auto"/>
      </w:divBdr>
    </w:div>
    <w:div w:id="1816097246">
      <w:bodyDiv w:val="1"/>
      <w:marLeft w:val="0"/>
      <w:marRight w:val="0"/>
      <w:marTop w:val="0"/>
      <w:marBottom w:val="0"/>
      <w:divBdr>
        <w:top w:val="none" w:sz="0" w:space="0" w:color="auto"/>
        <w:left w:val="none" w:sz="0" w:space="0" w:color="auto"/>
        <w:bottom w:val="none" w:sz="0" w:space="0" w:color="auto"/>
        <w:right w:val="none" w:sz="0" w:space="0" w:color="auto"/>
      </w:divBdr>
    </w:div>
    <w:div w:id="1833136577">
      <w:bodyDiv w:val="1"/>
      <w:marLeft w:val="0"/>
      <w:marRight w:val="0"/>
      <w:marTop w:val="0"/>
      <w:marBottom w:val="0"/>
      <w:divBdr>
        <w:top w:val="none" w:sz="0" w:space="0" w:color="auto"/>
        <w:left w:val="none" w:sz="0" w:space="0" w:color="auto"/>
        <w:bottom w:val="none" w:sz="0" w:space="0" w:color="auto"/>
        <w:right w:val="none" w:sz="0" w:space="0" w:color="auto"/>
      </w:divBdr>
    </w:div>
    <w:div w:id="1838616638">
      <w:bodyDiv w:val="1"/>
      <w:marLeft w:val="0"/>
      <w:marRight w:val="0"/>
      <w:marTop w:val="0"/>
      <w:marBottom w:val="0"/>
      <w:divBdr>
        <w:top w:val="none" w:sz="0" w:space="0" w:color="auto"/>
        <w:left w:val="none" w:sz="0" w:space="0" w:color="auto"/>
        <w:bottom w:val="none" w:sz="0" w:space="0" w:color="auto"/>
        <w:right w:val="none" w:sz="0" w:space="0" w:color="auto"/>
      </w:divBdr>
    </w:div>
    <w:div w:id="1841196059">
      <w:bodyDiv w:val="1"/>
      <w:marLeft w:val="0"/>
      <w:marRight w:val="0"/>
      <w:marTop w:val="0"/>
      <w:marBottom w:val="0"/>
      <w:divBdr>
        <w:top w:val="none" w:sz="0" w:space="0" w:color="auto"/>
        <w:left w:val="none" w:sz="0" w:space="0" w:color="auto"/>
        <w:bottom w:val="none" w:sz="0" w:space="0" w:color="auto"/>
        <w:right w:val="none" w:sz="0" w:space="0" w:color="auto"/>
      </w:divBdr>
    </w:div>
    <w:div w:id="1866673149">
      <w:bodyDiv w:val="1"/>
      <w:marLeft w:val="0"/>
      <w:marRight w:val="0"/>
      <w:marTop w:val="0"/>
      <w:marBottom w:val="0"/>
      <w:divBdr>
        <w:top w:val="none" w:sz="0" w:space="0" w:color="auto"/>
        <w:left w:val="none" w:sz="0" w:space="0" w:color="auto"/>
        <w:bottom w:val="none" w:sz="0" w:space="0" w:color="auto"/>
        <w:right w:val="none" w:sz="0" w:space="0" w:color="auto"/>
      </w:divBdr>
    </w:div>
    <w:div w:id="1877422825">
      <w:bodyDiv w:val="1"/>
      <w:marLeft w:val="0"/>
      <w:marRight w:val="0"/>
      <w:marTop w:val="0"/>
      <w:marBottom w:val="0"/>
      <w:divBdr>
        <w:top w:val="none" w:sz="0" w:space="0" w:color="auto"/>
        <w:left w:val="none" w:sz="0" w:space="0" w:color="auto"/>
        <w:bottom w:val="none" w:sz="0" w:space="0" w:color="auto"/>
        <w:right w:val="none" w:sz="0" w:space="0" w:color="auto"/>
      </w:divBdr>
    </w:div>
    <w:div w:id="1892380930">
      <w:bodyDiv w:val="1"/>
      <w:marLeft w:val="0"/>
      <w:marRight w:val="0"/>
      <w:marTop w:val="0"/>
      <w:marBottom w:val="0"/>
      <w:divBdr>
        <w:top w:val="none" w:sz="0" w:space="0" w:color="auto"/>
        <w:left w:val="none" w:sz="0" w:space="0" w:color="auto"/>
        <w:bottom w:val="none" w:sz="0" w:space="0" w:color="auto"/>
        <w:right w:val="none" w:sz="0" w:space="0" w:color="auto"/>
      </w:divBdr>
    </w:div>
    <w:div w:id="1906066197">
      <w:bodyDiv w:val="1"/>
      <w:marLeft w:val="0"/>
      <w:marRight w:val="0"/>
      <w:marTop w:val="0"/>
      <w:marBottom w:val="0"/>
      <w:divBdr>
        <w:top w:val="none" w:sz="0" w:space="0" w:color="auto"/>
        <w:left w:val="none" w:sz="0" w:space="0" w:color="auto"/>
        <w:bottom w:val="none" w:sz="0" w:space="0" w:color="auto"/>
        <w:right w:val="none" w:sz="0" w:space="0" w:color="auto"/>
      </w:divBdr>
    </w:div>
    <w:div w:id="1917280711">
      <w:bodyDiv w:val="1"/>
      <w:marLeft w:val="0"/>
      <w:marRight w:val="0"/>
      <w:marTop w:val="0"/>
      <w:marBottom w:val="0"/>
      <w:divBdr>
        <w:top w:val="none" w:sz="0" w:space="0" w:color="auto"/>
        <w:left w:val="none" w:sz="0" w:space="0" w:color="auto"/>
        <w:bottom w:val="none" w:sz="0" w:space="0" w:color="auto"/>
        <w:right w:val="none" w:sz="0" w:space="0" w:color="auto"/>
      </w:divBdr>
    </w:div>
    <w:div w:id="1934242824">
      <w:bodyDiv w:val="1"/>
      <w:marLeft w:val="0"/>
      <w:marRight w:val="0"/>
      <w:marTop w:val="0"/>
      <w:marBottom w:val="0"/>
      <w:divBdr>
        <w:top w:val="none" w:sz="0" w:space="0" w:color="auto"/>
        <w:left w:val="none" w:sz="0" w:space="0" w:color="auto"/>
        <w:bottom w:val="none" w:sz="0" w:space="0" w:color="auto"/>
        <w:right w:val="none" w:sz="0" w:space="0" w:color="auto"/>
      </w:divBdr>
    </w:div>
    <w:div w:id="1940215162">
      <w:bodyDiv w:val="1"/>
      <w:marLeft w:val="0"/>
      <w:marRight w:val="0"/>
      <w:marTop w:val="0"/>
      <w:marBottom w:val="0"/>
      <w:divBdr>
        <w:top w:val="none" w:sz="0" w:space="0" w:color="auto"/>
        <w:left w:val="none" w:sz="0" w:space="0" w:color="auto"/>
        <w:bottom w:val="none" w:sz="0" w:space="0" w:color="auto"/>
        <w:right w:val="none" w:sz="0" w:space="0" w:color="auto"/>
      </w:divBdr>
    </w:div>
    <w:div w:id="1941333325">
      <w:bodyDiv w:val="1"/>
      <w:marLeft w:val="0"/>
      <w:marRight w:val="0"/>
      <w:marTop w:val="0"/>
      <w:marBottom w:val="0"/>
      <w:divBdr>
        <w:top w:val="none" w:sz="0" w:space="0" w:color="auto"/>
        <w:left w:val="none" w:sz="0" w:space="0" w:color="auto"/>
        <w:bottom w:val="none" w:sz="0" w:space="0" w:color="auto"/>
        <w:right w:val="none" w:sz="0" w:space="0" w:color="auto"/>
      </w:divBdr>
    </w:div>
    <w:div w:id="1946838590">
      <w:bodyDiv w:val="1"/>
      <w:marLeft w:val="0"/>
      <w:marRight w:val="0"/>
      <w:marTop w:val="0"/>
      <w:marBottom w:val="0"/>
      <w:divBdr>
        <w:top w:val="none" w:sz="0" w:space="0" w:color="auto"/>
        <w:left w:val="none" w:sz="0" w:space="0" w:color="auto"/>
        <w:bottom w:val="none" w:sz="0" w:space="0" w:color="auto"/>
        <w:right w:val="none" w:sz="0" w:space="0" w:color="auto"/>
      </w:divBdr>
    </w:div>
    <w:div w:id="1959796840">
      <w:bodyDiv w:val="1"/>
      <w:marLeft w:val="0"/>
      <w:marRight w:val="0"/>
      <w:marTop w:val="0"/>
      <w:marBottom w:val="0"/>
      <w:divBdr>
        <w:top w:val="none" w:sz="0" w:space="0" w:color="auto"/>
        <w:left w:val="none" w:sz="0" w:space="0" w:color="auto"/>
        <w:bottom w:val="none" w:sz="0" w:space="0" w:color="auto"/>
        <w:right w:val="none" w:sz="0" w:space="0" w:color="auto"/>
      </w:divBdr>
    </w:div>
    <w:div w:id="1962615125">
      <w:bodyDiv w:val="1"/>
      <w:marLeft w:val="0"/>
      <w:marRight w:val="0"/>
      <w:marTop w:val="0"/>
      <w:marBottom w:val="0"/>
      <w:divBdr>
        <w:top w:val="none" w:sz="0" w:space="0" w:color="auto"/>
        <w:left w:val="none" w:sz="0" w:space="0" w:color="auto"/>
        <w:bottom w:val="none" w:sz="0" w:space="0" w:color="auto"/>
        <w:right w:val="none" w:sz="0" w:space="0" w:color="auto"/>
      </w:divBdr>
    </w:div>
    <w:div w:id="1965034596">
      <w:bodyDiv w:val="1"/>
      <w:marLeft w:val="0"/>
      <w:marRight w:val="0"/>
      <w:marTop w:val="0"/>
      <w:marBottom w:val="0"/>
      <w:divBdr>
        <w:top w:val="none" w:sz="0" w:space="0" w:color="auto"/>
        <w:left w:val="none" w:sz="0" w:space="0" w:color="auto"/>
        <w:bottom w:val="none" w:sz="0" w:space="0" w:color="auto"/>
        <w:right w:val="none" w:sz="0" w:space="0" w:color="auto"/>
      </w:divBdr>
    </w:div>
    <w:div w:id="1968510989">
      <w:bodyDiv w:val="1"/>
      <w:marLeft w:val="0"/>
      <w:marRight w:val="0"/>
      <w:marTop w:val="0"/>
      <w:marBottom w:val="0"/>
      <w:divBdr>
        <w:top w:val="none" w:sz="0" w:space="0" w:color="auto"/>
        <w:left w:val="none" w:sz="0" w:space="0" w:color="auto"/>
        <w:bottom w:val="none" w:sz="0" w:space="0" w:color="auto"/>
        <w:right w:val="none" w:sz="0" w:space="0" w:color="auto"/>
      </w:divBdr>
    </w:div>
    <w:div w:id="1994795618">
      <w:bodyDiv w:val="1"/>
      <w:marLeft w:val="0"/>
      <w:marRight w:val="0"/>
      <w:marTop w:val="0"/>
      <w:marBottom w:val="0"/>
      <w:divBdr>
        <w:top w:val="none" w:sz="0" w:space="0" w:color="auto"/>
        <w:left w:val="none" w:sz="0" w:space="0" w:color="auto"/>
        <w:bottom w:val="none" w:sz="0" w:space="0" w:color="auto"/>
        <w:right w:val="none" w:sz="0" w:space="0" w:color="auto"/>
      </w:divBdr>
    </w:div>
    <w:div w:id="1998921488">
      <w:bodyDiv w:val="1"/>
      <w:marLeft w:val="0"/>
      <w:marRight w:val="0"/>
      <w:marTop w:val="0"/>
      <w:marBottom w:val="0"/>
      <w:divBdr>
        <w:top w:val="none" w:sz="0" w:space="0" w:color="auto"/>
        <w:left w:val="none" w:sz="0" w:space="0" w:color="auto"/>
        <w:bottom w:val="none" w:sz="0" w:space="0" w:color="auto"/>
        <w:right w:val="none" w:sz="0" w:space="0" w:color="auto"/>
      </w:divBdr>
    </w:div>
    <w:div w:id="2001930741">
      <w:bodyDiv w:val="1"/>
      <w:marLeft w:val="0"/>
      <w:marRight w:val="0"/>
      <w:marTop w:val="0"/>
      <w:marBottom w:val="0"/>
      <w:divBdr>
        <w:top w:val="none" w:sz="0" w:space="0" w:color="auto"/>
        <w:left w:val="none" w:sz="0" w:space="0" w:color="auto"/>
        <w:bottom w:val="none" w:sz="0" w:space="0" w:color="auto"/>
        <w:right w:val="none" w:sz="0" w:space="0" w:color="auto"/>
      </w:divBdr>
    </w:div>
    <w:div w:id="2013794282">
      <w:bodyDiv w:val="1"/>
      <w:marLeft w:val="0"/>
      <w:marRight w:val="0"/>
      <w:marTop w:val="0"/>
      <w:marBottom w:val="0"/>
      <w:divBdr>
        <w:top w:val="none" w:sz="0" w:space="0" w:color="auto"/>
        <w:left w:val="none" w:sz="0" w:space="0" w:color="auto"/>
        <w:bottom w:val="none" w:sz="0" w:space="0" w:color="auto"/>
        <w:right w:val="none" w:sz="0" w:space="0" w:color="auto"/>
      </w:divBdr>
    </w:div>
    <w:div w:id="2030983028">
      <w:bodyDiv w:val="1"/>
      <w:marLeft w:val="0"/>
      <w:marRight w:val="0"/>
      <w:marTop w:val="0"/>
      <w:marBottom w:val="0"/>
      <w:divBdr>
        <w:top w:val="none" w:sz="0" w:space="0" w:color="auto"/>
        <w:left w:val="none" w:sz="0" w:space="0" w:color="auto"/>
        <w:bottom w:val="none" w:sz="0" w:space="0" w:color="auto"/>
        <w:right w:val="none" w:sz="0" w:space="0" w:color="auto"/>
      </w:divBdr>
    </w:div>
    <w:div w:id="2046324773">
      <w:bodyDiv w:val="1"/>
      <w:marLeft w:val="0"/>
      <w:marRight w:val="0"/>
      <w:marTop w:val="0"/>
      <w:marBottom w:val="0"/>
      <w:divBdr>
        <w:top w:val="none" w:sz="0" w:space="0" w:color="auto"/>
        <w:left w:val="none" w:sz="0" w:space="0" w:color="auto"/>
        <w:bottom w:val="none" w:sz="0" w:space="0" w:color="auto"/>
        <w:right w:val="none" w:sz="0" w:space="0" w:color="auto"/>
      </w:divBdr>
    </w:div>
    <w:div w:id="2049183055">
      <w:bodyDiv w:val="1"/>
      <w:marLeft w:val="0"/>
      <w:marRight w:val="0"/>
      <w:marTop w:val="0"/>
      <w:marBottom w:val="0"/>
      <w:divBdr>
        <w:top w:val="none" w:sz="0" w:space="0" w:color="auto"/>
        <w:left w:val="none" w:sz="0" w:space="0" w:color="auto"/>
        <w:bottom w:val="none" w:sz="0" w:space="0" w:color="auto"/>
        <w:right w:val="none" w:sz="0" w:space="0" w:color="auto"/>
      </w:divBdr>
    </w:div>
    <w:div w:id="2049798614">
      <w:bodyDiv w:val="1"/>
      <w:marLeft w:val="0"/>
      <w:marRight w:val="0"/>
      <w:marTop w:val="0"/>
      <w:marBottom w:val="0"/>
      <w:divBdr>
        <w:top w:val="none" w:sz="0" w:space="0" w:color="auto"/>
        <w:left w:val="none" w:sz="0" w:space="0" w:color="auto"/>
        <w:bottom w:val="none" w:sz="0" w:space="0" w:color="auto"/>
        <w:right w:val="none" w:sz="0" w:space="0" w:color="auto"/>
      </w:divBdr>
    </w:div>
    <w:div w:id="2049990779">
      <w:bodyDiv w:val="1"/>
      <w:marLeft w:val="0"/>
      <w:marRight w:val="0"/>
      <w:marTop w:val="0"/>
      <w:marBottom w:val="0"/>
      <w:divBdr>
        <w:top w:val="none" w:sz="0" w:space="0" w:color="auto"/>
        <w:left w:val="none" w:sz="0" w:space="0" w:color="auto"/>
        <w:bottom w:val="none" w:sz="0" w:space="0" w:color="auto"/>
        <w:right w:val="none" w:sz="0" w:space="0" w:color="auto"/>
      </w:divBdr>
    </w:div>
    <w:div w:id="2057779323">
      <w:bodyDiv w:val="1"/>
      <w:marLeft w:val="0"/>
      <w:marRight w:val="0"/>
      <w:marTop w:val="0"/>
      <w:marBottom w:val="0"/>
      <w:divBdr>
        <w:top w:val="none" w:sz="0" w:space="0" w:color="auto"/>
        <w:left w:val="none" w:sz="0" w:space="0" w:color="auto"/>
        <w:bottom w:val="none" w:sz="0" w:space="0" w:color="auto"/>
        <w:right w:val="none" w:sz="0" w:space="0" w:color="auto"/>
      </w:divBdr>
    </w:div>
    <w:div w:id="2063093152">
      <w:bodyDiv w:val="1"/>
      <w:marLeft w:val="0"/>
      <w:marRight w:val="0"/>
      <w:marTop w:val="0"/>
      <w:marBottom w:val="0"/>
      <w:divBdr>
        <w:top w:val="none" w:sz="0" w:space="0" w:color="auto"/>
        <w:left w:val="none" w:sz="0" w:space="0" w:color="auto"/>
        <w:bottom w:val="none" w:sz="0" w:space="0" w:color="auto"/>
        <w:right w:val="none" w:sz="0" w:space="0" w:color="auto"/>
      </w:divBdr>
    </w:div>
    <w:div w:id="2064719749">
      <w:bodyDiv w:val="1"/>
      <w:marLeft w:val="0"/>
      <w:marRight w:val="0"/>
      <w:marTop w:val="0"/>
      <w:marBottom w:val="0"/>
      <w:divBdr>
        <w:top w:val="none" w:sz="0" w:space="0" w:color="auto"/>
        <w:left w:val="none" w:sz="0" w:space="0" w:color="auto"/>
        <w:bottom w:val="none" w:sz="0" w:space="0" w:color="auto"/>
        <w:right w:val="none" w:sz="0" w:space="0" w:color="auto"/>
      </w:divBdr>
    </w:div>
    <w:div w:id="2074814240">
      <w:bodyDiv w:val="1"/>
      <w:marLeft w:val="0"/>
      <w:marRight w:val="0"/>
      <w:marTop w:val="0"/>
      <w:marBottom w:val="0"/>
      <w:divBdr>
        <w:top w:val="none" w:sz="0" w:space="0" w:color="auto"/>
        <w:left w:val="none" w:sz="0" w:space="0" w:color="auto"/>
        <w:bottom w:val="none" w:sz="0" w:space="0" w:color="auto"/>
        <w:right w:val="none" w:sz="0" w:space="0" w:color="auto"/>
      </w:divBdr>
    </w:div>
    <w:div w:id="2090492270">
      <w:bodyDiv w:val="1"/>
      <w:marLeft w:val="0"/>
      <w:marRight w:val="0"/>
      <w:marTop w:val="0"/>
      <w:marBottom w:val="0"/>
      <w:divBdr>
        <w:top w:val="none" w:sz="0" w:space="0" w:color="auto"/>
        <w:left w:val="none" w:sz="0" w:space="0" w:color="auto"/>
        <w:bottom w:val="none" w:sz="0" w:space="0" w:color="auto"/>
        <w:right w:val="none" w:sz="0" w:space="0" w:color="auto"/>
      </w:divBdr>
    </w:div>
    <w:div w:id="2092114554">
      <w:bodyDiv w:val="1"/>
      <w:marLeft w:val="0"/>
      <w:marRight w:val="0"/>
      <w:marTop w:val="0"/>
      <w:marBottom w:val="0"/>
      <w:divBdr>
        <w:top w:val="none" w:sz="0" w:space="0" w:color="auto"/>
        <w:left w:val="none" w:sz="0" w:space="0" w:color="auto"/>
        <w:bottom w:val="none" w:sz="0" w:space="0" w:color="auto"/>
        <w:right w:val="none" w:sz="0" w:space="0" w:color="auto"/>
      </w:divBdr>
    </w:div>
    <w:div w:id="2095318794">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23256332">
      <w:bodyDiv w:val="1"/>
      <w:marLeft w:val="0"/>
      <w:marRight w:val="0"/>
      <w:marTop w:val="0"/>
      <w:marBottom w:val="0"/>
      <w:divBdr>
        <w:top w:val="none" w:sz="0" w:space="0" w:color="auto"/>
        <w:left w:val="none" w:sz="0" w:space="0" w:color="auto"/>
        <w:bottom w:val="none" w:sz="0" w:space="0" w:color="auto"/>
        <w:right w:val="none" w:sz="0" w:space="0" w:color="auto"/>
      </w:divBdr>
    </w:div>
    <w:div w:id="2130322216">
      <w:bodyDiv w:val="1"/>
      <w:marLeft w:val="0"/>
      <w:marRight w:val="0"/>
      <w:marTop w:val="0"/>
      <w:marBottom w:val="0"/>
      <w:divBdr>
        <w:top w:val="none" w:sz="0" w:space="0" w:color="auto"/>
        <w:left w:val="none" w:sz="0" w:space="0" w:color="auto"/>
        <w:bottom w:val="none" w:sz="0" w:space="0" w:color="auto"/>
        <w:right w:val="none" w:sz="0" w:space="0" w:color="auto"/>
      </w:divBdr>
    </w:div>
    <w:div w:id="21448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footer" Target="footer5.xml"/><Relationship Id="rId21" Type="http://schemas.openxmlformats.org/officeDocument/2006/relationships/image" Target="media/image6.png"/><Relationship Id="rId34" Type="http://schemas.openxmlformats.org/officeDocument/2006/relationships/hyperlink" Target="https://www.legislation.gov.au/Series/F2012L01943"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communication@dss.gov.au"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www.legislation.gov.au/Details/F2012L01979" TargetMode="External"/><Relationship Id="rId37" Type="http://schemas.openxmlformats.org/officeDocument/2006/relationships/footer" Target="footer4.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dss.gov.au" TargetMode="External"/><Relationship Id="rId23" Type="http://schemas.openxmlformats.org/officeDocument/2006/relationships/hyperlink" Target="https://www.dss.gov.au/about-the-department/benefits-payments/working-age-payments" TargetMode="External"/><Relationship Id="rId28" Type="http://schemas.openxmlformats.org/officeDocument/2006/relationships/image" Target="media/image12.png"/><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www.legislation.gov.au/Details/F2012L01613"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yperlink" Target="https://www.legislation.gov.au/Series/F2012L01377" TargetMode="External"/><Relationship Id="rId35" Type="http://schemas.openxmlformats.org/officeDocument/2006/relationships/hyperlink" Target="https://www.legislation.gov.au/Details/F2014C01065" TargetMode="External"/><Relationship Id="rId43" Type="http://schemas.openxmlformats.org/officeDocument/2006/relationships/customXml" Target="../customXml/item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sanhonour.gov.au/coat-arms/index.cfm" TargetMode="External"/><Relationship Id="rId25" Type="http://schemas.openxmlformats.org/officeDocument/2006/relationships/image" Target="media/image9.png"/><Relationship Id="rId33" Type="http://schemas.openxmlformats.org/officeDocument/2006/relationships/hyperlink" Target="https://www.legislation.gov.au/Details/F2015C00844" TargetMode="External"/><Relationship Id="rId38" Type="http://schemas.openxmlformats.org/officeDocument/2006/relationships/header" Target="header5.xml"/><Relationship Id="rId46" Type="http://schemas.openxmlformats.org/officeDocument/2006/relationships/customXml" Target="../customXml/item4.xml"/><Relationship Id="rId20" Type="http://schemas.openxmlformats.org/officeDocument/2006/relationships/image" Target="media/image5.png"/><Relationship Id="rId4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espace.curtin.edu.au/handle/20.500.11937/30403%20" TargetMode="External"/><Relationship Id="rId13" Type="http://schemas.openxmlformats.org/officeDocument/2006/relationships/hyperlink" Target="https://www.dss.gov.au/sites/default/files/documents/02_2021/fac_evaluation-cdc-ceduna-east-kimberley-and-goldfields-region-consolidated-report_012021.pdf" TargetMode="External"/><Relationship Id="rId18" Type="http://schemas.openxmlformats.org/officeDocument/2006/relationships/hyperlink" Target="https://www.dss.gov.au/families-and-children/programmes-services/welfare-conditionality/income-management/consolidated-place-based-income-management-evaluation-report-2012-2015" TargetMode="External"/><Relationship Id="rId26" Type="http://schemas.openxmlformats.org/officeDocument/2006/relationships/hyperlink" Target="https://www.dss.gov.au/sites/default/files/documents/02_2021/fac_evaluation-cdc-ceduna-east-kimberley-and-goldfields-region-consolidated-report_012021.pdf" TargetMode="External"/><Relationship Id="rId3" Type="http://schemas.openxmlformats.org/officeDocument/2006/relationships/hyperlink" Target="https://www.health.gov.au/resources/publications/national-drug-strategy-2017-2026%20" TargetMode="External"/><Relationship Id="rId21" Type="http://schemas.openxmlformats.org/officeDocument/2006/relationships/hyperlink" Target="https://www.dss.gov.au/families-and-children/programmes-services/welfare-conditionality/income-management/consolidated-place-based-income-management-evaluation-report-2012-2015" TargetMode="External"/><Relationship Id="rId7" Type="http://schemas.openxmlformats.org/officeDocument/2006/relationships/hyperlink" Target="https://www.closingthegap.gov.au/national-agreement/national-agreement-closing-the-gap" TargetMode="External"/><Relationship Id="rId12" Type="http://schemas.openxmlformats.org/officeDocument/2006/relationships/hyperlink" Target="https://www.dss.gov.au/our-responsibilities/families-and-children/programs-services/income-management/evaluating-new-income-management-in-the-northern-territory-first-evaluation-report" TargetMode="External"/><Relationship Id="rId17" Type="http://schemas.openxmlformats.org/officeDocument/2006/relationships/hyperlink" Target="https://www.dss.gov.au/sites/default/files/documents/02_2021/fac_evaluation-cdc-ceduna-east-kimberley-and-goldfields-region-consolidated-report_012021.pdf" TargetMode="External"/><Relationship Id="rId25" Type="http://schemas.openxmlformats.org/officeDocument/2006/relationships/hyperlink" Target="https://www.abs.gov.au/statistics/economy/business-indicators/counts-australian-businesses-including-entries-and-exits/latest-release" TargetMode="External"/><Relationship Id="rId2" Type="http://schemas.openxmlformats.org/officeDocument/2006/relationships/hyperlink" Target="https://www.dss.gov.au/sites/default/files/documents/02_2021/fac_evaluation-cdc-ceduna-east-kimberley-and-goldfields-region-consolidated-report_012021.pdf" TargetMode="External"/><Relationship Id="rId16" Type="http://schemas.openxmlformats.org/officeDocument/2006/relationships/hyperlink" Target="http://www.rba.gov.au" TargetMode="External"/><Relationship Id="rId20" Type="http://schemas.openxmlformats.org/officeDocument/2006/relationships/hyperlink" Target="https://www.dss.gov.au/our-responsibilities/families-and-children/programs-services/income-management/a-review-of-child-protection-income-management-in-western-australia" TargetMode="External"/><Relationship Id="rId29" Type="http://schemas.openxmlformats.org/officeDocument/2006/relationships/hyperlink" Target="https://www.dss.gov.au/sites/default/files/documents/05_2012/nter_review.pdf" TargetMode="External"/><Relationship Id="rId1" Type="http://schemas.openxmlformats.org/officeDocument/2006/relationships/hyperlink" Target="https://www.dss.gov.au/sites/default/files/documents/02_2021/fac_evaluation-cdc-ceduna-east-kimberley-and-goldfields-region-consolidated-report_012021.pdf" TargetMode="External"/><Relationship Id="rId6" Type="http://schemas.openxmlformats.org/officeDocument/2006/relationships/hyperlink" Target="https://www.health.nsw.gov.au/about/ministry/Pages/aod.aspx" TargetMode="External"/><Relationship Id="rId11" Type="http://schemas.openxmlformats.org/officeDocument/2006/relationships/hyperlink" Target="https://www.dss.gov.au/families-and-children/programmes-services/welfare-conditionality/income-management/consolidated-place-based-income-management-evaluation-report-2012-2015" TargetMode="External"/><Relationship Id="rId24" Type="http://schemas.openxmlformats.org/officeDocument/2006/relationships/hyperlink" Target="https://www.abs.gov.au/statistics/people/aboriginal-and-torres-strait-islander-peoples/aboriginal-and-torres-strait-islander-people-census/2021" TargetMode="External"/><Relationship Id="rId5" Type="http://schemas.openxmlformats.org/officeDocument/2006/relationships/hyperlink" Target="https://www.dss.gov.au/communities-and-vulnerable-people-programs-services-gambling/national-consumer-protection-framework-for-online-wagering-national-policy-statement%20" TargetMode="External"/><Relationship Id="rId15" Type="http://schemas.openxmlformats.org/officeDocument/2006/relationships/hyperlink" Target="https://www.dss.gov.au/our-responsibilities/families-and-children/programs-services/income-management/place-based-income-management-process-and-short-term-outcomes-evaluation" TargetMode="External"/><Relationship Id="rId23" Type="http://schemas.openxmlformats.org/officeDocument/2006/relationships/hyperlink" Target="https://www.dss.gov.au/sites/default/files/documents/02_2021/fac_evaluation-cdc-ceduna-east-kimberley-and-goldfields-region-consolidated-report_012021.pdf" TargetMode="External"/><Relationship Id="rId28" Type="http://schemas.openxmlformats.org/officeDocument/2006/relationships/hyperlink" Target="http://www.inquirysaac.nt.gov.au/pdf/bipacsa_final_report.pdf" TargetMode="External"/><Relationship Id="rId10" Type="http://schemas.openxmlformats.org/officeDocument/2006/relationships/hyperlink" Target="https://www.dss.gov.au/our-responsibilities/families-and-children/programs-services/income-management/evaluating-new-income-management-in-the-northern-territory-first-evaluation-report" TargetMode="External"/><Relationship Id="rId19" Type="http://schemas.openxmlformats.org/officeDocument/2006/relationships/hyperlink" Target="https://www.dss.gov.au/families-and-children/programmes-services/welfare-conditionality/income-management/place-based-income-management-medium-term-outcomes-evaluation-report" TargetMode="External"/><Relationship Id="rId31" Type="http://schemas.openxmlformats.org/officeDocument/2006/relationships/hyperlink" Target="https://www.abs.gov.au/statistics/economy/business-indicators/counts-australian-businesses-including-entries-and-exits/latest-release" TargetMode="External"/><Relationship Id="rId4" Type="http://schemas.openxmlformats.org/officeDocument/2006/relationships/hyperlink" Target="https://www.health.gov.au/resources/publications/national-alcohol-strategy-2019-2028%20" TargetMode="External"/><Relationship Id="rId9" Type="http://schemas.openxmlformats.org/officeDocument/2006/relationships/hyperlink" Target="https://www.dss.gov.au/sites/default/files/documents/02_2021/fac_evaluation-cdc-ceduna-east-kimberley-and-goldfields-region-consolidated-report_012021.pdf" TargetMode="External"/><Relationship Id="rId14" Type="http://schemas.openxmlformats.org/officeDocument/2006/relationships/hyperlink" Target="https://www.anao.gov.au/work/performance-audit/implementation-and-performance-the-cashless-debit-card-trial-follow" TargetMode="External"/><Relationship Id="rId22" Type="http://schemas.openxmlformats.org/officeDocument/2006/relationships/hyperlink" Target="https://www.dss.gov.au/families-and-children/programs-services/welfare-conditionality/income-management/income-management-evaluations/evaluation-of-new-income-management-in-the-northern-territory" TargetMode="External"/><Relationship Id="rId27" Type="http://schemas.openxmlformats.org/officeDocument/2006/relationships/hyperlink" Target="https://www.aihw.gov.au/reports/australias-health/australias-health-2014/data" TargetMode="External"/><Relationship Id="rId30" Type="http://schemas.openxmlformats.org/officeDocument/2006/relationships/hyperlink" Target="https://cdn.minderoo.com.au/content/uploads/2019/02/05183022/3838-Forrest-Review-Update-Full-Report-Complete-PDF-PRO1-p.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011EF"/>
    <w:rsid w:val="000165C6"/>
    <w:rsid w:val="000271D8"/>
    <w:rsid w:val="00030CCC"/>
    <w:rsid w:val="00033764"/>
    <w:rsid w:val="00035B01"/>
    <w:rsid w:val="000439BE"/>
    <w:rsid w:val="00047BAF"/>
    <w:rsid w:val="00083543"/>
    <w:rsid w:val="00084432"/>
    <w:rsid w:val="00090326"/>
    <w:rsid w:val="000975AD"/>
    <w:rsid w:val="000B766A"/>
    <w:rsid w:val="000C6F90"/>
    <w:rsid w:val="000D1743"/>
    <w:rsid w:val="000D449F"/>
    <w:rsid w:val="000E68B2"/>
    <w:rsid w:val="000E76E7"/>
    <w:rsid w:val="001003E2"/>
    <w:rsid w:val="00114D2E"/>
    <w:rsid w:val="00131815"/>
    <w:rsid w:val="00143116"/>
    <w:rsid w:val="00152247"/>
    <w:rsid w:val="00153BFD"/>
    <w:rsid w:val="0015580E"/>
    <w:rsid w:val="0018787A"/>
    <w:rsid w:val="001A3958"/>
    <w:rsid w:val="001B70F0"/>
    <w:rsid w:val="001E4CA0"/>
    <w:rsid w:val="001E712E"/>
    <w:rsid w:val="001F7BC9"/>
    <w:rsid w:val="0020289A"/>
    <w:rsid w:val="00212E50"/>
    <w:rsid w:val="0023453B"/>
    <w:rsid w:val="00242FF1"/>
    <w:rsid w:val="002A4B35"/>
    <w:rsid w:val="002B7BEC"/>
    <w:rsid w:val="002D4A93"/>
    <w:rsid w:val="002D6E69"/>
    <w:rsid w:val="002F223A"/>
    <w:rsid w:val="00305ED2"/>
    <w:rsid w:val="00315C86"/>
    <w:rsid w:val="003254C0"/>
    <w:rsid w:val="00336195"/>
    <w:rsid w:val="00345887"/>
    <w:rsid w:val="003531A6"/>
    <w:rsid w:val="00354181"/>
    <w:rsid w:val="00357421"/>
    <w:rsid w:val="003A0312"/>
    <w:rsid w:val="003B0547"/>
    <w:rsid w:val="003B238E"/>
    <w:rsid w:val="003B4061"/>
    <w:rsid w:val="003B6857"/>
    <w:rsid w:val="003E7259"/>
    <w:rsid w:val="003F6B52"/>
    <w:rsid w:val="003F7E1D"/>
    <w:rsid w:val="00400C2E"/>
    <w:rsid w:val="004064FE"/>
    <w:rsid w:val="00422703"/>
    <w:rsid w:val="00422ED9"/>
    <w:rsid w:val="00435B71"/>
    <w:rsid w:val="004545ED"/>
    <w:rsid w:val="00456741"/>
    <w:rsid w:val="00462A26"/>
    <w:rsid w:val="0046559C"/>
    <w:rsid w:val="004736BC"/>
    <w:rsid w:val="00480B0C"/>
    <w:rsid w:val="004A0483"/>
    <w:rsid w:val="004A2C43"/>
    <w:rsid w:val="004B6E18"/>
    <w:rsid w:val="004C28BB"/>
    <w:rsid w:val="004F2A7C"/>
    <w:rsid w:val="0051663A"/>
    <w:rsid w:val="00517045"/>
    <w:rsid w:val="00517BB3"/>
    <w:rsid w:val="00521345"/>
    <w:rsid w:val="005339A5"/>
    <w:rsid w:val="00552585"/>
    <w:rsid w:val="005650FD"/>
    <w:rsid w:val="00592FB8"/>
    <w:rsid w:val="005A6F9B"/>
    <w:rsid w:val="005C0B67"/>
    <w:rsid w:val="005D5282"/>
    <w:rsid w:val="005D545C"/>
    <w:rsid w:val="0060633D"/>
    <w:rsid w:val="00606893"/>
    <w:rsid w:val="00622E1F"/>
    <w:rsid w:val="00637627"/>
    <w:rsid w:val="00646F62"/>
    <w:rsid w:val="006556C0"/>
    <w:rsid w:val="006768F8"/>
    <w:rsid w:val="00681C5B"/>
    <w:rsid w:val="006C24FA"/>
    <w:rsid w:val="006E061A"/>
    <w:rsid w:val="006E0DCC"/>
    <w:rsid w:val="006F227D"/>
    <w:rsid w:val="006F66CF"/>
    <w:rsid w:val="00713BE8"/>
    <w:rsid w:val="00751269"/>
    <w:rsid w:val="007654BD"/>
    <w:rsid w:val="00765C33"/>
    <w:rsid w:val="00770AF8"/>
    <w:rsid w:val="00772237"/>
    <w:rsid w:val="0078592E"/>
    <w:rsid w:val="00791E56"/>
    <w:rsid w:val="007C3877"/>
    <w:rsid w:val="007D404C"/>
    <w:rsid w:val="00800170"/>
    <w:rsid w:val="0080361E"/>
    <w:rsid w:val="00810589"/>
    <w:rsid w:val="00811F5B"/>
    <w:rsid w:val="008160EB"/>
    <w:rsid w:val="0083409D"/>
    <w:rsid w:val="00861114"/>
    <w:rsid w:val="008760CD"/>
    <w:rsid w:val="0087653E"/>
    <w:rsid w:val="008765FD"/>
    <w:rsid w:val="008816AD"/>
    <w:rsid w:val="00886730"/>
    <w:rsid w:val="008A6B05"/>
    <w:rsid w:val="008B5F68"/>
    <w:rsid w:val="008C3261"/>
    <w:rsid w:val="008C699F"/>
    <w:rsid w:val="008D1F17"/>
    <w:rsid w:val="008D3B94"/>
    <w:rsid w:val="008E26D1"/>
    <w:rsid w:val="008E373E"/>
    <w:rsid w:val="008E4E59"/>
    <w:rsid w:val="008F14E7"/>
    <w:rsid w:val="008F45FA"/>
    <w:rsid w:val="009073EF"/>
    <w:rsid w:val="00923474"/>
    <w:rsid w:val="00931CCE"/>
    <w:rsid w:val="00934E14"/>
    <w:rsid w:val="00940752"/>
    <w:rsid w:val="009432CA"/>
    <w:rsid w:val="009532A1"/>
    <w:rsid w:val="009704D3"/>
    <w:rsid w:val="00981987"/>
    <w:rsid w:val="009C7875"/>
    <w:rsid w:val="009D5BB4"/>
    <w:rsid w:val="009E0181"/>
    <w:rsid w:val="009E04E1"/>
    <w:rsid w:val="009E30D7"/>
    <w:rsid w:val="009E55C6"/>
    <w:rsid w:val="009F52CE"/>
    <w:rsid w:val="009F6205"/>
    <w:rsid w:val="00A07F31"/>
    <w:rsid w:val="00A12526"/>
    <w:rsid w:val="00A23279"/>
    <w:rsid w:val="00A32347"/>
    <w:rsid w:val="00A40F70"/>
    <w:rsid w:val="00A4221E"/>
    <w:rsid w:val="00A42547"/>
    <w:rsid w:val="00A427BB"/>
    <w:rsid w:val="00A574C8"/>
    <w:rsid w:val="00A57C9D"/>
    <w:rsid w:val="00A63560"/>
    <w:rsid w:val="00A91E38"/>
    <w:rsid w:val="00AB52E4"/>
    <w:rsid w:val="00AB576C"/>
    <w:rsid w:val="00AC0D1A"/>
    <w:rsid w:val="00AF4AA4"/>
    <w:rsid w:val="00B25428"/>
    <w:rsid w:val="00B433EA"/>
    <w:rsid w:val="00B51A0E"/>
    <w:rsid w:val="00B57201"/>
    <w:rsid w:val="00B63490"/>
    <w:rsid w:val="00B634C0"/>
    <w:rsid w:val="00B7094E"/>
    <w:rsid w:val="00B74A92"/>
    <w:rsid w:val="00B767AC"/>
    <w:rsid w:val="00B83808"/>
    <w:rsid w:val="00B954F9"/>
    <w:rsid w:val="00BB5D36"/>
    <w:rsid w:val="00BD7F04"/>
    <w:rsid w:val="00C13CA6"/>
    <w:rsid w:val="00C226DB"/>
    <w:rsid w:val="00C25989"/>
    <w:rsid w:val="00C25E8A"/>
    <w:rsid w:val="00C301A0"/>
    <w:rsid w:val="00C30D63"/>
    <w:rsid w:val="00C32784"/>
    <w:rsid w:val="00C55E34"/>
    <w:rsid w:val="00C7065D"/>
    <w:rsid w:val="00C72674"/>
    <w:rsid w:val="00C82152"/>
    <w:rsid w:val="00C923CD"/>
    <w:rsid w:val="00CA492F"/>
    <w:rsid w:val="00CA7A33"/>
    <w:rsid w:val="00CA7FB4"/>
    <w:rsid w:val="00CB3BFE"/>
    <w:rsid w:val="00CB545C"/>
    <w:rsid w:val="00CC6CC1"/>
    <w:rsid w:val="00CD2745"/>
    <w:rsid w:val="00D02530"/>
    <w:rsid w:val="00D24494"/>
    <w:rsid w:val="00D3670A"/>
    <w:rsid w:val="00D468D1"/>
    <w:rsid w:val="00D51A1B"/>
    <w:rsid w:val="00D81EA1"/>
    <w:rsid w:val="00D86818"/>
    <w:rsid w:val="00D9236B"/>
    <w:rsid w:val="00D93380"/>
    <w:rsid w:val="00DA632D"/>
    <w:rsid w:val="00DB01EB"/>
    <w:rsid w:val="00DD1C50"/>
    <w:rsid w:val="00DD2A92"/>
    <w:rsid w:val="00DE47C9"/>
    <w:rsid w:val="00DF660F"/>
    <w:rsid w:val="00E1352F"/>
    <w:rsid w:val="00E24B8A"/>
    <w:rsid w:val="00E43013"/>
    <w:rsid w:val="00E50FB3"/>
    <w:rsid w:val="00E64BD2"/>
    <w:rsid w:val="00E718B1"/>
    <w:rsid w:val="00E77BFF"/>
    <w:rsid w:val="00E920D8"/>
    <w:rsid w:val="00E9653F"/>
    <w:rsid w:val="00EA011E"/>
    <w:rsid w:val="00EA4A4F"/>
    <w:rsid w:val="00EA6E08"/>
    <w:rsid w:val="00EA795D"/>
    <w:rsid w:val="00EE4C0F"/>
    <w:rsid w:val="00EF4043"/>
    <w:rsid w:val="00EF4D40"/>
    <w:rsid w:val="00EF68E2"/>
    <w:rsid w:val="00EF6CE8"/>
    <w:rsid w:val="00F21D8E"/>
    <w:rsid w:val="00F33B64"/>
    <w:rsid w:val="00F449B4"/>
    <w:rsid w:val="00F73CE9"/>
    <w:rsid w:val="00FB414C"/>
    <w:rsid w:val="00FE2BC5"/>
    <w:rsid w:val="00FE4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DOCID-322795542-23522</_dlc_DocId>
    <_dlc_DocIdUrl xmlns="4195ad5f-cdf2-4c4a-8d9b-b7944a108e98">
      <Url>https://pmc01.sharepoint.com/sites/CRMOBPR/_layouts/15/DocIdRedir.aspx?ID=DOCID-322795542-23522</Url>
      <Description>DOCID-322795542-23522</Description>
    </_dlc_DocIdUrl>
  </documentManagement>
</p:properties>
</file>

<file path=customXml/itemProps1.xml><?xml version="1.0" encoding="utf-8"?>
<ds:datastoreItem xmlns:ds="http://schemas.openxmlformats.org/officeDocument/2006/customXml" ds:itemID="{F2C9BDC0-4B9C-4D73-8599-01BFA32394E3}"/>
</file>

<file path=customXml/itemProps2.xml><?xml version="1.0" encoding="utf-8"?>
<ds:datastoreItem xmlns:ds="http://schemas.openxmlformats.org/officeDocument/2006/customXml" ds:itemID="{AD59F8EC-C4F0-4D61-986B-4EA2BCBAF138}"/>
</file>

<file path=customXml/itemProps3.xml><?xml version="1.0" encoding="utf-8"?>
<ds:datastoreItem xmlns:ds="http://schemas.openxmlformats.org/officeDocument/2006/customXml" ds:itemID="{6415E6BF-CD04-446B-BF2F-93F0356072D6}"/>
</file>

<file path=customXml/itemProps4.xml><?xml version="1.0" encoding="utf-8"?>
<ds:datastoreItem xmlns:ds="http://schemas.openxmlformats.org/officeDocument/2006/customXml" ds:itemID="{496EF533-7D36-4344-B375-BF215A697C6C}"/>
</file>

<file path=docProps/app.xml><?xml version="1.0" encoding="utf-8"?>
<Properties xmlns="http://schemas.openxmlformats.org/officeDocument/2006/extended-properties" xmlns:vt="http://schemas.openxmlformats.org/officeDocument/2006/docPropsVTypes">
  <Template>Normal</Template>
  <TotalTime>0</TotalTime>
  <Pages>110</Pages>
  <Words>36058</Words>
  <Characters>205532</Characters>
  <Application>Microsoft Office Word</Application>
  <DocSecurity>4</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2022-10-31T22:55:00Z</dcterms:created>
  <dcterms:modified xsi:type="dcterms:W3CDTF">2022-10-31T22:55:00Z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1daa2dfa-e302-4ba1-96ae-044d476a9cec</vt:lpwstr>
  </property>
</Properties>
</file>