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1E358" w14:textId="77777777" w:rsidR="00C47C54" w:rsidRDefault="00C47C54" w:rsidP="00ED3CD3"/>
    <w:p w14:paraId="309BA91F" w14:textId="6E5A2D70" w:rsidR="00C47C54" w:rsidRPr="00694C76" w:rsidRDefault="00B6214D" w:rsidP="00694C76">
      <w:pPr>
        <w:pStyle w:val="CoverLine"/>
      </w:pPr>
      <w:r w:rsidRPr="008A3584">
        <w:rPr>
          <w:noProof/>
          <w:lang w:eastAsia="en-AU"/>
        </w:rPr>
        <mc:AlternateContent>
          <mc:Choice Requires="wps">
            <w:drawing>
              <wp:anchor distT="0" distB="0" distL="114300" distR="114300" simplePos="0" relativeHeight="251658241" behindDoc="0" locked="0" layoutInCell="1" allowOverlap="1" wp14:anchorId="13823A63" wp14:editId="0606A20A">
                <wp:simplePos x="0" y="0"/>
                <wp:positionH relativeFrom="page">
                  <wp:posOffset>648335</wp:posOffset>
                </wp:positionH>
                <wp:positionV relativeFrom="paragraph">
                  <wp:posOffset>1223645</wp:posOffset>
                </wp:positionV>
                <wp:extent cx="2383200" cy="691200"/>
                <wp:effectExtent l="0" t="0" r="16510" b="13970"/>
                <wp:wrapNone/>
                <wp:docPr id="12" name="Rectangle 12" descr="Background shape" title="Background shape"/>
                <wp:cNvGraphicFramePr/>
                <a:graphic xmlns:a="http://schemas.openxmlformats.org/drawingml/2006/main">
                  <a:graphicData uri="http://schemas.microsoft.com/office/word/2010/wordprocessingShape">
                    <wps:wsp>
                      <wps:cNvSpPr/>
                      <wps:spPr>
                        <a:xfrm>
                          <a:off x="0" y="0"/>
                          <a:ext cx="2383200" cy="6912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93441" w14:textId="2B639D67" w:rsidR="00521088" w:rsidRPr="00694C76" w:rsidRDefault="00521088" w:rsidP="00B6214D">
                            <w:pPr>
                              <w:pStyle w:val="Title"/>
                            </w:pPr>
                            <w:r>
                              <w:t>DISCUSSIon Paper</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3823A63" id="Rectangle 12" o:spid="_x0000_s1026" alt="Title: Background shape - Description: Background shape" style="position:absolute;left:0;text-align:left;margin-left:51.05pt;margin-top:96.35pt;width:187.65pt;height:54.45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" filled="f" stroked="f" strokeweight=".25pt">
                <v:textbox style="mso-fit-shape-to-text:t" inset="0,0,0,0">
                  <w:txbxContent>
                    <w:p w14:paraId="3A093441" w14:textId="2B639D67" w:rsidR="00521088" w:rsidRPr="00694C76" w:rsidRDefault="00521088" w:rsidP="00B6214D">
                      <w:pPr>
                        <w:pStyle w:val="Title"/>
                      </w:pPr>
                      <w:r>
                        <w:t>DISCUSSIon Paper</w:t>
                      </w:r>
                    </w:p>
                  </w:txbxContent>
                </v:textbox>
                <w10:wrap anchorx="page"/>
              </v:rect>
            </w:pict>
          </mc:Fallback>
        </mc:AlternateContent>
      </w:r>
      <w:r w:rsidR="0066321B">
        <w:t>DISCUSSIon Paper</w:t>
      </w:r>
      <w:r w:rsidR="00FE110C" w:rsidRPr="008A3584">
        <w:rPr>
          <w:noProof/>
          <w:lang w:eastAsia="en-AU"/>
        </w:rPr>
        <mc:AlternateContent>
          <mc:Choice Requires="wps">
            <w:drawing>
              <wp:anchor distT="0" distB="0" distL="114300" distR="114300" simplePos="0" relativeHeight="251658240" behindDoc="1" locked="0" layoutInCell="1" allowOverlap="1" wp14:anchorId="47830458" wp14:editId="084A6BFB">
                <wp:simplePos x="0" y="0"/>
                <wp:positionH relativeFrom="margin">
                  <wp:posOffset>-914400</wp:posOffset>
                </wp:positionH>
                <wp:positionV relativeFrom="margin">
                  <wp:posOffset>1019175</wp:posOffset>
                </wp:positionV>
                <wp:extent cx="6674400" cy="3045600"/>
                <wp:effectExtent l="0" t="0" r="0" b="3175"/>
                <wp:wrapNone/>
                <wp:docPr id="6" name="Rectangle 6" descr="Background shape" title="Background shape"/>
                <wp:cNvGraphicFramePr/>
                <a:graphic xmlns:a="http://schemas.openxmlformats.org/drawingml/2006/main">
                  <a:graphicData uri="http://schemas.microsoft.com/office/word/2010/wordprocessingShape">
                    <wps:wsp>
                      <wps:cNvSpPr/>
                      <wps:spPr>
                        <a:xfrm>
                          <a:off x="0" y="0"/>
                          <a:ext cx="6674400" cy="304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5CAF5" w14:textId="501F41FF" w:rsidR="00521088" w:rsidRDefault="00521088" w:rsidP="00FE110C">
                            <w:pPr>
                              <w:pStyle w:val="PaperTitle"/>
                            </w:pPr>
                            <w:r>
                              <w:t>Private Health Insurance Capital Standards Review</w:t>
                            </w:r>
                          </w:p>
                          <w:p w14:paraId="17680FD8" w14:textId="5ADC8E56" w:rsidR="00521088" w:rsidRPr="00FE110C" w:rsidRDefault="00521088" w:rsidP="00FE110C">
                            <w:pPr>
                              <w:pStyle w:val="CoverDate"/>
                            </w:pPr>
                            <w:r>
                              <w:t>3 DECEMBER 2019</w:t>
                            </w:r>
                          </w:p>
                        </w:txbxContent>
                      </wps:txbx>
                      <wps:bodyPr rot="0" spcFirstLastPara="0" vertOverflow="overflow" horzOverflow="overflow" vert="horz" wrap="square" lIns="648000" tIns="45720" rIns="288000" bIns="360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7830458" id="Rectangle 6" o:spid="_x0000_s1027" alt="Title: Background shape - Description: Background shape" style="position:absolute;left:0;text-align:left;margin-left:-1in;margin-top:80.25pt;width:525.55pt;height:23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" fillcolor="white [3212]" stroked="f" strokeweight="2pt">
                <v:textbox style="mso-fit-shape-to-text:t" inset="18mm,,8mm,10mm">
                  <w:txbxContent>
                    <w:p w14:paraId="74A5CAF5" w14:textId="501F41FF" w:rsidR="00521088" w:rsidRDefault="00521088" w:rsidP="00FE110C">
                      <w:pPr>
                        <w:pStyle w:val="PaperTitle"/>
                      </w:pPr>
                      <w:r>
                        <w:t>Private Health Insurance Capital Standards Review</w:t>
                      </w:r>
                    </w:p>
                    <w:p w14:paraId="17680FD8" w14:textId="5ADC8E56" w:rsidR="00521088" w:rsidRPr="00FE110C" w:rsidRDefault="00521088" w:rsidP="00FE110C">
                      <w:pPr>
                        <w:pStyle w:val="CoverDate"/>
                      </w:pPr>
                      <w:r>
                        <w:t>3 DECEMBER 2019</w:t>
                      </w:r>
                    </w:p>
                  </w:txbxContent>
                </v:textbox>
                <w10:wrap anchorx="margin" anchory="margin"/>
              </v:rect>
            </w:pict>
          </mc:Fallback>
        </mc:AlternateContent>
      </w:r>
    </w:p>
    <w:p w14:paraId="5EB3D15E" w14:textId="77777777" w:rsidR="003B51A4" w:rsidRDefault="003B51A4" w:rsidP="00C47C54">
      <w:r>
        <w:br w:type="page"/>
      </w:r>
    </w:p>
    <w:p w14:paraId="3373EB73" w14:textId="77777777" w:rsidR="003B51A4" w:rsidRPr="003B51A4" w:rsidRDefault="003B51A4" w:rsidP="00460E6B">
      <w:pPr>
        <w:pStyle w:val="DisclaimerHeading"/>
        <w:framePr w:wrap="around"/>
      </w:pPr>
      <w:r w:rsidRPr="008F1B07">
        <w:lastRenderedPageBreak/>
        <w:t>Disclaimer Text</w:t>
      </w:r>
    </w:p>
    <w:p w14:paraId="011C6EA0" w14:textId="77777777" w:rsidR="008F3B15" w:rsidRDefault="008F3B15" w:rsidP="008F3B15">
      <w:pPr>
        <w:pStyle w:val="DisclaimerText"/>
        <w:framePr w:wrap="around"/>
      </w:pPr>
      <w:r>
        <w:t xml:space="preserve">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 </w:t>
      </w:r>
    </w:p>
    <w:p w14:paraId="3ACCAD6B" w14:textId="77777777" w:rsidR="008F3B15" w:rsidRPr="008F3B15" w:rsidRDefault="008F3B15" w:rsidP="008F3B15">
      <w:pPr>
        <w:pStyle w:val="DisclaimerText"/>
        <w:framePr w:wrap="around"/>
        <w:rPr>
          <w:rStyle w:val="BoldCharacterDINOTMedium"/>
        </w:rPr>
      </w:pPr>
      <w:r w:rsidRPr="008F3B15">
        <w:rPr>
          <w:rStyle w:val="BoldCharacterDINOTMedium"/>
        </w:rPr>
        <w:t xml:space="preserve">© Australian Prudential Regulation Authority (APRA) </w:t>
      </w:r>
    </w:p>
    <w:p w14:paraId="5925ABAD" w14:textId="77777777" w:rsidR="008F3B15" w:rsidRDefault="008F3B15" w:rsidP="008F3B15">
      <w:pPr>
        <w:pStyle w:val="DisclaimerText"/>
        <w:framePr w:wrap="around"/>
      </w:pPr>
      <w:r>
        <w:t xml:space="preserve">This work is licensed under the Creative Commons Attribution 3.0 Australia Licence  </w:t>
      </w:r>
    </w:p>
    <w:p w14:paraId="1537EDEF" w14:textId="77777777" w:rsidR="003B51A4" w:rsidRPr="003B51A4" w:rsidRDefault="008F3B15" w:rsidP="008F3B15">
      <w:pPr>
        <w:pStyle w:val="DisclaimerText"/>
        <w:framePr w:wrap="around"/>
      </w:pPr>
      <w:r>
        <w:t xml:space="preserve">(CCBY 3.0). This licence allows you to copy, distribute and adapt this work, provided you attribute the work and do not suggest that APRA endorses you or your work. To view a full copy of the terms of this licence, visit </w:t>
      </w:r>
      <w:hyperlink r:id="rId9" w:history="1">
        <w:r w:rsidR="00515B31" w:rsidRPr="00A52B2C">
          <w:rPr>
            <w:rStyle w:val="Hyperlink"/>
          </w:rPr>
          <w:t>https://creativecommons.org/licenses/by/3.0/au/</w:t>
        </w:r>
      </w:hyperlink>
      <w:r w:rsidR="00515B31">
        <w:t xml:space="preserve"> </w:t>
      </w:r>
    </w:p>
    <w:p w14:paraId="1DAF9463" w14:textId="77777777" w:rsidR="003B51A4" w:rsidRDefault="003B51A4" w:rsidP="003B51A4">
      <w:pPr>
        <w:numPr>
          <w:ilvl w:val="0"/>
          <w:numId w:val="0"/>
        </w:numPr>
        <w:rPr>
          <w:rFonts w:ascii="DIN Offc Medium" w:eastAsiaTheme="majorEastAsia" w:hAnsi="DIN Offc Medium" w:cstheme="majorBidi"/>
          <w:color w:val="012169" w:themeColor="text2"/>
          <w:sz w:val="90"/>
          <w:szCs w:val="52"/>
        </w:rPr>
      </w:pPr>
      <w:r>
        <w:br w:type="page"/>
      </w:r>
    </w:p>
    <w:p w14:paraId="73DC5408" w14:textId="77777777" w:rsidR="00C636DA" w:rsidRDefault="00C636DA" w:rsidP="00BD7B83">
      <w:pPr>
        <w:pStyle w:val="TOCHeading"/>
      </w:pPr>
      <w:r w:rsidRPr="00BD7B83">
        <w:lastRenderedPageBreak/>
        <w:t>Contents</w:t>
      </w:r>
    </w:p>
    <w:p w14:paraId="418C5FB9" w14:textId="3A349109" w:rsidR="00071C61" w:rsidRDefault="00AD393D">
      <w:pPr>
        <w:pStyle w:val="TOC1"/>
        <w:rPr>
          <w:rFonts w:asciiTheme="minorHAnsi" w:eastAsiaTheme="minorEastAsia" w:hAnsiTheme="minorHAnsi"/>
          <w:noProof/>
          <w:color w:val="auto"/>
          <w:lang w:eastAsia="en-AU"/>
        </w:rPr>
      </w:pPr>
      <w:r>
        <w:rPr>
          <w:noProof/>
          <w:lang w:val="en-US"/>
        </w:rPr>
        <w:fldChar w:fldCharType="begin"/>
      </w:r>
      <w:r>
        <w:rPr>
          <w:noProof/>
          <w:lang w:val="en-US"/>
        </w:rPr>
        <w:instrText xml:space="preserve"> TOC \o "1-3" \h \z \u </w:instrText>
      </w:r>
      <w:r>
        <w:rPr>
          <w:noProof/>
          <w:lang w:val="en-US"/>
        </w:rPr>
        <w:fldChar w:fldCharType="separate"/>
      </w:r>
      <w:hyperlink w:anchor="_Toc25941626" w:history="1">
        <w:r w:rsidR="00071C61" w:rsidRPr="00E11F83">
          <w:rPr>
            <w:rStyle w:val="Hyperlink"/>
            <w:noProof/>
          </w:rPr>
          <w:t>Executive summary</w:t>
        </w:r>
        <w:r w:rsidR="00071C61">
          <w:rPr>
            <w:noProof/>
            <w:webHidden/>
          </w:rPr>
          <w:tab/>
        </w:r>
        <w:r w:rsidR="00071C61">
          <w:rPr>
            <w:noProof/>
            <w:webHidden/>
          </w:rPr>
          <w:fldChar w:fldCharType="begin"/>
        </w:r>
        <w:r w:rsidR="00071C61">
          <w:rPr>
            <w:noProof/>
            <w:webHidden/>
          </w:rPr>
          <w:instrText xml:space="preserve"> PAGEREF _Toc25941626 \h </w:instrText>
        </w:r>
        <w:r w:rsidR="00071C61">
          <w:rPr>
            <w:noProof/>
            <w:webHidden/>
          </w:rPr>
        </w:r>
        <w:r w:rsidR="00071C61">
          <w:rPr>
            <w:noProof/>
            <w:webHidden/>
          </w:rPr>
          <w:fldChar w:fldCharType="separate"/>
        </w:r>
        <w:r w:rsidR="00071C61">
          <w:rPr>
            <w:noProof/>
            <w:webHidden/>
          </w:rPr>
          <w:t>5</w:t>
        </w:r>
        <w:r w:rsidR="00071C61">
          <w:rPr>
            <w:noProof/>
            <w:webHidden/>
          </w:rPr>
          <w:fldChar w:fldCharType="end"/>
        </w:r>
      </w:hyperlink>
    </w:p>
    <w:p w14:paraId="41411AB1" w14:textId="0DACCD74" w:rsidR="00071C61" w:rsidRDefault="00992268">
      <w:pPr>
        <w:pStyle w:val="TOC1"/>
        <w:rPr>
          <w:rFonts w:asciiTheme="minorHAnsi" w:eastAsiaTheme="minorEastAsia" w:hAnsiTheme="minorHAnsi"/>
          <w:noProof/>
          <w:color w:val="auto"/>
          <w:lang w:eastAsia="en-AU"/>
        </w:rPr>
      </w:pPr>
      <w:hyperlink w:anchor="_Toc25941627" w:history="1">
        <w:r w:rsidR="00071C61" w:rsidRPr="00E11F83">
          <w:rPr>
            <w:rStyle w:val="Hyperlink"/>
            <w:noProof/>
          </w:rPr>
          <w:t>Glossary</w:t>
        </w:r>
        <w:r w:rsidR="00071C61">
          <w:rPr>
            <w:noProof/>
            <w:webHidden/>
          </w:rPr>
          <w:tab/>
        </w:r>
        <w:r w:rsidR="00071C61">
          <w:rPr>
            <w:noProof/>
            <w:webHidden/>
          </w:rPr>
          <w:fldChar w:fldCharType="begin"/>
        </w:r>
        <w:r w:rsidR="00071C61">
          <w:rPr>
            <w:noProof/>
            <w:webHidden/>
          </w:rPr>
          <w:instrText xml:space="preserve"> PAGEREF _Toc25941627 \h </w:instrText>
        </w:r>
        <w:r w:rsidR="00071C61">
          <w:rPr>
            <w:noProof/>
            <w:webHidden/>
          </w:rPr>
        </w:r>
        <w:r w:rsidR="00071C61">
          <w:rPr>
            <w:noProof/>
            <w:webHidden/>
          </w:rPr>
          <w:fldChar w:fldCharType="separate"/>
        </w:r>
        <w:r w:rsidR="00071C61">
          <w:rPr>
            <w:noProof/>
            <w:webHidden/>
          </w:rPr>
          <w:t>8</w:t>
        </w:r>
        <w:r w:rsidR="00071C61">
          <w:rPr>
            <w:noProof/>
            <w:webHidden/>
          </w:rPr>
          <w:fldChar w:fldCharType="end"/>
        </w:r>
      </w:hyperlink>
    </w:p>
    <w:p w14:paraId="79A9D403" w14:textId="3952A40C" w:rsidR="00071C61" w:rsidRDefault="00992268">
      <w:pPr>
        <w:pStyle w:val="TOC1"/>
        <w:rPr>
          <w:rFonts w:asciiTheme="minorHAnsi" w:eastAsiaTheme="minorEastAsia" w:hAnsiTheme="minorHAnsi"/>
          <w:noProof/>
          <w:color w:val="auto"/>
          <w:lang w:eastAsia="en-AU"/>
        </w:rPr>
      </w:pPr>
      <w:hyperlink w:anchor="_Toc25941628" w:history="1">
        <w:r w:rsidR="00071C61" w:rsidRPr="00E11F83">
          <w:rPr>
            <w:rStyle w:val="Hyperlink"/>
            <w:noProof/>
            <w14:scene3d>
              <w14:camera w14:prst="orthographicFront"/>
              <w14:lightRig w14:rig="threePt" w14:dir="t">
                <w14:rot w14:lat="0" w14:lon="0" w14:rev="0"/>
              </w14:lightRig>
            </w14:scene3d>
          </w:rPr>
          <w:t>Chapter 1 -</w:t>
        </w:r>
        <w:r w:rsidR="00071C61" w:rsidRPr="00E11F83">
          <w:rPr>
            <w:rStyle w:val="Hyperlink"/>
            <w:noProof/>
          </w:rPr>
          <w:t xml:space="preserve"> Introduction</w:t>
        </w:r>
        <w:r w:rsidR="00071C61">
          <w:rPr>
            <w:noProof/>
            <w:webHidden/>
          </w:rPr>
          <w:tab/>
        </w:r>
        <w:r w:rsidR="00071C61">
          <w:rPr>
            <w:noProof/>
            <w:webHidden/>
          </w:rPr>
          <w:fldChar w:fldCharType="begin"/>
        </w:r>
        <w:r w:rsidR="00071C61">
          <w:rPr>
            <w:noProof/>
            <w:webHidden/>
          </w:rPr>
          <w:instrText xml:space="preserve"> PAGEREF _Toc25941628 \h </w:instrText>
        </w:r>
        <w:r w:rsidR="00071C61">
          <w:rPr>
            <w:noProof/>
            <w:webHidden/>
          </w:rPr>
        </w:r>
        <w:r w:rsidR="00071C61">
          <w:rPr>
            <w:noProof/>
            <w:webHidden/>
          </w:rPr>
          <w:fldChar w:fldCharType="separate"/>
        </w:r>
        <w:r w:rsidR="00071C61">
          <w:rPr>
            <w:noProof/>
            <w:webHidden/>
          </w:rPr>
          <w:t>10</w:t>
        </w:r>
        <w:r w:rsidR="00071C61">
          <w:rPr>
            <w:noProof/>
            <w:webHidden/>
          </w:rPr>
          <w:fldChar w:fldCharType="end"/>
        </w:r>
      </w:hyperlink>
    </w:p>
    <w:p w14:paraId="03375D85" w14:textId="326C3016" w:rsidR="00071C61" w:rsidRDefault="00992268">
      <w:pPr>
        <w:pStyle w:val="TOC2"/>
        <w:rPr>
          <w:rFonts w:asciiTheme="minorHAnsi" w:eastAsiaTheme="minorEastAsia" w:hAnsiTheme="minorHAnsi"/>
          <w:noProof/>
          <w:color w:val="auto"/>
          <w:lang w:eastAsia="en-AU"/>
        </w:rPr>
      </w:pPr>
      <w:hyperlink w:anchor="_Toc25941629" w:history="1">
        <w:r w:rsidR="00071C61" w:rsidRPr="00E11F83">
          <w:rPr>
            <w:rStyle w:val="Hyperlink"/>
            <w:noProof/>
            <w14:scene3d>
              <w14:camera w14:prst="orthographicFront"/>
              <w14:lightRig w14:rig="threePt" w14:dir="t">
                <w14:rot w14:lat="0" w14:lon="0" w14:rev="0"/>
              </w14:lightRig>
            </w14:scene3d>
          </w:rPr>
          <w:t>1.1</w:t>
        </w:r>
        <w:r w:rsidR="00071C61">
          <w:rPr>
            <w:rFonts w:asciiTheme="minorHAnsi" w:eastAsiaTheme="minorEastAsia" w:hAnsiTheme="minorHAnsi"/>
            <w:noProof/>
            <w:color w:val="auto"/>
            <w:lang w:eastAsia="en-AU"/>
          </w:rPr>
          <w:tab/>
        </w:r>
        <w:r w:rsidR="00071C61" w:rsidRPr="00E11F83">
          <w:rPr>
            <w:rStyle w:val="Hyperlink"/>
            <w:noProof/>
          </w:rPr>
          <w:t>Background</w:t>
        </w:r>
        <w:r w:rsidR="00071C61">
          <w:rPr>
            <w:noProof/>
            <w:webHidden/>
          </w:rPr>
          <w:tab/>
        </w:r>
        <w:r w:rsidR="00071C61">
          <w:rPr>
            <w:noProof/>
            <w:webHidden/>
          </w:rPr>
          <w:fldChar w:fldCharType="begin"/>
        </w:r>
        <w:r w:rsidR="00071C61">
          <w:rPr>
            <w:noProof/>
            <w:webHidden/>
          </w:rPr>
          <w:instrText xml:space="preserve"> PAGEREF _Toc25941629 \h </w:instrText>
        </w:r>
        <w:r w:rsidR="00071C61">
          <w:rPr>
            <w:noProof/>
            <w:webHidden/>
          </w:rPr>
        </w:r>
        <w:r w:rsidR="00071C61">
          <w:rPr>
            <w:noProof/>
            <w:webHidden/>
          </w:rPr>
          <w:fldChar w:fldCharType="separate"/>
        </w:r>
        <w:r w:rsidR="00071C61">
          <w:rPr>
            <w:noProof/>
            <w:webHidden/>
          </w:rPr>
          <w:t>10</w:t>
        </w:r>
        <w:r w:rsidR="00071C61">
          <w:rPr>
            <w:noProof/>
            <w:webHidden/>
          </w:rPr>
          <w:fldChar w:fldCharType="end"/>
        </w:r>
      </w:hyperlink>
    </w:p>
    <w:p w14:paraId="7E0B767A" w14:textId="7B7D79A8" w:rsidR="00071C61" w:rsidRDefault="00992268">
      <w:pPr>
        <w:pStyle w:val="TOC2"/>
        <w:rPr>
          <w:rFonts w:asciiTheme="minorHAnsi" w:eastAsiaTheme="minorEastAsia" w:hAnsiTheme="minorHAnsi"/>
          <w:noProof/>
          <w:color w:val="auto"/>
          <w:lang w:eastAsia="en-AU"/>
        </w:rPr>
      </w:pPr>
      <w:hyperlink w:anchor="_Toc25941630" w:history="1">
        <w:r w:rsidR="00071C61" w:rsidRPr="00E11F83">
          <w:rPr>
            <w:rStyle w:val="Hyperlink"/>
            <w:noProof/>
            <w14:scene3d>
              <w14:camera w14:prst="orthographicFront"/>
              <w14:lightRig w14:rig="threePt" w14:dir="t">
                <w14:rot w14:lat="0" w14:lon="0" w14:rev="0"/>
              </w14:lightRig>
            </w14:scene3d>
          </w:rPr>
          <w:t>1.2</w:t>
        </w:r>
        <w:r w:rsidR="00071C61">
          <w:rPr>
            <w:rFonts w:asciiTheme="minorHAnsi" w:eastAsiaTheme="minorEastAsia" w:hAnsiTheme="minorHAnsi"/>
            <w:noProof/>
            <w:color w:val="auto"/>
            <w:lang w:eastAsia="en-AU"/>
          </w:rPr>
          <w:tab/>
        </w:r>
        <w:r w:rsidR="00071C61" w:rsidRPr="00E11F83">
          <w:rPr>
            <w:rStyle w:val="Hyperlink"/>
            <w:noProof/>
          </w:rPr>
          <w:t>The current PHI capital framework</w:t>
        </w:r>
        <w:r w:rsidR="00071C61">
          <w:rPr>
            <w:noProof/>
            <w:webHidden/>
          </w:rPr>
          <w:tab/>
        </w:r>
        <w:r w:rsidR="00071C61">
          <w:rPr>
            <w:noProof/>
            <w:webHidden/>
          </w:rPr>
          <w:fldChar w:fldCharType="begin"/>
        </w:r>
        <w:r w:rsidR="00071C61">
          <w:rPr>
            <w:noProof/>
            <w:webHidden/>
          </w:rPr>
          <w:instrText xml:space="preserve"> PAGEREF _Toc25941630 \h </w:instrText>
        </w:r>
        <w:r w:rsidR="00071C61">
          <w:rPr>
            <w:noProof/>
            <w:webHidden/>
          </w:rPr>
        </w:r>
        <w:r w:rsidR="00071C61">
          <w:rPr>
            <w:noProof/>
            <w:webHidden/>
          </w:rPr>
          <w:fldChar w:fldCharType="separate"/>
        </w:r>
        <w:r w:rsidR="00071C61">
          <w:rPr>
            <w:noProof/>
            <w:webHidden/>
          </w:rPr>
          <w:t>10</w:t>
        </w:r>
        <w:r w:rsidR="00071C61">
          <w:rPr>
            <w:noProof/>
            <w:webHidden/>
          </w:rPr>
          <w:fldChar w:fldCharType="end"/>
        </w:r>
      </w:hyperlink>
    </w:p>
    <w:p w14:paraId="1D38CF51" w14:textId="3694D5C8" w:rsidR="00071C61" w:rsidRDefault="00992268">
      <w:pPr>
        <w:pStyle w:val="TOC2"/>
        <w:rPr>
          <w:rFonts w:asciiTheme="minorHAnsi" w:eastAsiaTheme="minorEastAsia" w:hAnsiTheme="minorHAnsi"/>
          <w:noProof/>
          <w:color w:val="auto"/>
          <w:lang w:eastAsia="en-AU"/>
        </w:rPr>
      </w:pPr>
      <w:hyperlink w:anchor="_Toc25941634" w:history="1">
        <w:r w:rsidR="00071C61" w:rsidRPr="00E11F83">
          <w:rPr>
            <w:rStyle w:val="Hyperlink"/>
            <w:noProof/>
            <w14:scene3d>
              <w14:camera w14:prst="orthographicFront"/>
              <w14:lightRig w14:rig="threePt" w14:dir="t">
                <w14:rot w14:lat="0" w14:lon="0" w14:rev="0"/>
              </w14:lightRig>
            </w14:scene3d>
          </w:rPr>
          <w:t>1.3</w:t>
        </w:r>
        <w:r w:rsidR="00071C61">
          <w:rPr>
            <w:rFonts w:asciiTheme="minorHAnsi" w:eastAsiaTheme="minorEastAsia" w:hAnsiTheme="minorHAnsi"/>
            <w:noProof/>
            <w:color w:val="auto"/>
            <w:lang w:eastAsia="en-AU"/>
          </w:rPr>
          <w:tab/>
        </w:r>
        <w:r w:rsidR="00071C61" w:rsidRPr="00E11F83">
          <w:rPr>
            <w:rStyle w:val="Hyperlink"/>
            <w:noProof/>
          </w:rPr>
          <w:t>Why is APRA reviewing the standards?</w:t>
        </w:r>
        <w:r w:rsidR="00071C61">
          <w:rPr>
            <w:noProof/>
            <w:webHidden/>
          </w:rPr>
          <w:tab/>
        </w:r>
        <w:r w:rsidR="00071C61">
          <w:rPr>
            <w:noProof/>
            <w:webHidden/>
          </w:rPr>
          <w:fldChar w:fldCharType="begin"/>
        </w:r>
        <w:r w:rsidR="00071C61">
          <w:rPr>
            <w:noProof/>
            <w:webHidden/>
          </w:rPr>
          <w:instrText xml:space="preserve"> PAGEREF _Toc25941634 \h </w:instrText>
        </w:r>
        <w:r w:rsidR="00071C61">
          <w:rPr>
            <w:noProof/>
            <w:webHidden/>
          </w:rPr>
        </w:r>
        <w:r w:rsidR="00071C61">
          <w:rPr>
            <w:noProof/>
            <w:webHidden/>
          </w:rPr>
          <w:fldChar w:fldCharType="separate"/>
        </w:r>
        <w:r w:rsidR="00071C61">
          <w:rPr>
            <w:noProof/>
            <w:webHidden/>
          </w:rPr>
          <w:t>13</w:t>
        </w:r>
        <w:r w:rsidR="00071C61">
          <w:rPr>
            <w:noProof/>
            <w:webHidden/>
          </w:rPr>
          <w:fldChar w:fldCharType="end"/>
        </w:r>
      </w:hyperlink>
    </w:p>
    <w:p w14:paraId="27762ACC" w14:textId="06DA329A" w:rsidR="00071C61" w:rsidRDefault="00992268">
      <w:pPr>
        <w:pStyle w:val="TOC2"/>
        <w:rPr>
          <w:rFonts w:asciiTheme="minorHAnsi" w:eastAsiaTheme="minorEastAsia" w:hAnsiTheme="minorHAnsi"/>
          <w:noProof/>
          <w:color w:val="auto"/>
          <w:lang w:eastAsia="en-AU"/>
        </w:rPr>
      </w:pPr>
      <w:hyperlink w:anchor="_Toc25941635" w:history="1">
        <w:r w:rsidR="00071C61" w:rsidRPr="00E11F83">
          <w:rPr>
            <w:rStyle w:val="Hyperlink"/>
            <w:noProof/>
            <w14:scene3d>
              <w14:camera w14:prst="orthographicFront"/>
              <w14:lightRig w14:rig="threePt" w14:dir="t">
                <w14:rot w14:lat="0" w14:lon="0" w14:rev="0"/>
              </w14:lightRig>
            </w14:scene3d>
          </w:rPr>
          <w:t>1.4</w:t>
        </w:r>
        <w:r w:rsidR="00071C61">
          <w:rPr>
            <w:rFonts w:asciiTheme="minorHAnsi" w:eastAsiaTheme="minorEastAsia" w:hAnsiTheme="minorHAnsi"/>
            <w:noProof/>
            <w:color w:val="auto"/>
            <w:lang w:eastAsia="en-AU"/>
          </w:rPr>
          <w:tab/>
        </w:r>
        <w:r w:rsidR="00071C61" w:rsidRPr="00E11F83">
          <w:rPr>
            <w:rStyle w:val="Hyperlink"/>
            <w:noProof/>
          </w:rPr>
          <w:t>APRA’s proposed approach</w:t>
        </w:r>
        <w:r w:rsidR="00071C61">
          <w:rPr>
            <w:noProof/>
            <w:webHidden/>
          </w:rPr>
          <w:tab/>
        </w:r>
        <w:r w:rsidR="00071C61">
          <w:rPr>
            <w:noProof/>
            <w:webHidden/>
          </w:rPr>
          <w:fldChar w:fldCharType="begin"/>
        </w:r>
        <w:r w:rsidR="00071C61">
          <w:rPr>
            <w:noProof/>
            <w:webHidden/>
          </w:rPr>
          <w:instrText xml:space="preserve"> PAGEREF _Toc25941635 \h </w:instrText>
        </w:r>
        <w:r w:rsidR="00071C61">
          <w:rPr>
            <w:noProof/>
            <w:webHidden/>
          </w:rPr>
        </w:r>
        <w:r w:rsidR="00071C61">
          <w:rPr>
            <w:noProof/>
            <w:webHidden/>
          </w:rPr>
          <w:fldChar w:fldCharType="separate"/>
        </w:r>
        <w:r w:rsidR="00071C61">
          <w:rPr>
            <w:noProof/>
            <w:webHidden/>
          </w:rPr>
          <w:t>14</w:t>
        </w:r>
        <w:r w:rsidR="00071C61">
          <w:rPr>
            <w:noProof/>
            <w:webHidden/>
          </w:rPr>
          <w:fldChar w:fldCharType="end"/>
        </w:r>
      </w:hyperlink>
    </w:p>
    <w:p w14:paraId="7B549BD0" w14:textId="7BD3E25B" w:rsidR="00071C61" w:rsidRDefault="00992268">
      <w:pPr>
        <w:pStyle w:val="TOC2"/>
        <w:rPr>
          <w:rFonts w:asciiTheme="minorHAnsi" w:eastAsiaTheme="minorEastAsia" w:hAnsiTheme="minorHAnsi"/>
          <w:noProof/>
          <w:color w:val="auto"/>
          <w:lang w:eastAsia="en-AU"/>
        </w:rPr>
      </w:pPr>
      <w:hyperlink w:anchor="_Toc25941636" w:history="1">
        <w:r w:rsidR="00071C61" w:rsidRPr="00E11F83">
          <w:rPr>
            <w:rStyle w:val="Hyperlink"/>
            <w:noProof/>
            <w14:scene3d>
              <w14:camera w14:prst="orthographicFront"/>
              <w14:lightRig w14:rig="threePt" w14:dir="t">
                <w14:rot w14:lat="0" w14:lon="0" w14:rev="0"/>
              </w14:lightRig>
            </w14:scene3d>
          </w:rPr>
          <w:t>1.5</w:t>
        </w:r>
        <w:r w:rsidR="00071C61">
          <w:rPr>
            <w:rFonts w:asciiTheme="minorHAnsi" w:eastAsiaTheme="minorEastAsia" w:hAnsiTheme="minorHAnsi"/>
            <w:noProof/>
            <w:color w:val="auto"/>
            <w:lang w:eastAsia="en-AU"/>
          </w:rPr>
          <w:tab/>
        </w:r>
        <w:r w:rsidR="00071C61" w:rsidRPr="00E11F83">
          <w:rPr>
            <w:rStyle w:val="Hyperlink"/>
            <w:noProof/>
          </w:rPr>
          <w:t>Balancing APRA’s objectives</w:t>
        </w:r>
        <w:r w:rsidR="00071C61">
          <w:rPr>
            <w:noProof/>
            <w:webHidden/>
          </w:rPr>
          <w:tab/>
        </w:r>
        <w:r w:rsidR="00071C61">
          <w:rPr>
            <w:noProof/>
            <w:webHidden/>
          </w:rPr>
          <w:fldChar w:fldCharType="begin"/>
        </w:r>
        <w:r w:rsidR="00071C61">
          <w:rPr>
            <w:noProof/>
            <w:webHidden/>
          </w:rPr>
          <w:instrText xml:space="preserve"> PAGEREF _Toc25941636 \h </w:instrText>
        </w:r>
        <w:r w:rsidR="00071C61">
          <w:rPr>
            <w:noProof/>
            <w:webHidden/>
          </w:rPr>
        </w:r>
        <w:r w:rsidR="00071C61">
          <w:rPr>
            <w:noProof/>
            <w:webHidden/>
          </w:rPr>
          <w:fldChar w:fldCharType="separate"/>
        </w:r>
        <w:r w:rsidR="00071C61">
          <w:rPr>
            <w:noProof/>
            <w:webHidden/>
          </w:rPr>
          <w:t>15</w:t>
        </w:r>
        <w:r w:rsidR="00071C61">
          <w:rPr>
            <w:noProof/>
            <w:webHidden/>
          </w:rPr>
          <w:fldChar w:fldCharType="end"/>
        </w:r>
      </w:hyperlink>
    </w:p>
    <w:p w14:paraId="77EA743E" w14:textId="0A9FC7E8" w:rsidR="00071C61" w:rsidRDefault="00992268">
      <w:pPr>
        <w:pStyle w:val="TOC2"/>
        <w:rPr>
          <w:rFonts w:asciiTheme="minorHAnsi" w:eastAsiaTheme="minorEastAsia" w:hAnsiTheme="minorHAnsi"/>
          <w:noProof/>
          <w:color w:val="auto"/>
          <w:lang w:eastAsia="en-AU"/>
        </w:rPr>
      </w:pPr>
      <w:hyperlink w:anchor="_Toc25941637" w:history="1">
        <w:r w:rsidR="00071C61" w:rsidRPr="00E11F83">
          <w:rPr>
            <w:rStyle w:val="Hyperlink"/>
            <w:noProof/>
            <w14:scene3d>
              <w14:camera w14:prst="orthographicFront"/>
              <w14:lightRig w14:rig="threePt" w14:dir="t">
                <w14:rot w14:lat="0" w14:lon="0" w14:rev="0"/>
              </w14:lightRig>
            </w14:scene3d>
          </w:rPr>
          <w:t>1.6</w:t>
        </w:r>
        <w:r w:rsidR="00071C61">
          <w:rPr>
            <w:rFonts w:asciiTheme="minorHAnsi" w:eastAsiaTheme="minorEastAsia" w:hAnsiTheme="minorHAnsi"/>
            <w:noProof/>
            <w:color w:val="auto"/>
            <w:lang w:eastAsia="en-AU"/>
          </w:rPr>
          <w:tab/>
        </w:r>
        <w:r w:rsidR="00071C61" w:rsidRPr="00E11F83">
          <w:rPr>
            <w:rStyle w:val="Hyperlink"/>
            <w:noProof/>
          </w:rPr>
          <w:t>Timetable and next steps</w:t>
        </w:r>
        <w:r w:rsidR="00071C61">
          <w:rPr>
            <w:noProof/>
            <w:webHidden/>
          </w:rPr>
          <w:tab/>
        </w:r>
        <w:r w:rsidR="00071C61">
          <w:rPr>
            <w:noProof/>
            <w:webHidden/>
          </w:rPr>
          <w:fldChar w:fldCharType="begin"/>
        </w:r>
        <w:r w:rsidR="00071C61">
          <w:rPr>
            <w:noProof/>
            <w:webHidden/>
          </w:rPr>
          <w:instrText xml:space="preserve"> PAGEREF _Toc25941637 \h </w:instrText>
        </w:r>
        <w:r w:rsidR="00071C61">
          <w:rPr>
            <w:noProof/>
            <w:webHidden/>
          </w:rPr>
        </w:r>
        <w:r w:rsidR="00071C61">
          <w:rPr>
            <w:noProof/>
            <w:webHidden/>
          </w:rPr>
          <w:fldChar w:fldCharType="separate"/>
        </w:r>
        <w:r w:rsidR="00071C61">
          <w:rPr>
            <w:noProof/>
            <w:webHidden/>
          </w:rPr>
          <w:t>18</w:t>
        </w:r>
        <w:r w:rsidR="00071C61">
          <w:rPr>
            <w:noProof/>
            <w:webHidden/>
          </w:rPr>
          <w:fldChar w:fldCharType="end"/>
        </w:r>
      </w:hyperlink>
    </w:p>
    <w:p w14:paraId="787A6E20" w14:textId="2EC4B2B9" w:rsidR="00071C61" w:rsidRDefault="00992268">
      <w:pPr>
        <w:pStyle w:val="TOC2"/>
        <w:rPr>
          <w:rFonts w:asciiTheme="minorHAnsi" w:eastAsiaTheme="minorEastAsia" w:hAnsiTheme="minorHAnsi"/>
          <w:noProof/>
          <w:color w:val="auto"/>
          <w:lang w:eastAsia="en-AU"/>
        </w:rPr>
      </w:pPr>
      <w:hyperlink w:anchor="_Toc25941638" w:history="1">
        <w:r w:rsidR="00071C61" w:rsidRPr="00E11F83">
          <w:rPr>
            <w:rStyle w:val="Hyperlink"/>
            <w:noProof/>
            <w14:scene3d>
              <w14:camera w14:prst="orthographicFront"/>
              <w14:lightRig w14:rig="threePt" w14:dir="t">
                <w14:rot w14:lat="0" w14:lon="0" w14:rev="0"/>
              </w14:lightRig>
            </w14:scene3d>
          </w:rPr>
          <w:t>1.7</w:t>
        </w:r>
        <w:r w:rsidR="00071C61">
          <w:rPr>
            <w:rFonts w:asciiTheme="minorHAnsi" w:eastAsiaTheme="minorEastAsia" w:hAnsiTheme="minorHAnsi"/>
            <w:noProof/>
            <w:color w:val="auto"/>
            <w:lang w:eastAsia="en-AU"/>
          </w:rPr>
          <w:tab/>
        </w:r>
        <w:r w:rsidR="00071C61" w:rsidRPr="00E11F83">
          <w:rPr>
            <w:rStyle w:val="Hyperlink"/>
            <w:noProof/>
          </w:rPr>
          <w:t>Transition</w:t>
        </w:r>
        <w:r w:rsidR="00071C61">
          <w:rPr>
            <w:noProof/>
            <w:webHidden/>
          </w:rPr>
          <w:tab/>
        </w:r>
        <w:r w:rsidR="00071C61">
          <w:rPr>
            <w:noProof/>
            <w:webHidden/>
          </w:rPr>
          <w:fldChar w:fldCharType="begin"/>
        </w:r>
        <w:r w:rsidR="00071C61">
          <w:rPr>
            <w:noProof/>
            <w:webHidden/>
          </w:rPr>
          <w:instrText xml:space="preserve"> PAGEREF _Toc25941638 \h </w:instrText>
        </w:r>
        <w:r w:rsidR="00071C61">
          <w:rPr>
            <w:noProof/>
            <w:webHidden/>
          </w:rPr>
        </w:r>
        <w:r w:rsidR="00071C61">
          <w:rPr>
            <w:noProof/>
            <w:webHidden/>
          </w:rPr>
          <w:fldChar w:fldCharType="separate"/>
        </w:r>
        <w:r w:rsidR="00071C61">
          <w:rPr>
            <w:noProof/>
            <w:webHidden/>
          </w:rPr>
          <w:t>18</w:t>
        </w:r>
        <w:r w:rsidR="00071C61">
          <w:rPr>
            <w:noProof/>
            <w:webHidden/>
          </w:rPr>
          <w:fldChar w:fldCharType="end"/>
        </w:r>
      </w:hyperlink>
    </w:p>
    <w:p w14:paraId="0BDFA85B" w14:textId="4B0939D3" w:rsidR="00071C61" w:rsidRDefault="00992268">
      <w:pPr>
        <w:pStyle w:val="TOC1"/>
        <w:rPr>
          <w:rFonts w:asciiTheme="minorHAnsi" w:eastAsiaTheme="minorEastAsia" w:hAnsiTheme="minorHAnsi"/>
          <w:noProof/>
          <w:color w:val="auto"/>
          <w:lang w:eastAsia="en-AU"/>
        </w:rPr>
      </w:pPr>
      <w:hyperlink w:anchor="_Toc25941639" w:history="1">
        <w:r w:rsidR="00071C61" w:rsidRPr="00E11F83">
          <w:rPr>
            <w:rStyle w:val="Hyperlink"/>
            <w:noProof/>
            <w14:scene3d>
              <w14:camera w14:prst="orthographicFront"/>
              <w14:lightRig w14:rig="threePt" w14:dir="t">
                <w14:rot w14:lat="0" w14:lon="0" w14:rev="0"/>
              </w14:lightRig>
            </w14:scene3d>
          </w:rPr>
          <w:t>Chapter 2 -</w:t>
        </w:r>
        <w:r w:rsidR="00071C61" w:rsidRPr="00E11F83">
          <w:rPr>
            <w:rStyle w:val="Hyperlink"/>
            <w:noProof/>
          </w:rPr>
          <w:t xml:space="preserve"> APRA’s proposals</w:t>
        </w:r>
        <w:r w:rsidR="00071C61">
          <w:rPr>
            <w:noProof/>
            <w:webHidden/>
          </w:rPr>
          <w:tab/>
        </w:r>
        <w:r w:rsidR="00071C61">
          <w:rPr>
            <w:noProof/>
            <w:webHidden/>
          </w:rPr>
          <w:fldChar w:fldCharType="begin"/>
        </w:r>
        <w:r w:rsidR="00071C61">
          <w:rPr>
            <w:noProof/>
            <w:webHidden/>
          </w:rPr>
          <w:instrText xml:space="preserve"> PAGEREF _Toc25941639 \h </w:instrText>
        </w:r>
        <w:r w:rsidR="00071C61">
          <w:rPr>
            <w:noProof/>
            <w:webHidden/>
          </w:rPr>
        </w:r>
        <w:r w:rsidR="00071C61">
          <w:rPr>
            <w:noProof/>
            <w:webHidden/>
          </w:rPr>
          <w:fldChar w:fldCharType="separate"/>
        </w:r>
        <w:r w:rsidR="00071C61">
          <w:rPr>
            <w:noProof/>
            <w:webHidden/>
          </w:rPr>
          <w:t>20</w:t>
        </w:r>
        <w:r w:rsidR="00071C61">
          <w:rPr>
            <w:noProof/>
            <w:webHidden/>
          </w:rPr>
          <w:fldChar w:fldCharType="end"/>
        </w:r>
      </w:hyperlink>
    </w:p>
    <w:p w14:paraId="1E4A5FBC" w14:textId="3BFC2C98" w:rsidR="00071C61" w:rsidRDefault="00992268">
      <w:pPr>
        <w:pStyle w:val="TOC2"/>
        <w:rPr>
          <w:rFonts w:asciiTheme="minorHAnsi" w:eastAsiaTheme="minorEastAsia" w:hAnsiTheme="minorHAnsi"/>
          <w:noProof/>
          <w:color w:val="auto"/>
          <w:lang w:eastAsia="en-AU"/>
        </w:rPr>
      </w:pPr>
      <w:hyperlink w:anchor="_Toc25941640" w:history="1">
        <w:r w:rsidR="00071C61" w:rsidRPr="00E11F83">
          <w:rPr>
            <w:rStyle w:val="Hyperlink"/>
            <w:noProof/>
            <w14:scene3d>
              <w14:camera w14:prst="orthographicFront"/>
              <w14:lightRig w14:rig="threePt" w14:dir="t">
                <w14:rot w14:lat="0" w14:lon="0" w14:rev="0"/>
              </w14:lightRig>
            </w14:scene3d>
          </w:rPr>
          <w:t>2.1</w:t>
        </w:r>
        <w:r w:rsidR="00071C61">
          <w:rPr>
            <w:rFonts w:asciiTheme="minorHAnsi" w:eastAsiaTheme="minorEastAsia" w:hAnsiTheme="minorHAnsi"/>
            <w:noProof/>
            <w:color w:val="auto"/>
            <w:lang w:eastAsia="en-AU"/>
          </w:rPr>
          <w:tab/>
        </w:r>
        <w:r w:rsidR="00071C61" w:rsidRPr="00E11F83">
          <w:rPr>
            <w:rStyle w:val="Hyperlink"/>
            <w:noProof/>
          </w:rPr>
          <w:t>Applying the LAGIC framework for PHI</w:t>
        </w:r>
        <w:r w:rsidR="00071C61">
          <w:rPr>
            <w:noProof/>
            <w:webHidden/>
          </w:rPr>
          <w:tab/>
        </w:r>
        <w:r w:rsidR="00071C61">
          <w:rPr>
            <w:noProof/>
            <w:webHidden/>
          </w:rPr>
          <w:fldChar w:fldCharType="begin"/>
        </w:r>
        <w:r w:rsidR="00071C61">
          <w:rPr>
            <w:noProof/>
            <w:webHidden/>
          </w:rPr>
          <w:instrText xml:space="preserve"> PAGEREF _Toc25941640 \h </w:instrText>
        </w:r>
        <w:r w:rsidR="00071C61">
          <w:rPr>
            <w:noProof/>
            <w:webHidden/>
          </w:rPr>
        </w:r>
        <w:r w:rsidR="00071C61">
          <w:rPr>
            <w:noProof/>
            <w:webHidden/>
          </w:rPr>
          <w:fldChar w:fldCharType="separate"/>
        </w:r>
        <w:r w:rsidR="00071C61">
          <w:rPr>
            <w:noProof/>
            <w:webHidden/>
          </w:rPr>
          <w:t>20</w:t>
        </w:r>
        <w:r w:rsidR="00071C61">
          <w:rPr>
            <w:noProof/>
            <w:webHidden/>
          </w:rPr>
          <w:fldChar w:fldCharType="end"/>
        </w:r>
      </w:hyperlink>
    </w:p>
    <w:p w14:paraId="26477D60" w14:textId="54478DFF" w:rsidR="00071C61" w:rsidRDefault="00992268">
      <w:pPr>
        <w:pStyle w:val="TOC2"/>
        <w:rPr>
          <w:rFonts w:asciiTheme="minorHAnsi" w:eastAsiaTheme="minorEastAsia" w:hAnsiTheme="minorHAnsi"/>
          <w:noProof/>
          <w:color w:val="auto"/>
          <w:lang w:eastAsia="en-AU"/>
        </w:rPr>
      </w:pPr>
      <w:hyperlink w:anchor="_Toc25941641" w:history="1">
        <w:r w:rsidR="00071C61" w:rsidRPr="00E11F83">
          <w:rPr>
            <w:rStyle w:val="Hyperlink"/>
            <w:rFonts w:eastAsia="Times New Roman"/>
            <w:noProof/>
            <w:lang w:eastAsia="en-AU"/>
            <w14:scene3d>
              <w14:camera w14:prst="orthographicFront"/>
              <w14:lightRig w14:rig="threePt" w14:dir="t">
                <w14:rot w14:lat="0" w14:lon="0" w14:rev="0"/>
              </w14:lightRig>
            </w14:scene3d>
          </w:rPr>
          <w:t>2.2</w:t>
        </w:r>
        <w:r w:rsidR="00071C61">
          <w:rPr>
            <w:rFonts w:asciiTheme="minorHAnsi" w:eastAsiaTheme="minorEastAsia" w:hAnsiTheme="minorHAnsi"/>
            <w:noProof/>
            <w:color w:val="auto"/>
            <w:lang w:eastAsia="en-AU"/>
          </w:rPr>
          <w:tab/>
        </w:r>
        <w:r w:rsidR="00071C61" w:rsidRPr="00E11F83">
          <w:rPr>
            <w:rStyle w:val="Hyperlink"/>
            <w:rFonts w:eastAsia="Times New Roman"/>
            <w:noProof/>
            <w:lang w:eastAsia="en-AU"/>
          </w:rPr>
          <w:t>Scope of the capital standards</w:t>
        </w:r>
        <w:r w:rsidR="00071C61">
          <w:rPr>
            <w:noProof/>
            <w:webHidden/>
          </w:rPr>
          <w:tab/>
        </w:r>
        <w:r w:rsidR="00071C61">
          <w:rPr>
            <w:noProof/>
            <w:webHidden/>
          </w:rPr>
          <w:fldChar w:fldCharType="begin"/>
        </w:r>
        <w:r w:rsidR="00071C61">
          <w:rPr>
            <w:noProof/>
            <w:webHidden/>
          </w:rPr>
          <w:instrText xml:space="preserve"> PAGEREF _Toc25941641 \h </w:instrText>
        </w:r>
        <w:r w:rsidR="00071C61">
          <w:rPr>
            <w:noProof/>
            <w:webHidden/>
          </w:rPr>
        </w:r>
        <w:r w:rsidR="00071C61">
          <w:rPr>
            <w:noProof/>
            <w:webHidden/>
          </w:rPr>
          <w:fldChar w:fldCharType="separate"/>
        </w:r>
        <w:r w:rsidR="00071C61">
          <w:rPr>
            <w:noProof/>
            <w:webHidden/>
          </w:rPr>
          <w:t>21</w:t>
        </w:r>
        <w:r w:rsidR="00071C61">
          <w:rPr>
            <w:noProof/>
            <w:webHidden/>
          </w:rPr>
          <w:fldChar w:fldCharType="end"/>
        </w:r>
      </w:hyperlink>
    </w:p>
    <w:p w14:paraId="1FA189B1" w14:textId="581F541D" w:rsidR="00071C61" w:rsidRDefault="00992268">
      <w:pPr>
        <w:pStyle w:val="TOC2"/>
        <w:rPr>
          <w:rFonts w:asciiTheme="minorHAnsi" w:eastAsiaTheme="minorEastAsia" w:hAnsiTheme="minorHAnsi"/>
          <w:noProof/>
          <w:color w:val="auto"/>
          <w:lang w:eastAsia="en-AU"/>
        </w:rPr>
      </w:pPr>
      <w:hyperlink w:anchor="_Toc25941642" w:history="1">
        <w:r w:rsidR="00071C61" w:rsidRPr="00E11F83">
          <w:rPr>
            <w:rStyle w:val="Hyperlink"/>
            <w:noProof/>
            <w14:scene3d>
              <w14:camera w14:prst="orthographicFront"/>
              <w14:lightRig w14:rig="threePt" w14:dir="t">
                <w14:rot w14:lat="0" w14:lon="0" w14:rev="0"/>
              </w14:lightRig>
            </w14:scene3d>
          </w:rPr>
          <w:t>2.3</w:t>
        </w:r>
        <w:r w:rsidR="00071C61">
          <w:rPr>
            <w:rFonts w:asciiTheme="minorHAnsi" w:eastAsiaTheme="minorEastAsia" w:hAnsiTheme="minorHAnsi"/>
            <w:noProof/>
            <w:color w:val="auto"/>
            <w:lang w:eastAsia="en-AU"/>
          </w:rPr>
          <w:tab/>
        </w:r>
        <w:r w:rsidR="00071C61" w:rsidRPr="00E11F83">
          <w:rPr>
            <w:rStyle w:val="Hyperlink"/>
            <w:noProof/>
          </w:rPr>
          <w:t>Level of sufficiency</w:t>
        </w:r>
        <w:r w:rsidR="00071C61">
          <w:rPr>
            <w:noProof/>
            <w:webHidden/>
          </w:rPr>
          <w:tab/>
        </w:r>
        <w:r w:rsidR="00071C61">
          <w:rPr>
            <w:noProof/>
            <w:webHidden/>
          </w:rPr>
          <w:fldChar w:fldCharType="begin"/>
        </w:r>
        <w:r w:rsidR="00071C61">
          <w:rPr>
            <w:noProof/>
            <w:webHidden/>
          </w:rPr>
          <w:instrText xml:space="preserve"> PAGEREF _Toc25941642 \h </w:instrText>
        </w:r>
        <w:r w:rsidR="00071C61">
          <w:rPr>
            <w:noProof/>
            <w:webHidden/>
          </w:rPr>
        </w:r>
        <w:r w:rsidR="00071C61">
          <w:rPr>
            <w:noProof/>
            <w:webHidden/>
          </w:rPr>
          <w:fldChar w:fldCharType="separate"/>
        </w:r>
        <w:r w:rsidR="00071C61">
          <w:rPr>
            <w:noProof/>
            <w:webHidden/>
          </w:rPr>
          <w:t>22</w:t>
        </w:r>
        <w:r w:rsidR="00071C61">
          <w:rPr>
            <w:noProof/>
            <w:webHidden/>
          </w:rPr>
          <w:fldChar w:fldCharType="end"/>
        </w:r>
      </w:hyperlink>
    </w:p>
    <w:p w14:paraId="132C1F86" w14:textId="44EACCA1" w:rsidR="00071C61" w:rsidRDefault="00992268">
      <w:pPr>
        <w:pStyle w:val="TOC2"/>
        <w:rPr>
          <w:rFonts w:asciiTheme="minorHAnsi" w:eastAsiaTheme="minorEastAsia" w:hAnsiTheme="minorHAnsi"/>
          <w:noProof/>
          <w:color w:val="auto"/>
          <w:lang w:eastAsia="en-AU"/>
        </w:rPr>
      </w:pPr>
      <w:hyperlink w:anchor="_Toc25941643" w:history="1">
        <w:r w:rsidR="00071C61" w:rsidRPr="00E11F83">
          <w:rPr>
            <w:rStyle w:val="Hyperlink"/>
            <w:noProof/>
            <w14:scene3d>
              <w14:camera w14:prst="orthographicFront"/>
              <w14:lightRig w14:rig="threePt" w14:dir="t">
                <w14:rot w14:lat="0" w14:lon="0" w14:rev="0"/>
              </w14:lightRig>
            </w14:scene3d>
          </w:rPr>
          <w:t>2.4</w:t>
        </w:r>
        <w:r w:rsidR="00071C61">
          <w:rPr>
            <w:rFonts w:asciiTheme="minorHAnsi" w:eastAsiaTheme="minorEastAsia" w:hAnsiTheme="minorHAnsi"/>
            <w:noProof/>
            <w:color w:val="auto"/>
            <w:lang w:eastAsia="en-AU"/>
          </w:rPr>
          <w:tab/>
        </w:r>
        <w:r w:rsidR="00071C61" w:rsidRPr="00E11F83">
          <w:rPr>
            <w:rStyle w:val="Hyperlink"/>
            <w:noProof/>
          </w:rPr>
          <w:t>Defining the capital base</w:t>
        </w:r>
        <w:r w:rsidR="00071C61">
          <w:rPr>
            <w:noProof/>
            <w:webHidden/>
          </w:rPr>
          <w:tab/>
        </w:r>
        <w:r w:rsidR="00071C61">
          <w:rPr>
            <w:noProof/>
            <w:webHidden/>
          </w:rPr>
          <w:fldChar w:fldCharType="begin"/>
        </w:r>
        <w:r w:rsidR="00071C61">
          <w:rPr>
            <w:noProof/>
            <w:webHidden/>
          </w:rPr>
          <w:instrText xml:space="preserve"> PAGEREF _Toc25941643 \h </w:instrText>
        </w:r>
        <w:r w:rsidR="00071C61">
          <w:rPr>
            <w:noProof/>
            <w:webHidden/>
          </w:rPr>
        </w:r>
        <w:r w:rsidR="00071C61">
          <w:rPr>
            <w:noProof/>
            <w:webHidden/>
          </w:rPr>
          <w:fldChar w:fldCharType="separate"/>
        </w:r>
        <w:r w:rsidR="00071C61">
          <w:rPr>
            <w:noProof/>
            <w:webHidden/>
          </w:rPr>
          <w:t>22</w:t>
        </w:r>
        <w:r w:rsidR="00071C61">
          <w:rPr>
            <w:noProof/>
            <w:webHidden/>
          </w:rPr>
          <w:fldChar w:fldCharType="end"/>
        </w:r>
      </w:hyperlink>
    </w:p>
    <w:p w14:paraId="35032D5A" w14:textId="3905BEE0" w:rsidR="00071C61" w:rsidRDefault="00992268">
      <w:pPr>
        <w:pStyle w:val="TOC2"/>
        <w:rPr>
          <w:rFonts w:asciiTheme="minorHAnsi" w:eastAsiaTheme="minorEastAsia" w:hAnsiTheme="minorHAnsi"/>
          <w:noProof/>
          <w:color w:val="auto"/>
          <w:lang w:eastAsia="en-AU"/>
        </w:rPr>
      </w:pPr>
      <w:hyperlink w:anchor="_Toc25941648" w:history="1">
        <w:r w:rsidR="00071C61" w:rsidRPr="00E11F83">
          <w:rPr>
            <w:rStyle w:val="Hyperlink"/>
            <w:noProof/>
            <w14:scene3d>
              <w14:camera w14:prst="orthographicFront"/>
              <w14:lightRig w14:rig="threePt" w14:dir="t">
                <w14:rot w14:lat="0" w14:lon="0" w14:rev="0"/>
              </w14:lightRig>
            </w14:scene3d>
          </w:rPr>
          <w:t>2.5</w:t>
        </w:r>
        <w:r w:rsidR="00071C61">
          <w:rPr>
            <w:rFonts w:asciiTheme="minorHAnsi" w:eastAsiaTheme="minorEastAsia" w:hAnsiTheme="minorHAnsi"/>
            <w:noProof/>
            <w:color w:val="auto"/>
            <w:lang w:eastAsia="en-AU"/>
          </w:rPr>
          <w:tab/>
        </w:r>
        <w:r w:rsidR="00071C61" w:rsidRPr="00E11F83">
          <w:rPr>
            <w:rStyle w:val="Hyperlink"/>
            <w:noProof/>
          </w:rPr>
          <w:t>Valuing liabilities for capital purposes</w:t>
        </w:r>
        <w:r w:rsidR="00071C61">
          <w:rPr>
            <w:noProof/>
            <w:webHidden/>
          </w:rPr>
          <w:tab/>
        </w:r>
        <w:r w:rsidR="00071C61">
          <w:rPr>
            <w:noProof/>
            <w:webHidden/>
          </w:rPr>
          <w:fldChar w:fldCharType="begin"/>
        </w:r>
        <w:r w:rsidR="00071C61">
          <w:rPr>
            <w:noProof/>
            <w:webHidden/>
          </w:rPr>
          <w:instrText xml:space="preserve"> PAGEREF _Toc25941648 \h </w:instrText>
        </w:r>
        <w:r w:rsidR="00071C61">
          <w:rPr>
            <w:noProof/>
            <w:webHidden/>
          </w:rPr>
        </w:r>
        <w:r w:rsidR="00071C61">
          <w:rPr>
            <w:noProof/>
            <w:webHidden/>
          </w:rPr>
          <w:fldChar w:fldCharType="separate"/>
        </w:r>
        <w:r w:rsidR="00071C61">
          <w:rPr>
            <w:noProof/>
            <w:webHidden/>
          </w:rPr>
          <w:t>25</w:t>
        </w:r>
        <w:r w:rsidR="00071C61">
          <w:rPr>
            <w:noProof/>
            <w:webHidden/>
          </w:rPr>
          <w:fldChar w:fldCharType="end"/>
        </w:r>
      </w:hyperlink>
    </w:p>
    <w:p w14:paraId="55EF9D2D" w14:textId="2C7865FA" w:rsidR="00071C61" w:rsidRDefault="00992268">
      <w:pPr>
        <w:pStyle w:val="TOC2"/>
        <w:rPr>
          <w:rFonts w:asciiTheme="minorHAnsi" w:eastAsiaTheme="minorEastAsia" w:hAnsiTheme="minorHAnsi"/>
          <w:noProof/>
          <w:color w:val="auto"/>
          <w:lang w:eastAsia="en-AU"/>
        </w:rPr>
      </w:pPr>
      <w:hyperlink w:anchor="_Toc25941649" w:history="1">
        <w:r w:rsidR="00071C61" w:rsidRPr="00E11F83">
          <w:rPr>
            <w:rStyle w:val="Hyperlink"/>
            <w:noProof/>
            <w14:scene3d>
              <w14:camera w14:prst="orthographicFront"/>
              <w14:lightRig w14:rig="threePt" w14:dir="t">
                <w14:rot w14:lat="0" w14:lon="0" w14:rev="0"/>
              </w14:lightRig>
            </w14:scene3d>
          </w:rPr>
          <w:t>2.6</w:t>
        </w:r>
        <w:r w:rsidR="00071C61">
          <w:rPr>
            <w:rFonts w:asciiTheme="minorHAnsi" w:eastAsiaTheme="minorEastAsia" w:hAnsiTheme="minorHAnsi"/>
            <w:noProof/>
            <w:color w:val="auto"/>
            <w:lang w:eastAsia="en-AU"/>
          </w:rPr>
          <w:tab/>
        </w:r>
        <w:r w:rsidR="00071C61" w:rsidRPr="00E11F83">
          <w:rPr>
            <w:rStyle w:val="Hyperlink"/>
            <w:noProof/>
          </w:rPr>
          <w:t>Prescribed capital and its components</w:t>
        </w:r>
        <w:r w:rsidR="00071C61">
          <w:rPr>
            <w:noProof/>
            <w:webHidden/>
          </w:rPr>
          <w:tab/>
        </w:r>
        <w:r w:rsidR="00071C61">
          <w:rPr>
            <w:noProof/>
            <w:webHidden/>
          </w:rPr>
          <w:fldChar w:fldCharType="begin"/>
        </w:r>
        <w:r w:rsidR="00071C61">
          <w:rPr>
            <w:noProof/>
            <w:webHidden/>
          </w:rPr>
          <w:instrText xml:space="preserve"> PAGEREF _Toc25941649 \h </w:instrText>
        </w:r>
        <w:r w:rsidR="00071C61">
          <w:rPr>
            <w:noProof/>
            <w:webHidden/>
          </w:rPr>
        </w:r>
        <w:r w:rsidR="00071C61">
          <w:rPr>
            <w:noProof/>
            <w:webHidden/>
          </w:rPr>
          <w:fldChar w:fldCharType="separate"/>
        </w:r>
        <w:r w:rsidR="00071C61">
          <w:rPr>
            <w:noProof/>
            <w:webHidden/>
          </w:rPr>
          <w:t>25</w:t>
        </w:r>
        <w:r w:rsidR="00071C61">
          <w:rPr>
            <w:noProof/>
            <w:webHidden/>
          </w:rPr>
          <w:fldChar w:fldCharType="end"/>
        </w:r>
      </w:hyperlink>
    </w:p>
    <w:p w14:paraId="622B96DB" w14:textId="66FD2F72" w:rsidR="00071C61" w:rsidRDefault="00992268">
      <w:pPr>
        <w:pStyle w:val="TOC2"/>
        <w:rPr>
          <w:rFonts w:asciiTheme="minorHAnsi" w:eastAsiaTheme="minorEastAsia" w:hAnsiTheme="minorHAnsi"/>
          <w:noProof/>
          <w:color w:val="auto"/>
          <w:lang w:eastAsia="en-AU"/>
        </w:rPr>
      </w:pPr>
      <w:hyperlink w:anchor="_Toc25941655" w:history="1">
        <w:r w:rsidR="00071C61" w:rsidRPr="00E11F83">
          <w:rPr>
            <w:rStyle w:val="Hyperlink"/>
            <w:noProof/>
            <w14:scene3d>
              <w14:camera w14:prst="orthographicFront"/>
              <w14:lightRig w14:rig="threePt" w14:dir="t">
                <w14:rot w14:lat="0" w14:lon="0" w14:rev="0"/>
              </w14:lightRig>
            </w14:scene3d>
          </w:rPr>
          <w:t>2.7</w:t>
        </w:r>
        <w:r w:rsidR="00071C61">
          <w:rPr>
            <w:rFonts w:asciiTheme="minorHAnsi" w:eastAsiaTheme="minorEastAsia" w:hAnsiTheme="minorHAnsi"/>
            <w:noProof/>
            <w:color w:val="auto"/>
            <w:lang w:eastAsia="en-AU"/>
          </w:rPr>
          <w:tab/>
        </w:r>
        <w:r w:rsidR="00071C61" w:rsidRPr="00E11F83">
          <w:rPr>
            <w:rStyle w:val="Hyperlink"/>
            <w:noProof/>
          </w:rPr>
          <w:t>Supervisory adjustments</w:t>
        </w:r>
        <w:r w:rsidR="00071C61">
          <w:rPr>
            <w:noProof/>
            <w:webHidden/>
          </w:rPr>
          <w:tab/>
        </w:r>
        <w:r w:rsidR="00071C61">
          <w:rPr>
            <w:noProof/>
            <w:webHidden/>
          </w:rPr>
          <w:fldChar w:fldCharType="begin"/>
        </w:r>
        <w:r w:rsidR="00071C61">
          <w:rPr>
            <w:noProof/>
            <w:webHidden/>
          </w:rPr>
          <w:instrText xml:space="preserve"> PAGEREF _Toc25941655 \h </w:instrText>
        </w:r>
        <w:r w:rsidR="00071C61">
          <w:rPr>
            <w:noProof/>
            <w:webHidden/>
          </w:rPr>
        </w:r>
        <w:r w:rsidR="00071C61">
          <w:rPr>
            <w:noProof/>
            <w:webHidden/>
          </w:rPr>
          <w:fldChar w:fldCharType="separate"/>
        </w:r>
        <w:r w:rsidR="00071C61">
          <w:rPr>
            <w:noProof/>
            <w:webHidden/>
          </w:rPr>
          <w:t>34</w:t>
        </w:r>
        <w:r w:rsidR="00071C61">
          <w:rPr>
            <w:noProof/>
            <w:webHidden/>
          </w:rPr>
          <w:fldChar w:fldCharType="end"/>
        </w:r>
      </w:hyperlink>
    </w:p>
    <w:p w14:paraId="58F5024C" w14:textId="593FDF1C" w:rsidR="00071C61" w:rsidRDefault="00992268">
      <w:pPr>
        <w:pStyle w:val="TOC2"/>
        <w:rPr>
          <w:rFonts w:asciiTheme="minorHAnsi" w:eastAsiaTheme="minorEastAsia" w:hAnsiTheme="minorHAnsi"/>
          <w:noProof/>
          <w:color w:val="auto"/>
          <w:lang w:eastAsia="en-AU"/>
        </w:rPr>
      </w:pPr>
      <w:hyperlink w:anchor="_Toc25941658" w:history="1">
        <w:r w:rsidR="00071C61" w:rsidRPr="00E11F83">
          <w:rPr>
            <w:rStyle w:val="Hyperlink"/>
            <w:noProof/>
            <w14:scene3d>
              <w14:camera w14:prst="orthographicFront"/>
              <w14:lightRig w14:rig="threePt" w14:dir="t">
                <w14:rot w14:lat="0" w14:lon="0" w14:rev="0"/>
              </w14:lightRig>
            </w14:scene3d>
          </w:rPr>
          <w:t>2.8</w:t>
        </w:r>
        <w:r w:rsidR="00071C61">
          <w:rPr>
            <w:rFonts w:asciiTheme="minorHAnsi" w:eastAsiaTheme="minorEastAsia" w:hAnsiTheme="minorHAnsi"/>
            <w:noProof/>
            <w:color w:val="auto"/>
            <w:lang w:eastAsia="en-AU"/>
          </w:rPr>
          <w:tab/>
        </w:r>
        <w:r w:rsidR="00071C61" w:rsidRPr="00E11F83">
          <w:rPr>
            <w:rStyle w:val="Hyperlink"/>
            <w:noProof/>
          </w:rPr>
          <w:t>Capital management planning</w:t>
        </w:r>
        <w:r w:rsidR="00071C61">
          <w:rPr>
            <w:noProof/>
            <w:webHidden/>
          </w:rPr>
          <w:tab/>
        </w:r>
        <w:r w:rsidR="00071C61">
          <w:rPr>
            <w:noProof/>
            <w:webHidden/>
          </w:rPr>
          <w:fldChar w:fldCharType="begin"/>
        </w:r>
        <w:r w:rsidR="00071C61">
          <w:rPr>
            <w:noProof/>
            <w:webHidden/>
          </w:rPr>
          <w:instrText xml:space="preserve"> PAGEREF _Toc25941658 \h </w:instrText>
        </w:r>
        <w:r w:rsidR="00071C61">
          <w:rPr>
            <w:noProof/>
            <w:webHidden/>
          </w:rPr>
        </w:r>
        <w:r w:rsidR="00071C61">
          <w:rPr>
            <w:noProof/>
            <w:webHidden/>
          </w:rPr>
          <w:fldChar w:fldCharType="separate"/>
        </w:r>
        <w:r w:rsidR="00071C61">
          <w:rPr>
            <w:noProof/>
            <w:webHidden/>
          </w:rPr>
          <w:t>36</w:t>
        </w:r>
        <w:r w:rsidR="00071C61">
          <w:rPr>
            <w:noProof/>
            <w:webHidden/>
          </w:rPr>
          <w:fldChar w:fldCharType="end"/>
        </w:r>
      </w:hyperlink>
    </w:p>
    <w:p w14:paraId="45CFBD12" w14:textId="15428715" w:rsidR="00071C61" w:rsidRDefault="00992268">
      <w:pPr>
        <w:pStyle w:val="TOC2"/>
        <w:rPr>
          <w:rFonts w:asciiTheme="minorHAnsi" w:eastAsiaTheme="minorEastAsia" w:hAnsiTheme="minorHAnsi"/>
          <w:noProof/>
          <w:color w:val="auto"/>
          <w:lang w:eastAsia="en-AU"/>
        </w:rPr>
      </w:pPr>
      <w:hyperlink w:anchor="_Toc25941660" w:history="1">
        <w:r w:rsidR="00071C61" w:rsidRPr="00E11F83">
          <w:rPr>
            <w:rStyle w:val="Hyperlink"/>
            <w:noProof/>
            <w14:scene3d>
              <w14:camera w14:prst="orthographicFront"/>
              <w14:lightRig w14:rig="threePt" w14:dir="t">
                <w14:rot w14:lat="0" w14:lon="0" w14:rev="0"/>
              </w14:lightRig>
            </w14:scene3d>
          </w:rPr>
          <w:t>2.9</w:t>
        </w:r>
        <w:r w:rsidR="00071C61">
          <w:rPr>
            <w:rFonts w:asciiTheme="minorHAnsi" w:eastAsiaTheme="minorEastAsia" w:hAnsiTheme="minorHAnsi"/>
            <w:noProof/>
            <w:color w:val="auto"/>
            <w:lang w:eastAsia="en-AU"/>
          </w:rPr>
          <w:tab/>
        </w:r>
        <w:r w:rsidR="00071C61" w:rsidRPr="00E11F83">
          <w:rPr>
            <w:rStyle w:val="Hyperlink"/>
            <w:noProof/>
          </w:rPr>
          <w:t>The HPS 100 Solvency Standard</w:t>
        </w:r>
        <w:r w:rsidR="00071C61">
          <w:rPr>
            <w:noProof/>
            <w:webHidden/>
          </w:rPr>
          <w:tab/>
        </w:r>
        <w:r w:rsidR="00071C61">
          <w:rPr>
            <w:noProof/>
            <w:webHidden/>
          </w:rPr>
          <w:fldChar w:fldCharType="begin"/>
        </w:r>
        <w:r w:rsidR="00071C61">
          <w:rPr>
            <w:noProof/>
            <w:webHidden/>
          </w:rPr>
          <w:instrText xml:space="preserve"> PAGEREF _Toc25941660 \h </w:instrText>
        </w:r>
        <w:r w:rsidR="00071C61">
          <w:rPr>
            <w:noProof/>
            <w:webHidden/>
          </w:rPr>
        </w:r>
        <w:r w:rsidR="00071C61">
          <w:rPr>
            <w:noProof/>
            <w:webHidden/>
          </w:rPr>
          <w:fldChar w:fldCharType="separate"/>
        </w:r>
        <w:r w:rsidR="00071C61">
          <w:rPr>
            <w:noProof/>
            <w:webHidden/>
          </w:rPr>
          <w:t>38</w:t>
        </w:r>
        <w:r w:rsidR="00071C61">
          <w:rPr>
            <w:noProof/>
            <w:webHidden/>
          </w:rPr>
          <w:fldChar w:fldCharType="end"/>
        </w:r>
      </w:hyperlink>
    </w:p>
    <w:p w14:paraId="4D95238B" w14:textId="3444E921" w:rsidR="00071C61" w:rsidRDefault="00992268">
      <w:pPr>
        <w:pStyle w:val="TOC1"/>
        <w:rPr>
          <w:rFonts w:asciiTheme="minorHAnsi" w:eastAsiaTheme="minorEastAsia" w:hAnsiTheme="minorHAnsi"/>
          <w:noProof/>
          <w:color w:val="auto"/>
          <w:lang w:eastAsia="en-AU"/>
        </w:rPr>
      </w:pPr>
      <w:hyperlink w:anchor="_Toc25941661" w:history="1">
        <w:r w:rsidR="00071C61" w:rsidRPr="00E11F83">
          <w:rPr>
            <w:rStyle w:val="Hyperlink"/>
            <w:noProof/>
            <w14:scene3d>
              <w14:camera w14:prst="orthographicFront"/>
              <w14:lightRig w14:rig="threePt" w14:dir="t">
                <w14:rot w14:lat="0" w14:lon="0" w14:rev="0"/>
              </w14:lightRig>
            </w14:scene3d>
          </w:rPr>
          <w:t>Chapter 3 -</w:t>
        </w:r>
        <w:r w:rsidR="00071C61" w:rsidRPr="00E11F83">
          <w:rPr>
            <w:rStyle w:val="Hyperlink"/>
            <w:noProof/>
          </w:rPr>
          <w:t xml:space="preserve"> Future regulatory proposals</w:t>
        </w:r>
        <w:r w:rsidR="00071C61">
          <w:rPr>
            <w:noProof/>
            <w:webHidden/>
          </w:rPr>
          <w:tab/>
        </w:r>
        <w:r w:rsidR="00071C61">
          <w:rPr>
            <w:noProof/>
            <w:webHidden/>
          </w:rPr>
          <w:fldChar w:fldCharType="begin"/>
        </w:r>
        <w:r w:rsidR="00071C61">
          <w:rPr>
            <w:noProof/>
            <w:webHidden/>
          </w:rPr>
          <w:instrText xml:space="preserve"> PAGEREF _Toc25941661 \h </w:instrText>
        </w:r>
        <w:r w:rsidR="00071C61">
          <w:rPr>
            <w:noProof/>
            <w:webHidden/>
          </w:rPr>
        </w:r>
        <w:r w:rsidR="00071C61">
          <w:rPr>
            <w:noProof/>
            <w:webHidden/>
          </w:rPr>
          <w:fldChar w:fldCharType="separate"/>
        </w:r>
        <w:r w:rsidR="00071C61">
          <w:rPr>
            <w:noProof/>
            <w:webHidden/>
          </w:rPr>
          <w:t>39</w:t>
        </w:r>
        <w:r w:rsidR="00071C61">
          <w:rPr>
            <w:noProof/>
            <w:webHidden/>
          </w:rPr>
          <w:fldChar w:fldCharType="end"/>
        </w:r>
      </w:hyperlink>
    </w:p>
    <w:p w14:paraId="6D817AB0" w14:textId="52B05FD1" w:rsidR="00071C61" w:rsidRDefault="00992268">
      <w:pPr>
        <w:pStyle w:val="TOC2"/>
        <w:rPr>
          <w:rFonts w:asciiTheme="minorHAnsi" w:eastAsiaTheme="minorEastAsia" w:hAnsiTheme="minorHAnsi"/>
          <w:noProof/>
          <w:color w:val="auto"/>
          <w:lang w:eastAsia="en-AU"/>
        </w:rPr>
      </w:pPr>
      <w:hyperlink w:anchor="_Toc25941662" w:history="1">
        <w:r w:rsidR="00071C61" w:rsidRPr="00E11F83">
          <w:rPr>
            <w:rStyle w:val="Hyperlink"/>
            <w:noProof/>
            <w14:scene3d>
              <w14:camera w14:prst="orthographicFront"/>
              <w14:lightRig w14:rig="threePt" w14:dir="t">
                <w14:rot w14:lat="0" w14:lon="0" w14:rev="0"/>
              </w14:lightRig>
            </w14:scene3d>
          </w:rPr>
          <w:t>3.1</w:t>
        </w:r>
        <w:r w:rsidR="00071C61">
          <w:rPr>
            <w:rFonts w:asciiTheme="minorHAnsi" w:eastAsiaTheme="minorEastAsia" w:hAnsiTheme="minorHAnsi"/>
            <w:noProof/>
            <w:color w:val="auto"/>
            <w:lang w:eastAsia="en-AU"/>
          </w:rPr>
          <w:tab/>
        </w:r>
        <w:r w:rsidR="00071C61" w:rsidRPr="00E11F83">
          <w:rPr>
            <w:rStyle w:val="Hyperlink"/>
            <w:noProof/>
          </w:rPr>
          <w:t>Regulatory reporting</w:t>
        </w:r>
        <w:r w:rsidR="00071C61">
          <w:rPr>
            <w:noProof/>
            <w:webHidden/>
          </w:rPr>
          <w:tab/>
        </w:r>
        <w:r w:rsidR="00071C61">
          <w:rPr>
            <w:noProof/>
            <w:webHidden/>
          </w:rPr>
          <w:fldChar w:fldCharType="begin"/>
        </w:r>
        <w:r w:rsidR="00071C61">
          <w:rPr>
            <w:noProof/>
            <w:webHidden/>
          </w:rPr>
          <w:instrText xml:space="preserve"> PAGEREF _Toc25941662 \h </w:instrText>
        </w:r>
        <w:r w:rsidR="00071C61">
          <w:rPr>
            <w:noProof/>
            <w:webHidden/>
          </w:rPr>
        </w:r>
        <w:r w:rsidR="00071C61">
          <w:rPr>
            <w:noProof/>
            <w:webHidden/>
          </w:rPr>
          <w:fldChar w:fldCharType="separate"/>
        </w:r>
        <w:r w:rsidR="00071C61">
          <w:rPr>
            <w:noProof/>
            <w:webHidden/>
          </w:rPr>
          <w:t>39</w:t>
        </w:r>
        <w:r w:rsidR="00071C61">
          <w:rPr>
            <w:noProof/>
            <w:webHidden/>
          </w:rPr>
          <w:fldChar w:fldCharType="end"/>
        </w:r>
      </w:hyperlink>
    </w:p>
    <w:p w14:paraId="1B4CA10F" w14:textId="5358C40B" w:rsidR="00071C61" w:rsidRDefault="00992268">
      <w:pPr>
        <w:pStyle w:val="TOC1"/>
        <w:rPr>
          <w:rFonts w:asciiTheme="minorHAnsi" w:eastAsiaTheme="minorEastAsia" w:hAnsiTheme="minorHAnsi"/>
          <w:noProof/>
          <w:color w:val="auto"/>
          <w:lang w:eastAsia="en-AU"/>
        </w:rPr>
      </w:pPr>
      <w:hyperlink w:anchor="_Toc25941663" w:history="1">
        <w:r w:rsidR="00071C61" w:rsidRPr="00E11F83">
          <w:rPr>
            <w:rStyle w:val="Hyperlink"/>
            <w:noProof/>
            <w14:scene3d>
              <w14:camera w14:prst="orthographicFront"/>
              <w14:lightRig w14:rig="threePt" w14:dir="t">
                <w14:rot w14:lat="0" w14:lon="0" w14:rev="0"/>
              </w14:lightRig>
            </w14:scene3d>
          </w:rPr>
          <w:t>Chapter 4 -</w:t>
        </w:r>
        <w:r w:rsidR="00071C61" w:rsidRPr="00E11F83">
          <w:rPr>
            <w:rStyle w:val="Hyperlink"/>
            <w:noProof/>
          </w:rPr>
          <w:t xml:space="preserve"> Consultation</w:t>
        </w:r>
        <w:r w:rsidR="00071C61">
          <w:rPr>
            <w:noProof/>
            <w:webHidden/>
          </w:rPr>
          <w:tab/>
        </w:r>
        <w:r w:rsidR="00071C61">
          <w:rPr>
            <w:noProof/>
            <w:webHidden/>
          </w:rPr>
          <w:fldChar w:fldCharType="begin"/>
        </w:r>
        <w:r w:rsidR="00071C61">
          <w:rPr>
            <w:noProof/>
            <w:webHidden/>
          </w:rPr>
          <w:instrText xml:space="preserve"> PAGEREF _Toc25941663 \h </w:instrText>
        </w:r>
        <w:r w:rsidR="00071C61">
          <w:rPr>
            <w:noProof/>
            <w:webHidden/>
          </w:rPr>
        </w:r>
        <w:r w:rsidR="00071C61">
          <w:rPr>
            <w:noProof/>
            <w:webHidden/>
          </w:rPr>
          <w:fldChar w:fldCharType="separate"/>
        </w:r>
        <w:r w:rsidR="00071C61">
          <w:rPr>
            <w:noProof/>
            <w:webHidden/>
          </w:rPr>
          <w:t>40</w:t>
        </w:r>
        <w:r w:rsidR="00071C61">
          <w:rPr>
            <w:noProof/>
            <w:webHidden/>
          </w:rPr>
          <w:fldChar w:fldCharType="end"/>
        </w:r>
      </w:hyperlink>
    </w:p>
    <w:p w14:paraId="65CB7E4F" w14:textId="0F65C226" w:rsidR="00071C61" w:rsidRDefault="00992268">
      <w:pPr>
        <w:pStyle w:val="TOC2"/>
        <w:rPr>
          <w:rFonts w:asciiTheme="minorHAnsi" w:eastAsiaTheme="minorEastAsia" w:hAnsiTheme="minorHAnsi"/>
          <w:noProof/>
          <w:color w:val="auto"/>
          <w:lang w:eastAsia="en-AU"/>
        </w:rPr>
      </w:pPr>
      <w:hyperlink w:anchor="_Toc25941664" w:history="1">
        <w:r w:rsidR="00071C61" w:rsidRPr="00E11F83">
          <w:rPr>
            <w:rStyle w:val="Hyperlink"/>
            <w:noProof/>
            <w14:scene3d>
              <w14:camera w14:prst="orthographicFront"/>
              <w14:lightRig w14:rig="threePt" w14:dir="t">
                <w14:rot w14:lat="0" w14:lon="0" w14:rev="0"/>
              </w14:lightRig>
            </w14:scene3d>
          </w:rPr>
          <w:t>4.1</w:t>
        </w:r>
        <w:r w:rsidR="00071C61">
          <w:rPr>
            <w:rFonts w:asciiTheme="minorHAnsi" w:eastAsiaTheme="minorEastAsia" w:hAnsiTheme="minorHAnsi"/>
            <w:noProof/>
            <w:color w:val="auto"/>
            <w:lang w:eastAsia="en-AU"/>
          </w:rPr>
          <w:tab/>
        </w:r>
        <w:r w:rsidR="00071C61" w:rsidRPr="00E11F83">
          <w:rPr>
            <w:rStyle w:val="Hyperlink"/>
            <w:noProof/>
          </w:rPr>
          <w:t>Request for submissions</w:t>
        </w:r>
        <w:r w:rsidR="00071C61">
          <w:rPr>
            <w:noProof/>
            <w:webHidden/>
          </w:rPr>
          <w:tab/>
        </w:r>
        <w:r w:rsidR="00071C61">
          <w:rPr>
            <w:noProof/>
            <w:webHidden/>
          </w:rPr>
          <w:fldChar w:fldCharType="begin"/>
        </w:r>
        <w:r w:rsidR="00071C61">
          <w:rPr>
            <w:noProof/>
            <w:webHidden/>
          </w:rPr>
          <w:instrText xml:space="preserve"> PAGEREF _Toc25941664 \h </w:instrText>
        </w:r>
        <w:r w:rsidR="00071C61">
          <w:rPr>
            <w:noProof/>
            <w:webHidden/>
          </w:rPr>
        </w:r>
        <w:r w:rsidR="00071C61">
          <w:rPr>
            <w:noProof/>
            <w:webHidden/>
          </w:rPr>
          <w:fldChar w:fldCharType="separate"/>
        </w:r>
        <w:r w:rsidR="00071C61">
          <w:rPr>
            <w:noProof/>
            <w:webHidden/>
          </w:rPr>
          <w:t>40</w:t>
        </w:r>
        <w:r w:rsidR="00071C61">
          <w:rPr>
            <w:noProof/>
            <w:webHidden/>
          </w:rPr>
          <w:fldChar w:fldCharType="end"/>
        </w:r>
      </w:hyperlink>
    </w:p>
    <w:p w14:paraId="4AB98FF0" w14:textId="4DD5F1B6" w:rsidR="00071C61" w:rsidRDefault="00992268">
      <w:pPr>
        <w:pStyle w:val="TOC2"/>
        <w:rPr>
          <w:rFonts w:asciiTheme="minorHAnsi" w:eastAsiaTheme="minorEastAsia" w:hAnsiTheme="minorHAnsi"/>
          <w:noProof/>
          <w:color w:val="auto"/>
          <w:lang w:eastAsia="en-AU"/>
        </w:rPr>
      </w:pPr>
      <w:hyperlink w:anchor="_Toc25941665" w:history="1">
        <w:r w:rsidR="00071C61" w:rsidRPr="00E11F83">
          <w:rPr>
            <w:rStyle w:val="Hyperlink"/>
            <w:noProof/>
            <w14:scene3d>
              <w14:camera w14:prst="orthographicFront"/>
              <w14:lightRig w14:rig="threePt" w14:dir="t">
                <w14:rot w14:lat="0" w14:lon="0" w14:rev="0"/>
              </w14:lightRig>
            </w14:scene3d>
          </w:rPr>
          <w:t>4.2</w:t>
        </w:r>
        <w:r w:rsidR="00071C61">
          <w:rPr>
            <w:rFonts w:asciiTheme="minorHAnsi" w:eastAsiaTheme="minorEastAsia" w:hAnsiTheme="minorHAnsi"/>
            <w:noProof/>
            <w:color w:val="auto"/>
            <w:lang w:eastAsia="en-AU"/>
          </w:rPr>
          <w:tab/>
        </w:r>
        <w:r w:rsidR="00071C61" w:rsidRPr="00E11F83">
          <w:rPr>
            <w:rStyle w:val="Hyperlink"/>
            <w:noProof/>
          </w:rPr>
          <w:t>Important disclosure requirements – publication of submissions</w:t>
        </w:r>
        <w:r w:rsidR="00071C61">
          <w:rPr>
            <w:noProof/>
            <w:webHidden/>
          </w:rPr>
          <w:tab/>
        </w:r>
        <w:r w:rsidR="00071C61">
          <w:rPr>
            <w:noProof/>
            <w:webHidden/>
          </w:rPr>
          <w:fldChar w:fldCharType="begin"/>
        </w:r>
        <w:r w:rsidR="00071C61">
          <w:rPr>
            <w:noProof/>
            <w:webHidden/>
          </w:rPr>
          <w:instrText xml:space="preserve"> PAGEREF _Toc25941665 \h </w:instrText>
        </w:r>
        <w:r w:rsidR="00071C61">
          <w:rPr>
            <w:noProof/>
            <w:webHidden/>
          </w:rPr>
        </w:r>
        <w:r w:rsidR="00071C61">
          <w:rPr>
            <w:noProof/>
            <w:webHidden/>
          </w:rPr>
          <w:fldChar w:fldCharType="separate"/>
        </w:r>
        <w:r w:rsidR="00071C61">
          <w:rPr>
            <w:noProof/>
            <w:webHidden/>
          </w:rPr>
          <w:t>40</w:t>
        </w:r>
        <w:r w:rsidR="00071C61">
          <w:rPr>
            <w:noProof/>
            <w:webHidden/>
          </w:rPr>
          <w:fldChar w:fldCharType="end"/>
        </w:r>
      </w:hyperlink>
    </w:p>
    <w:p w14:paraId="4BD3D1F6" w14:textId="23A6BF04" w:rsidR="00071C61" w:rsidRDefault="00992268">
      <w:pPr>
        <w:pStyle w:val="TOC2"/>
        <w:rPr>
          <w:rFonts w:asciiTheme="minorHAnsi" w:eastAsiaTheme="minorEastAsia" w:hAnsiTheme="minorHAnsi"/>
          <w:noProof/>
          <w:color w:val="auto"/>
          <w:lang w:eastAsia="en-AU"/>
        </w:rPr>
      </w:pPr>
      <w:hyperlink w:anchor="_Toc25941666" w:history="1">
        <w:r w:rsidR="00071C61" w:rsidRPr="00E11F83">
          <w:rPr>
            <w:rStyle w:val="Hyperlink"/>
            <w:noProof/>
            <w14:scene3d>
              <w14:camera w14:prst="orthographicFront"/>
              <w14:lightRig w14:rig="threePt" w14:dir="t">
                <w14:rot w14:lat="0" w14:lon="0" w14:rev="0"/>
              </w14:lightRig>
            </w14:scene3d>
          </w:rPr>
          <w:t>4.3</w:t>
        </w:r>
        <w:r w:rsidR="00071C61">
          <w:rPr>
            <w:rFonts w:asciiTheme="minorHAnsi" w:eastAsiaTheme="minorEastAsia" w:hAnsiTheme="minorHAnsi"/>
            <w:noProof/>
            <w:color w:val="auto"/>
            <w:lang w:eastAsia="en-AU"/>
          </w:rPr>
          <w:tab/>
        </w:r>
        <w:r w:rsidR="00071C61" w:rsidRPr="00E11F83">
          <w:rPr>
            <w:rStyle w:val="Hyperlink"/>
            <w:noProof/>
          </w:rPr>
          <w:t>Request for cost-benefit information</w:t>
        </w:r>
        <w:r w:rsidR="00071C61">
          <w:rPr>
            <w:noProof/>
            <w:webHidden/>
          </w:rPr>
          <w:tab/>
        </w:r>
        <w:r w:rsidR="00071C61">
          <w:rPr>
            <w:noProof/>
            <w:webHidden/>
          </w:rPr>
          <w:fldChar w:fldCharType="begin"/>
        </w:r>
        <w:r w:rsidR="00071C61">
          <w:rPr>
            <w:noProof/>
            <w:webHidden/>
          </w:rPr>
          <w:instrText xml:space="preserve"> PAGEREF _Toc25941666 \h </w:instrText>
        </w:r>
        <w:r w:rsidR="00071C61">
          <w:rPr>
            <w:noProof/>
            <w:webHidden/>
          </w:rPr>
        </w:r>
        <w:r w:rsidR="00071C61">
          <w:rPr>
            <w:noProof/>
            <w:webHidden/>
          </w:rPr>
          <w:fldChar w:fldCharType="separate"/>
        </w:r>
        <w:r w:rsidR="00071C61">
          <w:rPr>
            <w:noProof/>
            <w:webHidden/>
          </w:rPr>
          <w:t>40</w:t>
        </w:r>
        <w:r w:rsidR="00071C61">
          <w:rPr>
            <w:noProof/>
            <w:webHidden/>
          </w:rPr>
          <w:fldChar w:fldCharType="end"/>
        </w:r>
      </w:hyperlink>
    </w:p>
    <w:p w14:paraId="182ABA2A" w14:textId="4EFAC582" w:rsidR="00071C61" w:rsidRDefault="00992268">
      <w:pPr>
        <w:pStyle w:val="TOC2"/>
        <w:rPr>
          <w:rFonts w:asciiTheme="minorHAnsi" w:eastAsiaTheme="minorEastAsia" w:hAnsiTheme="minorHAnsi"/>
          <w:noProof/>
          <w:color w:val="auto"/>
          <w:lang w:eastAsia="en-AU"/>
        </w:rPr>
      </w:pPr>
      <w:hyperlink w:anchor="_Toc25941667" w:history="1">
        <w:r w:rsidR="00071C61" w:rsidRPr="00E11F83">
          <w:rPr>
            <w:rStyle w:val="Hyperlink"/>
            <w:noProof/>
            <w14:scene3d>
              <w14:camera w14:prst="orthographicFront"/>
              <w14:lightRig w14:rig="threePt" w14:dir="t">
                <w14:rot w14:lat="0" w14:lon="0" w14:rev="0"/>
              </w14:lightRig>
            </w14:scene3d>
          </w:rPr>
          <w:t>4.4</w:t>
        </w:r>
        <w:r w:rsidR="00071C61">
          <w:rPr>
            <w:rFonts w:asciiTheme="minorHAnsi" w:eastAsiaTheme="minorEastAsia" w:hAnsiTheme="minorHAnsi"/>
            <w:noProof/>
            <w:color w:val="auto"/>
            <w:lang w:eastAsia="en-AU"/>
          </w:rPr>
          <w:tab/>
        </w:r>
        <w:r w:rsidR="00071C61" w:rsidRPr="00E11F83">
          <w:rPr>
            <w:rStyle w:val="Hyperlink"/>
            <w:noProof/>
          </w:rPr>
          <w:t>Consultation questions</w:t>
        </w:r>
        <w:r w:rsidR="00071C61">
          <w:rPr>
            <w:noProof/>
            <w:webHidden/>
          </w:rPr>
          <w:tab/>
        </w:r>
        <w:r w:rsidR="00071C61">
          <w:rPr>
            <w:noProof/>
            <w:webHidden/>
          </w:rPr>
          <w:fldChar w:fldCharType="begin"/>
        </w:r>
        <w:r w:rsidR="00071C61">
          <w:rPr>
            <w:noProof/>
            <w:webHidden/>
          </w:rPr>
          <w:instrText xml:space="preserve"> PAGEREF _Toc25941667 \h </w:instrText>
        </w:r>
        <w:r w:rsidR="00071C61">
          <w:rPr>
            <w:noProof/>
            <w:webHidden/>
          </w:rPr>
        </w:r>
        <w:r w:rsidR="00071C61">
          <w:rPr>
            <w:noProof/>
            <w:webHidden/>
          </w:rPr>
          <w:fldChar w:fldCharType="separate"/>
        </w:r>
        <w:r w:rsidR="00071C61">
          <w:rPr>
            <w:noProof/>
            <w:webHidden/>
          </w:rPr>
          <w:t>42</w:t>
        </w:r>
        <w:r w:rsidR="00071C61">
          <w:rPr>
            <w:noProof/>
            <w:webHidden/>
          </w:rPr>
          <w:fldChar w:fldCharType="end"/>
        </w:r>
      </w:hyperlink>
    </w:p>
    <w:p w14:paraId="3B03AF78" w14:textId="77777777" w:rsidR="0016272E" w:rsidRPr="0016272E" w:rsidRDefault="00AD393D" w:rsidP="0016272E">
      <w:r>
        <w:rPr>
          <w:rFonts w:ascii="DIN OT Medium" w:hAnsi="DIN OT Medium"/>
          <w:noProof/>
          <w:lang w:val="en-US"/>
        </w:rPr>
        <w:fldChar w:fldCharType="end"/>
      </w:r>
    </w:p>
    <w:p w14:paraId="176F5182" w14:textId="77777777" w:rsidR="00AC1C12" w:rsidRDefault="00AC1C12" w:rsidP="00AC1C12">
      <w:pPr>
        <w:pStyle w:val="Heading1"/>
      </w:pPr>
      <w:bookmarkStart w:id="0" w:name="_Toc24622398"/>
      <w:bookmarkStart w:id="1" w:name="_Toc25334532"/>
      <w:bookmarkStart w:id="2" w:name="_Toc25941626"/>
      <w:r>
        <w:lastRenderedPageBreak/>
        <w:t>Executive summary</w:t>
      </w:r>
      <w:bookmarkEnd w:id="0"/>
      <w:bookmarkEnd w:id="1"/>
      <w:bookmarkEnd w:id="2"/>
    </w:p>
    <w:p w14:paraId="6EE9B4B8" w14:textId="0534EA12" w:rsidR="004A2124" w:rsidRDefault="004A2124" w:rsidP="004A2124">
      <w:r>
        <w:t xml:space="preserve">Capital standards are an important tool to support the objectives of APRA’s prudential framework. They are intended to ensure that an insurer has </w:t>
      </w:r>
      <w:r w:rsidRPr="00A61D5C">
        <w:t xml:space="preserve">sufficient </w:t>
      </w:r>
      <w:r>
        <w:t>financial resources</w:t>
      </w:r>
      <w:r w:rsidRPr="00A61D5C">
        <w:t xml:space="preserve"> </w:t>
      </w:r>
      <w:r>
        <w:t xml:space="preserve">available to meet its financial promises to policy holders despite adverse conditions. APRA’s capital standards determine the minimum regulatory capital requirement for an insurer, taking into account the nature of the </w:t>
      </w:r>
      <w:r w:rsidRPr="002E3130">
        <w:t>risk</w:t>
      </w:r>
      <w:r>
        <w:t xml:space="preserve">s an insurer is exposed to in its business. </w:t>
      </w:r>
    </w:p>
    <w:p w14:paraId="22325E72" w14:textId="77777777" w:rsidR="00847884" w:rsidRDefault="004A2124" w:rsidP="00847884">
      <w:r>
        <w:t xml:space="preserve">Since assuming prudential regulatory responsibility for the private health insurance (PHI) industry in 2015, APRA has progressively reviewed and updated the prudential policy framework. APRA’s review of the capital framework represents the third and final phase of that </w:t>
      </w:r>
      <w:r w:rsidRPr="00776AED">
        <w:t xml:space="preserve">systematic </w:t>
      </w:r>
      <w:r>
        <w:t xml:space="preserve">process. </w:t>
      </w:r>
    </w:p>
    <w:p w14:paraId="3B61CFE3" w14:textId="3CE682F0" w:rsidR="00847884" w:rsidRDefault="00847884" w:rsidP="00847884">
      <w:r w:rsidRPr="00847884">
        <w:t>APRA’s capital standards play an essential role in ensuring that private health insurers have the financial resources available to meet their commitments to policy</w:t>
      </w:r>
      <w:r w:rsidR="001E7AF4">
        <w:t xml:space="preserve"> </w:t>
      </w:r>
      <w:r w:rsidRPr="00847884">
        <w:t>holders, even in the event of unexpected stress or losses.</w:t>
      </w:r>
      <w:r w:rsidR="000A425F">
        <w:t xml:space="preserve"> </w:t>
      </w:r>
      <w:r w:rsidR="00906842">
        <w:t xml:space="preserve">In a number of respects, the current PHI capital framework is less robust than the capital requirements that apply in other insurance sectors in Australia. </w:t>
      </w:r>
      <w:r>
        <w:t xml:space="preserve">APRA is concerned that the current PHI capital framework does not appropriately reflect the risks faced by insurers, and </w:t>
      </w:r>
      <w:r w:rsidR="000A425F">
        <w:t xml:space="preserve">allows </w:t>
      </w:r>
      <w:r w:rsidR="00F85874">
        <w:t>for</w:t>
      </w:r>
      <w:r>
        <w:t xml:space="preserve"> inadequate consideration of extreme adverse events. </w:t>
      </w:r>
    </w:p>
    <w:p w14:paraId="0DEB6AFC" w14:textId="7DA47F99" w:rsidR="008006E1" w:rsidRDefault="008006E1" w:rsidP="00E85966">
      <w:r>
        <w:t xml:space="preserve">The objective of APRA’s review is to address these issues to ensure that insurers have </w:t>
      </w:r>
      <w:r w:rsidRPr="008006E1">
        <w:t>an appropriate level of financial resilience for the protection of policy</w:t>
      </w:r>
      <w:r w:rsidR="001E7AF4">
        <w:t xml:space="preserve"> </w:t>
      </w:r>
      <w:r w:rsidRPr="008006E1">
        <w:t>holders</w:t>
      </w:r>
      <w:r>
        <w:t>.</w:t>
      </w:r>
      <w:r w:rsidDel="008006E1">
        <w:t xml:space="preserve"> </w:t>
      </w:r>
      <w:r w:rsidR="004A2124" w:rsidRPr="00330DAD">
        <w:t xml:space="preserve">This discussion paper describes APRA’s </w:t>
      </w:r>
      <w:r>
        <w:t>proposed structure</w:t>
      </w:r>
      <w:r w:rsidR="004A2124" w:rsidRPr="00330DAD">
        <w:t xml:space="preserve"> for </w:t>
      </w:r>
      <w:r>
        <w:t xml:space="preserve">the </w:t>
      </w:r>
      <w:r w:rsidR="004A2124" w:rsidRPr="00330DAD">
        <w:t xml:space="preserve">capital </w:t>
      </w:r>
      <w:r>
        <w:t xml:space="preserve">framework </w:t>
      </w:r>
      <w:r w:rsidR="004A2124" w:rsidRPr="00330DAD">
        <w:t>for private health insurers (</w:t>
      </w:r>
      <w:r w:rsidR="00291E14">
        <w:t>insurers</w:t>
      </w:r>
      <w:r w:rsidR="004A2124" w:rsidRPr="00330DAD">
        <w:t>). Many of these proposals were foreshadowed in a letter to industry released in 2018</w:t>
      </w:r>
      <w:r w:rsidR="004A2124" w:rsidRPr="00330DAD">
        <w:rPr>
          <w:rStyle w:val="FootnoteReference"/>
        </w:rPr>
        <w:footnoteReference w:id="2"/>
      </w:r>
      <w:r w:rsidR="004A2124" w:rsidRPr="00330DAD">
        <w:t>. The proposals reflect APRA’s intention to increase the risk</w:t>
      </w:r>
      <w:r w:rsidR="007040EC">
        <w:t xml:space="preserve"> </w:t>
      </w:r>
      <w:r w:rsidR="004A2124" w:rsidRPr="00330DAD">
        <w:t>sensitivity of capital requirements to the activities of insurers and to improve the alignment of capital standards across the insurance industries it regulates. APRA’s proposals</w:t>
      </w:r>
      <w:r w:rsidR="004A2124" w:rsidRPr="00330DAD" w:rsidDel="00F15991">
        <w:t xml:space="preserve"> </w:t>
      </w:r>
      <w:r w:rsidR="004A2124" w:rsidRPr="00330DAD">
        <w:t>have therefore been developed from the basis of the existing capital standards applying to the</w:t>
      </w:r>
      <w:r w:rsidR="004A2124">
        <w:t xml:space="preserve"> l</w:t>
      </w:r>
      <w:r w:rsidR="004A2124" w:rsidRPr="00330DAD">
        <w:t>i</w:t>
      </w:r>
      <w:r w:rsidR="004A2124">
        <w:t>fe and general i</w:t>
      </w:r>
      <w:r w:rsidR="004A2124" w:rsidRPr="00330DAD">
        <w:t xml:space="preserve">nsurance </w:t>
      </w:r>
      <w:r w:rsidR="00E51991">
        <w:t>i</w:t>
      </w:r>
      <w:r w:rsidR="004A2124" w:rsidRPr="00330DAD">
        <w:t xml:space="preserve">ndustries (known as the LAGIC framework). </w:t>
      </w:r>
    </w:p>
    <w:p w14:paraId="4C518333" w14:textId="07C5FD4A" w:rsidR="008006E1" w:rsidRPr="008006E1" w:rsidRDefault="008006E1" w:rsidP="008006E1">
      <w:pPr>
        <w:numPr>
          <w:ilvl w:val="0"/>
          <w:numId w:val="0"/>
        </w:numPr>
      </w:pPr>
      <w:r>
        <w:t>The structure proposed in this discussion paper is not defined to</w:t>
      </w:r>
      <w:r w:rsidR="00CE36C4">
        <w:t xml:space="preserve"> the degree needed to </w:t>
      </w:r>
      <w:r>
        <w:t>enable the quantitative impact on individual insurers</w:t>
      </w:r>
      <w:r w:rsidR="009849DE">
        <w:t xml:space="preserve"> to be determined</w:t>
      </w:r>
      <w:r>
        <w:t xml:space="preserve">. </w:t>
      </w:r>
      <w:r w:rsidRPr="008006E1">
        <w:t>A</w:t>
      </w:r>
      <w:r>
        <w:t xml:space="preserve">PRA will consider feedback on the proposed structure to inform </w:t>
      </w:r>
      <w:r w:rsidRPr="008006E1">
        <w:t xml:space="preserve">subsequent consultation </w:t>
      </w:r>
      <w:r w:rsidR="009849DE">
        <w:t xml:space="preserve">on the draft capital standards which will outline </w:t>
      </w:r>
      <w:r w:rsidRPr="008006E1">
        <w:t>APRA’s proposed parameters for determining minimum capital requirements</w:t>
      </w:r>
      <w:r>
        <w:t xml:space="preserve">. </w:t>
      </w:r>
    </w:p>
    <w:p w14:paraId="2905F4DB" w14:textId="7DF22A52" w:rsidR="008006E1" w:rsidRPr="00330DAD" w:rsidRDefault="004A2124" w:rsidP="00E85966">
      <w:r>
        <w:t>While APRA’s</w:t>
      </w:r>
      <w:r w:rsidRPr="00330DAD">
        <w:t xml:space="preserve"> proposals are expected to increase minimum capital requirements</w:t>
      </w:r>
      <w:r>
        <w:t xml:space="preserve"> for insurers</w:t>
      </w:r>
      <w:r w:rsidR="008006E1">
        <w:t xml:space="preserve"> once implemented</w:t>
      </w:r>
      <w:r>
        <w:t>, current strong capital levels mean APRA does not expect a material need to raise additional capital across industry</w:t>
      </w:r>
      <w:r w:rsidRPr="00330DAD">
        <w:t>.</w:t>
      </w:r>
      <w:r w:rsidR="00392810">
        <w:t xml:space="preserve"> </w:t>
      </w:r>
      <w:r w:rsidR="008006E1" w:rsidRPr="008006E1">
        <w:t>The impact of these reforms on premiums is expected to be immaterial given that capital requirements are not a material driver of PHI premiums.</w:t>
      </w:r>
      <w:r w:rsidR="008006E1">
        <w:t xml:space="preserve"> </w:t>
      </w:r>
      <w:r w:rsidR="00E51991">
        <w:t>Premium</w:t>
      </w:r>
      <w:r w:rsidR="004F52CB">
        <w:t xml:space="preserve"> </w:t>
      </w:r>
      <w:r w:rsidR="00392810" w:rsidRPr="00392810">
        <w:t>increases</w:t>
      </w:r>
      <w:r w:rsidR="00E51991">
        <w:t xml:space="preserve"> are</w:t>
      </w:r>
      <w:r w:rsidR="00392810" w:rsidRPr="00392810">
        <w:t xml:space="preserve"> mostly </w:t>
      </w:r>
      <w:r w:rsidR="004F52CB">
        <w:t>affected by</w:t>
      </w:r>
      <w:r w:rsidR="00392810" w:rsidRPr="00392810">
        <w:t xml:space="preserve"> growth in benefit payments</w:t>
      </w:r>
      <w:r w:rsidR="004F52CB">
        <w:t xml:space="preserve"> which reflects changing </w:t>
      </w:r>
      <w:r w:rsidR="00A65D12">
        <w:t>policy holder</w:t>
      </w:r>
      <w:r w:rsidR="00392810" w:rsidRPr="00392810">
        <w:t xml:space="preserve"> demographics, increased utilisation and </w:t>
      </w:r>
      <w:r w:rsidR="004F52CB">
        <w:t>changes</w:t>
      </w:r>
      <w:r w:rsidR="00392810" w:rsidRPr="00392810">
        <w:t xml:space="preserve"> in medical technology and cost</w:t>
      </w:r>
      <w:r w:rsidR="004F52CB">
        <w:t>s.</w:t>
      </w:r>
    </w:p>
    <w:p w14:paraId="3811F510" w14:textId="46CC4824" w:rsidR="004A2124" w:rsidRDefault="008006E1" w:rsidP="00E85966">
      <w:r w:rsidRPr="008006E1">
        <w:t xml:space="preserve">The LAGIC framework reflects APRA’s overall approach to capital. </w:t>
      </w:r>
      <w:r w:rsidR="004A2124">
        <w:t xml:space="preserve">By starting with the LAGIC framework, APRA aims to strengthen prudential outcomes for policy holders and improve the resilience of the PHI industry to financial stresses. </w:t>
      </w:r>
      <w:r w:rsidRPr="008006E1">
        <w:t>Consistency of capital frameworks across the insurance sectors would allow for a common language for capital</w:t>
      </w:r>
      <w:r w:rsidR="00CE36C4">
        <w:t xml:space="preserve"> and </w:t>
      </w:r>
      <w:r w:rsidRPr="008006E1">
        <w:t>support discussions about capi</w:t>
      </w:r>
      <w:r w:rsidRPr="00F24CD3">
        <w:t>tal between APRA and insurers, and within groups that contain multiple APRA-regulated insurers</w:t>
      </w:r>
      <w:r w:rsidR="000A425F">
        <w:t>.</w:t>
      </w:r>
      <w:r>
        <w:t xml:space="preserve"> </w:t>
      </w:r>
      <w:r w:rsidR="004A2124">
        <w:t xml:space="preserve">This will also improve alignment with international prudential regulation of insurance as established through the Insurance Core Principles (ICPs) developed by the International Association of Insurance Supervisors (IAIS). </w:t>
      </w:r>
    </w:p>
    <w:p w14:paraId="23F34A65" w14:textId="2AC015CE" w:rsidR="004A2124" w:rsidRDefault="004A2124" w:rsidP="004A2124">
      <w:pPr>
        <w:numPr>
          <w:ilvl w:val="0"/>
          <w:numId w:val="0"/>
        </w:numPr>
      </w:pPr>
      <w:r>
        <w:t>In developing these proposals, APRA has considered industry</w:t>
      </w:r>
      <w:r w:rsidR="005E572B">
        <w:t xml:space="preserve"> </w:t>
      </w:r>
      <w:r>
        <w:t>specific characteristics of the PHI industry to assess where deviations from the LAGIC framework are warranted. Key elements of the proposals are summarised below:</w:t>
      </w:r>
    </w:p>
    <w:tbl>
      <w:tblPr>
        <w:tblStyle w:val="TableGrid"/>
        <w:tblW w:w="9072" w:type="dxa"/>
        <w:tblLook w:val="04A0" w:firstRow="1" w:lastRow="0" w:firstColumn="1" w:lastColumn="0" w:noHBand="0" w:noVBand="1"/>
      </w:tblPr>
      <w:tblGrid>
        <w:gridCol w:w="2127"/>
        <w:gridCol w:w="3402"/>
        <w:gridCol w:w="3543"/>
      </w:tblGrid>
      <w:tr w:rsidR="004A2124" w14:paraId="46FCA602" w14:textId="77777777" w:rsidTr="00A95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779C787" w14:textId="77777777" w:rsidR="004A2124" w:rsidRDefault="004A2124" w:rsidP="000B0E15">
            <w:pPr>
              <w:numPr>
                <w:ilvl w:val="0"/>
                <w:numId w:val="0"/>
              </w:numPr>
            </w:pPr>
            <w:r>
              <w:t>Key area</w:t>
            </w:r>
          </w:p>
        </w:tc>
        <w:tc>
          <w:tcPr>
            <w:tcW w:w="3402" w:type="dxa"/>
          </w:tcPr>
          <w:p w14:paraId="25E860C8" w14:textId="77777777" w:rsidR="004A2124" w:rsidRDefault="004A2124" w:rsidP="000B0E15">
            <w:pPr>
              <w:numPr>
                <w:ilvl w:val="0"/>
                <w:numId w:val="0"/>
              </w:numPr>
              <w:cnfStyle w:val="100000000000" w:firstRow="1" w:lastRow="0" w:firstColumn="0" w:lastColumn="0" w:oddVBand="0" w:evenVBand="0" w:oddHBand="0" w:evenHBand="0" w:firstRowFirstColumn="0" w:firstRowLastColumn="0" w:lastRowFirstColumn="0" w:lastRowLastColumn="0"/>
            </w:pPr>
            <w:r>
              <w:t>Current PHI capital standard</w:t>
            </w:r>
          </w:p>
        </w:tc>
        <w:tc>
          <w:tcPr>
            <w:tcW w:w="3543" w:type="dxa"/>
          </w:tcPr>
          <w:p w14:paraId="5ED5B138" w14:textId="77777777" w:rsidR="004A2124" w:rsidRDefault="004A2124" w:rsidP="000B0E15">
            <w:pPr>
              <w:numPr>
                <w:ilvl w:val="0"/>
                <w:numId w:val="0"/>
              </w:numPr>
              <w:cnfStyle w:val="100000000000" w:firstRow="1" w:lastRow="0" w:firstColumn="0" w:lastColumn="0" w:oddVBand="0" w:evenVBand="0" w:oddHBand="0" w:evenHBand="0" w:firstRowFirstColumn="0" w:firstRowLastColumn="0" w:lastRowFirstColumn="0" w:lastRowLastColumn="0"/>
            </w:pPr>
            <w:r>
              <w:t>Key proposed change</w:t>
            </w:r>
          </w:p>
        </w:tc>
      </w:tr>
      <w:tr w:rsidR="004A2124" w14:paraId="5ACF0751" w14:textId="77777777" w:rsidTr="00A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5796D72" w14:textId="77777777" w:rsidR="004A2124" w:rsidRDefault="004A2124" w:rsidP="000B0E15">
            <w:pPr>
              <w:numPr>
                <w:ilvl w:val="0"/>
                <w:numId w:val="0"/>
              </w:numPr>
            </w:pPr>
            <w:r>
              <w:t>Scope of capital standard</w:t>
            </w:r>
          </w:p>
        </w:tc>
        <w:tc>
          <w:tcPr>
            <w:tcW w:w="3402" w:type="dxa"/>
          </w:tcPr>
          <w:p w14:paraId="7E689CA1"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 xml:space="preserve">Health benefits fund (HBF) only </w:t>
            </w:r>
          </w:p>
        </w:tc>
        <w:tc>
          <w:tcPr>
            <w:tcW w:w="3543" w:type="dxa"/>
          </w:tcPr>
          <w:p w14:paraId="0E4DD41D"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Whole licensed insurer</w:t>
            </w:r>
          </w:p>
        </w:tc>
      </w:tr>
      <w:tr w:rsidR="004A2124" w14:paraId="5BCFFF58" w14:textId="77777777" w:rsidTr="00A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358A3C3" w14:textId="77777777" w:rsidR="004A2124" w:rsidRDefault="004A2124" w:rsidP="000B0E15">
            <w:pPr>
              <w:numPr>
                <w:ilvl w:val="0"/>
                <w:numId w:val="0"/>
              </w:numPr>
            </w:pPr>
            <w:r>
              <w:t>Probability of sufficiency</w:t>
            </w:r>
          </w:p>
        </w:tc>
        <w:tc>
          <w:tcPr>
            <w:tcW w:w="3402" w:type="dxa"/>
          </w:tcPr>
          <w:p w14:paraId="0A8F5AEA"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98 per cent on going</w:t>
            </w:r>
            <w:r>
              <w:noBreakHyphen/>
              <w:t>concern basis</w:t>
            </w:r>
          </w:p>
        </w:tc>
        <w:tc>
          <w:tcPr>
            <w:tcW w:w="3543" w:type="dxa"/>
          </w:tcPr>
          <w:p w14:paraId="389F8C23"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99.5 per cent on gone</w:t>
            </w:r>
            <w:r>
              <w:noBreakHyphen/>
              <w:t>concern basis</w:t>
            </w:r>
          </w:p>
        </w:tc>
      </w:tr>
      <w:tr w:rsidR="004A2124" w14:paraId="23B93DC4" w14:textId="77777777" w:rsidTr="00A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83AAA2" w14:textId="77777777" w:rsidR="004A2124" w:rsidRDefault="004A2124" w:rsidP="000B0E15">
            <w:pPr>
              <w:numPr>
                <w:ilvl w:val="0"/>
                <w:numId w:val="0"/>
              </w:numPr>
            </w:pPr>
            <w:r>
              <w:t>Solvency criteria to be met</w:t>
            </w:r>
          </w:p>
        </w:tc>
        <w:tc>
          <w:tcPr>
            <w:tcW w:w="3402" w:type="dxa"/>
          </w:tcPr>
          <w:p w14:paraId="3735F69F"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Quantitative solvency standard</w:t>
            </w:r>
          </w:p>
        </w:tc>
        <w:tc>
          <w:tcPr>
            <w:tcW w:w="3543" w:type="dxa"/>
          </w:tcPr>
          <w:p w14:paraId="2C430F93"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 xml:space="preserve">Remove quantitative standard, but maintain qualitative liquidity management requirement (required by </w:t>
            </w:r>
            <w:r w:rsidRPr="003808DD">
              <w:rPr>
                <w:i/>
              </w:rPr>
              <w:t>Prudential Standard CPS 220 Risk Management</w:t>
            </w:r>
            <w:r>
              <w:t>)</w:t>
            </w:r>
          </w:p>
        </w:tc>
      </w:tr>
      <w:tr w:rsidR="004A2124" w14:paraId="321A1279" w14:textId="77777777" w:rsidTr="00A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8346FF" w14:textId="77777777" w:rsidR="004A2124" w:rsidRDefault="004A2124" w:rsidP="000B0E15">
            <w:pPr>
              <w:numPr>
                <w:ilvl w:val="0"/>
                <w:numId w:val="0"/>
              </w:numPr>
            </w:pPr>
            <w:r>
              <w:t>Capital adequacy criteria to be met</w:t>
            </w:r>
          </w:p>
        </w:tc>
        <w:tc>
          <w:tcPr>
            <w:tcW w:w="3402" w:type="dxa"/>
          </w:tcPr>
          <w:p w14:paraId="0B47605C" w14:textId="21C0D6AF"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Quantum of assets test</w:t>
            </w:r>
            <w:r w:rsidR="00A95E31">
              <w:t xml:space="preserve"> and </w:t>
            </w:r>
          </w:p>
          <w:p w14:paraId="4C4853FB"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Concentration of assets test</w:t>
            </w:r>
          </w:p>
        </w:tc>
        <w:tc>
          <w:tcPr>
            <w:tcW w:w="3543" w:type="dxa"/>
          </w:tcPr>
          <w:p w14:paraId="0DCAA49F" w14:textId="792C577F"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Prudential Capital Requirement (PCR), comprising capital charges for asset risk, asset concentration risk, insurance risk and operational risk, as well as any supervisory adjustment</w:t>
            </w:r>
          </w:p>
        </w:tc>
      </w:tr>
      <w:tr w:rsidR="004A2124" w14:paraId="5541646C" w14:textId="77777777" w:rsidTr="00A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4373F7" w14:textId="77777777" w:rsidR="004A2124" w:rsidRDefault="004A2124" w:rsidP="000B0E15">
            <w:pPr>
              <w:numPr>
                <w:ilvl w:val="0"/>
                <w:numId w:val="0"/>
              </w:numPr>
            </w:pPr>
            <w:r>
              <w:t>Capital treatment for insurance risk</w:t>
            </w:r>
          </w:p>
        </w:tc>
        <w:tc>
          <w:tcPr>
            <w:tcW w:w="3402" w:type="dxa"/>
          </w:tcPr>
          <w:p w14:paraId="0FC49390"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Stressed net margin amount estimated by insurer</w:t>
            </w:r>
          </w:p>
        </w:tc>
        <w:tc>
          <w:tcPr>
            <w:tcW w:w="3543" w:type="dxa"/>
          </w:tcPr>
          <w:p w14:paraId="035DC412"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Capital charge based on:</w:t>
            </w:r>
          </w:p>
          <w:p w14:paraId="3F37A854" w14:textId="77777777" w:rsidR="004A2124" w:rsidRPr="00FE429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rsidRPr="00FE4294">
              <w:t>(a</w:t>
            </w:r>
            <w:r>
              <w:t xml:space="preserve">) </w:t>
            </w:r>
            <w:r w:rsidRPr="00FE4294">
              <w:t>Prescribed factor approach</w:t>
            </w:r>
            <w:r>
              <w:t>, and/</w:t>
            </w:r>
            <w:r w:rsidRPr="00FE4294">
              <w:t xml:space="preserve">or </w:t>
            </w:r>
            <w:r>
              <w:t xml:space="preserve">(b) </w:t>
            </w:r>
            <w:r w:rsidRPr="00FE4294">
              <w:t>an adverse event stress</w:t>
            </w:r>
            <w:r>
              <w:t xml:space="preserve"> scenario</w:t>
            </w:r>
          </w:p>
        </w:tc>
      </w:tr>
      <w:tr w:rsidR="004A2124" w14:paraId="0DF3B024" w14:textId="77777777" w:rsidTr="00A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8B66F22" w14:textId="77777777" w:rsidR="004A2124" w:rsidRDefault="004A2124" w:rsidP="000B0E15">
            <w:pPr>
              <w:numPr>
                <w:ilvl w:val="0"/>
                <w:numId w:val="0"/>
              </w:numPr>
            </w:pPr>
            <w:r>
              <w:t>Capital base</w:t>
            </w:r>
          </w:p>
        </w:tc>
        <w:tc>
          <w:tcPr>
            <w:tcW w:w="3402" w:type="dxa"/>
          </w:tcPr>
          <w:p w14:paraId="19D23469"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 xml:space="preserve">Includes all accounting balance sheet items </w:t>
            </w:r>
          </w:p>
        </w:tc>
        <w:tc>
          <w:tcPr>
            <w:tcW w:w="3543" w:type="dxa"/>
          </w:tcPr>
          <w:p w14:paraId="30315771"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Adjustments to accounting balance sheet to remove certain assets</w:t>
            </w:r>
          </w:p>
          <w:p w14:paraId="6FF465D6"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Establish rules and thresholds for quality of capital instruments</w:t>
            </w:r>
          </w:p>
        </w:tc>
      </w:tr>
      <w:tr w:rsidR="004A2124" w14:paraId="1F52AAA7" w14:textId="77777777" w:rsidTr="00A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B9100C" w14:textId="77777777" w:rsidR="004A2124" w:rsidRDefault="004A2124" w:rsidP="000B0E15">
            <w:pPr>
              <w:numPr>
                <w:ilvl w:val="0"/>
                <w:numId w:val="0"/>
              </w:numPr>
            </w:pPr>
            <w:r>
              <w:t>Capital planning</w:t>
            </w:r>
          </w:p>
        </w:tc>
        <w:tc>
          <w:tcPr>
            <w:tcW w:w="3402" w:type="dxa"/>
          </w:tcPr>
          <w:p w14:paraId="4EA97453" w14:textId="77777777"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Capital management plan, including pricing philosophy and investment rules</w:t>
            </w:r>
          </w:p>
        </w:tc>
        <w:tc>
          <w:tcPr>
            <w:tcW w:w="3543" w:type="dxa"/>
          </w:tcPr>
          <w:p w14:paraId="55E0776E" w14:textId="37277393" w:rsidR="004A2124" w:rsidRDefault="004A2124" w:rsidP="000B0E15">
            <w:pPr>
              <w:numPr>
                <w:ilvl w:val="0"/>
                <w:numId w:val="0"/>
              </w:numPr>
              <w:cnfStyle w:val="000000100000" w:firstRow="0" w:lastRow="0" w:firstColumn="0" w:lastColumn="0" w:oddVBand="0" w:evenVBand="0" w:oddHBand="1" w:evenHBand="0" w:firstRowFirstColumn="0" w:firstRowLastColumn="0" w:lastRowFirstColumn="0" w:lastRowLastColumn="0"/>
            </w:pPr>
            <w:r>
              <w:t>Introduction of Internal Capital Adequacy Assessment Process,</w:t>
            </w:r>
            <w:r w:rsidR="00A95E31">
              <w:t xml:space="preserve"> (ICAAP)</w:t>
            </w:r>
            <w:r>
              <w:t xml:space="preserve"> while retaining requirement for pricing philosophy and investment rules</w:t>
            </w:r>
          </w:p>
        </w:tc>
      </w:tr>
      <w:tr w:rsidR="004A2124" w14:paraId="11E13F5E" w14:textId="77777777" w:rsidTr="00A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1698D87" w14:textId="77777777" w:rsidR="004A2124" w:rsidRDefault="004A2124" w:rsidP="000B0E15">
            <w:pPr>
              <w:numPr>
                <w:ilvl w:val="0"/>
                <w:numId w:val="0"/>
              </w:numPr>
            </w:pPr>
            <w:r>
              <w:t>Minimum PCR</w:t>
            </w:r>
          </w:p>
        </w:tc>
        <w:tc>
          <w:tcPr>
            <w:tcW w:w="3402" w:type="dxa"/>
          </w:tcPr>
          <w:p w14:paraId="09674B1D"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Not specified</w:t>
            </w:r>
          </w:p>
        </w:tc>
        <w:tc>
          <w:tcPr>
            <w:tcW w:w="3543" w:type="dxa"/>
          </w:tcPr>
          <w:p w14:paraId="5AB94D8F" w14:textId="77777777" w:rsidR="004A2124" w:rsidRDefault="004A2124" w:rsidP="000B0E15">
            <w:pPr>
              <w:numPr>
                <w:ilvl w:val="0"/>
                <w:numId w:val="0"/>
              </w:numPr>
              <w:cnfStyle w:val="000000010000" w:firstRow="0" w:lastRow="0" w:firstColumn="0" w:lastColumn="0" w:oddVBand="0" w:evenVBand="0" w:oddHBand="0" w:evenHBand="1" w:firstRowFirstColumn="0" w:firstRowLastColumn="0" w:lastRowFirstColumn="0" w:lastRowLastColumn="0"/>
            </w:pPr>
            <w:r>
              <w:t>Introduce a $5 million minimum</w:t>
            </w:r>
          </w:p>
        </w:tc>
      </w:tr>
    </w:tbl>
    <w:p w14:paraId="4601B18E" w14:textId="3C1B753C" w:rsidR="004A2124" w:rsidRDefault="009A132E" w:rsidP="004A2124">
      <w:pPr>
        <w:numPr>
          <w:ilvl w:val="0"/>
          <w:numId w:val="0"/>
        </w:numPr>
      </w:pPr>
      <w:r>
        <w:br/>
      </w:r>
      <w:r w:rsidR="004A2124">
        <w:t xml:space="preserve">APRA is proposing the PHI capital standards be based on the </w:t>
      </w:r>
      <w:r w:rsidR="004A2124" w:rsidRPr="006638AA">
        <w:t>Australian Accounting Standards Board</w:t>
      </w:r>
      <w:r w:rsidR="004A2124">
        <w:t xml:space="preserve">’s </w:t>
      </w:r>
      <w:r w:rsidR="004A2124" w:rsidRPr="006638AA">
        <w:t xml:space="preserve">new standard </w:t>
      </w:r>
      <w:r w:rsidR="004A2124" w:rsidRPr="0099334E">
        <w:t>AASB</w:t>
      </w:r>
      <w:r w:rsidR="004A2124">
        <w:t> </w:t>
      </w:r>
      <w:r w:rsidR="004A2124" w:rsidRPr="0099334E">
        <w:t>17</w:t>
      </w:r>
      <w:r w:rsidR="004A2124">
        <w:t xml:space="preserve">, which </w:t>
      </w:r>
      <w:r w:rsidR="004A2124" w:rsidRPr="006638AA">
        <w:t>adjusts the accounting treatment of insurance contracts</w:t>
      </w:r>
      <w:r w:rsidR="004A2124">
        <w:t>. AASB</w:t>
      </w:r>
      <w:r w:rsidR="00C605DC">
        <w:t> </w:t>
      </w:r>
      <w:r w:rsidR="004A2124">
        <w:t xml:space="preserve">17 will </w:t>
      </w:r>
      <w:r w:rsidR="004A2124" w:rsidRPr="006638AA">
        <w:t>impact</w:t>
      </w:r>
      <w:r w:rsidR="004A2124" w:rsidRPr="006638AA" w:rsidDel="00552230">
        <w:t xml:space="preserve"> </w:t>
      </w:r>
      <w:r w:rsidR="004A2124" w:rsidRPr="006638AA">
        <w:t xml:space="preserve">the </w:t>
      </w:r>
      <w:r w:rsidR="004A2124">
        <w:t xml:space="preserve">measurement and reporting of </w:t>
      </w:r>
      <w:r w:rsidR="004A2124" w:rsidRPr="006638AA">
        <w:t>insurance liabilities</w:t>
      </w:r>
      <w:r w:rsidR="004A2124">
        <w:t>, which are fundamental building blocks for the LAGIC framework</w:t>
      </w:r>
      <w:r w:rsidR="004A2124" w:rsidRPr="006638AA">
        <w:t xml:space="preserve">. </w:t>
      </w:r>
    </w:p>
    <w:p w14:paraId="4A055BB1" w14:textId="43A2AD49" w:rsidR="004A2124" w:rsidRDefault="004A2124" w:rsidP="004A2124">
      <w:r>
        <w:t xml:space="preserve">AASB 17 is </w:t>
      </w:r>
      <w:r w:rsidRPr="006638AA">
        <w:t xml:space="preserve">expected to come into effect </w:t>
      </w:r>
      <w:r>
        <w:t xml:space="preserve">after </w:t>
      </w:r>
      <w:r w:rsidRPr="006638AA">
        <w:t>1 January 2022</w:t>
      </w:r>
      <w:r>
        <w:t>. In September 2019</w:t>
      </w:r>
      <w:r>
        <w:rPr>
          <w:rStyle w:val="FootnoteReference"/>
        </w:rPr>
        <w:footnoteReference w:id="3"/>
      </w:r>
      <w:r w:rsidDel="00552230">
        <w:t xml:space="preserve"> </w:t>
      </w:r>
      <w:r>
        <w:t xml:space="preserve">APRA proposed to </w:t>
      </w:r>
      <w:r w:rsidDel="00552230">
        <w:t xml:space="preserve">industry </w:t>
      </w:r>
      <w:r>
        <w:t>that AASB 17 would be adopted for prudential purposes from 1 July 2023. To avoid duplicative effort and cost for entities, APRA</w:t>
      </w:r>
      <w:r w:rsidR="00C605DC">
        <w:t xml:space="preserve">’s intent is to align the commencement of the </w:t>
      </w:r>
      <w:r>
        <w:t xml:space="preserve">PHI capital framework </w:t>
      </w:r>
      <w:r w:rsidR="00C605DC">
        <w:t xml:space="preserve">with the implementation of AASB 17 for prudential purposes </w:t>
      </w:r>
      <w:r>
        <w:t xml:space="preserve">from 1 July 2023. In light of the interaction with the implementation of AASB 17, APRA encourages all insurers to also monitor and engage with APRA’s consultation on proposals for the integration of AASB 17 into the capital and reporting frameworks. </w:t>
      </w:r>
    </w:p>
    <w:p w14:paraId="30661CCC" w14:textId="343B68E5" w:rsidR="00AC1C12" w:rsidRDefault="004A2124" w:rsidP="004A2124">
      <w:pPr>
        <w:numPr>
          <w:ilvl w:val="0"/>
          <w:numId w:val="0"/>
        </w:numPr>
      </w:pPr>
      <w:r>
        <w:t>The proposals outlined in this discussion paper are open for consultation until 27 March 2020. APRA intends to publish a Response to Submissions</w:t>
      </w:r>
      <w:r w:rsidDel="00350918">
        <w:t xml:space="preserve"> </w:t>
      </w:r>
      <w:r>
        <w:t xml:space="preserve">and release draft prudential capital standards in the second half of 2020. Information on quantitative impacts based on the draft standards </w:t>
      </w:r>
      <w:r w:rsidR="00A65D12">
        <w:t>will</w:t>
      </w:r>
      <w:r>
        <w:t xml:space="preserve"> be sought to inform the calibration of the final prudential standards which are scheduled to be released in 2022. APRA is open to working with impacted insurers on appropriate transition.</w:t>
      </w:r>
    </w:p>
    <w:p w14:paraId="586B7E66" w14:textId="77777777" w:rsidR="00AC1C12" w:rsidRDefault="00AC1C12" w:rsidP="00AC1C12">
      <w:pPr>
        <w:pStyle w:val="Heading1"/>
      </w:pPr>
      <w:bookmarkStart w:id="3" w:name="_Toc24622399"/>
      <w:bookmarkStart w:id="4" w:name="_Toc25334533"/>
      <w:bookmarkStart w:id="5" w:name="_Toc25941627"/>
      <w:r>
        <w:t>Glossary</w:t>
      </w:r>
      <w:bookmarkEnd w:id="3"/>
      <w:bookmarkEnd w:id="4"/>
      <w:bookmarkEnd w:id="5"/>
    </w:p>
    <w:tbl>
      <w:tblPr>
        <w:tblStyle w:val="TableOption2"/>
        <w:tblW w:w="0" w:type="auto"/>
        <w:tblLook w:val="0480" w:firstRow="0" w:lastRow="0" w:firstColumn="1" w:lastColumn="0" w:noHBand="0" w:noVBand="1"/>
      </w:tblPr>
      <w:tblGrid>
        <w:gridCol w:w="4513"/>
        <w:gridCol w:w="4513"/>
      </w:tblGrid>
      <w:tr w:rsidR="002035B2" w14:paraId="5B9F3634"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2EDCE30D" w14:textId="07128046" w:rsidR="002035B2" w:rsidRDefault="002035B2" w:rsidP="002035B2">
            <w:pPr>
              <w:pStyle w:val="TableHeading"/>
            </w:pPr>
            <w:r>
              <w:t>AASB</w:t>
            </w:r>
          </w:p>
        </w:tc>
        <w:tc>
          <w:tcPr>
            <w:tcW w:w="4513" w:type="dxa"/>
          </w:tcPr>
          <w:p w14:paraId="6AFF34F3" w14:textId="2F00B403"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t>Australian Accounting Standards Board</w:t>
            </w:r>
          </w:p>
        </w:tc>
      </w:tr>
      <w:tr w:rsidR="002035B2" w14:paraId="4AABC432"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5EF4056" w14:textId="3E0A5F8F" w:rsidR="002035B2" w:rsidRDefault="002035B2" w:rsidP="002035B2">
            <w:pPr>
              <w:pStyle w:val="TableHeading"/>
            </w:pPr>
            <w:r>
              <w:t xml:space="preserve">AASB 17 </w:t>
            </w:r>
          </w:p>
        </w:tc>
        <w:tc>
          <w:tcPr>
            <w:tcW w:w="4513" w:type="dxa"/>
          </w:tcPr>
          <w:p w14:paraId="4683D5BE" w14:textId="431410B4" w:rsidR="002035B2" w:rsidRPr="00A95E31" w:rsidRDefault="00A95E31" w:rsidP="002035B2">
            <w:pPr>
              <w:numPr>
                <w:ilvl w:val="0"/>
                <w:numId w:val="0"/>
              </w:numPr>
              <w:cnfStyle w:val="000000010000" w:firstRow="0" w:lastRow="0" w:firstColumn="0" w:lastColumn="0" w:oddVBand="0" w:evenVBand="0" w:oddHBand="0" w:evenHBand="1" w:firstRowFirstColumn="0" w:firstRowLastColumn="0" w:lastRowFirstColumn="0" w:lastRowLastColumn="0"/>
              <w:rPr>
                <w:i/>
              </w:rPr>
            </w:pPr>
            <w:r w:rsidRPr="00A95E31">
              <w:rPr>
                <w:i/>
              </w:rPr>
              <w:t xml:space="preserve">AASB 17 </w:t>
            </w:r>
            <w:r w:rsidR="002035B2" w:rsidRPr="00A95E31">
              <w:rPr>
                <w:i/>
              </w:rPr>
              <w:t>Insurance Contracts</w:t>
            </w:r>
          </w:p>
        </w:tc>
      </w:tr>
      <w:tr w:rsidR="002035B2" w14:paraId="5A2FB31E"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A929AC4" w14:textId="1C7E92E6" w:rsidR="002035B2" w:rsidRDefault="002035B2" w:rsidP="002035B2">
            <w:pPr>
              <w:pStyle w:val="TableHeading"/>
            </w:pPr>
            <w:r>
              <w:t>APRA</w:t>
            </w:r>
          </w:p>
        </w:tc>
        <w:tc>
          <w:tcPr>
            <w:tcW w:w="4513" w:type="dxa"/>
          </w:tcPr>
          <w:p w14:paraId="25481A8F" w14:textId="18EB789B"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rsidRPr="00AA4A38">
              <w:t>Australian Prudential Regulation Authority</w:t>
            </w:r>
          </w:p>
        </w:tc>
      </w:tr>
      <w:tr w:rsidR="002035B2" w14:paraId="5637CA80"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72F77790" w14:textId="6A0690BC" w:rsidR="002035B2" w:rsidRDefault="002035B2" w:rsidP="002035B2">
            <w:pPr>
              <w:pStyle w:val="TableHeading"/>
            </w:pPr>
            <w:r>
              <w:t xml:space="preserve">APRA Act </w:t>
            </w:r>
          </w:p>
        </w:tc>
        <w:tc>
          <w:tcPr>
            <w:tcW w:w="4513" w:type="dxa"/>
          </w:tcPr>
          <w:p w14:paraId="1AB2BE35" w14:textId="4E5D3D54" w:rsidR="002035B2" w:rsidRDefault="002035B2" w:rsidP="002035B2">
            <w:pPr>
              <w:numPr>
                <w:ilvl w:val="0"/>
                <w:numId w:val="0"/>
              </w:numPr>
              <w:cnfStyle w:val="000000010000" w:firstRow="0" w:lastRow="0" w:firstColumn="0" w:lastColumn="0" w:oddVBand="0" w:evenVBand="0" w:oddHBand="0" w:evenHBand="1" w:firstRowFirstColumn="0" w:firstRowLastColumn="0" w:lastRowFirstColumn="0" w:lastRowLastColumn="0"/>
            </w:pPr>
            <w:r w:rsidRPr="00066F53">
              <w:rPr>
                <w:i/>
              </w:rPr>
              <w:t>Australian Prudential Regulation Authority Act 1998</w:t>
            </w:r>
          </w:p>
        </w:tc>
      </w:tr>
      <w:tr w:rsidR="002035B2" w14:paraId="5D32C5FA"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1338C64" w14:textId="26B37A08" w:rsidR="002035B2" w:rsidRDefault="002035B2" w:rsidP="002035B2">
            <w:pPr>
              <w:pStyle w:val="TableHeading"/>
            </w:pPr>
            <w:r>
              <w:t>CMP</w:t>
            </w:r>
          </w:p>
        </w:tc>
        <w:tc>
          <w:tcPr>
            <w:tcW w:w="4513" w:type="dxa"/>
          </w:tcPr>
          <w:p w14:paraId="419DC8F2" w14:textId="629C714D"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t>Capital Management Plan</w:t>
            </w:r>
          </w:p>
        </w:tc>
      </w:tr>
      <w:tr w:rsidR="002035B2" w14:paraId="54CFFC02"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1F78D67" w14:textId="30E52A81" w:rsidR="002035B2" w:rsidRDefault="002035B2" w:rsidP="002035B2">
            <w:pPr>
              <w:pStyle w:val="TableHeading"/>
            </w:pPr>
            <w:r>
              <w:t>Community rating</w:t>
            </w:r>
          </w:p>
        </w:tc>
        <w:tc>
          <w:tcPr>
            <w:tcW w:w="4513" w:type="dxa"/>
          </w:tcPr>
          <w:p w14:paraId="00F86890" w14:textId="48FB3D02" w:rsidR="002035B2" w:rsidRDefault="002035B2" w:rsidP="002035B2">
            <w:pPr>
              <w:numPr>
                <w:ilvl w:val="0"/>
                <w:numId w:val="0"/>
              </w:numPr>
              <w:cnfStyle w:val="000000010000" w:firstRow="0" w:lastRow="0" w:firstColumn="0" w:lastColumn="0" w:oddVBand="0" w:evenVBand="0" w:oddHBand="0" w:evenHBand="1" w:firstRowFirstColumn="0" w:firstRowLastColumn="0" w:lastRowFirstColumn="0" w:lastRowLastColumn="0"/>
            </w:pPr>
            <w:r w:rsidRPr="008D206B">
              <w:t xml:space="preserve">Community rating </w:t>
            </w:r>
            <w:r w:rsidR="00254E08">
              <w:t xml:space="preserve">precludes insurers from </w:t>
            </w:r>
            <w:r w:rsidR="00A41FBD">
              <w:t>charging</w:t>
            </w:r>
            <w:r>
              <w:t xml:space="preserve"> members different premiums for the same level of cover </w:t>
            </w:r>
            <w:r w:rsidR="00A41FBD">
              <w:t>due to factors including</w:t>
            </w:r>
            <w:r>
              <w:t xml:space="preserve"> age (other than age at entry), claims history, gender or health</w:t>
            </w:r>
            <w:r w:rsidR="00BD55CE">
              <w:t xml:space="preserve"> status</w:t>
            </w:r>
          </w:p>
        </w:tc>
      </w:tr>
      <w:tr w:rsidR="002035B2" w14:paraId="1FD757D6"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205DABD" w14:textId="5C20E474" w:rsidR="002035B2" w:rsidRDefault="002035B2" w:rsidP="002035B2">
            <w:pPr>
              <w:pStyle w:val="TableHeading"/>
            </w:pPr>
            <w:r>
              <w:t>Corporations Act</w:t>
            </w:r>
          </w:p>
        </w:tc>
        <w:tc>
          <w:tcPr>
            <w:tcW w:w="4513" w:type="dxa"/>
          </w:tcPr>
          <w:p w14:paraId="35A541BA" w14:textId="7025259D"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rsidRPr="00066F53">
              <w:rPr>
                <w:i/>
              </w:rPr>
              <w:t xml:space="preserve">Corporations Act 2001 </w:t>
            </w:r>
          </w:p>
        </w:tc>
      </w:tr>
      <w:tr w:rsidR="002035B2" w14:paraId="1BD0EFFB"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2034DB8" w14:textId="32508596" w:rsidR="002035B2" w:rsidRDefault="002035B2" w:rsidP="002035B2">
            <w:pPr>
              <w:pStyle w:val="TableHeading"/>
            </w:pPr>
            <w:r>
              <w:t>FOIA</w:t>
            </w:r>
          </w:p>
        </w:tc>
        <w:tc>
          <w:tcPr>
            <w:tcW w:w="4513" w:type="dxa"/>
          </w:tcPr>
          <w:p w14:paraId="43C947B6" w14:textId="56218D81" w:rsidR="002035B2" w:rsidRDefault="002035B2" w:rsidP="002035B2">
            <w:pPr>
              <w:numPr>
                <w:ilvl w:val="0"/>
                <w:numId w:val="0"/>
              </w:numPr>
              <w:cnfStyle w:val="000000010000" w:firstRow="0" w:lastRow="0" w:firstColumn="0" w:lastColumn="0" w:oddVBand="0" w:evenVBand="0" w:oddHBand="0" w:evenHBand="1" w:firstRowFirstColumn="0" w:firstRowLastColumn="0" w:lastRowFirstColumn="0" w:lastRowLastColumn="0"/>
            </w:pPr>
            <w:r w:rsidRPr="00066F53">
              <w:rPr>
                <w:i/>
              </w:rPr>
              <w:t>Freedom of Information Act 1982</w:t>
            </w:r>
          </w:p>
        </w:tc>
      </w:tr>
      <w:tr w:rsidR="002035B2" w14:paraId="77323038"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649AE88D" w14:textId="603E68AD" w:rsidR="002035B2" w:rsidRDefault="002035B2" w:rsidP="002035B2">
            <w:pPr>
              <w:pStyle w:val="TableHeading"/>
            </w:pPr>
            <w:r>
              <w:t>FSCODA</w:t>
            </w:r>
          </w:p>
        </w:tc>
        <w:tc>
          <w:tcPr>
            <w:tcW w:w="4513" w:type="dxa"/>
          </w:tcPr>
          <w:p w14:paraId="25D85499" w14:textId="55429461"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rsidRPr="00066F53">
              <w:rPr>
                <w:i/>
              </w:rPr>
              <w:t>Financial Sector (Collection of Data) Act 2001</w:t>
            </w:r>
          </w:p>
        </w:tc>
      </w:tr>
      <w:tr w:rsidR="0098419A" w14:paraId="1A7BF71D"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6AC5277B" w14:textId="4CCB42DD" w:rsidR="0098419A" w:rsidRDefault="0098419A" w:rsidP="00874F8A">
            <w:pPr>
              <w:pStyle w:val="TableHeading"/>
            </w:pPr>
            <w:r>
              <w:t>GPS</w:t>
            </w:r>
            <w:r w:rsidR="00874F8A">
              <w:t> </w:t>
            </w:r>
            <w:r>
              <w:t>112</w:t>
            </w:r>
          </w:p>
        </w:tc>
        <w:tc>
          <w:tcPr>
            <w:tcW w:w="4513" w:type="dxa"/>
          </w:tcPr>
          <w:p w14:paraId="288892FF" w14:textId="4CC2F81B" w:rsidR="0098419A" w:rsidRPr="00EC440C" w:rsidRDefault="00EC440C" w:rsidP="00874F8A">
            <w:pPr>
              <w:numPr>
                <w:ilvl w:val="0"/>
                <w:numId w:val="0"/>
              </w:numPr>
              <w:cnfStyle w:val="000000010000" w:firstRow="0" w:lastRow="0" w:firstColumn="0" w:lastColumn="0" w:oddVBand="0" w:evenVBand="0" w:oddHBand="0" w:evenHBand="1" w:firstRowFirstColumn="0" w:firstRowLastColumn="0" w:lastRowFirstColumn="0" w:lastRowLastColumn="0"/>
              <w:rPr>
                <w:i/>
              </w:rPr>
            </w:pPr>
            <w:r w:rsidRPr="00EC440C">
              <w:rPr>
                <w:i/>
              </w:rPr>
              <w:t>Prudential Standard GPS</w:t>
            </w:r>
            <w:r w:rsidR="00874F8A">
              <w:rPr>
                <w:i/>
              </w:rPr>
              <w:t> </w:t>
            </w:r>
            <w:r w:rsidRPr="00EC440C">
              <w:rPr>
                <w:i/>
              </w:rPr>
              <w:t>112 Capital Adequacy: Measurement of Capital</w:t>
            </w:r>
          </w:p>
        </w:tc>
      </w:tr>
      <w:tr w:rsidR="002035B2" w14:paraId="04F81942"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0028928" w14:textId="6672579D" w:rsidR="002035B2" w:rsidRDefault="00874F8A" w:rsidP="00874F8A">
            <w:pPr>
              <w:pStyle w:val="TableHeading"/>
            </w:pPr>
            <w:r>
              <w:t>HBF</w:t>
            </w:r>
          </w:p>
        </w:tc>
        <w:tc>
          <w:tcPr>
            <w:tcW w:w="4513" w:type="dxa"/>
          </w:tcPr>
          <w:p w14:paraId="6C549C2B" w14:textId="69879013"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t xml:space="preserve">The health benefits fund </w:t>
            </w:r>
            <w:r w:rsidR="00874F8A">
              <w:t xml:space="preserve">(HBF) </w:t>
            </w:r>
            <w:r>
              <w:t>is established in the private health insurer for the purposes of operating health insurance business and, where relevant, health</w:t>
            </w:r>
            <w:r w:rsidR="00870C37">
              <w:t xml:space="preserve"> </w:t>
            </w:r>
            <w:r>
              <w:t xml:space="preserve">related business in accordance with the </w:t>
            </w:r>
            <w:r w:rsidRPr="00D94B66">
              <w:rPr>
                <w:i/>
              </w:rPr>
              <w:t>Private Health Insurance Act 2007</w:t>
            </w:r>
          </w:p>
        </w:tc>
      </w:tr>
      <w:tr w:rsidR="002035B2" w14:paraId="59DD0525"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24459CB" w14:textId="7E2F9241" w:rsidR="002035B2" w:rsidRDefault="002035B2" w:rsidP="00874F8A">
            <w:pPr>
              <w:pStyle w:val="TableHeading"/>
            </w:pPr>
            <w:r>
              <w:t>HPS</w:t>
            </w:r>
            <w:r w:rsidR="00874F8A">
              <w:t> </w:t>
            </w:r>
            <w:r>
              <w:t>100</w:t>
            </w:r>
          </w:p>
        </w:tc>
        <w:tc>
          <w:tcPr>
            <w:tcW w:w="4513" w:type="dxa"/>
          </w:tcPr>
          <w:p w14:paraId="2335968B" w14:textId="28D66C4D" w:rsidR="002035B2" w:rsidRPr="00EC440C" w:rsidRDefault="002035B2" w:rsidP="002035B2">
            <w:pPr>
              <w:numPr>
                <w:ilvl w:val="0"/>
                <w:numId w:val="0"/>
              </w:numPr>
              <w:cnfStyle w:val="000000010000" w:firstRow="0" w:lastRow="0" w:firstColumn="0" w:lastColumn="0" w:oddVBand="0" w:evenVBand="0" w:oddHBand="0" w:evenHBand="1" w:firstRowFirstColumn="0" w:firstRowLastColumn="0" w:lastRowFirstColumn="0" w:lastRowLastColumn="0"/>
              <w:rPr>
                <w:i/>
              </w:rPr>
            </w:pPr>
            <w:r w:rsidRPr="00EC440C">
              <w:rPr>
                <w:i/>
              </w:rPr>
              <w:t>Prudential Standard HPS 100 Solvency Standard</w:t>
            </w:r>
          </w:p>
        </w:tc>
      </w:tr>
      <w:tr w:rsidR="002035B2" w14:paraId="11BD13AE"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B36788F" w14:textId="450594B9" w:rsidR="002035B2" w:rsidRDefault="002035B2" w:rsidP="002035B2">
            <w:pPr>
              <w:pStyle w:val="TableHeading"/>
            </w:pPr>
            <w:r>
              <w:t>HPS 110</w:t>
            </w:r>
          </w:p>
        </w:tc>
        <w:tc>
          <w:tcPr>
            <w:tcW w:w="4513" w:type="dxa"/>
          </w:tcPr>
          <w:p w14:paraId="43BBABDD" w14:textId="02275361" w:rsidR="002035B2" w:rsidRPr="00EC440C"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rPr>
                <w:i/>
              </w:rPr>
            </w:pPr>
            <w:r w:rsidRPr="00EC440C">
              <w:rPr>
                <w:i/>
              </w:rPr>
              <w:t>Prudential Standard HPS 110 Capital Adequacy</w:t>
            </w:r>
          </w:p>
        </w:tc>
      </w:tr>
      <w:tr w:rsidR="002035B2" w14:paraId="626340CA"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7BCB97AC" w14:textId="39B65F5E" w:rsidR="002035B2" w:rsidRDefault="002035B2" w:rsidP="002035B2">
            <w:pPr>
              <w:pStyle w:val="TableHeading"/>
            </w:pPr>
            <w:r>
              <w:t>IAIS</w:t>
            </w:r>
          </w:p>
        </w:tc>
        <w:tc>
          <w:tcPr>
            <w:tcW w:w="4513" w:type="dxa"/>
          </w:tcPr>
          <w:p w14:paraId="4C869732" w14:textId="5FB03C9F" w:rsidR="002035B2" w:rsidRDefault="002035B2" w:rsidP="002035B2">
            <w:pPr>
              <w:numPr>
                <w:ilvl w:val="0"/>
                <w:numId w:val="0"/>
              </w:numPr>
              <w:cnfStyle w:val="000000010000" w:firstRow="0" w:lastRow="0" w:firstColumn="0" w:lastColumn="0" w:oddVBand="0" w:evenVBand="0" w:oddHBand="0" w:evenHBand="1" w:firstRowFirstColumn="0" w:firstRowLastColumn="0" w:lastRowFirstColumn="0" w:lastRowLastColumn="0"/>
            </w:pPr>
            <w:r>
              <w:t>International Association of Insurance Supervisors</w:t>
            </w:r>
          </w:p>
        </w:tc>
      </w:tr>
      <w:tr w:rsidR="002035B2" w14:paraId="18DC8A3E" w14:textId="77777777" w:rsidTr="000B7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3B9E39FA" w14:textId="74B6D696" w:rsidR="002035B2" w:rsidRDefault="002035B2" w:rsidP="002035B2">
            <w:pPr>
              <w:pStyle w:val="TableHeading"/>
            </w:pPr>
            <w:r>
              <w:t>ICAAP</w:t>
            </w:r>
          </w:p>
        </w:tc>
        <w:tc>
          <w:tcPr>
            <w:tcW w:w="4513" w:type="dxa"/>
          </w:tcPr>
          <w:p w14:paraId="4022F9F9" w14:textId="0D1EE153" w:rsidR="002035B2" w:rsidRDefault="002035B2" w:rsidP="002035B2">
            <w:pPr>
              <w:numPr>
                <w:ilvl w:val="0"/>
                <w:numId w:val="0"/>
              </w:numPr>
              <w:cnfStyle w:val="000000100000" w:firstRow="0" w:lastRow="0" w:firstColumn="0" w:lastColumn="0" w:oddVBand="0" w:evenVBand="0" w:oddHBand="1" w:evenHBand="0" w:firstRowFirstColumn="0" w:firstRowLastColumn="0" w:lastRowFirstColumn="0" w:lastRowLastColumn="0"/>
            </w:pPr>
            <w:r w:rsidRPr="002C5434">
              <w:t>Internal Capital Adequacy Assessment Pro</w:t>
            </w:r>
            <w:r>
              <w:t>cess</w:t>
            </w:r>
            <w:r w:rsidRPr="002C5434">
              <w:t xml:space="preserve"> </w:t>
            </w:r>
          </w:p>
        </w:tc>
      </w:tr>
      <w:tr w:rsidR="002035B2" w14:paraId="1A0BFFAB" w14:textId="77777777" w:rsidTr="000B7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75F6D3D" w14:textId="330427F6" w:rsidR="002035B2" w:rsidRDefault="002035B2" w:rsidP="002035B2">
            <w:pPr>
              <w:pStyle w:val="TableHeading"/>
            </w:pPr>
            <w:r>
              <w:t>ICP</w:t>
            </w:r>
            <w:r w:rsidR="00B42063">
              <w:t>s</w:t>
            </w:r>
          </w:p>
        </w:tc>
        <w:tc>
          <w:tcPr>
            <w:tcW w:w="4513" w:type="dxa"/>
          </w:tcPr>
          <w:p w14:paraId="02EEB114" w14:textId="01F36A55" w:rsidR="002035B2" w:rsidRDefault="002035B2" w:rsidP="002035B2">
            <w:pPr>
              <w:numPr>
                <w:ilvl w:val="0"/>
                <w:numId w:val="0"/>
              </w:numPr>
              <w:cnfStyle w:val="000000010000" w:firstRow="0" w:lastRow="0" w:firstColumn="0" w:lastColumn="0" w:oddVBand="0" w:evenVBand="0" w:oddHBand="0" w:evenHBand="1" w:firstRowFirstColumn="0" w:firstRowLastColumn="0" w:lastRowFirstColumn="0" w:lastRowLastColumn="0"/>
            </w:pPr>
            <w:r>
              <w:t>Insurance Core Principles as adopted by the IAIS</w:t>
            </w:r>
          </w:p>
        </w:tc>
      </w:tr>
    </w:tbl>
    <w:p w14:paraId="356062C6" w14:textId="77777777" w:rsidR="00AC1C12" w:rsidRDefault="00AC1C12" w:rsidP="00AC1C12">
      <w:pPr>
        <w:numPr>
          <w:ilvl w:val="0"/>
          <w:numId w:val="0"/>
        </w:numPr>
      </w:pPr>
    </w:p>
    <w:p w14:paraId="04864F7A" w14:textId="2F5C9C42" w:rsidR="002035B2" w:rsidRDefault="002035B2" w:rsidP="00AC1C12">
      <w:pPr>
        <w:numPr>
          <w:ilvl w:val="0"/>
          <w:numId w:val="0"/>
        </w:numPr>
      </w:pPr>
    </w:p>
    <w:tbl>
      <w:tblPr>
        <w:tblStyle w:val="TableOption2"/>
        <w:tblW w:w="0" w:type="auto"/>
        <w:tblLook w:val="0480" w:firstRow="0" w:lastRow="0" w:firstColumn="1" w:lastColumn="0" w:noHBand="0" w:noVBand="1"/>
      </w:tblPr>
      <w:tblGrid>
        <w:gridCol w:w="4513"/>
        <w:gridCol w:w="4513"/>
      </w:tblGrid>
      <w:tr w:rsidR="002035B2" w14:paraId="106D1E79"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7D2C00C" w14:textId="77777777" w:rsidR="002035B2" w:rsidRDefault="002035B2" w:rsidP="000B0E15">
            <w:pPr>
              <w:pStyle w:val="TableHeading"/>
            </w:pPr>
            <w:r>
              <w:t>LAGIC</w:t>
            </w:r>
          </w:p>
        </w:tc>
        <w:tc>
          <w:tcPr>
            <w:tcW w:w="4513" w:type="dxa"/>
          </w:tcPr>
          <w:p w14:paraId="3B1E31E6" w14:textId="77777777" w:rsidR="002035B2" w:rsidRPr="00841792" w:rsidRDefault="002035B2" w:rsidP="000B0E15">
            <w:pPr>
              <w:numPr>
                <w:ilvl w:val="0"/>
                <w:numId w:val="0"/>
              </w:numPr>
              <w:cnfStyle w:val="000000100000" w:firstRow="0" w:lastRow="0" w:firstColumn="0" w:lastColumn="0" w:oddVBand="0" w:evenVBand="0" w:oddHBand="1" w:evenHBand="0" w:firstRowFirstColumn="0" w:firstRowLastColumn="0" w:lastRowFirstColumn="0" w:lastRowLastColumn="0"/>
            </w:pPr>
            <w:r>
              <w:t>Life and General Insurance Capital framework introduced by APRA on 1 January 2013</w:t>
            </w:r>
          </w:p>
        </w:tc>
      </w:tr>
      <w:tr w:rsidR="00313219" w14:paraId="6F96259F" w14:textId="77777777" w:rsidTr="000B0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2434AFA" w14:textId="05465D73" w:rsidR="00313219" w:rsidRDefault="00313219" w:rsidP="000B0E15">
            <w:pPr>
              <w:pStyle w:val="TableHeading"/>
            </w:pPr>
            <w:r>
              <w:t>MEI</w:t>
            </w:r>
          </w:p>
        </w:tc>
        <w:tc>
          <w:tcPr>
            <w:tcW w:w="4513" w:type="dxa"/>
          </w:tcPr>
          <w:p w14:paraId="7AA03820" w14:textId="5D8CB2FC" w:rsidR="00313219" w:rsidRDefault="00313219" w:rsidP="000B0E15">
            <w:pPr>
              <w:numPr>
                <w:ilvl w:val="0"/>
                <w:numId w:val="0"/>
              </w:numPr>
              <w:cnfStyle w:val="000000010000" w:firstRow="0" w:lastRow="0" w:firstColumn="0" w:lastColumn="0" w:oddVBand="0" w:evenVBand="0" w:oddHBand="0" w:evenHBand="1" w:firstRowFirstColumn="0" w:firstRowLastColumn="0" w:lastRowFirstColumn="0" w:lastRowLastColumn="0"/>
            </w:pPr>
            <w:r>
              <w:t>Mutual Equity Interest</w:t>
            </w:r>
          </w:p>
        </w:tc>
      </w:tr>
      <w:tr w:rsidR="002035B2" w14:paraId="34990BC7"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4536BA3C" w14:textId="77777777" w:rsidR="002035B2" w:rsidRDefault="002035B2" w:rsidP="000B0E15">
            <w:pPr>
              <w:pStyle w:val="TableHeading"/>
            </w:pPr>
            <w:r>
              <w:t>PAIRS</w:t>
            </w:r>
          </w:p>
        </w:tc>
        <w:tc>
          <w:tcPr>
            <w:tcW w:w="4513" w:type="dxa"/>
          </w:tcPr>
          <w:p w14:paraId="5F936510" w14:textId="77777777" w:rsidR="002035B2" w:rsidRPr="00841792" w:rsidRDefault="002035B2" w:rsidP="000B0E15">
            <w:pPr>
              <w:numPr>
                <w:ilvl w:val="0"/>
                <w:numId w:val="0"/>
              </w:numPr>
              <w:cnfStyle w:val="000000100000" w:firstRow="0" w:lastRow="0" w:firstColumn="0" w:lastColumn="0" w:oddVBand="0" w:evenVBand="0" w:oddHBand="1" w:evenHBand="0" w:firstRowFirstColumn="0" w:firstRowLastColumn="0" w:lastRowFirstColumn="0" w:lastRowLastColumn="0"/>
            </w:pPr>
            <w:r w:rsidRPr="003A3554">
              <w:t>Probability and Impact Rating System</w:t>
            </w:r>
          </w:p>
        </w:tc>
      </w:tr>
      <w:tr w:rsidR="002035B2" w:rsidRPr="00AA4A38" w14:paraId="30BAD057" w14:textId="77777777" w:rsidTr="000B0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6E659985" w14:textId="77777777" w:rsidR="002035B2" w:rsidRDefault="002035B2" w:rsidP="000B0E15">
            <w:pPr>
              <w:pStyle w:val="TableHeading"/>
            </w:pPr>
            <w:r>
              <w:t>PCA</w:t>
            </w:r>
          </w:p>
        </w:tc>
        <w:tc>
          <w:tcPr>
            <w:tcW w:w="4513" w:type="dxa"/>
          </w:tcPr>
          <w:p w14:paraId="4ABF876A" w14:textId="77777777" w:rsidR="002035B2" w:rsidRPr="00AA4A38" w:rsidRDefault="002035B2" w:rsidP="000B0E15">
            <w:pPr>
              <w:cnfStyle w:val="000000010000" w:firstRow="0" w:lastRow="0" w:firstColumn="0" w:lastColumn="0" w:oddVBand="0" w:evenVBand="0" w:oddHBand="0" w:evenHBand="1" w:firstRowFirstColumn="0" w:firstRowLastColumn="0" w:lastRowFirstColumn="0" w:lastRowLastColumn="0"/>
            </w:pPr>
            <w:r>
              <w:t>Prescribed capital amount</w:t>
            </w:r>
          </w:p>
        </w:tc>
      </w:tr>
      <w:tr w:rsidR="002035B2" w:rsidRPr="00AA4A38" w14:paraId="3BB140AC"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9D7637D" w14:textId="77777777" w:rsidR="002035B2" w:rsidRDefault="002035B2" w:rsidP="000B0E15">
            <w:pPr>
              <w:pStyle w:val="TableHeading"/>
            </w:pPr>
            <w:r>
              <w:t>PCR</w:t>
            </w:r>
          </w:p>
        </w:tc>
        <w:tc>
          <w:tcPr>
            <w:tcW w:w="4513" w:type="dxa"/>
          </w:tcPr>
          <w:p w14:paraId="271069A2" w14:textId="77777777" w:rsidR="002035B2" w:rsidRPr="00841792" w:rsidRDefault="002035B2" w:rsidP="000B0E15">
            <w:pPr>
              <w:cnfStyle w:val="000000100000" w:firstRow="0" w:lastRow="0" w:firstColumn="0" w:lastColumn="0" w:oddVBand="0" w:evenVBand="0" w:oddHBand="1" w:evenHBand="0" w:firstRowFirstColumn="0" w:firstRowLastColumn="0" w:lastRowFirstColumn="0" w:lastRowLastColumn="0"/>
            </w:pPr>
            <w:r>
              <w:t>Prudential capital requirement</w:t>
            </w:r>
          </w:p>
        </w:tc>
      </w:tr>
      <w:tr w:rsidR="002035B2" w:rsidRPr="00AA4A38" w14:paraId="5EFFE278" w14:textId="77777777" w:rsidTr="000B0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A0AD1A4" w14:textId="77777777" w:rsidR="002035B2" w:rsidRDefault="002035B2" w:rsidP="000B0E15">
            <w:pPr>
              <w:pStyle w:val="TableHeading"/>
            </w:pPr>
            <w:r>
              <w:t>PHI</w:t>
            </w:r>
          </w:p>
        </w:tc>
        <w:tc>
          <w:tcPr>
            <w:tcW w:w="4513" w:type="dxa"/>
          </w:tcPr>
          <w:p w14:paraId="2C193B2C" w14:textId="77777777" w:rsidR="002035B2" w:rsidRPr="008D206B" w:rsidRDefault="002035B2" w:rsidP="000B0E15">
            <w:pPr>
              <w:cnfStyle w:val="000000010000" w:firstRow="0" w:lastRow="0" w:firstColumn="0" w:lastColumn="0" w:oddVBand="0" w:evenVBand="0" w:oddHBand="0" w:evenHBand="1" w:firstRowFirstColumn="0" w:firstRowLastColumn="0" w:lastRowFirstColumn="0" w:lastRowLastColumn="0"/>
              <w:rPr>
                <w:szCs w:val="20"/>
              </w:rPr>
            </w:pPr>
            <w:r>
              <w:t>Private health insurance</w:t>
            </w:r>
          </w:p>
        </w:tc>
      </w:tr>
      <w:tr w:rsidR="002035B2" w:rsidRPr="00AA4A38" w14:paraId="13495C2F"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9A00D7B" w14:textId="77777777" w:rsidR="002035B2" w:rsidRDefault="002035B2" w:rsidP="000B0E15">
            <w:pPr>
              <w:pStyle w:val="TableHeading"/>
            </w:pPr>
            <w:r>
              <w:t>PHIAC</w:t>
            </w:r>
          </w:p>
        </w:tc>
        <w:tc>
          <w:tcPr>
            <w:tcW w:w="4513" w:type="dxa"/>
          </w:tcPr>
          <w:p w14:paraId="2C31F323" w14:textId="77777777" w:rsidR="002035B2" w:rsidRPr="003A3554" w:rsidRDefault="002035B2" w:rsidP="000B0E15">
            <w:pPr>
              <w:cnfStyle w:val="000000100000" w:firstRow="0" w:lastRow="0" w:firstColumn="0" w:lastColumn="0" w:oddVBand="0" w:evenVBand="0" w:oddHBand="1" w:evenHBand="0" w:firstRowFirstColumn="0" w:firstRowLastColumn="0" w:lastRowFirstColumn="0" w:lastRowLastColumn="0"/>
            </w:pPr>
            <w:r w:rsidRPr="00841792">
              <w:t>Private Health Insurance Administration Council (1989</w:t>
            </w:r>
            <w:r>
              <w:noBreakHyphen/>
            </w:r>
            <w:r w:rsidRPr="00841792">
              <w:t>2015)</w:t>
            </w:r>
          </w:p>
        </w:tc>
      </w:tr>
      <w:tr w:rsidR="002035B2" w:rsidRPr="00AA4A38" w14:paraId="0A90612C" w14:textId="77777777" w:rsidTr="000B0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0624215" w14:textId="77777777" w:rsidR="002035B2" w:rsidRDefault="002035B2" w:rsidP="000B0E15">
            <w:pPr>
              <w:pStyle w:val="TableHeading"/>
            </w:pPr>
            <w:r>
              <w:t>Risk Equalisation</w:t>
            </w:r>
          </w:p>
        </w:tc>
        <w:tc>
          <w:tcPr>
            <w:tcW w:w="4513" w:type="dxa"/>
          </w:tcPr>
          <w:p w14:paraId="548DCC49" w14:textId="029A966D" w:rsidR="002035B2" w:rsidRPr="008F6859" w:rsidRDefault="002035B2" w:rsidP="000B0E15">
            <w:pPr>
              <w:cnfStyle w:val="000000010000" w:firstRow="0" w:lastRow="0" w:firstColumn="0" w:lastColumn="0" w:oddVBand="0" w:evenVBand="0" w:oddHBand="0" w:evenHBand="1" w:firstRowFirstColumn="0" w:firstRowLastColumn="0" w:lastRowFirstColumn="0" w:lastRowLastColumn="0"/>
            </w:pPr>
            <w:r>
              <w:rPr>
                <w:szCs w:val="20"/>
              </w:rPr>
              <w:t>A system for sharing the hospital treatment costs of high-risk groups and high costs claims between insurers</w:t>
            </w:r>
            <w:r w:rsidR="00874F8A">
              <w:rPr>
                <w:szCs w:val="20"/>
              </w:rPr>
              <w:t xml:space="preserve">. Risk Equalisation </w:t>
            </w:r>
            <w:r>
              <w:rPr>
                <w:szCs w:val="20"/>
              </w:rPr>
              <w:t>commenced on 1 April 2007. It is comprised of three elements:</w:t>
            </w:r>
          </w:p>
          <w:p w14:paraId="5EE2F040" w14:textId="61BCCD02" w:rsidR="002035B2" w:rsidRPr="008F6859" w:rsidRDefault="002035B2" w:rsidP="000B0E15">
            <w:pPr>
              <w:cnfStyle w:val="000000010000" w:firstRow="0" w:lastRow="0" w:firstColumn="0" w:lastColumn="0" w:oddVBand="0" w:evenVBand="0" w:oddHBand="0" w:evenHBand="1" w:firstRowFirstColumn="0" w:firstRowLastColumn="0" w:lastRowFirstColumn="0" w:lastRowLastColumn="0"/>
            </w:pPr>
            <w:r>
              <w:rPr>
                <w:szCs w:val="20"/>
              </w:rPr>
              <w:t>(</w:t>
            </w:r>
            <w:proofErr w:type="spellStart"/>
            <w:r>
              <w:rPr>
                <w:szCs w:val="20"/>
              </w:rPr>
              <w:t>i</w:t>
            </w:r>
            <w:proofErr w:type="spellEnd"/>
            <w:r>
              <w:rPr>
                <w:szCs w:val="20"/>
              </w:rPr>
              <w:t>) an age based pool – that shares the costs of treatment for people aged 55 and above</w:t>
            </w:r>
            <w:r w:rsidR="000B0E15">
              <w:rPr>
                <w:szCs w:val="20"/>
              </w:rPr>
              <w:t>;</w:t>
            </w:r>
          </w:p>
          <w:p w14:paraId="4EF003CC" w14:textId="77777777" w:rsidR="000B0E15" w:rsidRPr="00B94933" w:rsidRDefault="002035B2" w:rsidP="000B0E15">
            <w:pPr>
              <w:cnfStyle w:val="000000010000" w:firstRow="0" w:lastRow="0" w:firstColumn="0" w:lastColumn="0" w:oddVBand="0" w:evenVBand="0" w:oddHBand="0" w:evenHBand="1" w:firstRowFirstColumn="0" w:firstRowLastColumn="0" w:lastRowFirstColumn="0" w:lastRowLastColumn="0"/>
            </w:pPr>
            <w:r>
              <w:rPr>
                <w:szCs w:val="20"/>
              </w:rPr>
              <w:t xml:space="preserve">(ii) </w:t>
            </w:r>
            <w:r w:rsidR="000B0E15">
              <w:rPr>
                <w:szCs w:val="20"/>
              </w:rPr>
              <w:t>a high cost claimants pool – that shares the costs of claims above specified thresholds;</w:t>
            </w:r>
          </w:p>
          <w:p w14:paraId="6327D7D8" w14:textId="5F80B74E" w:rsidR="002035B2" w:rsidRPr="003A3554" w:rsidRDefault="000B0E15" w:rsidP="000B0E15">
            <w:pPr>
              <w:cnfStyle w:val="000000010000" w:firstRow="0" w:lastRow="0" w:firstColumn="0" w:lastColumn="0" w:oddVBand="0" w:evenVBand="0" w:oddHBand="0" w:evenHBand="1" w:firstRowFirstColumn="0" w:firstRowLastColumn="0" w:lastRowFirstColumn="0" w:lastRowLastColumn="0"/>
            </w:pPr>
            <w:r w:rsidRPr="00B94933">
              <w:t xml:space="preserve">(iii) the transfer of money between insurers and the </w:t>
            </w:r>
            <w:r w:rsidRPr="00B94933">
              <w:rPr>
                <w:szCs w:val="20"/>
              </w:rPr>
              <w:t xml:space="preserve">Risk Equalisation </w:t>
            </w:r>
            <w:r>
              <w:rPr>
                <w:szCs w:val="20"/>
              </w:rPr>
              <w:t>Special Account, based on the experience and relative risk of their health benefits fund membership base</w:t>
            </w:r>
          </w:p>
        </w:tc>
      </w:tr>
      <w:tr w:rsidR="002035B2" w:rsidRPr="00AA4A38" w14:paraId="0C5789A9"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FEC9772" w14:textId="77777777" w:rsidR="002035B2" w:rsidRDefault="002035B2" w:rsidP="000B0E15">
            <w:pPr>
              <w:pStyle w:val="TableHeading"/>
            </w:pPr>
            <w:r>
              <w:t>SOARS</w:t>
            </w:r>
          </w:p>
        </w:tc>
        <w:tc>
          <w:tcPr>
            <w:tcW w:w="4513" w:type="dxa"/>
          </w:tcPr>
          <w:p w14:paraId="127ACEAD" w14:textId="77777777" w:rsidR="002035B2" w:rsidRPr="003A3554" w:rsidRDefault="002035B2" w:rsidP="000B0E15">
            <w:pPr>
              <w:cnfStyle w:val="000000100000" w:firstRow="0" w:lastRow="0" w:firstColumn="0" w:lastColumn="0" w:oddVBand="0" w:evenVBand="0" w:oddHBand="1" w:evenHBand="0" w:firstRowFirstColumn="0" w:firstRowLastColumn="0" w:lastRowFirstColumn="0" w:lastRowLastColumn="0"/>
            </w:pPr>
            <w:r w:rsidRPr="003A3554">
              <w:t>Supervisory Oversight and Response System</w:t>
            </w:r>
          </w:p>
        </w:tc>
      </w:tr>
    </w:tbl>
    <w:p w14:paraId="2AF26014" w14:textId="77777777" w:rsidR="002035B2" w:rsidRDefault="002035B2" w:rsidP="00AC1C12">
      <w:pPr>
        <w:numPr>
          <w:ilvl w:val="0"/>
          <w:numId w:val="0"/>
        </w:numPr>
      </w:pPr>
    </w:p>
    <w:p w14:paraId="5A7D65AD" w14:textId="77777777" w:rsidR="002035B2" w:rsidRDefault="002035B2" w:rsidP="00AC1C12">
      <w:pPr>
        <w:numPr>
          <w:ilvl w:val="0"/>
          <w:numId w:val="0"/>
        </w:numPr>
      </w:pPr>
    </w:p>
    <w:p w14:paraId="4DBA0A57" w14:textId="77777777" w:rsidR="00AC1C12" w:rsidRDefault="00AC1C12" w:rsidP="00AC1C12">
      <w:pPr>
        <w:numPr>
          <w:ilvl w:val="0"/>
          <w:numId w:val="0"/>
        </w:numPr>
      </w:pPr>
      <w:r>
        <w:t> </w:t>
      </w:r>
    </w:p>
    <w:p w14:paraId="752B7F39" w14:textId="77777777" w:rsidR="00AC1C12" w:rsidRDefault="00515B31" w:rsidP="00DB5711">
      <w:pPr>
        <w:pStyle w:val="Heading1Numbers"/>
      </w:pPr>
      <w:bookmarkStart w:id="6" w:name="_Toc24622400"/>
      <w:bookmarkStart w:id="7" w:name="_Toc25334534"/>
      <w:bookmarkStart w:id="8" w:name="_Toc25941628"/>
      <w:r>
        <w:t>Introduction</w:t>
      </w:r>
      <w:bookmarkEnd w:id="6"/>
      <w:bookmarkEnd w:id="7"/>
      <w:bookmarkEnd w:id="8"/>
    </w:p>
    <w:p w14:paraId="59042801" w14:textId="77777777" w:rsidR="00DB5711" w:rsidRDefault="00DB5711" w:rsidP="00DB5711">
      <w:pPr>
        <w:pStyle w:val="Heading2Numbers"/>
      </w:pPr>
      <w:bookmarkStart w:id="9" w:name="_Toc23415998"/>
      <w:bookmarkStart w:id="10" w:name="_Toc23416471"/>
      <w:bookmarkStart w:id="11" w:name="_Toc24464025"/>
      <w:bookmarkStart w:id="12" w:name="_Toc24473704"/>
      <w:bookmarkStart w:id="13" w:name="_Toc24473913"/>
      <w:bookmarkStart w:id="14" w:name="_Toc24622401"/>
      <w:bookmarkStart w:id="15" w:name="_Toc25334535"/>
      <w:bookmarkStart w:id="16" w:name="_Toc25941629"/>
      <w:bookmarkStart w:id="17" w:name="_Toc22821247"/>
      <w:bookmarkStart w:id="18" w:name="_Toc23148529"/>
      <w:bookmarkStart w:id="19" w:name="_Toc23252648"/>
      <w:bookmarkStart w:id="20" w:name="_Toc23252935"/>
      <w:bookmarkStart w:id="21" w:name="_Toc23264916"/>
      <w:bookmarkStart w:id="22" w:name="_Toc23269030"/>
      <w:r w:rsidRPr="00DB5711">
        <w:t>Background</w:t>
      </w:r>
      <w:bookmarkEnd w:id="9"/>
      <w:bookmarkEnd w:id="10"/>
      <w:bookmarkEnd w:id="11"/>
      <w:bookmarkEnd w:id="12"/>
      <w:bookmarkEnd w:id="13"/>
      <w:bookmarkEnd w:id="14"/>
      <w:bookmarkEnd w:id="15"/>
      <w:bookmarkEnd w:id="16"/>
    </w:p>
    <w:bookmarkEnd w:id="17"/>
    <w:bookmarkEnd w:id="18"/>
    <w:bookmarkEnd w:id="19"/>
    <w:bookmarkEnd w:id="20"/>
    <w:bookmarkEnd w:id="21"/>
    <w:bookmarkEnd w:id="22"/>
    <w:p w14:paraId="0F7F89DB" w14:textId="77777777" w:rsidR="00DB5711" w:rsidRDefault="00DB5711" w:rsidP="00DB5711">
      <w:pPr>
        <w:rPr>
          <w:highlight w:val="yellow"/>
        </w:rPr>
      </w:pPr>
      <w:r w:rsidRPr="000F0319">
        <w:t>APRA’s mandate is to protect the Australian community by establishing and enforcing prudential standards and practices designed to ensure that, under all reasonable circumstances, financial promises made by</w:t>
      </w:r>
      <w:r>
        <w:t xml:space="preserve"> the</w:t>
      </w:r>
      <w:r w:rsidRPr="000F0319">
        <w:t xml:space="preserve"> institutions </w:t>
      </w:r>
      <w:r>
        <w:t xml:space="preserve">it </w:t>
      </w:r>
      <w:r w:rsidRPr="000F0319">
        <w:t>supervise</w:t>
      </w:r>
      <w:r>
        <w:t>s</w:t>
      </w:r>
      <w:r w:rsidRPr="000F0319">
        <w:t xml:space="preserve"> are met within a stable, efficient and competitive financial system.</w:t>
      </w:r>
    </w:p>
    <w:p w14:paraId="2AD841B8" w14:textId="77777777" w:rsidR="00DB5711" w:rsidRDefault="00DB5711" w:rsidP="00DB5711">
      <w:r w:rsidRPr="00776AED">
        <w:t>In August 2016, APRA</w:t>
      </w:r>
      <w:r>
        <w:t xml:space="preserve"> published its PHI Policy R</w:t>
      </w:r>
      <w:r w:rsidRPr="00A94FA8">
        <w:t>oadma</w:t>
      </w:r>
      <w:r>
        <w:t>p</w:t>
      </w:r>
      <w:r w:rsidRPr="00C877F2">
        <w:rPr>
          <w:rStyle w:val="FootnoteReference"/>
          <w:sz w:val="22"/>
        </w:rPr>
        <w:footnoteReference w:id="4"/>
      </w:r>
      <w:r w:rsidRPr="00776AED">
        <w:t xml:space="preserve"> setting out </w:t>
      </w:r>
      <w:r>
        <w:t>its</w:t>
      </w:r>
      <w:r w:rsidRPr="00776AED">
        <w:t xml:space="preserve"> intention and the timeframes for a systematic review of the PHI prudential policy framework. Phase 1 (risk management) and phase 2 (governance) of the PHI Roadmap have been completed</w:t>
      </w:r>
      <w:r>
        <w:t>. APRA’s commencement of the capital framework review, signalled in November 2018</w:t>
      </w:r>
      <w:r>
        <w:rPr>
          <w:rStyle w:val="FootnoteReference"/>
        </w:rPr>
        <w:footnoteReference w:id="5"/>
      </w:r>
      <w:r>
        <w:t xml:space="preserve">, represents the third and final phase of that comprehensive process. </w:t>
      </w:r>
    </w:p>
    <w:p w14:paraId="455DFB4C" w14:textId="77777777" w:rsidR="00DB5711" w:rsidRPr="00776AED" w:rsidRDefault="00DB5711" w:rsidP="00DB5711">
      <w:r w:rsidRPr="00776AED">
        <w:t xml:space="preserve">APRA’s </w:t>
      </w:r>
      <w:r>
        <w:t xml:space="preserve">decision to sequence </w:t>
      </w:r>
      <w:r w:rsidRPr="00776AED">
        <w:t xml:space="preserve">the capital review as the third phase of the PHI Roadmap </w:t>
      </w:r>
      <w:r>
        <w:t xml:space="preserve">took into account the revision of the PHI capital standards </w:t>
      </w:r>
      <w:r w:rsidRPr="00776AED">
        <w:t xml:space="preserve">in 2014 by the former </w:t>
      </w:r>
      <w:r>
        <w:t>r</w:t>
      </w:r>
      <w:r w:rsidRPr="00776AED">
        <w:t xml:space="preserve">egulator, </w:t>
      </w:r>
      <w:r>
        <w:t xml:space="preserve">the </w:t>
      </w:r>
      <w:r w:rsidRPr="00776AED">
        <w:t xml:space="preserve">Private Health Insurance Administration Council (PHIAC). </w:t>
      </w:r>
      <w:r>
        <w:t>Importantly</w:t>
      </w:r>
      <w:r w:rsidRPr="00776AED">
        <w:t>, APRA and other insurance industries were still developing their experience with the capital framework for life and general insurers (LAGIC), which was introduced on 1 January 2013.</w:t>
      </w:r>
      <w:r>
        <w:t xml:space="preserve"> </w:t>
      </w:r>
    </w:p>
    <w:p w14:paraId="417E6914" w14:textId="77777777" w:rsidR="00DB5711" w:rsidRDefault="00DB5711" w:rsidP="00DB5711">
      <w:pPr>
        <w:pStyle w:val="Heading2Numbers"/>
      </w:pPr>
      <w:bookmarkStart w:id="23" w:name="_Toc22821248"/>
      <w:bookmarkStart w:id="24" w:name="_Toc23148530"/>
      <w:bookmarkStart w:id="25" w:name="_Toc23252649"/>
      <w:bookmarkStart w:id="26" w:name="_Toc23252936"/>
      <w:bookmarkStart w:id="27" w:name="_Toc23264917"/>
      <w:bookmarkStart w:id="28" w:name="_Toc23269031"/>
      <w:bookmarkStart w:id="29" w:name="_Toc23415999"/>
      <w:bookmarkStart w:id="30" w:name="_Toc23416472"/>
      <w:bookmarkStart w:id="31" w:name="_Toc24464026"/>
      <w:bookmarkStart w:id="32" w:name="_Toc24473705"/>
      <w:bookmarkStart w:id="33" w:name="_Toc24473914"/>
      <w:bookmarkStart w:id="34" w:name="_Toc24622402"/>
      <w:bookmarkStart w:id="35" w:name="_Toc25334536"/>
      <w:bookmarkStart w:id="36" w:name="_Toc25941630"/>
      <w:r w:rsidRPr="00170C45">
        <w:t>The</w:t>
      </w:r>
      <w:r>
        <w:t xml:space="preserve"> current PHI capital framework</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991EF45" w14:textId="20FBD308" w:rsidR="00DB5711" w:rsidRDefault="00DB5711" w:rsidP="00DB5711">
      <w:r w:rsidRPr="006D4A46">
        <w:t xml:space="preserve">The current PHI capital framework comprises </w:t>
      </w:r>
      <w:r w:rsidRPr="0098419A">
        <w:rPr>
          <w:i/>
        </w:rPr>
        <w:t xml:space="preserve">Prudential Standard HPS 100 Solvency Standard </w:t>
      </w:r>
      <w:r w:rsidRPr="006D4A46">
        <w:t>(</w:t>
      </w:r>
      <w:r>
        <w:t>HPS 100</w:t>
      </w:r>
      <w:r w:rsidRPr="006D4A46">
        <w:t xml:space="preserve">) and </w:t>
      </w:r>
      <w:r w:rsidRPr="0098419A">
        <w:rPr>
          <w:i/>
        </w:rPr>
        <w:t>Prudential Standard HPS 110 Capital Adequacy</w:t>
      </w:r>
      <w:r w:rsidRPr="006D4A46">
        <w:rPr>
          <w:i/>
        </w:rPr>
        <w:t xml:space="preserve"> </w:t>
      </w:r>
      <w:r w:rsidRPr="006D4A46">
        <w:t>(</w:t>
      </w:r>
      <w:r>
        <w:t>HPS 110</w:t>
      </w:r>
      <w:r w:rsidRPr="006D4A46">
        <w:t xml:space="preserve">). These </w:t>
      </w:r>
      <w:r>
        <w:t>standards are intend</w:t>
      </w:r>
      <w:r w:rsidRPr="006D4A46">
        <w:t>ed to ensure that</w:t>
      </w:r>
      <w:r>
        <w:t>,</w:t>
      </w:r>
      <w:r w:rsidRPr="006D4A46">
        <w:t xml:space="preserve"> at any time, the </w:t>
      </w:r>
      <w:r w:rsidR="00416812">
        <w:t>health benefits</w:t>
      </w:r>
      <w:r w:rsidR="00EE0A5B">
        <w:t xml:space="preserve"> fund</w:t>
      </w:r>
      <w:r w:rsidR="00416812">
        <w:t xml:space="preserve"> (</w:t>
      </w:r>
      <w:r>
        <w:t>HBF</w:t>
      </w:r>
      <w:r w:rsidRPr="006D4A46">
        <w:rPr>
          <w:rStyle w:val="FootnoteReference"/>
          <w:rFonts w:eastAsia="Calibri" w:cs="Arial"/>
        </w:rPr>
        <w:footnoteReference w:id="6"/>
      </w:r>
      <w:r w:rsidR="00416812">
        <w:t>)</w:t>
      </w:r>
      <w:r w:rsidRPr="006D4A46">
        <w:t xml:space="preserve"> </w:t>
      </w:r>
      <w:r>
        <w:t xml:space="preserve">of an insurer can </w:t>
      </w:r>
      <w:r w:rsidRPr="006D4A46">
        <w:t xml:space="preserve">meet all liabilities referable to the </w:t>
      </w:r>
      <w:r>
        <w:t>HBF</w:t>
      </w:r>
      <w:r w:rsidRPr="006D4A46">
        <w:t xml:space="preserve"> and there are sufficient assets to provide adequate capital for the operation of the </w:t>
      </w:r>
      <w:r>
        <w:t>HBF</w:t>
      </w:r>
      <w:r w:rsidRPr="006D4A46">
        <w:t xml:space="preserve">. </w:t>
      </w:r>
    </w:p>
    <w:p w14:paraId="5E94FD16" w14:textId="77777777" w:rsidR="00DB5711" w:rsidRDefault="00DB5711" w:rsidP="00DB5711">
      <w:r>
        <w:t>The current PHI capital framework imposes requirements on the HBF only. Therefore, risks or capital needs of any other business activities conducted by the licensed health insurer are not captured in the current capital framework.</w:t>
      </w:r>
    </w:p>
    <w:p w14:paraId="14BE18BA" w14:textId="77777777" w:rsidR="00DB5711" w:rsidRDefault="00DB5711" w:rsidP="00DB5711">
      <w:pPr>
        <w:numPr>
          <w:ilvl w:val="0"/>
          <w:numId w:val="0"/>
        </w:numPr>
      </w:pPr>
      <w:r>
        <w:t>HPS 100 and HPS 110</w:t>
      </w:r>
      <w:r w:rsidRPr="00E46194">
        <w:t xml:space="preserve"> </w:t>
      </w:r>
      <w:r>
        <w:t>represent a continuation of</w:t>
      </w:r>
      <w:r w:rsidRPr="00E46194">
        <w:t xml:space="preserve"> the </w:t>
      </w:r>
      <w:r>
        <w:t>c</w:t>
      </w:r>
      <w:r w:rsidRPr="00E46194">
        <w:t xml:space="preserve">apital standards </w:t>
      </w:r>
      <w:r>
        <w:t>introduced</w:t>
      </w:r>
      <w:r w:rsidRPr="00E46194">
        <w:t xml:space="preserve"> by PHIAC in 2014. </w:t>
      </w:r>
      <w:r>
        <w:t xml:space="preserve">PHIAC’s stated intent in introducing these standards was to increase industry awareness of the risks in the business environment, </w:t>
      </w:r>
      <w:r w:rsidRPr="00E46194">
        <w:t xml:space="preserve">as </w:t>
      </w:r>
      <w:r>
        <w:t xml:space="preserve">insurers </w:t>
      </w:r>
      <w:r w:rsidRPr="00E46194">
        <w:t>expanded beyond the traditional areas of hospital and general treatment</w:t>
      </w:r>
      <w:r w:rsidRPr="00E46194">
        <w:rPr>
          <w:rStyle w:val="FootnoteReference"/>
        </w:rPr>
        <w:footnoteReference w:id="7"/>
      </w:r>
      <w:r w:rsidRPr="00E46194">
        <w:t>.</w:t>
      </w:r>
      <w:r>
        <w:t xml:space="preserve"> </w:t>
      </w:r>
    </w:p>
    <w:p w14:paraId="5BC741FA" w14:textId="77777777" w:rsidR="00DB5711" w:rsidRPr="0019756A" w:rsidRDefault="00DB5711" w:rsidP="00DB5711">
      <w:pPr>
        <w:pStyle w:val="Heading3Numbers"/>
      </w:pPr>
      <w:bookmarkStart w:id="37" w:name="_Toc22821249"/>
      <w:bookmarkStart w:id="38" w:name="_Toc23148532"/>
      <w:bookmarkStart w:id="39" w:name="_Toc23252650"/>
      <w:bookmarkStart w:id="40" w:name="_Toc23252937"/>
      <w:bookmarkStart w:id="41" w:name="_Toc23264918"/>
      <w:bookmarkStart w:id="42" w:name="_Toc23269032"/>
      <w:bookmarkStart w:id="43" w:name="_Toc23416000"/>
      <w:bookmarkStart w:id="44" w:name="_Toc23416473"/>
      <w:bookmarkStart w:id="45" w:name="_Toc24464027"/>
      <w:bookmarkStart w:id="46" w:name="_Toc24473706"/>
      <w:bookmarkStart w:id="47" w:name="_Toc24473915"/>
      <w:bookmarkStart w:id="48" w:name="_Toc24552439"/>
      <w:bookmarkStart w:id="49" w:name="_Toc24622403"/>
      <w:bookmarkStart w:id="50" w:name="_Toc25334537"/>
      <w:bookmarkStart w:id="51" w:name="_Toc25336118"/>
      <w:bookmarkStart w:id="52" w:name="_Toc25941631"/>
      <w:r w:rsidRPr="0019756A">
        <w:t>The capital adequacy standard (HPS 110)</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63B0CAF" w14:textId="10DB85D3" w:rsidR="00DB5711" w:rsidRDefault="00DB5711" w:rsidP="00DB5711">
      <w:r>
        <w:t xml:space="preserve">HPS 110 comprises two requirements: a </w:t>
      </w:r>
      <w:r w:rsidRPr="00417580">
        <w:t>quantum of assets test</w:t>
      </w:r>
      <w:r>
        <w:t xml:space="preserve"> and </w:t>
      </w:r>
      <w:r w:rsidRPr="00417580">
        <w:t>the concentration of assets test</w:t>
      </w:r>
      <w:r>
        <w:t>. An insurer is required to ensure that, at all times, its HBF complies with these tests.</w:t>
      </w:r>
      <w:r w:rsidRPr="005E773D">
        <w:t xml:space="preserve"> </w:t>
      </w:r>
      <w:r>
        <w:t xml:space="preserve">While not typical, an insurer may have more than one HBF and the insurer must keep the assets of each HBF separate from assets of other HBFs or assets of the insurer. </w:t>
      </w:r>
      <w:r w:rsidR="00F13943">
        <w:t xml:space="preserve">Each HBF must meet the requirements of </w:t>
      </w:r>
      <w:r>
        <w:t xml:space="preserve">HPS 110. </w:t>
      </w:r>
    </w:p>
    <w:p w14:paraId="22624887" w14:textId="77777777" w:rsidR="00DB5711" w:rsidRDefault="00DB5711" w:rsidP="00DB5711">
      <w:r>
        <w:t xml:space="preserve">As well as the requirements on assets, each HBF must have a capital management plan featuring capital targets and triggers based on probability. </w:t>
      </w:r>
    </w:p>
    <w:p w14:paraId="2F852A4D" w14:textId="77777777" w:rsidR="00DB5711" w:rsidRDefault="00DB5711" w:rsidP="00DB5711">
      <w:pPr>
        <w:pStyle w:val="Heading4"/>
      </w:pPr>
      <w:r w:rsidRPr="00DB5711">
        <w:t>Quantum</w:t>
      </w:r>
      <w:r>
        <w:t xml:space="preserve"> of assets test</w:t>
      </w:r>
    </w:p>
    <w:p w14:paraId="22B49BD9" w14:textId="77777777" w:rsidR="00DB5711" w:rsidRPr="006747BB" w:rsidRDefault="00DB5711" w:rsidP="00DB5711">
      <w:r w:rsidRPr="00417580">
        <w:t xml:space="preserve">The quantum of assets test </w:t>
      </w:r>
      <w:r>
        <w:t xml:space="preserve">requires </w:t>
      </w:r>
      <w:r w:rsidRPr="00417580">
        <w:t xml:space="preserve">the </w:t>
      </w:r>
      <w:r>
        <w:t>HBF</w:t>
      </w:r>
      <w:r w:rsidRPr="00417580">
        <w:t xml:space="preserve"> </w:t>
      </w:r>
      <w:r>
        <w:t>to hold</w:t>
      </w:r>
      <w:r w:rsidRPr="00417580">
        <w:t xml:space="preserve"> suff</w:t>
      </w:r>
      <w:r>
        <w:t>icient assets so that, after 12 </w:t>
      </w:r>
      <w:r w:rsidRPr="00417580">
        <w:t xml:space="preserve">months of </w:t>
      </w:r>
      <w:r>
        <w:t>any adverse conditions</w:t>
      </w:r>
      <w:r w:rsidRPr="00417580">
        <w:t xml:space="preserve">, it would </w:t>
      </w:r>
      <w:r>
        <w:t xml:space="preserve">continue to hold more assets </w:t>
      </w:r>
      <w:r w:rsidRPr="00417580">
        <w:t>than its prudent liabilities</w:t>
      </w:r>
      <w:r w:rsidRPr="006747BB">
        <w:t xml:space="preserve">. </w:t>
      </w:r>
      <w:r w:rsidRPr="00BB7129">
        <w:rPr>
          <w:rStyle w:val="BoldCharacterDINOTMedium"/>
          <w:rFonts w:ascii="DIN OT Light" w:hAnsi="DIN OT Light"/>
          <w:b/>
        </w:rPr>
        <w:t>Figure</w:t>
      </w:r>
      <w:r w:rsidRPr="00BB7129">
        <w:rPr>
          <w:b/>
        </w:rPr>
        <w:t xml:space="preserve"> 1 </w:t>
      </w:r>
      <w:r>
        <w:t>below shows how the quantum</w:t>
      </w:r>
      <w:r w:rsidRPr="006747BB">
        <w:t xml:space="preserve"> of assets test</w:t>
      </w:r>
      <w:r>
        <w:t xml:space="preserve"> operates. </w:t>
      </w:r>
    </w:p>
    <w:p w14:paraId="05CB9F70" w14:textId="77777777" w:rsidR="00DB5711" w:rsidRPr="00054714" w:rsidRDefault="00DB5711" w:rsidP="00DB5711">
      <w:pPr>
        <w:pStyle w:val="Figurenumbered"/>
      </w:pPr>
      <w:r w:rsidRPr="00F36A98">
        <w:rPr>
          <w:noProof/>
          <w:lang w:eastAsia="en-AU"/>
        </w:rPr>
        <w:drawing>
          <wp:anchor distT="0" distB="0" distL="114300" distR="114300" simplePos="0" relativeHeight="251658253" behindDoc="0" locked="0" layoutInCell="1" allowOverlap="1" wp14:anchorId="05CF7A05" wp14:editId="61E9AE48">
            <wp:simplePos x="0" y="0"/>
            <wp:positionH relativeFrom="margin">
              <wp:align>left</wp:align>
            </wp:positionH>
            <wp:positionV relativeFrom="paragraph">
              <wp:posOffset>212397</wp:posOffset>
            </wp:positionV>
            <wp:extent cx="5928995" cy="2526259"/>
            <wp:effectExtent l="0" t="0" r="0" b="7620"/>
            <wp:wrapTopAndBottom/>
            <wp:docPr id="20" name="Picture 20" descr="Figure 1. Quantum of asset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Quantum of assets t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995" cy="2526259"/>
                    </a:xfrm>
                    <a:prstGeom prst="rect">
                      <a:avLst/>
                    </a:prstGeom>
                    <a:noFill/>
                    <a:ln>
                      <a:noFill/>
                    </a:ln>
                  </pic:spPr>
                </pic:pic>
              </a:graphicData>
            </a:graphic>
            <wp14:sizeRelH relativeFrom="margin">
              <wp14:pctWidth>0</wp14:pctWidth>
            </wp14:sizeRelH>
            <wp14:sizeRelV relativeFrom="margin">
              <wp14:pctHeight>0</wp14:pctHeight>
            </wp14:sizeRelV>
          </wp:anchor>
        </w:drawing>
      </w:r>
      <w:r>
        <w:t>Quantum of assets test</w:t>
      </w:r>
    </w:p>
    <w:p w14:paraId="6FB049BA" w14:textId="3BC76932" w:rsidR="00DB5711" w:rsidRDefault="00DB5711" w:rsidP="00DB5711">
      <w:r>
        <w:t>HPS 110 requires the</w:t>
      </w:r>
      <w:r w:rsidRPr="003B719A">
        <w:t xml:space="preserve"> </w:t>
      </w:r>
      <w:r>
        <w:t>HBF’s</w:t>
      </w:r>
      <w:r w:rsidRPr="003B719A">
        <w:t xml:space="preserve"> prudent liabilities </w:t>
      </w:r>
      <w:r>
        <w:t>to be</w:t>
      </w:r>
      <w:r w:rsidRPr="003B719A">
        <w:t xml:space="preserve"> calculated </w:t>
      </w:r>
      <w:r>
        <w:t xml:space="preserve">with a </w:t>
      </w:r>
      <w:r w:rsidRPr="003B719A">
        <w:t>98</w:t>
      </w:r>
      <w:r>
        <w:t> per cent</w:t>
      </w:r>
      <w:r w:rsidRPr="003B719A">
        <w:t xml:space="preserve"> probability of sufficiency</w:t>
      </w:r>
      <w:r>
        <w:t xml:space="preserve"> </w:t>
      </w:r>
      <w:r w:rsidRPr="003B719A">
        <w:t>on a going</w:t>
      </w:r>
      <w:r w:rsidR="00C52FEE">
        <w:t xml:space="preserve"> </w:t>
      </w:r>
      <w:r>
        <w:t xml:space="preserve">concern basis, including </w:t>
      </w:r>
      <w:r w:rsidRPr="003B719A">
        <w:t xml:space="preserve">all liabilities. The stress test amount represents the depletion in assets from 12 months of adverse insurance, investment and other business experience, </w:t>
      </w:r>
      <w:r>
        <w:t>as well as</w:t>
      </w:r>
      <w:r w:rsidRPr="003B719A">
        <w:t xml:space="preserve"> an adverse operational event. </w:t>
      </w:r>
    </w:p>
    <w:p w14:paraId="59094DB2" w14:textId="77777777" w:rsidR="00DB5711" w:rsidRPr="003B719A" w:rsidRDefault="00DB5711" w:rsidP="00DB5711">
      <w:r>
        <w:t>HPS 110 allows the</w:t>
      </w:r>
      <w:r w:rsidRPr="003B719A">
        <w:t xml:space="preserve"> stress test</w:t>
      </w:r>
      <w:r>
        <w:t xml:space="preserve"> amount to be </w:t>
      </w:r>
      <w:r w:rsidRPr="003B719A">
        <w:t xml:space="preserve">based on </w:t>
      </w:r>
      <w:r>
        <w:t>estimates</w:t>
      </w:r>
      <w:r w:rsidRPr="003B719A">
        <w:t xml:space="preserve"> calculated by the </w:t>
      </w:r>
      <w:r>
        <w:t xml:space="preserve">insurer. </w:t>
      </w:r>
      <w:r w:rsidRPr="003B719A">
        <w:t xml:space="preserve">It </w:t>
      </w:r>
      <w:r>
        <w:t xml:space="preserve">is not prescriptive regarding the assumptions used, and differences in the </w:t>
      </w:r>
      <w:r w:rsidRPr="003B719A">
        <w:t xml:space="preserve">subjective </w:t>
      </w:r>
      <w:r>
        <w:t xml:space="preserve">judgements by insurers have </w:t>
      </w:r>
      <w:r w:rsidRPr="003B719A">
        <w:t xml:space="preserve">led to inconsistencies </w:t>
      </w:r>
      <w:r>
        <w:t>between entities in determining the stress test amount</w:t>
      </w:r>
      <w:r w:rsidRPr="003B719A">
        <w:t>.</w:t>
      </w:r>
    </w:p>
    <w:p w14:paraId="54F67982" w14:textId="77777777" w:rsidR="00DB5711" w:rsidRDefault="00DB5711" w:rsidP="00DB5711">
      <w:pPr>
        <w:numPr>
          <w:ilvl w:val="0"/>
          <w:numId w:val="0"/>
        </w:numPr>
      </w:pPr>
      <w:r>
        <w:t xml:space="preserve">Under HPS 110 the operational risk amount is </w:t>
      </w:r>
      <w:r w:rsidRPr="00F34677">
        <w:t>set at 0.5</w:t>
      </w:r>
      <w:r>
        <w:t> per cent</w:t>
      </w:r>
      <w:r w:rsidRPr="00F34677">
        <w:t xml:space="preserve"> of </w:t>
      </w:r>
      <w:r>
        <w:t xml:space="preserve">health business </w:t>
      </w:r>
      <w:r w:rsidRPr="00F34677">
        <w:t>revenue</w:t>
      </w:r>
      <w:r>
        <w:t xml:space="preserve">. This </w:t>
      </w:r>
      <w:r w:rsidRPr="00F34677">
        <w:t>relates to</w:t>
      </w:r>
      <w:r>
        <w:t xml:space="preserve"> the risk of losses by the insurer from </w:t>
      </w:r>
      <w:r w:rsidRPr="00F34677">
        <w:t xml:space="preserve">people, processes, systems and external events affecting the </w:t>
      </w:r>
      <w:r>
        <w:t>HBF</w:t>
      </w:r>
      <w:r w:rsidRPr="00F34677">
        <w:t xml:space="preserve">. In certain circumstances, APRA may </w:t>
      </w:r>
      <w:r>
        <w:t xml:space="preserve">apply a </w:t>
      </w:r>
      <w:r w:rsidRPr="00F34677">
        <w:t xml:space="preserve">capital adequacy supervisory adjustment </w:t>
      </w:r>
      <w:r>
        <w:t xml:space="preserve">to </w:t>
      </w:r>
      <w:r w:rsidRPr="00F34677">
        <w:t xml:space="preserve">increase the amount of assets a </w:t>
      </w:r>
      <w:r>
        <w:t>HBF</w:t>
      </w:r>
      <w:r w:rsidRPr="00F34677">
        <w:t xml:space="preserve"> must hold</w:t>
      </w:r>
      <w:r>
        <w:t xml:space="preserve"> to satisfy the quantum of assets test</w:t>
      </w:r>
      <w:r w:rsidRPr="00F34677">
        <w:t xml:space="preserve">. </w:t>
      </w:r>
    </w:p>
    <w:p w14:paraId="0EA053E2" w14:textId="77777777" w:rsidR="00DB5711" w:rsidRPr="00D624B5" w:rsidRDefault="00DB5711" w:rsidP="00DB5711">
      <w:pPr>
        <w:pStyle w:val="Heading4"/>
      </w:pPr>
      <w:r>
        <w:t>Concentration of assets test</w:t>
      </w:r>
    </w:p>
    <w:p w14:paraId="37BECEE8" w14:textId="77777777" w:rsidR="00DB5711" w:rsidRDefault="00DB5711" w:rsidP="00DB5711">
      <w:r w:rsidRPr="00F85161">
        <w:t xml:space="preserve">The concentration of assets test is applied separately to address the risks associated </w:t>
      </w:r>
      <w:r>
        <w:t xml:space="preserve">with </w:t>
      </w:r>
      <w:r w:rsidRPr="00F85161">
        <w:t xml:space="preserve">asset concentration, namely, credit and liquidity risks. This test </w:t>
      </w:r>
      <w:r>
        <w:t xml:space="preserve">is intended to ensure that </w:t>
      </w:r>
      <w:r w:rsidRPr="00F85161">
        <w:t xml:space="preserve">no single plausible asset loss </w:t>
      </w:r>
      <w:r>
        <w:t xml:space="preserve">could have a </w:t>
      </w:r>
      <w:r w:rsidRPr="00F85161">
        <w:t xml:space="preserve">catastrophic </w:t>
      </w:r>
      <w:r>
        <w:t>impact on the</w:t>
      </w:r>
      <w:r w:rsidRPr="00F85161">
        <w:t xml:space="preserve"> financial health</w:t>
      </w:r>
      <w:r>
        <w:t xml:space="preserve"> of a HBF</w:t>
      </w:r>
      <w:r w:rsidRPr="00F85161">
        <w:t xml:space="preserve">. </w:t>
      </w:r>
    </w:p>
    <w:p w14:paraId="2E1470E6" w14:textId="77777777" w:rsidR="00DB5711" w:rsidRDefault="00DB5711" w:rsidP="00DB5711">
      <w:r>
        <w:t xml:space="preserve">HPS 110 requires calculation of the </w:t>
      </w:r>
      <w:r w:rsidRPr="00F85161">
        <w:t xml:space="preserve">maximum default loss </w:t>
      </w:r>
      <w:r>
        <w:t xml:space="preserve">for each HBF </w:t>
      </w:r>
      <w:r w:rsidRPr="00F85161">
        <w:t xml:space="preserve">to ensure that it would </w:t>
      </w:r>
      <w:r>
        <w:t xml:space="preserve">continue to hold </w:t>
      </w:r>
      <w:r w:rsidRPr="00F85161">
        <w:t xml:space="preserve">assets </w:t>
      </w:r>
      <w:r>
        <w:t xml:space="preserve">greater than its </w:t>
      </w:r>
      <w:r w:rsidRPr="00F85161">
        <w:t xml:space="preserve">prudent liabilities after such a loss. Again, APRA can </w:t>
      </w:r>
      <w:r>
        <w:t xml:space="preserve">apply a </w:t>
      </w:r>
      <w:r w:rsidRPr="00F85161">
        <w:t>supervisory adjustment</w:t>
      </w:r>
      <w:r>
        <w:t xml:space="preserve">, </w:t>
      </w:r>
      <w:r w:rsidRPr="00F85161">
        <w:t>in certain circumstances</w:t>
      </w:r>
      <w:r>
        <w:t xml:space="preserve">, to increase the </w:t>
      </w:r>
      <w:r w:rsidRPr="00F85161">
        <w:t xml:space="preserve">amount of assets a fund must hold </w:t>
      </w:r>
      <w:r>
        <w:t>to satisfy the concentration of assets test</w:t>
      </w:r>
      <w:r w:rsidRPr="00F85161">
        <w:t>.</w:t>
      </w:r>
    </w:p>
    <w:p w14:paraId="613C007E" w14:textId="77777777" w:rsidR="00DB5711" w:rsidRDefault="00DB5711" w:rsidP="00DB5711">
      <w:r w:rsidRPr="00F85161">
        <w:rPr>
          <w:b/>
        </w:rPr>
        <w:t xml:space="preserve">Figure </w:t>
      </w:r>
      <w:r>
        <w:rPr>
          <w:b/>
        </w:rPr>
        <w:t>2</w:t>
      </w:r>
      <w:r w:rsidRPr="00F85161">
        <w:t xml:space="preserve"> below shows </w:t>
      </w:r>
      <w:r>
        <w:t>where a HBF would satisfy and fail the test as indicted by the tick and cross respectively.</w:t>
      </w:r>
    </w:p>
    <w:p w14:paraId="55EBD2EA" w14:textId="77777777" w:rsidR="00DB5711" w:rsidRPr="009171A3" w:rsidRDefault="00DB5711" w:rsidP="00DB5711">
      <w:pPr>
        <w:pStyle w:val="Figurenumbered"/>
      </w:pPr>
      <w:r w:rsidRPr="00572251">
        <w:rPr>
          <w:noProof/>
          <w:lang w:eastAsia="en-AU"/>
        </w:rPr>
        <w:drawing>
          <wp:anchor distT="0" distB="0" distL="114300" distR="114300" simplePos="0" relativeHeight="251658249" behindDoc="1" locked="0" layoutInCell="1" allowOverlap="1" wp14:anchorId="2EC0FA0B" wp14:editId="7DE1F9B5">
            <wp:simplePos x="0" y="0"/>
            <wp:positionH relativeFrom="column">
              <wp:posOffset>295275</wp:posOffset>
            </wp:positionH>
            <wp:positionV relativeFrom="paragraph">
              <wp:posOffset>408305</wp:posOffset>
            </wp:positionV>
            <wp:extent cx="3352800" cy="2100580"/>
            <wp:effectExtent l="0" t="0" r="0" b="0"/>
            <wp:wrapTopAndBottom/>
            <wp:docPr id="21" name="Picture 21" descr="This figure shows how the concentration of assets test ope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figure shows how the concentration of assets test opera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t>Concentration of assets test</w:t>
      </w:r>
    </w:p>
    <w:p w14:paraId="53073F7C" w14:textId="77777777" w:rsidR="00DB5711" w:rsidRPr="0019756A" w:rsidRDefault="00DB5711" w:rsidP="00DB5711">
      <w:pPr>
        <w:pStyle w:val="Heading3Numbers"/>
      </w:pPr>
      <w:bookmarkStart w:id="53" w:name="_Ref22821012"/>
      <w:bookmarkStart w:id="54" w:name="_Ref22821019"/>
      <w:bookmarkStart w:id="55" w:name="_Ref22821024"/>
      <w:bookmarkStart w:id="56" w:name="_Toc22821250"/>
      <w:bookmarkStart w:id="57" w:name="_Toc23148533"/>
      <w:bookmarkStart w:id="58" w:name="_Toc23252651"/>
      <w:bookmarkStart w:id="59" w:name="_Toc23252938"/>
      <w:bookmarkStart w:id="60" w:name="_Toc23264919"/>
      <w:bookmarkStart w:id="61" w:name="_Toc23269033"/>
      <w:bookmarkStart w:id="62" w:name="_Toc23416001"/>
      <w:bookmarkStart w:id="63" w:name="_Toc23416474"/>
      <w:bookmarkStart w:id="64" w:name="_Toc24464028"/>
      <w:bookmarkStart w:id="65" w:name="_Toc24473707"/>
      <w:bookmarkStart w:id="66" w:name="_Toc24473916"/>
      <w:bookmarkStart w:id="67" w:name="_Toc24552440"/>
      <w:bookmarkStart w:id="68" w:name="_Toc24622404"/>
      <w:bookmarkStart w:id="69" w:name="_Toc25334538"/>
      <w:bookmarkStart w:id="70" w:name="_Toc25336119"/>
      <w:bookmarkStart w:id="71" w:name="_Toc25941632"/>
      <w:r w:rsidRPr="0019756A">
        <w:t>The capital management plan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19756A">
        <w:t xml:space="preserve"> </w:t>
      </w:r>
    </w:p>
    <w:p w14:paraId="581B6823" w14:textId="1139466C" w:rsidR="00DB5711" w:rsidRPr="008C0421" w:rsidRDefault="00DB5711" w:rsidP="00DB5711">
      <w:r w:rsidRPr="008C0421">
        <w:t xml:space="preserve">Insurers must have a board endorsed capital management policy for each </w:t>
      </w:r>
      <w:r>
        <w:t>HBF</w:t>
      </w:r>
      <w:r w:rsidRPr="008C0421">
        <w:t>, which includes a capital management plan (CMP)</w:t>
      </w:r>
      <w:r>
        <w:t>.</w:t>
      </w:r>
      <w:r w:rsidRPr="008C0421">
        <w:t xml:space="preserve"> </w:t>
      </w:r>
      <w:r>
        <w:t>The CMP, which must outline target capital levels and trigger points, is intended</w:t>
      </w:r>
      <w:r w:rsidRPr="008C0421">
        <w:t xml:space="preserve"> to provide </w:t>
      </w:r>
      <w:r>
        <w:t xml:space="preserve">the </w:t>
      </w:r>
      <w:r w:rsidRPr="008C0421">
        <w:t>boa</w:t>
      </w:r>
      <w:r>
        <w:t>rd with a framework for managing</w:t>
      </w:r>
      <w:r w:rsidRPr="008C0421">
        <w:t xml:space="preserve"> capital in accordance with its risk appetite and the prevail</w:t>
      </w:r>
      <w:r>
        <w:t>ing risks facing their business</w:t>
      </w:r>
      <w:r w:rsidRPr="008C0421">
        <w:t>.</w:t>
      </w:r>
      <w:r>
        <w:t xml:space="preserve"> The board must review the capital management policy at least every two years.</w:t>
      </w:r>
    </w:p>
    <w:p w14:paraId="2E76FCBA" w14:textId="77777777" w:rsidR="00DB5711" w:rsidRDefault="00DB5711" w:rsidP="00DB5711">
      <w:pPr>
        <w:numPr>
          <w:ilvl w:val="0"/>
          <w:numId w:val="0"/>
        </w:numPr>
      </w:pPr>
      <w:r>
        <w:t xml:space="preserve">The CMP must contain a pricing philosophy articulating the board’s appetite for the performance of products referable to the HBF. HPS 110 outlines matters to be considered in the pricing philosophy including profitability targets, </w:t>
      </w:r>
      <w:r w:rsidRPr="0073257F">
        <w:t>capital implications of particular profitability level</w:t>
      </w:r>
      <w:r>
        <w:t xml:space="preserve">s and guidelines on the speed of correction of deviations from profitability targets. The CMP must also contain investment rules which provide clear objectives and asset allocation limits, asset concentration limits and consider capital strength for the HBF. </w:t>
      </w:r>
    </w:p>
    <w:p w14:paraId="25CA48A2" w14:textId="6E64359C" w:rsidR="00DB5711" w:rsidRPr="008274F2" w:rsidRDefault="00DB5711" w:rsidP="00DB5711">
      <w:r w:rsidRPr="008274F2">
        <w:t>Aside from the</w:t>
      </w:r>
      <w:r>
        <w:t xml:space="preserve">se </w:t>
      </w:r>
      <w:proofErr w:type="gramStart"/>
      <w:r w:rsidRPr="008274F2">
        <w:t>high</w:t>
      </w:r>
      <w:r w:rsidR="003E2C43">
        <w:t xml:space="preserve"> </w:t>
      </w:r>
      <w:r w:rsidRPr="008274F2">
        <w:t>level</w:t>
      </w:r>
      <w:proofErr w:type="gramEnd"/>
      <w:r w:rsidRPr="008274F2">
        <w:t xml:space="preserve"> inclusion requirements, the </w:t>
      </w:r>
      <w:r>
        <w:t>detail</w:t>
      </w:r>
      <w:r w:rsidRPr="008274F2">
        <w:t xml:space="preserve"> of the CMP are at the insurer’s discretion </w:t>
      </w:r>
      <w:r>
        <w:t>and i</w:t>
      </w:r>
      <w:r w:rsidRPr="008274F2">
        <w:t xml:space="preserve">nsurers use a wide variety of methods to articulate the capital target levels, risk appetite and tolerances. As such, the philosophies and approaches underpinning the CMP, as well as the general structure and level of detail </w:t>
      </w:r>
      <w:r>
        <w:t>in</w:t>
      </w:r>
      <w:r w:rsidRPr="008274F2">
        <w:t xml:space="preserve"> the document, can vary between insurers.</w:t>
      </w:r>
    </w:p>
    <w:p w14:paraId="5C513941" w14:textId="77777777" w:rsidR="00DB5711" w:rsidRPr="0019756A" w:rsidRDefault="00DB5711" w:rsidP="00DB5711">
      <w:pPr>
        <w:pStyle w:val="Heading3Numbers"/>
      </w:pPr>
      <w:bookmarkStart w:id="72" w:name="_Toc22821251"/>
      <w:bookmarkStart w:id="73" w:name="_Toc23148534"/>
      <w:bookmarkStart w:id="74" w:name="_Toc23252652"/>
      <w:bookmarkStart w:id="75" w:name="_Toc23252939"/>
      <w:bookmarkStart w:id="76" w:name="_Toc23264920"/>
      <w:bookmarkStart w:id="77" w:name="_Toc23269034"/>
      <w:bookmarkStart w:id="78" w:name="_Toc23416002"/>
      <w:bookmarkStart w:id="79" w:name="_Toc23416475"/>
      <w:bookmarkStart w:id="80" w:name="_Toc24464029"/>
      <w:bookmarkStart w:id="81" w:name="_Toc24473708"/>
      <w:bookmarkStart w:id="82" w:name="_Toc24473917"/>
      <w:bookmarkStart w:id="83" w:name="_Toc24552441"/>
      <w:bookmarkStart w:id="84" w:name="_Toc24622405"/>
      <w:bookmarkStart w:id="85" w:name="_Toc25334539"/>
      <w:bookmarkStart w:id="86" w:name="_Toc25336120"/>
      <w:bookmarkStart w:id="87" w:name="_Toc25941633"/>
      <w:r w:rsidRPr="0019756A">
        <w:t>The solvency standard (HPS 100)</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19756A">
        <w:t xml:space="preserve"> </w:t>
      </w:r>
    </w:p>
    <w:p w14:paraId="330E5A9D" w14:textId="77777777" w:rsidR="00DB5711" w:rsidRDefault="00DB5711" w:rsidP="00DB5711">
      <w:r>
        <w:t>HPS 100</w:t>
      </w:r>
      <w:r w:rsidRPr="00F416DB">
        <w:t xml:space="preserve"> </w:t>
      </w:r>
      <w:r>
        <w:t xml:space="preserve">has two main components. The first </w:t>
      </w:r>
      <w:r w:rsidRPr="00F416DB">
        <w:t xml:space="preserve">is a </w:t>
      </w:r>
      <w:r>
        <w:t xml:space="preserve">solvency requirement which requires that </w:t>
      </w:r>
      <w:r w:rsidRPr="00F416DB">
        <w:t xml:space="preserve">insurers hold </w:t>
      </w:r>
      <w:r>
        <w:t xml:space="preserve">a minimum amount of cash in the HBF. The minimum is determined as the greater of either the </w:t>
      </w:r>
      <w:r w:rsidRPr="00F416DB">
        <w:t xml:space="preserve">stressed net cash outflows </w:t>
      </w:r>
      <w:r>
        <w:t>over a 30 day period plus a buffer related to health business revenue, or 1 per cent of annual health business revenues. The stressed net cash outflow is an amount of the net cash outflows (outflows minus inflows) for a 30 day period. Stressed net cash outflows are determined at the 98</w:t>
      </w:r>
      <w:r w:rsidRPr="00D73A58">
        <w:rPr>
          <w:vertAlign w:val="superscript"/>
        </w:rPr>
        <w:t>th</w:t>
      </w:r>
      <w:r>
        <w:t> per centile estimate, taking into account payments required to meet liabilities referable to the HBF and cash receipts from premiums payable and income from investments.</w:t>
      </w:r>
    </w:p>
    <w:p w14:paraId="48B7175F" w14:textId="77777777" w:rsidR="00DB5711" w:rsidRDefault="00DB5711" w:rsidP="00DB5711">
      <w:r w:rsidRPr="00F416DB">
        <w:t xml:space="preserve">The </w:t>
      </w:r>
      <w:r>
        <w:t xml:space="preserve">second </w:t>
      </w:r>
      <w:r w:rsidRPr="00F416DB">
        <w:t xml:space="preserve">component is a board endorsed liquidity management plan </w:t>
      </w:r>
      <w:r>
        <w:t xml:space="preserve">for each HBF </w:t>
      </w:r>
      <w:r w:rsidRPr="00F416DB">
        <w:t xml:space="preserve">designed to ensure compliance with the </w:t>
      </w:r>
      <w:r>
        <w:t xml:space="preserve">solvency </w:t>
      </w:r>
      <w:r w:rsidRPr="00F416DB">
        <w:t>requirement</w:t>
      </w:r>
      <w:r>
        <w:t xml:space="preserve">. The liquidity management plan must include management action triggers and be </w:t>
      </w:r>
      <w:r w:rsidRPr="00F416DB">
        <w:t>rev</w:t>
      </w:r>
      <w:r>
        <w:t xml:space="preserve">iewed at least every two years. </w:t>
      </w:r>
      <w:r w:rsidRPr="00F85161">
        <w:t>APRA can</w:t>
      </w:r>
      <w:r>
        <w:t xml:space="preserve"> also</w:t>
      </w:r>
      <w:r w:rsidRPr="00F85161">
        <w:t xml:space="preserve"> </w:t>
      </w:r>
      <w:r>
        <w:t xml:space="preserve">determine a solvency </w:t>
      </w:r>
      <w:r w:rsidRPr="00F85161">
        <w:t>supervisory adjustment</w:t>
      </w:r>
      <w:r>
        <w:t xml:space="preserve"> to increase the minimum amount of cash a HBF </w:t>
      </w:r>
      <w:r w:rsidRPr="00F85161">
        <w:t xml:space="preserve">must hold </w:t>
      </w:r>
      <w:r>
        <w:t>to satisfy the solvency requirement</w:t>
      </w:r>
      <w:r w:rsidRPr="00F85161">
        <w:t>.</w:t>
      </w:r>
    </w:p>
    <w:p w14:paraId="3308654A" w14:textId="77777777" w:rsidR="00DB5711" w:rsidRPr="00E9794A" w:rsidRDefault="00DB5711" w:rsidP="00DB5711">
      <w:pPr>
        <w:pStyle w:val="Heading2Numbers"/>
      </w:pPr>
      <w:bookmarkStart w:id="88" w:name="_Toc22821252"/>
      <w:bookmarkStart w:id="89" w:name="_Toc23148535"/>
      <w:bookmarkStart w:id="90" w:name="_Toc23252653"/>
      <w:bookmarkStart w:id="91" w:name="_Toc23252940"/>
      <w:bookmarkStart w:id="92" w:name="_Toc23264921"/>
      <w:bookmarkStart w:id="93" w:name="_Toc23269035"/>
      <w:bookmarkStart w:id="94" w:name="_Toc23416003"/>
      <w:bookmarkStart w:id="95" w:name="_Toc23416476"/>
      <w:bookmarkStart w:id="96" w:name="_Toc24464030"/>
      <w:bookmarkStart w:id="97" w:name="_Toc24473709"/>
      <w:bookmarkStart w:id="98" w:name="_Toc24473918"/>
      <w:bookmarkStart w:id="99" w:name="_Toc24622406"/>
      <w:bookmarkStart w:id="100" w:name="_Toc25334540"/>
      <w:bookmarkStart w:id="101" w:name="_Toc25941634"/>
      <w:r w:rsidRPr="00170C45">
        <w:t>Why</w:t>
      </w:r>
      <w:r w:rsidRPr="00E9794A">
        <w:t xml:space="preserve"> is APRA reviewing the standards?</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4229030" w14:textId="77777777" w:rsidR="00DB5711" w:rsidRDefault="00DB5711" w:rsidP="00DB5711">
      <w:r>
        <w:t xml:space="preserve">Capital standards are an important tool to ensure that insurers remain financially sound and able to make good on their promises to policy holders. They set minimum requirements to ensure an insurer holds sufficient capital to meet its financial promises to policy holders even under a period of adverse conditions. </w:t>
      </w:r>
    </w:p>
    <w:p w14:paraId="0D4C597F" w14:textId="339FA2B1" w:rsidR="0021701A" w:rsidRDefault="00DB5711" w:rsidP="00DB5711">
      <w:r w:rsidRPr="00C435CA">
        <w:t>In undertaking this review, APRA is seeking to improve the risk sensitivity of the PHI capital standards and</w:t>
      </w:r>
      <w:r>
        <w:t>,</w:t>
      </w:r>
      <w:r w:rsidRPr="00C435CA">
        <w:t xml:space="preserve"> where appropriate, improve the alignment of the capital standards across industries. </w:t>
      </w:r>
      <w:r w:rsidR="005A2EB8">
        <w:t>APRA is concerned that the current PHI capital framework does not appropriately reflect the risks faced by insurers, and does not adequately</w:t>
      </w:r>
      <w:r w:rsidR="00CE36C4">
        <w:t xml:space="preserve"> allow for consideration of </w:t>
      </w:r>
      <w:r w:rsidR="005A2EB8">
        <w:t>adverse events that could affect their performance,</w:t>
      </w:r>
      <w:r w:rsidR="000A425F">
        <w:t xml:space="preserve"> </w:t>
      </w:r>
      <w:r w:rsidR="00BB576C">
        <w:t xml:space="preserve">such as </w:t>
      </w:r>
      <w:r w:rsidR="005A2EB8">
        <w:t xml:space="preserve">extreme adverse events with low probability. </w:t>
      </w:r>
    </w:p>
    <w:p w14:paraId="001551B7" w14:textId="1DCDBF96" w:rsidR="00DB5711" w:rsidRPr="00C435CA" w:rsidRDefault="00DB5711" w:rsidP="00DB5711">
      <w:pPr>
        <w:rPr>
          <w:highlight w:val="yellow"/>
        </w:rPr>
      </w:pPr>
      <w:r>
        <w:t xml:space="preserve">APRA is also seeking to reduce availability for discretion in the practices of insurers in determining capital requirements to improve the comparability of performance between insurers, and limit practices which may detract </w:t>
      </w:r>
      <w:r w:rsidRPr="00E43452">
        <w:t>from insurer financial resilience and policy</w:t>
      </w:r>
      <w:r>
        <w:t xml:space="preserve"> holder </w:t>
      </w:r>
      <w:r w:rsidR="00291E14">
        <w:t>protection.</w:t>
      </w:r>
      <w:r w:rsidR="00291E14" w:rsidRPr="00C435CA">
        <w:t xml:space="preserve"> In</w:t>
      </w:r>
      <w:r w:rsidRPr="00C435CA">
        <w:t xml:space="preserve"> November 2018, APRA advised the industry that it intends to consult on </w:t>
      </w:r>
      <w:r>
        <w:t xml:space="preserve">capital </w:t>
      </w:r>
      <w:r w:rsidRPr="00C435CA">
        <w:t xml:space="preserve">proposals </w:t>
      </w:r>
      <w:r>
        <w:t xml:space="preserve">for </w:t>
      </w:r>
      <w:r w:rsidRPr="00C435CA">
        <w:t xml:space="preserve">insurers </w:t>
      </w:r>
      <w:r>
        <w:t>based on the LAGIC framework</w:t>
      </w:r>
      <w:r w:rsidRPr="00C877F2">
        <w:rPr>
          <w:rStyle w:val="FootnoteReference"/>
          <w:sz w:val="22"/>
        </w:rPr>
        <w:footnoteReference w:id="8"/>
      </w:r>
      <w:r w:rsidRPr="00C435CA">
        <w:t xml:space="preserve">. The LAGIC framework reflects APRA’s overall approach to capital and is consistent with the relevant </w:t>
      </w:r>
      <w:r>
        <w:t xml:space="preserve">ICPs </w:t>
      </w:r>
      <w:r w:rsidRPr="00C435CA">
        <w:t xml:space="preserve">issued by the </w:t>
      </w:r>
      <w:r>
        <w:t>IAIS</w:t>
      </w:r>
      <w:r w:rsidRPr="00C435CA">
        <w:t>.</w:t>
      </w:r>
    </w:p>
    <w:p w14:paraId="4CEC9CC4" w14:textId="47DFCEEB" w:rsidR="00DB5711" w:rsidRPr="00DA77C3" w:rsidRDefault="00DB5711" w:rsidP="00DB5711">
      <w:pPr>
        <w:rPr>
          <w:rFonts w:eastAsia="Calibri" w:cs="Arial"/>
          <w:color w:val="auto"/>
        </w:rPr>
      </w:pPr>
      <w:r>
        <w:t xml:space="preserve">In a number of respects the current PHI capital standards are less robust than the LAGIC framework. However, </w:t>
      </w:r>
      <w:r w:rsidRPr="00DA77C3">
        <w:rPr>
          <w:color w:val="auto"/>
        </w:rPr>
        <w:t xml:space="preserve">APRA does not intend to apply standards designed for </w:t>
      </w:r>
      <w:r w:rsidR="007949CD">
        <w:rPr>
          <w:color w:val="auto"/>
        </w:rPr>
        <w:t xml:space="preserve">the </w:t>
      </w:r>
      <w:r w:rsidRPr="00DA77C3">
        <w:rPr>
          <w:color w:val="auto"/>
        </w:rPr>
        <w:t xml:space="preserve">life or </w:t>
      </w:r>
      <w:r w:rsidR="007949CD">
        <w:rPr>
          <w:color w:val="auto"/>
        </w:rPr>
        <w:t xml:space="preserve">general insurance industries </w:t>
      </w:r>
      <w:r w:rsidRPr="00DA77C3">
        <w:rPr>
          <w:color w:val="auto"/>
        </w:rPr>
        <w:t xml:space="preserve">to insurers without change. </w:t>
      </w:r>
      <w:r w:rsidRPr="00DA77C3">
        <w:rPr>
          <w:rFonts w:eastAsia="Calibri" w:cs="Arial"/>
          <w:color w:val="auto"/>
        </w:rPr>
        <w:t xml:space="preserve">The characteristics of the insurance coverage in each industry give rise to variation in how insurance risk is experienced and managed. </w:t>
      </w:r>
    </w:p>
    <w:p w14:paraId="2C46E964" w14:textId="77777777" w:rsidR="00DB5711" w:rsidRDefault="00DB5711" w:rsidP="00DB5711">
      <w:pPr>
        <w:rPr>
          <w:color w:val="auto"/>
        </w:rPr>
      </w:pPr>
      <w:r w:rsidRPr="00D64AB0">
        <w:rPr>
          <w:color w:val="auto"/>
        </w:rPr>
        <w:t>Reflecting this, the treatment of insurance risk in the LAGIC framework is tailored to the specific insurance risks in each of the life and general insurance industries. For example, the risks arising from changes in the mortality or longevity of policy</w:t>
      </w:r>
      <w:r>
        <w:rPr>
          <w:color w:val="auto"/>
        </w:rPr>
        <w:t xml:space="preserve"> </w:t>
      </w:r>
      <w:r w:rsidRPr="00D64AB0">
        <w:rPr>
          <w:color w:val="auto"/>
        </w:rPr>
        <w:t>holders are captured in the life industry capital standards, while the exposure of general insurers to natural catastrophe events is captured in the general insurance capital standa</w:t>
      </w:r>
      <w:r>
        <w:rPr>
          <w:color w:val="auto"/>
        </w:rPr>
        <w:t xml:space="preserve">rds. </w:t>
      </w:r>
      <w:r w:rsidRPr="00BF7290">
        <w:rPr>
          <w:color w:val="auto"/>
        </w:rPr>
        <w:t>Insurance risk in the PHI industry differs again and the proposals in this paper have</w:t>
      </w:r>
      <w:r>
        <w:rPr>
          <w:color w:val="auto"/>
        </w:rPr>
        <w:t xml:space="preserve"> taken account of those characteristics and</w:t>
      </w:r>
      <w:r w:rsidRPr="00BF7290">
        <w:rPr>
          <w:color w:val="auto"/>
        </w:rPr>
        <w:t xml:space="preserve"> been </w:t>
      </w:r>
      <w:r>
        <w:rPr>
          <w:color w:val="auto"/>
        </w:rPr>
        <w:t>informed by expert input from the Actuaries Institute.</w:t>
      </w:r>
    </w:p>
    <w:p w14:paraId="37746ECE" w14:textId="77777777" w:rsidR="00DB5711" w:rsidRPr="00A25307" w:rsidRDefault="00DB5711" w:rsidP="00DB5711">
      <w:pPr>
        <w:pStyle w:val="Heading2Numbers"/>
      </w:pPr>
      <w:bookmarkStart w:id="102" w:name="_Toc22821253"/>
      <w:bookmarkStart w:id="103" w:name="_Toc23148536"/>
      <w:bookmarkStart w:id="104" w:name="_Toc23252654"/>
      <w:bookmarkStart w:id="105" w:name="_Toc23252941"/>
      <w:bookmarkStart w:id="106" w:name="_Toc23264922"/>
      <w:bookmarkStart w:id="107" w:name="_Toc23269036"/>
      <w:bookmarkStart w:id="108" w:name="_Toc23416004"/>
      <w:bookmarkStart w:id="109" w:name="_Toc23416477"/>
      <w:bookmarkStart w:id="110" w:name="_Toc24464031"/>
      <w:bookmarkStart w:id="111" w:name="_Toc24473710"/>
      <w:bookmarkStart w:id="112" w:name="_Toc24473919"/>
      <w:bookmarkStart w:id="113" w:name="_Toc24622407"/>
      <w:bookmarkStart w:id="114" w:name="_Toc25334541"/>
      <w:bookmarkStart w:id="115" w:name="_Toc25941635"/>
      <w:r w:rsidRPr="00170C45">
        <w:t>APRA’s</w:t>
      </w:r>
      <w:r>
        <w:t xml:space="preserve"> proposed approach</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8CBA7A3" w14:textId="77777777" w:rsidR="00DB5711" w:rsidRDefault="00DB5711" w:rsidP="00DB5711">
      <w:r>
        <w:t>T</w:t>
      </w:r>
      <w:r w:rsidRPr="005572A2">
        <w:t xml:space="preserve">he review will </w:t>
      </w:r>
      <w:r>
        <w:t xml:space="preserve">consider </w:t>
      </w:r>
      <w:r w:rsidRPr="005572A2">
        <w:t xml:space="preserve">the </w:t>
      </w:r>
      <w:r>
        <w:t xml:space="preserve">approach to </w:t>
      </w:r>
      <w:r w:rsidRPr="005572A2">
        <w:t xml:space="preserve">calculation of </w:t>
      </w:r>
      <w:r>
        <w:t xml:space="preserve">minimum capital requirements and the determination of the capital base for insurers, as well as </w:t>
      </w:r>
      <w:r w:rsidRPr="005572A2">
        <w:t>requirements around capital management (in LAGIC terminology, the Internal Capital Adequacy Assessment Process, or ICAAP).</w:t>
      </w:r>
      <w:r>
        <w:t xml:space="preserve"> </w:t>
      </w:r>
      <w:r w:rsidRPr="005572A2">
        <w:t xml:space="preserve">It will </w:t>
      </w:r>
      <w:r>
        <w:t xml:space="preserve">also </w:t>
      </w:r>
      <w:r w:rsidRPr="005572A2">
        <w:t xml:space="preserve">cover </w:t>
      </w:r>
      <w:r>
        <w:t xml:space="preserve">the requirements for </w:t>
      </w:r>
      <w:r w:rsidRPr="005572A2">
        <w:t xml:space="preserve">reporting to APRA </w:t>
      </w:r>
      <w:r>
        <w:t xml:space="preserve">on capital adequacy, financial performance and public </w:t>
      </w:r>
      <w:r w:rsidRPr="005572A2">
        <w:t>d</w:t>
      </w:r>
      <w:r>
        <w:t>isclosure requirements.</w:t>
      </w:r>
      <w:r w:rsidRPr="005572A2">
        <w:t xml:space="preserve"> </w:t>
      </w:r>
    </w:p>
    <w:p w14:paraId="07EAC0AE" w14:textId="36848E96" w:rsidR="00DB5711" w:rsidRPr="00DE5247" w:rsidRDefault="00DB5711" w:rsidP="00DB5711">
      <w:pPr>
        <w:rPr>
          <w:rFonts w:cs="Arial"/>
        </w:rPr>
      </w:pPr>
      <w:r>
        <w:t xml:space="preserve">Further, </w:t>
      </w:r>
      <w:r w:rsidRPr="00DE5247">
        <w:t xml:space="preserve">the </w:t>
      </w:r>
      <w:r>
        <w:t xml:space="preserve">PHI </w:t>
      </w:r>
      <w:r w:rsidRPr="00DE5247">
        <w:t xml:space="preserve">capital standards will need to integrate changes to the accounting standards for insurance contracts with the introduction of </w:t>
      </w:r>
      <w:r w:rsidR="00036462">
        <w:rPr>
          <w:i/>
        </w:rPr>
        <w:t>AASB </w:t>
      </w:r>
      <w:r w:rsidRPr="00324420">
        <w:rPr>
          <w:i/>
        </w:rPr>
        <w:t>17 Insurance Contracts</w:t>
      </w:r>
      <w:r w:rsidRPr="00DE5247">
        <w:t xml:space="preserve"> (AASB</w:t>
      </w:r>
      <w:r w:rsidR="00036462">
        <w:t> </w:t>
      </w:r>
      <w:r w:rsidRPr="00DE5247">
        <w:t xml:space="preserve">17). Implementation of AASB 17 will change the basis for </w:t>
      </w:r>
      <w:r>
        <w:t xml:space="preserve">measuring and reporting insurance assets and liabilities, and therefore will impact the way an </w:t>
      </w:r>
      <w:r w:rsidRPr="00DE5247">
        <w:t>ins</w:t>
      </w:r>
      <w:r>
        <w:t xml:space="preserve">urer prepares its </w:t>
      </w:r>
      <w:r w:rsidRPr="00DE5247">
        <w:t xml:space="preserve">financial </w:t>
      </w:r>
      <w:r>
        <w:t xml:space="preserve">reports and monitors its financial </w:t>
      </w:r>
      <w:r w:rsidRPr="00DE5247">
        <w:t>performance</w:t>
      </w:r>
      <w:r w:rsidRPr="00DE5247">
        <w:rPr>
          <w:rFonts w:cs="Arial"/>
        </w:rPr>
        <w:t xml:space="preserve">. </w:t>
      </w:r>
      <w:r w:rsidRPr="00DE5247">
        <w:t xml:space="preserve">In November 2018, </w:t>
      </w:r>
      <w:r w:rsidRPr="00DE5247">
        <w:rPr>
          <w:rFonts w:cs="Arial"/>
        </w:rPr>
        <w:t xml:space="preserve">APRA </w:t>
      </w:r>
      <w:r w:rsidRPr="00DE5247">
        <w:t>indicated</w:t>
      </w:r>
      <w:r w:rsidRPr="00DE5247">
        <w:rPr>
          <w:rFonts w:cs="Arial"/>
        </w:rPr>
        <w:t xml:space="preserve"> its intent is to develop the future </w:t>
      </w:r>
      <w:r>
        <w:rPr>
          <w:rFonts w:cs="Arial"/>
        </w:rPr>
        <w:t xml:space="preserve">PHI </w:t>
      </w:r>
      <w:r w:rsidRPr="00DE5247">
        <w:rPr>
          <w:rFonts w:cs="Arial"/>
        </w:rPr>
        <w:t>capital framework from an AASB 17 base</w:t>
      </w:r>
      <w:r>
        <w:rPr>
          <w:rFonts w:cs="Arial"/>
        </w:rPr>
        <w:t>.</w:t>
      </w:r>
      <w:r>
        <w:t xml:space="preserve"> </w:t>
      </w:r>
      <w:r w:rsidRPr="00DE5247">
        <w:rPr>
          <w:rFonts w:cs="Arial"/>
        </w:rPr>
        <w:t>This remains APRA’s approach and consideration of integrating AASB 17 will be taken into account through</w:t>
      </w:r>
      <w:r>
        <w:rPr>
          <w:rFonts w:cs="Arial"/>
        </w:rPr>
        <w:t xml:space="preserve">out the </w:t>
      </w:r>
      <w:r w:rsidRPr="00DE5247">
        <w:t>review</w:t>
      </w:r>
      <w:r>
        <w:t xml:space="preserve"> of the PHI capital requirements.</w:t>
      </w:r>
      <w:r w:rsidRPr="00DE5247">
        <w:t xml:space="preserve"> </w:t>
      </w:r>
      <w:r>
        <w:t xml:space="preserve">The development of the PHI capital standards has important interactions with </w:t>
      </w:r>
      <w:r>
        <w:rPr>
          <w:rFonts w:cs="Arial"/>
        </w:rPr>
        <w:t>APRA’s work to considering how to integrate AASB 17 into the LAGIC framework, which is based on the existing accounting treatment.</w:t>
      </w:r>
    </w:p>
    <w:p w14:paraId="53EE89FC" w14:textId="77777777" w:rsidR="00DB5711" w:rsidRDefault="00DB5711" w:rsidP="00DB5711">
      <w:r>
        <w:t>APRA’s proposals will revise the capital framework for the PHI industry to a structure which:</w:t>
      </w:r>
    </w:p>
    <w:p w14:paraId="013059EC" w14:textId="77777777" w:rsidR="00DB5711" w:rsidRPr="00CF7538" w:rsidRDefault="00DB5711" w:rsidP="00DB5711">
      <w:pPr>
        <w:pStyle w:val="ListBullet"/>
      </w:pPr>
      <w:r w:rsidRPr="00CF7538">
        <w:t>aligns to LAGIC, including refinements to the LAGIC framework currently being considered by APRA, unless characteristics of the PHI industry warrant a different prudential approach;</w:t>
      </w:r>
    </w:p>
    <w:p w14:paraId="36F67040" w14:textId="77777777" w:rsidR="00DB5711" w:rsidRPr="00CF7538" w:rsidRDefault="00DB5711" w:rsidP="00DB5711">
      <w:pPr>
        <w:pStyle w:val="ListBullet"/>
      </w:pPr>
      <w:r w:rsidRPr="00CF7538">
        <w:t>captures the whole licensed health insurer;</w:t>
      </w:r>
    </w:p>
    <w:p w14:paraId="273D25F6" w14:textId="77777777" w:rsidR="00DB5711" w:rsidRPr="00CF7538" w:rsidRDefault="00DB5711" w:rsidP="00DB5711">
      <w:pPr>
        <w:pStyle w:val="ListBullet"/>
      </w:pPr>
      <w:r w:rsidRPr="00CF7538">
        <w:t xml:space="preserve">determines the prudential capital base after making adjustments, modelled on those of LAGIC, to accounting balance sheet items determined in accordance with Australian accounting standards; </w:t>
      </w:r>
    </w:p>
    <w:p w14:paraId="6FE62415" w14:textId="112FB89F" w:rsidR="00DB5711" w:rsidRPr="00CF7538" w:rsidRDefault="00DB5711" w:rsidP="00DB5711">
      <w:pPr>
        <w:pStyle w:val="ListBullet"/>
      </w:pPr>
      <w:r w:rsidRPr="00CF7538">
        <w:t xml:space="preserve">lifts the probability of sufficiency to 99.5 per cent over a </w:t>
      </w:r>
      <w:proofErr w:type="gramStart"/>
      <w:r w:rsidRPr="00CF7538">
        <w:t>12 month</w:t>
      </w:r>
      <w:proofErr w:type="gramEnd"/>
      <w:r w:rsidRPr="00CF7538">
        <w:t xml:space="preserve"> period on a gone</w:t>
      </w:r>
      <w:r w:rsidR="0043498B">
        <w:t xml:space="preserve"> </w:t>
      </w:r>
      <w:r w:rsidRPr="00CF7538">
        <w:t xml:space="preserve">concern basis; </w:t>
      </w:r>
    </w:p>
    <w:p w14:paraId="6B033209" w14:textId="704C2040" w:rsidR="00DB5711" w:rsidRPr="00CF7538" w:rsidRDefault="00DB5711" w:rsidP="00DB5711">
      <w:pPr>
        <w:pStyle w:val="ListBullet"/>
      </w:pPr>
      <w:r w:rsidRPr="00CF7538">
        <w:t>specifies rules and thresholds for capital instruments that can be included in the prudential capital base;</w:t>
      </w:r>
      <w:r w:rsidR="00EE0A5B">
        <w:t xml:space="preserve"> and</w:t>
      </w:r>
    </w:p>
    <w:p w14:paraId="74A37F93" w14:textId="77777777" w:rsidR="00DB5711" w:rsidRPr="00CF7538" w:rsidRDefault="00DB5711" w:rsidP="00DB5711">
      <w:pPr>
        <w:pStyle w:val="ListBullet"/>
      </w:pPr>
      <w:r w:rsidRPr="00CF7538">
        <w:t xml:space="preserve">reduces the available discretion for insurers in calculating capital charges for several components of the prescribed capital amount (PCA) to improve comparability between insurers. </w:t>
      </w:r>
    </w:p>
    <w:p w14:paraId="3F62116E" w14:textId="77777777" w:rsidR="00DB5711" w:rsidRPr="00F207A1" w:rsidRDefault="00DB5711" w:rsidP="00DB5711">
      <w:pPr>
        <w:pStyle w:val="Heading2Numbers"/>
      </w:pPr>
      <w:bookmarkStart w:id="116" w:name="_Toc5628035"/>
      <w:bookmarkStart w:id="117" w:name="_Toc11245036"/>
      <w:bookmarkStart w:id="118" w:name="_Toc11311735"/>
      <w:bookmarkStart w:id="119" w:name="_Toc11313641"/>
      <w:bookmarkStart w:id="120" w:name="_Toc14429973"/>
      <w:bookmarkStart w:id="121" w:name="_Toc14700217"/>
      <w:bookmarkStart w:id="122" w:name="_Toc22821254"/>
      <w:bookmarkStart w:id="123" w:name="_Toc23148537"/>
      <w:bookmarkStart w:id="124" w:name="_Toc23252655"/>
      <w:bookmarkStart w:id="125" w:name="_Toc23252942"/>
      <w:bookmarkStart w:id="126" w:name="_Toc23264923"/>
      <w:bookmarkStart w:id="127" w:name="_Toc23269037"/>
      <w:bookmarkStart w:id="128" w:name="_Toc23416005"/>
      <w:bookmarkStart w:id="129" w:name="_Toc23416478"/>
      <w:bookmarkStart w:id="130" w:name="_Toc24464032"/>
      <w:bookmarkStart w:id="131" w:name="_Toc24473711"/>
      <w:bookmarkStart w:id="132" w:name="_Toc24473920"/>
      <w:bookmarkStart w:id="133" w:name="_Toc24622408"/>
      <w:bookmarkStart w:id="134" w:name="_Toc25334542"/>
      <w:bookmarkStart w:id="135" w:name="_Toc25941636"/>
      <w:r w:rsidRPr="00F207A1">
        <w:t>Balancing APRA’s objectives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0437983" w14:textId="77777777" w:rsidR="00DB5711" w:rsidRDefault="00DB5711" w:rsidP="00DB5711">
      <w:r w:rsidRPr="00F207A1">
        <w:t xml:space="preserve">The </w:t>
      </w:r>
      <w:r w:rsidRPr="00136A1E">
        <w:rPr>
          <w:i/>
        </w:rPr>
        <w:t>Australian Prudential Regulation Authority Act 1998</w:t>
      </w:r>
      <w:r w:rsidRPr="00F207A1">
        <w:t xml:space="preserve"> </w:t>
      </w:r>
      <w:r>
        <w:t xml:space="preserve">(APRA Act) </w:t>
      </w:r>
      <w:r w:rsidRPr="00F207A1">
        <w:t xml:space="preserve">requires APRA to balance the objectives of financial safety and efficiency, competition, contestability </w:t>
      </w:r>
      <w:r>
        <w:t>and competitive neutrality, and</w:t>
      </w:r>
      <w:r w:rsidRPr="00F207A1">
        <w:t xml:space="preserve"> in balancing these objectives, promote financial system stability in Australia. APRA considers that, on balance, the proposals in this discussion paper will enhance prudential outcomes, improve financial safety and promote financial system stability while not unduly impacting the other objectives. </w:t>
      </w:r>
    </w:p>
    <w:p w14:paraId="1F358A84" w14:textId="6C8C804C" w:rsidR="00060AD6" w:rsidRDefault="00060AD6" w:rsidP="00060AD6">
      <w:pPr>
        <w:pStyle w:val="Heading4"/>
      </w:pPr>
      <w:r>
        <w:t>Efficiency considerations</w:t>
      </w:r>
    </w:p>
    <w:p w14:paraId="1B5A119A" w14:textId="2C2E64D4" w:rsidR="002A7C01" w:rsidRDefault="00CE36C4" w:rsidP="00303687">
      <w:r>
        <w:t xml:space="preserve">APRA’s proposals for the capital framework are expected to improve efficiency by </w:t>
      </w:r>
      <w:r w:rsidR="005A2EB8">
        <w:t>determining capital requirements on a basis that</w:t>
      </w:r>
      <w:r w:rsidR="005101A1">
        <w:t xml:space="preserve"> </w:t>
      </w:r>
      <w:r>
        <w:t>better reflect</w:t>
      </w:r>
      <w:r w:rsidR="00D36D55">
        <w:t>s</w:t>
      </w:r>
      <w:r>
        <w:t xml:space="preserve"> the risks faced by each insurer</w:t>
      </w:r>
      <w:r w:rsidR="00721FB8">
        <w:t xml:space="preserve">. </w:t>
      </w:r>
      <w:r w:rsidR="002A7C01">
        <w:t xml:space="preserve">This approach also allows </w:t>
      </w:r>
      <w:r w:rsidR="002A7C01" w:rsidRPr="005E7562">
        <w:t xml:space="preserve">capital requirements </w:t>
      </w:r>
      <w:r w:rsidR="002A7C01">
        <w:t xml:space="preserve">to vary based on the risk management capability of the insurer.  </w:t>
      </w:r>
    </w:p>
    <w:p w14:paraId="30DB6A5F" w14:textId="77777777" w:rsidR="000A425F" w:rsidRDefault="00CE36C4" w:rsidP="000A425F">
      <w:r>
        <w:t>The proposed changes to requiremen</w:t>
      </w:r>
      <w:r w:rsidR="005101A1">
        <w:t>t</w:t>
      </w:r>
      <w:r>
        <w:t xml:space="preserve">s for capital instruments are expected to improve the transparency of these instruments to assist in their issuance </w:t>
      </w:r>
      <w:r w:rsidR="005A2EB8">
        <w:t>and increase the options for mutual insurers to raise capital</w:t>
      </w:r>
      <w:r w:rsidR="00303687" w:rsidRPr="00303687">
        <w:t>.</w:t>
      </w:r>
      <w:r w:rsidR="005A2EB8">
        <w:t xml:space="preserve"> </w:t>
      </w:r>
      <w:r>
        <w:t xml:space="preserve">Increased </w:t>
      </w:r>
      <w:r w:rsidR="005A2EB8">
        <w:t>transparency and comparability of capital ratios may also improve access to sources of capital.</w:t>
      </w:r>
      <w:r w:rsidR="001027F1">
        <w:t xml:space="preserve"> </w:t>
      </w:r>
      <w:bookmarkStart w:id="136" w:name="_Toc23416006"/>
      <w:bookmarkStart w:id="137" w:name="_Toc23416479"/>
      <w:bookmarkStart w:id="138" w:name="_Toc24464033"/>
      <w:bookmarkStart w:id="139" w:name="_Toc24473712"/>
      <w:bookmarkStart w:id="140" w:name="_Toc24473921"/>
    </w:p>
    <w:p w14:paraId="2799542F" w14:textId="71419CC3" w:rsidR="00DB5711" w:rsidRPr="0019756A" w:rsidRDefault="00DB5711" w:rsidP="00DB5711">
      <w:pPr>
        <w:pStyle w:val="Heading4"/>
      </w:pPr>
      <w:r w:rsidRPr="0019756A">
        <w:t xml:space="preserve">Competition </w:t>
      </w:r>
      <w:r w:rsidR="00060AD6">
        <w:t xml:space="preserve">and contestability </w:t>
      </w:r>
      <w:r w:rsidRPr="0019756A">
        <w:t>considerations</w:t>
      </w:r>
      <w:bookmarkEnd w:id="136"/>
      <w:bookmarkEnd w:id="137"/>
      <w:bookmarkEnd w:id="138"/>
      <w:bookmarkEnd w:id="139"/>
      <w:bookmarkEnd w:id="140"/>
    </w:p>
    <w:p w14:paraId="403F4E64" w14:textId="77777777" w:rsidR="00DB5711" w:rsidRPr="005A2EB8" w:rsidRDefault="00DB5711" w:rsidP="00DB5711">
      <w:r w:rsidRPr="0014497D">
        <w:rPr>
          <w:rFonts w:cs="Arial"/>
        </w:rPr>
        <w:t>There are curr</w:t>
      </w:r>
      <w:r>
        <w:rPr>
          <w:rFonts w:cs="Arial"/>
        </w:rPr>
        <w:t xml:space="preserve">ently 37 insurers in the PHI market. </w:t>
      </w:r>
      <w:r w:rsidRPr="00B22778">
        <w:rPr>
          <w:rFonts w:cs="Arial"/>
        </w:rPr>
        <w:t>The fiv</w:t>
      </w:r>
      <w:r>
        <w:rPr>
          <w:rFonts w:cs="Arial"/>
        </w:rPr>
        <w:t>e largest insurers hold 80 per cent</w:t>
      </w:r>
      <w:r w:rsidRPr="00B22778">
        <w:rPr>
          <w:rFonts w:cs="Arial"/>
        </w:rPr>
        <w:t xml:space="preserve"> of </w:t>
      </w:r>
      <w:r>
        <w:rPr>
          <w:rFonts w:cs="Arial"/>
        </w:rPr>
        <w:t>policies</w:t>
      </w:r>
      <w:r w:rsidRPr="00D47A65">
        <w:rPr>
          <w:rFonts w:cs="Arial"/>
        </w:rPr>
        <w:t xml:space="preserve"> (</w:t>
      </w:r>
      <w:r>
        <w:rPr>
          <w:rFonts w:cs="Arial"/>
        </w:rPr>
        <w:t>5.3</w:t>
      </w:r>
      <w:r w:rsidRPr="00D47A65">
        <w:rPr>
          <w:rFonts w:cs="Arial"/>
        </w:rPr>
        <w:t xml:space="preserve"> million policies</w:t>
      </w:r>
      <w:r>
        <w:rPr>
          <w:rFonts w:cs="Arial"/>
        </w:rPr>
        <w:t xml:space="preserve">) and account for 80 per cent of the total PHI membership base (10.8 million members) as depicted in </w:t>
      </w:r>
      <w:r w:rsidRPr="002758F8">
        <w:rPr>
          <w:b/>
        </w:rPr>
        <w:t>Figure 3</w:t>
      </w:r>
      <w:r>
        <w:rPr>
          <w:rFonts w:cs="Arial"/>
        </w:rPr>
        <w:t xml:space="preserve">. While generally stable, there </w:t>
      </w:r>
      <w:r w:rsidRPr="00AF5BA6">
        <w:rPr>
          <w:rFonts w:cs="Arial"/>
        </w:rPr>
        <w:t xml:space="preserve">has been a small decline in concentration </w:t>
      </w:r>
      <w:r>
        <w:rPr>
          <w:rFonts w:cs="Arial"/>
        </w:rPr>
        <w:t>amongst the insurers with the largest market share in recent years</w:t>
      </w:r>
      <w:r w:rsidRPr="00AF5BA6">
        <w:rPr>
          <w:rFonts w:cs="Arial"/>
        </w:rPr>
        <w:t xml:space="preserve">. The decline in concentration coincides with a period of deteriorating affordability and rising churn of members between coverage levels and insurers, suggesting that policy holders have been increasingly looking for </w:t>
      </w:r>
      <w:r>
        <w:rPr>
          <w:rFonts w:cs="Arial"/>
        </w:rPr>
        <w:t>policies that better meet their needs</w:t>
      </w:r>
      <w:r w:rsidRPr="00AF5BA6">
        <w:rPr>
          <w:rFonts w:cs="Arial"/>
        </w:rPr>
        <w:t>.</w:t>
      </w:r>
    </w:p>
    <w:p w14:paraId="1BA7E794" w14:textId="77777777" w:rsidR="005A2EB8" w:rsidRPr="0036330A" w:rsidRDefault="005A2EB8" w:rsidP="005A2EB8">
      <w:pPr>
        <w:rPr>
          <w:rFonts w:cs="Arial"/>
        </w:rPr>
      </w:pPr>
      <w:r w:rsidRPr="00176413">
        <w:rPr>
          <w:rFonts w:cs="Arial"/>
        </w:rPr>
        <w:t>The PHI industry is strongly influenced by Government policy and regulations. Although legislation and regulation constrain the scope of policy offerings in the PHI market, insurers are offering policies with features designed to meet different needs and provide choice for consumers. Differentiation in offerings</w:t>
      </w:r>
      <w:r w:rsidRPr="00CE5504">
        <w:rPr>
          <w:rFonts w:cs="Arial"/>
        </w:rPr>
        <w:t xml:space="preserve"> </w:t>
      </w:r>
      <w:r w:rsidRPr="00176413">
        <w:rPr>
          <w:rFonts w:cs="Arial"/>
        </w:rPr>
        <w:t>between insurers</w:t>
      </w:r>
      <w:r w:rsidRPr="0036330A">
        <w:rPr>
          <w:rFonts w:cs="Arial"/>
        </w:rPr>
        <w:t xml:space="preserve">, and clear communication of those offerings, </w:t>
      </w:r>
      <w:r w:rsidRPr="00176413">
        <w:rPr>
          <w:rFonts w:cs="Arial"/>
        </w:rPr>
        <w:t xml:space="preserve">enables consumers to select a product most suitable to their needs. </w:t>
      </w:r>
    </w:p>
    <w:p w14:paraId="6C0BA70A" w14:textId="2EDF4F91" w:rsidR="005A2EB8" w:rsidRDefault="005A2EB8" w:rsidP="00E85966">
      <w:r w:rsidRPr="0034323F">
        <w:t xml:space="preserve">APRA’s capital proposals are not expected to materially alter </w:t>
      </w:r>
      <w:r>
        <w:t xml:space="preserve">opportunities for </w:t>
      </w:r>
      <w:r w:rsidRPr="0034323F">
        <w:t xml:space="preserve">competition </w:t>
      </w:r>
      <w:r>
        <w:t>or</w:t>
      </w:r>
      <w:r w:rsidRPr="0034323F">
        <w:t xml:space="preserve"> impact on the ability of insurers to differentiate across product offerings. </w:t>
      </w:r>
      <w:r>
        <w:t xml:space="preserve">While it is not yet possible to determine the quantitative impact of the proposals on individual insurers, the proposals are expected to create </w:t>
      </w:r>
      <w:r w:rsidRPr="0034323F">
        <w:t>a higher hurdle for new entrants in the market</w:t>
      </w:r>
      <w:r>
        <w:t xml:space="preserve"> as a result of higher minimum capital requirements and are likely to have a relatively larger implementation cost for</w:t>
      </w:r>
      <w:r w:rsidRPr="0034323F">
        <w:t xml:space="preserve"> smaller insurers. </w:t>
      </w:r>
      <w:r>
        <w:t xml:space="preserve">APRA’s proposal seeks to manage some of these impacts by establishing sufficient </w:t>
      </w:r>
      <w:r w:rsidRPr="0034323F">
        <w:t xml:space="preserve">transition arrangements </w:t>
      </w:r>
      <w:r>
        <w:t xml:space="preserve">that </w:t>
      </w:r>
      <w:r w:rsidRPr="0034323F">
        <w:t>allow insurers to adapt systems and processes</w:t>
      </w:r>
      <w:r>
        <w:t xml:space="preserve"> over time.</w:t>
      </w:r>
    </w:p>
    <w:p w14:paraId="57AF1876" w14:textId="54FACA6D" w:rsidR="00DB5711" w:rsidRDefault="00CE36C4" w:rsidP="00DB5711">
      <w:pPr>
        <w:pStyle w:val="Figurenumbered"/>
        <w:rPr>
          <w:rFonts w:cs="Arial"/>
          <w:b/>
          <w:i w:val="0"/>
          <w:color w:val="012169"/>
        </w:rPr>
      </w:pPr>
      <w:r w:rsidRPr="00176413">
        <w:rPr>
          <w:rFonts w:ascii="DIN OT Light" w:hAnsi="DIN OT Light" w:cs="Arial"/>
          <w:noProof/>
          <w:color w:val="000000"/>
          <w:lang w:eastAsia="en-AU"/>
        </w:rPr>
        <mc:AlternateContent>
          <mc:Choice Requires="wpg">
            <w:drawing>
              <wp:anchor distT="0" distB="0" distL="114300" distR="114300" simplePos="0" relativeHeight="251658254" behindDoc="1" locked="0" layoutInCell="1" allowOverlap="1" wp14:anchorId="4895651B" wp14:editId="5E69DAB7">
                <wp:simplePos x="0" y="0"/>
                <wp:positionH relativeFrom="margin">
                  <wp:align>left</wp:align>
                </wp:positionH>
                <wp:positionV relativeFrom="paragraph">
                  <wp:posOffset>416618</wp:posOffset>
                </wp:positionV>
                <wp:extent cx="6012180" cy="2825750"/>
                <wp:effectExtent l="0" t="0" r="7620" b="0"/>
                <wp:wrapTopAndBottom/>
                <wp:docPr id="27" name="Group 5" descr="This figure shows the number of members of the top 25 insurers, by market share"/>
                <wp:cNvGraphicFramePr/>
                <a:graphic xmlns:a="http://schemas.openxmlformats.org/drawingml/2006/main">
                  <a:graphicData uri="http://schemas.microsoft.com/office/word/2010/wordprocessingGroup">
                    <wpg:wgp>
                      <wpg:cNvGrpSpPr/>
                      <wpg:grpSpPr>
                        <a:xfrm>
                          <a:off x="0" y="0"/>
                          <a:ext cx="6012180" cy="2826328"/>
                          <a:chOff x="0" y="0"/>
                          <a:chExt cx="6129338" cy="3486150"/>
                        </a:xfrm>
                      </wpg:grpSpPr>
                      <wpg:graphicFrame>
                        <wpg:cNvPr id="28" name="Chart 28"/>
                        <wpg:cNvFrPr/>
                        <wpg:xfrm>
                          <a:off x="0" y="0"/>
                          <a:ext cx="6129338" cy="3486150"/>
                        </wpg:xfrm>
                        <a:graphic>
                          <a:graphicData uri="http://schemas.openxmlformats.org/drawingml/2006/chart">
                            <c:chart xmlns:c="http://schemas.openxmlformats.org/drawingml/2006/chart" xmlns:r="http://schemas.openxmlformats.org/officeDocument/2006/relationships" r:id="rId12"/>
                          </a:graphicData>
                        </a:graphic>
                      </wpg:graphicFrame>
                      <pic:pic xmlns:pic="http://schemas.openxmlformats.org/drawingml/2006/picture">
                        <pic:nvPicPr>
                          <pic:cNvPr id="29" name="Picture 29"/>
                          <pic:cNvPicPr>
                            <a:picLocks noChangeAspect="1"/>
                          </pic:cNvPicPr>
                        </pic:nvPicPr>
                        <pic:blipFill>
                          <a:blip r:embed="rId13"/>
                          <a:stretch>
                            <a:fillRect/>
                          </a:stretch>
                        </pic:blipFill>
                        <pic:spPr>
                          <a:xfrm>
                            <a:off x="4727890" y="285332"/>
                            <a:ext cx="743238" cy="117043"/>
                          </a:xfrm>
                          <a:prstGeom prst="rect">
                            <a:avLst/>
                          </a:prstGeom>
                        </pic:spPr>
                      </pic:pic>
                      <pic:pic xmlns:pic="http://schemas.openxmlformats.org/drawingml/2006/picture">
                        <pic:nvPicPr>
                          <pic:cNvPr id="30" name="Picture 30"/>
                          <pic:cNvPicPr>
                            <a:picLocks noChangeAspect="1"/>
                          </pic:cNvPicPr>
                        </pic:nvPicPr>
                        <pic:blipFill>
                          <a:blip r:embed="rId14"/>
                          <a:stretch>
                            <a:fillRect/>
                          </a:stretch>
                        </pic:blipFill>
                        <pic:spPr>
                          <a:xfrm>
                            <a:off x="4719490" y="414814"/>
                            <a:ext cx="644968" cy="13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C82F46" id="Group 5" o:spid="_x0000_s1026" alt="This figure shows the number of members of the top 25 insurers, by market share" style="position:absolute;margin-left:0;margin-top:32.8pt;width:473.4pt;height:222.5pt;z-index:-251658226;mso-position-horizontal:left;mso-position-horizontal-relative:margin;mso-width-relative:margin;mso-height-relative:margin" coordsize="61293,34861"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 o:spid="_x0000_s1027" type="#_x0000_t75" style="position:absolute;width:61277;height:34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">
                  <v:imagedata r:id="rId20" o:title=""/>
                  <o:lock v:ext="edit" aspectratio="f"/>
                </v:shape>
                <v:shape id="Picture 29" o:spid="_x0000_s1028" type="#_x0000_t75" style="position:absolute;left:47278;top:2853;width:7433;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">
                  <v:imagedata r:id="rId21" o:title=""/>
                </v:shape>
                <v:shape id="Picture 30" o:spid="_x0000_s1029" type="#_x0000_t75" style="position:absolute;left:47194;top:4148;width:645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">
                  <v:imagedata r:id="rId22" o:title=""/>
                </v:shape>
                <w10:wrap type="topAndBottom" anchorx="margin"/>
              </v:group>
            </w:pict>
          </mc:Fallback>
        </mc:AlternateContent>
      </w:r>
      <w:r w:rsidR="00DB5711" w:rsidRPr="007C2EFA">
        <w:t>Membership</w:t>
      </w:r>
      <w:r w:rsidR="00DB5711">
        <w:rPr>
          <w:rFonts w:ascii="DIN OT Light" w:hAnsi="DIN OT Light" w:cs="Arial"/>
          <w:b/>
          <w:color w:val="012169"/>
        </w:rPr>
        <w:t xml:space="preserve"> </w:t>
      </w:r>
      <w:r w:rsidR="00DB5711" w:rsidRPr="007C2EFA">
        <w:t xml:space="preserve">base for </w:t>
      </w:r>
      <w:r w:rsidR="00DB5711">
        <w:t>the top 25 insurers</w:t>
      </w:r>
      <w:r w:rsidR="00DB5711">
        <w:rPr>
          <w:rStyle w:val="FootnoteReference"/>
        </w:rPr>
        <w:footnoteReference w:id="9"/>
      </w:r>
    </w:p>
    <w:p w14:paraId="4CF08854" w14:textId="77777777" w:rsidR="005101A1" w:rsidRDefault="005101A1" w:rsidP="00060AD6">
      <w:pPr>
        <w:pStyle w:val="Heading4"/>
      </w:pPr>
    </w:p>
    <w:p w14:paraId="32B2E022" w14:textId="6BFC9C08" w:rsidR="00060AD6" w:rsidRDefault="00060AD6" w:rsidP="00060AD6">
      <w:pPr>
        <w:pStyle w:val="Heading4"/>
      </w:pPr>
      <w:r>
        <w:t>Competitive neutrality considerations</w:t>
      </w:r>
    </w:p>
    <w:p w14:paraId="444F6DE0" w14:textId="6CF8C596" w:rsidR="00467C2A" w:rsidRDefault="00467C2A" w:rsidP="00060AD6">
      <w:r>
        <w:t>This concept refer</w:t>
      </w:r>
      <w:r w:rsidR="00990633">
        <w:t>s to ensuring state-owned and private b</w:t>
      </w:r>
      <w:r>
        <w:t>u</w:t>
      </w:r>
      <w:r w:rsidR="00990633">
        <w:t>s</w:t>
      </w:r>
      <w:r>
        <w:t>inesses compete on a level pl</w:t>
      </w:r>
      <w:r w:rsidR="00990633">
        <w:t>a</w:t>
      </w:r>
      <w:r>
        <w:t xml:space="preserve">ying field. </w:t>
      </w:r>
      <w:r w:rsidR="005A2EB8">
        <w:t xml:space="preserve">There are no state-owned insurers currently operating in the PHI industry. </w:t>
      </w:r>
      <w:r>
        <w:t>APRA</w:t>
      </w:r>
      <w:r w:rsidR="005A2EB8">
        <w:t>’s</w:t>
      </w:r>
      <w:r>
        <w:t xml:space="preserve"> proposed capital framework w</w:t>
      </w:r>
      <w:r w:rsidR="003562AF">
        <w:t xml:space="preserve">ill </w:t>
      </w:r>
      <w:r w:rsidR="005A2EB8">
        <w:t xml:space="preserve">not </w:t>
      </w:r>
      <w:r w:rsidR="003562AF">
        <w:t>impact competitive ne</w:t>
      </w:r>
      <w:r>
        <w:t xml:space="preserve">utrality </w:t>
      </w:r>
      <w:r w:rsidR="005A2EB8">
        <w:t>in</w:t>
      </w:r>
      <w:r>
        <w:t xml:space="preserve"> the </w:t>
      </w:r>
      <w:r w:rsidR="00BE2C09">
        <w:t xml:space="preserve">PHI </w:t>
      </w:r>
      <w:r w:rsidR="005A2EB8">
        <w:t>industry</w:t>
      </w:r>
      <w:r w:rsidR="003562AF">
        <w:t>.</w:t>
      </w:r>
    </w:p>
    <w:p w14:paraId="26FB3C60" w14:textId="6FA0ABBD" w:rsidR="00060AD6" w:rsidRDefault="00060AD6">
      <w:pPr>
        <w:numPr>
          <w:ilvl w:val="0"/>
          <w:numId w:val="0"/>
        </w:numPr>
      </w:pPr>
      <w:r>
        <w:br w:type="page"/>
      </w:r>
    </w:p>
    <w:p w14:paraId="6F254B42" w14:textId="08626354" w:rsidR="00DB5711" w:rsidRPr="00226974" w:rsidRDefault="00DB5711" w:rsidP="00DB5711">
      <w:pPr>
        <w:pStyle w:val="Tablenumbered"/>
        <w:rPr>
          <w:rFonts w:ascii="DIN OT Light" w:hAnsi="DIN OT Light"/>
          <w:color w:val="000000"/>
        </w:rPr>
      </w:pPr>
      <w:r>
        <w:t>Primary objectives and other considerations</w:t>
      </w:r>
    </w:p>
    <w:tbl>
      <w:tblPr>
        <w:tblStyle w:val="TableGrid"/>
        <w:tblW w:w="8931" w:type="dxa"/>
        <w:tblLook w:val="0620" w:firstRow="1" w:lastRow="0" w:firstColumn="0" w:lastColumn="0" w:noHBand="1" w:noVBand="1"/>
      </w:tblPr>
      <w:tblGrid>
        <w:gridCol w:w="2977"/>
        <w:gridCol w:w="1559"/>
        <w:gridCol w:w="4395"/>
      </w:tblGrid>
      <w:tr w:rsidR="00DB5711" w:rsidRPr="008B39AF" w14:paraId="1AAF9B48" w14:textId="77777777" w:rsidTr="000B0E15">
        <w:trPr>
          <w:cnfStyle w:val="100000000000" w:firstRow="1" w:lastRow="0" w:firstColumn="0" w:lastColumn="0" w:oddVBand="0" w:evenVBand="0" w:oddHBand="0" w:evenHBand="0" w:firstRowFirstColumn="0" w:firstRowLastColumn="0" w:lastRowFirstColumn="0" w:lastRowLastColumn="0"/>
        </w:trPr>
        <w:tc>
          <w:tcPr>
            <w:tcW w:w="8931" w:type="dxa"/>
            <w:gridSpan w:val="3"/>
          </w:tcPr>
          <w:p w14:paraId="04C52881" w14:textId="77777777" w:rsidR="00DB5711" w:rsidRPr="008B39AF" w:rsidRDefault="00DB5711" w:rsidP="000B0E15">
            <w:pPr>
              <w:pStyle w:val="TableHeading"/>
              <w:jc w:val="center"/>
            </w:pPr>
            <w:r>
              <w:t>PR</w:t>
            </w:r>
            <w:r w:rsidRPr="008B39AF">
              <w:t>IMARY OBJECTIVES</w:t>
            </w:r>
          </w:p>
        </w:tc>
      </w:tr>
      <w:tr w:rsidR="00DB5711" w:rsidRPr="008B39AF" w14:paraId="7C58A1F6" w14:textId="77777777" w:rsidTr="000B0E15">
        <w:tc>
          <w:tcPr>
            <w:tcW w:w="4536" w:type="dxa"/>
            <w:gridSpan w:val="2"/>
            <w:shd w:val="clear" w:color="auto" w:fill="00B0F0"/>
          </w:tcPr>
          <w:p w14:paraId="5DE4D865" w14:textId="77777777" w:rsidR="00DB5711" w:rsidRPr="008B39AF" w:rsidRDefault="00DB5711" w:rsidP="000B0E15">
            <w:pPr>
              <w:pStyle w:val="Heading5"/>
              <w:spacing w:before="120"/>
              <w:jc w:val="center"/>
              <w:outlineLvl w:val="4"/>
              <w:rPr>
                <w:color w:val="FFFFFF" w:themeColor="background1"/>
              </w:rPr>
            </w:pPr>
            <w:r w:rsidRPr="008B39AF">
              <w:rPr>
                <w:color w:val="FFFFFF" w:themeColor="background1"/>
              </w:rPr>
              <w:t>Financial safety</w:t>
            </w:r>
          </w:p>
          <w:p w14:paraId="2F4E8038" w14:textId="77777777" w:rsidR="00DB5711" w:rsidRPr="008B39AF" w:rsidRDefault="00DB5711" w:rsidP="000B0E15">
            <w:pPr>
              <w:pStyle w:val="Heading5"/>
              <w:spacing w:after="240"/>
              <w:jc w:val="center"/>
              <w:outlineLvl w:val="4"/>
              <w:rPr>
                <w:color w:val="FFFFFF" w:themeColor="background1"/>
              </w:rPr>
            </w:pPr>
            <w:r w:rsidRPr="008B39AF">
              <w:rPr>
                <w:noProof/>
                <w:color w:val="FFFFFF" w:themeColor="background1"/>
                <w:lang w:eastAsia="en-AU"/>
              </w:rPr>
              <w:drawing>
                <wp:anchor distT="0" distB="0" distL="114300" distR="114300" simplePos="0" relativeHeight="251658245" behindDoc="0" locked="0" layoutInCell="1" allowOverlap="1" wp14:anchorId="1726E457" wp14:editId="4A129D5F">
                  <wp:simplePos x="0" y="0"/>
                  <wp:positionH relativeFrom="column">
                    <wp:posOffset>1353820</wp:posOffset>
                  </wp:positionH>
                  <wp:positionV relativeFrom="paragraph">
                    <wp:posOffset>53340</wp:posOffset>
                  </wp:positionV>
                  <wp:extent cx="243840" cy="243840"/>
                  <wp:effectExtent l="0" t="0"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14:sizeRelH relativeFrom="page">
                    <wp14:pctWidth>0</wp14:pctWidth>
                  </wp14:sizeRelH>
                  <wp14:sizeRelV relativeFrom="page">
                    <wp14:pctHeight>0</wp14:pctHeight>
                  </wp14:sizeRelV>
                </wp:anchor>
              </w:drawing>
            </w:r>
          </w:p>
        </w:tc>
        <w:tc>
          <w:tcPr>
            <w:tcW w:w="4395" w:type="dxa"/>
            <w:shd w:val="clear" w:color="auto" w:fill="00B0F0"/>
          </w:tcPr>
          <w:p w14:paraId="7199C2E7" w14:textId="77777777" w:rsidR="00DB5711" w:rsidRPr="008B39AF" w:rsidRDefault="00DB5711" w:rsidP="000B0E15">
            <w:pPr>
              <w:pStyle w:val="Heading5"/>
              <w:spacing w:before="120"/>
              <w:jc w:val="center"/>
              <w:outlineLvl w:val="4"/>
              <w:rPr>
                <w:color w:val="FFFFFF" w:themeColor="background1"/>
              </w:rPr>
            </w:pPr>
            <w:r w:rsidRPr="008B39AF">
              <w:rPr>
                <w:color w:val="FFFFFF" w:themeColor="background1"/>
              </w:rPr>
              <w:t>Financial system stability</w:t>
            </w:r>
          </w:p>
          <w:p w14:paraId="32D6FA9A" w14:textId="77777777" w:rsidR="00DB5711" w:rsidRPr="008B39AF" w:rsidRDefault="00DB5711" w:rsidP="000B0E15">
            <w:pPr>
              <w:pStyle w:val="Heading5"/>
              <w:jc w:val="center"/>
              <w:outlineLvl w:val="4"/>
              <w:rPr>
                <w:color w:val="FFFFFF" w:themeColor="background1"/>
              </w:rPr>
            </w:pPr>
            <w:r w:rsidRPr="008B39AF">
              <w:rPr>
                <w:noProof/>
                <w:color w:val="FFFFFF" w:themeColor="background1"/>
                <w:lang w:eastAsia="en-AU"/>
              </w:rPr>
              <w:drawing>
                <wp:anchor distT="0" distB="0" distL="114300" distR="114300" simplePos="0" relativeHeight="251658246" behindDoc="0" locked="0" layoutInCell="1" allowOverlap="1" wp14:anchorId="472C0F17" wp14:editId="004BCD6F">
                  <wp:simplePos x="0" y="0"/>
                  <wp:positionH relativeFrom="column">
                    <wp:posOffset>1288415</wp:posOffset>
                  </wp:positionH>
                  <wp:positionV relativeFrom="paragraph">
                    <wp:posOffset>68580</wp:posOffset>
                  </wp:positionV>
                  <wp:extent cx="243840" cy="243840"/>
                  <wp:effectExtent l="0" t="0" r="381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14:sizeRelH relativeFrom="page">
                    <wp14:pctWidth>0</wp14:pctWidth>
                  </wp14:sizeRelH>
                  <wp14:sizeRelV relativeFrom="page">
                    <wp14:pctHeight>0</wp14:pctHeight>
                  </wp14:sizeRelV>
                </wp:anchor>
              </w:drawing>
            </w:r>
          </w:p>
        </w:tc>
      </w:tr>
      <w:tr w:rsidR="00DB5711" w:rsidRPr="008B39AF" w14:paraId="77C451E6" w14:textId="77777777" w:rsidTr="000B0E15">
        <w:trPr>
          <w:trHeight w:val="1639"/>
        </w:trPr>
        <w:tc>
          <w:tcPr>
            <w:tcW w:w="4536" w:type="dxa"/>
            <w:gridSpan w:val="2"/>
          </w:tcPr>
          <w:p w14:paraId="6F4A4729" w14:textId="38279362" w:rsidR="00DB5711" w:rsidRPr="008B39AF" w:rsidRDefault="00DB5711" w:rsidP="000B0E15">
            <w:r w:rsidRPr="00226974">
              <w:rPr>
                <w:b/>
              </w:rPr>
              <w:t>Improved</w:t>
            </w:r>
            <w:r w:rsidR="004A334D">
              <w:t>.</w:t>
            </w:r>
            <w:r w:rsidRPr="008B39AF">
              <w:t xml:space="preserve"> </w:t>
            </w:r>
            <w:r w:rsidRPr="009E3317">
              <w:rPr>
                <w:color w:val="auto"/>
              </w:rPr>
              <w:t xml:space="preserve">The proposals strengthen the prudential requirements for capital. This is expected to </w:t>
            </w:r>
            <w:r>
              <w:rPr>
                <w:color w:val="auto"/>
              </w:rPr>
              <w:t xml:space="preserve">improve the quality and minimum </w:t>
            </w:r>
            <w:r w:rsidRPr="009E3317">
              <w:rPr>
                <w:color w:val="auto"/>
              </w:rPr>
              <w:t xml:space="preserve">capital requirements and </w:t>
            </w:r>
            <w:r>
              <w:rPr>
                <w:color w:val="auto"/>
              </w:rPr>
              <w:t xml:space="preserve">strengthen </w:t>
            </w:r>
            <w:r w:rsidRPr="009E3317">
              <w:rPr>
                <w:color w:val="auto"/>
              </w:rPr>
              <w:t xml:space="preserve">capital management practices </w:t>
            </w:r>
            <w:r>
              <w:rPr>
                <w:color w:val="auto"/>
              </w:rPr>
              <w:t xml:space="preserve">to </w:t>
            </w:r>
            <w:r w:rsidRPr="009E3317">
              <w:rPr>
                <w:color w:val="auto"/>
              </w:rPr>
              <w:t>support the long</w:t>
            </w:r>
            <w:r>
              <w:rPr>
                <w:color w:val="auto"/>
              </w:rPr>
              <w:noBreakHyphen/>
            </w:r>
            <w:r w:rsidRPr="009E3317">
              <w:rPr>
                <w:color w:val="auto"/>
              </w:rPr>
              <w:t>term financial soundness of regulated entities.</w:t>
            </w:r>
          </w:p>
        </w:tc>
        <w:tc>
          <w:tcPr>
            <w:tcW w:w="4395" w:type="dxa"/>
          </w:tcPr>
          <w:p w14:paraId="0F98E636" w14:textId="614DE2E0" w:rsidR="00DB5711" w:rsidRPr="008B39AF" w:rsidRDefault="00DB5711" w:rsidP="000B0E15">
            <w:r w:rsidRPr="00226974">
              <w:rPr>
                <w:b/>
              </w:rPr>
              <w:t>Improved</w:t>
            </w:r>
            <w:r w:rsidR="004A334D">
              <w:t>.</w:t>
            </w:r>
            <w:r w:rsidRPr="00447DFA">
              <w:t xml:space="preserve"> </w:t>
            </w:r>
            <w:r>
              <w:t>Proposals to ensure the capital standards provide an appropriate level of protection for policy holders will build the financial resilience of insurers.</w:t>
            </w:r>
          </w:p>
        </w:tc>
      </w:tr>
      <w:tr w:rsidR="00DB5711" w:rsidRPr="008B39AF" w14:paraId="6B45835D" w14:textId="77777777" w:rsidTr="000B0E15">
        <w:tc>
          <w:tcPr>
            <w:tcW w:w="8931" w:type="dxa"/>
            <w:gridSpan w:val="3"/>
            <w:shd w:val="clear" w:color="auto" w:fill="012169"/>
          </w:tcPr>
          <w:p w14:paraId="4186CBCE" w14:textId="77777777" w:rsidR="00DB5711" w:rsidRPr="008B39AF" w:rsidRDefault="00DB5711" w:rsidP="000B0E15">
            <w:pPr>
              <w:pStyle w:val="TableHeading"/>
              <w:jc w:val="center"/>
            </w:pPr>
            <w:r w:rsidRPr="008B39AF">
              <w:rPr>
                <w:color w:val="FFFFFF" w:themeColor="background1"/>
              </w:rPr>
              <w:t>OTHER CONSIDERATIONS</w:t>
            </w:r>
          </w:p>
        </w:tc>
      </w:tr>
      <w:tr w:rsidR="00DB5711" w:rsidRPr="008B39AF" w14:paraId="11E1AF49" w14:textId="77777777" w:rsidTr="000B0E15">
        <w:trPr>
          <w:trHeight w:val="671"/>
        </w:trPr>
        <w:tc>
          <w:tcPr>
            <w:tcW w:w="2977" w:type="dxa"/>
            <w:shd w:val="clear" w:color="auto" w:fill="00A9E0"/>
          </w:tcPr>
          <w:p w14:paraId="64CD6558" w14:textId="77777777" w:rsidR="00DB5711" w:rsidRPr="008B39AF" w:rsidRDefault="00DB5711" w:rsidP="000B0E15">
            <w:pPr>
              <w:pStyle w:val="Heading5"/>
              <w:jc w:val="center"/>
              <w:outlineLvl w:val="4"/>
              <w:rPr>
                <w:color w:val="FFFFFF" w:themeColor="background1"/>
              </w:rPr>
            </w:pPr>
            <w:r w:rsidRPr="008B39AF">
              <w:rPr>
                <w:color w:val="FFFFFF" w:themeColor="background1"/>
              </w:rPr>
              <w:t>Efficiency</w:t>
            </w:r>
          </w:p>
          <w:p w14:paraId="36B5C3CD" w14:textId="77777777" w:rsidR="00DB5711" w:rsidRPr="008B39AF" w:rsidRDefault="00DB5711" w:rsidP="000B0E15">
            <w:pPr>
              <w:pStyle w:val="Heading5"/>
              <w:jc w:val="center"/>
              <w:outlineLvl w:val="4"/>
              <w:rPr>
                <w:color w:val="FFFFFF" w:themeColor="background1"/>
              </w:rPr>
            </w:pPr>
            <w:r w:rsidRPr="008B39AF">
              <w:rPr>
                <w:noProof/>
                <w:color w:val="FFFFFF" w:themeColor="background1"/>
                <w:lang w:eastAsia="en-AU"/>
              </w:rPr>
              <w:drawing>
                <wp:anchor distT="0" distB="0" distL="114300" distR="114300" simplePos="0" relativeHeight="251658247" behindDoc="0" locked="0" layoutInCell="1" allowOverlap="1" wp14:anchorId="7714DA43" wp14:editId="76062C5B">
                  <wp:simplePos x="0" y="0"/>
                  <wp:positionH relativeFrom="column">
                    <wp:posOffset>752475</wp:posOffset>
                  </wp:positionH>
                  <wp:positionV relativeFrom="paragraph">
                    <wp:posOffset>46355</wp:posOffset>
                  </wp:positionV>
                  <wp:extent cx="244800" cy="244800"/>
                  <wp:effectExtent l="0" t="0" r="317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800" cy="244800"/>
                          </a:xfrm>
                          <a:prstGeom prst="rect">
                            <a:avLst/>
                          </a:prstGeom>
                          <a:noFill/>
                        </pic:spPr>
                      </pic:pic>
                    </a:graphicData>
                  </a:graphic>
                  <wp14:sizeRelH relativeFrom="page">
                    <wp14:pctWidth>0</wp14:pctWidth>
                  </wp14:sizeRelH>
                  <wp14:sizeRelV relativeFrom="page">
                    <wp14:pctHeight>0</wp14:pctHeight>
                  </wp14:sizeRelV>
                </wp:anchor>
              </w:drawing>
            </w:r>
          </w:p>
        </w:tc>
        <w:tc>
          <w:tcPr>
            <w:tcW w:w="5954" w:type="dxa"/>
            <w:gridSpan w:val="2"/>
          </w:tcPr>
          <w:p w14:paraId="76255959" w14:textId="77777777" w:rsidR="00DB5711" w:rsidRPr="00226974" w:rsidRDefault="00DB5711" w:rsidP="000B0E15">
            <w:r>
              <w:rPr>
                <w:b/>
              </w:rPr>
              <w:t>Increased</w:t>
            </w:r>
            <w:r w:rsidRPr="009E3317">
              <w:t xml:space="preserve">. </w:t>
            </w:r>
            <w:r w:rsidRPr="00226974">
              <w:t xml:space="preserve">The proposals </w:t>
            </w:r>
            <w:r>
              <w:t>will</w:t>
            </w:r>
            <w:r w:rsidRPr="00226974">
              <w:t xml:space="preserve"> ensure that the capital </w:t>
            </w:r>
            <w:r>
              <w:t xml:space="preserve">requirements for insurers better reflect </w:t>
            </w:r>
            <w:r w:rsidRPr="00226974">
              <w:t xml:space="preserve">the risks </w:t>
            </w:r>
            <w:r>
              <w:t xml:space="preserve">of their business to enable </w:t>
            </w:r>
            <w:r w:rsidRPr="00226974">
              <w:t xml:space="preserve">more efficient allocation of capital </w:t>
            </w:r>
            <w:r>
              <w:t>within the financial sector</w:t>
            </w:r>
            <w:r w:rsidRPr="00226974">
              <w:t>.</w:t>
            </w:r>
          </w:p>
        </w:tc>
      </w:tr>
      <w:tr w:rsidR="00DB5711" w:rsidRPr="008B39AF" w14:paraId="61EBD932" w14:textId="77777777" w:rsidTr="000B0E15">
        <w:trPr>
          <w:trHeight w:val="1257"/>
        </w:trPr>
        <w:tc>
          <w:tcPr>
            <w:tcW w:w="2977" w:type="dxa"/>
            <w:shd w:val="clear" w:color="auto" w:fill="00A9E0"/>
          </w:tcPr>
          <w:p w14:paraId="1A0E320D" w14:textId="77777777" w:rsidR="00DB5711" w:rsidRPr="008B39AF" w:rsidRDefault="00DB5711" w:rsidP="000B0E15">
            <w:pPr>
              <w:pStyle w:val="Heading5"/>
              <w:jc w:val="center"/>
              <w:outlineLvl w:val="4"/>
              <w:rPr>
                <w:color w:val="FFFFFF" w:themeColor="background1"/>
              </w:rPr>
            </w:pPr>
            <w:r w:rsidRPr="008B39AF">
              <w:rPr>
                <w:color w:val="FFFFFF" w:themeColor="background1"/>
              </w:rPr>
              <w:t>Competition</w:t>
            </w:r>
          </w:p>
          <w:p w14:paraId="2DA2EED8" w14:textId="77777777" w:rsidR="00DB5711" w:rsidRPr="008B39AF" w:rsidRDefault="00DB5711" w:rsidP="000B0E15">
            <w:pPr>
              <w:pStyle w:val="Heading5"/>
              <w:jc w:val="center"/>
              <w:outlineLvl w:val="4"/>
              <w:rPr>
                <w:color w:val="FFFFFF" w:themeColor="background1"/>
              </w:rPr>
            </w:pPr>
            <w:r>
              <w:rPr>
                <w:noProof/>
                <w:color w:val="FFFFFF" w:themeColor="background1"/>
                <w:lang w:eastAsia="en-AU"/>
              </w:rPr>
              <w:drawing>
                <wp:inline distT="0" distB="0" distL="0" distR="0" wp14:anchorId="65E09C90" wp14:editId="74E323BD">
                  <wp:extent cx="421200" cy="21960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200" cy="219600"/>
                          </a:xfrm>
                          <a:prstGeom prst="rect">
                            <a:avLst/>
                          </a:prstGeom>
                          <a:noFill/>
                        </pic:spPr>
                      </pic:pic>
                    </a:graphicData>
                  </a:graphic>
                </wp:inline>
              </w:drawing>
            </w:r>
          </w:p>
        </w:tc>
        <w:tc>
          <w:tcPr>
            <w:tcW w:w="5954" w:type="dxa"/>
            <w:gridSpan w:val="2"/>
          </w:tcPr>
          <w:p w14:paraId="5EB1B14E" w14:textId="3AE6F395" w:rsidR="00DB5711" w:rsidRPr="00A9109B" w:rsidRDefault="00DB5711" w:rsidP="000B0E15">
            <w:r w:rsidRPr="005C1BDC">
              <w:rPr>
                <w:b/>
              </w:rPr>
              <w:t>No chang</w:t>
            </w:r>
            <w:r>
              <w:rPr>
                <w:b/>
              </w:rPr>
              <w:t>e</w:t>
            </w:r>
            <w:r>
              <w:t xml:space="preserve">. </w:t>
            </w:r>
            <w:r w:rsidRPr="0034323F">
              <w:t>APRA’s capital proposals are not expected to materially alter competition</w:t>
            </w:r>
            <w:r w:rsidR="00E51991">
              <w:t>,</w:t>
            </w:r>
            <w:r>
              <w:t xml:space="preserve"> but may create a higher hurdle for new entrants in the market.</w:t>
            </w:r>
            <w:r w:rsidRPr="0034323F">
              <w:t xml:space="preserve"> </w:t>
            </w:r>
            <w:r>
              <w:t>The proposals are expected to increase minimum capital requirements for insurers and although it is not yet possible to determine the quantum of impact, it is expected to differ between individual insurers. Higher minimum capital requirements are not expected to impact premiums for policy holders, given insurers manage capital levels to exceed their prudential minimum.</w:t>
            </w:r>
          </w:p>
        </w:tc>
      </w:tr>
      <w:tr w:rsidR="00DB5711" w:rsidRPr="008B39AF" w14:paraId="5C88CC66" w14:textId="77777777" w:rsidTr="000B0E15">
        <w:trPr>
          <w:trHeight w:val="669"/>
        </w:trPr>
        <w:tc>
          <w:tcPr>
            <w:tcW w:w="2977" w:type="dxa"/>
            <w:shd w:val="clear" w:color="auto" w:fill="00A9E0"/>
          </w:tcPr>
          <w:p w14:paraId="2FF84787" w14:textId="77777777" w:rsidR="00DB5711" w:rsidRPr="008B39AF" w:rsidRDefault="00DB5711" w:rsidP="000B0E15">
            <w:pPr>
              <w:pStyle w:val="Heading5"/>
              <w:jc w:val="center"/>
              <w:outlineLvl w:val="4"/>
              <w:rPr>
                <w:color w:val="FFFFFF" w:themeColor="background1"/>
              </w:rPr>
            </w:pPr>
            <w:r w:rsidRPr="008B39AF">
              <w:rPr>
                <w:noProof/>
                <w:color w:val="FFFFFF" w:themeColor="background1"/>
                <w:lang w:eastAsia="en-AU"/>
              </w:rPr>
              <w:drawing>
                <wp:anchor distT="0" distB="0" distL="114300" distR="114300" simplePos="0" relativeHeight="251658248" behindDoc="0" locked="0" layoutInCell="1" allowOverlap="1" wp14:anchorId="48DF0B49" wp14:editId="2FC0D2A7">
                  <wp:simplePos x="0" y="0"/>
                  <wp:positionH relativeFrom="column">
                    <wp:posOffset>723900</wp:posOffset>
                  </wp:positionH>
                  <wp:positionV relativeFrom="paragraph">
                    <wp:posOffset>349885</wp:posOffset>
                  </wp:positionV>
                  <wp:extent cx="243840" cy="243840"/>
                  <wp:effectExtent l="0" t="0" r="381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243840" cy="243840"/>
                          </a:xfrm>
                          <a:prstGeom prst="rect">
                            <a:avLst/>
                          </a:prstGeom>
                          <a:noFill/>
                        </pic:spPr>
                      </pic:pic>
                    </a:graphicData>
                  </a:graphic>
                  <wp14:sizeRelH relativeFrom="page">
                    <wp14:pctWidth>0</wp14:pctWidth>
                  </wp14:sizeRelH>
                  <wp14:sizeRelV relativeFrom="page">
                    <wp14:pctHeight>0</wp14:pctHeight>
                  </wp14:sizeRelV>
                </wp:anchor>
              </w:drawing>
            </w:r>
            <w:r w:rsidRPr="008B39AF">
              <w:rPr>
                <w:color w:val="FFFFFF" w:themeColor="background1"/>
              </w:rPr>
              <w:t>Contestability</w:t>
            </w:r>
          </w:p>
          <w:p w14:paraId="62DCE341" w14:textId="77777777" w:rsidR="00DB5711" w:rsidRPr="008B39AF" w:rsidRDefault="00DB5711" w:rsidP="000B0E15">
            <w:pPr>
              <w:pStyle w:val="Heading5"/>
              <w:jc w:val="center"/>
              <w:outlineLvl w:val="4"/>
              <w:rPr>
                <w:color w:val="FFFFFF" w:themeColor="background1"/>
              </w:rPr>
            </w:pPr>
          </w:p>
        </w:tc>
        <w:tc>
          <w:tcPr>
            <w:tcW w:w="5954" w:type="dxa"/>
            <w:gridSpan w:val="2"/>
          </w:tcPr>
          <w:p w14:paraId="4F070CF4" w14:textId="77777777" w:rsidR="00DB5711" w:rsidRPr="008B39AF" w:rsidRDefault="00DB5711" w:rsidP="000B0E15">
            <w:r w:rsidRPr="00882330">
              <w:rPr>
                <w:b/>
              </w:rPr>
              <w:t>Reduced</w:t>
            </w:r>
            <w:r>
              <w:t>. T</w:t>
            </w:r>
            <w:r w:rsidRPr="00B47C6A">
              <w:t xml:space="preserve">he </w:t>
            </w:r>
            <w:r>
              <w:t xml:space="preserve">proposal for a new minimum capital requirement may restrict the entry of small insurers into the market and may require a number of existing insurers to raise additional capital. </w:t>
            </w:r>
          </w:p>
        </w:tc>
      </w:tr>
      <w:tr w:rsidR="00DB5711" w:rsidRPr="008B39AF" w14:paraId="545C4C57" w14:textId="77777777" w:rsidTr="000B0E15">
        <w:trPr>
          <w:trHeight w:val="669"/>
        </w:trPr>
        <w:tc>
          <w:tcPr>
            <w:tcW w:w="2977" w:type="dxa"/>
            <w:shd w:val="clear" w:color="auto" w:fill="00A9E0"/>
          </w:tcPr>
          <w:p w14:paraId="07164424" w14:textId="77777777" w:rsidR="00DB5711" w:rsidRPr="008B39AF" w:rsidRDefault="00DB5711" w:rsidP="000B0E15">
            <w:pPr>
              <w:pStyle w:val="Heading5"/>
              <w:jc w:val="center"/>
              <w:outlineLvl w:val="4"/>
              <w:rPr>
                <w:color w:val="FFFFFF" w:themeColor="background1"/>
              </w:rPr>
            </w:pPr>
            <w:r w:rsidRPr="008B39AF">
              <w:rPr>
                <w:color w:val="FFFFFF" w:themeColor="background1"/>
              </w:rPr>
              <w:t>Competitive Neutrality</w:t>
            </w:r>
          </w:p>
          <w:p w14:paraId="7C40DFCF" w14:textId="77777777" w:rsidR="00DB5711" w:rsidRPr="008B39AF" w:rsidRDefault="00DB5711" w:rsidP="000B0E15">
            <w:pPr>
              <w:pStyle w:val="Heading5"/>
              <w:jc w:val="center"/>
              <w:outlineLvl w:val="4"/>
              <w:rPr>
                <w:color w:val="FFFFFF" w:themeColor="background1"/>
              </w:rPr>
            </w:pPr>
            <w:r>
              <w:rPr>
                <w:noProof/>
                <w:color w:val="FFFFFF" w:themeColor="background1"/>
                <w:lang w:eastAsia="en-AU"/>
              </w:rPr>
              <w:drawing>
                <wp:inline distT="0" distB="0" distL="0" distR="0" wp14:anchorId="135E100F" wp14:editId="1A9ADC8E">
                  <wp:extent cx="421200" cy="21960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200" cy="219600"/>
                          </a:xfrm>
                          <a:prstGeom prst="rect">
                            <a:avLst/>
                          </a:prstGeom>
                          <a:noFill/>
                        </pic:spPr>
                      </pic:pic>
                    </a:graphicData>
                  </a:graphic>
                </wp:inline>
              </w:drawing>
            </w:r>
          </w:p>
        </w:tc>
        <w:tc>
          <w:tcPr>
            <w:tcW w:w="5954" w:type="dxa"/>
            <w:gridSpan w:val="2"/>
          </w:tcPr>
          <w:p w14:paraId="5FD6F405" w14:textId="10AF27D6" w:rsidR="00DB5711" w:rsidRPr="00C26002" w:rsidRDefault="00DB5711" w:rsidP="000B0E15">
            <w:r w:rsidRPr="00882330">
              <w:rPr>
                <w:b/>
              </w:rPr>
              <w:t>No change</w:t>
            </w:r>
            <w:r w:rsidR="00111489">
              <w:t>.</w:t>
            </w:r>
            <w:r w:rsidRPr="00C26002">
              <w:t xml:space="preserve"> The proposed framework d</w:t>
            </w:r>
            <w:r>
              <w:t>oes</w:t>
            </w:r>
            <w:r w:rsidRPr="00C26002">
              <w:t xml:space="preserve"> not create </w:t>
            </w:r>
            <w:r>
              <w:t xml:space="preserve">an </w:t>
            </w:r>
            <w:r w:rsidRPr="00C26002">
              <w:t>advantage for public sector entities relative to other market participants</w:t>
            </w:r>
            <w:r w:rsidRPr="00C26002">
              <w:rPr>
                <w:rStyle w:val="FootnoteReference"/>
              </w:rPr>
              <w:footnoteReference w:id="10"/>
            </w:r>
            <w:r>
              <w:t>.</w:t>
            </w:r>
          </w:p>
        </w:tc>
      </w:tr>
    </w:tbl>
    <w:p w14:paraId="73E98E5A" w14:textId="77777777" w:rsidR="00DB5711" w:rsidRPr="005C1BDC" w:rsidRDefault="00DB5711" w:rsidP="00DB5711">
      <w:pPr>
        <w:numPr>
          <w:ilvl w:val="0"/>
          <w:numId w:val="0"/>
        </w:numPr>
        <w:rPr>
          <w:i/>
        </w:rPr>
      </w:pPr>
      <w:r w:rsidRPr="005C1BDC">
        <w:br w:type="page"/>
      </w:r>
      <w:r w:rsidRPr="005C1BDC">
        <w:rPr>
          <w:noProof/>
          <w:lang w:eastAsia="en-AU"/>
        </w:rPr>
        <w:drawing>
          <wp:anchor distT="0" distB="0" distL="114300" distR="114300" simplePos="0" relativeHeight="251658250" behindDoc="0" locked="0" layoutInCell="1" allowOverlap="1" wp14:anchorId="420BE38A" wp14:editId="5D250890">
            <wp:simplePos x="0" y="0"/>
            <wp:positionH relativeFrom="column">
              <wp:posOffset>531495</wp:posOffset>
            </wp:positionH>
            <wp:positionV relativeFrom="paragraph">
              <wp:posOffset>5643245</wp:posOffset>
            </wp:positionV>
            <wp:extent cx="243840" cy="243840"/>
            <wp:effectExtent l="0" t="0" r="381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243840" cy="243840"/>
                    </a:xfrm>
                    <a:prstGeom prst="rect">
                      <a:avLst/>
                    </a:prstGeom>
                    <a:noFill/>
                  </pic:spPr>
                </pic:pic>
              </a:graphicData>
            </a:graphic>
            <wp14:sizeRelH relativeFrom="page">
              <wp14:pctWidth>0</wp14:pctWidth>
            </wp14:sizeRelH>
            <wp14:sizeRelV relativeFrom="page">
              <wp14:pctHeight>0</wp14:pctHeight>
            </wp14:sizeRelV>
          </wp:anchor>
        </w:drawing>
      </w:r>
    </w:p>
    <w:p w14:paraId="62071059" w14:textId="77777777" w:rsidR="00DB5711" w:rsidRPr="00565E9A" w:rsidRDefault="00DB5711" w:rsidP="00DB5711">
      <w:pPr>
        <w:pStyle w:val="Heading2Numbers"/>
      </w:pPr>
      <w:bookmarkStart w:id="141" w:name="_Toc22821255"/>
      <w:bookmarkStart w:id="142" w:name="_Toc23148539"/>
      <w:bookmarkStart w:id="143" w:name="_Toc23252657"/>
      <w:bookmarkStart w:id="144" w:name="_Toc23252944"/>
      <w:bookmarkStart w:id="145" w:name="_Toc23264925"/>
      <w:bookmarkStart w:id="146" w:name="_Toc23269039"/>
      <w:bookmarkStart w:id="147" w:name="_Toc23416007"/>
      <w:bookmarkStart w:id="148" w:name="_Toc23416480"/>
      <w:bookmarkStart w:id="149" w:name="_Toc24464034"/>
      <w:bookmarkStart w:id="150" w:name="_Toc24473713"/>
      <w:bookmarkStart w:id="151" w:name="_Toc24473922"/>
      <w:bookmarkStart w:id="152" w:name="_Toc24622409"/>
      <w:bookmarkStart w:id="153" w:name="_Toc25334543"/>
      <w:bookmarkStart w:id="154" w:name="_Toc25941637"/>
      <w:r w:rsidRPr="00DB5711">
        <w:t>Timetable</w:t>
      </w:r>
      <w:r w:rsidRPr="00565E9A">
        <w:t xml:space="preserve"> and next steps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565E9A">
        <w:t xml:space="preserve"> </w:t>
      </w:r>
    </w:p>
    <w:p w14:paraId="440B17B3" w14:textId="77777777" w:rsidR="00DB5711" w:rsidRPr="00D97A7D" w:rsidRDefault="00DB5711" w:rsidP="00DB5711">
      <w:pPr>
        <w:rPr>
          <w:highlight w:val="yellow"/>
        </w:rPr>
      </w:pPr>
      <w:r w:rsidRPr="00B739F1">
        <w:t>In November 2018</w:t>
      </w:r>
      <w:r>
        <w:t>, APRA provided a</w:t>
      </w:r>
      <w:r w:rsidRPr="00B739F1">
        <w:t xml:space="preserve"> timetable for the capital review</w:t>
      </w:r>
      <w:r w:rsidRPr="00B739F1">
        <w:rPr>
          <w:rStyle w:val="FootnoteReference"/>
        </w:rPr>
        <w:footnoteReference w:id="11"/>
      </w:r>
      <w:r w:rsidRPr="00B739F1">
        <w:t xml:space="preserve">, but noted </w:t>
      </w:r>
      <w:r>
        <w:t>it had</w:t>
      </w:r>
      <w:r w:rsidRPr="00B739F1">
        <w:t xml:space="preserve"> some dependency on the </w:t>
      </w:r>
      <w:r w:rsidRPr="0067049F">
        <w:t>implementation of t</w:t>
      </w:r>
      <w:r>
        <w:t>he new accounting standard AASB </w:t>
      </w:r>
      <w:r w:rsidRPr="0067049F">
        <w:t xml:space="preserve">17. </w:t>
      </w:r>
      <w:r>
        <w:t xml:space="preserve">APRA’s intent is to continue to align the capital review with the timing of its approach to integrate AASB 17 into the capital framework for all insurers. </w:t>
      </w:r>
      <w:r w:rsidRPr="0067049F">
        <w:t xml:space="preserve">APRA has revised the </w:t>
      </w:r>
      <w:r>
        <w:t>indicative timetable accordingly, as set out below.</w:t>
      </w:r>
    </w:p>
    <w:p w14:paraId="7899010B" w14:textId="77777777" w:rsidR="00DB5711" w:rsidRDefault="00DB5711" w:rsidP="00DB5711">
      <w:pPr>
        <w:rPr>
          <w:highlight w:val="yellow"/>
        </w:rPr>
      </w:pPr>
      <w:r>
        <w:t>The timetable includes two rounds of consultation and one quantitative impact study. If significant issues arise during consultation that would benefit from further exploration, APRA will consider whether an additional round of consultation or a further quantitative impact study is appropriate.</w:t>
      </w:r>
    </w:p>
    <w:p w14:paraId="20CA0D17" w14:textId="77777777" w:rsidR="00DB5711" w:rsidRDefault="00DB5711" w:rsidP="00DB5711">
      <w:pPr>
        <w:numPr>
          <w:ilvl w:val="0"/>
          <w:numId w:val="0"/>
        </w:numPr>
      </w:pPr>
      <w:r>
        <w:t>The key milestones in the timetable for the review are:</w:t>
      </w:r>
    </w:p>
    <w:tbl>
      <w:tblPr>
        <w:tblStyle w:val="TableGrid"/>
        <w:tblW w:w="0" w:type="auto"/>
        <w:tblLook w:val="04A0" w:firstRow="1" w:lastRow="0" w:firstColumn="1" w:lastColumn="0" w:noHBand="0" w:noVBand="1"/>
      </w:tblPr>
      <w:tblGrid>
        <w:gridCol w:w="2268"/>
        <w:gridCol w:w="6758"/>
      </w:tblGrid>
      <w:tr w:rsidR="00DB5711" w14:paraId="7547E840" w14:textId="77777777" w:rsidTr="000B0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64FC35" w14:textId="77777777" w:rsidR="00DB5711" w:rsidRDefault="00DB5711" w:rsidP="000B0E15">
            <w:r>
              <w:t>Timing</w:t>
            </w:r>
          </w:p>
        </w:tc>
        <w:tc>
          <w:tcPr>
            <w:tcW w:w="6758" w:type="dxa"/>
          </w:tcPr>
          <w:p w14:paraId="772C305A" w14:textId="77777777" w:rsidR="00DB5711" w:rsidRDefault="00DB5711" w:rsidP="000B0E15">
            <w:pPr>
              <w:cnfStyle w:val="100000000000" w:firstRow="1" w:lastRow="0" w:firstColumn="0" w:lastColumn="0" w:oddVBand="0" w:evenVBand="0" w:oddHBand="0" w:evenHBand="0" w:firstRowFirstColumn="0" w:firstRowLastColumn="0" w:lastRowFirstColumn="0" w:lastRowLastColumn="0"/>
            </w:pPr>
            <w:r>
              <w:t>Action</w:t>
            </w:r>
          </w:p>
        </w:tc>
      </w:tr>
      <w:tr w:rsidR="00DB5711" w14:paraId="4D32FBD3"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A5E43F" w14:textId="1D97CA2C" w:rsidR="00DB5711" w:rsidRDefault="00552D1F" w:rsidP="000B0E15">
            <w:pPr>
              <w:numPr>
                <w:ilvl w:val="0"/>
                <w:numId w:val="0"/>
              </w:numPr>
            </w:pPr>
            <w:r>
              <w:t>27 March</w:t>
            </w:r>
            <w:r w:rsidR="00DB5711">
              <w:t xml:space="preserve"> 2020 </w:t>
            </w:r>
          </w:p>
        </w:tc>
        <w:tc>
          <w:tcPr>
            <w:tcW w:w="6758" w:type="dxa"/>
          </w:tcPr>
          <w:p w14:paraId="11322E9D" w14:textId="77777777" w:rsidR="00DB5711" w:rsidRDefault="00DB5711" w:rsidP="000B0E15">
            <w:pPr>
              <w:cnfStyle w:val="000000100000" w:firstRow="0" w:lastRow="0" w:firstColumn="0" w:lastColumn="0" w:oddVBand="0" w:evenVBand="0" w:oddHBand="1" w:evenHBand="0" w:firstRowFirstColumn="0" w:firstRowLastColumn="0" w:lastRowFirstColumn="0" w:lastRowLastColumn="0"/>
            </w:pPr>
            <w:r>
              <w:t>Submissions due on this paper</w:t>
            </w:r>
          </w:p>
        </w:tc>
      </w:tr>
      <w:tr w:rsidR="00DB5711" w14:paraId="760E94C6" w14:textId="77777777" w:rsidTr="000B0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F3AFBC" w14:textId="77777777" w:rsidR="00DB5711" w:rsidRDefault="00DB5711" w:rsidP="000B0E15">
            <w:r>
              <w:t xml:space="preserve">Q3 </w:t>
            </w:r>
            <w:r w:rsidRPr="00EF69A3">
              <w:t>2020</w:t>
            </w:r>
            <w:r>
              <w:t xml:space="preserve"> </w:t>
            </w:r>
          </w:p>
        </w:tc>
        <w:tc>
          <w:tcPr>
            <w:tcW w:w="6758" w:type="dxa"/>
          </w:tcPr>
          <w:p w14:paraId="1AA99039" w14:textId="77777777" w:rsidR="00DB5711" w:rsidRPr="007E5C93" w:rsidRDefault="00DB5711" w:rsidP="000B0E15">
            <w:pPr>
              <w:cnfStyle w:val="000000010000" w:firstRow="0" w:lastRow="0" w:firstColumn="0" w:lastColumn="0" w:oddVBand="0" w:evenVBand="0" w:oddHBand="0" w:evenHBand="1" w:firstRowFirstColumn="0" w:firstRowLastColumn="0" w:lastRowFirstColumn="0" w:lastRowLastColumn="0"/>
            </w:pPr>
            <w:r>
              <w:t>Response Paper, consultation on draft prudential standards and quantitative impact study request</w:t>
            </w:r>
          </w:p>
        </w:tc>
      </w:tr>
      <w:tr w:rsidR="00DB5711" w14:paraId="0A890C1B"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6E675E" w14:textId="77777777" w:rsidR="00DB5711" w:rsidRDefault="00DB5711" w:rsidP="000B0E15">
            <w:r>
              <w:t xml:space="preserve">Q2 </w:t>
            </w:r>
            <w:r w:rsidRPr="00EF69A3">
              <w:t xml:space="preserve">2022 </w:t>
            </w:r>
          </w:p>
        </w:tc>
        <w:tc>
          <w:tcPr>
            <w:tcW w:w="6758" w:type="dxa"/>
          </w:tcPr>
          <w:p w14:paraId="2E80494E" w14:textId="77777777" w:rsidR="00DB5711" w:rsidRDefault="00DB5711" w:rsidP="000B0E15">
            <w:pPr>
              <w:cnfStyle w:val="000000100000" w:firstRow="0" w:lastRow="0" w:firstColumn="0" w:lastColumn="0" w:oddVBand="0" w:evenVBand="0" w:oddHBand="1" w:evenHBand="0" w:firstRowFirstColumn="0" w:firstRowLastColumn="0" w:lastRowFirstColumn="0" w:lastRowLastColumn="0"/>
            </w:pPr>
            <w:r>
              <w:t>Second response paper, final prudential standards</w:t>
            </w:r>
          </w:p>
        </w:tc>
      </w:tr>
      <w:tr w:rsidR="00DB5711" w14:paraId="3593D72B" w14:textId="77777777" w:rsidTr="000B0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A22852" w14:textId="77777777" w:rsidR="00DB5711" w:rsidRPr="004A4A34" w:rsidRDefault="00DB5711" w:rsidP="000B0E15">
            <w:pPr>
              <w:numPr>
                <w:ilvl w:val="0"/>
                <w:numId w:val="0"/>
              </w:numPr>
              <w:rPr>
                <w:highlight w:val="yellow"/>
              </w:rPr>
            </w:pPr>
            <w:r>
              <w:t>1 July 2023</w:t>
            </w:r>
          </w:p>
        </w:tc>
        <w:tc>
          <w:tcPr>
            <w:tcW w:w="6758" w:type="dxa"/>
          </w:tcPr>
          <w:p w14:paraId="55F1BAB0" w14:textId="77777777" w:rsidR="00DB5711" w:rsidRDefault="00DB5711" w:rsidP="000B0E15">
            <w:pPr>
              <w:cnfStyle w:val="000000010000" w:firstRow="0" w:lastRow="0" w:firstColumn="0" w:lastColumn="0" w:oddVBand="0" w:evenVBand="0" w:oddHBand="0" w:evenHBand="1" w:firstRowFirstColumn="0" w:firstRowLastColumn="0" w:lastRowFirstColumn="0" w:lastRowLastColumn="0"/>
            </w:pPr>
            <w:r>
              <w:t>Indicative implementation date</w:t>
            </w:r>
          </w:p>
        </w:tc>
      </w:tr>
    </w:tbl>
    <w:p w14:paraId="03B24F50" w14:textId="77777777" w:rsidR="00DB5711" w:rsidRDefault="00DB5711" w:rsidP="00DB5711">
      <w:pPr>
        <w:pStyle w:val="Heading2Numbers"/>
      </w:pPr>
      <w:bookmarkStart w:id="155" w:name="_Toc22821256"/>
      <w:bookmarkStart w:id="156" w:name="_Toc23148540"/>
      <w:bookmarkStart w:id="157" w:name="_Toc23252658"/>
      <w:bookmarkStart w:id="158" w:name="_Toc23252945"/>
      <w:bookmarkStart w:id="159" w:name="_Toc23264926"/>
      <w:bookmarkStart w:id="160" w:name="_Toc23269040"/>
      <w:bookmarkStart w:id="161" w:name="_Toc23416008"/>
      <w:bookmarkStart w:id="162" w:name="_Toc23416481"/>
      <w:bookmarkStart w:id="163" w:name="_Toc24464035"/>
      <w:bookmarkStart w:id="164" w:name="_Toc24473714"/>
      <w:bookmarkStart w:id="165" w:name="_Toc24473923"/>
      <w:bookmarkStart w:id="166" w:name="_Toc24622410"/>
      <w:bookmarkStart w:id="167" w:name="_Toc25334544"/>
      <w:bookmarkStart w:id="168" w:name="_Toc25941638"/>
      <w:r>
        <w:t>Transition</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A995680" w14:textId="605855E3" w:rsidR="00DB5711" w:rsidRPr="00A709CA" w:rsidRDefault="00DB5711" w:rsidP="00DB5711">
      <w:r w:rsidRPr="00A709CA">
        <w:t xml:space="preserve">APRA’s intention is to put in place appropriate transitional arrangements to allow for an orderly implementation of the new capital framework. These arrangements </w:t>
      </w:r>
      <w:r>
        <w:t>will consist of</w:t>
      </w:r>
      <w:r w:rsidRPr="00A709CA">
        <w:t xml:space="preserve"> a combination of an industry</w:t>
      </w:r>
      <w:r w:rsidR="004A334D">
        <w:t xml:space="preserve"> </w:t>
      </w:r>
      <w:r w:rsidRPr="00A709CA">
        <w:t xml:space="preserve">wide transition </w:t>
      </w:r>
      <w:r>
        <w:t xml:space="preserve">component </w:t>
      </w:r>
      <w:r w:rsidRPr="00A709CA">
        <w:t xml:space="preserve">and </w:t>
      </w:r>
      <w:r>
        <w:t xml:space="preserve">consideration of </w:t>
      </w:r>
      <w:r w:rsidRPr="00A709CA">
        <w:t>additional insurer</w:t>
      </w:r>
      <w:r w:rsidR="004A334D">
        <w:t xml:space="preserve"> </w:t>
      </w:r>
      <w:r w:rsidRPr="00A709CA">
        <w:t xml:space="preserve">specific arrangements on a </w:t>
      </w:r>
      <w:proofErr w:type="gramStart"/>
      <w:r w:rsidRPr="00A709CA">
        <w:t>case</w:t>
      </w:r>
      <w:r w:rsidR="004A334D">
        <w:t xml:space="preserve"> </w:t>
      </w:r>
      <w:r w:rsidRPr="00A709CA">
        <w:t>by</w:t>
      </w:r>
      <w:r w:rsidR="004A334D">
        <w:t xml:space="preserve"> </w:t>
      </w:r>
      <w:r w:rsidRPr="00A709CA">
        <w:t>case</w:t>
      </w:r>
      <w:proofErr w:type="gramEnd"/>
      <w:r w:rsidRPr="00A709CA">
        <w:t xml:space="preserve"> basis. </w:t>
      </w:r>
    </w:p>
    <w:p w14:paraId="034B03B4" w14:textId="3900900F" w:rsidR="002475F3" w:rsidRPr="00A709CA" w:rsidRDefault="00BE2C09" w:rsidP="00DB5711">
      <w:r>
        <w:t xml:space="preserve">Insurers are expected to comply with the current standards </w:t>
      </w:r>
      <w:r w:rsidR="002475F3">
        <w:t xml:space="preserve">until the new standards take effect. </w:t>
      </w:r>
      <w:r>
        <w:t xml:space="preserve">Until the commencement of the new standards, </w:t>
      </w:r>
      <w:r w:rsidR="002475F3">
        <w:t xml:space="preserve">APRA </w:t>
      </w:r>
      <w:r w:rsidR="00C605DC">
        <w:t xml:space="preserve">is willing to </w:t>
      </w:r>
      <w:r>
        <w:t>consider</w:t>
      </w:r>
      <w:r w:rsidR="00C605DC">
        <w:t xml:space="preserve"> transitional treatment for a capital instrument that aligns with the framework set out in this discussion paper (or in subsequent publications by APRA during its consultation)</w:t>
      </w:r>
      <w:r w:rsidR="00632C30">
        <w:t>,</w:t>
      </w:r>
      <w:r w:rsidR="00C605DC">
        <w:t xml:space="preserve"> </w:t>
      </w:r>
      <w:r w:rsidR="0098419A">
        <w:t xml:space="preserve">on a </w:t>
      </w:r>
      <w:proofErr w:type="gramStart"/>
      <w:r w:rsidR="0098419A">
        <w:t>case</w:t>
      </w:r>
      <w:r w:rsidR="004A334D">
        <w:t xml:space="preserve"> </w:t>
      </w:r>
      <w:r w:rsidR="0098419A">
        <w:t>by</w:t>
      </w:r>
      <w:r w:rsidR="004A334D">
        <w:t xml:space="preserve"> </w:t>
      </w:r>
      <w:r>
        <w:t>case</w:t>
      </w:r>
      <w:proofErr w:type="gramEnd"/>
      <w:r>
        <w:t xml:space="preserve"> basis</w:t>
      </w:r>
      <w:r w:rsidR="00632C30">
        <w:t>.</w:t>
      </w:r>
    </w:p>
    <w:p w14:paraId="17984D4F" w14:textId="7B3FF288" w:rsidR="00DB5711" w:rsidRDefault="00DB5711" w:rsidP="00DB5711">
      <w:r>
        <w:t>APRA’s decisions on requests for additional transitional arrangements will take into account an insurer’s approach to capital management while the review is under way. APRA will be less likely to agree to additional transitional arrangements where an insurer takes action to reduce or weaken the composition of capital, or issues a capital instrument which is not aligned with LAGIC requirements</w:t>
      </w:r>
      <w:r w:rsidR="002475F3">
        <w:t xml:space="preserve"> or APRA’s proposed PHI capital </w:t>
      </w:r>
      <w:r w:rsidR="00C605DC">
        <w:t>standards</w:t>
      </w:r>
      <w:r w:rsidR="002475F3">
        <w:t xml:space="preserve"> as </w:t>
      </w:r>
      <w:r w:rsidR="00C605DC">
        <w:t xml:space="preserve">they </w:t>
      </w:r>
      <w:r w:rsidR="002475F3">
        <w:t>become clearer.</w:t>
      </w:r>
    </w:p>
    <w:p w14:paraId="18DF7E83" w14:textId="0DE976EF" w:rsidR="00AD393D" w:rsidRDefault="00DB5711" w:rsidP="00AC1C12">
      <w:pPr>
        <w:numPr>
          <w:ilvl w:val="0"/>
          <w:numId w:val="0"/>
        </w:numPr>
      </w:pPr>
      <w:r w:rsidRPr="00586385">
        <w:t xml:space="preserve">APRA’s general approach to </w:t>
      </w:r>
      <w:r w:rsidR="00931324">
        <w:t>the</w:t>
      </w:r>
      <w:r w:rsidRPr="00586385">
        <w:t xml:space="preserve"> transition of capital instruments that do not meet the requirements of </w:t>
      </w:r>
      <w:r>
        <w:t xml:space="preserve">the </w:t>
      </w:r>
      <w:r w:rsidRPr="00586385">
        <w:t xml:space="preserve">new standards is to allow for transition through to the next available call date. APRA does not generally ‘grandfather’ instruments. </w:t>
      </w:r>
      <w:r w:rsidR="00C605DC">
        <w:t xml:space="preserve">APRA would take a similar approach to any transitional treatment for capital instruments in the period leading up to the commencement date of the new standards. </w:t>
      </w:r>
    </w:p>
    <w:p w14:paraId="05BC241F" w14:textId="77777777" w:rsidR="008B39AF" w:rsidRDefault="008B39AF" w:rsidP="00AC1C12">
      <w:pPr>
        <w:numPr>
          <w:ilvl w:val="0"/>
          <w:numId w:val="0"/>
        </w:numPr>
      </w:pPr>
    </w:p>
    <w:p w14:paraId="47C9AC34" w14:textId="599CB8F3" w:rsidR="008B39AF" w:rsidRDefault="002035B2" w:rsidP="00515B31">
      <w:pPr>
        <w:pStyle w:val="Heading1Numbers"/>
      </w:pPr>
      <w:bookmarkStart w:id="169" w:name="_Toc24622411"/>
      <w:bookmarkStart w:id="170" w:name="_Toc25334545"/>
      <w:bookmarkStart w:id="171" w:name="_Toc25941639"/>
      <w:r>
        <w:t>APRA’s</w:t>
      </w:r>
      <w:r w:rsidR="00515B31">
        <w:t xml:space="preserve"> proposals</w:t>
      </w:r>
      <w:bookmarkEnd w:id="169"/>
      <w:bookmarkEnd w:id="170"/>
      <w:bookmarkEnd w:id="171"/>
    </w:p>
    <w:p w14:paraId="3FDC5B21" w14:textId="518FF25D" w:rsidR="008B39AF" w:rsidRDefault="002035B2" w:rsidP="002035B2">
      <w:pPr>
        <w:pStyle w:val="Heading2Numbers"/>
      </w:pPr>
      <w:bookmarkStart w:id="172" w:name="_Toc24622412"/>
      <w:bookmarkStart w:id="173" w:name="_Toc25334546"/>
      <w:bookmarkStart w:id="174" w:name="_Toc25941640"/>
      <w:r>
        <w:t>Applying the LAGIC framework for PHI</w:t>
      </w:r>
      <w:bookmarkEnd w:id="172"/>
      <w:bookmarkEnd w:id="173"/>
      <w:bookmarkEnd w:id="174"/>
    </w:p>
    <w:p w14:paraId="6CFE13D2" w14:textId="77777777" w:rsidR="00125196" w:rsidRPr="00AC1C3C" w:rsidRDefault="00125196" w:rsidP="00125196">
      <w:pPr>
        <w:rPr>
          <w:rFonts w:eastAsia="Times New Roman" w:cs="Calibri"/>
          <w:lang w:eastAsia="en-AU"/>
        </w:rPr>
      </w:pPr>
      <w:r w:rsidRPr="00D60A1D">
        <w:rPr>
          <w:lang w:eastAsia="en-AU"/>
        </w:rPr>
        <w:t xml:space="preserve">APRA requires that risks be appropriately recognised and that capital </w:t>
      </w:r>
      <w:r>
        <w:rPr>
          <w:lang w:eastAsia="en-AU"/>
        </w:rPr>
        <w:t xml:space="preserve">requirements are </w:t>
      </w:r>
      <w:r w:rsidRPr="00D60A1D">
        <w:rPr>
          <w:lang w:eastAsia="en-AU"/>
        </w:rPr>
        <w:t>commensurate with the risks to which the insurer is exposed.</w:t>
      </w:r>
      <w:r>
        <w:rPr>
          <w:lang w:eastAsia="en-AU"/>
        </w:rPr>
        <w:t xml:space="preserve"> </w:t>
      </w:r>
    </w:p>
    <w:p w14:paraId="6A4B548D" w14:textId="1EC8B0D3" w:rsidR="00125196" w:rsidRPr="007E55C2" w:rsidRDefault="00125196" w:rsidP="00125196">
      <w:pPr>
        <w:rPr>
          <w:rFonts w:eastAsia="Times New Roman" w:cs="Calibri"/>
          <w:lang w:eastAsia="en-AU"/>
        </w:rPr>
      </w:pPr>
      <w:r>
        <w:rPr>
          <w:rFonts w:eastAsia="Times New Roman" w:cs="Calibri"/>
          <w:lang w:eastAsia="en-AU"/>
        </w:rPr>
        <w:t>The</w:t>
      </w:r>
      <w:r w:rsidRPr="002C4E01">
        <w:rPr>
          <w:rFonts w:eastAsia="Times New Roman" w:cs="Calibri"/>
          <w:lang w:eastAsia="en-AU"/>
        </w:rPr>
        <w:t xml:space="preserve"> LAGIC </w:t>
      </w:r>
      <w:r>
        <w:rPr>
          <w:rFonts w:eastAsia="Times New Roman" w:cs="Calibri"/>
          <w:lang w:eastAsia="en-AU"/>
        </w:rPr>
        <w:t>framework seeks to achieve this objective by ensuring prudential capital requirements are sensitive</w:t>
      </w:r>
      <w:r w:rsidRPr="002C4E01">
        <w:rPr>
          <w:rFonts w:eastAsia="Times New Roman" w:cs="Calibri"/>
          <w:lang w:eastAsia="en-AU"/>
        </w:rPr>
        <w:t xml:space="preserve"> </w:t>
      </w:r>
      <w:r>
        <w:rPr>
          <w:rFonts w:eastAsia="Times New Roman" w:cs="Calibri"/>
          <w:lang w:eastAsia="en-AU"/>
        </w:rPr>
        <w:t xml:space="preserve">to the risks of the insurer’s business </w:t>
      </w:r>
      <w:r w:rsidRPr="002C4E01">
        <w:rPr>
          <w:rFonts w:eastAsia="Times New Roman" w:cs="Calibri"/>
          <w:lang w:eastAsia="en-AU"/>
        </w:rPr>
        <w:t>and</w:t>
      </w:r>
      <w:r w:rsidR="004A2124">
        <w:rPr>
          <w:rFonts w:eastAsia="Times New Roman" w:cs="Calibri"/>
          <w:lang w:eastAsia="en-AU"/>
        </w:rPr>
        <w:t>,</w:t>
      </w:r>
      <w:r w:rsidRPr="002C4E01">
        <w:rPr>
          <w:rFonts w:eastAsia="Times New Roman" w:cs="Calibri"/>
          <w:lang w:eastAsia="en-AU"/>
        </w:rPr>
        <w:t xml:space="preserve"> </w:t>
      </w:r>
      <w:r>
        <w:rPr>
          <w:rFonts w:eastAsia="Times New Roman" w:cs="Calibri"/>
          <w:lang w:eastAsia="en-AU"/>
        </w:rPr>
        <w:t>where</w:t>
      </w:r>
      <w:r w:rsidRPr="002C4E01">
        <w:rPr>
          <w:rFonts w:eastAsia="Times New Roman" w:cs="Calibri"/>
          <w:lang w:eastAsia="en-AU"/>
        </w:rPr>
        <w:t xml:space="preserve"> appropriate</w:t>
      </w:r>
      <w:r>
        <w:rPr>
          <w:rFonts w:eastAsia="Times New Roman" w:cs="Calibri"/>
          <w:lang w:eastAsia="en-AU"/>
        </w:rPr>
        <w:t xml:space="preserve">, align the treatment of similar risks between the </w:t>
      </w:r>
      <w:r w:rsidRPr="002C4E01">
        <w:rPr>
          <w:rFonts w:eastAsia="Times New Roman" w:cs="Calibri"/>
          <w:lang w:eastAsia="en-AU"/>
        </w:rPr>
        <w:t xml:space="preserve">capital standards </w:t>
      </w:r>
      <w:r>
        <w:rPr>
          <w:rFonts w:eastAsia="Times New Roman" w:cs="Calibri"/>
          <w:lang w:eastAsia="en-AU"/>
        </w:rPr>
        <w:t>applying to life and general insurers</w:t>
      </w:r>
      <w:r w:rsidRPr="002C4E01">
        <w:rPr>
          <w:rFonts w:eastAsia="Times New Roman" w:cs="Calibri"/>
          <w:lang w:eastAsia="en-AU"/>
        </w:rPr>
        <w:t xml:space="preserve">. </w:t>
      </w:r>
      <w:r>
        <w:rPr>
          <w:rFonts w:eastAsia="Times New Roman" w:cs="Calibri"/>
          <w:lang w:eastAsia="en-AU"/>
        </w:rPr>
        <w:t>T</w:t>
      </w:r>
      <w:r w:rsidRPr="00D60A1D">
        <w:rPr>
          <w:lang w:eastAsia="en-AU"/>
        </w:rPr>
        <w:t xml:space="preserve">he </w:t>
      </w:r>
      <w:r>
        <w:rPr>
          <w:lang w:eastAsia="en-AU"/>
        </w:rPr>
        <w:t xml:space="preserve">adoption of the </w:t>
      </w:r>
      <w:r w:rsidRPr="00D60A1D">
        <w:rPr>
          <w:lang w:eastAsia="en-AU"/>
        </w:rPr>
        <w:t xml:space="preserve">LAGIC framework </w:t>
      </w:r>
      <w:r>
        <w:rPr>
          <w:lang w:eastAsia="en-AU"/>
        </w:rPr>
        <w:t>as a basis for the PHI capital standards reflects APRA</w:t>
      </w:r>
      <w:r>
        <w:rPr>
          <w:rFonts w:eastAsia="Times New Roman" w:cs="Calibri"/>
          <w:lang w:eastAsia="en-AU"/>
        </w:rPr>
        <w:t xml:space="preserve">’s view that it has worked effectively to </w:t>
      </w:r>
      <w:r>
        <w:rPr>
          <w:lang w:eastAsia="en-AU"/>
        </w:rPr>
        <w:t xml:space="preserve">ensure capital requirements are </w:t>
      </w:r>
      <w:r w:rsidRPr="00D60A1D">
        <w:rPr>
          <w:lang w:eastAsia="en-AU"/>
        </w:rPr>
        <w:t>tailored to specific risks</w:t>
      </w:r>
      <w:r>
        <w:rPr>
          <w:lang w:eastAsia="en-AU"/>
        </w:rPr>
        <w:t xml:space="preserve"> faced by insurers</w:t>
      </w:r>
      <w:r w:rsidRPr="00D60A1D">
        <w:rPr>
          <w:lang w:eastAsia="en-AU"/>
        </w:rPr>
        <w:t>.</w:t>
      </w:r>
    </w:p>
    <w:p w14:paraId="1879CF74" w14:textId="77777777" w:rsidR="00DD25AD" w:rsidRDefault="00125196" w:rsidP="00DD25AD">
      <w:pPr>
        <w:rPr>
          <w:rFonts w:eastAsia="Times New Roman" w:cs="Calibri"/>
          <w:lang w:eastAsia="en-AU"/>
        </w:rPr>
      </w:pPr>
      <w:r w:rsidRPr="00D80415">
        <w:rPr>
          <w:rFonts w:eastAsia="Times New Roman" w:cs="Calibri"/>
          <w:lang w:eastAsia="en-AU"/>
        </w:rPr>
        <w:t xml:space="preserve">The LAGIC framework, depicted in </w:t>
      </w:r>
      <w:r w:rsidRPr="00D80415">
        <w:rPr>
          <w:rFonts w:eastAsia="Times New Roman" w:cs="Calibri"/>
          <w:b/>
          <w:lang w:eastAsia="en-AU"/>
        </w:rPr>
        <w:t>Figu</w:t>
      </w:r>
      <w:r>
        <w:rPr>
          <w:rFonts w:eastAsia="Times New Roman" w:cs="Calibri"/>
          <w:b/>
          <w:lang w:eastAsia="en-AU"/>
        </w:rPr>
        <w:t xml:space="preserve">re </w:t>
      </w:r>
      <w:r w:rsidRPr="000431D3">
        <w:rPr>
          <w:rFonts w:eastAsia="Times New Roman" w:cs="Calibri"/>
          <w:b/>
          <w:lang w:eastAsia="en-AU"/>
        </w:rPr>
        <w:t>4</w:t>
      </w:r>
      <w:r w:rsidRPr="000431D3">
        <w:rPr>
          <w:rFonts w:eastAsia="Times New Roman" w:cs="Calibri"/>
          <w:lang w:eastAsia="en-AU"/>
        </w:rPr>
        <w:t xml:space="preserve">, applies capital charges to each component of risk for life and general insurers, resulting in a PCA that supports insurers to engage with sources of risk and improve risk management. </w:t>
      </w:r>
    </w:p>
    <w:p w14:paraId="415F08A3" w14:textId="65A35967" w:rsidR="00125196" w:rsidRPr="00DD25AD" w:rsidRDefault="00125196" w:rsidP="00DD25AD">
      <w:pPr>
        <w:numPr>
          <w:ilvl w:val="0"/>
          <w:numId w:val="0"/>
        </w:numPr>
        <w:rPr>
          <w:rFonts w:eastAsia="Times New Roman" w:cs="Calibri"/>
          <w:lang w:eastAsia="en-AU"/>
        </w:rPr>
      </w:pPr>
      <w:r w:rsidRPr="00DD25AD">
        <w:rPr>
          <w:rFonts w:eastAsia="Times New Roman" w:cs="Calibri"/>
          <w:lang w:eastAsia="en-AU"/>
        </w:rPr>
        <w:t>Adopting a LAGIC</w:t>
      </w:r>
      <w:r w:rsidR="00521088">
        <w:rPr>
          <w:rFonts w:eastAsia="Times New Roman" w:cs="Calibri"/>
          <w:lang w:eastAsia="en-AU"/>
        </w:rPr>
        <w:t xml:space="preserve"> </w:t>
      </w:r>
      <w:r w:rsidRPr="00DD25AD">
        <w:rPr>
          <w:rFonts w:eastAsia="Times New Roman" w:cs="Calibri"/>
          <w:lang w:eastAsia="en-AU"/>
        </w:rPr>
        <w:t xml:space="preserve">based approach for the PHI capital framework will: enable easier comparison and understanding of activities of regulated entities across different industries; simplify risk management for insurers whose activities extend across two or more APRA regulated industries; and enable more effective supervision of entities by APRA. </w:t>
      </w:r>
    </w:p>
    <w:p w14:paraId="5D2CC16A" w14:textId="77777777" w:rsidR="00D703F9" w:rsidRPr="002A7C1B" w:rsidRDefault="00D703F9" w:rsidP="00D703F9">
      <w:pPr>
        <w:pStyle w:val="Figurenumbered"/>
        <w:ind w:left="360"/>
      </w:pPr>
      <w:r w:rsidRPr="0094184E">
        <w:rPr>
          <w:i w:val="0"/>
          <w:noProof/>
          <w:lang w:eastAsia="en-AU"/>
        </w:rPr>
        <w:drawing>
          <wp:anchor distT="0" distB="0" distL="114300" distR="114300" simplePos="0" relativeHeight="251658242" behindDoc="1" locked="0" layoutInCell="1" allowOverlap="1" wp14:anchorId="1904F7B2" wp14:editId="649C2060">
            <wp:simplePos x="0" y="0"/>
            <wp:positionH relativeFrom="margin">
              <wp:align>left</wp:align>
            </wp:positionH>
            <wp:positionV relativeFrom="paragraph">
              <wp:posOffset>200025</wp:posOffset>
            </wp:positionV>
            <wp:extent cx="6115685" cy="3239770"/>
            <wp:effectExtent l="0" t="0" r="0" b="0"/>
            <wp:wrapTopAndBottom/>
            <wp:docPr id="25" name="Picture 25" descr="This figure shows the structure of the life and general insurance capital (LAGIC) framework. It demonstrates how the risk charges are combined to determine the PCA and shows how regulatory adjustments are applied to capital held by an insurer to determine the capital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figure shows the structure of the life and general insurance capital (LAGIC) framework. It demonstrates how the risk charges are combined to determine the PCA and shows how regulatory adjustments are applied to capital held by an insurer to determine the capital ba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1B">
        <w:t>The LAGIC Framework</w:t>
      </w:r>
    </w:p>
    <w:p w14:paraId="11D49ACB" w14:textId="016BAF10" w:rsidR="00D703F9" w:rsidRDefault="00D703F9" w:rsidP="00D703F9">
      <w:r w:rsidRPr="00D60A1D">
        <w:t>The LAGIC framework</w:t>
      </w:r>
      <w:r>
        <w:t xml:space="preserve"> provides a </w:t>
      </w:r>
      <w:proofErr w:type="gramStart"/>
      <w:r>
        <w:t>forward</w:t>
      </w:r>
      <w:r w:rsidR="004A334D">
        <w:t xml:space="preserve"> </w:t>
      </w:r>
      <w:r w:rsidRPr="00D60A1D">
        <w:t>looking</w:t>
      </w:r>
      <w:proofErr w:type="gramEnd"/>
      <w:r>
        <w:t xml:space="preserve"> approach to prudential requirements</w:t>
      </w:r>
      <w:r w:rsidRPr="00D60A1D">
        <w:t>, based on risk</w:t>
      </w:r>
      <w:r w:rsidR="004A334D">
        <w:t xml:space="preserve"> </w:t>
      </w:r>
      <w:r w:rsidRPr="00D60A1D">
        <w:t>minimisation</w:t>
      </w:r>
      <w:r>
        <w:t xml:space="preserve"> and management. It is i</w:t>
      </w:r>
      <w:r w:rsidRPr="00D60A1D">
        <w:t xml:space="preserve">n line with </w:t>
      </w:r>
      <w:r>
        <w:t xml:space="preserve">international </w:t>
      </w:r>
      <w:r w:rsidRPr="00D60A1D">
        <w:t xml:space="preserve">practice, and </w:t>
      </w:r>
      <w:r>
        <w:t>delivers</w:t>
      </w:r>
      <w:r w:rsidRPr="00D60A1D">
        <w:t xml:space="preserve"> an </w:t>
      </w:r>
      <w:proofErr w:type="gramStart"/>
      <w:r w:rsidRPr="00D60A1D">
        <w:t>outcomes</w:t>
      </w:r>
      <w:proofErr w:type="gramEnd"/>
      <w:r w:rsidR="004A334D">
        <w:t xml:space="preserve"> </w:t>
      </w:r>
      <w:r w:rsidRPr="00D60A1D">
        <w:t xml:space="preserve">focused </w:t>
      </w:r>
      <w:r>
        <w:t>and principles-based</w:t>
      </w:r>
      <w:r w:rsidRPr="00D60A1D">
        <w:t xml:space="preserve"> </w:t>
      </w:r>
      <w:r>
        <w:t>framework.</w:t>
      </w:r>
    </w:p>
    <w:p w14:paraId="24430982" w14:textId="77777777" w:rsidR="00D703F9" w:rsidRPr="0094184E" w:rsidRDefault="00D703F9" w:rsidP="00D703F9">
      <w:pPr>
        <w:rPr>
          <w:rFonts w:eastAsia="Times New Roman" w:cs="Calibri"/>
          <w:lang w:eastAsia="en-AU"/>
        </w:rPr>
      </w:pPr>
      <w:r>
        <w:rPr>
          <w:rFonts w:eastAsia="Times New Roman" w:cs="Calibri"/>
          <w:lang w:eastAsia="en-AU"/>
        </w:rPr>
        <w:t>APRA proposes the PHI capital standards include</w:t>
      </w:r>
      <w:r w:rsidRPr="005E01C6">
        <w:rPr>
          <w:rFonts w:eastAsia="Times New Roman" w:cs="Calibri"/>
          <w:lang w:eastAsia="en-AU"/>
        </w:rPr>
        <w:t xml:space="preserve"> separate charges for insurance</w:t>
      </w:r>
      <w:r>
        <w:rPr>
          <w:rFonts w:eastAsia="Times New Roman" w:cs="Calibri"/>
          <w:lang w:eastAsia="en-AU"/>
        </w:rPr>
        <w:t xml:space="preserve"> </w:t>
      </w:r>
      <w:r w:rsidRPr="00222C98">
        <w:rPr>
          <w:rFonts w:eastAsia="Times New Roman" w:cs="Calibri"/>
          <w:lang w:eastAsia="en-AU"/>
        </w:rPr>
        <w:t xml:space="preserve">risk, </w:t>
      </w:r>
      <w:r>
        <w:rPr>
          <w:rFonts w:eastAsia="Times New Roman" w:cs="Calibri"/>
          <w:lang w:eastAsia="en-AU"/>
        </w:rPr>
        <w:t>asset</w:t>
      </w:r>
      <w:r w:rsidRPr="00222C98">
        <w:rPr>
          <w:rFonts w:eastAsia="Times New Roman" w:cs="Calibri"/>
          <w:lang w:eastAsia="en-AU"/>
        </w:rPr>
        <w:t xml:space="preserve"> risk, asset concentration risk and operational risk.</w:t>
      </w:r>
      <w:r>
        <w:rPr>
          <w:rFonts w:eastAsia="Times New Roman" w:cs="Calibri"/>
          <w:lang w:eastAsia="en-AU"/>
        </w:rPr>
        <w:t xml:space="preserve"> APRA also proposes that the capital standards provide for an aggregation benefit to recognise the diversification between insurance and asset risks. Inclusion of an</w:t>
      </w:r>
      <w:r w:rsidRPr="00222C98">
        <w:rPr>
          <w:rFonts w:eastAsia="Times New Roman" w:cs="Calibri"/>
          <w:lang w:eastAsia="en-AU"/>
        </w:rPr>
        <w:t xml:space="preserve"> aggregation benefit </w:t>
      </w:r>
      <w:r>
        <w:rPr>
          <w:rFonts w:eastAsia="Times New Roman" w:cs="Calibri"/>
          <w:lang w:eastAsia="en-AU"/>
        </w:rPr>
        <w:t xml:space="preserve">will allow </w:t>
      </w:r>
      <w:r w:rsidRPr="00222C98">
        <w:rPr>
          <w:rFonts w:eastAsia="Times New Roman" w:cs="Calibri"/>
          <w:lang w:eastAsia="en-AU"/>
        </w:rPr>
        <w:t xml:space="preserve">required capital </w:t>
      </w:r>
      <w:r>
        <w:rPr>
          <w:rFonts w:eastAsia="Times New Roman" w:cs="Calibri"/>
          <w:lang w:eastAsia="en-AU"/>
        </w:rPr>
        <w:t>to better reflect</w:t>
      </w:r>
      <w:r w:rsidRPr="00222C98">
        <w:rPr>
          <w:rFonts w:eastAsia="Times New Roman" w:cs="Calibri"/>
          <w:lang w:eastAsia="en-AU"/>
        </w:rPr>
        <w:t xml:space="preserve"> the </w:t>
      </w:r>
      <w:r>
        <w:rPr>
          <w:rFonts w:eastAsia="Times New Roman" w:cs="Calibri"/>
          <w:lang w:eastAsia="en-AU"/>
        </w:rPr>
        <w:t xml:space="preserve">relative </w:t>
      </w:r>
      <w:r w:rsidRPr="00222C98">
        <w:rPr>
          <w:rFonts w:eastAsia="Times New Roman" w:cs="Calibri"/>
          <w:lang w:eastAsia="en-AU"/>
        </w:rPr>
        <w:t xml:space="preserve">independence </w:t>
      </w:r>
      <w:r>
        <w:rPr>
          <w:rFonts w:eastAsia="Times New Roman" w:cs="Calibri"/>
          <w:lang w:eastAsia="en-AU"/>
        </w:rPr>
        <w:t>of</w:t>
      </w:r>
      <w:r w:rsidRPr="00222C98">
        <w:rPr>
          <w:rFonts w:eastAsia="Times New Roman" w:cs="Calibri"/>
          <w:lang w:eastAsia="en-AU"/>
        </w:rPr>
        <w:t xml:space="preserve"> asset and insurance risks.</w:t>
      </w:r>
      <w:r>
        <w:rPr>
          <w:rFonts w:eastAsia="Times New Roman" w:cs="Calibri"/>
          <w:lang w:eastAsia="en-AU"/>
        </w:rPr>
        <w:t xml:space="preserve"> </w:t>
      </w:r>
    </w:p>
    <w:p w14:paraId="3AD076B3" w14:textId="77777777" w:rsidR="00D703F9" w:rsidRPr="000431D3" w:rsidRDefault="00D703F9" w:rsidP="00D703F9">
      <w:pPr>
        <w:rPr>
          <w:rFonts w:eastAsia="Times New Roman" w:cs="Calibri"/>
          <w:lang w:eastAsia="en-AU"/>
        </w:rPr>
      </w:pPr>
      <w:r>
        <w:rPr>
          <w:rFonts w:eastAsia="Times New Roman" w:cs="Calibri"/>
          <w:lang w:eastAsia="en-AU"/>
        </w:rPr>
        <w:t xml:space="preserve">Reflecting this structure, APRA proposes the PCA for an insurer be </w:t>
      </w:r>
      <w:r w:rsidRPr="00222C98">
        <w:rPr>
          <w:rFonts w:eastAsia="Times New Roman" w:cs="Calibri"/>
          <w:lang w:eastAsia="en-AU"/>
        </w:rPr>
        <w:t xml:space="preserve">the sum of all risk charges minus the aggregation benefit. </w:t>
      </w:r>
      <w:r>
        <w:rPr>
          <w:rFonts w:eastAsia="Times New Roman" w:cs="Calibri"/>
          <w:lang w:eastAsia="en-AU"/>
        </w:rPr>
        <w:t xml:space="preserve">This is </w:t>
      </w:r>
      <w:r w:rsidRPr="000431D3">
        <w:rPr>
          <w:rFonts w:eastAsia="Times New Roman" w:cs="Calibri"/>
          <w:lang w:eastAsia="en-AU"/>
        </w:rPr>
        <w:t>discussed further in section 2.6</w:t>
      </w:r>
      <w:r w:rsidRPr="000431D3" w:rsidDel="008C7281">
        <w:rPr>
          <w:rFonts w:eastAsia="Times New Roman" w:cs="Calibri"/>
          <w:lang w:eastAsia="en-AU"/>
        </w:rPr>
        <w:t xml:space="preserve"> </w:t>
      </w:r>
      <w:r w:rsidRPr="000431D3">
        <w:rPr>
          <w:rFonts w:eastAsia="Times New Roman" w:cs="Calibri"/>
          <w:lang w:eastAsia="en-AU"/>
        </w:rPr>
        <w:t>(Prescribed Capital and its Components).</w:t>
      </w:r>
    </w:p>
    <w:p w14:paraId="6A668CE3" w14:textId="48204658" w:rsidR="00D703F9" w:rsidRPr="000431D3" w:rsidRDefault="00D703F9" w:rsidP="00D703F9">
      <w:pPr>
        <w:rPr>
          <w:rFonts w:eastAsia="Times New Roman" w:cs="Calibri"/>
          <w:lang w:eastAsia="en-AU"/>
        </w:rPr>
      </w:pPr>
      <w:r w:rsidRPr="000431D3">
        <w:rPr>
          <w:rFonts w:eastAsia="Times New Roman" w:cs="Calibri"/>
          <w:lang w:eastAsia="en-AU"/>
        </w:rPr>
        <w:t xml:space="preserve">APRA proposes that the capital standards provide that APRA may make a supervisory adjustment to the insurer’s capital requirement where it believes the PCA is not sufficient. This approach is consistent with the existing PHI capital standards and will be discussed in section 2.7 (Supervisory Adjustments). </w:t>
      </w:r>
      <w:r>
        <w:rPr>
          <w:rFonts w:eastAsia="Times New Roman" w:cs="Calibri"/>
          <w:lang w:eastAsia="en-AU"/>
        </w:rPr>
        <w:t>Further, APRA proposes the capital standards allow for regulatory adjustments to the capital base. APRA’s appro</w:t>
      </w:r>
      <w:r w:rsidR="009073E4">
        <w:rPr>
          <w:rFonts w:eastAsia="Times New Roman" w:cs="Calibri"/>
          <w:lang w:eastAsia="en-AU"/>
        </w:rPr>
        <w:t>ach is discussed in section 2.4 </w:t>
      </w:r>
      <w:r>
        <w:rPr>
          <w:rFonts w:eastAsia="Times New Roman" w:cs="Calibri"/>
          <w:lang w:eastAsia="en-AU"/>
        </w:rPr>
        <w:t xml:space="preserve">(Defining the capital base). </w:t>
      </w:r>
    </w:p>
    <w:p w14:paraId="2B7B9400" w14:textId="4DC835E0" w:rsidR="00D703F9" w:rsidRDefault="00D703F9" w:rsidP="00D703F9">
      <w:pPr>
        <w:pStyle w:val="Heading2Numbers"/>
        <w:rPr>
          <w:rFonts w:eastAsia="Times New Roman"/>
          <w:lang w:eastAsia="en-AU"/>
        </w:rPr>
      </w:pPr>
      <w:bookmarkStart w:id="175" w:name="_Toc24622413"/>
      <w:bookmarkStart w:id="176" w:name="_Toc25334547"/>
      <w:bookmarkStart w:id="177" w:name="_Toc25941641"/>
      <w:r>
        <w:rPr>
          <w:rFonts w:eastAsia="Times New Roman"/>
          <w:lang w:eastAsia="en-AU"/>
        </w:rPr>
        <w:t>Scope of the capital standards</w:t>
      </w:r>
      <w:bookmarkEnd w:id="175"/>
      <w:bookmarkEnd w:id="176"/>
      <w:bookmarkEnd w:id="177"/>
    </w:p>
    <w:p w14:paraId="14C7AE9D" w14:textId="1B27AFE3" w:rsidR="00D703F9" w:rsidRDefault="00D703F9" w:rsidP="00D703F9">
      <w:pPr>
        <w:rPr>
          <w:rFonts w:eastAsia="Calibri" w:cs="Arial"/>
        </w:rPr>
      </w:pPr>
      <w:r>
        <w:t>The c</w:t>
      </w:r>
      <w:r w:rsidRPr="0083608B">
        <w:t xml:space="preserve">urrent </w:t>
      </w:r>
      <w:r>
        <w:t xml:space="preserve">PHI </w:t>
      </w:r>
      <w:r w:rsidRPr="0083608B">
        <w:t xml:space="preserve">capital framework </w:t>
      </w:r>
      <w:r>
        <w:t>applies to the</w:t>
      </w:r>
      <w:r w:rsidRPr="0083608B">
        <w:t xml:space="preserve"> HBF </w:t>
      </w:r>
      <w:r>
        <w:t xml:space="preserve">only, not to the whole of the licensed health insurer. </w:t>
      </w:r>
      <w:r>
        <w:rPr>
          <w:rFonts w:eastAsia="Calibri" w:cs="Arial"/>
        </w:rPr>
        <w:t>While legislation mandates the dominant purpose of the HBF must be health insurance, insurers are also permitted to operate health</w:t>
      </w:r>
      <w:r w:rsidR="00521088">
        <w:rPr>
          <w:rFonts w:eastAsia="Calibri" w:cs="Arial"/>
        </w:rPr>
        <w:t xml:space="preserve"> </w:t>
      </w:r>
      <w:r>
        <w:rPr>
          <w:rFonts w:eastAsia="Calibri" w:cs="Arial"/>
        </w:rPr>
        <w:t xml:space="preserve">related business within their HBF. </w:t>
      </w:r>
    </w:p>
    <w:p w14:paraId="4B828783" w14:textId="3F348580" w:rsidR="00D703F9" w:rsidRPr="0083608B" w:rsidRDefault="00D703F9" w:rsidP="00D703F9">
      <w:r w:rsidRPr="004E333D">
        <w:rPr>
          <w:rFonts w:eastAsia="Calibri" w:cs="Arial"/>
        </w:rPr>
        <w:t xml:space="preserve">PHI business models have evolved such that insurers now offer policies for overseas visitors and students, </w:t>
      </w:r>
      <w:r w:rsidR="00A65D12">
        <w:rPr>
          <w:rFonts w:eastAsia="Calibri" w:cs="Arial"/>
        </w:rPr>
        <w:t xml:space="preserve">deliver </w:t>
      </w:r>
      <w:r w:rsidRPr="004E333D">
        <w:rPr>
          <w:rFonts w:eastAsia="Calibri" w:cs="Arial"/>
        </w:rPr>
        <w:t xml:space="preserve">wellbeing and preventative </w:t>
      </w:r>
      <w:proofErr w:type="gramStart"/>
      <w:r w:rsidRPr="004E333D">
        <w:rPr>
          <w:rFonts w:eastAsia="Calibri" w:cs="Arial"/>
        </w:rPr>
        <w:t>activities</w:t>
      </w:r>
      <w:proofErr w:type="gramEnd"/>
      <w:r w:rsidRPr="004E333D">
        <w:rPr>
          <w:rFonts w:eastAsia="Calibri" w:cs="Arial"/>
        </w:rPr>
        <w:t xml:space="preserve"> and operate integrated health</w:t>
      </w:r>
      <w:r w:rsidR="00997591">
        <w:rPr>
          <w:rFonts w:eastAsia="Calibri" w:cs="Arial"/>
        </w:rPr>
        <w:t xml:space="preserve"> </w:t>
      </w:r>
      <w:r w:rsidRPr="004E333D">
        <w:rPr>
          <w:rFonts w:eastAsia="Calibri" w:cs="Arial"/>
        </w:rPr>
        <w:t>service businesses such as hospitals, optical and dental centres.</w:t>
      </w:r>
      <w:r>
        <w:rPr>
          <w:rFonts w:eastAsia="Calibri" w:cs="Arial"/>
        </w:rPr>
        <w:t xml:space="preserve"> </w:t>
      </w:r>
      <w:r>
        <w:t xml:space="preserve">This changing nature of activities conducted by insurers, together with the narrow scope of the current capital standards </w:t>
      </w:r>
      <w:r w:rsidRPr="0083608B">
        <w:t>has resulted in differing prudential treatment of non</w:t>
      </w:r>
      <w:r w:rsidR="0070300F">
        <w:t>-</w:t>
      </w:r>
      <w:r>
        <w:t xml:space="preserve">health </w:t>
      </w:r>
      <w:r w:rsidRPr="0083608B">
        <w:t xml:space="preserve">insurance activities </w:t>
      </w:r>
      <w:r>
        <w:t>according to</w:t>
      </w:r>
      <w:r w:rsidRPr="0083608B">
        <w:t xml:space="preserve"> how the </w:t>
      </w:r>
      <w:r>
        <w:t>insurers’ activities are</w:t>
      </w:r>
      <w:r w:rsidRPr="0083608B">
        <w:t xml:space="preserve"> structured. </w:t>
      </w:r>
    </w:p>
    <w:p w14:paraId="69959B8E" w14:textId="654F1306" w:rsidR="00D703F9" w:rsidRPr="00736410" w:rsidRDefault="00D703F9" w:rsidP="00D703F9">
      <w:r w:rsidRPr="00736410">
        <w:t>To address this inconsistency,</w:t>
      </w:r>
      <w:r w:rsidR="00A65D12">
        <w:t xml:space="preserve"> and better reflect the risks in insurers’ business activities,</w:t>
      </w:r>
      <w:r w:rsidRPr="00736410">
        <w:t xml:space="preserve"> APRA is proposing to broaden the scope of the capital standards to apply to the insurer, rather than the existing narrow focus on the HBF. </w:t>
      </w:r>
    </w:p>
    <w:p w14:paraId="2B7D972A" w14:textId="2BB0EA97" w:rsidR="00D703F9" w:rsidRDefault="00D703F9" w:rsidP="00D703F9">
      <w:pPr>
        <w:pStyle w:val="ListBullet"/>
        <w:numPr>
          <w:ilvl w:val="0"/>
          <w:numId w:val="0"/>
        </w:numPr>
      </w:pPr>
      <w:r>
        <w:t xml:space="preserve">Similar to the requirements that apply in the life insurance industry, APRA proposes to apply capital requirements to the whole licensed insurer (company level). APRA proposes to implement this requirement by applying the capital standards separately to each HBF of the insurer, and also to any activities conducted by the PHI outside the HBF (for example health-related business). Reflecting this, </w:t>
      </w:r>
      <w:r w:rsidRPr="000431D3">
        <w:t xml:space="preserve">APRA proposes the </w:t>
      </w:r>
      <w:r w:rsidR="00A65D12">
        <w:t>prudential capital requirement (</w:t>
      </w:r>
      <w:r w:rsidRPr="000431D3">
        <w:t>PCR</w:t>
      </w:r>
      <w:r w:rsidR="00A65D12">
        <w:t>)</w:t>
      </w:r>
      <w:r w:rsidRPr="000431D3">
        <w:t xml:space="preserve"> at the company level be</w:t>
      </w:r>
      <w:r>
        <w:t xml:space="preserve"> equal to the total sum of each</w:t>
      </w:r>
      <w:r w:rsidRPr="000431D3">
        <w:t xml:space="preserve"> PCR</w:t>
      </w:r>
      <w:r>
        <w:t xml:space="preserve"> for the constituent parts</w:t>
      </w:r>
      <w:r w:rsidRPr="000431D3">
        <w:t>.</w:t>
      </w:r>
      <w:r w:rsidRPr="00D11714">
        <w:t xml:space="preserve"> </w:t>
      </w:r>
      <w:r w:rsidRPr="00736410">
        <w:t xml:space="preserve">APRA seeks feedback on the </w:t>
      </w:r>
      <w:r>
        <w:t xml:space="preserve">implications of this proposal and practical aspects of how insurers would implement this </w:t>
      </w:r>
      <w:r w:rsidRPr="00736410">
        <w:t>approach.</w:t>
      </w:r>
    </w:p>
    <w:p w14:paraId="004C1899" w14:textId="77777777" w:rsidR="007921D6" w:rsidRDefault="007921D6" w:rsidP="007921D6">
      <w:pPr>
        <w:pStyle w:val="ListBullet"/>
        <w:numPr>
          <w:ilvl w:val="0"/>
          <w:numId w:val="0"/>
        </w:numPr>
      </w:pPr>
      <w:r w:rsidRPr="000431D3">
        <w:rPr>
          <w:b/>
        </w:rPr>
        <w:t>Figure 5</w:t>
      </w:r>
      <w:r w:rsidRPr="000431D3">
        <w:t xml:space="preserve"> depicts the scope of current PHI capital standards and the scope proposed for the new capital standards</w:t>
      </w:r>
      <w:r>
        <w:t>.</w:t>
      </w:r>
    </w:p>
    <w:p w14:paraId="025847D4" w14:textId="672E98A1" w:rsidR="007921D6" w:rsidRPr="00BE2C09" w:rsidRDefault="00C0773E" w:rsidP="00BE2C09">
      <w:pPr>
        <w:pStyle w:val="Figurenumbered"/>
      </w:pPr>
      <w:r w:rsidRPr="00BE2C09">
        <w:rPr>
          <w:noProof/>
          <w:lang w:eastAsia="en-AU"/>
        </w:rPr>
        <w:drawing>
          <wp:anchor distT="0" distB="0" distL="114300" distR="114300" simplePos="0" relativeHeight="251658243" behindDoc="1" locked="0" layoutInCell="1" allowOverlap="1" wp14:anchorId="2E27D70C" wp14:editId="245D654C">
            <wp:simplePos x="0" y="0"/>
            <wp:positionH relativeFrom="margin">
              <wp:align>right</wp:align>
            </wp:positionH>
            <wp:positionV relativeFrom="paragraph">
              <wp:posOffset>181886</wp:posOffset>
            </wp:positionV>
            <wp:extent cx="5730875" cy="3625215"/>
            <wp:effectExtent l="0" t="0" r="3175" b="0"/>
            <wp:wrapTight wrapText="bothSides">
              <wp:wrapPolygon edited="0">
                <wp:start x="0" y="0"/>
                <wp:lineTo x="0" y="21452"/>
                <wp:lineTo x="21540" y="21452"/>
                <wp:lineTo x="21540" y="0"/>
                <wp:lineTo x="0" y="0"/>
              </wp:wrapPolygon>
            </wp:wrapTight>
            <wp:docPr id="15" name="Picture 15" descr="This figure shows how the current and proposed PHI capital standards apply to the business of an in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how the current and proposed PHI capital standards apply to the business of an insure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401" cy="3628425"/>
                    </a:xfrm>
                    <a:prstGeom prst="rect">
                      <a:avLst/>
                    </a:prstGeom>
                    <a:noFill/>
                    <a:ln>
                      <a:noFill/>
                    </a:ln>
                  </pic:spPr>
                </pic:pic>
              </a:graphicData>
            </a:graphic>
            <wp14:sizeRelV relativeFrom="margin">
              <wp14:pctHeight>0</wp14:pctHeight>
            </wp14:sizeRelV>
          </wp:anchor>
        </w:drawing>
      </w:r>
      <w:r w:rsidRPr="00BE2C09">
        <w:t>Scope for applying capital standards</w:t>
      </w:r>
    </w:p>
    <w:p w14:paraId="1A81CAC1" w14:textId="5BEB00AE" w:rsidR="007921D6" w:rsidRPr="000431D3" w:rsidRDefault="00C0773E" w:rsidP="00C0773E">
      <w:pPr>
        <w:pStyle w:val="Heading2Numbers"/>
      </w:pPr>
      <w:bookmarkStart w:id="178" w:name="_Toc24622414"/>
      <w:bookmarkStart w:id="179" w:name="_Toc25334548"/>
      <w:bookmarkStart w:id="180" w:name="_Toc25941642"/>
      <w:r>
        <w:t>Level of sufficiency</w:t>
      </w:r>
      <w:bookmarkEnd w:id="178"/>
      <w:bookmarkEnd w:id="179"/>
      <w:bookmarkEnd w:id="180"/>
    </w:p>
    <w:p w14:paraId="7088216B" w14:textId="77777777" w:rsidR="00C0773E" w:rsidRDefault="00C0773E" w:rsidP="00C0773E">
      <w:pPr>
        <w:spacing w:before="320"/>
        <w:rPr>
          <w:rFonts w:eastAsia="Times New Roman" w:cs="Calibri"/>
          <w:lang w:eastAsia="en-AU"/>
        </w:rPr>
      </w:pPr>
      <w:r>
        <w:rPr>
          <w:rFonts w:eastAsia="Times New Roman" w:cs="Calibri"/>
          <w:lang w:eastAsia="en-AU"/>
        </w:rPr>
        <w:t xml:space="preserve">Consistent with the LAGIC framework, APRA proposes that the PHI capital standards target </w:t>
      </w:r>
      <w:r w:rsidRPr="00D60A1D">
        <w:rPr>
          <w:rFonts w:eastAsia="Times New Roman" w:cs="Calibri"/>
          <w:lang w:eastAsia="en-AU"/>
        </w:rPr>
        <w:t>a 99.5</w:t>
      </w:r>
      <w:r>
        <w:rPr>
          <w:rFonts w:eastAsia="Times New Roman" w:cs="Calibri"/>
          <w:lang w:eastAsia="en-AU"/>
        </w:rPr>
        <w:t> per cent</w:t>
      </w:r>
      <w:r w:rsidRPr="00D60A1D">
        <w:rPr>
          <w:rFonts w:eastAsia="Times New Roman" w:cs="Calibri"/>
          <w:lang w:eastAsia="en-AU"/>
        </w:rPr>
        <w:t xml:space="preserve"> probability of sufficiency over a one year period. </w:t>
      </w:r>
      <w:r>
        <w:rPr>
          <w:rFonts w:eastAsia="Times New Roman" w:cs="Calibri"/>
          <w:lang w:eastAsia="en-AU"/>
        </w:rPr>
        <w:t>The probability of sufficiency in the current PHI capital standards is set at 98 per cent.</w:t>
      </w:r>
    </w:p>
    <w:p w14:paraId="317709F9" w14:textId="425A0ECC" w:rsidR="00C0773E" w:rsidRDefault="00C0773E" w:rsidP="00C0773E">
      <w:pPr>
        <w:numPr>
          <w:ilvl w:val="0"/>
          <w:numId w:val="0"/>
        </w:numPr>
        <w:rPr>
          <w:rFonts w:eastAsia="Times New Roman" w:cs="Calibri"/>
          <w:lang w:eastAsia="en-AU"/>
        </w:rPr>
      </w:pPr>
      <w:r>
        <w:t>APRA considers that a</w:t>
      </w:r>
      <w:r w:rsidRPr="00D60A1D">
        <w:rPr>
          <w:rFonts w:eastAsia="Times New Roman" w:cs="Calibri"/>
          <w:lang w:eastAsia="en-AU"/>
        </w:rPr>
        <w:t xml:space="preserve">n insurer needs to have sufficient capital to absorb unexpected shocks that may arise over the </w:t>
      </w:r>
      <w:proofErr w:type="gramStart"/>
      <w:r w:rsidRPr="00D60A1D">
        <w:rPr>
          <w:rFonts w:eastAsia="Times New Roman" w:cs="Calibri"/>
          <w:lang w:eastAsia="en-AU"/>
        </w:rPr>
        <w:t>one</w:t>
      </w:r>
      <w:r w:rsidR="00F44698">
        <w:rPr>
          <w:rFonts w:eastAsia="Times New Roman" w:cs="Calibri"/>
          <w:lang w:eastAsia="en-AU"/>
        </w:rPr>
        <w:t xml:space="preserve"> </w:t>
      </w:r>
      <w:r w:rsidRPr="00D60A1D">
        <w:rPr>
          <w:rFonts w:eastAsia="Times New Roman" w:cs="Calibri"/>
          <w:lang w:eastAsia="en-AU"/>
        </w:rPr>
        <w:t>year</w:t>
      </w:r>
      <w:proofErr w:type="gramEnd"/>
      <w:r w:rsidRPr="00D60A1D">
        <w:rPr>
          <w:rFonts w:eastAsia="Times New Roman" w:cs="Calibri"/>
          <w:lang w:eastAsia="en-AU"/>
        </w:rPr>
        <w:t xml:space="preserve"> period and continue to be able to meet its obligations to policy</w:t>
      </w:r>
      <w:r>
        <w:rPr>
          <w:rFonts w:eastAsia="Times New Roman" w:cs="Calibri"/>
          <w:lang w:eastAsia="en-AU"/>
        </w:rPr>
        <w:t xml:space="preserve"> </w:t>
      </w:r>
      <w:r w:rsidRPr="00D60A1D">
        <w:rPr>
          <w:rFonts w:eastAsia="Times New Roman" w:cs="Calibri"/>
          <w:lang w:eastAsia="en-AU"/>
        </w:rPr>
        <w:t>holde</w:t>
      </w:r>
      <w:r>
        <w:rPr>
          <w:rFonts w:eastAsia="Times New Roman" w:cs="Calibri"/>
          <w:lang w:eastAsia="en-AU"/>
        </w:rPr>
        <w:t>rs at the end of that period. A 99.5 per cent probability of sufficiency delivers a very high level of certainty to policy holders that an insurer will be able to meet the financial promises that it has made.</w:t>
      </w:r>
    </w:p>
    <w:p w14:paraId="3EC651ED" w14:textId="77777777" w:rsidR="00C0773E" w:rsidRPr="00E508AC" w:rsidRDefault="00C0773E" w:rsidP="00C0773E">
      <w:pPr>
        <w:numPr>
          <w:ilvl w:val="0"/>
          <w:numId w:val="0"/>
        </w:numPr>
      </w:pPr>
      <w:r>
        <w:t xml:space="preserve">APRA also proposes that the probability of sufficiency requirement apply on a gone concern basis. This proposal seeks to ensure that insurers have prudent capital to meet the needs of policy holders, without relying on potential future business revenue or profit which may that </w:t>
      </w:r>
      <w:r w:rsidRPr="00854A50">
        <w:t xml:space="preserve">may not </w:t>
      </w:r>
      <w:r>
        <w:t xml:space="preserve">eventuate if the insurer experiences extreme stress, and that they have also taken into account needs in winding-up the insurer. APRA seeks feedback on the implications of the proposed uplift in the probability of sufficiency requirement. </w:t>
      </w:r>
    </w:p>
    <w:p w14:paraId="55C9F899" w14:textId="77777777" w:rsidR="00C0773E" w:rsidRPr="001B7266" w:rsidRDefault="00C0773E" w:rsidP="00C0773E">
      <w:pPr>
        <w:pStyle w:val="Heading2Numbers"/>
      </w:pPr>
      <w:bookmarkStart w:id="181" w:name="_Toc22821261"/>
      <w:bookmarkStart w:id="182" w:name="_Toc23148545"/>
      <w:bookmarkStart w:id="183" w:name="_Toc23252663"/>
      <w:bookmarkStart w:id="184" w:name="_Toc23252950"/>
      <w:bookmarkStart w:id="185" w:name="_Toc23264931"/>
      <w:bookmarkStart w:id="186" w:name="_Toc23269045"/>
      <w:bookmarkStart w:id="187" w:name="_Toc23416013"/>
      <w:bookmarkStart w:id="188" w:name="_Toc23416486"/>
      <w:bookmarkStart w:id="189" w:name="_Toc24464040"/>
      <w:bookmarkStart w:id="190" w:name="_Toc24473719"/>
      <w:bookmarkStart w:id="191" w:name="_Toc24473928"/>
      <w:bookmarkStart w:id="192" w:name="_Toc24622415"/>
      <w:bookmarkStart w:id="193" w:name="_Toc25334549"/>
      <w:bookmarkStart w:id="194" w:name="_Toc25941643"/>
      <w:r w:rsidRPr="00C0773E">
        <w:t>Defining</w:t>
      </w:r>
      <w:r w:rsidRPr="001B7266">
        <w:t xml:space="preserve"> the capital base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4052F719" w14:textId="77777777" w:rsidR="00C0773E" w:rsidRDefault="00C0773E" w:rsidP="00C0773E">
      <w:pPr>
        <w:pStyle w:val="Heading3Numbers"/>
      </w:pPr>
      <w:bookmarkStart w:id="195" w:name="_Toc22821262"/>
      <w:bookmarkStart w:id="196" w:name="_Toc23148546"/>
      <w:bookmarkStart w:id="197" w:name="_Toc23252664"/>
      <w:bookmarkStart w:id="198" w:name="_Toc23252951"/>
      <w:bookmarkStart w:id="199" w:name="_Toc23264932"/>
      <w:bookmarkStart w:id="200" w:name="_Toc23269046"/>
      <w:bookmarkStart w:id="201" w:name="_Toc23416014"/>
      <w:bookmarkStart w:id="202" w:name="_Toc23416487"/>
      <w:bookmarkStart w:id="203" w:name="_Toc24464041"/>
      <w:bookmarkStart w:id="204" w:name="_Toc24473720"/>
      <w:bookmarkStart w:id="205" w:name="_Toc24473929"/>
      <w:bookmarkStart w:id="206" w:name="_Toc24552452"/>
      <w:bookmarkStart w:id="207" w:name="_Toc24622416"/>
      <w:bookmarkStart w:id="208" w:name="_Toc25334550"/>
      <w:bookmarkStart w:id="209" w:name="_Toc25336131"/>
      <w:bookmarkStart w:id="210" w:name="_Toc25941644"/>
      <w:r w:rsidRPr="00C0773E">
        <w:t>Admissible</w:t>
      </w:r>
      <w:r w:rsidRPr="00B20D07">
        <w:t xml:space="preserve"> assets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6F03951A" w14:textId="77777777" w:rsidR="00C0773E" w:rsidRDefault="00C0773E" w:rsidP="00C0773E">
      <w:r w:rsidRPr="00C17FBF">
        <w:t>The fundamental requirement of LAGIC is that each insurer must have available capital (or capital base) greater than the minimum required capital (</w:t>
      </w:r>
      <w:r>
        <w:t xml:space="preserve">or </w:t>
      </w:r>
      <w:r w:rsidRPr="00C17FBF">
        <w:t xml:space="preserve">PCR) at all times. </w:t>
      </w:r>
      <w:r>
        <w:t>The</w:t>
      </w:r>
      <w:r w:rsidRPr="00C17FBF">
        <w:t xml:space="preserve"> current capital standards generally start with values determined under Australian accounting standards. </w:t>
      </w:r>
      <w:r>
        <w:t>Regulatory a</w:t>
      </w:r>
      <w:r w:rsidRPr="00C17FBF">
        <w:t>djustments to those values are necessary to make sur</w:t>
      </w:r>
      <w:r>
        <w:t>e they are sufficiently prudent</w:t>
      </w:r>
      <w:r w:rsidRPr="00C17FBF">
        <w:t xml:space="preserve">. </w:t>
      </w:r>
    </w:p>
    <w:p w14:paraId="777BEE25" w14:textId="588D5559" w:rsidR="00C0773E" w:rsidRDefault="00C0773E" w:rsidP="00C0773E">
      <w:r>
        <w:t xml:space="preserve">The </w:t>
      </w:r>
      <w:r w:rsidRPr="00C17FBF">
        <w:t xml:space="preserve">capital base under the LAGIC framework </w:t>
      </w:r>
      <w:r>
        <w:t xml:space="preserve">applies regulatory adjustments such that no </w:t>
      </w:r>
      <w:r w:rsidRPr="00C17FBF">
        <w:t xml:space="preserve">value </w:t>
      </w:r>
      <w:r>
        <w:t xml:space="preserve">is ascribed to assets that may not be available to pay claims in times of stress. This includes </w:t>
      </w:r>
      <w:r w:rsidRPr="00C17FBF">
        <w:t xml:space="preserve">deferred tax assets, goodwill and other intangibles, deferred acquisition costs and a range of other similar assets. </w:t>
      </w:r>
      <w:r>
        <w:t>For</w:t>
      </w:r>
      <w:r w:rsidRPr="00C17FBF">
        <w:t xml:space="preserve"> the value of liabilities, </w:t>
      </w:r>
      <w:r>
        <w:t>APRA</w:t>
      </w:r>
      <w:r w:rsidRPr="00C17FBF">
        <w:t xml:space="preserve"> </w:t>
      </w:r>
      <w:r>
        <w:t>proposes to</w:t>
      </w:r>
      <w:r w:rsidRPr="00C17FBF">
        <w:t xml:space="preserve"> calculate the base value using the forthcoming new</w:t>
      </w:r>
      <w:r>
        <w:t xml:space="preserve"> insurance accounting standard </w:t>
      </w:r>
      <w:r w:rsidRPr="007F054A">
        <w:rPr>
          <w:i/>
        </w:rPr>
        <w:t>AASB 17 Insurance Contracts</w:t>
      </w:r>
      <w:r w:rsidRPr="00C17FBF">
        <w:t>, with appropriate adjustments.</w:t>
      </w:r>
    </w:p>
    <w:p w14:paraId="431F9EDA" w14:textId="44D2D144" w:rsidR="00F95418" w:rsidRDefault="004F35D2" w:rsidP="00E85966">
      <w:r>
        <w:t>APRA proposes that the PHI capital standards adopt regulatory adjustments</w:t>
      </w:r>
      <w:r w:rsidR="00632C30">
        <w:t xml:space="preserve"> based on those </w:t>
      </w:r>
      <w:r w:rsidR="0057322F">
        <w:t>specified</w:t>
      </w:r>
      <w:r w:rsidRPr="00632C30">
        <w:rPr>
          <w:color w:val="auto"/>
        </w:rPr>
        <w:t xml:space="preserve"> in </w:t>
      </w:r>
      <w:r w:rsidRPr="00632C30">
        <w:rPr>
          <w:i/>
          <w:color w:val="auto"/>
        </w:rPr>
        <w:t>Prudential Standard GPS 112 Capital Adequacy: Measurement of capital</w:t>
      </w:r>
      <w:r>
        <w:t xml:space="preserve"> </w:t>
      </w:r>
      <w:r w:rsidR="0098419A" w:rsidRPr="0098419A">
        <w:t>(GPS 112)</w:t>
      </w:r>
      <w:r w:rsidR="0098419A">
        <w:rPr>
          <w:i/>
        </w:rPr>
        <w:t xml:space="preserve"> </w:t>
      </w:r>
      <w:r>
        <w:t>to determine the forms of capital deemed eligible for inclusion in the capital base.</w:t>
      </w:r>
      <w:r w:rsidR="00EC440C">
        <w:t xml:space="preserve"> </w:t>
      </w:r>
      <w:r w:rsidR="00BC1F1D">
        <w:t>Further</w:t>
      </w:r>
      <w:r w:rsidR="00F95418">
        <w:t>, APRA prop</w:t>
      </w:r>
      <w:r w:rsidR="00EC440C">
        <w:t>o</w:t>
      </w:r>
      <w:r w:rsidR="00F95418">
        <w:t xml:space="preserve">ses that an insurer </w:t>
      </w:r>
      <w:r w:rsidR="00F95418" w:rsidRPr="00B95C31">
        <w:t xml:space="preserve">obtain APRA’s written approval prior to making any planned reduction </w:t>
      </w:r>
      <w:r w:rsidR="00F95418">
        <w:t>in</w:t>
      </w:r>
      <w:r w:rsidR="00F95418" w:rsidRPr="00B95C31">
        <w:t xml:space="preserve"> the capital base</w:t>
      </w:r>
      <w:r w:rsidR="00F95418">
        <w:t xml:space="preserve">. </w:t>
      </w:r>
      <w:r w:rsidR="00BC1F1D">
        <w:t>The insurer would need to provide APRA with a for</w:t>
      </w:r>
      <w:r w:rsidR="00AF7152">
        <w:t>e</w:t>
      </w:r>
      <w:r w:rsidR="00BC1F1D">
        <w:t>cast of its projected capital position after the proposed capital reductions.</w:t>
      </w:r>
      <w:r w:rsidR="00473851">
        <w:t xml:space="preserve"> </w:t>
      </w:r>
      <w:r w:rsidR="00811155">
        <w:t>Seeking approval will provide APRA with information to assess capital levels to ensure continued protection of policy holders.</w:t>
      </w:r>
    </w:p>
    <w:p w14:paraId="686BEA44" w14:textId="66B2F5E4" w:rsidR="00C0773E" w:rsidRPr="00B20D07" w:rsidRDefault="002475F3" w:rsidP="00BE0C40">
      <w:pPr>
        <w:pStyle w:val="Heading3Numbers"/>
      </w:pPr>
      <w:bookmarkStart w:id="211" w:name="_Toc23264933"/>
      <w:bookmarkStart w:id="212" w:name="_Toc23269047"/>
      <w:bookmarkStart w:id="213" w:name="_Toc23416015"/>
      <w:bookmarkStart w:id="214" w:name="_Toc23416488"/>
      <w:bookmarkStart w:id="215" w:name="_Toc24464042"/>
      <w:bookmarkStart w:id="216" w:name="_Toc24473721"/>
      <w:bookmarkStart w:id="217" w:name="_Toc24473930"/>
      <w:bookmarkStart w:id="218" w:name="_Toc24552453"/>
      <w:bookmarkStart w:id="219" w:name="_Toc24622417"/>
      <w:bookmarkStart w:id="220" w:name="_Toc25334551"/>
      <w:bookmarkStart w:id="221" w:name="_Toc25336132"/>
      <w:bookmarkStart w:id="222" w:name="_Toc25941645"/>
      <w:r>
        <w:t>Capital</w:t>
      </w:r>
      <w:r w:rsidRPr="00B20D07">
        <w:t xml:space="preserve"> </w:t>
      </w:r>
      <w:r w:rsidR="00C0773E" w:rsidRPr="00B20D07">
        <w:t>quality</w:t>
      </w:r>
      <w:bookmarkEnd w:id="211"/>
      <w:bookmarkEnd w:id="212"/>
      <w:bookmarkEnd w:id="213"/>
      <w:bookmarkEnd w:id="214"/>
      <w:bookmarkEnd w:id="215"/>
      <w:bookmarkEnd w:id="216"/>
      <w:bookmarkEnd w:id="217"/>
      <w:bookmarkEnd w:id="218"/>
      <w:bookmarkEnd w:id="219"/>
      <w:bookmarkEnd w:id="220"/>
      <w:bookmarkEnd w:id="221"/>
      <w:bookmarkEnd w:id="222"/>
      <w:r w:rsidR="00C0773E" w:rsidRPr="00B20D07">
        <w:t xml:space="preserve"> </w:t>
      </w:r>
    </w:p>
    <w:p w14:paraId="0F07110B" w14:textId="77777777" w:rsidR="00C0773E" w:rsidRPr="009C60E4" w:rsidRDefault="00C0773E" w:rsidP="00C0773E">
      <w:r w:rsidRPr="00C55A79">
        <w:t xml:space="preserve">A key aspect of APRA’s </w:t>
      </w:r>
      <w:r>
        <w:t xml:space="preserve">LAGIC framework </w:t>
      </w:r>
      <w:r w:rsidRPr="00C55A79">
        <w:t>is the quality of eligible capital</w:t>
      </w:r>
      <w:r>
        <w:t xml:space="preserve"> in recognition that not all capital instruments </w:t>
      </w:r>
      <w:r w:rsidRPr="00953B1B">
        <w:t>provide a permanent and unrestricted commitment of funds available to absorb losses</w:t>
      </w:r>
      <w:r>
        <w:t xml:space="preserve">. </w:t>
      </w:r>
      <w:r w:rsidRPr="00C55A79">
        <w:t>Factors considered in determining the quality of a capital instrument</w:t>
      </w:r>
      <w:r>
        <w:t xml:space="preserve"> under the LAGIC framework</w:t>
      </w:r>
      <w:r w:rsidRPr="00C55A79">
        <w:t xml:space="preserve"> include whether the </w:t>
      </w:r>
      <w:r>
        <w:t>instrument satisfies all of the following essential characteristics:</w:t>
      </w:r>
    </w:p>
    <w:p w14:paraId="1D257A69" w14:textId="77777777" w:rsidR="00C0773E" w:rsidRPr="00BE0C40" w:rsidRDefault="00C0773E" w:rsidP="00BE0C40">
      <w:pPr>
        <w:pStyle w:val="ListBullet"/>
      </w:pPr>
      <w:r w:rsidRPr="00BE0C40">
        <w:t>provide a permanent and unrestricted commitment of funds;</w:t>
      </w:r>
    </w:p>
    <w:p w14:paraId="41D5D673" w14:textId="77777777" w:rsidR="00C0773E" w:rsidRPr="00BE0C40" w:rsidRDefault="00C0773E" w:rsidP="00BE0C40">
      <w:pPr>
        <w:pStyle w:val="ListBullet"/>
      </w:pPr>
      <w:r w:rsidRPr="00BE0C40">
        <w:t>be freely available to absorb losses;</w:t>
      </w:r>
    </w:p>
    <w:p w14:paraId="4390DE7B" w14:textId="77777777" w:rsidR="00C0773E" w:rsidRPr="00BE0C40" w:rsidRDefault="00C0773E" w:rsidP="00BE0C40">
      <w:pPr>
        <w:pStyle w:val="ListBullet"/>
      </w:pPr>
      <w:r w:rsidRPr="00BE0C40">
        <w:t xml:space="preserve">not impose any unavoidable servicing charge against earnings; and </w:t>
      </w:r>
    </w:p>
    <w:p w14:paraId="27B3F352" w14:textId="77777777" w:rsidR="00C0773E" w:rsidRPr="00BE0C40" w:rsidRDefault="00C0773E" w:rsidP="00BE0C40">
      <w:pPr>
        <w:pStyle w:val="ListBullet"/>
      </w:pPr>
      <w:r w:rsidRPr="00BE0C40">
        <w:t xml:space="preserve">rank behind the claims of policy holders and creditors in the event of winding-up of the insurer. </w:t>
      </w:r>
    </w:p>
    <w:p w14:paraId="3D8A5413" w14:textId="79572FA6" w:rsidR="00C0773E" w:rsidRDefault="00C0773E" w:rsidP="00C0773E">
      <w:r>
        <w:t xml:space="preserve">The current PHI capital standards do not include comparable </w:t>
      </w:r>
      <w:r w:rsidR="002475F3">
        <w:t xml:space="preserve">capital </w:t>
      </w:r>
      <w:r>
        <w:t xml:space="preserve">quality requirements meaning that an insurer’s regulatory capital requirement may include amounts which </w:t>
      </w:r>
      <w:r w:rsidRPr="00854A50">
        <w:t>may not be reliable in extreme stress and/or otherwise</w:t>
      </w:r>
      <w:r>
        <w:t xml:space="preserve"> be</w:t>
      </w:r>
      <w:r w:rsidRPr="00854A50">
        <w:t xml:space="preserve"> unavailable to meet policy</w:t>
      </w:r>
      <w:r>
        <w:t xml:space="preserve"> </w:t>
      </w:r>
      <w:r w:rsidRPr="00854A50">
        <w:t>holder claims</w:t>
      </w:r>
      <w:r>
        <w:t>.</w:t>
      </w:r>
    </w:p>
    <w:p w14:paraId="7EC83B15" w14:textId="77777777" w:rsidR="00C0773E" w:rsidRPr="00736410" w:rsidRDefault="00C0773E" w:rsidP="00C0773E">
      <w:r w:rsidRPr="00736410">
        <w:t>To strengthen the capital base in the PHI industry, APRA is proposing to introduce restrictions on the composition of an insurer’s capital that is eligible to be included in the capital base. APRA welcomes any feedback on the application</w:t>
      </w:r>
      <w:r>
        <w:t xml:space="preserve"> of this proposal and challenges of transition to the proposals.</w:t>
      </w:r>
    </w:p>
    <w:p w14:paraId="628FA131" w14:textId="77777777" w:rsidR="00C0773E" w:rsidRDefault="00C0773E" w:rsidP="00C0773E">
      <w:r>
        <w:t xml:space="preserve">Under the LAGIC framework the </w:t>
      </w:r>
      <w:r w:rsidRPr="007E0133">
        <w:t>components of eligible capital are subdivided into Tier 1 capital, which comprises the highest quality components of capital</w:t>
      </w:r>
      <w:r>
        <w:t xml:space="preserve"> (Common Equity Tier 1 (CET1) and other Tier 1)</w:t>
      </w:r>
      <w:r w:rsidRPr="007E0133">
        <w:t xml:space="preserve">, and Tier 2 </w:t>
      </w:r>
      <w:r>
        <w:t xml:space="preserve">(T2) </w:t>
      </w:r>
      <w:r w:rsidRPr="007E0133">
        <w:t xml:space="preserve">capital. The latter includes other components of capital such as subordinated debt that, to varying degrees, fall short of the quality of Tier 1 capital but nonetheless contribute to the overall </w:t>
      </w:r>
      <w:r>
        <w:t xml:space="preserve">capital available to an </w:t>
      </w:r>
      <w:r w:rsidRPr="007E0133">
        <w:t xml:space="preserve">entity. </w:t>
      </w:r>
      <w:r>
        <w:t xml:space="preserve">APRA proposes to </w:t>
      </w:r>
      <w:r w:rsidRPr="007E0133">
        <w:t>introduce the same Tier 1 and Tier 2 requirements</w:t>
      </w:r>
      <w:r>
        <w:t xml:space="preserve"> </w:t>
      </w:r>
      <w:r w:rsidRPr="007E0133">
        <w:t xml:space="preserve">as </w:t>
      </w:r>
      <w:r>
        <w:t>those in the LAGIC framework</w:t>
      </w:r>
      <w:r w:rsidRPr="007E0133">
        <w:t>.</w:t>
      </w:r>
    </w:p>
    <w:p w14:paraId="3B27CBB6" w14:textId="77777777" w:rsidR="00C0773E" w:rsidRDefault="00C0773E" w:rsidP="00C0773E">
      <w:r>
        <w:t xml:space="preserve">Following the approach applied in the life insurance industry, APRA proposes that the quality of capital requirements be applied to the whole licenced health insurer, as well as at the HBF level where capital instruments are associated with the specific HBF. </w:t>
      </w:r>
    </w:p>
    <w:p w14:paraId="00BEE913" w14:textId="77777777" w:rsidR="00C0773E" w:rsidRPr="00B20D07" w:rsidRDefault="00C0773E" w:rsidP="00BE0C40">
      <w:pPr>
        <w:pStyle w:val="Heading3Numbers"/>
      </w:pPr>
      <w:bookmarkStart w:id="223" w:name="_Toc23264934"/>
      <w:bookmarkStart w:id="224" w:name="_Toc23269048"/>
      <w:bookmarkStart w:id="225" w:name="_Toc23416016"/>
      <w:bookmarkStart w:id="226" w:name="_Toc23416489"/>
      <w:bookmarkStart w:id="227" w:name="_Toc24464043"/>
      <w:bookmarkStart w:id="228" w:name="_Toc24473722"/>
      <w:bookmarkStart w:id="229" w:name="_Toc24473931"/>
      <w:bookmarkStart w:id="230" w:name="_Toc24552454"/>
      <w:bookmarkStart w:id="231" w:name="_Toc24622418"/>
      <w:bookmarkStart w:id="232" w:name="_Toc25334552"/>
      <w:bookmarkStart w:id="233" w:name="_Toc25336133"/>
      <w:bookmarkStart w:id="234" w:name="_Toc25941646"/>
      <w:r w:rsidRPr="00B20D07">
        <w:t>Minimum proportions on the quality of capital</w:t>
      </w:r>
      <w:bookmarkEnd w:id="223"/>
      <w:bookmarkEnd w:id="224"/>
      <w:r w:rsidRPr="00B20D07">
        <w:t xml:space="preserve"> components</w:t>
      </w:r>
      <w:bookmarkEnd w:id="225"/>
      <w:bookmarkEnd w:id="226"/>
      <w:bookmarkEnd w:id="227"/>
      <w:bookmarkEnd w:id="228"/>
      <w:bookmarkEnd w:id="229"/>
      <w:bookmarkEnd w:id="230"/>
      <w:bookmarkEnd w:id="231"/>
      <w:bookmarkEnd w:id="232"/>
      <w:bookmarkEnd w:id="233"/>
      <w:bookmarkEnd w:id="234"/>
    </w:p>
    <w:p w14:paraId="37003D38" w14:textId="5CC3E6CE" w:rsidR="00C0773E" w:rsidRDefault="00C0773E" w:rsidP="00C0773E">
      <w:r w:rsidRPr="00D97FC7">
        <w:t xml:space="preserve">APRA proposes that </w:t>
      </w:r>
      <w:r>
        <w:t>insurer</w:t>
      </w:r>
      <w:r w:rsidRPr="00D97FC7">
        <w:t>s be required to hold minimum levels of CET1 and Total T</w:t>
      </w:r>
      <w:r>
        <w:t xml:space="preserve">ier </w:t>
      </w:r>
      <w:r w:rsidRPr="00D97FC7">
        <w:t xml:space="preserve">1 capital (both net of regulatory adjustments) sufficient to meet a high proportion of the PCR. </w:t>
      </w:r>
      <w:r>
        <w:t xml:space="preserve">CET1 represents the strongest forms of capital, and are available on a going concern basis to address financial pressures on an insurer. </w:t>
      </w:r>
      <w:r w:rsidRPr="00D97FC7">
        <w:t xml:space="preserve">APRA proposes that </w:t>
      </w:r>
      <w:r>
        <w:t>insurers</w:t>
      </w:r>
      <w:r w:rsidRPr="00D97FC7">
        <w:t xml:space="preserve"> will also be eligible to meet some of the PCR with </w:t>
      </w:r>
      <w:r>
        <w:t xml:space="preserve">T2 </w:t>
      </w:r>
      <w:r w:rsidRPr="00D97FC7">
        <w:t xml:space="preserve">capital. </w:t>
      </w:r>
      <w:r>
        <w:t>T2 capital is not available to an insurer until it is a gone concern, and therefore not available to assist whilst an insurer seeks to improve its financial position</w:t>
      </w:r>
      <w:r w:rsidR="00722CE9">
        <w:t xml:space="preserve"> as a going concern</w:t>
      </w:r>
      <w:r>
        <w:t xml:space="preserve">. </w:t>
      </w:r>
    </w:p>
    <w:p w14:paraId="1F39537B" w14:textId="77777777" w:rsidR="00C0773E" w:rsidRDefault="00C0773E" w:rsidP="00C0773E">
      <w:r w:rsidRPr="00D97FC7">
        <w:t>Taking the LAGIC framework as a starting base, APRA proposes that</w:t>
      </w:r>
      <w:r>
        <w:t>:</w:t>
      </w:r>
    </w:p>
    <w:p w14:paraId="75445538" w14:textId="77777777" w:rsidR="00C0773E" w:rsidRDefault="00C0773E" w:rsidP="00C0773E">
      <w:pPr>
        <w:pStyle w:val="ListBullet"/>
      </w:pPr>
      <w:r>
        <w:t>CET1 exceed 60 per cent of the PCR;</w:t>
      </w:r>
    </w:p>
    <w:p w14:paraId="598646BE" w14:textId="77777777" w:rsidR="00C0773E" w:rsidRDefault="00C0773E" w:rsidP="00C0773E">
      <w:pPr>
        <w:pStyle w:val="ListBullet"/>
      </w:pPr>
      <w:r>
        <w:t xml:space="preserve">Total Tier 1 capital exceed </w:t>
      </w:r>
      <w:r w:rsidRPr="00FA65DC">
        <w:t>80</w:t>
      </w:r>
      <w:r>
        <w:t> per cent of the PCR; and</w:t>
      </w:r>
    </w:p>
    <w:p w14:paraId="0F54DB8A" w14:textId="77777777" w:rsidR="00C0773E" w:rsidRDefault="00C0773E" w:rsidP="00C0773E">
      <w:pPr>
        <w:pStyle w:val="ListBullet"/>
      </w:pPr>
      <w:r>
        <w:t>the remaining capital to meet the PCR can be held as T2 capital.</w:t>
      </w:r>
    </w:p>
    <w:p w14:paraId="457701EB" w14:textId="77777777" w:rsidR="00C0773E" w:rsidRPr="0015262F" w:rsidRDefault="00C0773E" w:rsidP="00BE0C40">
      <w:pPr>
        <w:pStyle w:val="ListBullet"/>
        <w:numPr>
          <w:ilvl w:val="0"/>
          <w:numId w:val="0"/>
        </w:numPr>
      </w:pPr>
      <w:r w:rsidRPr="0015262F">
        <w:t xml:space="preserve">APRA </w:t>
      </w:r>
      <w:r>
        <w:t>invites</w:t>
      </w:r>
      <w:r w:rsidRPr="0015262F">
        <w:t xml:space="preserve"> feedback on </w:t>
      </w:r>
      <w:r>
        <w:t>its</w:t>
      </w:r>
      <w:r w:rsidRPr="0015262F">
        <w:t xml:space="preserve"> proposed </w:t>
      </w:r>
      <w:r>
        <w:t>minimum proportions for capital and transition considerations for the new framework.</w:t>
      </w:r>
    </w:p>
    <w:p w14:paraId="01916479" w14:textId="7274804E" w:rsidR="00C0773E" w:rsidRPr="00B20D07" w:rsidRDefault="00C0773E" w:rsidP="00BE0C40">
      <w:pPr>
        <w:pStyle w:val="Heading3Numbers"/>
      </w:pPr>
      <w:bookmarkStart w:id="235" w:name="_Toc24464044"/>
      <w:bookmarkStart w:id="236" w:name="_Toc24473723"/>
      <w:bookmarkStart w:id="237" w:name="_Toc24473932"/>
      <w:bookmarkStart w:id="238" w:name="_Toc24552455"/>
      <w:bookmarkStart w:id="239" w:name="_Toc24622419"/>
      <w:bookmarkStart w:id="240" w:name="_Toc25334553"/>
      <w:bookmarkStart w:id="241" w:name="_Toc25336134"/>
      <w:bookmarkStart w:id="242" w:name="_Toc25941647"/>
      <w:r w:rsidRPr="00B20D07">
        <w:t xml:space="preserve">Mutual equity </w:t>
      </w:r>
      <w:r w:rsidR="00313219">
        <w:t>interests</w:t>
      </w:r>
      <w:r w:rsidRPr="00B20D07">
        <w:t xml:space="preserve"> (MEI)</w:t>
      </w:r>
      <w:bookmarkEnd w:id="235"/>
      <w:bookmarkEnd w:id="236"/>
      <w:bookmarkEnd w:id="237"/>
      <w:bookmarkEnd w:id="238"/>
      <w:bookmarkEnd w:id="239"/>
      <w:bookmarkEnd w:id="240"/>
      <w:bookmarkEnd w:id="241"/>
      <w:bookmarkEnd w:id="242"/>
    </w:p>
    <w:p w14:paraId="41C8301A" w14:textId="13F6858C" w:rsidR="00C0773E" w:rsidRPr="001B7266" w:rsidRDefault="00C0773E" w:rsidP="00C0773E">
      <w:pPr>
        <w:rPr>
          <w:lang w:val="en-GB"/>
        </w:rPr>
      </w:pPr>
      <w:r w:rsidRPr="001B7266">
        <w:rPr>
          <w:lang w:val="en-GB"/>
        </w:rPr>
        <w:t>Under APRA’s current capital frameworks for the insurance sectors (LAGIC and the PHI capital standards), insurers that are owned by members (mutually</w:t>
      </w:r>
      <w:r w:rsidR="00084D2B">
        <w:rPr>
          <w:lang w:val="en-GB"/>
        </w:rPr>
        <w:t xml:space="preserve"> </w:t>
      </w:r>
      <w:r w:rsidRPr="001B7266">
        <w:rPr>
          <w:lang w:val="en-GB"/>
        </w:rPr>
        <w:t xml:space="preserve">owned insurers) have limited access to CET1 capital beyond retained earnings. This is partly because instruments which meet APRA’s criteria for classification as ordinary shares may be inconsistent with mutuality principles under the </w:t>
      </w:r>
      <w:r w:rsidRPr="001B7266">
        <w:rPr>
          <w:i/>
          <w:lang w:val="en-GB"/>
        </w:rPr>
        <w:t>Corporations Act 2001</w:t>
      </w:r>
      <w:r w:rsidRPr="001B7266">
        <w:rPr>
          <w:lang w:val="en-GB"/>
        </w:rPr>
        <w:t xml:space="preserve"> (Corporations Act). </w:t>
      </w:r>
    </w:p>
    <w:p w14:paraId="37EA2D7D" w14:textId="25A0274E" w:rsidR="00C0773E" w:rsidRPr="001B7266" w:rsidRDefault="00C0773E" w:rsidP="00C0773E">
      <w:pPr>
        <w:rPr>
          <w:lang w:val="en-GB"/>
        </w:rPr>
      </w:pPr>
      <w:r w:rsidRPr="001B7266">
        <w:rPr>
          <w:lang w:val="en-GB"/>
        </w:rPr>
        <w:t>Until recently, a similar constraint applied to entities in the banking sector which are mutually</w:t>
      </w:r>
      <w:r w:rsidR="00084D2B">
        <w:rPr>
          <w:lang w:val="en-GB"/>
        </w:rPr>
        <w:t xml:space="preserve"> </w:t>
      </w:r>
      <w:r w:rsidRPr="001B7266">
        <w:rPr>
          <w:lang w:val="en-GB"/>
        </w:rPr>
        <w:t>owned. However, from 1 January 2018 amendments to APRA’s prudential standards for Authorised</w:t>
      </w:r>
      <w:r w:rsidR="00084D2B">
        <w:rPr>
          <w:lang w:val="en-GB"/>
        </w:rPr>
        <w:t xml:space="preserve"> </w:t>
      </w:r>
      <w:r w:rsidRPr="001B7266">
        <w:rPr>
          <w:lang w:val="en-GB"/>
        </w:rPr>
        <w:t>Deposit Taking Institutions (ADIs) have permitted mutually</w:t>
      </w:r>
      <w:r>
        <w:rPr>
          <w:lang w:val="en-GB"/>
        </w:rPr>
        <w:t xml:space="preserve"> </w:t>
      </w:r>
      <w:r w:rsidRPr="001B7266">
        <w:rPr>
          <w:lang w:val="en-GB"/>
        </w:rPr>
        <w:t>owned ADIs to issue CET1</w:t>
      </w:r>
      <w:r w:rsidR="00084D2B">
        <w:rPr>
          <w:lang w:val="en-GB"/>
        </w:rPr>
        <w:t xml:space="preserve"> </w:t>
      </w:r>
      <w:r w:rsidRPr="001B7266">
        <w:rPr>
          <w:lang w:val="en-GB"/>
        </w:rPr>
        <w:t>eligible capital instruments (Mut</w:t>
      </w:r>
      <w:r>
        <w:rPr>
          <w:lang w:val="en-GB"/>
        </w:rPr>
        <w:t>ual Equity Interests or MEIs).</w:t>
      </w:r>
    </w:p>
    <w:p w14:paraId="2DDFE3C3" w14:textId="0C109DCD" w:rsidR="00C0773E" w:rsidRDefault="00C0773E" w:rsidP="00C0773E">
      <w:pPr>
        <w:rPr>
          <w:lang w:val="en-GB"/>
        </w:rPr>
      </w:pPr>
      <w:r w:rsidRPr="00FF17F4">
        <w:rPr>
          <w:lang w:val="en-GB"/>
        </w:rPr>
        <w:t xml:space="preserve">These ADI reforms stemmed from the 2016 Senate Economics References Committee report </w:t>
      </w:r>
      <w:proofErr w:type="gramStart"/>
      <w:r w:rsidRPr="00FF17F4">
        <w:rPr>
          <w:lang w:val="en-GB"/>
        </w:rPr>
        <w:t>in to</w:t>
      </w:r>
      <w:proofErr w:type="gramEnd"/>
      <w:r w:rsidRPr="00FF17F4">
        <w:rPr>
          <w:lang w:val="en-GB"/>
        </w:rPr>
        <w:t xml:space="preserve"> the role of cooperatives and mutuals, and the subsequent 2017 independent </w:t>
      </w:r>
      <w:r w:rsidRPr="00FF17F4">
        <w:rPr>
          <w:i/>
          <w:lang w:val="en-GB"/>
        </w:rPr>
        <w:t>Report on Reforms for Cooperatives, Mutuals and Member</w:t>
      </w:r>
      <w:r w:rsidR="00084D2B">
        <w:rPr>
          <w:i/>
          <w:lang w:val="en-GB"/>
        </w:rPr>
        <w:t xml:space="preserve"> </w:t>
      </w:r>
      <w:r w:rsidRPr="00FF17F4">
        <w:rPr>
          <w:i/>
          <w:lang w:val="en-GB"/>
        </w:rPr>
        <w:t>owned Firms</w:t>
      </w:r>
      <w:r w:rsidRPr="00FF17F4">
        <w:rPr>
          <w:lang w:val="en-GB"/>
        </w:rPr>
        <w:t xml:space="preserve"> (Hammond Report). The Hammond Report</w:t>
      </w:r>
      <w:r>
        <w:rPr>
          <w:lang w:val="en-GB"/>
        </w:rPr>
        <w:t xml:space="preserve"> also</w:t>
      </w:r>
      <w:r w:rsidRPr="00FF17F4">
        <w:rPr>
          <w:lang w:val="en-GB"/>
        </w:rPr>
        <w:t xml:space="preserve"> received submissions in support of APRA’s prudential framework being amended to enable mutual </w:t>
      </w:r>
      <w:r>
        <w:rPr>
          <w:lang w:val="en-GB"/>
        </w:rPr>
        <w:t>f</w:t>
      </w:r>
      <w:r w:rsidRPr="00FF17F4">
        <w:rPr>
          <w:lang w:val="en-GB"/>
        </w:rPr>
        <w:t xml:space="preserve">riendly </w:t>
      </w:r>
      <w:r>
        <w:rPr>
          <w:lang w:val="en-GB"/>
        </w:rPr>
        <w:t>s</w:t>
      </w:r>
      <w:r w:rsidRPr="00FF17F4">
        <w:rPr>
          <w:lang w:val="en-GB"/>
        </w:rPr>
        <w:t xml:space="preserve">ocieties and mutual </w:t>
      </w:r>
      <w:r>
        <w:rPr>
          <w:lang w:val="en-GB"/>
        </w:rPr>
        <w:t>private health insurers</w:t>
      </w:r>
      <w:r w:rsidRPr="00FF17F4">
        <w:rPr>
          <w:lang w:val="en-GB"/>
        </w:rPr>
        <w:t xml:space="preserve"> to issue instruments that qualify as CET1 and are consistent with the mutual model</w:t>
      </w:r>
      <w:r>
        <w:rPr>
          <w:lang w:val="en-GB"/>
        </w:rPr>
        <w:t xml:space="preserve"> (</w:t>
      </w:r>
      <w:r w:rsidR="00BD4B42">
        <w:rPr>
          <w:lang w:val="en-GB"/>
        </w:rPr>
        <w:t xml:space="preserve">the </w:t>
      </w:r>
      <w:r w:rsidR="00BD4B42" w:rsidRPr="00FF17F4">
        <w:rPr>
          <w:lang w:val="en-GB"/>
        </w:rPr>
        <w:t>Hammond Report</w:t>
      </w:r>
      <w:r>
        <w:rPr>
          <w:lang w:val="en-GB"/>
        </w:rPr>
        <w:t xml:space="preserve"> did not specifically consider issues related to other insurers)</w:t>
      </w:r>
      <w:r w:rsidRPr="00FF17F4">
        <w:rPr>
          <w:lang w:val="en-GB"/>
        </w:rPr>
        <w:t xml:space="preserve">. </w:t>
      </w:r>
    </w:p>
    <w:p w14:paraId="01317108" w14:textId="5DB7F4F5" w:rsidR="00C0773E" w:rsidRPr="00FF17F4" w:rsidRDefault="00C0773E" w:rsidP="00C0773E">
      <w:pPr>
        <w:rPr>
          <w:lang w:val="en-GB"/>
        </w:rPr>
      </w:pPr>
      <w:r>
        <w:rPr>
          <w:lang w:val="en-GB"/>
        </w:rPr>
        <w:t xml:space="preserve">Given the limitations for mutual insurers to raise additional capital which meets the criteria for CET1 capital, other than through retained earnings, these insurers would have a more limited range of options to improve their resilience if their capital position becomes </w:t>
      </w:r>
      <w:r w:rsidR="00BD4B42">
        <w:rPr>
          <w:lang w:val="en-GB"/>
        </w:rPr>
        <w:t>weakened</w:t>
      </w:r>
      <w:r>
        <w:rPr>
          <w:lang w:val="en-GB"/>
        </w:rPr>
        <w:t xml:space="preserve"> due to adverse experience. </w:t>
      </w:r>
    </w:p>
    <w:p w14:paraId="60C9F46E" w14:textId="27B1D974" w:rsidR="00C0773E" w:rsidRPr="00CE17FF" w:rsidRDefault="00C0773E" w:rsidP="00C0773E">
      <w:r w:rsidRPr="00373439">
        <w:t xml:space="preserve">APRA proposes that the PHI capital standards incorporate provisions </w:t>
      </w:r>
      <w:r>
        <w:t xml:space="preserve">comparable with </w:t>
      </w:r>
      <w:r w:rsidRPr="00373439">
        <w:t xml:space="preserve">those in </w:t>
      </w:r>
      <w:r>
        <w:t xml:space="preserve">the </w:t>
      </w:r>
      <w:r w:rsidRPr="00373439">
        <w:rPr>
          <w:lang w:val="en-GB"/>
        </w:rPr>
        <w:t>ADI capital standards to allow mutually</w:t>
      </w:r>
      <w:r>
        <w:rPr>
          <w:lang w:val="en-GB"/>
        </w:rPr>
        <w:t xml:space="preserve"> </w:t>
      </w:r>
      <w:r w:rsidRPr="00373439">
        <w:rPr>
          <w:lang w:val="en-GB"/>
        </w:rPr>
        <w:t xml:space="preserve">owned insurers to issue MEIs. MEIs can be a useful addition to a mutually owned </w:t>
      </w:r>
      <w:r w:rsidR="005A2EB8">
        <w:rPr>
          <w:lang w:val="en-GB"/>
        </w:rPr>
        <w:t>insurer’s</w:t>
      </w:r>
      <w:r w:rsidR="005A2EB8" w:rsidRPr="00373439">
        <w:rPr>
          <w:lang w:val="en-GB"/>
        </w:rPr>
        <w:t xml:space="preserve"> </w:t>
      </w:r>
      <w:r w:rsidRPr="00373439">
        <w:rPr>
          <w:lang w:val="en-GB"/>
        </w:rPr>
        <w:t>capital structure, however APRA’s view is that MEIs should not const</w:t>
      </w:r>
      <w:r>
        <w:rPr>
          <w:lang w:val="en-GB"/>
        </w:rPr>
        <w:t xml:space="preserve">itute a material proportion of an insurers’ </w:t>
      </w:r>
      <w:r w:rsidRPr="00373439">
        <w:rPr>
          <w:lang w:val="en-GB"/>
        </w:rPr>
        <w:t>CET1 capital.</w:t>
      </w:r>
      <w:r>
        <w:rPr>
          <w:lang w:val="en-GB"/>
        </w:rPr>
        <w:t xml:space="preserve"> Not only are MEIs new and untested, but uncertainties regarding the cost of capital </w:t>
      </w:r>
      <w:r w:rsidR="00722CE9">
        <w:rPr>
          <w:lang w:val="en-GB"/>
        </w:rPr>
        <w:t xml:space="preserve">through MEIs </w:t>
      </w:r>
      <w:r>
        <w:rPr>
          <w:lang w:val="en-GB"/>
        </w:rPr>
        <w:t>may impose strain on future earnings capacity.</w:t>
      </w:r>
      <w:r w:rsidRPr="00373439">
        <w:rPr>
          <w:lang w:val="en-GB"/>
        </w:rPr>
        <w:t xml:space="preserve"> </w:t>
      </w:r>
      <w:r w:rsidR="00BE2C09">
        <w:rPr>
          <w:lang w:val="en-GB"/>
        </w:rPr>
        <w:t>C</w:t>
      </w:r>
      <w:r w:rsidR="005101A1">
        <w:rPr>
          <w:lang w:val="en-GB"/>
        </w:rPr>
        <w:t>o</w:t>
      </w:r>
      <w:r w:rsidR="00BE2C09">
        <w:rPr>
          <w:lang w:val="en-GB"/>
        </w:rPr>
        <w:t>nsistent</w:t>
      </w:r>
      <w:r w:rsidR="005A2EB8">
        <w:rPr>
          <w:lang w:val="en-GB"/>
        </w:rPr>
        <w:t xml:space="preserve"> with its approach in the ADI sector, </w:t>
      </w:r>
      <w:r w:rsidRPr="00373439">
        <w:rPr>
          <w:lang w:val="en-GB"/>
        </w:rPr>
        <w:t>APRA</w:t>
      </w:r>
      <w:r w:rsidR="005A2EB8">
        <w:rPr>
          <w:lang w:val="en-GB"/>
        </w:rPr>
        <w:t xml:space="preserve"> </w:t>
      </w:r>
      <w:r w:rsidRPr="00373439">
        <w:rPr>
          <w:lang w:val="en-GB"/>
        </w:rPr>
        <w:t xml:space="preserve">proposes </w:t>
      </w:r>
      <w:r>
        <w:rPr>
          <w:lang w:val="en-GB"/>
        </w:rPr>
        <w:t>to limit the proportion of MEIs to 25 </w:t>
      </w:r>
      <w:r w:rsidRPr="00373439">
        <w:rPr>
          <w:lang w:val="en-GB"/>
        </w:rPr>
        <w:t>per</w:t>
      </w:r>
      <w:r>
        <w:rPr>
          <w:lang w:val="en-GB"/>
        </w:rPr>
        <w:t> </w:t>
      </w:r>
      <w:r w:rsidRPr="00373439">
        <w:rPr>
          <w:lang w:val="en-GB"/>
        </w:rPr>
        <w:t xml:space="preserve">cent </w:t>
      </w:r>
      <w:r>
        <w:rPr>
          <w:lang w:val="en-GB"/>
        </w:rPr>
        <w:t xml:space="preserve">of an insurers’ </w:t>
      </w:r>
      <w:r w:rsidRPr="00373439">
        <w:rPr>
          <w:lang w:val="en-GB"/>
        </w:rPr>
        <w:t>CET1 capital</w:t>
      </w:r>
      <w:r>
        <w:rPr>
          <w:lang w:val="en-GB"/>
        </w:rPr>
        <w:t xml:space="preserve">, with any </w:t>
      </w:r>
      <w:r w:rsidRPr="00373439">
        <w:rPr>
          <w:lang w:val="en-GB"/>
        </w:rPr>
        <w:t xml:space="preserve">MEIs in excess of this limit </w:t>
      </w:r>
      <w:r>
        <w:rPr>
          <w:lang w:val="en-GB"/>
        </w:rPr>
        <w:t xml:space="preserve">eligible to be </w:t>
      </w:r>
      <w:r w:rsidRPr="00373439">
        <w:rPr>
          <w:lang w:val="en-GB"/>
        </w:rPr>
        <w:t xml:space="preserve">included in </w:t>
      </w:r>
      <w:r>
        <w:rPr>
          <w:lang w:val="en-GB"/>
        </w:rPr>
        <w:t xml:space="preserve">other </w:t>
      </w:r>
      <w:r w:rsidRPr="00373439">
        <w:rPr>
          <w:lang w:val="en-GB"/>
        </w:rPr>
        <w:t>T1 capital</w:t>
      </w:r>
      <w:r>
        <w:rPr>
          <w:lang w:val="en-GB"/>
        </w:rPr>
        <w:t>.</w:t>
      </w:r>
      <w:r w:rsidRPr="00373439">
        <w:rPr>
          <w:lang w:val="en-GB"/>
        </w:rPr>
        <w:t xml:space="preserve"> </w:t>
      </w:r>
    </w:p>
    <w:p w14:paraId="3EB30677" w14:textId="4EB997AF" w:rsidR="00C0773E" w:rsidRDefault="00C0773E" w:rsidP="00C0773E">
      <w:r w:rsidRPr="0015262F">
        <w:t xml:space="preserve">APRA </w:t>
      </w:r>
      <w:r>
        <w:t>invites</w:t>
      </w:r>
      <w:r w:rsidRPr="0015262F">
        <w:t xml:space="preserve"> feedback on</w:t>
      </w:r>
      <w:r>
        <w:t xml:space="preserve"> it proposal to </w:t>
      </w:r>
      <w:r w:rsidR="00722CE9">
        <w:t>make</w:t>
      </w:r>
      <w:r>
        <w:t xml:space="preserve"> MEIs </w:t>
      </w:r>
      <w:r w:rsidR="00722CE9">
        <w:t xml:space="preserve">allowable capital </w:t>
      </w:r>
      <w:r>
        <w:t>and its</w:t>
      </w:r>
      <w:r w:rsidRPr="0015262F">
        <w:t xml:space="preserve"> proposed </w:t>
      </w:r>
      <w:r>
        <w:t xml:space="preserve">limit on the proportion of </w:t>
      </w:r>
      <w:r w:rsidR="00722CE9">
        <w:t>CET1 which can be provided by MEIs</w:t>
      </w:r>
      <w:r>
        <w:t>.</w:t>
      </w:r>
      <w:r w:rsidR="00BD4B42">
        <w:t xml:space="preserve"> APRA is also considering recognising </w:t>
      </w:r>
      <w:r w:rsidR="008C5D32">
        <w:t xml:space="preserve">MEIs as allowable capital for life and general insurers through the LAGIC framework. </w:t>
      </w:r>
    </w:p>
    <w:p w14:paraId="750BD4C0" w14:textId="77777777" w:rsidR="00C0773E" w:rsidRDefault="00C0773E" w:rsidP="00BE0C40">
      <w:pPr>
        <w:pStyle w:val="Heading2Numbers"/>
      </w:pPr>
      <w:bookmarkStart w:id="243" w:name="_Toc22821263"/>
      <w:bookmarkStart w:id="244" w:name="_Toc23148547"/>
      <w:bookmarkStart w:id="245" w:name="_Toc23252665"/>
      <w:bookmarkStart w:id="246" w:name="_Toc23252952"/>
      <w:bookmarkStart w:id="247" w:name="_Toc23264935"/>
      <w:bookmarkStart w:id="248" w:name="_Toc23269049"/>
      <w:bookmarkStart w:id="249" w:name="_Toc23416017"/>
      <w:bookmarkStart w:id="250" w:name="_Toc23416490"/>
      <w:bookmarkStart w:id="251" w:name="_Toc24464045"/>
      <w:bookmarkStart w:id="252" w:name="_Toc24473724"/>
      <w:bookmarkStart w:id="253" w:name="_Toc24473933"/>
      <w:bookmarkStart w:id="254" w:name="_Toc24622420"/>
      <w:bookmarkStart w:id="255" w:name="_Toc25334554"/>
      <w:bookmarkStart w:id="256" w:name="_Toc25941648"/>
      <w:r w:rsidRPr="00015AEE">
        <w:t>Valuing liabilities</w:t>
      </w:r>
      <w:bookmarkEnd w:id="243"/>
      <w:bookmarkEnd w:id="244"/>
      <w:bookmarkEnd w:id="245"/>
      <w:bookmarkEnd w:id="246"/>
      <w:bookmarkEnd w:id="247"/>
      <w:bookmarkEnd w:id="248"/>
      <w:bookmarkEnd w:id="249"/>
      <w:bookmarkEnd w:id="250"/>
      <w:r>
        <w:t xml:space="preserve"> for capital purposes</w:t>
      </w:r>
      <w:bookmarkEnd w:id="251"/>
      <w:bookmarkEnd w:id="252"/>
      <w:bookmarkEnd w:id="253"/>
      <w:bookmarkEnd w:id="254"/>
      <w:bookmarkEnd w:id="255"/>
      <w:bookmarkEnd w:id="256"/>
    </w:p>
    <w:p w14:paraId="61EDBB90" w14:textId="77777777" w:rsidR="00C0773E" w:rsidRPr="00F059BC" w:rsidRDefault="00C0773E" w:rsidP="00C0773E">
      <w:pPr>
        <w:spacing w:before="240"/>
        <w:rPr>
          <w:rFonts w:eastAsia="Calibri" w:cs="Arial"/>
        </w:rPr>
      </w:pPr>
      <w:r>
        <w:t>T</w:t>
      </w:r>
      <w:r w:rsidRPr="00C17FBF">
        <w:t xml:space="preserve">he LAGIC framework </w:t>
      </w:r>
      <w:r>
        <w:t>makes r</w:t>
      </w:r>
      <w:r w:rsidRPr="00854A50">
        <w:t xml:space="preserve">egulatory adjustments </w:t>
      </w:r>
      <w:r>
        <w:t xml:space="preserve">to </w:t>
      </w:r>
      <w:r w:rsidRPr="00854A50">
        <w:t xml:space="preserve">liabilities </w:t>
      </w:r>
      <w:r>
        <w:t xml:space="preserve">to ensure they are appropriately valued for prudential purposes. </w:t>
      </w:r>
    </w:p>
    <w:p w14:paraId="78418037" w14:textId="77777777" w:rsidR="00C0773E" w:rsidRDefault="00C0773E" w:rsidP="00C0773E">
      <w:r>
        <w:t xml:space="preserve">APRA proposes the PHI capital standards be based on the </w:t>
      </w:r>
      <w:r w:rsidRPr="006638AA">
        <w:t>Australian Accounting Standards Board</w:t>
      </w:r>
      <w:r>
        <w:t xml:space="preserve">’s </w:t>
      </w:r>
      <w:r w:rsidRPr="006638AA">
        <w:t xml:space="preserve">new standard </w:t>
      </w:r>
      <w:r w:rsidRPr="0099334E">
        <w:t>AASB</w:t>
      </w:r>
      <w:r>
        <w:t> </w:t>
      </w:r>
      <w:r w:rsidRPr="0099334E">
        <w:t>17</w:t>
      </w:r>
      <w:r>
        <w:t xml:space="preserve"> which alters</w:t>
      </w:r>
      <w:r w:rsidRPr="006638AA">
        <w:t xml:space="preserve"> the accounting treatment of insurance contracts</w:t>
      </w:r>
      <w:r>
        <w:t xml:space="preserve">. AASB 17 will </w:t>
      </w:r>
      <w:r w:rsidRPr="006638AA">
        <w:t xml:space="preserve">impact the </w:t>
      </w:r>
      <w:r>
        <w:t xml:space="preserve">measurement and reporting of </w:t>
      </w:r>
      <w:r w:rsidRPr="006638AA">
        <w:t>insurance liabilities</w:t>
      </w:r>
      <w:r>
        <w:t>, which are fundamental building blocks for the LAGIC framework</w:t>
      </w:r>
      <w:r w:rsidRPr="006638AA">
        <w:t xml:space="preserve">. </w:t>
      </w:r>
      <w:r>
        <w:t xml:space="preserve">APRA is </w:t>
      </w:r>
      <w:r w:rsidRPr="00794C8F">
        <w:t>considering how to integrate these changes</w:t>
      </w:r>
      <w:r>
        <w:t xml:space="preserve"> to LAGIC.</w:t>
      </w:r>
    </w:p>
    <w:p w14:paraId="03E0B652" w14:textId="77777777" w:rsidR="00C0773E" w:rsidRDefault="00C0773E" w:rsidP="00C0773E">
      <w:r>
        <w:t xml:space="preserve">As a consequence, APRA proposes that the PHI capital standards adopt the amended regulatory adjustments as determined for LAGIC to accommodate the introduction of AASB 17. </w:t>
      </w:r>
    </w:p>
    <w:p w14:paraId="5EBF1079" w14:textId="77777777" w:rsidR="00C0773E" w:rsidRPr="00335A77" w:rsidRDefault="00C0773E" w:rsidP="00BE0C40">
      <w:pPr>
        <w:pStyle w:val="Heading2Numbers"/>
      </w:pPr>
      <w:bookmarkStart w:id="257" w:name="_Toc22821265"/>
      <w:bookmarkStart w:id="258" w:name="_Toc23148549"/>
      <w:bookmarkStart w:id="259" w:name="_Toc23252667"/>
      <w:bookmarkStart w:id="260" w:name="_Toc23252954"/>
      <w:bookmarkStart w:id="261" w:name="_Toc23264936"/>
      <w:bookmarkStart w:id="262" w:name="_Toc23269050"/>
      <w:bookmarkStart w:id="263" w:name="_Toc23416018"/>
      <w:bookmarkStart w:id="264" w:name="_Toc23416491"/>
      <w:bookmarkStart w:id="265" w:name="_Toc24464046"/>
      <w:bookmarkStart w:id="266" w:name="_Toc24473725"/>
      <w:bookmarkStart w:id="267" w:name="_Toc24473934"/>
      <w:bookmarkStart w:id="268" w:name="_Toc24622421"/>
      <w:bookmarkStart w:id="269" w:name="_Toc25334555"/>
      <w:bookmarkStart w:id="270" w:name="_Toc25941649"/>
      <w:r w:rsidRPr="00335A77">
        <w:t>Prescribed capital and its components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2E7E3FF" w14:textId="77777777" w:rsidR="00C0773E" w:rsidRPr="00C17FBF" w:rsidRDefault="00C0773E" w:rsidP="00C0773E">
      <w:r>
        <w:t>A</w:t>
      </w:r>
      <w:r w:rsidRPr="00C17FBF">
        <w:t xml:space="preserve"> key difference between the </w:t>
      </w:r>
      <w:r>
        <w:t>LAGIC framework and the current PHI</w:t>
      </w:r>
      <w:r w:rsidRPr="00C17FBF">
        <w:t xml:space="preserve"> </w:t>
      </w:r>
      <w:r>
        <w:t xml:space="preserve">capital framework </w:t>
      </w:r>
      <w:r w:rsidRPr="00C17FBF">
        <w:t xml:space="preserve">is the targeted level of resilience. </w:t>
      </w:r>
      <w:r>
        <w:t xml:space="preserve">APRA proposes to adopt the more conservative 99.5 per cent probability of sufficiency for the PHI capital standards. </w:t>
      </w:r>
      <w:r w:rsidRPr="00C17FBF">
        <w:t xml:space="preserve">All else being equal, </w:t>
      </w:r>
      <w:r>
        <w:t xml:space="preserve">the proposal to </w:t>
      </w:r>
      <w:r w:rsidRPr="00C17FBF">
        <w:t>align with the LAGIC basis would result in higher capital requirements</w:t>
      </w:r>
      <w:r>
        <w:t xml:space="preserve"> for insurers</w:t>
      </w:r>
      <w:r w:rsidRPr="00C17FBF">
        <w:t>.</w:t>
      </w:r>
    </w:p>
    <w:p w14:paraId="75229902" w14:textId="7482795E" w:rsidR="00C0773E" w:rsidRDefault="00C0773E" w:rsidP="00C0773E">
      <w:pPr>
        <w:numPr>
          <w:ilvl w:val="0"/>
          <w:numId w:val="0"/>
        </w:numPr>
      </w:pPr>
      <w:r>
        <w:t>T</w:t>
      </w:r>
      <w:r w:rsidRPr="00C17FBF">
        <w:t xml:space="preserve">he current </w:t>
      </w:r>
      <w:r>
        <w:t xml:space="preserve">PHI </w:t>
      </w:r>
      <w:r w:rsidRPr="00C17FBF">
        <w:t xml:space="preserve">capital framework </w:t>
      </w:r>
      <w:r>
        <w:t xml:space="preserve">also </w:t>
      </w:r>
      <w:r w:rsidRPr="00C17FBF">
        <w:t xml:space="preserve">generally allows for much more discretion </w:t>
      </w:r>
      <w:r>
        <w:t xml:space="preserve">by insurers </w:t>
      </w:r>
      <w:r w:rsidRPr="00C17FBF">
        <w:t>in the calculation</w:t>
      </w:r>
      <w:r>
        <w:t xml:space="preserve"> of the prudential capital requirement</w:t>
      </w:r>
      <w:r w:rsidRPr="00C17FBF">
        <w:t xml:space="preserve"> than the LAGIC framework. While some discretion can be appropriate for parts of the calc</w:t>
      </w:r>
      <w:r w:rsidR="00282DBE">
        <w:t>ulation that are highly insurer</w:t>
      </w:r>
      <w:r w:rsidR="00084D2B">
        <w:t xml:space="preserve"> </w:t>
      </w:r>
      <w:r w:rsidRPr="00C17FBF">
        <w:t xml:space="preserve">specific, </w:t>
      </w:r>
      <w:r>
        <w:t>APRA</w:t>
      </w:r>
      <w:r w:rsidRPr="00C17FBF">
        <w:t xml:space="preserve"> favour</w:t>
      </w:r>
      <w:r>
        <w:t>s</w:t>
      </w:r>
      <w:r w:rsidRPr="00C17FBF">
        <w:t xml:space="preserve"> a more standardised approach </w:t>
      </w:r>
      <w:r>
        <w:t xml:space="preserve">in the PHI capital standards </w:t>
      </w:r>
      <w:r w:rsidRPr="00C17FBF">
        <w:t>to narrow the differences between insurers that have similar risk profiles. This is particularly the case for risks that would affect all insurers similarly, such as asset risks</w:t>
      </w:r>
      <w:r>
        <w:t>.</w:t>
      </w:r>
    </w:p>
    <w:p w14:paraId="4B54C6BB" w14:textId="09BE5C04" w:rsidR="00C0773E" w:rsidRDefault="00C0773E" w:rsidP="00C0773E">
      <w:pPr>
        <w:numPr>
          <w:ilvl w:val="0"/>
          <w:numId w:val="0"/>
        </w:numPr>
      </w:pPr>
      <w:r>
        <w:t xml:space="preserve">Outlined below are APRA’s proposals for determining the </w:t>
      </w:r>
      <w:r w:rsidR="00282DBE" w:rsidRPr="00DB26CD">
        <w:t xml:space="preserve">capital </w:t>
      </w:r>
      <w:r>
        <w:t xml:space="preserve">components of the PCA for insurers, encompassing the insurance risk charge, asset risk charge, operational risk charge and an aggregation benefit. </w:t>
      </w:r>
    </w:p>
    <w:p w14:paraId="0E58C815" w14:textId="77777777" w:rsidR="00C0773E" w:rsidRPr="00B20D07" w:rsidRDefault="00C0773E" w:rsidP="00BE0C40">
      <w:pPr>
        <w:pStyle w:val="Heading3Numbers"/>
      </w:pPr>
      <w:bookmarkStart w:id="271" w:name="_Toc22821266"/>
      <w:bookmarkStart w:id="272" w:name="_Toc23148550"/>
      <w:bookmarkStart w:id="273" w:name="_Toc23252668"/>
      <w:bookmarkStart w:id="274" w:name="_Toc23252955"/>
      <w:bookmarkStart w:id="275" w:name="_Toc23264937"/>
      <w:bookmarkStart w:id="276" w:name="_Toc23269051"/>
      <w:bookmarkStart w:id="277" w:name="_Toc23416019"/>
      <w:bookmarkStart w:id="278" w:name="_Toc23416492"/>
      <w:bookmarkStart w:id="279" w:name="_Toc24464047"/>
      <w:bookmarkStart w:id="280" w:name="_Toc24473726"/>
      <w:bookmarkStart w:id="281" w:name="_Toc24473935"/>
      <w:bookmarkStart w:id="282" w:name="_Toc24552458"/>
      <w:bookmarkStart w:id="283" w:name="_Toc24622422"/>
      <w:bookmarkStart w:id="284" w:name="_Toc25334556"/>
      <w:bookmarkStart w:id="285" w:name="_Toc25336137"/>
      <w:bookmarkStart w:id="286" w:name="_Toc25941650"/>
      <w:r w:rsidRPr="00B20D07">
        <w:t>Insurance risk and insurance concentration risk</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F00806D" w14:textId="4C4C9D85" w:rsidR="00C0773E" w:rsidRPr="00C65CFF" w:rsidRDefault="00C0773E" w:rsidP="00C0773E">
      <w:pPr>
        <w:rPr>
          <w:rFonts w:eastAsia="Calibri" w:cs="Arial"/>
        </w:rPr>
      </w:pPr>
      <w:r w:rsidRPr="00C65CFF">
        <w:t>Insurance risk</w:t>
      </w:r>
      <w:r>
        <w:t xml:space="preserve">, </w:t>
      </w:r>
      <w:r w:rsidRPr="00C65CFF">
        <w:t>the risk that insurance premiums are fixed whil</w:t>
      </w:r>
      <w:r>
        <w:t xml:space="preserve">e </w:t>
      </w:r>
      <w:r w:rsidR="00843683">
        <w:t>benefit</w:t>
      </w:r>
      <w:r>
        <w:t xml:space="preserve"> claims are uncertain, </w:t>
      </w:r>
      <w:r w:rsidRPr="00C65CFF">
        <w:t xml:space="preserve">is a core risk for any insurer. Insurance risk reflects the </w:t>
      </w:r>
      <w:r w:rsidRPr="00C65CFF">
        <w:rPr>
          <w:rFonts w:eastAsia="Calibri" w:cs="Arial"/>
        </w:rPr>
        <w:t>uncertainty</w:t>
      </w:r>
      <w:r w:rsidRPr="00C65CFF">
        <w:t xml:space="preserve"> of </w:t>
      </w:r>
      <w:r w:rsidRPr="00C65CFF">
        <w:rPr>
          <w:rFonts w:eastAsia="Calibri" w:cs="Arial"/>
        </w:rPr>
        <w:t xml:space="preserve">final costs for </w:t>
      </w:r>
      <w:r w:rsidRPr="00C65CFF">
        <w:t>existing claims</w:t>
      </w:r>
      <w:r>
        <w:t xml:space="preserve"> events</w:t>
      </w:r>
      <w:r w:rsidRPr="00C65CFF">
        <w:t xml:space="preserve"> </w:t>
      </w:r>
      <w:r w:rsidRPr="00C65CFF">
        <w:rPr>
          <w:rFonts w:eastAsia="Calibri" w:cs="Arial"/>
        </w:rPr>
        <w:t>(</w:t>
      </w:r>
      <w:r>
        <w:rPr>
          <w:rFonts w:eastAsia="Calibri" w:cs="Arial"/>
        </w:rPr>
        <w:t>liability for incurred claims in AASB 17 terminology)</w:t>
      </w:r>
      <w:r w:rsidRPr="00C65CFF">
        <w:rPr>
          <w:rFonts w:eastAsia="Calibri" w:cs="Arial"/>
        </w:rPr>
        <w:t xml:space="preserve">, as well as the uncertainty regarding the prevalence </w:t>
      </w:r>
      <w:r w:rsidRPr="00C65CFF">
        <w:t xml:space="preserve">and </w:t>
      </w:r>
      <w:r w:rsidRPr="00C65CFF">
        <w:rPr>
          <w:rFonts w:eastAsia="Calibri" w:cs="Arial"/>
        </w:rPr>
        <w:t xml:space="preserve">costs of claims </w:t>
      </w:r>
      <w:r>
        <w:rPr>
          <w:rFonts w:eastAsia="Calibri" w:cs="Arial"/>
        </w:rPr>
        <w:t xml:space="preserve">for events </w:t>
      </w:r>
      <w:r w:rsidRPr="00C65CFF">
        <w:rPr>
          <w:rFonts w:eastAsia="Calibri" w:cs="Arial"/>
        </w:rPr>
        <w:t xml:space="preserve">yet to </w:t>
      </w:r>
      <w:r>
        <w:rPr>
          <w:rFonts w:eastAsia="Calibri" w:cs="Arial"/>
        </w:rPr>
        <w:t>occur</w:t>
      </w:r>
      <w:r w:rsidRPr="00C65CFF">
        <w:rPr>
          <w:rFonts w:eastAsia="Calibri" w:cs="Arial"/>
        </w:rPr>
        <w:t xml:space="preserve"> (</w:t>
      </w:r>
      <w:r>
        <w:rPr>
          <w:rFonts w:eastAsia="Calibri" w:cs="Arial"/>
        </w:rPr>
        <w:t>liability for remaining coverage in AASB 17</w:t>
      </w:r>
      <w:r>
        <w:t xml:space="preserve"> terminology</w:t>
      </w:r>
      <w:r w:rsidRPr="00C65CFF">
        <w:rPr>
          <w:rFonts w:eastAsia="Calibri" w:cs="Arial"/>
        </w:rPr>
        <w:t>). The characteristics of the insurance offering in each</w:t>
      </w:r>
      <w:r>
        <w:rPr>
          <w:rFonts w:eastAsia="Calibri" w:cs="Arial"/>
        </w:rPr>
        <w:t xml:space="preserve"> industry</w:t>
      </w:r>
      <w:r w:rsidRPr="00C65CFF">
        <w:rPr>
          <w:rFonts w:eastAsia="Calibri" w:cs="Arial"/>
        </w:rPr>
        <w:t xml:space="preserve"> underpins variation in how insurance risk is experienced and managed. </w:t>
      </w:r>
    </w:p>
    <w:p w14:paraId="514BDBA5" w14:textId="77777777" w:rsidR="00C0773E" w:rsidRPr="00C65CFF" w:rsidRDefault="00C0773E" w:rsidP="00C0773E">
      <w:r w:rsidRPr="00C65CFF">
        <w:t xml:space="preserve">Reflecting differences in the characteristics of insurance in the life and general insurance industries, APRA’s treatment of insurance risk in the LAGIC framework is tailored to be appropriate to the nature of each industry. The PHI industry also has its own insurance risk characteristics. </w:t>
      </w:r>
    </w:p>
    <w:p w14:paraId="66362121" w14:textId="77777777" w:rsidR="00C0773E" w:rsidRPr="00C65CFF" w:rsidRDefault="00C0773E" w:rsidP="00C0773E">
      <w:r w:rsidRPr="00C65CFF">
        <w:t>Key insurance risks for the PHI industry include:</w:t>
      </w:r>
    </w:p>
    <w:p w14:paraId="45A1E72C" w14:textId="77777777" w:rsidR="00C0773E" w:rsidRPr="00C65CFF" w:rsidRDefault="00C0773E" w:rsidP="00C0773E">
      <w:pPr>
        <w:pStyle w:val="ListBullet"/>
      </w:pPr>
      <w:r w:rsidRPr="00C65CFF">
        <w:t>the risk profile of PHI policy holders differs from that assumed by the insurer in estimating claims;</w:t>
      </w:r>
    </w:p>
    <w:p w14:paraId="6F2E6A4F" w14:textId="77777777" w:rsidR="00C0773E" w:rsidRPr="00C65CFF" w:rsidRDefault="00C0773E" w:rsidP="00C0773E">
      <w:pPr>
        <w:pStyle w:val="ListBullet"/>
      </w:pPr>
      <w:r w:rsidRPr="00C65CFF">
        <w:t xml:space="preserve">future claims arising from new products or new markets differ from </w:t>
      </w:r>
      <w:r>
        <w:t>that</w:t>
      </w:r>
      <w:r w:rsidRPr="00C65CFF">
        <w:t xml:space="preserve"> assumed; </w:t>
      </w:r>
    </w:p>
    <w:p w14:paraId="62B1450B" w14:textId="77777777" w:rsidR="00C0773E" w:rsidRPr="00C65CFF" w:rsidRDefault="00C0773E" w:rsidP="00C0773E">
      <w:pPr>
        <w:pStyle w:val="ListBullet"/>
      </w:pPr>
      <w:r w:rsidRPr="00C65CFF">
        <w:t xml:space="preserve">movements in overall claims costs are not accurately estimated; and </w:t>
      </w:r>
    </w:p>
    <w:p w14:paraId="45B2AA03" w14:textId="77777777" w:rsidR="00C0773E" w:rsidRPr="00C65CFF" w:rsidRDefault="00C0773E" w:rsidP="00C0773E">
      <w:pPr>
        <w:pStyle w:val="ListBullet"/>
      </w:pPr>
      <w:r w:rsidRPr="00C65CFF">
        <w:t>the claims experience across the industry differs from that assumed (which impacts the risk equalisation pool across industry).</w:t>
      </w:r>
    </w:p>
    <w:p w14:paraId="5E0B3E29" w14:textId="4C76F852" w:rsidR="00C0773E" w:rsidRDefault="00C0773E" w:rsidP="00C0773E">
      <w:r>
        <w:t>APRA proposes</w:t>
      </w:r>
      <w:r w:rsidRPr="00C65CFF">
        <w:t xml:space="preserve"> to </w:t>
      </w:r>
      <w:r>
        <w:t>use</w:t>
      </w:r>
      <w:r w:rsidRPr="00C65CFF">
        <w:t xml:space="preserve"> the broad structure of the insurance risk charge for general insurers </w:t>
      </w:r>
      <w:r>
        <w:t>to inform</w:t>
      </w:r>
      <w:r w:rsidRPr="00C65CFF">
        <w:t xml:space="preserve"> </w:t>
      </w:r>
      <w:r>
        <w:t>the approach</w:t>
      </w:r>
      <w:r w:rsidRPr="00C65CFF">
        <w:t xml:space="preserve"> for the PHI industry, </w:t>
      </w:r>
      <w:r>
        <w:t>given the</w:t>
      </w:r>
      <w:r w:rsidRPr="00C65CFF">
        <w:t xml:space="preserve"> </w:t>
      </w:r>
      <w:r>
        <w:t xml:space="preserve">predominantly </w:t>
      </w:r>
      <w:r w:rsidRPr="00C65CFF">
        <w:t>short</w:t>
      </w:r>
      <w:r w:rsidR="00D83894">
        <w:t xml:space="preserve"> </w:t>
      </w:r>
      <w:r w:rsidRPr="00C65CFF">
        <w:t xml:space="preserve">tail nature of claims </w:t>
      </w:r>
      <w:r>
        <w:t>faced by both industries. S</w:t>
      </w:r>
      <w:r w:rsidRPr="00C65CFF">
        <w:t>pecific characteristics that affect insurance risk in the PHI industry</w:t>
      </w:r>
      <w:r>
        <w:t xml:space="preserve"> will also be taken into account</w:t>
      </w:r>
      <w:r w:rsidRPr="00C65CFF">
        <w:t xml:space="preserve">. </w:t>
      </w:r>
    </w:p>
    <w:p w14:paraId="5EFF0C19" w14:textId="77777777" w:rsidR="00843683" w:rsidRPr="00C17FBF" w:rsidRDefault="00843683" w:rsidP="00843683">
      <w:r>
        <w:t>Insurance risk is a central</w:t>
      </w:r>
      <w:r w:rsidRPr="004B349F">
        <w:t xml:space="preserve"> risk</w:t>
      </w:r>
      <w:r>
        <w:t xml:space="preserve"> in the PHI industry. Reflecting this</w:t>
      </w:r>
      <w:r w:rsidRPr="004B349F">
        <w:t xml:space="preserve">, APRA considers that the insurance risk </w:t>
      </w:r>
      <w:r>
        <w:t xml:space="preserve">charge </w:t>
      </w:r>
      <w:r w:rsidRPr="004B349F">
        <w:t xml:space="preserve">should </w:t>
      </w:r>
      <w:r>
        <w:t xml:space="preserve">be a large </w:t>
      </w:r>
      <w:r w:rsidRPr="004B349F">
        <w:t xml:space="preserve">proportion of the overall PCA for insurers. </w:t>
      </w:r>
    </w:p>
    <w:p w14:paraId="705C83FB" w14:textId="77777777" w:rsidR="00C0773E" w:rsidRPr="00FA56B5" w:rsidRDefault="00C0773E" w:rsidP="00C0773E">
      <w:pPr>
        <w:pStyle w:val="Heading4"/>
        <w:rPr>
          <w:rFonts w:eastAsia="Calibri" w:cs="Arial"/>
        </w:rPr>
      </w:pPr>
      <w:r w:rsidRPr="00FA56B5">
        <w:rPr>
          <w:rFonts w:eastAsia="Calibri"/>
        </w:rPr>
        <w:t>Features of insurance risk in the PHI industry</w:t>
      </w:r>
    </w:p>
    <w:p w14:paraId="28403344" w14:textId="77777777" w:rsidR="00C0773E" w:rsidRDefault="00C0773E" w:rsidP="00C0773E">
      <w:pPr>
        <w:rPr>
          <w:rFonts w:eastAsia="Calibri" w:cs="Arial"/>
        </w:rPr>
      </w:pPr>
      <w:r>
        <w:t xml:space="preserve">A number of </w:t>
      </w:r>
      <w:r w:rsidRPr="00C65CFF">
        <w:rPr>
          <w:rFonts w:eastAsia="Calibri" w:cs="Arial"/>
        </w:rPr>
        <w:t xml:space="preserve">legislative and regulatory settings for the PHI industry affect insurance risk. These can act to increase or reduce insurance risk. </w:t>
      </w:r>
      <w:r w:rsidRPr="00C65CFF">
        <w:rPr>
          <w:rFonts w:eastAsia="Calibri" w:cs="Arial"/>
          <w:b/>
        </w:rPr>
        <w:t>Figure 6</w:t>
      </w:r>
      <w:r w:rsidRPr="00C65CFF">
        <w:rPr>
          <w:rFonts w:eastAsia="Calibri" w:cs="Arial"/>
        </w:rPr>
        <w:t xml:space="preserve"> identifies a number of the features which impact on insurance risk and have been considered by APRA in developing its proposed approach to the insurance risk charge.</w:t>
      </w:r>
    </w:p>
    <w:p w14:paraId="21046F07" w14:textId="1BCDE8DC" w:rsidR="00D57B8C" w:rsidRDefault="00D57B8C" w:rsidP="00D57B8C">
      <w:pPr>
        <w:numPr>
          <w:ilvl w:val="0"/>
          <w:numId w:val="0"/>
        </w:numPr>
        <w:rPr>
          <w:rFonts w:eastAsia="Calibri" w:cs="Arial"/>
        </w:rPr>
      </w:pPr>
    </w:p>
    <w:p w14:paraId="1C2D9586" w14:textId="77777777" w:rsidR="00D57B8C" w:rsidRDefault="00D57B8C" w:rsidP="00D57B8C">
      <w:pPr>
        <w:numPr>
          <w:ilvl w:val="0"/>
          <w:numId w:val="0"/>
        </w:numPr>
        <w:rPr>
          <w:rFonts w:eastAsia="Calibri" w:cs="Arial"/>
        </w:rPr>
      </w:pPr>
    </w:p>
    <w:p w14:paraId="45D44C89" w14:textId="77777777" w:rsidR="00D57B8C" w:rsidRDefault="00D57B8C" w:rsidP="00D57B8C">
      <w:pPr>
        <w:numPr>
          <w:ilvl w:val="0"/>
          <w:numId w:val="0"/>
        </w:numPr>
        <w:rPr>
          <w:rFonts w:eastAsia="Calibri" w:cs="Arial"/>
        </w:rPr>
      </w:pPr>
    </w:p>
    <w:p w14:paraId="769922C0" w14:textId="77777777" w:rsidR="00D57B8C" w:rsidRDefault="00D57B8C" w:rsidP="00D57B8C">
      <w:pPr>
        <w:numPr>
          <w:ilvl w:val="0"/>
          <w:numId w:val="0"/>
        </w:numPr>
        <w:rPr>
          <w:rFonts w:eastAsia="Calibri" w:cs="Arial"/>
        </w:rPr>
      </w:pPr>
    </w:p>
    <w:p w14:paraId="2D8C1320" w14:textId="77777777" w:rsidR="00D57B8C" w:rsidRDefault="00D57B8C" w:rsidP="00D57B8C">
      <w:pPr>
        <w:numPr>
          <w:ilvl w:val="0"/>
          <w:numId w:val="0"/>
        </w:numPr>
        <w:rPr>
          <w:rFonts w:eastAsia="Calibri" w:cs="Arial"/>
        </w:rPr>
      </w:pPr>
    </w:p>
    <w:p w14:paraId="60F6AF32" w14:textId="77777777" w:rsidR="00D57B8C" w:rsidRDefault="00D57B8C" w:rsidP="00D57B8C">
      <w:pPr>
        <w:numPr>
          <w:ilvl w:val="0"/>
          <w:numId w:val="0"/>
        </w:numPr>
        <w:rPr>
          <w:rFonts w:eastAsia="Calibri" w:cs="Arial"/>
        </w:rPr>
      </w:pPr>
    </w:p>
    <w:p w14:paraId="7F886EA9" w14:textId="615FFF3C" w:rsidR="00BE0C40" w:rsidRDefault="00BE0C40" w:rsidP="00BE0C40">
      <w:pPr>
        <w:pStyle w:val="Figurenumbered"/>
      </w:pPr>
      <w:r>
        <w:t>Legislative and regulatory factors affecting insurance risk in the PHI industry</w:t>
      </w:r>
    </w:p>
    <w:p w14:paraId="24D5C428" w14:textId="6C83535C" w:rsidR="00BE0C40" w:rsidRPr="00D57B8C" w:rsidRDefault="0089674A" w:rsidP="0089674A">
      <w:r w:rsidRPr="0089674A">
        <w:rPr>
          <w:noProof/>
          <w:lang w:eastAsia="en-AU"/>
        </w:rPr>
        <w:drawing>
          <wp:anchor distT="0" distB="0" distL="114300" distR="114300" simplePos="0" relativeHeight="251659279" behindDoc="1" locked="0" layoutInCell="1" allowOverlap="1" wp14:anchorId="6216ADAF" wp14:editId="6444CCF6">
            <wp:simplePos x="0" y="0"/>
            <wp:positionH relativeFrom="column">
              <wp:posOffset>0</wp:posOffset>
            </wp:positionH>
            <wp:positionV relativeFrom="paragraph">
              <wp:posOffset>1270</wp:posOffset>
            </wp:positionV>
            <wp:extent cx="5731510" cy="3545205"/>
            <wp:effectExtent l="0" t="0" r="6350" b="2540"/>
            <wp:wrapTight wrapText="bothSides">
              <wp:wrapPolygon edited="0">
                <wp:start x="0" y="0"/>
                <wp:lineTo x="0" y="21474"/>
                <wp:lineTo x="21540" y="21474"/>
                <wp:lineTo x="21540" y="0"/>
                <wp:lineTo x="0" y="0"/>
              </wp:wrapPolygon>
            </wp:wrapTight>
            <wp:docPr id="3" name="Picture 3" descr="This figure shows legislative and regulatory factors which impact on insurance risk in the PHI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legislative and regulatory factors which impact on insurance risk in the PHI indu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C40" w:rsidRPr="00D57B8C">
        <w:t>Other specific characteristics of the PHI industry also affect insurance risk. In particular, the</w:t>
      </w:r>
      <w:r w:rsidR="00BE0C40" w:rsidRPr="00C6072E">
        <w:rPr>
          <w:i/>
        </w:rPr>
        <w:t xml:space="preserve"> </w:t>
      </w:r>
      <w:r w:rsidR="00BE0C40" w:rsidRPr="00D57B8C">
        <w:t xml:space="preserve">very short timeframes for settling claims in the PHI industry reduces the period an insurer is exposed to outstanding claims risk. As shown in </w:t>
      </w:r>
      <w:r w:rsidR="00BE0C40" w:rsidRPr="00C6072E">
        <w:rPr>
          <w:b/>
        </w:rPr>
        <w:t>Figure 7</w:t>
      </w:r>
      <w:r w:rsidR="00BE0C40" w:rsidRPr="00D57B8C">
        <w:t xml:space="preserve">, typically over 90 per cent of PHI claims are paid within three months. Outstanding claims exposure is also reduced because insurers’ fund rules often preclude claims being paid if they are received more than 24 months after the health care service was provided. </w:t>
      </w:r>
    </w:p>
    <w:p w14:paraId="5C8C7D5B" w14:textId="777E0D23" w:rsidR="00843683" w:rsidRPr="00C23354" w:rsidRDefault="00843683" w:rsidP="00843683">
      <w:pPr>
        <w:pStyle w:val="Figurenumbered"/>
      </w:pPr>
      <w:r w:rsidRPr="00BB5B68">
        <w:rPr>
          <w:noProof/>
          <w:lang w:eastAsia="en-AU"/>
        </w:rPr>
        <w:drawing>
          <wp:anchor distT="0" distB="0" distL="114300" distR="114300" simplePos="0" relativeHeight="251658252" behindDoc="1" locked="0" layoutInCell="1" allowOverlap="1" wp14:anchorId="68B8A925" wp14:editId="570C4480">
            <wp:simplePos x="0" y="0"/>
            <wp:positionH relativeFrom="margin">
              <wp:align>right</wp:align>
            </wp:positionH>
            <wp:positionV relativeFrom="paragraph">
              <wp:posOffset>215265</wp:posOffset>
            </wp:positionV>
            <wp:extent cx="5731510" cy="3081655"/>
            <wp:effectExtent l="0" t="0" r="2540" b="4445"/>
            <wp:wrapTopAndBottom/>
            <wp:docPr id="2" name="Picture 2" descr="This figure shows the typical timeframes for payment of claims in the PHI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typical timeframes for payment of claims in the PHI indust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81655"/>
                    </a:xfrm>
                    <a:prstGeom prst="rect">
                      <a:avLst/>
                    </a:prstGeom>
                    <a:noFill/>
                    <a:ln>
                      <a:noFill/>
                    </a:ln>
                  </pic:spPr>
                </pic:pic>
              </a:graphicData>
            </a:graphic>
            <wp14:sizeRelH relativeFrom="margin">
              <wp14:pctWidth>0</wp14:pctWidth>
            </wp14:sizeRelH>
            <wp14:sizeRelV relativeFrom="margin">
              <wp14:pctHeight>0</wp14:pctHeight>
            </wp14:sizeRelV>
          </wp:anchor>
        </w:drawing>
      </w:r>
      <w:r>
        <w:t>Typical payment timeframes for PHI claims</w:t>
      </w:r>
    </w:p>
    <w:p w14:paraId="14B204B2" w14:textId="77777777" w:rsidR="00843683" w:rsidRPr="00BB5B68" w:rsidRDefault="00843683" w:rsidP="00843683">
      <w:pPr>
        <w:rPr>
          <w:rFonts w:eastAsia="Calibri"/>
        </w:rPr>
      </w:pPr>
      <w:r w:rsidRPr="00BB5B68">
        <w:rPr>
          <w:rFonts w:cs="Arial"/>
        </w:rPr>
        <w:t xml:space="preserve">Both community rating and the risk equalisation pool produce a level of </w:t>
      </w:r>
      <w:r w:rsidRPr="00BB5B68">
        <w:t xml:space="preserve">collective exposure to the insurance risk experience across industry. Accordingly, APRA </w:t>
      </w:r>
      <w:r>
        <w:t>is considering</w:t>
      </w:r>
      <w:r w:rsidRPr="00BB5B68">
        <w:t xml:space="preserve"> a prescribed factor approach applied to</w:t>
      </w:r>
      <w:r>
        <w:t xml:space="preserve"> premiums to</w:t>
      </w:r>
      <w:r w:rsidRPr="00BB5B68">
        <w:t xml:space="preserve"> determine a </w:t>
      </w:r>
      <w:r>
        <w:t xml:space="preserve">component of the </w:t>
      </w:r>
      <w:r w:rsidRPr="00BB5B68">
        <w:t>insurance risk charge</w:t>
      </w:r>
      <w:r>
        <w:t>. This approach would provide simplicity and ensure comparability in</w:t>
      </w:r>
      <w:r w:rsidRPr="00BB5B68">
        <w:rPr>
          <w:rFonts w:eastAsia="Calibri"/>
        </w:rPr>
        <w:t xml:space="preserve"> between insurers. </w:t>
      </w:r>
    </w:p>
    <w:p w14:paraId="0C6AE514" w14:textId="6E213FFF" w:rsidR="00843683" w:rsidRDefault="00843683" w:rsidP="00843683">
      <w:pPr>
        <w:rPr>
          <w:rFonts w:eastAsia="Calibri"/>
        </w:rPr>
      </w:pPr>
      <w:r>
        <w:t>Yet, a range of</w:t>
      </w:r>
      <w:r w:rsidRPr="007F6B74">
        <w:rPr>
          <w:rFonts w:eastAsia="Calibri"/>
        </w:rPr>
        <w:t xml:space="preserve"> events could </w:t>
      </w:r>
      <w:r>
        <w:rPr>
          <w:rFonts w:eastAsia="Calibri"/>
        </w:rPr>
        <w:t xml:space="preserve">also </w:t>
      </w:r>
      <w:r w:rsidRPr="007F6B74">
        <w:rPr>
          <w:rFonts w:eastAsia="Calibri"/>
        </w:rPr>
        <w:t xml:space="preserve">give rise to a severe adverse outcome for the PHI industry or individual insurers – having an effect similar in terms of speed and impact </w:t>
      </w:r>
      <w:r w:rsidR="008C5D32">
        <w:rPr>
          <w:rFonts w:eastAsia="Calibri"/>
        </w:rPr>
        <w:t>of</w:t>
      </w:r>
      <w:r w:rsidRPr="007F6B74">
        <w:rPr>
          <w:rFonts w:eastAsia="Calibri"/>
        </w:rPr>
        <w:t xml:space="preserve"> a </w:t>
      </w:r>
      <w:r>
        <w:t xml:space="preserve">catastrophic event in the general insurance industry. </w:t>
      </w:r>
      <w:r w:rsidRPr="007F6B74">
        <w:rPr>
          <w:rFonts w:eastAsia="Calibri"/>
        </w:rPr>
        <w:t xml:space="preserve">To </w:t>
      </w:r>
      <w:r w:rsidRPr="007F6B74">
        <w:rPr>
          <w:rFonts w:eastAsia="Calibri" w:cs="Arial"/>
        </w:rPr>
        <w:t>ensure a 99.5 per cent probability of sufficiency,</w:t>
      </w:r>
      <w:r>
        <w:t xml:space="preserve"> it is necessary for the PHI capital standards to consider events that may cause changes in utilisation or membership </w:t>
      </w:r>
      <w:r w:rsidRPr="007F6B74">
        <w:rPr>
          <w:rFonts w:eastAsia="Calibri"/>
        </w:rPr>
        <w:t>more severe than experience in the historical data</w:t>
      </w:r>
      <w:r>
        <w:t xml:space="preserve">. Therefore, APRA is also considering an adverse </w:t>
      </w:r>
      <w:r w:rsidRPr="007F6B74">
        <w:rPr>
          <w:rFonts w:eastAsia="Calibri"/>
        </w:rPr>
        <w:t xml:space="preserve">event stress </w:t>
      </w:r>
      <w:r>
        <w:rPr>
          <w:rFonts w:eastAsia="Calibri"/>
        </w:rPr>
        <w:t xml:space="preserve">component </w:t>
      </w:r>
      <w:r w:rsidR="008612C3">
        <w:rPr>
          <w:rFonts w:eastAsia="Calibri"/>
        </w:rPr>
        <w:t xml:space="preserve">as </w:t>
      </w:r>
      <w:r>
        <w:rPr>
          <w:rFonts w:eastAsia="Calibri"/>
        </w:rPr>
        <w:t xml:space="preserve">part of the </w:t>
      </w:r>
      <w:r w:rsidRPr="007F6B74">
        <w:rPr>
          <w:rFonts w:eastAsia="Calibri"/>
        </w:rPr>
        <w:t>insurance risk charge</w:t>
      </w:r>
      <w:r>
        <w:rPr>
          <w:rFonts w:eastAsia="Calibri"/>
        </w:rPr>
        <w:t xml:space="preserve"> to reflect the risk of such events</w:t>
      </w:r>
      <w:r w:rsidRPr="007F6B74">
        <w:rPr>
          <w:rFonts w:eastAsia="Calibri"/>
        </w:rPr>
        <w:t xml:space="preserve">. </w:t>
      </w:r>
    </w:p>
    <w:p w14:paraId="7BE2DD85" w14:textId="0CA0F966" w:rsidR="00843683" w:rsidRDefault="008612C3" w:rsidP="00843683">
      <w:r>
        <w:t>A</w:t>
      </w:r>
      <w:r w:rsidR="007368A7">
        <w:t xml:space="preserve"> </w:t>
      </w:r>
      <w:r w:rsidR="00843683">
        <w:t xml:space="preserve">number of potential </w:t>
      </w:r>
      <w:r>
        <w:t xml:space="preserve">calculations could be used </w:t>
      </w:r>
      <w:r w:rsidR="00843683">
        <w:t>to determine the insurance risk charge</w:t>
      </w:r>
      <w:r>
        <w:t xml:space="preserve">. To achieve the objective </w:t>
      </w:r>
      <w:r w:rsidR="007368A7">
        <w:t xml:space="preserve">of ensuring that </w:t>
      </w:r>
      <w:r w:rsidR="00843683">
        <w:t>it adequately reflects both typical risks and those arising from a severe adverse event</w:t>
      </w:r>
      <w:r>
        <w:t>, APRA is considering options</w:t>
      </w:r>
      <w:r w:rsidRPr="008612C3">
        <w:t xml:space="preserve"> </w:t>
      </w:r>
      <w:r>
        <w:t xml:space="preserve">for </w:t>
      </w:r>
      <w:r w:rsidRPr="00843683">
        <w:t xml:space="preserve">the </w:t>
      </w:r>
      <w:r>
        <w:t xml:space="preserve">insurance risk component of the </w:t>
      </w:r>
      <w:r w:rsidRPr="00843683">
        <w:t xml:space="preserve">PCA being </w:t>
      </w:r>
      <w:r>
        <w:t>determined as either:</w:t>
      </w:r>
    </w:p>
    <w:p w14:paraId="49592C6E" w14:textId="4A672730" w:rsidR="00843683" w:rsidRPr="00843683" w:rsidRDefault="008612C3" w:rsidP="00843683">
      <w:pPr>
        <w:pStyle w:val="ListBullet"/>
      </w:pPr>
      <w:r>
        <w:t>the</w:t>
      </w:r>
      <w:r w:rsidR="00843683" w:rsidRPr="00843683">
        <w:t xml:space="preserve"> sum of components calculated under the prescribed factor approach and the adverse event scenario, which may be appropriate if the events were strongly correlated and likely to be experienced together;</w:t>
      </w:r>
    </w:p>
    <w:p w14:paraId="7D0A4E33" w14:textId="1A30E0C9" w:rsidR="00843683" w:rsidRPr="00843683" w:rsidRDefault="00843683" w:rsidP="00843683">
      <w:pPr>
        <w:pStyle w:val="ListBullet"/>
      </w:pPr>
      <w:r w:rsidRPr="00843683">
        <w:t>the higher of</w:t>
      </w:r>
      <w:r w:rsidR="008C5D32">
        <w:t>:</w:t>
      </w:r>
      <w:r w:rsidRPr="00843683">
        <w:t xml:space="preserve"> the amount calculated under either the prescribed factor approach or the prescribed event stress scenario, which may be appropriate if the events were unlikely to occur concurrently; or </w:t>
      </w:r>
    </w:p>
    <w:p w14:paraId="0F66FD5B" w14:textId="0A221B43" w:rsidR="00843683" w:rsidRPr="008612C3" w:rsidRDefault="00843683" w:rsidP="008612C3">
      <w:pPr>
        <w:pStyle w:val="ListBullet"/>
      </w:pPr>
      <w:r w:rsidRPr="008612C3">
        <w:t xml:space="preserve">making allowance for an aggregation benefit </w:t>
      </w:r>
      <w:r w:rsidR="008612C3">
        <w:t xml:space="preserve">in the </w:t>
      </w:r>
      <w:r w:rsidR="008612C3" w:rsidRPr="008612C3">
        <w:t>sum of components calculated under the prescribed factor approach and the adverse event scenario</w:t>
      </w:r>
      <w:r w:rsidR="008612C3">
        <w:t>,</w:t>
      </w:r>
      <w:r w:rsidR="008612C3" w:rsidRPr="008612C3">
        <w:t xml:space="preserve"> </w:t>
      </w:r>
      <w:r w:rsidRPr="008612C3">
        <w:t xml:space="preserve">to reflect a view on the diversification between the prescribed factor approach and the adverse event scenario. </w:t>
      </w:r>
    </w:p>
    <w:p w14:paraId="7D12453A" w14:textId="6FF3C12C" w:rsidR="00843683" w:rsidRPr="00E64C76" w:rsidRDefault="00843683" w:rsidP="00843683">
      <w:r>
        <w:t xml:space="preserve">APRA notes the likely challenges in differentiating between typical insurance risks and those </w:t>
      </w:r>
      <w:r w:rsidR="00F278AE">
        <w:t xml:space="preserve">of </w:t>
      </w:r>
      <w:r>
        <w:t xml:space="preserve">a </w:t>
      </w:r>
      <w:r w:rsidRPr="00743BD8">
        <w:t>severe adverse event</w:t>
      </w:r>
      <w:r>
        <w:t>. As such it may be difficult to identify whether historical experiences can be attributed risks arising from adverse events as distinct from typical insurance risk. A</w:t>
      </w:r>
      <w:r w:rsidRPr="00E64C76">
        <w:t xml:space="preserve">djusting for </w:t>
      </w:r>
      <w:r>
        <w:t xml:space="preserve">potential diversification between the components </w:t>
      </w:r>
      <w:r w:rsidRPr="00E64C76">
        <w:t xml:space="preserve">within </w:t>
      </w:r>
      <w:r>
        <w:t xml:space="preserve">an aggregate PCA calculation may </w:t>
      </w:r>
      <w:r w:rsidR="00F278AE">
        <w:t xml:space="preserve">also </w:t>
      </w:r>
      <w:r>
        <w:t xml:space="preserve">introduce </w:t>
      </w:r>
      <w:r w:rsidRPr="00E64C76">
        <w:t xml:space="preserve">complexity </w:t>
      </w:r>
      <w:r>
        <w:t xml:space="preserve">to the PHI capital standards, without providing </w:t>
      </w:r>
      <w:r w:rsidRPr="00E64C76">
        <w:t>a comparable improvement in risk sensitivity.</w:t>
      </w:r>
    </w:p>
    <w:p w14:paraId="40F6B29D" w14:textId="491B78DD" w:rsidR="00843683" w:rsidRDefault="00843683" w:rsidP="00843683">
      <w:r>
        <w:t xml:space="preserve">APRA seeks feedback </w:t>
      </w:r>
      <w:r w:rsidR="000106C1">
        <w:t>on</w:t>
      </w:r>
      <w:r>
        <w:t xml:space="preserve"> the proposed components of the insurance risk charge, the potential correlation between risks captured in each component and how the components could be aggregated to calculate the </w:t>
      </w:r>
      <w:r w:rsidR="00F278AE">
        <w:t xml:space="preserve">overall </w:t>
      </w:r>
      <w:r>
        <w:t>insurance risk</w:t>
      </w:r>
      <w:r w:rsidR="00F278AE">
        <w:t xml:space="preserve"> charge</w:t>
      </w:r>
      <w:r>
        <w:t>.</w:t>
      </w:r>
    </w:p>
    <w:p w14:paraId="75B7105E" w14:textId="0768BFF8" w:rsidR="00843683" w:rsidRDefault="00843683" w:rsidP="00843683">
      <w:pPr>
        <w:spacing w:before="240"/>
        <w:rPr>
          <w:rFonts w:eastAsia="Calibri"/>
        </w:rPr>
      </w:pPr>
      <w:r>
        <w:rPr>
          <w:rFonts w:eastAsia="Calibri"/>
        </w:rPr>
        <w:t xml:space="preserve">The structure of </w:t>
      </w:r>
      <w:r w:rsidR="00F278AE">
        <w:rPr>
          <w:rFonts w:eastAsia="Calibri"/>
        </w:rPr>
        <w:t xml:space="preserve">APRA’s proposed </w:t>
      </w:r>
      <w:r>
        <w:rPr>
          <w:rFonts w:eastAsia="Calibri"/>
        </w:rPr>
        <w:t xml:space="preserve">components </w:t>
      </w:r>
      <w:r w:rsidR="00F278AE">
        <w:rPr>
          <w:rFonts w:eastAsia="Calibri"/>
        </w:rPr>
        <w:t xml:space="preserve">for calculation of the </w:t>
      </w:r>
      <w:r>
        <w:rPr>
          <w:rFonts w:eastAsia="Calibri"/>
        </w:rPr>
        <w:t xml:space="preserve">insurance risk charge are illustrated in </w:t>
      </w:r>
      <w:r w:rsidRPr="00EE4D10">
        <w:rPr>
          <w:rFonts w:eastAsia="Calibri"/>
          <w:b/>
        </w:rPr>
        <w:t>Figure 8</w:t>
      </w:r>
      <w:r>
        <w:rPr>
          <w:rFonts w:eastAsia="Calibri"/>
          <w:b/>
        </w:rPr>
        <w:t xml:space="preserve">. </w:t>
      </w:r>
      <w:r>
        <w:rPr>
          <w:rFonts w:eastAsia="Calibri"/>
        </w:rPr>
        <w:t xml:space="preserve">Further detail on the proposed components </w:t>
      </w:r>
      <w:r w:rsidR="00F278AE">
        <w:rPr>
          <w:rFonts w:eastAsia="Calibri"/>
        </w:rPr>
        <w:t>is</w:t>
      </w:r>
      <w:r>
        <w:rPr>
          <w:rFonts w:eastAsia="Calibri"/>
        </w:rPr>
        <w:t xml:space="preserve"> provided in the sections below.</w:t>
      </w:r>
    </w:p>
    <w:p w14:paraId="6AEC543E" w14:textId="77777777" w:rsidR="00F278AE" w:rsidRDefault="00F278AE" w:rsidP="00F278AE">
      <w:pPr>
        <w:numPr>
          <w:ilvl w:val="0"/>
          <w:numId w:val="0"/>
        </w:numPr>
        <w:spacing w:before="240"/>
        <w:rPr>
          <w:rFonts w:eastAsia="Calibri"/>
        </w:rPr>
      </w:pPr>
    </w:p>
    <w:p w14:paraId="057CFFCC" w14:textId="77777777" w:rsidR="00F278AE" w:rsidRDefault="00F278AE" w:rsidP="00F278AE">
      <w:pPr>
        <w:numPr>
          <w:ilvl w:val="0"/>
          <w:numId w:val="0"/>
        </w:numPr>
        <w:spacing w:before="240"/>
        <w:rPr>
          <w:rFonts w:eastAsia="Calibri"/>
        </w:rPr>
      </w:pPr>
    </w:p>
    <w:p w14:paraId="73AE39E7" w14:textId="22D3AB49" w:rsidR="001609A8" w:rsidRDefault="001609A8" w:rsidP="00AC5914">
      <w:pPr>
        <w:pStyle w:val="Figurenumbered"/>
      </w:pPr>
      <w:r w:rsidRPr="00843683">
        <w:rPr>
          <w:noProof/>
          <w:lang w:eastAsia="en-AU"/>
        </w:rPr>
        <w:drawing>
          <wp:anchor distT="0" distB="0" distL="114300" distR="114300" simplePos="0" relativeHeight="251658255" behindDoc="1" locked="0" layoutInCell="1" allowOverlap="1" wp14:anchorId="304345ED" wp14:editId="3533A639">
            <wp:simplePos x="0" y="0"/>
            <wp:positionH relativeFrom="column">
              <wp:posOffset>157023</wp:posOffset>
            </wp:positionH>
            <wp:positionV relativeFrom="paragraph">
              <wp:posOffset>247498</wp:posOffset>
            </wp:positionV>
            <wp:extent cx="5731510" cy="3260725"/>
            <wp:effectExtent l="0" t="0" r="2540" b="0"/>
            <wp:wrapTopAndBottom/>
            <wp:docPr id="4" name="Picture 4" descr="This figure shows the structure of the prescribed factor component and the adverse event stress which APRA has proposed for the insurance risk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structure of the prescribed factor component and the adverse event stress which APRA has proposed for the insurance risk char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60725"/>
                    </a:xfrm>
                    <a:prstGeom prst="rect">
                      <a:avLst/>
                    </a:prstGeom>
                    <a:noFill/>
                    <a:ln>
                      <a:noFill/>
                    </a:ln>
                  </pic:spPr>
                </pic:pic>
              </a:graphicData>
            </a:graphic>
          </wp:anchor>
        </w:drawing>
      </w:r>
      <w:r w:rsidR="00F278AE">
        <w:t>Proposed c</w:t>
      </w:r>
      <w:r w:rsidR="00DD25AD">
        <w:t xml:space="preserve">omponents for calculation of the </w:t>
      </w:r>
      <w:r w:rsidR="00DD25AD" w:rsidRPr="00E749AF">
        <w:t>insurance risk charge</w:t>
      </w:r>
    </w:p>
    <w:p w14:paraId="34CBE1AA" w14:textId="77777777" w:rsidR="001609A8" w:rsidRPr="003D0EE1" w:rsidRDefault="001609A8" w:rsidP="001609A8">
      <w:pPr>
        <w:pStyle w:val="Heading4"/>
        <w:rPr>
          <w:rFonts w:eastAsia="Calibri"/>
        </w:rPr>
      </w:pPr>
      <w:bookmarkStart w:id="287" w:name="_Toc22821267"/>
      <w:bookmarkStart w:id="288" w:name="_Toc23148551"/>
      <w:bookmarkStart w:id="289" w:name="_Toc23252669"/>
      <w:bookmarkStart w:id="290" w:name="_Toc23252956"/>
      <w:bookmarkStart w:id="291" w:name="_Toc23264938"/>
      <w:bookmarkStart w:id="292" w:name="_Toc23269052"/>
      <w:bookmarkStart w:id="293" w:name="_Toc23416020"/>
      <w:bookmarkStart w:id="294" w:name="_Toc23416493"/>
      <w:bookmarkStart w:id="295" w:name="_Toc24464048"/>
      <w:bookmarkStart w:id="296" w:name="_Toc24473727"/>
      <w:bookmarkStart w:id="297" w:name="_Toc24473936"/>
      <w:r>
        <w:t>Prescribed factor component</w:t>
      </w:r>
    </w:p>
    <w:p w14:paraId="0C9D189F" w14:textId="77777777" w:rsidR="001609A8" w:rsidRPr="007F1E23" w:rsidRDefault="001609A8" w:rsidP="001609A8">
      <w:pPr>
        <w:rPr>
          <w:rFonts w:eastAsia="Calibri"/>
        </w:rPr>
      </w:pPr>
      <w:r w:rsidRPr="007F1E23">
        <w:t xml:space="preserve">APRA proposes the insurance risk charge apply prescribed factors to </w:t>
      </w:r>
      <w:r>
        <w:rPr>
          <w:rFonts w:eastAsia="Calibri" w:cs="Arial"/>
        </w:rPr>
        <w:t xml:space="preserve">liability for incurred claims </w:t>
      </w:r>
      <w:r w:rsidRPr="007F1E23">
        <w:t xml:space="preserve">and </w:t>
      </w:r>
      <w:r>
        <w:rPr>
          <w:rFonts w:eastAsia="Calibri" w:cs="Arial"/>
        </w:rPr>
        <w:t>liability for remaining coverage</w:t>
      </w:r>
      <w:r w:rsidRPr="007F1E23">
        <w:t xml:space="preserve">. Separate factors would be set for risk exposure </w:t>
      </w:r>
      <w:r>
        <w:t xml:space="preserve">relating to </w:t>
      </w:r>
      <w:r>
        <w:rPr>
          <w:rFonts w:eastAsia="Calibri" w:cs="Arial"/>
        </w:rPr>
        <w:t xml:space="preserve">liability for incurred claims </w:t>
      </w:r>
      <w:r w:rsidRPr="007F1E23">
        <w:t xml:space="preserve">and </w:t>
      </w:r>
      <w:r>
        <w:rPr>
          <w:rFonts w:eastAsia="Calibri" w:cs="Arial"/>
        </w:rPr>
        <w:t>liability for remaining coverage</w:t>
      </w:r>
      <w:r w:rsidRPr="007F1E23">
        <w:t xml:space="preserve"> to reflect the greater relative uncertainty for exposure</w:t>
      </w:r>
      <w:r>
        <w:t xml:space="preserve"> to claims arising during remaining coverage</w:t>
      </w:r>
      <w:r w:rsidRPr="007F1E23">
        <w:t>. Risk margins, which allow for inherent uncertainty in the claims estimation process</w:t>
      </w:r>
      <w:r>
        <w:t>,</w:t>
      </w:r>
      <w:r w:rsidRPr="007F1E23">
        <w:t xml:space="preserve"> would be incorporated to recognise that variability in insurance risk is correlated to fund size and its growth profile. </w:t>
      </w:r>
    </w:p>
    <w:p w14:paraId="01C6386C" w14:textId="77777777" w:rsidR="001609A8" w:rsidRDefault="001609A8" w:rsidP="001609A8">
      <w:pPr>
        <w:rPr>
          <w:rFonts w:eastAsia="Calibri"/>
        </w:rPr>
      </w:pPr>
      <w:r w:rsidRPr="007F1E23">
        <w:t>APRA will also consider whether it is appropriate for the PHI capital standards to set different factors for insurance risk in insurers’ overseas students or visitors’ health insurance business. This may be appropriate to take account of the differing</w:t>
      </w:r>
      <w:r>
        <w:rPr>
          <w:rFonts w:eastAsia="Calibri"/>
        </w:rPr>
        <w:t xml:space="preserve"> nature of insurance risk for these polices which may cover a longer contract term and insurers’ are unable to adjust premiums over the term. </w:t>
      </w:r>
    </w:p>
    <w:p w14:paraId="2C6F449A" w14:textId="77777777" w:rsidR="001609A8" w:rsidRDefault="001609A8" w:rsidP="001609A8">
      <w:pPr>
        <w:rPr>
          <w:rFonts w:eastAsia="Calibri"/>
        </w:rPr>
      </w:pPr>
      <w:r>
        <w:rPr>
          <w:rFonts w:eastAsia="Calibri"/>
        </w:rPr>
        <w:t xml:space="preserve">A number of metrics could be used to determine </w:t>
      </w:r>
      <w:r w:rsidRPr="00C65CFF">
        <w:rPr>
          <w:rFonts w:eastAsia="Calibri" w:cs="Arial"/>
        </w:rPr>
        <w:t xml:space="preserve">claims </w:t>
      </w:r>
      <w:r>
        <w:rPr>
          <w:rFonts w:eastAsia="Calibri" w:cs="Arial"/>
        </w:rPr>
        <w:t>risk for remaining coverage</w:t>
      </w:r>
      <w:r>
        <w:rPr>
          <w:rFonts w:eastAsia="Calibri"/>
        </w:rPr>
        <w:t>, including expected premium revenue or an estimate of claims liabilities</w:t>
      </w:r>
      <w:r w:rsidRPr="009069A0">
        <w:rPr>
          <w:rFonts w:eastAsia="Calibri"/>
        </w:rPr>
        <w:t xml:space="preserve"> </w:t>
      </w:r>
      <w:r>
        <w:rPr>
          <w:rFonts w:eastAsia="Calibri"/>
        </w:rPr>
        <w:t xml:space="preserve">over a fixed period. APRA’s choice of metric will take account of the revised approach to accounting for insurance assets and liabilities with the introduction of AASB 17. </w:t>
      </w:r>
    </w:p>
    <w:p w14:paraId="43A798B8" w14:textId="77777777" w:rsidR="001609A8" w:rsidRDefault="001609A8" w:rsidP="001609A8">
      <w:pPr>
        <w:rPr>
          <w:rFonts w:eastAsia="Calibri"/>
        </w:rPr>
      </w:pPr>
      <w:r>
        <w:rPr>
          <w:rFonts w:eastAsia="Calibri"/>
        </w:rPr>
        <w:t xml:space="preserve">APRA also </w:t>
      </w:r>
      <w:r w:rsidRPr="00C412D0">
        <w:t>proposes to</w:t>
      </w:r>
      <w:r>
        <w:rPr>
          <w:rFonts w:eastAsia="Calibri"/>
        </w:rPr>
        <w:t xml:space="preserve"> take account of the impacts of risk equalisation on the claims risk exposure similar to the way the LAGIC framework treats reinsurance in determining the claims exposure for the life and general insurance industries.</w:t>
      </w:r>
    </w:p>
    <w:p w14:paraId="0F9AB459" w14:textId="3DF8990B" w:rsidR="001609A8" w:rsidRPr="00C47F42" w:rsidRDefault="001609A8" w:rsidP="001609A8">
      <w:pPr>
        <w:rPr>
          <w:rFonts w:eastAsia="Calibri"/>
        </w:rPr>
      </w:pPr>
      <w:r>
        <w:t xml:space="preserve">APRA seeks feedback on the proposed prescribed factor approach for the insurance risk charge, including whether there are other matters that should be addressed by risk margins, the </w:t>
      </w:r>
      <w:r w:rsidR="000106C1">
        <w:t>advantages and disadvantages</w:t>
      </w:r>
      <w:r>
        <w:t xml:space="preserve"> of setting different factors for calculating the risk charge and metrics to determine claims risk for remaining coverage.</w:t>
      </w:r>
    </w:p>
    <w:p w14:paraId="3D056438" w14:textId="77777777" w:rsidR="001609A8" w:rsidRDefault="001609A8" w:rsidP="001609A8">
      <w:pPr>
        <w:pStyle w:val="Heading4"/>
      </w:pPr>
      <w:r>
        <w:t>P</w:t>
      </w:r>
      <w:r w:rsidRPr="00E64C76">
        <w:t xml:space="preserve">rescribed </w:t>
      </w:r>
      <w:r>
        <w:t xml:space="preserve">adverse </w:t>
      </w:r>
      <w:r w:rsidRPr="00E64C76">
        <w:t>event stress</w:t>
      </w:r>
    </w:p>
    <w:p w14:paraId="12E2806E" w14:textId="77777777" w:rsidR="001609A8" w:rsidRPr="00F6385A" w:rsidRDefault="001609A8" w:rsidP="001609A8">
      <w:pPr>
        <w:spacing w:before="240"/>
        <w:rPr>
          <w:rFonts w:eastAsia="Calibri"/>
        </w:rPr>
      </w:pPr>
      <w:r>
        <w:t>APRA’s proposal for a prescribed event stress would consider a sudden and significant lapse or growth in membership of between 30 per cent and 50 per cent within one year, with the profile of membership changing in a way that increases the intensity of the stress for the insurer (for example, where a lapse in membership was concentrated among better-risk members). The intent of stressing for both a sudden lapse and growth in membership is to recognise that the risk profile of an insurer may mean a stress in either direction is more severe. The event stress scenario would only take account of the larger of these two stresses.</w:t>
      </w:r>
    </w:p>
    <w:p w14:paraId="1665A566" w14:textId="737A15C8" w:rsidR="001609A8" w:rsidRDefault="001609A8" w:rsidP="001609A8">
      <w:pPr>
        <w:spacing w:before="240"/>
        <w:rPr>
          <w:rFonts w:eastAsia="Calibri"/>
        </w:rPr>
      </w:pPr>
      <w:r>
        <w:t xml:space="preserve">APRA invites feedback on the proposed prescribed event stress, including the intensity of the stress necessary to reflect a 99.5 per cent probability of sufficiency and whether there are alternative approaches which could </w:t>
      </w:r>
      <w:r w:rsidR="000106C1">
        <w:t xml:space="preserve">be </w:t>
      </w:r>
      <w:r>
        <w:t xml:space="preserve">considered in the capital standard to address the risk of a </w:t>
      </w:r>
      <w:r>
        <w:rPr>
          <w:rFonts w:eastAsia="Calibri"/>
        </w:rPr>
        <w:t>severe adverse outcome.</w:t>
      </w:r>
    </w:p>
    <w:p w14:paraId="5486FEB0" w14:textId="77777777" w:rsidR="001609A8" w:rsidRDefault="001609A8" w:rsidP="001609A8">
      <w:pPr>
        <w:pStyle w:val="Heading4"/>
      </w:pPr>
      <w:r>
        <w:t>I</w:t>
      </w:r>
      <w:r w:rsidRPr="005F5347">
        <w:t xml:space="preserve">nsurer specific </w:t>
      </w:r>
      <w:r>
        <w:t>adjustment</w:t>
      </w:r>
      <w:r w:rsidRPr="00E64C76">
        <w:t xml:space="preserve"> </w:t>
      </w:r>
    </w:p>
    <w:p w14:paraId="59E58E76" w14:textId="77777777" w:rsidR="001609A8" w:rsidRDefault="001609A8" w:rsidP="001609A8">
      <w:r w:rsidRPr="00AB569D">
        <w:rPr>
          <w:rFonts w:eastAsia="Calibri" w:cs="Arial"/>
        </w:rPr>
        <w:t xml:space="preserve">While recognising the high degree of shared exposure to insurance risks, </w:t>
      </w:r>
      <w:r>
        <w:t xml:space="preserve">APRA intends for the insurance risk charge to be responsive and incentivise </w:t>
      </w:r>
      <w:r w:rsidRPr="00AB569D">
        <w:rPr>
          <w:rFonts w:eastAsia="Calibri" w:cs="Arial"/>
        </w:rPr>
        <w:t xml:space="preserve">insurers </w:t>
      </w:r>
      <w:r>
        <w:t xml:space="preserve">to </w:t>
      </w:r>
      <w:r w:rsidRPr="00AB569D">
        <w:rPr>
          <w:rFonts w:eastAsia="Calibri" w:cs="Arial"/>
        </w:rPr>
        <w:t>manage insurance risk</w:t>
      </w:r>
      <w:r>
        <w:rPr>
          <w:rFonts w:eastAsia="Calibri" w:cs="Arial"/>
        </w:rPr>
        <w:t xml:space="preserve"> effectively</w:t>
      </w:r>
      <w:r w:rsidRPr="00AB569D">
        <w:rPr>
          <w:rFonts w:eastAsia="Calibri" w:cs="Arial"/>
        </w:rPr>
        <w:t xml:space="preserve">. </w:t>
      </w:r>
      <w:r>
        <w:t xml:space="preserve">The proposed prescribed factor approach has a strong reliance </w:t>
      </w:r>
      <w:r w:rsidRPr="00F20473">
        <w:t xml:space="preserve">on high quality forecasting </w:t>
      </w:r>
      <w:r>
        <w:t>by insurers of their claims risk exposure. APRA has observed differing quality of forecasting and practices by insurers</w:t>
      </w:r>
      <w:r w:rsidRPr="00F20473">
        <w:t xml:space="preserve">. </w:t>
      </w:r>
      <w:r w:rsidRPr="005F5347">
        <w:t xml:space="preserve">Consequently, APRA also proposes the insurance risk charge provide for an insurer specific </w:t>
      </w:r>
      <w:r>
        <w:t>adjustment</w:t>
      </w:r>
      <w:r w:rsidRPr="005F5347">
        <w:t xml:space="preserve">. This </w:t>
      </w:r>
      <w:r>
        <w:t xml:space="preserve">proposal </w:t>
      </w:r>
      <w:r w:rsidRPr="005F5347">
        <w:t xml:space="preserve">would allow </w:t>
      </w:r>
      <w:r>
        <w:t xml:space="preserve">APRA to make </w:t>
      </w:r>
      <w:r w:rsidRPr="005F5347">
        <w:t xml:space="preserve">adjustment </w:t>
      </w:r>
      <w:r>
        <w:t xml:space="preserve">to </w:t>
      </w:r>
      <w:r w:rsidRPr="005F5347">
        <w:t xml:space="preserve">the </w:t>
      </w:r>
      <w:r w:rsidRPr="00AB569D">
        <w:rPr>
          <w:rFonts w:eastAsia="Calibri" w:cs="Arial"/>
        </w:rPr>
        <w:t xml:space="preserve">insurance risk charge </w:t>
      </w:r>
      <w:r w:rsidRPr="005F5347">
        <w:t>to take account of idiosyncratic risks</w:t>
      </w:r>
      <w:r>
        <w:t>, consistent with APRA’s ability to make supervisory adjustments (refer to section 2.7 (Supervisory Adjustments))</w:t>
      </w:r>
      <w:r w:rsidRPr="005F5347">
        <w:t xml:space="preserve">. </w:t>
      </w:r>
    </w:p>
    <w:p w14:paraId="56972D9E" w14:textId="77777777" w:rsidR="001609A8" w:rsidRDefault="001609A8" w:rsidP="001609A8">
      <w:r>
        <w:t xml:space="preserve">APRA’s </w:t>
      </w:r>
      <w:r w:rsidRPr="005F5347">
        <w:t xml:space="preserve">consideration of an insurer-specific adjustment </w:t>
      </w:r>
      <w:r>
        <w:t>would take into account an</w:t>
      </w:r>
      <w:r w:rsidRPr="005F5347">
        <w:t xml:space="preserve"> insurers’ governance or decisions on strategy, pricing philosophy, insurance risk management</w:t>
      </w:r>
      <w:r>
        <w:t xml:space="preserve">, including the </w:t>
      </w:r>
      <w:r w:rsidRPr="005F5347">
        <w:t>responsiveness to adverse experience,</w:t>
      </w:r>
      <w:r>
        <w:t xml:space="preserve"> as well as </w:t>
      </w:r>
      <w:r w:rsidRPr="00945554">
        <w:t xml:space="preserve">forecasting accuracy. </w:t>
      </w:r>
      <w:r w:rsidRPr="00AB569D">
        <w:rPr>
          <w:rFonts w:eastAsia="Calibri" w:cs="Arial"/>
        </w:rPr>
        <w:t xml:space="preserve">This </w:t>
      </w:r>
      <w:r>
        <w:rPr>
          <w:rFonts w:eastAsia="Calibri" w:cs="Arial"/>
        </w:rPr>
        <w:t>proposal</w:t>
      </w:r>
      <w:r w:rsidRPr="00AB569D">
        <w:rPr>
          <w:rFonts w:eastAsia="Calibri" w:cs="Arial"/>
        </w:rPr>
        <w:t xml:space="preserve"> would enhance the risk sensitivity of the capital charge</w:t>
      </w:r>
      <w:r w:rsidRPr="00945554">
        <w:t>, where APRA considers there are practices of an individua</w:t>
      </w:r>
      <w:r w:rsidRPr="005F5347">
        <w:t>l insurer</w:t>
      </w:r>
      <w:r>
        <w:t xml:space="preserve"> which are not adequately considered in the capital framework</w:t>
      </w:r>
      <w:r w:rsidRPr="005F5347">
        <w:t xml:space="preserve">. </w:t>
      </w:r>
    </w:p>
    <w:p w14:paraId="00BDDDB2" w14:textId="77777777" w:rsidR="001609A8" w:rsidRDefault="001609A8" w:rsidP="001609A8">
      <w:r>
        <w:t xml:space="preserve">APRA invites feedback from stakeholders on its proposal to enable an insurer specific adjustment to take account of experiences of an individual insurer. </w:t>
      </w:r>
    </w:p>
    <w:p w14:paraId="2E01A544" w14:textId="77777777" w:rsidR="00DD25AD" w:rsidRPr="00B20D07" w:rsidRDefault="00DD25AD" w:rsidP="005E7358">
      <w:pPr>
        <w:pStyle w:val="Heading3Numbers"/>
      </w:pPr>
      <w:bookmarkStart w:id="298" w:name="_Toc24622423"/>
      <w:bookmarkStart w:id="299" w:name="_Toc25334557"/>
      <w:bookmarkStart w:id="300" w:name="_Toc25336138"/>
      <w:bookmarkStart w:id="301" w:name="_Toc25941651"/>
      <w:r w:rsidRPr="00B20D07">
        <w:t>A</w:t>
      </w:r>
      <w:bookmarkEnd w:id="287"/>
      <w:r w:rsidRPr="00B20D07">
        <w:t>sset risk and asset concentration risk</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02DF075" w14:textId="4C5DF1B1" w:rsidR="00DD25AD" w:rsidRDefault="00DD25AD" w:rsidP="00DD25AD">
      <w:bookmarkStart w:id="302" w:name="_Toc22821268"/>
      <w:r>
        <w:t xml:space="preserve">Capital is required to protect insurers against asset risk </w:t>
      </w:r>
      <w:r>
        <w:noBreakHyphen/>
        <w:t xml:space="preserve"> that is the risk associated with </w:t>
      </w:r>
      <w:r w:rsidR="00D120BA">
        <w:t xml:space="preserve">changes in the value of </w:t>
      </w:r>
      <w:r>
        <w:t xml:space="preserve">investments, reinsurance assets and other </w:t>
      </w:r>
      <w:proofErr w:type="spellStart"/>
      <w:r>
        <w:t>recoverables</w:t>
      </w:r>
      <w:proofErr w:type="spellEnd"/>
      <w:r>
        <w:t xml:space="preserve">. The capital charge for asset risks should reflect the potential for losses arising from such risks and encourage insurers to adopt an investment policy that takes account of the term and nature of their liabilities and the creditworthiness of investments and reinsurance </w:t>
      </w:r>
      <w:r w:rsidR="00D120BA">
        <w:t xml:space="preserve">or other </w:t>
      </w:r>
      <w:r>
        <w:t xml:space="preserve">counterparties. </w:t>
      </w:r>
    </w:p>
    <w:p w14:paraId="4D6E684F" w14:textId="74BEEF58" w:rsidR="00DD25AD" w:rsidRDefault="00DD25AD" w:rsidP="00DD25AD">
      <w:r w:rsidRPr="000A6AAE">
        <w:t>B</w:t>
      </w:r>
      <w:bookmarkEnd w:id="302"/>
      <w:r w:rsidRPr="000A6AAE">
        <w:t xml:space="preserve">roadly, the PHI industry holds assets similar in character </w:t>
      </w:r>
      <w:r>
        <w:t>to</w:t>
      </w:r>
      <w:r w:rsidRPr="000A6AAE">
        <w:t xml:space="preserve"> those </w:t>
      </w:r>
      <w:r>
        <w:t xml:space="preserve">held by entities in the </w:t>
      </w:r>
      <w:r w:rsidRPr="000A6AAE">
        <w:t xml:space="preserve">life and general insurance industries. </w:t>
      </w:r>
      <w:r>
        <w:t xml:space="preserve">APRA therefore proposes to adopt the LAGIC framework’s capital </w:t>
      </w:r>
      <w:r w:rsidRPr="000A6AAE">
        <w:t xml:space="preserve">treatment of asset risk </w:t>
      </w:r>
      <w:r>
        <w:t>and</w:t>
      </w:r>
      <w:r w:rsidRPr="000A6AAE">
        <w:t xml:space="preserve"> asset concentration risk</w:t>
      </w:r>
      <w:r>
        <w:t xml:space="preserve"> as APRA did not identify industry</w:t>
      </w:r>
      <w:r w:rsidR="00084D2B">
        <w:t xml:space="preserve"> </w:t>
      </w:r>
      <w:r w:rsidRPr="000A6AAE">
        <w:t xml:space="preserve">specific characteristics </w:t>
      </w:r>
      <w:r>
        <w:t xml:space="preserve">in the PHI industry </w:t>
      </w:r>
      <w:r w:rsidRPr="000A6AAE">
        <w:t xml:space="preserve">which would warrant </w:t>
      </w:r>
      <w:r>
        <w:t xml:space="preserve">deviation. </w:t>
      </w:r>
    </w:p>
    <w:p w14:paraId="1FA47432" w14:textId="77777777" w:rsidR="00DD25AD" w:rsidRDefault="00DD25AD" w:rsidP="00DD25AD">
      <w:r>
        <w:t xml:space="preserve">For the asset risk charge, APRA’s proposal involves subjecting the balance sheet to a series of stress tests, relevant to the asset type, using factors prescribed by APRA. </w:t>
      </w:r>
      <w:r w:rsidRPr="003D4097">
        <w:t>This would ensure capital requirements are sensitive to the nature of risks associated with specific types of assets</w:t>
      </w:r>
      <w:r>
        <w:t xml:space="preserve">. </w:t>
      </w:r>
    </w:p>
    <w:p w14:paraId="030A5F4F" w14:textId="77777777" w:rsidR="00DD25AD" w:rsidRDefault="00DD25AD" w:rsidP="00DD25AD">
      <w:r>
        <w:t>The stresses evaluate potential losses for an insurer from:</w:t>
      </w:r>
    </w:p>
    <w:p w14:paraId="3FF71591" w14:textId="77777777" w:rsidR="00DD25AD" w:rsidRDefault="00DD25AD" w:rsidP="00DD25AD">
      <w:pPr>
        <w:pStyle w:val="ListBullet"/>
      </w:pPr>
      <w:r>
        <w:t>real interest rates (reflecting the portion of the nominal risk-free interest rates after deducting expected inflation);</w:t>
      </w:r>
    </w:p>
    <w:p w14:paraId="05033A8B" w14:textId="77777777" w:rsidR="00DD25AD" w:rsidRDefault="00DD25AD" w:rsidP="00DD25AD">
      <w:pPr>
        <w:pStyle w:val="ListBullet"/>
      </w:pPr>
      <w:r>
        <w:t>expected inflation (reflecting the impact of changes to the expected consumer price index, but not to assets that are affected by the equity or property stresses);</w:t>
      </w:r>
    </w:p>
    <w:p w14:paraId="67E988F6" w14:textId="77777777" w:rsidR="00DD25AD" w:rsidRDefault="00DD25AD" w:rsidP="00DD25AD">
      <w:pPr>
        <w:pStyle w:val="ListBullet"/>
      </w:pPr>
      <w:r>
        <w:t>currency</w:t>
      </w:r>
      <w:r w:rsidRPr="003D4097">
        <w:t xml:space="preserve"> (for assets or liabilities not denominated in Australian dollars</w:t>
      </w:r>
      <w:r>
        <w:t xml:space="preserve"> to consider the impact of changes in foreign exchange rates</w:t>
      </w:r>
      <w:r w:rsidRPr="003D4097">
        <w:t xml:space="preserve">); </w:t>
      </w:r>
    </w:p>
    <w:p w14:paraId="0538347D" w14:textId="77777777" w:rsidR="00DD25AD" w:rsidRDefault="00DD25AD" w:rsidP="00DD25AD">
      <w:pPr>
        <w:pStyle w:val="ListBullet"/>
      </w:pPr>
      <w:r w:rsidRPr="003D4097">
        <w:t>equity</w:t>
      </w:r>
      <w:r>
        <w:t xml:space="preserve"> assets (for listed and unlisted equity assets, and any other assets not considered in other asset risk stresses to consider the impact of a fall in asset values);</w:t>
      </w:r>
    </w:p>
    <w:p w14:paraId="58426132" w14:textId="77777777" w:rsidR="00DD25AD" w:rsidRDefault="00DD25AD" w:rsidP="00DD25AD">
      <w:pPr>
        <w:pStyle w:val="ListBullet"/>
      </w:pPr>
      <w:r w:rsidRPr="003D4097">
        <w:t>property assets</w:t>
      </w:r>
      <w:r>
        <w:t xml:space="preserve"> (for property and infrastructure assets to consider the impact of changes in asset values). This stress</w:t>
      </w:r>
      <w:r w:rsidRPr="003D4097">
        <w:t xml:space="preserve"> would be applied to </w:t>
      </w:r>
      <w:r>
        <w:t xml:space="preserve">earnings </w:t>
      </w:r>
      <w:r w:rsidRPr="003D4097">
        <w:t>and rental yields rather than directly to asset values</w:t>
      </w:r>
      <w:r>
        <w:t>;</w:t>
      </w:r>
      <w:r w:rsidRPr="003D4097">
        <w:t xml:space="preserve"> </w:t>
      </w:r>
    </w:p>
    <w:p w14:paraId="0597A770" w14:textId="77777777" w:rsidR="00DD25AD" w:rsidRDefault="00DD25AD" w:rsidP="00DD25AD">
      <w:pPr>
        <w:pStyle w:val="ListBullet"/>
      </w:pPr>
      <w:r w:rsidRPr="003D4097">
        <w:t>credit spreads (for interest-bearing assets</w:t>
      </w:r>
      <w:r>
        <w:t>, including cash-deposits, to consider the impact of an increase in credit spreads</w:t>
      </w:r>
      <w:r w:rsidRPr="003D4097">
        <w:t xml:space="preserve">); </w:t>
      </w:r>
      <w:r>
        <w:t xml:space="preserve">and </w:t>
      </w:r>
    </w:p>
    <w:p w14:paraId="25FF3939" w14:textId="77777777" w:rsidR="00DD25AD" w:rsidRDefault="00DD25AD" w:rsidP="00DD25AD">
      <w:pPr>
        <w:pStyle w:val="ListBullet"/>
      </w:pPr>
      <w:r w:rsidRPr="003D4097">
        <w:t>default risk (for non-interest-bearing assets</w:t>
      </w:r>
      <w:r w:rsidRPr="007D2930">
        <w:t xml:space="preserve"> </w:t>
      </w:r>
      <w:r>
        <w:t xml:space="preserve">to consider the </w:t>
      </w:r>
      <w:r w:rsidRPr="003D4097">
        <w:t>risk of counterparty default</w:t>
      </w:r>
      <w:r>
        <w:t xml:space="preserve">, including reinsurance and other credits or counterparty exposures that have not been affected by the credit spreads stress). </w:t>
      </w:r>
    </w:p>
    <w:p w14:paraId="4B4308C3" w14:textId="247FDE4E" w:rsidR="00DD25AD" w:rsidRDefault="00DD25AD" w:rsidP="00DD25AD">
      <w:r w:rsidRPr="00E03304">
        <w:t xml:space="preserve">The asset risk charge </w:t>
      </w:r>
      <w:r>
        <w:t xml:space="preserve">reflects APRA’s view </w:t>
      </w:r>
      <w:r w:rsidRPr="00E03304">
        <w:t xml:space="preserve">that insurers </w:t>
      </w:r>
      <w:r>
        <w:t xml:space="preserve">should </w:t>
      </w:r>
      <w:r w:rsidRPr="00E03304">
        <w:t xml:space="preserve">maintain a </w:t>
      </w:r>
      <w:proofErr w:type="spellStart"/>
      <w:r w:rsidRPr="00E03304">
        <w:t>well</w:t>
      </w:r>
      <w:r w:rsidR="00084D2B">
        <w:t xml:space="preserve"> </w:t>
      </w:r>
      <w:r w:rsidRPr="00E03304">
        <w:t>diversified</w:t>
      </w:r>
      <w:proofErr w:type="spellEnd"/>
      <w:r w:rsidRPr="00E03304">
        <w:t xml:space="preserve"> investment portfolio</w:t>
      </w:r>
      <w:r>
        <w:t xml:space="preserve">. It does not consider </w:t>
      </w:r>
      <w:r w:rsidRPr="00E03304">
        <w:t xml:space="preserve">additional risks where investments are concentrated in individual assets or where </w:t>
      </w:r>
      <w:r>
        <w:t xml:space="preserve">the insurer has </w:t>
      </w:r>
      <w:r w:rsidRPr="00E03304">
        <w:t>large exposures to individual counterparties (or gro</w:t>
      </w:r>
      <w:r>
        <w:t>ups of related counterparties)</w:t>
      </w:r>
      <w:r w:rsidRPr="00E03304">
        <w:t>.</w:t>
      </w:r>
      <w:r>
        <w:t xml:space="preserve"> </w:t>
      </w:r>
    </w:p>
    <w:p w14:paraId="647B5BB2" w14:textId="77777777" w:rsidR="00D120BA" w:rsidRDefault="00DD25AD" w:rsidP="00DD25AD">
      <w:r>
        <w:t xml:space="preserve">To address these risks, APRA proposes a separate asset concentration risk charge intended to act as a significant deterrent to insurers’ holding concentrated exposures. Consistent with LAGIC, APRA would impose a capital charge equal to the amount of each exposure of the insurer to a particular asset class or counterparty in excess of an APRA prescribed limit. </w:t>
      </w:r>
    </w:p>
    <w:p w14:paraId="65B3FE80" w14:textId="6B799BB8" w:rsidR="00DD25AD" w:rsidRPr="00D9569B" w:rsidRDefault="00DD25AD" w:rsidP="00DD25AD">
      <w:r>
        <w:t xml:space="preserve">APRA invites feedback on the appropriateness of the proposed asset risk stresses, and whether insurers </w:t>
      </w:r>
      <w:r w:rsidR="000106C1">
        <w:t>should</w:t>
      </w:r>
      <w:r>
        <w:t xml:space="preserve"> hold assets which could be affected by adverse events not captured by these stresses. APRA also invites feedback on impacts of the proposed asset concentration risk charge. </w:t>
      </w:r>
    </w:p>
    <w:p w14:paraId="4537504A" w14:textId="5F338B78" w:rsidR="00DD25AD" w:rsidRPr="00B20D07" w:rsidRDefault="00DD25AD" w:rsidP="005E7358">
      <w:pPr>
        <w:pStyle w:val="Heading3Numbers"/>
      </w:pPr>
      <w:r>
        <w:t xml:space="preserve"> </w:t>
      </w:r>
      <w:bookmarkStart w:id="303" w:name="_Toc22821269"/>
      <w:bookmarkStart w:id="304" w:name="_Toc23148552"/>
      <w:bookmarkStart w:id="305" w:name="_Toc23252670"/>
      <w:bookmarkStart w:id="306" w:name="_Toc23252957"/>
      <w:bookmarkStart w:id="307" w:name="_Toc23264939"/>
      <w:bookmarkStart w:id="308" w:name="_Toc23269053"/>
      <w:bookmarkStart w:id="309" w:name="_Toc23416021"/>
      <w:bookmarkStart w:id="310" w:name="_Toc23416494"/>
      <w:bookmarkStart w:id="311" w:name="_Toc24464049"/>
      <w:bookmarkStart w:id="312" w:name="_Toc24473728"/>
      <w:bookmarkStart w:id="313" w:name="_Toc24473937"/>
      <w:bookmarkStart w:id="314" w:name="_Toc24552460"/>
      <w:bookmarkStart w:id="315" w:name="_Toc24622424"/>
      <w:bookmarkStart w:id="316" w:name="_Toc25334558"/>
      <w:bookmarkStart w:id="317" w:name="_Toc25336139"/>
      <w:bookmarkStart w:id="318" w:name="_Toc25941652"/>
      <w:r w:rsidRPr="00B20D07">
        <w:t>Operational risk</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760FEDE9" w14:textId="77777777" w:rsidR="00DD25AD" w:rsidRDefault="00DD25AD" w:rsidP="00DD25AD">
      <w:r w:rsidRPr="0026778B">
        <w:t xml:space="preserve">Operational </w:t>
      </w:r>
      <w:r w:rsidRPr="00B45D0C">
        <w:t xml:space="preserve">risk is a key risk for insurers </w:t>
      </w:r>
      <w:r>
        <w:t>which is</w:t>
      </w:r>
      <w:r w:rsidRPr="00B45D0C">
        <w:t xml:space="preserve"> appropriate to address in APRA’s capital standards. APRA defines operational risk as ‘the risk of loss resulting from inadequate or failed internal processes, people and systems or from external events</w:t>
      </w:r>
      <w:r>
        <w:t>’</w:t>
      </w:r>
      <w:r w:rsidRPr="00B45D0C">
        <w:t xml:space="preserve">. </w:t>
      </w:r>
    </w:p>
    <w:p w14:paraId="5C270B57" w14:textId="01B38859" w:rsidR="00DD25AD" w:rsidRPr="00605D68" w:rsidRDefault="00DD25AD" w:rsidP="00DD25AD">
      <w:r w:rsidRPr="00605D68">
        <w:t xml:space="preserve">The nature and complexity of operational risk is continuing to expand as businesses increase their reliance on advanced technology and more complex organisational arrangements or distribution structures. The significance of operational risk has been demonstrated by the findings of </w:t>
      </w:r>
      <w:r>
        <w:t>th</w:t>
      </w:r>
      <w:r w:rsidRPr="00605D68">
        <w:rPr>
          <w:shd w:val="clear" w:color="auto" w:fill="FFFFFF"/>
        </w:rPr>
        <w:t xml:space="preserve">e Royal Commission </w:t>
      </w:r>
      <w:r w:rsidR="00605D68" w:rsidRPr="00605D68">
        <w:rPr>
          <w:shd w:val="clear" w:color="auto" w:fill="FFFFFF"/>
        </w:rPr>
        <w:t>into Misconduct in the Banking, Superannuation and Financial Services Industry</w:t>
      </w:r>
      <w:r w:rsidR="00605D68" w:rsidRPr="00605D68">
        <w:t xml:space="preserve"> </w:t>
      </w:r>
      <w:r w:rsidR="00605D68">
        <w:t xml:space="preserve">(Royal Commission) </w:t>
      </w:r>
      <w:r w:rsidRPr="00605D68">
        <w:t>which highlighted the impacts on regulated entities of failures in governance and management, as well as the increase in</w:t>
      </w:r>
      <w:r>
        <w:t xml:space="preserve"> </w:t>
      </w:r>
      <w:r w:rsidR="006D2FC6">
        <w:t>domestic and</w:t>
      </w:r>
      <w:r w:rsidRPr="00605D68">
        <w:t xml:space="preserve"> international experiences with privacy and information breaches. These issues are just as relevant to the PHI industry as they are to other APRA-regulated insurance industries. Indeed, operational risk in the PHI industry may be elevated reflecting the rapid and high volume nature of claim payments, broad reliance service providers and technology platforms and range of non-prudential policy reforms affecting the industry.</w:t>
      </w:r>
    </w:p>
    <w:p w14:paraId="60EAE0A5" w14:textId="489FA1B3" w:rsidR="00DD25AD" w:rsidRDefault="00DD25AD" w:rsidP="00DD25AD">
      <w:r>
        <w:t xml:space="preserve">The current PHI capital framework considers operational risk arising in the HBF related to health insurance business, as well as in </w:t>
      </w:r>
      <w:r w:rsidRPr="00436B20">
        <w:t xml:space="preserve">relation to </w:t>
      </w:r>
      <w:r>
        <w:t>an insurer’s health</w:t>
      </w:r>
      <w:r w:rsidR="00084D2B">
        <w:t xml:space="preserve"> </w:t>
      </w:r>
      <w:r w:rsidRPr="00436B20">
        <w:t xml:space="preserve">related </w:t>
      </w:r>
      <w:r w:rsidRPr="0005080A">
        <w:t>business</w:t>
      </w:r>
      <w:r>
        <w:t xml:space="preserve"> (only to the extent that business is conducted in the HBF)</w:t>
      </w:r>
      <w:r w:rsidRPr="0005080A">
        <w:t xml:space="preserve">. </w:t>
      </w:r>
      <w:r>
        <w:t>Under current requirements, a uniform approach is applied to determine the operational risk charge for the HBF regardless of whether the activity is health insurance or health</w:t>
      </w:r>
      <w:r w:rsidR="007710A5">
        <w:t xml:space="preserve"> </w:t>
      </w:r>
      <w:r>
        <w:t xml:space="preserve">related business. </w:t>
      </w:r>
    </w:p>
    <w:p w14:paraId="2DB90431" w14:textId="0338628C" w:rsidR="00DD25AD" w:rsidRPr="00DA7E42" w:rsidRDefault="00DD25AD" w:rsidP="00DD25AD">
      <w:r>
        <w:rPr>
          <w:rFonts w:eastAsia="Calibri" w:cs="Arial"/>
        </w:rPr>
        <w:t xml:space="preserve">In the PHI industry, the </w:t>
      </w:r>
      <w:r>
        <w:t xml:space="preserve">increasing prevalence of insurers operating </w:t>
      </w:r>
      <w:r w:rsidRPr="004E333D">
        <w:rPr>
          <w:rFonts w:eastAsia="Calibri" w:cs="Arial"/>
        </w:rPr>
        <w:t xml:space="preserve">integrated businesses </w:t>
      </w:r>
      <w:r>
        <w:rPr>
          <w:rFonts w:eastAsia="Calibri" w:cs="Arial"/>
        </w:rPr>
        <w:t xml:space="preserve">reinforces the need to consider </w:t>
      </w:r>
      <w:r>
        <w:t xml:space="preserve">the potential operational risks </w:t>
      </w:r>
      <w:r w:rsidR="006D2FC6">
        <w:t xml:space="preserve">in those activities </w:t>
      </w:r>
      <w:r>
        <w:t>that may give rise to contagion affecting the prudential soundness of insurers.</w:t>
      </w:r>
    </w:p>
    <w:p w14:paraId="2DE29502" w14:textId="77777777" w:rsidR="00DD25AD" w:rsidRDefault="00DD25AD" w:rsidP="00DD25AD">
      <w:r>
        <w:t xml:space="preserve">APRA proposes that the operational risk charge for the PHI capital standards capture the business activity of the whole licenced health insurer. An operational risk charge would be applied to both the HBF and business conducted outside the HBF; with the aggregate operational risk charge determined as the sum of the two. This approach will encourage insurers’ boards and management to focus on risks across the business and how those risks may impact financial resilience, and the ability of the insurer to meet commitments to policy holders. </w:t>
      </w:r>
    </w:p>
    <w:p w14:paraId="687B32F5" w14:textId="7252CEA3" w:rsidR="00DD25AD" w:rsidRDefault="00DD25AD" w:rsidP="00DD25AD">
      <w:r>
        <w:t xml:space="preserve">APRA’s proposal would also have the benefit of applying consistent capital treatment to insurers regardless of structural differences in how insurers’ conduct any </w:t>
      </w:r>
      <w:r w:rsidRPr="00DB26CD">
        <w:t>non</w:t>
      </w:r>
      <w:r w:rsidR="003D243D">
        <w:t>-</w:t>
      </w:r>
      <w:r>
        <w:t xml:space="preserve">insurance business. The current PHI capital standards allows an </w:t>
      </w:r>
      <w:r w:rsidRPr="00DB26CD">
        <w:t xml:space="preserve">insurer </w:t>
      </w:r>
      <w:r>
        <w:t xml:space="preserve">conducting </w:t>
      </w:r>
      <w:r w:rsidRPr="00DB26CD">
        <w:t xml:space="preserve">business outside its HBF </w:t>
      </w:r>
      <w:r>
        <w:t xml:space="preserve">to have a </w:t>
      </w:r>
      <w:r w:rsidRPr="00DB26CD">
        <w:t>lower capital requirement than if this business was conducted in the HBF</w:t>
      </w:r>
      <w:r>
        <w:t xml:space="preserve"> </w:t>
      </w:r>
      <w:r w:rsidRPr="00DB26CD">
        <w:t xml:space="preserve">(refer to </w:t>
      </w:r>
      <w:r w:rsidRPr="005F530B">
        <w:rPr>
          <w:b/>
        </w:rPr>
        <w:t xml:space="preserve">Figure </w:t>
      </w:r>
      <w:r>
        <w:rPr>
          <w:b/>
        </w:rPr>
        <w:t>5</w:t>
      </w:r>
      <w:r w:rsidRPr="00DB26CD">
        <w:t>).</w:t>
      </w:r>
      <w:r>
        <w:t xml:space="preserve"> APRA’s view is that such inconsistent capital treatment may impair oversight of potential contagion risks that affect the prudential soundness of insurers.</w:t>
      </w:r>
    </w:p>
    <w:p w14:paraId="595EDAE9" w14:textId="77777777" w:rsidR="00DD25AD" w:rsidRDefault="00DD25AD" w:rsidP="00DD25AD">
      <w:pPr>
        <w:rPr>
          <w:rFonts w:eastAsia="Calibri" w:cs="Arial"/>
        </w:rPr>
      </w:pPr>
      <w:r>
        <w:rPr>
          <w:rFonts w:eastAsia="Calibri" w:cs="Arial"/>
        </w:rPr>
        <w:t xml:space="preserve">The LAGIC framework adopts a relatively simple </w:t>
      </w:r>
      <w:r>
        <w:t>approach to determining the operational risk charge. This involves</w:t>
      </w:r>
      <w:r>
        <w:rPr>
          <w:rFonts w:eastAsia="Calibri" w:cs="Arial"/>
        </w:rPr>
        <w:t xml:space="preserve"> a straight-line calculation of the operational risk charge based on the </w:t>
      </w:r>
      <w:r>
        <w:t>size of the insurer’s operations and an additional component related to rapid growth of the insurer</w:t>
      </w:r>
      <w:r>
        <w:rPr>
          <w:rFonts w:eastAsia="Calibri" w:cs="Arial"/>
        </w:rPr>
        <w:t xml:space="preserve">. At the time of consultation on the LAGIC framework, APRA acknowledged concerns that the approach was not sufficiently sensitive to an insurer’s operational risks but was not presented with any viable alternative approaches. </w:t>
      </w:r>
    </w:p>
    <w:p w14:paraId="27010ACA" w14:textId="77777777" w:rsidR="00DD25AD" w:rsidRPr="00015494" w:rsidRDefault="00DD25AD" w:rsidP="00DD25AD">
      <w:r>
        <w:t>To reflect that</w:t>
      </w:r>
      <w:r w:rsidRPr="00A666E7">
        <w:rPr>
          <w:rFonts w:eastAsia="Calibri" w:cs="Arial"/>
        </w:rPr>
        <w:t xml:space="preserve"> operational risks may not</w:t>
      </w:r>
      <w:r>
        <w:rPr>
          <w:rFonts w:eastAsia="Calibri" w:cs="Arial"/>
        </w:rPr>
        <w:t xml:space="preserve"> be directly proportional to the size of business, </w:t>
      </w:r>
      <w:r w:rsidRPr="00A666E7">
        <w:rPr>
          <w:rFonts w:eastAsia="Calibri" w:cs="Arial"/>
        </w:rPr>
        <w:t xml:space="preserve">APRA </w:t>
      </w:r>
      <w:r>
        <w:rPr>
          <w:rFonts w:eastAsia="Calibri" w:cs="Arial"/>
        </w:rPr>
        <w:t>is open to a non-linear approach and</w:t>
      </w:r>
      <w:r w:rsidRPr="00A666E7">
        <w:rPr>
          <w:rFonts w:eastAsia="Calibri" w:cs="Arial"/>
        </w:rPr>
        <w:t xml:space="preserve"> seeks feedback on </w:t>
      </w:r>
      <w:r w:rsidRPr="00B5048E">
        <w:rPr>
          <w:rFonts w:eastAsia="Calibri" w:cs="Arial"/>
        </w:rPr>
        <w:t>options, including the relevance of a minimum or maximum threshold</w:t>
      </w:r>
      <w:r>
        <w:rPr>
          <w:rFonts w:eastAsia="Calibri" w:cs="Arial"/>
        </w:rPr>
        <w:t xml:space="preserve"> and potential metrics to determine the operational risk charge for non-insurance business</w:t>
      </w:r>
      <w:r w:rsidRPr="009C17E7">
        <w:rPr>
          <w:rFonts w:eastAsia="Calibri" w:cs="Arial"/>
        </w:rPr>
        <w:t>. If a robust non-linear option w</w:t>
      </w:r>
      <w:r>
        <w:rPr>
          <w:rFonts w:eastAsia="Calibri" w:cs="Arial"/>
        </w:rPr>
        <w:t>as</w:t>
      </w:r>
      <w:r w:rsidRPr="009C17E7">
        <w:rPr>
          <w:rFonts w:eastAsia="Calibri" w:cs="Arial"/>
        </w:rPr>
        <w:t xml:space="preserve"> identified, APRA proposes that it would be calibrated to retain a similar relative contribution to the overall </w:t>
      </w:r>
      <w:r w:rsidRPr="00015494">
        <w:rPr>
          <w:rFonts w:eastAsia="Calibri" w:cs="Arial"/>
        </w:rPr>
        <w:t>PC</w:t>
      </w:r>
      <w:r>
        <w:rPr>
          <w:rFonts w:eastAsia="Calibri" w:cs="Arial"/>
        </w:rPr>
        <w:t>A</w:t>
      </w:r>
      <w:r w:rsidRPr="009C17E7">
        <w:rPr>
          <w:rFonts w:eastAsia="Calibri" w:cs="Arial"/>
        </w:rPr>
        <w:t xml:space="preserve"> as that of the current </w:t>
      </w:r>
      <w:r>
        <w:rPr>
          <w:rFonts w:eastAsia="Calibri" w:cs="Arial"/>
        </w:rPr>
        <w:t>PHI capital standards</w:t>
      </w:r>
      <w:r w:rsidRPr="00015494">
        <w:rPr>
          <w:rFonts w:eastAsia="Calibri" w:cs="Arial"/>
        </w:rPr>
        <w:t xml:space="preserve">. </w:t>
      </w:r>
    </w:p>
    <w:p w14:paraId="6E07C1AB" w14:textId="77777777" w:rsidR="00DD25AD" w:rsidRPr="00B20D07" w:rsidRDefault="00DD25AD" w:rsidP="005E7358">
      <w:pPr>
        <w:pStyle w:val="Heading3Numbers"/>
      </w:pPr>
      <w:bookmarkStart w:id="319" w:name="_Toc22821270"/>
      <w:bookmarkStart w:id="320" w:name="_Toc23148553"/>
      <w:bookmarkStart w:id="321" w:name="_Toc23252671"/>
      <w:bookmarkStart w:id="322" w:name="_Toc23252958"/>
      <w:bookmarkStart w:id="323" w:name="_Toc23264940"/>
      <w:bookmarkStart w:id="324" w:name="_Toc23269054"/>
      <w:bookmarkStart w:id="325" w:name="_Toc23416022"/>
      <w:bookmarkStart w:id="326" w:name="_Toc23416495"/>
      <w:bookmarkStart w:id="327" w:name="_Toc24464050"/>
      <w:bookmarkStart w:id="328" w:name="_Toc24473729"/>
      <w:bookmarkStart w:id="329" w:name="_Toc24473938"/>
      <w:bookmarkStart w:id="330" w:name="_Toc24552461"/>
      <w:bookmarkStart w:id="331" w:name="_Toc24622425"/>
      <w:bookmarkStart w:id="332" w:name="_Toc25334559"/>
      <w:bookmarkStart w:id="333" w:name="_Toc25336140"/>
      <w:bookmarkStart w:id="334" w:name="_Toc25941653"/>
      <w:r w:rsidRPr="00B20D07">
        <w:t>Aggregation benefit</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A9DB89B" w14:textId="281BAB29" w:rsidR="00DD25AD" w:rsidRDefault="00DD25AD" w:rsidP="00DD25AD">
      <w:r w:rsidRPr="009C60CD">
        <w:t>The concept of diversification is a fundamental principle of insura</w:t>
      </w:r>
      <w:r>
        <w:t>nce and is a key feature of the LAGIC framework</w:t>
      </w:r>
      <w:r w:rsidRPr="009C60CD">
        <w:t xml:space="preserve">. </w:t>
      </w:r>
      <w:r>
        <w:t xml:space="preserve">To recognise the </w:t>
      </w:r>
      <w:r w:rsidR="00133EF9">
        <w:t>independence</w:t>
      </w:r>
      <w:r>
        <w:t xml:space="preserve"> between asset risks and insurance liability risks, A</w:t>
      </w:r>
      <w:r w:rsidRPr="00CF12E7">
        <w:t xml:space="preserve">PRA proposes </w:t>
      </w:r>
      <w:r>
        <w:t xml:space="preserve">the PHI capital standards include </w:t>
      </w:r>
      <w:r w:rsidRPr="00CF12E7">
        <w:t xml:space="preserve">an explicit </w:t>
      </w:r>
      <w:r>
        <w:t xml:space="preserve">recognition of </w:t>
      </w:r>
      <w:r w:rsidRPr="00CF12E7">
        <w:t>diversif</w:t>
      </w:r>
      <w:r>
        <w:t xml:space="preserve">ied </w:t>
      </w:r>
      <w:r w:rsidRPr="00CF12E7">
        <w:t>risks</w:t>
      </w:r>
      <w:r>
        <w:t xml:space="preserve"> through an aggregation benefit. </w:t>
      </w:r>
    </w:p>
    <w:p w14:paraId="4FBFD2F9" w14:textId="77777777" w:rsidR="00DD25AD" w:rsidRDefault="00DD25AD" w:rsidP="00DD25AD">
      <w:r>
        <w:t xml:space="preserve">Consistent with the LAGIC framework, APRA’s proposal for the PHI capital standards involves each of the </w:t>
      </w:r>
      <w:r w:rsidRPr="00CF12E7">
        <w:t xml:space="preserve">asset risk and insurance risk capital charges </w:t>
      </w:r>
      <w:r>
        <w:t xml:space="preserve">being </w:t>
      </w:r>
      <w:r w:rsidRPr="00CF12E7">
        <w:t>calibrated separately to a target of 99.5</w:t>
      </w:r>
      <w:r>
        <w:t> per </w:t>
      </w:r>
      <w:r w:rsidRPr="00CF12E7">
        <w:t xml:space="preserve">cent probability of sufficiency. </w:t>
      </w:r>
      <w:r w:rsidRPr="009C60CD">
        <w:t xml:space="preserve">To maintain this level of sufficiency in aggregate, while recognising that asset and insurance risks are not perfectly correlated, the capital charges would be combined using a </w:t>
      </w:r>
      <w:r>
        <w:t xml:space="preserve">prescribed </w:t>
      </w:r>
      <w:r w:rsidRPr="009C60CD">
        <w:t>formula that yields a total capital charge that is less than the sum of the asset and insurance risk charge</w:t>
      </w:r>
      <w:r>
        <w:t>.</w:t>
      </w:r>
    </w:p>
    <w:p w14:paraId="0D0D6AEF" w14:textId="77777777" w:rsidR="00DD25AD" w:rsidRDefault="00DD25AD" w:rsidP="00DD25AD">
      <w:pPr>
        <w:keepNext/>
        <w:keepLines/>
      </w:pPr>
      <w:r>
        <w:t>APRA proposes an aggregation benefit using the formula:</w:t>
      </w:r>
    </w:p>
    <w:p w14:paraId="56CC0972" w14:textId="77777777" w:rsidR="00DD25AD" w:rsidRPr="00AB7584" w:rsidRDefault="00DD25AD" w:rsidP="00DD25AD">
      <w:pPr>
        <w:keepNext/>
        <w:keepLines/>
        <w:rPr>
          <w:rFonts w:eastAsiaTheme="minorEastAsia"/>
        </w:rPr>
      </w:pPr>
      <m:oMath>
        <m:r>
          <w:rPr>
            <w:rFonts w:ascii="Cambria Math" w:hAnsi="Cambria Math"/>
          </w:rPr>
          <m:t>=</m:t>
        </m:r>
        <m:d>
          <m:dPr>
            <m:ctrlPr>
              <w:rPr>
                <w:rFonts w:ascii="Cambria Math" w:hAnsi="Cambria Math"/>
                <w:i/>
              </w:rPr>
            </m:ctrlPr>
          </m:dPr>
          <m:e>
            <m:r>
              <w:rPr>
                <w:rFonts w:ascii="Cambria Math" w:hAnsi="Cambria Math"/>
              </w:rPr>
              <m:t>A+I</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+2×corr×A×I</m:t>
            </m:r>
          </m:e>
        </m:rad>
      </m:oMath>
    </w:p>
    <w:p w14:paraId="6C934436" w14:textId="50FB2C5A" w:rsidR="00DD25AD" w:rsidRDefault="00DD25AD" w:rsidP="00DD25AD">
      <w:pPr>
        <w:keepNext/>
        <w:keepLines/>
        <w:tabs>
          <w:tab w:val="left" w:pos="1134"/>
        </w:tabs>
      </w:pPr>
      <w:r>
        <w:t>where</w:t>
      </w:r>
      <w:r w:rsidR="00F44698">
        <w:t>:</w:t>
      </w:r>
      <w:r>
        <w:t xml:space="preserve"> </w:t>
      </w:r>
      <w:r>
        <w:tab/>
        <w:t>A = the insurer’s asset risk charge</w:t>
      </w:r>
    </w:p>
    <w:p w14:paraId="68ACB7BD" w14:textId="77777777" w:rsidR="00DD25AD" w:rsidRDefault="00DD25AD" w:rsidP="00DD25AD">
      <w:pPr>
        <w:pStyle w:val="List"/>
        <w:keepNext/>
        <w:keepLines/>
        <w:numPr>
          <w:ilvl w:val="0"/>
          <w:numId w:val="0"/>
        </w:numPr>
        <w:tabs>
          <w:tab w:val="left" w:pos="1418"/>
        </w:tabs>
        <w:ind w:left="1134" w:hanging="425"/>
      </w:pPr>
      <w:r>
        <w:tab/>
        <w:t>I = the insurer’s insurance risk capital charge</w:t>
      </w:r>
    </w:p>
    <w:p w14:paraId="4511ABB2" w14:textId="77777777" w:rsidR="00DD25AD" w:rsidRDefault="00DD25AD" w:rsidP="00DD25AD">
      <w:pPr>
        <w:pStyle w:val="List"/>
        <w:keepNext/>
        <w:keepLines/>
        <w:numPr>
          <w:ilvl w:val="0"/>
          <w:numId w:val="0"/>
        </w:numPr>
        <w:tabs>
          <w:tab w:val="left" w:pos="1418"/>
        </w:tabs>
        <w:ind w:left="1134" w:hanging="425"/>
      </w:pPr>
      <w:r>
        <w:tab/>
      </w:r>
      <w:proofErr w:type="spellStart"/>
      <w:r w:rsidRPr="009C7683">
        <w:rPr>
          <w:i/>
        </w:rPr>
        <w:t>corr</w:t>
      </w:r>
      <w:proofErr w:type="spellEnd"/>
      <w:r>
        <w:t xml:space="preserve"> = the specified correlation factor</w:t>
      </w:r>
    </w:p>
    <w:p w14:paraId="51F4A3EE" w14:textId="77777777" w:rsidR="00DD25AD" w:rsidRPr="009C7683" w:rsidRDefault="00DD25AD" w:rsidP="00DD25AD">
      <w:r w:rsidRPr="009C7683">
        <w:t xml:space="preserve">The correlation factor needs to be set to </w:t>
      </w:r>
      <w:r>
        <w:t xml:space="preserve">reflect the </w:t>
      </w:r>
      <w:r w:rsidRPr="009C7683">
        <w:t xml:space="preserve">likelihood of insurance and asset risk events occurring simultaneously. </w:t>
      </w:r>
      <w:r>
        <w:t xml:space="preserve">The </w:t>
      </w:r>
      <w:r w:rsidRPr="009C7683">
        <w:t xml:space="preserve">value of the correlation factor, which will be a number between 0 and 1 is a matter for </w:t>
      </w:r>
      <w:r>
        <w:t xml:space="preserve">further consideration. However, consistent with LAGIC, is </w:t>
      </w:r>
      <w:r w:rsidRPr="009C7683">
        <w:t>likely to be in the range 0.2 to 0.5</w:t>
      </w:r>
      <w:r>
        <w:t xml:space="preserve">. </w:t>
      </w:r>
    </w:p>
    <w:p w14:paraId="3141BA41" w14:textId="77777777" w:rsidR="00DD25AD" w:rsidRDefault="00DD25AD" w:rsidP="00DD25AD">
      <w:r>
        <w:t>APRA seeks feedback from interested stakeholders on an appropriate approach for the prescribed formula, including whether the formula and correlation factor of 0.2</w:t>
      </w:r>
      <w:r>
        <w:rPr>
          <w:rStyle w:val="FootnoteReference"/>
        </w:rPr>
        <w:footnoteReference w:id="12"/>
      </w:r>
      <w:r>
        <w:t xml:space="preserve"> can be adopted without amendment.</w:t>
      </w:r>
    </w:p>
    <w:p w14:paraId="41930C75" w14:textId="77777777" w:rsidR="00DD25AD" w:rsidRDefault="00DD25AD" w:rsidP="00DD25AD">
      <w:r w:rsidRPr="005E6945">
        <w:t xml:space="preserve">APRA proposes that the capital charge components for operational risk and asset concentration risk would not be included </w:t>
      </w:r>
      <w:r w:rsidRPr="00C55A79">
        <w:t>in the aggregation benefit</w:t>
      </w:r>
      <w:r>
        <w:t>,</w:t>
      </w:r>
      <w:r w:rsidRPr="00C55A79">
        <w:t xml:space="preserve"> and would be added without adjustment to determine the aggregate PC</w:t>
      </w:r>
      <w:r>
        <w:t>A</w:t>
      </w:r>
      <w:r w:rsidRPr="00C55A79">
        <w:t>. APRA’s proposal for operation</w:t>
      </w:r>
      <w:r>
        <w:t>al</w:t>
      </w:r>
      <w:r w:rsidRPr="00C55A79">
        <w:t xml:space="preserve"> risk reflects that correlation with other risks becomes stronger in times of extreme stress, while the charge for asset concentration risk is designed to strongly discourage asset concentration and, as such, is different in nature from the other risks.</w:t>
      </w:r>
    </w:p>
    <w:p w14:paraId="4151AADD" w14:textId="77777777" w:rsidR="00DD25AD" w:rsidRPr="00B20D07" w:rsidRDefault="00DD25AD" w:rsidP="005E7358">
      <w:pPr>
        <w:pStyle w:val="Heading3Numbers"/>
      </w:pPr>
      <w:bookmarkStart w:id="335" w:name="_Toc24473730"/>
      <w:bookmarkStart w:id="336" w:name="_Toc24473939"/>
      <w:bookmarkStart w:id="337" w:name="_Toc24552462"/>
      <w:bookmarkStart w:id="338" w:name="_Toc24622426"/>
      <w:bookmarkStart w:id="339" w:name="_Toc25334560"/>
      <w:bookmarkStart w:id="340" w:name="_Toc25336141"/>
      <w:bookmarkStart w:id="341" w:name="_Toc25941654"/>
      <w:r>
        <w:t>Minimum prescribed capital</w:t>
      </w:r>
      <w:bookmarkEnd w:id="335"/>
      <w:bookmarkEnd w:id="336"/>
      <w:bookmarkEnd w:id="337"/>
      <w:bookmarkEnd w:id="338"/>
      <w:bookmarkEnd w:id="339"/>
      <w:bookmarkEnd w:id="340"/>
      <w:bookmarkEnd w:id="341"/>
      <w:r>
        <w:t xml:space="preserve"> </w:t>
      </w:r>
    </w:p>
    <w:p w14:paraId="7514A943" w14:textId="140B5BCF" w:rsidR="00DD25AD" w:rsidRDefault="00DD25AD" w:rsidP="00DD25AD">
      <w:r>
        <w:t xml:space="preserve">APRA proposes the PHI capital standards set </w:t>
      </w:r>
      <w:r w:rsidRPr="00DD55BE">
        <w:t xml:space="preserve">an explicit minimum </w:t>
      </w:r>
      <w:r>
        <w:t xml:space="preserve">prescribed capital requirement of $5 million for the whole licenced insurer. APRA’s proposal reflects the </w:t>
      </w:r>
      <w:r w:rsidRPr="00DD55BE">
        <w:t xml:space="preserve">expectation that all APRA-regulated entities need to hold a certain minimum level of capital against operational and insurance risks to which all insurers are exposed. </w:t>
      </w:r>
      <w:r>
        <w:t xml:space="preserve">APRA’s proposal </w:t>
      </w:r>
      <w:r w:rsidRPr="00DD55BE">
        <w:t xml:space="preserve">would bring the PHI industry into alignment with other insurance industries where minimum prescribed capital </w:t>
      </w:r>
      <w:r w:rsidR="00852552">
        <w:t>amount</w:t>
      </w:r>
      <w:r w:rsidRPr="00DD55BE">
        <w:t xml:space="preserve"> currently </w:t>
      </w:r>
      <w:r w:rsidR="00ED4C0C">
        <w:t>applies</w:t>
      </w:r>
      <w:r w:rsidRPr="00DD55BE">
        <w:t xml:space="preserve"> under the LAGIC framework. </w:t>
      </w:r>
    </w:p>
    <w:p w14:paraId="34AE6C65" w14:textId="6ACF4E50" w:rsidR="00DD25AD" w:rsidRPr="00BA09D4" w:rsidRDefault="00DD25AD" w:rsidP="00DD25AD">
      <w:r>
        <w:t>While a</w:t>
      </w:r>
      <w:r w:rsidRPr="00BA09D4">
        <w:t xml:space="preserve">n implicit minimum capital amount </w:t>
      </w:r>
      <w:r>
        <w:t xml:space="preserve">of $1 million </w:t>
      </w:r>
      <w:r w:rsidRPr="00BA09D4">
        <w:t>applies through the operational risk amount in the existing</w:t>
      </w:r>
      <w:r>
        <w:t xml:space="preserve"> </w:t>
      </w:r>
      <w:r w:rsidR="00907939">
        <w:t xml:space="preserve">PHI </w:t>
      </w:r>
      <w:r>
        <w:t xml:space="preserve">capital adequacy standard (HPS 110), this is low </w:t>
      </w:r>
      <w:r w:rsidRPr="00BA09D4">
        <w:t xml:space="preserve">relative to </w:t>
      </w:r>
      <w:r>
        <w:t xml:space="preserve">the requirements of </w:t>
      </w:r>
      <w:r>
        <w:rPr>
          <w:rFonts w:eastAsia="Calibri" w:cs="Arial"/>
        </w:rPr>
        <w:t xml:space="preserve">LAGIC, of $10 million for the whole life company in the life insurance industry and $5 million in the </w:t>
      </w:r>
      <w:r w:rsidRPr="001A0699">
        <w:rPr>
          <w:rFonts w:eastAsia="Calibri" w:cs="Arial"/>
        </w:rPr>
        <w:t>general insurance indu</w:t>
      </w:r>
      <w:r>
        <w:rPr>
          <w:rFonts w:eastAsia="Calibri" w:cs="Arial"/>
        </w:rPr>
        <w:t xml:space="preserve">stry. </w:t>
      </w:r>
      <w:r w:rsidR="00852552">
        <w:rPr>
          <w:rFonts w:eastAsia="Calibri" w:cs="Arial"/>
        </w:rPr>
        <w:t xml:space="preserve">APRA is also considering indexation of the minimum capital amount to </w:t>
      </w:r>
      <w:r w:rsidR="00685AEA">
        <w:rPr>
          <w:rFonts w:eastAsia="Calibri" w:cs="Arial"/>
        </w:rPr>
        <w:t>ensure the minimum remains at an appropriate level over time, without needing explicit amendment of the capital standards.</w:t>
      </w:r>
      <w:r w:rsidR="00852552">
        <w:rPr>
          <w:rFonts w:eastAsia="Calibri" w:cs="Arial"/>
        </w:rPr>
        <w:t xml:space="preserve"> </w:t>
      </w:r>
    </w:p>
    <w:p w14:paraId="22813EAD" w14:textId="6A35AFD0" w:rsidR="00DD25AD" w:rsidRPr="00BA09D4" w:rsidRDefault="00DD25AD" w:rsidP="00DD25AD">
      <w:r>
        <w:rPr>
          <w:rFonts w:eastAsia="Calibri" w:cs="Arial"/>
        </w:rPr>
        <w:t>APRA invites feedback from stakeholders on the impact of an explicit mi</w:t>
      </w:r>
      <w:r w:rsidR="00685AEA">
        <w:rPr>
          <w:rFonts w:eastAsia="Calibri" w:cs="Arial"/>
        </w:rPr>
        <w:t xml:space="preserve">nimum prescribed capital amount, the </w:t>
      </w:r>
      <w:r>
        <w:rPr>
          <w:rFonts w:eastAsia="Calibri" w:cs="Arial"/>
        </w:rPr>
        <w:t>impact of the proposed quantum on existing insurers and potential new entrants</w:t>
      </w:r>
      <w:r w:rsidR="00685AEA">
        <w:rPr>
          <w:rFonts w:eastAsia="Calibri" w:cs="Arial"/>
        </w:rPr>
        <w:t xml:space="preserve"> and options for indexing the minimum amount</w:t>
      </w:r>
      <w:r>
        <w:rPr>
          <w:rFonts w:eastAsia="Calibri" w:cs="Arial"/>
        </w:rPr>
        <w:t xml:space="preserve">. </w:t>
      </w:r>
    </w:p>
    <w:p w14:paraId="534E4079" w14:textId="77777777" w:rsidR="00DD25AD" w:rsidRPr="002C5434" w:rsidRDefault="00DD25AD" w:rsidP="005E7358">
      <w:pPr>
        <w:pStyle w:val="Heading2Numbers"/>
      </w:pPr>
      <w:bookmarkStart w:id="342" w:name="_Toc22821271"/>
      <w:bookmarkStart w:id="343" w:name="_Toc23148554"/>
      <w:bookmarkStart w:id="344" w:name="_Toc23252672"/>
      <w:bookmarkStart w:id="345" w:name="_Toc23252959"/>
      <w:bookmarkStart w:id="346" w:name="_Toc23264941"/>
      <w:bookmarkStart w:id="347" w:name="_Toc23269055"/>
      <w:bookmarkStart w:id="348" w:name="_Toc23416023"/>
      <w:bookmarkStart w:id="349" w:name="_Toc23416496"/>
      <w:bookmarkStart w:id="350" w:name="_Toc24464051"/>
      <w:bookmarkStart w:id="351" w:name="_Toc24473731"/>
      <w:bookmarkStart w:id="352" w:name="_Toc24473940"/>
      <w:bookmarkStart w:id="353" w:name="_Toc24622427"/>
      <w:bookmarkStart w:id="354" w:name="_Toc25334561"/>
      <w:bookmarkStart w:id="355" w:name="_Toc25941655"/>
      <w:r w:rsidRPr="002C5434">
        <w:t>Supervisory adjustments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7C0C42B0" w14:textId="77777777" w:rsidR="00DD25AD" w:rsidRDefault="00DD25AD" w:rsidP="00DD25AD">
      <w:pPr>
        <w:spacing w:before="240"/>
      </w:pPr>
      <w:r>
        <w:t>Capital adequacy is dependent on an insurer’s capital position, but also on the way the insurer monitors and manages its capital position and risks. APRA’s prudential capital framework for other industries is based on a three pillar supervisory approach. This is consistent with the approach adopted internationally under the IAIS ICPs and Solvency II in the European Union. The three pillars are mutually reinforcing and comprise:</w:t>
      </w:r>
    </w:p>
    <w:p w14:paraId="7D6746E1" w14:textId="77777777" w:rsidR="00DD25AD" w:rsidRPr="00DB26CD" w:rsidRDefault="00DD25AD" w:rsidP="00DD25AD">
      <w:pPr>
        <w:pStyle w:val="ListBullet"/>
      </w:pPr>
      <w:r>
        <w:t>Pillar 1 - q</w:t>
      </w:r>
      <w:r w:rsidRPr="003364CF">
        <w:t>uantitative requirements in relation to requi</w:t>
      </w:r>
      <w:r>
        <w:t xml:space="preserve">red capital, liability valuations and the capital base reflecting the PCA determined as the sum of capital components </w:t>
      </w:r>
      <w:r w:rsidRPr="00DB26CD">
        <w:t>described in section 2.6 (</w:t>
      </w:r>
      <w:r w:rsidRPr="00DB26CD">
        <w:rPr>
          <w:rFonts w:eastAsia="Times New Roman" w:cs="Calibri"/>
          <w:lang w:eastAsia="en-AU"/>
        </w:rPr>
        <w:t>Prescribed Capital and its Components)</w:t>
      </w:r>
      <w:r w:rsidRPr="00DB26CD">
        <w:t>;</w:t>
      </w:r>
    </w:p>
    <w:p w14:paraId="7E172A22" w14:textId="77777777" w:rsidR="00DD25AD" w:rsidRPr="00DB26CD" w:rsidRDefault="00DD25AD" w:rsidP="00DD25AD">
      <w:pPr>
        <w:pStyle w:val="ListBullet"/>
      </w:pPr>
      <w:r w:rsidRPr="00DB26CD">
        <w:t>Pillar 2 - the supervisory review process of risk management</w:t>
      </w:r>
      <w:r>
        <w:t>,</w:t>
      </w:r>
      <w:r w:rsidRPr="00DB26CD">
        <w:t xml:space="preserve"> capital management </w:t>
      </w:r>
      <w:r>
        <w:t>and governance</w:t>
      </w:r>
      <w:r w:rsidRPr="00DB26CD">
        <w:t xml:space="preserve"> practices of an insurer, which may include a supervisory adjustment to capital; and</w:t>
      </w:r>
    </w:p>
    <w:p w14:paraId="59B8590E" w14:textId="77777777" w:rsidR="00DD25AD" w:rsidRPr="00DB26CD" w:rsidRDefault="00DD25AD" w:rsidP="00DD25AD">
      <w:pPr>
        <w:pStyle w:val="ListBullet"/>
      </w:pPr>
      <w:r w:rsidRPr="00DB26CD">
        <w:t>Pillar 3 - disclosure requirements designed to encourage market discipline.</w:t>
      </w:r>
    </w:p>
    <w:p w14:paraId="103D4DEC" w14:textId="77777777" w:rsidR="00DD25AD" w:rsidRPr="00DB26CD" w:rsidRDefault="00DD25AD" w:rsidP="00E1176C">
      <w:pPr>
        <w:pStyle w:val="ListBullet"/>
        <w:numPr>
          <w:ilvl w:val="0"/>
          <w:numId w:val="0"/>
        </w:numPr>
      </w:pPr>
      <w:r w:rsidRPr="00DB26CD">
        <w:t xml:space="preserve">APRA proposes that its </w:t>
      </w:r>
      <w:r w:rsidRPr="00DB26CD">
        <w:rPr>
          <w:rFonts w:cs="Today SB"/>
        </w:rPr>
        <w:t xml:space="preserve">supervisory review process include provision for it to determine supervisory adjustments </w:t>
      </w:r>
      <w:r>
        <w:rPr>
          <w:rFonts w:cs="Today SB"/>
        </w:rPr>
        <w:t xml:space="preserve">to the PCA </w:t>
      </w:r>
      <w:r w:rsidRPr="00DB26CD">
        <w:rPr>
          <w:rFonts w:cs="Today SB"/>
        </w:rPr>
        <w:t xml:space="preserve">under either Pillar 1 or Pillar 2, consistent with the approach employed under LAGIC for the other insurance industries. </w:t>
      </w:r>
    </w:p>
    <w:p w14:paraId="1AE3166D" w14:textId="77777777" w:rsidR="00DD25AD" w:rsidRPr="00B20D07" w:rsidRDefault="00DD25AD" w:rsidP="005E7358">
      <w:pPr>
        <w:pStyle w:val="Heading3Numbers"/>
      </w:pPr>
      <w:bookmarkStart w:id="356" w:name="_Toc22821273"/>
      <w:bookmarkStart w:id="357" w:name="_Toc23148555"/>
      <w:bookmarkStart w:id="358" w:name="_Toc23252673"/>
      <w:bookmarkStart w:id="359" w:name="_Toc23252960"/>
      <w:bookmarkStart w:id="360" w:name="_Toc23264942"/>
      <w:bookmarkStart w:id="361" w:name="_Toc23269056"/>
      <w:bookmarkStart w:id="362" w:name="_Toc23416024"/>
      <w:bookmarkStart w:id="363" w:name="_Toc23416497"/>
      <w:bookmarkStart w:id="364" w:name="_Toc24464052"/>
      <w:bookmarkStart w:id="365" w:name="_Toc24473732"/>
      <w:bookmarkStart w:id="366" w:name="_Toc24473941"/>
      <w:bookmarkStart w:id="367" w:name="_Toc24552464"/>
      <w:bookmarkStart w:id="368" w:name="_Toc24622428"/>
      <w:bookmarkStart w:id="369" w:name="_Toc25334562"/>
      <w:bookmarkStart w:id="370" w:name="_Toc25336143"/>
      <w:bookmarkStart w:id="371" w:name="_Toc25941656"/>
      <w:r w:rsidRPr="00B20D07">
        <w:t>Determining a supervisory adjustment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B20D07">
        <w:t xml:space="preserve"> </w:t>
      </w:r>
    </w:p>
    <w:p w14:paraId="14E01636" w14:textId="0C8B6207" w:rsidR="00DD25AD" w:rsidRPr="00DB26CD" w:rsidRDefault="00DD25AD" w:rsidP="00DD25AD">
      <w:pPr>
        <w:spacing w:before="240"/>
        <w:rPr>
          <w:rFonts w:eastAsia="Calibri" w:cs="Arial"/>
        </w:rPr>
      </w:pPr>
      <w:r w:rsidRPr="00DB26CD">
        <w:rPr>
          <w:rFonts w:cs="Today SB"/>
        </w:rPr>
        <w:t xml:space="preserve">APRA proposes that the PHI capital standards allow </w:t>
      </w:r>
      <w:r w:rsidRPr="00DB26CD">
        <w:t xml:space="preserve">APRA to make a supervisory adjustment to the insurer’s capital requirement where it considers the PCA insufficient. This occurs when there are concerns about an insurer’s governance, risk management or management capabilities. </w:t>
      </w:r>
      <w:r w:rsidRPr="00DB26CD">
        <w:rPr>
          <w:rFonts w:cs="Today SB"/>
        </w:rPr>
        <w:t>For example, newly licensed insurers, exposure of an insurer to material new risks or business strategies, insurers with a rapidly changing business mix, and insurers with material governance or risk management weaknesses, including a weak ICAAP or stress</w:t>
      </w:r>
      <w:r w:rsidR="00431FCB">
        <w:rPr>
          <w:rFonts w:cs="Today SB"/>
        </w:rPr>
        <w:t xml:space="preserve"> </w:t>
      </w:r>
      <w:r w:rsidRPr="00DB26CD">
        <w:rPr>
          <w:rFonts w:cs="Today SB"/>
        </w:rPr>
        <w:t>testing processes or failing to comply with prudential standards. A non</w:t>
      </w:r>
      <w:r w:rsidR="007A1FD3">
        <w:rPr>
          <w:rFonts w:cs="Today SB"/>
        </w:rPr>
        <w:t>-</w:t>
      </w:r>
      <w:r w:rsidRPr="00DB26CD">
        <w:rPr>
          <w:rFonts w:cs="Today SB"/>
        </w:rPr>
        <w:t xml:space="preserve">exhaustive list </w:t>
      </w:r>
      <w:r w:rsidRPr="00DB26CD">
        <w:t xml:space="preserve">is available in </w:t>
      </w:r>
      <w:r w:rsidRPr="00DB26CD">
        <w:rPr>
          <w:i/>
        </w:rPr>
        <w:t>Prudential Practice Guide CPG 110 Internal Capital Adequacy Assessment Process and Supervisory Review</w:t>
      </w:r>
      <w:r w:rsidRPr="00DB26CD">
        <w:t xml:space="preserve"> (CPG 110).</w:t>
      </w:r>
      <w:r w:rsidRPr="00DB26CD">
        <w:rPr>
          <w:rStyle w:val="FootnoteReference"/>
        </w:rPr>
        <w:footnoteReference w:id="13"/>
      </w:r>
      <w:r w:rsidRPr="00DB26CD">
        <w:rPr>
          <w:rFonts w:eastAsia="Calibri" w:cs="Arial"/>
        </w:rPr>
        <w:t xml:space="preserve"> </w:t>
      </w:r>
    </w:p>
    <w:p w14:paraId="73C0DB73" w14:textId="5C3AEFEF" w:rsidR="00DD25AD" w:rsidRPr="00DB26CD" w:rsidRDefault="00DD25AD" w:rsidP="00DD25AD">
      <w:r w:rsidRPr="00DB26CD">
        <w:t>A supervisory adjustment will be determined taking into account APRA’s regular assessment of the insurer. As with LAGIC, supervisory adjustments will draw</w:t>
      </w:r>
      <w:r>
        <w:t xml:space="preserve"> </w:t>
      </w:r>
      <w:r w:rsidRPr="00DB26CD">
        <w:t>on relevant information sources and analytical tools including risk assessment and supervisory response models (Probability and Impact Rating System (PAIRS) and Supervisory Oversight and Response System (SOARS))</w:t>
      </w:r>
      <w:r w:rsidR="00C5573C">
        <w:t>.</w:t>
      </w:r>
      <w:r w:rsidRPr="00DB26CD">
        <w:rPr>
          <w:rStyle w:val="FootnoteReference"/>
        </w:rPr>
        <w:footnoteReference w:id="14"/>
      </w:r>
      <w:r w:rsidRPr="00DB26CD">
        <w:t xml:space="preserve"> </w:t>
      </w:r>
    </w:p>
    <w:p w14:paraId="48AFAFB5" w14:textId="77777777" w:rsidR="00DD25AD" w:rsidRPr="00DB26CD" w:rsidRDefault="00DD25AD" w:rsidP="00DD25AD">
      <w:pPr>
        <w:rPr>
          <w:rFonts w:eastAsia="Calibri" w:cs="Arial"/>
        </w:rPr>
      </w:pPr>
      <w:r w:rsidRPr="00DB26CD">
        <w:rPr>
          <w:rFonts w:eastAsia="Calibri" w:cs="Arial"/>
        </w:rPr>
        <w:t xml:space="preserve">The process to determine supervisory adjustments will be subject to APRA’s internal governance processes, including review at appropriate levels within APRA. This will also include comparisons of a regulated institution within relevant peer groups. </w:t>
      </w:r>
    </w:p>
    <w:p w14:paraId="16F48002" w14:textId="77777777" w:rsidR="00DD25AD" w:rsidRDefault="00DD25AD" w:rsidP="00DD25AD">
      <w:pPr>
        <w:rPr>
          <w:rFonts w:eastAsia="Calibri" w:cs="Arial"/>
        </w:rPr>
      </w:pPr>
      <w:r w:rsidRPr="00DB26CD">
        <w:rPr>
          <w:rFonts w:eastAsia="Calibri" w:cs="Arial"/>
        </w:rPr>
        <w:t>APRA’s supervisory decisions are informed by</w:t>
      </w:r>
      <w:r>
        <w:rPr>
          <w:rFonts w:eastAsia="Calibri" w:cs="Arial"/>
        </w:rPr>
        <w:t xml:space="preserve"> </w:t>
      </w:r>
      <w:r w:rsidRPr="00DB26CD">
        <w:rPr>
          <w:rFonts w:eastAsia="Calibri" w:cs="Arial"/>
        </w:rPr>
        <w:t xml:space="preserve">discussions with the regulated institution on matters such as the appropriateness, size and implementation of the supervisory adjustment. However, APRA also proposes to have the ability to impose a supervisory adjustment outside of the ordinary supervisory process. For example, where APRA determines it necessary to act rapidly to protect the interests of policy holders. </w:t>
      </w:r>
    </w:p>
    <w:p w14:paraId="2578C0C8" w14:textId="6F0BDE0B" w:rsidR="00B95C31" w:rsidRPr="00B95C31" w:rsidRDefault="00B95C31" w:rsidP="00B95C31">
      <w:r w:rsidRPr="00B95C31">
        <w:t xml:space="preserve">The application of supervisory adjustments to the prescribed capital amount is just one of the tools available to APRA in supervising an insurer’s capital adequacy. Other tools include the ability to require improvements in governance, risk management and </w:t>
      </w:r>
      <w:r w:rsidRPr="009849DE">
        <w:t>control practices and to reduce the level of exposure to risk.</w:t>
      </w:r>
    </w:p>
    <w:p w14:paraId="3CDF8A9E" w14:textId="77777777" w:rsidR="00DD25AD" w:rsidRPr="00F63D95" w:rsidRDefault="00DD25AD" w:rsidP="00F63D95">
      <w:pPr>
        <w:pStyle w:val="Heading4"/>
      </w:pPr>
      <w:r w:rsidRPr="00F63D95">
        <w:t>Pillar 1 supervisory adjustment</w:t>
      </w:r>
    </w:p>
    <w:p w14:paraId="66D5AA96" w14:textId="4E56745F" w:rsidR="00DD25AD" w:rsidRPr="00DB26CD" w:rsidRDefault="00DD25AD" w:rsidP="00DD25AD">
      <w:pPr>
        <w:rPr>
          <w:rFonts w:eastAsia="Calibri" w:cs="Arial"/>
        </w:rPr>
      </w:pPr>
      <w:r w:rsidRPr="00DB26CD">
        <w:t xml:space="preserve">APRA proposes that the capital standards include a provision for it to adjust any aspect of </w:t>
      </w:r>
      <w:r w:rsidR="000B0E15">
        <w:t xml:space="preserve">calculation a capital component in the PCA </w:t>
      </w:r>
      <w:r w:rsidRPr="00DB26CD">
        <w:t xml:space="preserve">where, in its view, the requirements in the standard do not produce an appropriate outcome. </w:t>
      </w:r>
    </w:p>
    <w:p w14:paraId="2DFE1881" w14:textId="77777777" w:rsidR="00DD25AD" w:rsidRPr="00DB26CD" w:rsidRDefault="00DD25AD" w:rsidP="00DD25AD">
      <w:pPr>
        <w:rPr>
          <w:rFonts w:eastAsia="Calibri" w:cs="Arial"/>
        </w:rPr>
      </w:pPr>
      <w:r w:rsidRPr="00DB26CD">
        <w:t xml:space="preserve">Under this proposal, APRA would have discretion to make a Pillar 1 supervisory adjustment, to either increase or decrease the capital component in the PCA depending upon the nature and circumstances giving rise to the adjustment. For example, this may be used where interpretation of requirements in a standard by an insurer is deemed by APRA to be incorrect or inappropriate. </w:t>
      </w:r>
    </w:p>
    <w:p w14:paraId="07FEE8CE" w14:textId="77777777" w:rsidR="00DD25AD" w:rsidRPr="00DB26CD" w:rsidRDefault="00DD25AD" w:rsidP="00DD25AD">
      <w:pPr>
        <w:pStyle w:val="Heading4"/>
        <w:rPr>
          <w:rFonts w:eastAsia="Calibri" w:cs="Arial"/>
        </w:rPr>
      </w:pPr>
      <w:r w:rsidRPr="00DB26CD">
        <w:rPr>
          <w:rFonts w:eastAsia="Calibri" w:cs="Arial"/>
        </w:rPr>
        <w:t xml:space="preserve">Pillar 2 </w:t>
      </w:r>
      <w:r w:rsidRPr="00DB26CD">
        <w:t>supervisory adjustment</w:t>
      </w:r>
    </w:p>
    <w:p w14:paraId="5935D571" w14:textId="78CEAD1F" w:rsidR="00DD25AD" w:rsidRPr="00DB26CD" w:rsidRDefault="00DD25AD" w:rsidP="00DD25AD">
      <w:pPr>
        <w:rPr>
          <w:rFonts w:eastAsia="Calibri" w:cs="Arial"/>
        </w:rPr>
      </w:pPr>
      <w:r w:rsidRPr="00DB26CD">
        <w:t xml:space="preserve">APRA proposes </w:t>
      </w:r>
      <w:r w:rsidR="000B0E15">
        <w:t xml:space="preserve">that the </w:t>
      </w:r>
      <w:r w:rsidR="00291E14">
        <w:t>capital</w:t>
      </w:r>
      <w:r w:rsidR="000B0E15">
        <w:t xml:space="preserve"> standards allow it </w:t>
      </w:r>
      <w:r w:rsidRPr="00DB26CD">
        <w:t xml:space="preserve">to apply a Pillar 2 supervisory </w:t>
      </w:r>
      <w:r>
        <w:t xml:space="preserve">adjustment </w:t>
      </w:r>
      <w:r w:rsidRPr="00DB26CD">
        <w:t>if it considers an insurer’s PCA does not adequately account for all its risks (reflecting the quality of the insurers risk management</w:t>
      </w:r>
      <w:r>
        <w:t xml:space="preserve">, </w:t>
      </w:r>
      <w:r w:rsidRPr="00DB26CD">
        <w:t>capital management</w:t>
      </w:r>
      <w:r>
        <w:t xml:space="preserve"> and governance</w:t>
      </w:r>
      <w:r w:rsidRPr="00DB26CD">
        <w:t>). For example, APRA may use a Pillar 2 supervisor</w:t>
      </w:r>
      <w:r>
        <w:t>y</w:t>
      </w:r>
      <w:r w:rsidRPr="00DB26CD">
        <w:t xml:space="preserve"> adjustment to address strategic or reputational risks faced by a particular insurer. </w:t>
      </w:r>
    </w:p>
    <w:p w14:paraId="014A2925" w14:textId="77777777" w:rsidR="00DD25AD" w:rsidRPr="00DB26CD" w:rsidRDefault="00DD25AD" w:rsidP="00DD25AD">
      <w:pPr>
        <w:rPr>
          <w:rFonts w:eastAsia="Calibri" w:cs="Arial"/>
        </w:rPr>
      </w:pPr>
      <w:r w:rsidRPr="00DB26CD">
        <w:t xml:space="preserve">A Pillar 2 adjustment may require an increase in the total capital amount and may also require the insurer to strengthen its capital base by holding an increased proportion of higher quality capital. </w:t>
      </w:r>
    </w:p>
    <w:p w14:paraId="151922CC" w14:textId="77777777" w:rsidR="00DD25AD" w:rsidRPr="00B20D07" w:rsidRDefault="00DD25AD" w:rsidP="005E7358">
      <w:pPr>
        <w:pStyle w:val="Heading3Numbers"/>
      </w:pPr>
      <w:bookmarkStart w:id="372" w:name="_Toc22821276"/>
      <w:bookmarkStart w:id="373" w:name="_Toc23148556"/>
      <w:bookmarkStart w:id="374" w:name="_Toc23252674"/>
      <w:bookmarkStart w:id="375" w:name="_Toc23252961"/>
      <w:bookmarkStart w:id="376" w:name="_Toc23264943"/>
      <w:bookmarkStart w:id="377" w:name="_Toc23269057"/>
      <w:bookmarkStart w:id="378" w:name="_Toc23416025"/>
      <w:bookmarkStart w:id="379" w:name="_Toc23416498"/>
      <w:bookmarkStart w:id="380" w:name="_Toc24464053"/>
      <w:bookmarkStart w:id="381" w:name="_Toc24473733"/>
      <w:bookmarkStart w:id="382" w:name="_Toc24473942"/>
      <w:bookmarkStart w:id="383" w:name="_Toc24552465"/>
      <w:bookmarkStart w:id="384" w:name="_Toc24622429"/>
      <w:bookmarkStart w:id="385" w:name="_Toc25334563"/>
      <w:bookmarkStart w:id="386" w:name="_Toc25336144"/>
      <w:bookmarkStart w:id="387" w:name="_Toc25941657"/>
      <w:r w:rsidRPr="00B20D07">
        <w:t>Disclosure of Prescribed Capital Requirement</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058A1FD" w14:textId="77777777" w:rsidR="00DD25AD" w:rsidRPr="00DB26CD" w:rsidRDefault="00DD25AD" w:rsidP="00DD25AD">
      <w:r w:rsidRPr="00DB26CD">
        <w:t xml:space="preserve">APRA proposes that each insurer be required to disclose annually the individual components and total amount of its capital base and PCA. </w:t>
      </w:r>
      <w:r>
        <w:t xml:space="preserve">If APRA determines that that a Pillar 1 supervisory adjustment will apply to a component of the PCA, the insurer must disclose only the adjusted PCA component. If </w:t>
      </w:r>
      <w:r w:rsidRPr="00DB26CD">
        <w:t xml:space="preserve">APRA determines that </w:t>
      </w:r>
      <w:r>
        <w:t xml:space="preserve">a </w:t>
      </w:r>
      <w:r w:rsidRPr="00DB26CD">
        <w:t>Pillar 2 supervisory adjustment</w:t>
      </w:r>
      <w:r>
        <w:t xml:space="preserve"> will apply to the insurer</w:t>
      </w:r>
      <w:r w:rsidRPr="00DB26CD">
        <w:t xml:space="preserve">, the insurer would not </w:t>
      </w:r>
      <w:r>
        <w:t xml:space="preserve">disclose the PCR, but would </w:t>
      </w:r>
      <w:r w:rsidRPr="00DB26CD">
        <w:t>be permitted to disclose</w:t>
      </w:r>
      <w:r>
        <w:t xml:space="preserve"> only the PCA and its components</w:t>
      </w:r>
      <w:r w:rsidRPr="00DB26CD">
        <w:t>.</w:t>
      </w:r>
    </w:p>
    <w:p w14:paraId="634B1686" w14:textId="77777777" w:rsidR="00DD25AD" w:rsidRPr="00DB26CD" w:rsidRDefault="00DD25AD" w:rsidP="00DD25AD">
      <w:pPr>
        <w:rPr>
          <w:rFonts w:eastAsia="Calibri" w:cs="Arial"/>
        </w:rPr>
      </w:pPr>
      <w:r w:rsidRPr="00DB26CD">
        <w:t xml:space="preserve">This proposed requirement on non-disclosure is consistent with APRA’s approach in other industries. Disclosure of any supervisory adjustment may result in adverse market reaction and may inhibit APRA’s ability to take effective and timely action as a prudential supervisor, in that it would have to consider market reactions in its decision-making. </w:t>
      </w:r>
    </w:p>
    <w:p w14:paraId="52AC104C" w14:textId="77777777" w:rsidR="00DD25AD" w:rsidRPr="00DB26CD" w:rsidRDefault="00DD25AD" w:rsidP="005E7358">
      <w:pPr>
        <w:pStyle w:val="Heading2Numbers"/>
      </w:pPr>
      <w:bookmarkStart w:id="388" w:name="_Toc22821274"/>
      <w:bookmarkStart w:id="389" w:name="_Toc23148557"/>
      <w:bookmarkStart w:id="390" w:name="_Toc23252675"/>
      <w:bookmarkStart w:id="391" w:name="_Toc23252962"/>
      <w:bookmarkStart w:id="392" w:name="_Toc23264944"/>
      <w:bookmarkStart w:id="393" w:name="_Toc23269058"/>
      <w:bookmarkStart w:id="394" w:name="_Toc23416026"/>
      <w:bookmarkStart w:id="395" w:name="_Toc23416499"/>
      <w:bookmarkStart w:id="396" w:name="_Toc24464054"/>
      <w:bookmarkStart w:id="397" w:name="_Toc24473734"/>
      <w:bookmarkStart w:id="398" w:name="_Toc24473943"/>
      <w:bookmarkStart w:id="399" w:name="_Toc24622430"/>
      <w:bookmarkStart w:id="400" w:name="_Toc25334564"/>
      <w:bookmarkStart w:id="401" w:name="_Toc25941658"/>
      <w:r w:rsidRPr="00DB26CD">
        <w:t>Capital management planning</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DB26CD">
        <w:t xml:space="preserve"> </w:t>
      </w:r>
    </w:p>
    <w:p w14:paraId="2DFA1C96" w14:textId="77777777" w:rsidR="00DD25AD" w:rsidRPr="00B20D07" w:rsidRDefault="00DD25AD" w:rsidP="005E7358">
      <w:pPr>
        <w:pStyle w:val="Heading3Numbers"/>
      </w:pPr>
      <w:bookmarkStart w:id="402" w:name="_Toc22821275"/>
      <w:bookmarkStart w:id="403" w:name="_Toc23148558"/>
      <w:bookmarkStart w:id="404" w:name="_Toc23252676"/>
      <w:bookmarkStart w:id="405" w:name="_Toc23252963"/>
      <w:bookmarkStart w:id="406" w:name="_Toc23264945"/>
      <w:bookmarkStart w:id="407" w:name="_Toc23269059"/>
      <w:bookmarkStart w:id="408" w:name="_Toc23416027"/>
      <w:bookmarkStart w:id="409" w:name="_Toc23416500"/>
      <w:bookmarkStart w:id="410" w:name="_Toc24464055"/>
      <w:bookmarkStart w:id="411" w:name="_Toc24473735"/>
      <w:bookmarkStart w:id="412" w:name="_Toc24473944"/>
      <w:bookmarkStart w:id="413" w:name="_Toc24552467"/>
      <w:bookmarkStart w:id="414" w:name="_Toc24622431"/>
      <w:bookmarkStart w:id="415" w:name="_Toc25334565"/>
      <w:bookmarkStart w:id="416" w:name="_Toc25336146"/>
      <w:bookmarkStart w:id="417" w:name="_Toc25941659"/>
      <w:r w:rsidRPr="00B20D07">
        <w:t>Internal Capital Adequacy Assessment Process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B20D07">
        <w:t xml:space="preserve"> </w:t>
      </w:r>
    </w:p>
    <w:p w14:paraId="6F276C53" w14:textId="77777777" w:rsidR="00DD25AD" w:rsidRPr="00DB26CD" w:rsidRDefault="00DD25AD" w:rsidP="00DD25AD">
      <w:r w:rsidRPr="00DB26CD">
        <w:t>All ADIs, life insurers and general insurers are required to have an Internal Capital Adequacy Assessment Process (ICAAP).</w:t>
      </w:r>
      <w:r>
        <w:rPr>
          <w:rStyle w:val="FootnoteReference"/>
        </w:rPr>
        <w:footnoteReference w:id="15"/>
      </w:r>
      <w:r w:rsidRPr="00DB26CD">
        <w:t xml:space="preserve"> An ICAAP assists entities to identify, measure, aggregate and monitor risks; hold capital commensurate with these risks; and have systems in place to continuously monitor their capital adequacy.</w:t>
      </w:r>
    </w:p>
    <w:p w14:paraId="56739114" w14:textId="77777777" w:rsidR="00DD25AD" w:rsidRPr="00DB26CD" w:rsidRDefault="00DD25AD" w:rsidP="00DD25AD">
      <w:r w:rsidRPr="00DB26CD">
        <w:t xml:space="preserve">As outlined in section 1.2 (The current PHI capital framework), insurers are currently required to develop and maintain a CMP to assess their capital needs and manage their capital levels. APRA proposes to enhance capital planning for the PHI industry by adopting the ICAAP to underpin capital management and more explicitly articulate those requirements. The ICAAP would be proportionate to the insurer’s size, business mix and the complexity of its operations. </w:t>
      </w:r>
    </w:p>
    <w:p w14:paraId="2A919FE2" w14:textId="77777777" w:rsidR="00DD25AD" w:rsidRPr="00DB26CD" w:rsidRDefault="00DD25AD" w:rsidP="00DD25AD">
      <w:r w:rsidRPr="00DB26CD">
        <w:t xml:space="preserve">APRA also proposes to enhance the ICAAP by retaining requirements under the current PHI capital standards for the insurer to establish a pricing philosophy, investment rules and build on the circumstances in which the ICAAP will be reviewed. APRA proposes the insurer be required to conduct a more comprehensive and transparent assessment of its risk profile, including stress testing and scenario analysis, as well as the capital and corrective actions needed to support the risks undertaken. APRA’s ICAAP proposal for the PHI industry would require the insurer to consider each HBF, as well as the insurer as a whole. </w:t>
      </w:r>
    </w:p>
    <w:p w14:paraId="2FAF5EFE" w14:textId="46B8B2C9" w:rsidR="00DD25AD" w:rsidRPr="00DB26CD" w:rsidRDefault="00DD25AD" w:rsidP="00DD25AD">
      <w:r w:rsidRPr="00DB26CD">
        <w:t xml:space="preserve">APRA proposes insurers be required to </w:t>
      </w:r>
      <w:r>
        <w:t xml:space="preserve">annually </w:t>
      </w:r>
      <w:r w:rsidRPr="00DB26CD">
        <w:t xml:space="preserve">prepare an ICAAP summary statement and an ICAAP report (referred to as ICAAP documents). The ICAAP report provides detail on the outcomes of the ICAAP over the previous 12 months, as well as covering detailed information on current and </w:t>
      </w:r>
      <w:proofErr w:type="gramStart"/>
      <w:r w:rsidRPr="00DB26CD">
        <w:t>three</w:t>
      </w:r>
      <w:r w:rsidR="000424FD">
        <w:t xml:space="preserve"> </w:t>
      </w:r>
      <w:r w:rsidRPr="00DB26CD">
        <w:t>year</w:t>
      </w:r>
      <w:proofErr w:type="gramEnd"/>
      <w:r w:rsidRPr="00DB26CD">
        <w:t xml:space="preserve"> capital forecasts. This is supported by the ICAAP summary statement which provides a high level summary of prescribed components of the ICAAP. </w:t>
      </w:r>
    </w:p>
    <w:p w14:paraId="75DC1175" w14:textId="77777777" w:rsidR="00DD25AD" w:rsidRPr="00DB26CD" w:rsidRDefault="00DD25AD" w:rsidP="00DD25AD">
      <w:r w:rsidRPr="00DB26CD">
        <w:t>The ICAAP documents must refer to supporting documentation and analysis. Many insurers following prudent business practices may already include supporting documentation and analysis in their CMPs. APRA will make this an explicit requirement in the PHI capital standards.</w:t>
      </w:r>
    </w:p>
    <w:p w14:paraId="1696B7E2" w14:textId="77777777" w:rsidR="00DD25AD" w:rsidRDefault="00DD25AD" w:rsidP="00DD25AD">
      <w:pPr>
        <w:numPr>
          <w:ilvl w:val="0"/>
          <w:numId w:val="0"/>
        </w:numPr>
      </w:pPr>
      <w:r w:rsidRPr="00DB26CD">
        <w:t xml:space="preserve">The ICAAP is required to be reviewed at least every three years, or more regularly in certain circumstances, by qualified people independent of capital management. </w:t>
      </w:r>
    </w:p>
    <w:p w14:paraId="2F190EAD" w14:textId="2CB09063" w:rsidR="00DD25AD" w:rsidRDefault="00DD25AD" w:rsidP="00DD25AD">
      <w:pPr>
        <w:numPr>
          <w:ilvl w:val="0"/>
          <w:numId w:val="0"/>
        </w:numPr>
      </w:pPr>
      <w:r w:rsidRPr="00DB26CD">
        <w:t>As outlined above, APRA expects an insurer to establish a target capital policy as part of its ICAAP. The intensity of APRA’s supervisory attention will increase as the insurer’s capital level approaches the PCR. Additional guidance on the ICAAP is available in the CPG 110</w:t>
      </w:r>
      <w:r w:rsidRPr="00DB26CD">
        <w:rPr>
          <w:rStyle w:val="FootnoteReference"/>
        </w:rPr>
        <w:footnoteReference w:id="16"/>
      </w:r>
      <w:r w:rsidRPr="00DB26CD">
        <w:t>.</w:t>
      </w:r>
    </w:p>
    <w:p w14:paraId="6F54D7D0" w14:textId="08CA4F1C" w:rsidR="00DD25AD" w:rsidRDefault="00DD25AD" w:rsidP="00DD25AD">
      <w:pPr>
        <w:numPr>
          <w:ilvl w:val="0"/>
          <w:numId w:val="0"/>
        </w:numPr>
      </w:pPr>
      <w:r w:rsidRPr="00DB26CD">
        <w:rPr>
          <w:rStyle w:val="BoldCharacterDINOTMedium"/>
          <w:rFonts w:ascii="DIN OT Light" w:hAnsi="DIN OT Light"/>
          <w:b/>
        </w:rPr>
        <w:t>Figure</w:t>
      </w:r>
      <w:r w:rsidRPr="00DB26CD">
        <w:rPr>
          <w:b/>
        </w:rPr>
        <w:t xml:space="preserve"> </w:t>
      </w:r>
      <w:r w:rsidR="003241A7">
        <w:rPr>
          <w:b/>
        </w:rPr>
        <w:t>9</w:t>
      </w:r>
      <w:r w:rsidRPr="00DB26CD">
        <w:rPr>
          <w:b/>
        </w:rPr>
        <w:t xml:space="preserve"> </w:t>
      </w:r>
      <w:r w:rsidRPr="00DB26CD">
        <w:t>below shows</w:t>
      </w:r>
      <w:r w:rsidRPr="000D7786">
        <w:t xml:space="preserve"> how the ICAAP re</w:t>
      </w:r>
      <w:r>
        <w:t>q</w:t>
      </w:r>
      <w:r w:rsidRPr="000D7786">
        <w:t xml:space="preserve">uirements operate in principle. </w:t>
      </w:r>
    </w:p>
    <w:p w14:paraId="24E84604" w14:textId="77777777" w:rsidR="00DD25AD" w:rsidRDefault="00DD25AD" w:rsidP="00DD25AD">
      <w:pPr>
        <w:pStyle w:val="Figurenumbered"/>
      </w:pPr>
      <w:r w:rsidRPr="00207A49">
        <w:rPr>
          <w:rFonts w:cs="Arial"/>
          <w:b/>
          <w:noProof/>
          <w:lang w:eastAsia="en-AU"/>
        </w:rPr>
        <w:drawing>
          <wp:anchor distT="0" distB="0" distL="114300" distR="114300" simplePos="0" relativeHeight="251658244" behindDoc="1" locked="0" layoutInCell="1" allowOverlap="1" wp14:anchorId="4D6758B6" wp14:editId="5DFD4BFF">
            <wp:simplePos x="0" y="0"/>
            <wp:positionH relativeFrom="margin">
              <wp:posOffset>142875</wp:posOffset>
            </wp:positionH>
            <wp:positionV relativeFrom="paragraph">
              <wp:posOffset>314325</wp:posOffset>
            </wp:positionV>
            <wp:extent cx="3917315" cy="3326130"/>
            <wp:effectExtent l="0" t="0" r="0" b="0"/>
            <wp:wrapTopAndBottom/>
            <wp:docPr id="17" name="Picture 17" descr="This figure shows how the target capital level of an insurer’s internal capital adequacy assessment process interacts with APRA’s supervisio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how the target capital level of an insurer’s internal capital adequacy assessment process interacts with APRA’s supervision intens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7315"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B56">
        <w:t>ICAAP</w:t>
      </w:r>
      <w:r>
        <w:t xml:space="preserve"> Approach</w:t>
      </w:r>
    </w:p>
    <w:p w14:paraId="7DD2E03D" w14:textId="77777777" w:rsidR="00DD25AD" w:rsidRPr="00054714" w:rsidRDefault="00DD25AD" w:rsidP="00DD25AD">
      <w:pPr>
        <w:pStyle w:val="Figurenumbered"/>
        <w:numPr>
          <w:ilvl w:val="0"/>
          <w:numId w:val="0"/>
        </w:numPr>
        <w:ind w:left="786"/>
      </w:pPr>
    </w:p>
    <w:p w14:paraId="1DF18DBB" w14:textId="77777777" w:rsidR="00DD25AD" w:rsidRPr="006907D9" w:rsidRDefault="00DD25AD" w:rsidP="00DD5183">
      <w:pPr>
        <w:pStyle w:val="Heading2Numbers"/>
      </w:pPr>
      <w:bookmarkStart w:id="418" w:name="_Toc22821277"/>
      <w:bookmarkStart w:id="419" w:name="_Toc23148559"/>
      <w:bookmarkStart w:id="420" w:name="_Toc23252677"/>
      <w:bookmarkStart w:id="421" w:name="_Toc23252964"/>
      <w:bookmarkStart w:id="422" w:name="_Toc23264946"/>
      <w:bookmarkStart w:id="423" w:name="_Toc23269060"/>
      <w:bookmarkStart w:id="424" w:name="_Toc23416028"/>
      <w:bookmarkStart w:id="425" w:name="_Toc23416501"/>
      <w:bookmarkStart w:id="426" w:name="_Toc24464056"/>
      <w:bookmarkStart w:id="427" w:name="_Toc24473736"/>
      <w:bookmarkStart w:id="428" w:name="_Toc24473945"/>
      <w:bookmarkStart w:id="429" w:name="_Toc24622432"/>
      <w:bookmarkStart w:id="430" w:name="_Toc25334566"/>
      <w:bookmarkStart w:id="431" w:name="_Toc25941660"/>
      <w:r>
        <w:t>The</w:t>
      </w:r>
      <w:r w:rsidRPr="006907D9">
        <w:t xml:space="preserve"> HPS 100 Solvency Standard</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6D7054A" w14:textId="731A2C29" w:rsidR="00DD25AD" w:rsidRDefault="00DD25AD" w:rsidP="00DD25AD">
      <w:r w:rsidRPr="008F0CEE">
        <w:t>As outlined in Chapter 1</w:t>
      </w:r>
      <w:r>
        <w:t xml:space="preserve"> (Introduction)</w:t>
      </w:r>
      <w:r w:rsidRPr="008F0CEE">
        <w:t xml:space="preserve">, the focus of the current </w:t>
      </w:r>
      <w:r w:rsidR="009B1062">
        <w:t>PHI</w:t>
      </w:r>
      <w:r w:rsidRPr="008F0CEE">
        <w:t xml:space="preserve"> solvency standard (HPS 100) is on ensuring</w:t>
      </w:r>
      <w:r>
        <w:t xml:space="preserve"> that the HBF has sufficient liquid assets to meet liabilities as they become due. </w:t>
      </w:r>
    </w:p>
    <w:p w14:paraId="11F2D73B" w14:textId="77777777" w:rsidR="00DD25AD" w:rsidRDefault="00DD25AD" w:rsidP="00DD25AD">
      <w:r>
        <w:t>APRA understands that during consultation for the current capital standards</w:t>
      </w:r>
      <w:r>
        <w:rPr>
          <w:rFonts w:cs="Arial"/>
        </w:rPr>
        <w:t xml:space="preserve">, PHIAC had considered removing the solvency standard. However, </w:t>
      </w:r>
      <w:r w:rsidRPr="008F0CEE">
        <w:t>HPS</w:t>
      </w:r>
      <w:r>
        <w:t xml:space="preserve"> 100 was retained given a </w:t>
      </w:r>
      <w:r>
        <w:rPr>
          <w:rFonts w:cs="Arial"/>
        </w:rPr>
        <w:t>legislative requirement existed at that time for a specific solvency standard. On transfer of the prudential responsibility to APRA, the legislative framework was amended to remove the specific requirement for a solvency standard for the PHI industry.</w:t>
      </w:r>
    </w:p>
    <w:p w14:paraId="2C37A2C4" w14:textId="3237B46C" w:rsidR="00DD25AD" w:rsidRDefault="00DD25AD" w:rsidP="00DD25AD">
      <w:r>
        <w:t>The PHI industry is characterised by short</w:t>
      </w:r>
      <w:r w:rsidR="00F27B23">
        <w:t xml:space="preserve"> </w:t>
      </w:r>
      <w:r>
        <w:t xml:space="preserve">tail claims. This cash flow pattern is typically paralleled by regular periodic premium payments (often monthly or fortnightly in frequency). These characteristics underscore the importance of cash flow management by insurers. However, it does not necessarily imply that the need for quantitative prudential requirements to provide policy holder protection against liquidity risks is any more acute than for other insurance industries (where APRA has qualitative requirements under </w:t>
      </w:r>
      <w:r>
        <w:rPr>
          <w:i/>
        </w:rPr>
        <w:t xml:space="preserve">Prudential Standard </w:t>
      </w:r>
      <w:r w:rsidRPr="00F83930">
        <w:rPr>
          <w:i/>
        </w:rPr>
        <w:t>CPS 220</w:t>
      </w:r>
      <w:r>
        <w:t xml:space="preserve"> </w:t>
      </w:r>
      <w:r>
        <w:rPr>
          <w:i/>
        </w:rPr>
        <w:t>Risk Management</w:t>
      </w:r>
      <w:r>
        <w:t xml:space="preserve"> but not a quantitative rule). </w:t>
      </w:r>
    </w:p>
    <w:p w14:paraId="6D6BF2BF" w14:textId="77777777" w:rsidR="00DD25AD" w:rsidRDefault="00DD25AD" w:rsidP="00DD25AD">
      <w:r>
        <w:t xml:space="preserve">Adopting the LAGIC framework’s </w:t>
      </w:r>
      <w:r>
        <w:rPr>
          <w:rFonts w:cs="Arial"/>
        </w:rPr>
        <w:t>requirements for quality of the capital base would also be expected to act as a baseline on the quality and liquidity of assets in the PHI industry, and further weaken the need for a separate</w:t>
      </w:r>
      <w:r>
        <w:t xml:space="preserve"> solvency standard. </w:t>
      </w:r>
    </w:p>
    <w:p w14:paraId="69352935" w14:textId="614C7668" w:rsidR="00DD25AD" w:rsidRPr="002423AC" w:rsidRDefault="00DD25AD" w:rsidP="00DD25AD">
      <w:pPr>
        <w:spacing w:before="240"/>
        <w:rPr>
          <w:rFonts w:eastAsia="Calibri"/>
        </w:rPr>
      </w:pPr>
      <w:r>
        <w:t xml:space="preserve">APRA proposes to remove the solvency standard and its quantitative requirements. However, in light of claims characteristics of the industry, APRA proposes to retain a qualitative liquidity management planning requirement. APRA invites feedback on whether the PHI capital framework should include additional qualitative requirements to supplement those under </w:t>
      </w:r>
      <w:r w:rsidRPr="003808DD">
        <w:rPr>
          <w:i/>
        </w:rPr>
        <w:t>Prudential Standard CPS 220 Risk Management</w:t>
      </w:r>
      <w:r>
        <w:t>.</w:t>
      </w:r>
    </w:p>
    <w:p w14:paraId="4D634576" w14:textId="77777777" w:rsidR="00DD25AD" w:rsidRDefault="00DD25AD" w:rsidP="00DD25AD">
      <w:pPr>
        <w:numPr>
          <w:ilvl w:val="0"/>
          <w:numId w:val="0"/>
        </w:numPr>
      </w:pPr>
    </w:p>
    <w:p w14:paraId="746C9CED" w14:textId="77777777" w:rsidR="00DD25AD" w:rsidRDefault="00DD25AD" w:rsidP="00DD25AD">
      <w:pPr>
        <w:numPr>
          <w:ilvl w:val="0"/>
          <w:numId w:val="0"/>
        </w:numPr>
      </w:pPr>
    </w:p>
    <w:p w14:paraId="05CD20DE" w14:textId="77777777" w:rsidR="00DD25AD" w:rsidRDefault="00DD25AD" w:rsidP="00DD25AD">
      <w:pPr>
        <w:numPr>
          <w:ilvl w:val="0"/>
          <w:numId w:val="0"/>
        </w:numPr>
      </w:pPr>
    </w:p>
    <w:p w14:paraId="2972A65D" w14:textId="77777777" w:rsidR="00DD25AD" w:rsidRDefault="00DD25AD" w:rsidP="00DD25AD">
      <w:pPr>
        <w:numPr>
          <w:ilvl w:val="0"/>
          <w:numId w:val="0"/>
        </w:numPr>
      </w:pPr>
    </w:p>
    <w:p w14:paraId="2E64FCBA" w14:textId="77777777" w:rsidR="00DD25AD" w:rsidRDefault="00DD25AD" w:rsidP="00DD25AD">
      <w:pPr>
        <w:numPr>
          <w:ilvl w:val="0"/>
          <w:numId w:val="0"/>
        </w:numPr>
      </w:pPr>
    </w:p>
    <w:p w14:paraId="25D5B299" w14:textId="77777777" w:rsidR="00DD25AD" w:rsidRDefault="00DD25AD" w:rsidP="00DD25AD">
      <w:pPr>
        <w:numPr>
          <w:ilvl w:val="0"/>
          <w:numId w:val="0"/>
        </w:numPr>
      </w:pPr>
    </w:p>
    <w:p w14:paraId="12316001" w14:textId="77777777" w:rsidR="00DD25AD" w:rsidRDefault="00DD25AD" w:rsidP="00DD25AD">
      <w:pPr>
        <w:numPr>
          <w:ilvl w:val="0"/>
          <w:numId w:val="0"/>
        </w:numPr>
      </w:pPr>
    </w:p>
    <w:p w14:paraId="0B3CBBFA" w14:textId="77777777" w:rsidR="00DD25AD" w:rsidRPr="00DD25AD" w:rsidRDefault="00DD25AD" w:rsidP="00DD25AD">
      <w:pPr>
        <w:numPr>
          <w:ilvl w:val="0"/>
          <w:numId w:val="0"/>
        </w:numPr>
      </w:pPr>
    </w:p>
    <w:p w14:paraId="0BD7C094" w14:textId="77777777" w:rsidR="00C0773E" w:rsidRPr="00C0773E" w:rsidRDefault="00C0773E" w:rsidP="00C0773E"/>
    <w:p w14:paraId="3F3184AA" w14:textId="77777777" w:rsidR="00C0773E" w:rsidRPr="00C0773E" w:rsidRDefault="00C0773E" w:rsidP="00C0773E"/>
    <w:p w14:paraId="78C58D3C" w14:textId="77777777" w:rsidR="00D703F9" w:rsidRPr="00D703F9" w:rsidRDefault="00D703F9" w:rsidP="00D703F9">
      <w:pPr>
        <w:rPr>
          <w:lang w:eastAsia="en-AU"/>
        </w:rPr>
      </w:pPr>
    </w:p>
    <w:p w14:paraId="03A0D044" w14:textId="2734F62A" w:rsidR="00515B31" w:rsidRDefault="00851E16" w:rsidP="00515B31">
      <w:pPr>
        <w:pStyle w:val="Heading1Numbers"/>
      </w:pPr>
      <w:bookmarkStart w:id="432" w:name="_Toc24622433"/>
      <w:bookmarkStart w:id="433" w:name="_Toc25334567"/>
      <w:bookmarkStart w:id="434" w:name="_Toc25941661"/>
      <w:r>
        <w:t>Future regulatory proposals</w:t>
      </w:r>
      <w:bookmarkEnd w:id="432"/>
      <w:bookmarkEnd w:id="433"/>
      <w:bookmarkEnd w:id="434"/>
    </w:p>
    <w:p w14:paraId="4B627AEC" w14:textId="2E47C518" w:rsidR="00515B31" w:rsidRDefault="00851E16" w:rsidP="00851E16">
      <w:pPr>
        <w:pStyle w:val="Heading2Numbers"/>
      </w:pPr>
      <w:bookmarkStart w:id="435" w:name="_Toc24622434"/>
      <w:bookmarkStart w:id="436" w:name="_Toc25334568"/>
      <w:bookmarkStart w:id="437" w:name="_Toc25941662"/>
      <w:r>
        <w:t>Regulatory reporting</w:t>
      </w:r>
      <w:bookmarkEnd w:id="435"/>
      <w:bookmarkEnd w:id="436"/>
      <w:bookmarkEnd w:id="437"/>
    </w:p>
    <w:p w14:paraId="1E1F9A8E" w14:textId="77777777" w:rsidR="00962A5A" w:rsidRDefault="00962A5A" w:rsidP="00962A5A">
      <w:r>
        <w:t xml:space="preserve">As noted in Chapter 1 (Introduction), the implementation of AASB 17 will change the basis for </w:t>
      </w:r>
      <w:r w:rsidRPr="00DE5247">
        <w:t>the valuation of insurance contract assets and liabilities</w:t>
      </w:r>
      <w:r>
        <w:t xml:space="preserve">. Reflecting this, AASB 17 will also impact APRA’s reporting requirements on the valuation of insurance contract assets and liabilities, as well as their </w:t>
      </w:r>
      <w:r w:rsidRPr="00DE5247">
        <w:t>financial performance</w:t>
      </w:r>
      <w:r>
        <w:t xml:space="preserve">. </w:t>
      </w:r>
    </w:p>
    <w:p w14:paraId="3D78EFFC" w14:textId="77777777" w:rsidR="00962A5A" w:rsidRDefault="00962A5A" w:rsidP="00962A5A">
      <w:r w:rsidRPr="00B3626E">
        <w:t xml:space="preserve">APRA proposes that reporting requirements for the PHI industry </w:t>
      </w:r>
      <w:r>
        <w:t>be</w:t>
      </w:r>
      <w:r w:rsidRPr="00B3626E">
        <w:t xml:space="preserve"> compatible </w:t>
      </w:r>
      <w:r>
        <w:t>with</w:t>
      </w:r>
      <w:r w:rsidRPr="00B3626E">
        <w:t xml:space="preserve"> AASB 17 measurement approaches and reflect the changes to LAGIC to accommodate the introduction of AASB 17. </w:t>
      </w:r>
      <w:r>
        <w:t xml:space="preserve">APRA also proposes that reporting requirements for the PHI industry include information on activities conducted outside the HBF, in line with APRA’s proposal that the PHI capital standards capture </w:t>
      </w:r>
      <w:r w:rsidRPr="00BA2EBB">
        <w:t>th</w:t>
      </w:r>
      <w:r>
        <w:t xml:space="preserve">e whole licensed health insurer. This is likely to include an expansion in the scope of regular statistical reporting under the </w:t>
      </w:r>
      <w:r w:rsidRPr="00740094">
        <w:rPr>
          <w:i/>
          <w:iCs/>
        </w:rPr>
        <w:t>Financial Sector (Collection of Data) Act 2001</w:t>
      </w:r>
      <w:r>
        <w:rPr>
          <w:i/>
          <w:iCs/>
        </w:rPr>
        <w:t xml:space="preserve"> </w:t>
      </w:r>
      <w:r w:rsidRPr="00AE1FD1">
        <w:rPr>
          <w:iCs/>
        </w:rPr>
        <w:t>(FSCODA)</w:t>
      </w:r>
      <w:r>
        <w:t>. This would extend APRA’s ability to monitor possible changes to prudential soundness from operations outside the HBF.</w:t>
      </w:r>
    </w:p>
    <w:p w14:paraId="639B6B70" w14:textId="77777777" w:rsidR="00962A5A" w:rsidRPr="007D1699" w:rsidRDefault="00962A5A" w:rsidP="00962A5A">
      <w:r w:rsidRPr="007D1699">
        <w:t xml:space="preserve">Reporting requirements introduced to support the PHI capital standards and the integration of AASB 17 will be </w:t>
      </w:r>
      <w:r w:rsidRPr="007D1699">
        <w:rPr>
          <w:lang w:val="en-US"/>
        </w:rPr>
        <w:t xml:space="preserve">be progressed under APRA’s new </w:t>
      </w:r>
      <w:r w:rsidRPr="007D1699">
        <w:t>data transformation program, the Data Collection Solution (DCS)</w:t>
      </w:r>
      <w:r w:rsidRPr="007D1699">
        <w:rPr>
          <w:rStyle w:val="FootnoteReference"/>
        </w:rPr>
        <w:footnoteReference w:id="17"/>
      </w:r>
      <w:r w:rsidRPr="007D1699">
        <w:t>. APRA expects changes to the way that data is collected including a shift to structured data sets rather than tabular forms</w:t>
      </w:r>
      <w:r>
        <w:t xml:space="preserve">, </w:t>
      </w:r>
      <w:r w:rsidRPr="007D1699">
        <w:t xml:space="preserve">as well as </w:t>
      </w:r>
      <w:r>
        <w:rPr>
          <w:shd w:val="clear" w:color="auto" w:fill="FFFFFF"/>
        </w:rPr>
        <w:t>greater options for data uploads to APRA</w:t>
      </w:r>
      <w:r w:rsidRPr="007D1699">
        <w:t xml:space="preserve">. </w:t>
      </w:r>
    </w:p>
    <w:p w14:paraId="5C75A02C" w14:textId="77777777" w:rsidR="00962A5A" w:rsidRDefault="00962A5A" w:rsidP="00962A5A">
      <w:r>
        <w:t xml:space="preserve">Where prudential reporting requirements are expected to apply to all insurance industries, APRA </w:t>
      </w:r>
      <w:r>
        <w:rPr>
          <w:rFonts w:cs="Today SB"/>
        </w:rPr>
        <w:t>proposes</w:t>
      </w:r>
      <w:r w:rsidRPr="000A4526">
        <w:rPr>
          <w:rFonts w:cs="Today SB"/>
        </w:rPr>
        <w:t xml:space="preserve"> to consult on </w:t>
      </w:r>
      <w:r>
        <w:t>new</w:t>
      </w:r>
      <w:r w:rsidRPr="00783C5A">
        <w:t xml:space="preserve"> reporti</w:t>
      </w:r>
      <w:r>
        <w:t>ng requirements as part of its consultation on the integration of AASB 17</w:t>
      </w:r>
      <w:r>
        <w:rPr>
          <w:rStyle w:val="FootnoteReference"/>
        </w:rPr>
        <w:footnoteReference w:id="18"/>
      </w:r>
      <w:r>
        <w:t xml:space="preserve">. For prudential reporting which is specific to the PHI industry, APRA expects to consult on reporting requirements when the draft PHI capital standards are released for consultation. </w:t>
      </w:r>
    </w:p>
    <w:p w14:paraId="0EFAF527" w14:textId="4CB23720" w:rsidR="00515B31" w:rsidRDefault="00962A5A" w:rsidP="00962A5A">
      <w:r w:rsidRPr="0091330F">
        <w:t>In September 2019</w:t>
      </w:r>
      <w:r w:rsidRPr="0091330F">
        <w:rPr>
          <w:rStyle w:val="FootnoteReference"/>
        </w:rPr>
        <w:footnoteReference w:id="19"/>
      </w:r>
      <w:r w:rsidRPr="0091330F">
        <w:t xml:space="preserve"> APRA proposed to industry that all </w:t>
      </w:r>
      <w:r w:rsidRPr="00F57670">
        <w:rPr>
          <w:rFonts w:cs="Arial"/>
        </w:rPr>
        <w:t xml:space="preserve">insurers commence reporting to APRA (for quarterly and annual reports) and determining regulatory capital requirements from an AASB 17 base from 1 July 2023. </w:t>
      </w:r>
      <w:r w:rsidRPr="0091330F">
        <w:t xml:space="preserve">APRA also expects to seek transition information from insurers before 1 July 2023 to assist with understanding the capital impact of the capital standards incorporating AASB 17. APRA </w:t>
      </w:r>
      <w:r>
        <w:t>invites feedback on the practical aspects of proposed transition timing and reporting arrangements</w:t>
      </w:r>
      <w:r w:rsidRPr="0091330F">
        <w:t>.</w:t>
      </w:r>
    </w:p>
    <w:p w14:paraId="4C9BA2BF" w14:textId="66E2DEDF" w:rsidR="003A473C" w:rsidRDefault="00851E16" w:rsidP="00851E16">
      <w:pPr>
        <w:pStyle w:val="Heading1Numbers"/>
      </w:pPr>
      <w:bookmarkStart w:id="438" w:name="_Toc24622435"/>
      <w:bookmarkStart w:id="439" w:name="_Toc25334569"/>
      <w:bookmarkStart w:id="440" w:name="_Toc25941663"/>
      <w:r>
        <w:t>Consultation</w:t>
      </w:r>
      <w:bookmarkEnd w:id="438"/>
      <w:bookmarkEnd w:id="439"/>
      <w:bookmarkEnd w:id="440"/>
    </w:p>
    <w:p w14:paraId="288D1077" w14:textId="57026BAC" w:rsidR="00851E16" w:rsidRDefault="00851E16" w:rsidP="00851E16">
      <w:pPr>
        <w:pStyle w:val="Heading2Numbers"/>
      </w:pPr>
      <w:bookmarkStart w:id="441" w:name="_Toc24622436"/>
      <w:bookmarkStart w:id="442" w:name="_Toc25334570"/>
      <w:bookmarkStart w:id="443" w:name="_Toc25941664"/>
      <w:r>
        <w:t>Request for submissions</w:t>
      </w:r>
      <w:bookmarkEnd w:id="441"/>
      <w:bookmarkEnd w:id="442"/>
      <w:bookmarkEnd w:id="443"/>
    </w:p>
    <w:p w14:paraId="25A4AEEF" w14:textId="77777777" w:rsidR="00851E16" w:rsidRDefault="00851E16" w:rsidP="00851E16">
      <w:pPr>
        <w:numPr>
          <w:ilvl w:val="0"/>
          <w:numId w:val="0"/>
        </w:numPr>
      </w:pPr>
      <w:r>
        <w:t>APRA invites written submissions on the proposals set out in this Discussion Paper.</w:t>
      </w:r>
    </w:p>
    <w:p w14:paraId="39D7CE02" w14:textId="6AD5DAAE" w:rsidR="00851E16" w:rsidRDefault="00851E16" w:rsidP="00851E16">
      <w:pPr>
        <w:numPr>
          <w:ilvl w:val="0"/>
          <w:numId w:val="0"/>
        </w:numPr>
      </w:pPr>
      <w:r>
        <w:t xml:space="preserve">Written submissions should be sent to </w:t>
      </w:r>
      <w:hyperlink r:id="rId31" w:history="1">
        <w:r w:rsidRPr="008E2E62">
          <w:rPr>
            <w:rStyle w:val="Hyperlink"/>
          </w:rPr>
          <w:t>PolicyDevelopment@apra.gov.au</w:t>
        </w:r>
      </w:hyperlink>
      <w:r>
        <w:t xml:space="preserve"> by </w:t>
      </w:r>
      <w:r w:rsidRPr="00FB75CB">
        <w:t>27 March 2020</w:t>
      </w:r>
      <w:r>
        <w:t xml:space="preserve"> and addressed to:</w:t>
      </w:r>
    </w:p>
    <w:p w14:paraId="2706EBA2" w14:textId="77777777" w:rsidR="00851E16" w:rsidRDefault="00851E16" w:rsidP="00DE4A02">
      <w:pPr>
        <w:numPr>
          <w:ilvl w:val="0"/>
          <w:numId w:val="0"/>
        </w:numPr>
        <w:spacing w:after="0"/>
        <w:ind w:left="850"/>
      </w:pPr>
      <w:r>
        <w:t>General Manager</w:t>
      </w:r>
    </w:p>
    <w:p w14:paraId="4F8A7593" w14:textId="77777777" w:rsidR="00851E16" w:rsidRDefault="00851E16" w:rsidP="00DE4A02">
      <w:pPr>
        <w:numPr>
          <w:ilvl w:val="0"/>
          <w:numId w:val="0"/>
        </w:numPr>
        <w:spacing w:after="0"/>
        <w:ind w:left="850"/>
      </w:pPr>
      <w:r>
        <w:t>Policy Development</w:t>
      </w:r>
    </w:p>
    <w:p w14:paraId="0DCD6C6F" w14:textId="77777777" w:rsidR="00851E16" w:rsidRDefault="00851E16" w:rsidP="00DE4A02">
      <w:pPr>
        <w:numPr>
          <w:ilvl w:val="0"/>
          <w:numId w:val="0"/>
        </w:numPr>
        <w:spacing w:after="0"/>
        <w:ind w:left="850"/>
      </w:pPr>
      <w:r>
        <w:t>Policy and Advice Division</w:t>
      </w:r>
    </w:p>
    <w:p w14:paraId="1CC5A49C" w14:textId="77777777" w:rsidR="00851E16" w:rsidRDefault="00851E16" w:rsidP="00DE4A02">
      <w:pPr>
        <w:numPr>
          <w:ilvl w:val="0"/>
          <w:numId w:val="0"/>
        </w:numPr>
        <w:spacing w:after="0"/>
        <w:ind w:left="850"/>
      </w:pPr>
      <w:r>
        <w:t xml:space="preserve">Australian Prudential Regulation Authority </w:t>
      </w:r>
    </w:p>
    <w:p w14:paraId="50074EA3" w14:textId="50D01D7D" w:rsidR="003A473C" w:rsidRDefault="00851E16" w:rsidP="004A2124">
      <w:pPr>
        <w:pStyle w:val="Heading2Numbers"/>
      </w:pPr>
      <w:bookmarkStart w:id="444" w:name="_Toc24552473"/>
      <w:bookmarkStart w:id="445" w:name="_Toc24622437"/>
      <w:bookmarkStart w:id="446" w:name="_Toc25334571"/>
      <w:bookmarkStart w:id="447" w:name="_Toc25941665"/>
      <w:r>
        <w:t>Important disclosure requirements – publication of submissions</w:t>
      </w:r>
      <w:bookmarkEnd w:id="444"/>
      <w:bookmarkEnd w:id="445"/>
      <w:bookmarkEnd w:id="446"/>
      <w:bookmarkEnd w:id="447"/>
    </w:p>
    <w:p w14:paraId="7F78B0A8" w14:textId="77777777" w:rsidR="00851E16" w:rsidRDefault="00851E16" w:rsidP="00851E16">
      <w:pPr>
        <w:numPr>
          <w:ilvl w:val="0"/>
          <w:numId w:val="0"/>
        </w:numPr>
      </w:pPr>
      <w:r>
        <w:t xml:space="preserve">All information in submissions will be made available to the public on the APRA website unless a respondent expressly requests that all or part of the submission is to remain in confidence. </w:t>
      </w:r>
    </w:p>
    <w:p w14:paraId="248A9EFE" w14:textId="293C8A27" w:rsidR="00851E16" w:rsidRDefault="00851E16" w:rsidP="00851E16">
      <w:pPr>
        <w:numPr>
          <w:ilvl w:val="0"/>
          <w:numId w:val="0"/>
        </w:numPr>
      </w:pPr>
      <w:r>
        <w:t xml:space="preserve">Automatically generated confidentiality statements in emails do not suffice for this purpose. Respondents who would like part of their submission to remain in confidence should provide this information marked as confidential in a separate attachment. </w:t>
      </w:r>
    </w:p>
    <w:p w14:paraId="75024971" w14:textId="77777777" w:rsidR="00851E16" w:rsidRDefault="00851E16" w:rsidP="00851E16">
      <w:pPr>
        <w:numPr>
          <w:ilvl w:val="0"/>
          <w:numId w:val="0"/>
        </w:numPr>
      </w:pPr>
      <w:r>
        <w:t xml:space="preserve">Submissions may be the subject of a request for access made under the </w:t>
      </w:r>
      <w:r w:rsidRPr="00864153">
        <w:rPr>
          <w:i/>
        </w:rPr>
        <w:t>Freedom of Information Act 1982</w:t>
      </w:r>
      <w:r>
        <w:t xml:space="preserve"> (FOIA). </w:t>
      </w:r>
    </w:p>
    <w:p w14:paraId="73C865B7" w14:textId="4C47F35E" w:rsidR="00851E16" w:rsidRDefault="00851E16" w:rsidP="00851E16">
      <w:pPr>
        <w:numPr>
          <w:ilvl w:val="0"/>
          <w:numId w:val="0"/>
        </w:numPr>
      </w:pPr>
      <w:r>
        <w:t>APRA will determine such requests, if any, in accordance with the provisions of the FOIA. Information in the submission about any APRA</w:t>
      </w:r>
      <w:r w:rsidR="00C04912">
        <w:t xml:space="preserve"> </w:t>
      </w:r>
      <w:r>
        <w:t xml:space="preserve">regulated entity that is not in the public domain and that is identified as confidential will be protected by section 56 of the </w:t>
      </w:r>
      <w:r w:rsidRPr="001311C1">
        <w:t>APRA Act</w:t>
      </w:r>
      <w:r>
        <w:t xml:space="preserve"> and will therefore be exempt from production under the FOIA.</w:t>
      </w:r>
    </w:p>
    <w:p w14:paraId="6FA36F28" w14:textId="13F08EDA" w:rsidR="008B39AF" w:rsidRPr="003A473C" w:rsidRDefault="00851E16" w:rsidP="00851E16">
      <w:pPr>
        <w:pStyle w:val="Heading2Numbers"/>
      </w:pPr>
      <w:bookmarkStart w:id="448" w:name="_Toc24622438"/>
      <w:bookmarkStart w:id="449" w:name="_Toc25334572"/>
      <w:bookmarkStart w:id="450" w:name="_Toc25941666"/>
      <w:r>
        <w:t>Request for cost-benefit information</w:t>
      </w:r>
      <w:bookmarkEnd w:id="448"/>
      <w:bookmarkEnd w:id="449"/>
      <w:bookmarkEnd w:id="450"/>
    </w:p>
    <w:p w14:paraId="2E04CB7B" w14:textId="77777777" w:rsidR="00851E16" w:rsidRDefault="00851E16" w:rsidP="00851E16">
      <w:pPr>
        <w:numPr>
          <w:ilvl w:val="0"/>
          <w:numId w:val="0"/>
        </w:numPr>
      </w:pPr>
      <w:r>
        <w:t>APRA requests that all interested stakeholders use this consultation opportunity to provide information on the compliance impact of the proposed changes and any other substantive costs associated with the changes. Compliance costs are defined as direct costs to businesses of performing activities associated with complying with government regulation. Specifically, information is sought on any increases or decreases to the compliance costs incurred by businesses as a result of APRA’s proposal.</w:t>
      </w:r>
    </w:p>
    <w:p w14:paraId="08FEF1DF" w14:textId="77777777" w:rsidR="00851E16" w:rsidRPr="009651B1" w:rsidRDefault="00851E16" w:rsidP="00851E16">
      <w:r w:rsidRPr="009651B1">
        <w:t xml:space="preserve">Consistent with the Government’s approach, APRA will use the methodology behind the Regulatory Burden Measurement Tool to assess compliance costs. This tool is designed to capture the relevant costs in a structured way, including a separate assessment of upfront costs and ongoing costs. It is available at: </w:t>
      </w:r>
      <w:hyperlink r:id="rId32" w:history="1">
        <w:r w:rsidRPr="008E2E62">
          <w:rPr>
            <w:rStyle w:val="Hyperlink"/>
          </w:rPr>
          <w:t>https://rbm.obpr.gov.au/home.aspx</w:t>
        </w:r>
      </w:hyperlink>
      <w:r w:rsidRPr="009651B1">
        <w:t>.</w:t>
      </w:r>
    </w:p>
    <w:p w14:paraId="3791B6BA" w14:textId="7F504D76" w:rsidR="00851E16" w:rsidRPr="004F443D" w:rsidRDefault="00851E16" w:rsidP="00851E16">
      <w:pPr>
        <w:rPr>
          <w:color w:val="auto"/>
        </w:rPr>
      </w:pPr>
      <w:r w:rsidRPr="004F443D">
        <w:rPr>
          <w:color w:val="auto"/>
        </w:rPr>
        <w:t>Respondents are requested to use this methodology to estimate costs to ensure that the data supplied to APRA can be aggregated and used in an industry</w:t>
      </w:r>
      <w:r w:rsidR="009C0E68">
        <w:rPr>
          <w:color w:val="auto"/>
        </w:rPr>
        <w:t xml:space="preserve"> </w:t>
      </w:r>
      <w:r w:rsidRPr="004F443D">
        <w:rPr>
          <w:color w:val="auto"/>
        </w:rPr>
        <w:t>wide assessment. When submitting their cost assessment to APRA, respondents are asked to include any assumptions made and, where relevant, any limitations inherent in their assessment. Feedback should address the additional costs incurred as a result of complying with APRA’s requirements, not activities that entities would undertake regardless of regulatory requirements in their ordinary course of business.</w:t>
      </w:r>
    </w:p>
    <w:p w14:paraId="6C1BD8AE" w14:textId="3D7C6E5E" w:rsidR="00851E16" w:rsidRPr="004F443D" w:rsidRDefault="009849DE" w:rsidP="00851E16">
      <w:pPr>
        <w:rPr>
          <w:color w:val="auto"/>
        </w:rPr>
      </w:pPr>
      <w:r>
        <w:rPr>
          <w:color w:val="auto"/>
        </w:rPr>
        <w:t>The high-level structure proposed in this discussion paper means it is not possible at</w:t>
      </w:r>
      <w:r w:rsidR="00851E16" w:rsidRPr="004F443D">
        <w:rPr>
          <w:color w:val="auto"/>
        </w:rPr>
        <w:t xml:space="preserve"> this time to determine the quantitative impact of the proposals on individual insurers. However, APRA will also be undertaking a quantitative impact study of its proposals when the draft PHI capital standards are released for consultation.  </w:t>
      </w:r>
    </w:p>
    <w:p w14:paraId="4312B3E1" w14:textId="247F6F02" w:rsidR="00AE1FD1" w:rsidRDefault="00DD5183" w:rsidP="00AE1FD1">
      <w:r w:rsidRPr="0057322F">
        <w:t xml:space="preserve">In the interim, APRA would welcome indicative information from insurers on the quantitative impact </w:t>
      </w:r>
      <w:r w:rsidR="0057322F">
        <w:t>of a number of the proposals described in this discussion paper. In particular, APRA invites insurers to provide feedback on:</w:t>
      </w:r>
    </w:p>
    <w:p w14:paraId="2BE8F469" w14:textId="1BBD6EC4" w:rsidR="0057322F" w:rsidRDefault="0057322F" w:rsidP="00AE1FD1">
      <w:pPr>
        <w:pStyle w:val="ListBullet"/>
      </w:pPr>
      <w:r>
        <w:t xml:space="preserve">the impact on </w:t>
      </w:r>
      <w:r w:rsidR="00632C30">
        <w:t>the insurer’s</w:t>
      </w:r>
      <w:r>
        <w:t xml:space="preserve"> </w:t>
      </w:r>
      <w:r w:rsidR="00632C30">
        <w:t>value of assets</w:t>
      </w:r>
      <w:r w:rsidR="009849DE" w:rsidRPr="0057322F">
        <w:t xml:space="preserve"> </w:t>
      </w:r>
      <w:r w:rsidR="00DD5183" w:rsidRPr="0057322F">
        <w:t>of applying the regulatory adjustments to assets and liabilities required by LAGIC</w:t>
      </w:r>
      <w:r w:rsidR="00BD380D">
        <w:t>. For clarity, APRA suggests referring to requirements</w:t>
      </w:r>
      <w:r w:rsidR="00DD5183" w:rsidRPr="0057322F">
        <w:t xml:space="preserve"> </w:t>
      </w:r>
      <w:r w:rsidR="00BD380D">
        <w:t xml:space="preserve">(as </w:t>
      </w:r>
      <w:r w:rsidR="004F35D2" w:rsidRPr="0057322F">
        <w:t xml:space="preserve">specified in </w:t>
      </w:r>
      <w:r w:rsidRPr="0098419A">
        <w:t>GPS 112</w:t>
      </w:r>
      <w:r w:rsidR="0098419A">
        <w:t>)</w:t>
      </w:r>
      <w:r w:rsidR="00BD380D" w:rsidRPr="00AE1FD1">
        <w:rPr>
          <w:i/>
        </w:rPr>
        <w:t xml:space="preserve"> </w:t>
      </w:r>
      <w:r w:rsidR="00BD380D" w:rsidRPr="00BD380D">
        <w:t>given these most closely align to PHI characteristics</w:t>
      </w:r>
      <w:r w:rsidRPr="0057322F">
        <w:t xml:space="preserve">. </w:t>
      </w:r>
      <w:r>
        <w:t>APRA would welcome information on the impact on the</w:t>
      </w:r>
      <w:r w:rsidRPr="0057322F">
        <w:t xml:space="preserve"> capital base of </w:t>
      </w:r>
      <w:r>
        <w:t xml:space="preserve">applying each of the regulatory adjustments described in </w:t>
      </w:r>
      <w:r w:rsidR="00295C3A">
        <w:t>Attachment</w:t>
      </w:r>
      <w:r>
        <w:t xml:space="preserve"> B of </w:t>
      </w:r>
      <w:r w:rsidR="00AE1FD1">
        <w:t>GPS 112; and</w:t>
      </w:r>
    </w:p>
    <w:p w14:paraId="2673E42D" w14:textId="2950053B" w:rsidR="0057322F" w:rsidRDefault="0057322F" w:rsidP="00E0624D">
      <w:pPr>
        <w:pStyle w:val="ListBullet"/>
      </w:pPr>
      <w:r>
        <w:rPr>
          <w:color w:val="auto"/>
        </w:rPr>
        <w:t xml:space="preserve">the </w:t>
      </w:r>
      <w:r w:rsidR="00974A0C">
        <w:rPr>
          <w:color w:val="auto"/>
        </w:rPr>
        <w:t>impact on</w:t>
      </w:r>
      <w:r>
        <w:rPr>
          <w:color w:val="auto"/>
        </w:rPr>
        <w:t xml:space="preserve"> their </w:t>
      </w:r>
      <w:r w:rsidR="00974A0C">
        <w:rPr>
          <w:color w:val="auto"/>
        </w:rPr>
        <w:t xml:space="preserve">current </w:t>
      </w:r>
      <w:r>
        <w:rPr>
          <w:color w:val="auto"/>
        </w:rPr>
        <w:t xml:space="preserve">capital </w:t>
      </w:r>
      <w:r w:rsidR="00974A0C">
        <w:rPr>
          <w:color w:val="auto"/>
        </w:rPr>
        <w:t xml:space="preserve">adequacy requirement of </w:t>
      </w:r>
      <w:r>
        <w:rPr>
          <w:color w:val="auto"/>
        </w:rPr>
        <w:t xml:space="preserve">calculating </w:t>
      </w:r>
      <w:r w:rsidR="00974A0C">
        <w:rPr>
          <w:color w:val="auto"/>
        </w:rPr>
        <w:t xml:space="preserve">the requirement </w:t>
      </w:r>
      <w:proofErr w:type="gramStart"/>
      <w:r w:rsidR="00974A0C">
        <w:rPr>
          <w:color w:val="auto"/>
        </w:rPr>
        <w:t>on the basis of</w:t>
      </w:r>
      <w:proofErr w:type="gramEnd"/>
      <w:r w:rsidR="00974A0C">
        <w:rPr>
          <w:color w:val="auto"/>
        </w:rPr>
        <w:t xml:space="preserve"> a </w:t>
      </w:r>
      <w:r w:rsidRPr="004F443D">
        <w:rPr>
          <w:color w:val="auto"/>
        </w:rPr>
        <w:t>99.5 per cen</w:t>
      </w:r>
      <w:r>
        <w:rPr>
          <w:color w:val="auto"/>
        </w:rPr>
        <w:t>t probability of sufficiency</w:t>
      </w:r>
      <w:r w:rsidR="00974A0C">
        <w:rPr>
          <w:color w:val="auto"/>
        </w:rPr>
        <w:t xml:space="preserve">, but </w:t>
      </w:r>
      <w:r w:rsidR="009B1062">
        <w:rPr>
          <w:color w:val="auto"/>
        </w:rPr>
        <w:t xml:space="preserve">otherwise </w:t>
      </w:r>
      <w:r w:rsidR="00974A0C">
        <w:rPr>
          <w:color w:val="auto"/>
        </w:rPr>
        <w:t xml:space="preserve">following the </w:t>
      </w:r>
      <w:r w:rsidR="00295C3A">
        <w:rPr>
          <w:color w:val="auto"/>
        </w:rPr>
        <w:t>calculation</w:t>
      </w:r>
      <w:r w:rsidR="00974A0C">
        <w:rPr>
          <w:color w:val="auto"/>
        </w:rPr>
        <w:t xml:space="preserve"> approach of HPS 110</w:t>
      </w:r>
      <w:r>
        <w:rPr>
          <w:color w:val="auto"/>
        </w:rPr>
        <w:t>.</w:t>
      </w:r>
    </w:p>
    <w:p w14:paraId="6BEC41EC" w14:textId="1F4FC836" w:rsidR="00AD393D" w:rsidRDefault="00851E16" w:rsidP="00851E16">
      <w:pPr>
        <w:numPr>
          <w:ilvl w:val="0"/>
          <w:numId w:val="0"/>
        </w:numPr>
      </w:pPr>
      <w:r w:rsidRPr="00330DAD">
        <w:rPr>
          <w:color w:val="auto"/>
        </w:rPr>
        <w:t>APRA would also welcome feedback from insurers on the quantitative impact of APRA’s proposal for the introduction of a minimum capital requirement.</w:t>
      </w:r>
    </w:p>
    <w:p w14:paraId="0AB18D7B" w14:textId="40FB66B8" w:rsidR="006F6604" w:rsidRDefault="006F6604" w:rsidP="006F6604">
      <w:pPr>
        <w:pStyle w:val="Heading2Numbers"/>
      </w:pPr>
      <w:bookmarkStart w:id="451" w:name="_Toc24622439"/>
      <w:bookmarkStart w:id="452" w:name="_Toc25334573"/>
      <w:bookmarkStart w:id="453" w:name="_Toc25941667"/>
      <w:r>
        <w:t>Consultation questions</w:t>
      </w:r>
      <w:bookmarkEnd w:id="451"/>
      <w:bookmarkEnd w:id="452"/>
      <w:bookmarkEnd w:id="453"/>
    </w:p>
    <w:p w14:paraId="588D5670" w14:textId="77777777" w:rsidR="006F6604" w:rsidRDefault="006F6604" w:rsidP="006F6604">
      <w:r>
        <w:t xml:space="preserve">Submissions are welcome on all aspects of the proposals in this discussion paper. </w:t>
      </w:r>
    </w:p>
    <w:p w14:paraId="4139EDB7" w14:textId="77777777" w:rsidR="006F6604" w:rsidRDefault="006F6604" w:rsidP="006F6604">
      <w:r>
        <w:t xml:space="preserve">In addition, specific areas where feedback on the proposed direction would be of assistance to APRA in finalising its proposals are outlined in the below table. </w:t>
      </w:r>
    </w:p>
    <w:p w14:paraId="0A18F8DE" w14:textId="34DEFEDB" w:rsidR="00DD5183" w:rsidRPr="00C76A68" w:rsidRDefault="00DD5183" w:rsidP="006F6604">
      <w:pPr>
        <w:pStyle w:val="Tablenumbered"/>
        <w:ind w:left="0" w:firstLine="0"/>
        <w:rPr>
          <w:i w:val="0"/>
        </w:rPr>
      </w:pPr>
      <w:r w:rsidRPr="00C76A68">
        <w:rPr>
          <w:i w:val="0"/>
        </w:rPr>
        <w:t>Consultation questions</w:t>
      </w:r>
    </w:p>
    <w:tbl>
      <w:tblPr>
        <w:tblStyle w:val="TableOption2"/>
        <w:tblW w:w="0" w:type="auto"/>
        <w:tblLook w:val="0480" w:firstRow="0" w:lastRow="0" w:firstColumn="1" w:lastColumn="0" w:noHBand="0" w:noVBand="1"/>
      </w:tblPr>
      <w:tblGrid>
        <w:gridCol w:w="2268"/>
        <w:gridCol w:w="6758"/>
      </w:tblGrid>
      <w:tr w:rsidR="000843AF" w14:paraId="18C0BEED" w14:textId="77777777" w:rsidTr="000B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48733F" w14:textId="77777777" w:rsidR="000843AF" w:rsidRDefault="000843AF" w:rsidP="000B0E15">
            <w:pPr>
              <w:pStyle w:val="TableHeading"/>
              <w:spacing w:before="0"/>
            </w:pPr>
            <w:r>
              <w:t>Chapter 2 – APRA’s proposals</w:t>
            </w:r>
          </w:p>
        </w:tc>
        <w:tc>
          <w:tcPr>
            <w:tcW w:w="6758" w:type="dxa"/>
          </w:tcPr>
          <w:p w14:paraId="7F79E810" w14:textId="17ADBD37" w:rsidR="000843AF" w:rsidRDefault="000843AF" w:rsidP="00AE6A71">
            <w:pPr>
              <w:pStyle w:val="ListBullet"/>
              <w:numPr>
                <w:ilvl w:val="1"/>
                <w:numId w:val="12"/>
              </w:numPr>
              <w:cnfStyle w:val="000000100000" w:firstRow="0" w:lastRow="0" w:firstColumn="0" w:lastColumn="0" w:oddVBand="0" w:evenVBand="0" w:oddHBand="1" w:evenHBand="0" w:firstRowFirstColumn="0" w:firstRowLastColumn="0" w:lastRowFirstColumn="0" w:lastRowLastColumn="0"/>
            </w:pPr>
            <w:r>
              <w:t xml:space="preserve">Regarding the scope of the capital standards, APRA is proposing to broaden the scope to the insurer, rather than the existing narrow focus on the HBF. What would be the </w:t>
            </w:r>
            <w:r w:rsidR="001B7817">
              <w:t xml:space="preserve">implications of this proposal and practical aspects of how insurers would implement this </w:t>
            </w:r>
            <w:r w:rsidR="001B7817" w:rsidRPr="00736410">
              <w:t>approach</w:t>
            </w:r>
            <w:r w:rsidR="00F879EC">
              <w:t>?</w:t>
            </w:r>
          </w:p>
          <w:p w14:paraId="02515F2D" w14:textId="03AE2DCD" w:rsidR="00DD5183" w:rsidRDefault="00DD5183" w:rsidP="00AE6A71">
            <w:pPr>
              <w:pStyle w:val="ListBullet"/>
              <w:numPr>
                <w:ilvl w:val="1"/>
                <w:numId w:val="13"/>
              </w:numPr>
              <w:cnfStyle w:val="000000100000" w:firstRow="0" w:lastRow="0" w:firstColumn="0" w:lastColumn="0" w:oddVBand="0" w:evenVBand="0" w:oddHBand="1" w:evenHBand="0" w:firstRowFirstColumn="0" w:firstRowLastColumn="0" w:lastRowFirstColumn="0" w:lastRowLastColumn="0"/>
            </w:pPr>
            <w:r>
              <w:t>T</w:t>
            </w:r>
            <w:r w:rsidRPr="00824FB4">
              <w:t>he</w:t>
            </w:r>
            <w:r>
              <w:t xml:space="preserve"> current PHI capital standards target a </w:t>
            </w:r>
            <w:r w:rsidRPr="00824FB4">
              <w:t>98 per cent</w:t>
            </w:r>
            <w:r>
              <w:t xml:space="preserve"> probability of sufficiency on a going-concern basis</w:t>
            </w:r>
            <w:r w:rsidRPr="00824FB4">
              <w:t>.</w:t>
            </w:r>
            <w:r>
              <w:t xml:space="preserve"> What </w:t>
            </w:r>
            <w:r w:rsidR="00530B8A">
              <w:t>are the implications of</w:t>
            </w:r>
            <w:r>
              <w:t xml:space="preserve"> APRA’s proposal that the PHI capital standards require a 99.5 per cent probability of sufficiency on a gone concern basis? </w:t>
            </w:r>
          </w:p>
          <w:p w14:paraId="761AB475" w14:textId="11A7489E" w:rsidR="00530B8A" w:rsidRPr="00530B8A" w:rsidRDefault="00AA4CF7" w:rsidP="00AE6A71">
            <w:pPr>
              <w:pStyle w:val="ListBullet"/>
              <w:numPr>
                <w:ilvl w:val="1"/>
                <w:numId w:val="14"/>
              </w:numPr>
              <w:cnfStyle w:val="000000100000" w:firstRow="0" w:lastRow="0" w:firstColumn="0" w:lastColumn="0" w:oddVBand="0" w:evenVBand="0" w:oddHBand="1" w:evenHBand="0" w:firstRowFirstColumn="0" w:firstRowLastColumn="0" w:lastRowFirstColumn="0" w:lastRowLastColumn="0"/>
            </w:pPr>
            <w:r w:rsidRPr="00736410">
              <w:t xml:space="preserve">APRA is proposing to introduce restrictions on the composition of an insurer’s capital that is eligible to be included in the capital base. </w:t>
            </w:r>
            <w:r w:rsidR="001B7817">
              <w:t xml:space="preserve">What are </w:t>
            </w:r>
            <w:r w:rsidR="00530B8A">
              <w:t>your</w:t>
            </w:r>
            <w:r w:rsidR="001B7817">
              <w:t xml:space="preserve"> views</w:t>
            </w:r>
            <w:r w:rsidRPr="00736410">
              <w:t xml:space="preserve"> on the application</w:t>
            </w:r>
            <w:r>
              <w:t xml:space="preserve"> of this proposal and challenges of transition to the </w:t>
            </w:r>
            <w:r w:rsidR="00F879EC">
              <w:t>proposal?</w:t>
            </w:r>
          </w:p>
          <w:p w14:paraId="4B97C72C" w14:textId="42943DDA" w:rsidR="000843AF" w:rsidRPr="00790ECB" w:rsidRDefault="00AA4CF7" w:rsidP="00AE6A71">
            <w:pPr>
              <w:pStyle w:val="ListBullet"/>
              <w:numPr>
                <w:ilvl w:val="1"/>
                <w:numId w:val="15"/>
              </w:numPr>
              <w:cnfStyle w:val="000000100000" w:firstRow="0" w:lastRow="0" w:firstColumn="0" w:lastColumn="0" w:oddVBand="0" w:evenVBand="0" w:oddHBand="1" w:evenHBand="0" w:firstRowFirstColumn="0" w:firstRowLastColumn="0" w:lastRowFirstColumn="0" w:lastRowLastColumn="0"/>
            </w:pPr>
            <w:r>
              <w:t xml:space="preserve">What are </w:t>
            </w:r>
            <w:r w:rsidR="00530B8A">
              <w:t>your</w:t>
            </w:r>
            <w:r>
              <w:t xml:space="preserve"> views on APRA’s</w:t>
            </w:r>
            <w:r w:rsidRPr="0015262F">
              <w:t xml:space="preserve"> proposed </w:t>
            </w:r>
            <w:r>
              <w:t>minimum proportions for capital</w:t>
            </w:r>
            <w:r w:rsidR="00EC112D">
              <w:t>,</w:t>
            </w:r>
            <w:r>
              <w:t xml:space="preserve"> and transition considerations for the new framework?</w:t>
            </w:r>
          </w:p>
        </w:tc>
      </w:tr>
      <w:tr w:rsidR="000843AF" w:rsidRPr="00790ECB" w14:paraId="5B31CA55" w14:textId="77777777" w:rsidTr="006F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7B78966" w14:textId="77777777" w:rsidR="000843AF" w:rsidRDefault="000843AF" w:rsidP="000B0E15">
            <w:pPr>
              <w:numPr>
                <w:ilvl w:val="0"/>
                <w:numId w:val="0"/>
              </w:numPr>
            </w:pPr>
          </w:p>
          <w:p w14:paraId="671EEA4A" w14:textId="77777777" w:rsidR="000843AF" w:rsidRDefault="000843AF" w:rsidP="000B0E15">
            <w:pPr>
              <w:numPr>
                <w:ilvl w:val="0"/>
                <w:numId w:val="0"/>
              </w:numPr>
            </w:pPr>
          </w:p>
          <w:p w14:paraId="280F09BA" w14:textId="77777777" w:rsidR="000843AF" w:rsidRDefault="000843AF" w:rsidP="000B0E15">
            <w:pPr>
              <w:numPr>
                <w:ilvl w:val="0"/>
                <w:numId w:val="0"/>
              </w:numPr>
            </w:pPr>
          </w:p>
          <w:p w14:paraId="63F4ED2D" w14:textId="77777777" w:rsidR="000843AF" w:rsidRDefault="000843AF" w:rsidP="000B0E15">
            <w:pPr>
              <w:numPr>
                <w:ilvl w:val="0"/>
                <w:numId w:val="0"/>
              </w:numPr>
            </w:pPr>
          </w:p>
          <w:p w14:paraId="463BB190" w14:textId="77777777" w:rsidR="000843AF" w:rsidRDefault="000843AF" w:rsidP="000B0E15">
            <w:pPr>
              <w:numPr>
                <w:ilvl w:val="0"/>
                <w:numId w:val="0"/>
              </w:numPr>
            </w:pPr>
          </w:p>
          <w:p w14:paraId="7B17AF76" w14:textId="77777777" w:rsidR="000843AF" w:rsidRDefault="000843AF" w:rsidP="000B0E15">
            <w:pPr>
              <w:numPr>
                <w:ilvl w:val="0"/>
                <w:numId w:val="0"/>
              </w:numPr>
            </w:pPr>
          </w:p>
          <w:p w14:paraId="56B32D03" w14:textId="77777777" w:rsidR="000843AF" w:rsidRDefault="000843AF" w:rsidP="000B0E15">
            <w:pPr>
              <w:numPr>
                <w:ilvl w:val="0"/>
                <w:numId w:val="0"/>
              </w:numPr>
            </w:pPr>
          </w:p>
          <w:p w14:paraId="32D2C2B4" w14:textId="77777777" w:rsidR="000843AF" w:rsidRDefault="000843AF" w:rsidP="000B0E15">
            <w:pPr>
              <w:numPr>
                <w:ilvl w:val="0"/>
                <w:numId w:val="0"/>
              </w:numPr>
            </w:pPr>
          </w:p>
          <w:p w14:paraId="5A843B78" w14:textId="77777777" w:rsidR="000843AF" w:rsidRDefault="000843AF" w:rsidP="000B0E15">
            <w:pPr>
              <w:numPr>
                <w:ilvl w:val="0"/>
                <w:numId w:val="0"/>
              </w:numPr>
            </w:pPr>
          </w:p>
          <w:p w14:paraId="1DEA60C2" w14:textId="77777777" w:rsidR="000843AF" w:rsidRPr="00FF74B2" w:rsidRDefault="000843AF" w:rsidP="000B0E15">
            <w:pPr>
              <w:pStyle w:val="TableHeading"/>
              <w:rPr>
                <w:b/>
              </w:rPr>
            </w:pPr>
          </w:p>
        </w:tc>
        <w:tc>
          <w:tcPr>
            <w:tcW w:w="6758" w:type="dxa"/>
            <w:shd w:val="clear" w:color="auto" w:fill="EAECEE" w:themeFill="accent4" w:themeFillTint="33"/>
          </w:tcPr>
          <w:p w14:paraId="738F11C7" w14:textId="2C5D9FCC" w:rsidR="00AA4CF7" w:rsidRDefault="008539A5" w:rsidP="00AE6A71">
            <w:pPr>
              <w:pStyle w:val="ListBullet"/>
              <w:numPr>
                <w:ilvl w:val="1"/>
                <w:numId w:val="16"/>
              </w:numPr>
              <w:cnfStyle w:val="000000010000" w:firstRow="0" w:lastRow="0" w:firstColumn="0" w:lastColumn="0" w:oddVBand="0" w:evenVBand="0" w:oddHBand="0" w:evenHBand="1" w:firstRowFirstColumn="0" w:firstRowLastColumn="0" w:lastRowFirstColumn="0" w:lastRowLastColumn="0"/>
            </w:pPr>
            <w:r>
              <w:t>APRA</w:t>
            </w:r>
            <w:r w:rsidR="00AA4CF7">
              <w:t xml:space="preserve"> </w:t>
            </w:r>
            <w:r w:rsidR="00530B8A">
              <w:t>proposes to make</w:t>
            </w:r>
            <w:r w:rsidR="00AA4CF7">
              <w:t xml:space="preserve"> MEIs </w:t>
            </w:r>
            <w:r w:rsidR="00530B8A">
              <w:t xml:space="preserve">allowable capital, but proposes limits </w:t>
            </w:r>
            <w:r w:rsidR="00AA4CF7">
              <w:t xml:space="preserve">on the proportion of capital eligible for CET1. </w:t>
            </w:r>
            <w:r w:rsidR="001B7817">
              <w:t>What would be the impacts of this proposal on the</w:t>
            </w:r>
            <w:r w:rsidR="00AA4CF7">
              <w:t xml:space="preserve"> industry?</w:t>
            </w:r>
          </w:p>
          <w:p w14:paraId="2172CFC8" w14:textId="5A62A678" w:rsidR="002B4D52" w:rsidRPr="002B4D52" w:rsidRDefault="008539A5" w:rsidP="00AE6A71">
            <w:pPr>
              <w:numPr>
                <w:ilvl w:val="1"/>
                <w:numId w:val="17"/>
              </w:numPr>
              <w:cnfStyle w:val="000000010000" w:firstRow="0" w:lastRow="0" w:firstColumn="0" w:lastColumn="0" w:oddVBand="0" w:evenVBand="0" w:oddHBand="0" w:evenHBand="1" w:firstRowFirstColumn="0" w:firstRowLastColumn="0" w:lastRowFirstColumn="0" w:lastRowLastColumn="0"/>
            </w:pPr>
            <w:r>
              <w:t>W</w:t>
            </w:r>
            <w:r w:rsidR="00F27124">
              <w:t xml:space="preserve">hat are the </w:t>
            </w:r>
            <w:r w:rsidR="00C750E4">
              <w:t>advantages and disadvantages</w:t>
            </w:r>
            <w:r w:rsidR="002B4D52" w:rsidRPr="002B4D52">
              <w:t xml:space="preserve"> of the proposed components of the insurance risk charge</w:t>
            </w:r>
            <w:r w:rsidR="00F27124">
              <w:t xml:space="preserve">? What are your views on the </w:t>
            </w:r>
            <w:r w:rsidR="002B4D52" w:rsidRPr="002B4D52">
              <w:t>potential correlation between risks captured in each component and how the components could be aggregated to calculate the overall insurance risk charge</w:t>
            </w:r>
            <w:r w:rsidR="00BC526D">
              <w:t>?</w:t>
            </w:r>
          </w:p>
          <w:p w14:paraId="765A7889" w14:textId="15993B56" w:rsidR="00BC526D" w:rsidRDefault="00BC526D" w:rsidP="00AE6A71">
            <w:pPr>
              <w:numPr>
                <w:ilvl w:val="1"/>
                <w:numId w:val="18"/>
              </w:numPr>
              <w:cnfStyle w:val="000000010000" w:firstRow="0" w:lastRow="0" w:firstColumn="0" w:lastColumn="0" w:oddVBand="0" w:evenVBand="0" w:oddHBand="0" w:evenHBand="1" w:firstRowFirstColumn="0" w:firstRowLastColumn="0" w:lastRowFirstColumn="0" w:lastRowLastColumn="0"/>
            </w:pPr>
            <w:r>
              <w:t>APRA has</w:t>
            </w:r>
            <w:r w:rsidRPr="002B4D52">
              <w:t xml:space="preserve"> proposed </w:t>
            </w:r>
            <w:r>
              <w:t xml:space="preserve">a </w:t>
            </w:r>
            <w:r w:rsidRPr="002B4D52">
              <w:t>prescribed factor approach</w:t>
            </w:r>
            <w:r>
              <w:t xml:space="preserve"> form part of the insurance risk charge. What are the </w:t>
            </w:r>
            <w:r w:rsidR="00C750E4">
              <w:t>advantages and disadvantages</w:t>
            </w:r>
            <w:r w:rsidR="00C750E4" w:rsidRPr="002B4D52">
              <w:t xml:space="preserve"> </w:t>
            </w:r>
            <w:r w:rsidRPr="002B4D52">
              <w:t>of setting different factors for calculating the risk charge</w:t>
            </w:r>
            <w:r>
              <w:t>?</w:t>
            </w:r>
            <w:r w:rsidRPr="002B4D52">
              <w:t xml:space="preserve"> </w:t>
            </w:r>
            <w:r>
              <w:t xml:space="preserve">What are your views on </w:t>
            </w:r>
            <w:r w:rsidRPr="002B4D52">
              <w:t>matters that sho</w:t>
            </w:r>
            <w:r>
              <w:t>uld be addressed by risk margins</w:t>
            </w:r>
            <w:r w:rsidRPr="002B4D52">
              <w:t xml:space="preserve"> and metrics to determine cla</w:t>
            </w:r>
            <w:r>
              <w:t>ims risk for remaining coverage?</w:t>
            </w:r>
          </w:p>
          <w:p w14:paraId="2F8CACC2" w14:textId="0EFB3E48" w:rsidR="002B4D52" w:rsidRPr="002B4D52" w:rsidRDefault="00F27124" w:rsidP="00AE6A71">
            <w:pPr>
              <w:numPr>
                <w:ilvl w:val="1"/>
                <w:numId w:val="19"/>
              </w:numPr>
              <w:cnfStyle w:val="000000010000" w:firstRow="0" w:lastRow="0" w:firstColumn="0" w:lastColumn="0" w:oddVBand="0" w:evenVBand="0" w:oddHBand="0" w:evenHBand="1" w:firstRowFirstColumn="0" w:firstRowLastColumn="0" w:lastRowFirstColumn="0" w:lastRowLastColumn="0"/>
            </w:pPr>
            <w:r>
              <w:t>APRA has</w:t>
            </w:r>
            <w:r w:rsidR="002B4D52" w:rsidRPr="002B4D52">
              <w:t xml:space="preserve"> proposed </w:t>
            </w:r>
            <w:r w:rsidR="0047297E">
              <w:t xml:space="preserve">a </w:t>
            </w:r>
            <w:r w:rsidR="002B4D52" w:rsidRPr="002B4D52">
              <w:t>prescribed event stress</w:t>
            </w:r>
            <w:r>
              <w:t xml:space="preserve"> form part of the insurance risk </w:t>
            </w:r>
            <w:r w:rsidR="00BC526D">
              <w:t>char</w:t>
            </w:r>
            <w:r>
              <w:t xml:space="preserve">ge. What </w:t>
            </w:r>
            <w:r w:rsidR="002B4D52" w:rsidRPr="002B4D52">
              <w:t xml:space="preserve">intensity </w:t>
            </w:r>
            <w:r>
              <w:t xml:space="preserve">is </w:t>
            </w:r>
            <w:r w:rsidR="002B4D52" w:rsidRPr="002B4D52">
              <w:t>necessary to reflect a 99.5 per </w:t>
            </w:r>
            <w:r>
              <w:t xml:space="preserve">cent probability of sufficiency? </w:t>
            </w:r>
            <w:r w:rsidR="00711E22">
              <w:t>Should</w:t>
            </w:r>
            <w:r w:rsidR="002B4D52" w:rsidRPr="002B4D52">
              <w:t xml:space="preserve"> alternative approaches </w:t>
            </w:r>
            <w:r w:rsidR="00711E22">
              <w:t>be</w:t>
            </w:r>
            <w:r w:rsidR="002B4D52" w:rsidRPr="002B4D52">
              <w:t xml:space="preserve"> considered in the capital standard to address the risk of a </w:t>
            </w:r>
            <w:r w:rsidR="002B4D52" w:rsidRPr="002B4D52">
              <w:rPr>
                <w:rFonts w:eastAsia="Calibri"/>
              </w:rPr>
              <w:t>severe adverse outcome</w:t>
            </w:r>
            <w:r>
              <w:rPr>
                <w:rFonts w:eastAsia="Calibri"/>
              </w:rPr>
              <w:t>?</w:t>
            </w:r>
          </w:p>
          <w:p w14:paraId="214C52EC" w14:textId="267B543A" w:rsidR="002B4D52" w:rsidRDefault="00BC28E6" w:rsidP="00AE6A71">
            <w:pPr>
              <w:numPr>
                <w:ilvl w:val="1"/>
                <w:numId w:val="20"/>
              </w:numPr>
              <w:cnfStyle w:val="000000010000" w:firstRow="0" w:lastRow="0" w:firstColumn="0" w:lastColumn="0" w:oddVBand="0" w:evenVBand="0" w:oddHBand="0" w:evenHBand="1" w:firstRowFirstColumn="0" w:firstRowLastColumn="0" w:lastRowFirstColumn="0" w:lastRowLastColumn="0"/>
            </w:pPr>
            <w:r>
              <w:t xml:space="preserve">What criteria should APRA consider as part of its </w:t>
            </w:r>
            <w:r w:rsidR="002B4D52" w:rsidRPr="002B4D52">
              <w:t xml:space="preserve">proposal to enable </w:t>
            </w:r>
            <w:r>
              <w:t xml:space="preserve">it to make </w:t>
            </w:r>
            <w:r w:rsidR="002B4D52" w:rsidRPr="002B4D52">
              <w:t>an insurer specific adjustment to take account of experiences of an individual insurer</w:t>
            </w:r>
            <w:r w:rsidR="00BC526D">
              <w:t>?</w:t>
            </w:r>
          </w:p>
          <w:p w14:paraId="56B68F24" w14:textId="5EC94525" w:rsidR="008539A5" w:rsidRDefault="0047297E" w:rsidP="00AE6A71">
            <w:pPr>
              <w:numPr>
                <w:ilvl w:val="1"/>
                <w:numId w:val="21"/>
              </w:numPr>
              <w:cnfStyle w:val="000000010000" w:firstRow="0" w:lastRow="0" w:firstColumn="0" w:lastColumn="0" w:oddVBand="0" w:evenVBand="0" w:oddHBand="0" w:evenHBand="1" w:firstRowFirstColumn="0" w:firstRowLastColumn="0" w:lastRowFirstColumn="0" w:lastRowLastColumn="0"/>
            </w:pPr>
            <w:r>
              <w:t>Are</w:t>
            </w:r>
            <w:r w:rsidR="008539A5">
              <w:t xml:space="preserve"> the proposed asset risk stresses</w:t>
            </w:r>
            <w:r>
              <w:t xml:space="preserve"> appropriate</w:t>
            </w:r>
            <w:r w:rsidR="008539A5">
              <w:t xml:space="preserve">, and </w:t>
            </w:r>
            <w:r>
              <w:t xml:space="preserve">should </w:t>
            </w:r>
            <w:r w:rsidR="008539A5">
              <w:t>insurers hold assets which could be affected by adverse events not captured by these stresses?</w:t>
            </w:r>
          </w:p>
          <w:p w14:paraId="1F0A852F" w14:textId="01C6DB00" w:rsidR="00BC28E6" w:rsidRDefault="00BC28E6" w:rsidP="00AE6A71">
            <w:pPr>
              <w:numPr>
                <w:ilvl w:val="1"/>
                <w:numId w:val="22"/>
              </w:numPr>
              <w:cnfStyle w:val="000000010000" w:firstRow="0" w:lastRow="0" w:firstColumn="0" w:lastColumn="0" w:oddVBand="0" w:evenVBand="0" w:oddHBand="0" w:evenHBand="1" w:firstRowFirstColumn="0" w:firstRowLastColumn="0" w:lastRowFirstColumn="0" w:lastRowLastColumn="0"/>
            </w:pPr>
            <w:r>
              <w:t xml:space="preserve">What are the expected impacts of the proposed </w:t>
            </w:r>
            <w:r w:rsidR="008539A5">
              <w:t>asset concentration risk charge?</w:t>
            </w:r>
          </w:p>
          <w:p w14:paraId="49DD267E" w14:textId="22A579EB" w:rsidR="00BC28E6" w:rsidRDefault="00BC28E6" w:rsidP="00AE6A71">
            <w:pPr>
              <w:numPr>
                <w:ilvl w:val="1"/>
                <w:numId w:val="23"/>
              </w:numPr>
              <w:cnfStyle w:val="000000010000" w:firstRow="0" w:lastRow="0" w:firstColumn="0" w:lastColumn="0" w:oddVBand="0" w:evenVBand="0" w:oddHBand="0" w:evenHBand="1" w:firstRowFirstColumn="0" w:firstRowLastColumn="0" w:lastRowFirstColumn="0" w:lastRowLastColumn="0"/>
            </w:pPr>
            <w:r>
              <w:t xml:space="preserve">Should APRA consider a </w:t>
            </w:r>
            <w:r>
              <w:rPr>
                <w:rFonts w:eastAsia="Calibri" w:cs="Arial"/>
                <w:color w:val="auto"/>
              </w:rPr>
              <w:t>non-linear operational risk charge? What are your views on the relevance of a minimum or maximum threshold and potential metrics to determine the operational risk charge for non-insurance business</w:t>
            </w:r>
            <w:r w:rsidR="00711E22">
              <w:rPr>
                <w:rFonts w:eastAsia="Calibri" w:cs="Arial"/>
                <w:color w:val="auto"/>
              </w:rPr>
              <w:t>?</w:t>
            </w:r>
          </w:p>
          <w:p w14:paraId="29E18472" w14:textId="6A6E9573" w:rsidR="00BC28E6" w:rsidRDefault="00BC28E6" w:rsidP="00AE6A71">
            <w:pPr>
              <w:numPr>
                <w:ilvl w:val="1"/>
                <w:numId w:val="24"/>
              </w:numPr>
              <w:cnfStyle w:val="000000010000" w:firstRow="0" w:lastRow="0" w:firstColumn="0" w:lastColumn="0" w:oddVBand="0" w:evenVBand="0" w:oddHBand="0" w:evenHBand="1" w:firstRowFirstColumn="0" w:firstRowLastColumn="0" w:lastRowFirstColumn="0" w:lastRowLastColumn="0"/>
            </w:pPr>
            <w:r>
              <w:t xml:space="preserve">APRA has proposed </w:t>
            </w:r>
            <w:r w:rsidR="00711E22">
              <w:t xml:space="preserve">the </w:t>
            </w:r>
            <w:r>
              <w:t>aggregation benefit to recognise that insurance and asset risks are not perfectly correlated. What are your views on an appropriate approach for the prescribed formula, and whether a correlation factor of 0.2 can be adopted without amendment</w:t>
            </w:r>
            <w:r w:rsidR="00711E22">
              <w:t>?</w:t>
            </w:r>
          </w:p>
          <w:p w14:paraId="3F53EA81" w14:textId="77777777" w:rsidR="00711E22" w:rsidRPr="00EA67D7" w:rsidRDefault="00711E22" w:rsidP="00AE6A71">
            <w:pPr>
              <w:pStyle w:val="ListBullet"/>
              <w:numPr>
                <w:ilvl w:val="1"/>
                <w:numId w:val="25"/>
              </w:numPr>
              <w:cnfStyle w:val="000000010000" w:firstRow="0" w:lastRow="0" w:firstColumn="0" w:lastColumn="0" w:oddVBand="0" w:evenVBand="0" w:oddHBand="0" w:evenHBand="1" w:firstRowFirstColumn="0" w:firstRowLastColumn="0" w:lastRowFirstColumn="0" w:lastRowLastColumn="0"/>
            </w:pPr>
            <w:r>
              <w:t>What implications could APRA’s</w:t>
            </w:r>
            <w:r>
              <w:rPr>
                <w:rFonts w:eastAsia="Calibri" w:cs="Arial"/>
              </w:rPr>
              <w:t xml:space="preserve"> proposed $5 million explicit minimum prescribed capital amount have for existing insurers or potential new entrants?</w:t>
            </w:r>
          </w:p>
          <w:p w14:paraId="52584841" w14:textId="25DA3567" w:rsidR="00AF1D22" w:rsidRDefault="0047297E" w:rsidP="00AE6A71">
            <w:pPr>
              <w:numPr>
                <w:ilvl w:val="1"/>
                <w:numId w:val="26"/>
              </w:numPr>
              <w:cnfStyle w:val="000000010000" w:firstRow="0" w:lastRow="0" w:firstColumn="0" w:lastColumn="0" w:oddVBand="0" w:evenVBand="0" w:oddHBand="0" w:evenHBand="1" w:firstRowFirstColumn="0" w:firstRowLastColumn="0" w:lastRowFirstColumn="0" w:lastRowLastColumn="0"/>
            </w:pPr>
            <w:r>
              <w:rPr>
                <w:rFonts w:eastAsia="Calibri" w:cs="Arial"/>
              </w:rPr>
              <w:t>What are</w:t>
            </w:r>
            <w:r w:rsidR="00AF1D22">
              <w:rPr>
                <w:rFonts w:eastAsia="Calibri" w:cs="Arial"/>
              </w:rPr>
              <w:t xml:space="preserve"> the </w:t>
            </w:r>
            <w:r>
              <w:rPr>
                <w:rFonts w:eastAsia="Calibri" w:cs="Arial"/>
              </w:rPr>
              <w:t>expected</w:t>
            </w:r>
            <w:r w:rsidR="00AF1D22">
              <w:rPr>
                <w:rFonts w:eastAsia="Calibri" w:cs="Arial"/>
              </w:rPr>
              <w:t xml:space="preserve"> impact</w:t>
            </w:r>
            <w:r>
              <w:rPr>
                <w:rFonts w:eastAsia="Calibri" w:cs="Arial"/>
              </w:rPr>
              <w:t>s</w:t>
            </w:r>
            <w:r w:rsidR="00AF1D22">
              <w:rPr>
                <w:rFonts w:eastAsia="Calibri" w:cs="Arial"/>
              </w:rPr>
              <w:t xml:space="preserve"> of an explicit mi</w:t>
            </w:r>
            <w:r w:rsidR="00685AEA">
              <w:rPr>
                <w:rFonts w:eastAsia="Calibri" w:cs="Arial"/>
              </w:rPr>
              <w:t>nimum prescribed capital amount</w:t>
            </w:r>
            <w:r w:rsidR="00E51991">
              <w:rPr>
                <w:rFonts w:eastAsia="Calibri" w:cs="Arial"/>
              </w:rPr>
              <w:t>?</w:t>
            </w:r>
            <w:r w:rsidR="00685AEA">
              <w:rPr>
                <w:rFonts w:eastAsia="Calibri" w:cs="Arial"/>
              </w:rPr>
              <w:t xml:space="preserve"> </w:t>
            </w:r>
            <w:r w:rsidR="00E51991">
              <w:rPr>
                <w:rFonts w:eastAsia="Calibri" w:cs="Arial"/>
              </w:rPr>
              <w:t>What are the</w:t>
            </w:r>
            <w:r w:rsidR="00685AEA">
              <w:rPr>
                <w:rFonts w:eastAsia="Calibri" w:cs="Arial"/>
              </w:rPr>
              <w:t xml:space="preserve"> options for indexing the minimum amount</w:t>
            </w:r>
            <w:r w:rsidR="00E51991">
              <w:rPr>
                <w:rFonts w:eastAsia="Calibri" w:cs="Arial"/>
              </w:rPr>
              <w:t>?</w:t>
            </w:r>
          </w:p>
          <w:p w14:paraId="2D9F8158" w14:textId="67F406DF" w:rsidR="000843AF" w:rsidRPr="00FF74B2" w:rsidRDefault="00F66952" w:rsidP="00AE6A71">
            <w:pPr>
              <w:pStyle w:val="ListBullet"/>
              <w:numPr>
                <w:ilvl w:val="1"/>
                <w:numId w:val="27"/>
              </w:numPr>
              <w:cnfStyle w:val="000000010000" w:firstRow="0" w:lastRow="0" w:firstColumn="0" w:lastColumn="0" w:oddVBand="0" w:evenVBand="0" w:oddHBand="0" w:evenHBand="1" w:firstRowFirstColumn="0" w:firstRowLastColumn="0" w:lastRowFirstColumn="0" w:lastRowLastColumn="0"/>
            </w:pPr>
            <w:r>
              <w:t>Should</w:t>
            </w:r>
            <w:r w:rsidR="00AA4CF7">
              <w:t xml:space="preserve"> the PHI capital framework include additional qualitative requirements to supplement those under </w:t>
            </w:r>
            <w:r w:rsidR="00AA4CF7" w:rsidRPr="003808DD">
              <w:rPr>
                <w:i/>
              </w:rPr>
              <w:t>Prudential Standard CPS 220 Risk Management</w:t>
            </w:r>
            <w:r>
              <w:t>?</w:t>
            </w:r>
          </w:p>
        </w:tc>
      </w:tr>
      <w:tr w:rsidR="000843AF" w:rsidRPr="00790ECB" w14:paraId="7A8F5679" w14:textId="77777777" w:rsidTr="006F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2C1604" w14:textId="349E3CEF" w:rsidR="000843AF" w:rsidRPr="00FF74B2" w:rsidRDefault="000843AF" w:rsidP="000B0E15">
            <w:pPr>
              <w:pStyle w:val="TableHeading"/>
              <w:spacing w:before="0"/>
            </w:pPr>
            <w:r w:rsidRPr="00FF74B2">
              <w:t>Chapter 3 – Future regulatory reporting</w:t>
            </w:r>
          </w:p>
        </w:tc>
        <w:tc>
          <w:tcPr>
            <w:tcW w:w="6758" w:type="dxa"/>
            <w:shd w:val="clear" w:color="auto" w:fill="C1C8CE" w:themeFill="accent4" w:themeFillTint="99"/>
          </w:tcPr>
          <w:p w14:paraId="25CE6898" w14:textId="3F3F8337" w:rsidR="000875E3" w:rsidRPr="000875E3" w:rsidRDefault="00E51991" w:rsidP="00AE6A71">
            <w:pPr>
              <w:pStyle w:val="ListBullet"/>
              <w:numPr>
                <w:ilvl w:val="1"/>
                <w:numId w:val="28"/>
              </w:numPr>
              <w:cnfStyle w:val="000000100000" w:firstRow="0" w:lastRow="0" w:firstColumn="0" w:lastColumn="0" w:oddVBand="0" w:evenVBand="0" w:oddHBand="1" w:evenHBand="0" w:firstRowFirstColumn="0" w:firstRowLastColumn="0" w:lastRowFirstColumn="0" w:lastRowLastColumn="0"/>
            </w:pPr>
            <w:r>
              <w:t>What are your views</w:t>
            </w:r>
            <w:r w:rsidR="00530B8A">
              <w:t xml:space="preserve"> on the practical aspects of proposed changes to reporting requirements, including </w:t>
            </w:r>
            <w:r w:rsidR="00530B8A" w:rsidRPr="00AB3FC9">
              <w:t>what would be an appropriate transition period to enable you to implement these changes</w:t>
            </w:r>
            <w:r w:rsidR="00F66952">
              <w:t>?</w:t>
            </w:r>
          </w:p>
        </w:tc>
      </w:tr>
      <w:tr w:rsidR="00AA4CF7" w:rsidRPr="00790ECB" w14:paraId="19B0D9FA" w14:textId="77777777" w:rsidTr="006F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D8694A" w14:textId="18025D5B" w:rsidR="00AA4CF7" w:rsidRPr="00FF74B2" w:rsidRDefault="00AA4CF7" w:rsidP="00092CB1">
            <w:pPr>
              <w:pStyle w:val="TableHeading"/>
              <w:spacing w:before="0"/>
            </w:pPr>
            <w:r>
              <w:t>Chapter 4 – Consultation</w:t>
            </w:r>
          </w:p>
        </w:tc>
        <w:tc>
          <w:tcPr>
            <w:tcW w:w="6758" w:type="dxa"/>
            <w:shd w:val="clear" w:color="auto" w:fill="EAECEE" w:themeFill="accent4" w:themeFillTint="33"/>
          </w:tcPr>
          <w:p w14:paraId="574FDBC3" w14:textId="4A67360A" w:rsidR="00D147A2" w:rsidRDefault="00C642AF" w:rsidP="00D147A2">
            <w:pPr>
              <w:pStyle w:val="ListBullet"/>
              <w:numPr>
                <w:ilvl w:val="0"/>
                <w:numId w:val="0"/>
              </w:numPr>
              <w:ind w:left="425" w:hanging="425"/>
              <w:cnfStyle w:val="000000010000" w:firstRow="0" w:lastRow="0" w:firstColumn="0" w:lastColumn="0" w:oddVBand="0" w:evenVBand="0" w:oddHBand="0" w:evenHBand="1" w:firstRowFirstColumn="0" w:firstRowLastColumn="0" w:lastRowFirstColumn="0" w:lastRowLastColumn="0"/>
            </w:pPr>
            <w:r>
              <w:t>4a</w:t>
            </w:r>
            <w:r w:rsidR="000875E3">
              <w:t xml:space="preserve">   </w:t>
            </w:r>
            <w:r w:rsidR="00F66952">
              <w:t>What is</w:t>
            </w:r>
            <w:r w:rsidR="000875E3" w:rsidRPr="00530B8A">
              <w:t xml:space="preserve"> the quantitative impact of APRA’s proposal for the introduction of a minimum capital requirement</w:t>
            </w:r>
            <w:r w:rsidR="00F66952">
              <w:t>?</w:t>
            </w:r>
          </w:p>
          <w:p w14:paraId="4F820C2D" w14:textId="56FCB97F" w:rsidR="00D147A2" w:rsidRDefault="00C642AF" w:rsidP="00D147A2">
            <w:pPr>
              <w:pStyle w:val="ListBullet"/>
              <w:numPr>
                <w:ilvl w:val="0"/>
                <w:numId w:val="0"/>
              </w:numPr>
              <w:ind w:left="425" w:hanging="425"/>
              <w:cnfStyle w:val="000000010000" w:firstRow="0" w:lastRow="0" w:firstColumn="0" w:lastColumn="0" w:oddVBand="0" w:evenVBand="0" w:oddHBand="0" w:evenHBand="1" w:firstRowFirstColumn="0" w:firstRowLastColumn="0" w:lastRowFirstColumn="0" w:lastRowLastColumn="0"/>
              <w:rPr>
                <w:color w:val="auto"/>
              </w:rPr>
            </w:pPr>
            <w:r>
              <w:t>4</w:t>
            </w:r>
            <w:r w:rsidR="0047297E">
              <w:t>b</w:t>
            </w:r>
            <w:r w:rsidR="00D147A2">
              <w:t xml:space="preserve">   What is the indicative </w:t>
            </w:r>
            <w:r w:rsidR="00D147A2" w:rsidRPr="004F443D">
              <w:rPr>
                <w:color w:val="auto"/>
              </w:rPr>
              <w:t xml:space="preserve">quantitative impact </w:t>
            </w:r>
            <w:r w:rsidR="00295C3A">
              <w:t xml:space="preserve">on an insurer’s current capital base </w:t>
            </w:r>
            <w:r w:rsidR="00D147A2">
              <w:rPr>
                <w:color w:val="auto"/>
              </w:rPr>
              <w:t xml:space="preserve">of </w:t>
            </w:r>
            <w:r w:rsidR="00D147A2" w:rsidRPr="004F443D">
              <w:rPr>
                <w:color w:val="auto"/>
              </w:rPr>
              <w:t xml:space="preserve">applying </w:t>
            </w:r>
            <w:r w:rsidR="00295C3A">
              <w:rPr>
                <w:color w:val="auto"/>
              </w:rPr>
              <w:t>each of the</w:t>
            </w:r>
            <w:r w:rsidR="00295C3A" w:rsidRPr="004F443D">
              <w:rPr>
                <w:color w:val="auto"/>
              </w:rPr>
              <w:t xml:space="preserve"> </w:t>
            </w:r>
            <w:r w:rsidR="00D147A2" w:rsidRPr="004F443D">
              <w:rPr>
                <w:color w:val="auto"/>
              </w:rPr>
              <w:t xml:space="preserve">regulatory adjustments </w:t>
            </w:r>
            <w:r w:rsidR="00295C3A">
              <w:rPr>
                <w:color w:val="auto"/>
              </w:rPr>
              <w:t xml:space="preserve">specified in GPS 112 </w:t>
            </w:r>
            <w:r w:rsidR="00291E14">
              <w:rPr>
                <w:color w:val="auto"/>
              </w:rPr>
              <w:t xml:space="preserve">to </w:t>
            </w:r>
            <w:r w:rsidR="00D147A2" w:rsidRPr="004F443D">
              <w:rPr>
                <w:color w:val="auto"/>
              </w:rPr>
              <w:t xml:space="preserve">determine </w:t>
            </w:r>
            <w:r w:rsidR="00D147A2">
              <w:rPr>
                <w:color w:val="auto"/>
              </w:rPr>
              <w:t xml:space="preserve">an insurers </w:t>
            </w:r>
            <w:r w:rsidR="00D147A2" w:rsidRPr="004F443D">
              <w:rPr>
                <w:color w:val="auto"/>
              </w:rPr>
              <w:t>regulatory capital base</w:t>
            </w:r>
            <w:r w:rsidR="00D147A2">
              <w:rPr>
                <w:color w:val="auto"/>
              </w:rPr>
              <w:t>?</w:t>
            </w:r>
          </w:p>
          <w:p w14:paraId="6D4C0D8D" w14:textId="2AF56064" w:rsidR="00D147A2" w:rsidRPr="000875E3" w:rsidRDefault="00D147A2" w:rsidP="00295C3A">
            <w:pPr>
              <w:pStyle w:val="ListBullet"/>
              <w:numPr>
                <w:ilvl w:val="0"/>
                <w:numId w:val="0"/>
              </w:numPr>
              <w:ind w:left="425" w:hanging="425"/>
              <w:cnfStyle w:val="000000010000" w:firstRow="0" w:lastRow="0" w:firstColumn="0" w:lastColumn="0" w:oddVBand="0" w:evenVBand="0" w:oddHBand="0" w:evenHBand="1" w:firstRowFirstColumn="0" w:firstRowLastColumn="0" w:lastRowFirstColumn="0" w:lastRowLastColumn="0"/>
            </w:pPr>
            <w:r>
              <w:rPr>
                <w:color w:val="auto"/>
              </w:rPr>
              <w:t>4</w:t>
            </w:r>
            <w:r w:rsidR="0047297E">
              <w:rPr>
                <w:color w:val="auto"/>
              </w:rPr>
              <w:t>c</w:t>
            </w:r>
            <w:r>
              <w:rPr>
                <w:color w:val="auto"/>
              </w:rPr>
              <w:t xml:space="preserve">   What is the quantitative impact of </w:t>
            </w:r>
            <w:r w:rsidR="00295C3A">
              <w:rPr>
                <w:color w:val="auto"/>
              </w:rPr>
              <w:t xml:space="preserve">on an insurer’s capital adequacy requirement of </w:t>
            </w:r>
            <w:r>
              <w:rPr>
                <w:color w:val="auto"/>
              </w:rPr>
              <w:t xml:space="preserve">calculating </w:t>
            </w:r>
            <w:r w:rsidR="00295C3A">
              <w:rPr>
                <w:color w:val="auto"/>
              </w:rPr>
              <w:t xml:space="preserve">HPS 110 on the basis of </w:t>
            </w:r>
            <w:r w:rsidRPr="004F443D">
              <w:rPr>
                <w:color w:val="auto"/>
              </w:rPr>
              <w:t>a 99.5 per cen</w:t>
            </w:r>
            <w:r>
              <w:rPr>
                <w:color w:val="auto"/>
              </w:rPr>
              <w:t>t probability of sufficiency</w:t>
            </w:r>
            <w:r w:rsidR="00711E22">
              <w:rPr>
                <w:color w:val="auto"/>
              </w:rPr>
              <w:t>?</w:t>
            </w:r>
          </w:p>
        </w:tc>
      </w:tr>
    </w:tbl>
    <w:p w14:paraId="47649FB7" w14:textId="4B19FB74" w:rsidR="00BC28E6" w:rsidRDefault="00BC28E6" w:rsidP="00E9672D">
      <w:pPr>
        <w:numPr>
          <w:ilvl w:val="0"/>
          <w:numId w:val="0"/>
        </w:numPr>
        <w:rPr>
          <w:rFonts w:eastAsia="Calibri" w:cs="Arial"/>
          <w:color w:val="auto"/>
        </w:rPr>
      </w:pPr>
    </w:p>
    <w:p w14:paraId="179D5B0D" w14:textId="77777777" w:rsidR="00DD14EA" w:rsidRDefault="00DD14EA" w:rsidP="00DD14EA">
      <w:pPr>
        <w:numPr>
          <w:ilvl w:val="0"/>
          <w:numId w:val="0"/>
        </w:numPr>
      </w:pPr>
    </w:p>
    <w:p w14:paraId="0ABAC77C" w14:textId="77777777" w:rsidR="00DD14EA" w:rsidRDefault="00DD14EA" w:rsidP="00DD14EA">
      <w:pPr>
        <w:numPr>
          <w:ilvl w:val="0"/>
          <w:numId w:val="0"/>
        </w:numPr>
      </w:pPr>
    </w:p>
    <w:p w14:paraId="3A8397A5" w14:textId="77777777" w:rsidR="00DD14EA" w:rsidRDefault="00DD14EA" w:rsidP="00DD14EA">
      <w:pPr>
        <w:numPr>
          <w:ilvl w:val="0"/>
          <w:numId w:val="0"/>
        </w:numPr>
        <w:sectPr w:rsidR="00DD14EA" w:rsidSect="00AD7CB0">
          <w:footerReference w:type="default" r:id="rId33"/>
          <w:headerReference w:type="first" r:id="rId34"/>
          <w:pgSz w:w="11906" w:h="16838" w:code="9"/>
          <w:pgMar w:top="1440" w:right="1440" w:bottom="1440" w:left="1440" w:header="567" w:footer="567" w:gutter="0"/>
          <w:pgNumType w:start="1"/>
          <w:cols w:space="708"/>
          <w:titlePg/>
          <w:docGrid w:linePitch="360"/>
        </w:sectPr>
      </w:pPr>
    </w:p>
    <w:p w14:paraId="655D663D" w14:textId="77777777" w:rsidR="00DD14EA" w:rsidRDefault="00DD14EA" w:rsidP="00DD14EA"/>
    <w:p w14:paraId="4B280F12" w14:textId="77777777" w:rsidR="00DD14EA" w:rsidRPr="00F366D7" w:rsidRDefault="00DD14EA" w:rsidP="00DD14EA"/>
    <w:p w14:paraId="5AD7085E" w14:textId="77777777" w:rsidR="00DD14EA" w:rsidRPr="00F366D7" w:rsidRDefault="00DD14EA" w:rsidP="00DD14EA"/>
    <w:p w14:paraId="0668EE65" w14:textId="77777777" w:rsidR="00DD14EA" w:rsidRPr="00F366D7" w:rsidRDefault="00DD14EA" w:rsidP="00DD14EA"/>
    <w:p w14:paraId="028E4FEB" w14:textId="77777777" w:rsidR="00DD14EA" w:rsidRPr="00F366D7" w:rsidRDefault="00DD14EA" w:rsidP="00DD14EA"/>
    <w:p w14:paraId="289C98D4" w14:textId="77777777" w:rsidR="00DD14EA" w:rsidRPr="00F366D7" w:rsidRDefault="00DD14EA" w:rsidP="00DD14EA"/>
    <w:p w14:paraId="1A9FC82C" w14:textId="77777777" w:rsidR="00DD14EA" w:rsidRPr="00F366D7" w:rsidRDefault="00DD14EA" w:rsidP="00DD14EA"/>
    <w:p w14:paraId="7ECF1194" w14:textId="77777777" w:rsidR="00DD14EA" w:rsidRPr="00F366D7" w:rsidRDefault="00DD14EA" w:rsidP="00DD14EA"/>
    <w:p w14:paraId="68E2538C" w14:textId="77777777" w:rsidR="00DD14EA" w:rsidRPr="00F366D7" w:rsidRDefault="00DD14EA" w:rsidP="00DD14EA"/>
    <w:p w14:paraId="4DAC1A91" w14:textId="77777777" w:rsidR="00DD14EA" w:rsidRPr="00F366D7" w:rsidRDefault="00DD14EA" w:rsidP="00DD14EA"/>
    <w:p w14:paraId="5E841E6A" w14:textId="77777777" w:rsidR="00DD14EA" w:rsidRPr="00F366D7" w:rsidRDefault="00DD14EA" w:rsidP="00DD14EA"/>
    <w:p w14:paraId="0D8FBE60" w14:textId="77777777" w:rsidR="00DD14EA" w:rsidRPr="00F366D7" w:rsidRDefault="00DD14EA" w:rsidP="00DD14EA"/>
    <w:p w14:paraId="5E8711A2" w14:textId="77777777" w:rsidR="00DD14EA" w:rsidRDefault="00DD14EA" w:rsidP="00DD14EA"/>
    <w:p w14:paraId="7EBC6CDB" w14:textId="77777777" w:rsidR="00DD14EA" w:rsidRPr="00F366D7" w:rsidRDefault="00DD14EA" w:rsidP="00DD14EA"/>
    <w:p w14:paraId="73F4DAFE" w14:textId="77777777" w:rsidR="003A473C" w:rsidRPr="003A473C" w:rsidRDefault="003A473C" w:rsidP="00691276"/>
    <w:sectPr w:rsidR="003A473C" w:rsidRPr="003A473C" w:rsidSect="00AD7CB0">
      <w:headerReference w:type="first" r:id="rId35"/>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4A003" w14:textId="77777777" w:rsidR="00521088" w:rsidRPr="000D4EDE" w:rsidRDefault="00521088" w:rsidP="000D4EDE">
      <w:r>
        <w:separator/>
      </w:r>
    </w:p>
  </w:endnote>
  <w:endnote w:type="continuationSeparator" w:id="0">
    <w:p w14:paraId="0F6706E1" w14:textId="77777777" w:rsidR="00521088" w:rsidRPr="000D4EDE" w:rsidRDefault="00521088" w:rsidP="000D4EDE">
      <w:r>
        <w:continuationSeparator/>
      </w:r>
    </w:p>
  </w:endnote>
  <w:endnote w:type="continuationNotice" w:id="1">
    <w:p w14:paraId="017E9523" w14:textId="77777777" w:rsidR="00521088" w:rsidRDefault="005210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T">
    <w:panose1 w:val="020B0504020201010104"/>
    <w:charset w:val="00"/>
    <w:family w:val="swiss"/>
    <w:pitch w:val="variable"/>
    <w:sig w:usb0="800000EF" w:usb1="4000A47B" w:usb2="00000000" w:usb3="00000000" w:csb0="00000001" w:csb1="00000000"/>
  </w:font>
  <w:font w:name="Cordia New">
    <w:altName w:val="Leelawadee UI"/>
    <w:panose1 w:val="020B0304020202020204"/>
    <w:charset w:val="DE"/>
    <w:family w:val="roman"/>
    <w:notTrueType/>
    <w:pitch w:val="variable"/>
    <w:sig w:usb0="01000000" w:usb1="00000000" w:usb2="00000000" w:usb3="00000000" w:csb0="00010000" w:csb1="00000000"/>
  </w:font>
  <w:font w:name="DIN OT Light">
    <w:panose1 w:val="020B0504020201010104"/>
    <w:charset w:val="00"/>
    <w:family w:val="swiss"/>
    <w:pitch w:val="variable"/>
    <w:sig w:usb0="800000EF" w:usb1="4000A47B" w:usb2="00000000" w:usb3="00000000" w:csb0="00000001" w:csb1="00000000"/>
  </w:font>
  <w:font w:name="DIN OT Medium">
    <w:panose1 w:val="020B0604020201010104"/>
    <w:charset w:val="00"/>
    <w:family w:val="swiss"/>
    <w:pitch w:val="variable"/>
    <w:sig w:usb0="800000EF" w:usb1="4000A47B" w:usb2="00000000" w:usb3="00000000" w:csb0="00000001" w:csb1="00000000"/>
  </w:font>
  <w:font w:name="DIN Offc Medium">
    <w:altName w:val="Calibri"/>
    <w:charset w:val="00"/>
    <w:family w:val="swiss"/>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oday SB">
    <w:altName w:val="Today S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1B2D" w14:textId="77777777" w:rsidR="00DD14EA" w:rsidRDefault="00DD14EA" w:rsidP="002A641A">
    <w:pPr>
      <w:pStyle w:val="Footer"/>
    </w:pPr>
    <w:r w:rsidRPr="002A641A">
      <w:ptab w:relativeTo="margin" w:alignment="left" w:leader="none"/>
    </w:r>
    <w:r w:rsidRPr="00BB2437">
      <w:t xml:space="preserve">AUSTRALIAN PRUDENTIAL REGULATION AUTHORITY </w:t>
    </w:r>
    <w:r>
      <w:ptab w:relativeTo="margin" w:alignment="right" w:leader="none"/>
    </w:r>
    <w:r>
      <w:fldChar w:fldCharType="begin"/>
    </w:r>
    <w:r>
      <w:instrText xml:space="preserve"> PAGE  \* Arabic  \* MERGEFORMAT </w:instrText>
    </w:r>
    <w:r>
      <w:fldChar w:fldCharType="separate"/>
    </w:r>
    <w:r>
      <w:rPr>
        <w:noProof/>
      </w:rPr>
      <w:t>2</w:t>
    </w:r>
    <w:r>
      <w:fldChar w:fldCharType="end"/>
    </w:r>
  </w:p>
  <w:p w14:paraId="7B844C82" w14:textId="77777777" w:rsidR="00DD14EA" w:rsidRDefault="00DD14EA" w:rsidP="00553DCD">
    <w:pPr>
      <w:numPr>
        <w:ilvl w:val="0"/>
        <w:numId w:val="0"/>
      </w:numPr>
    </w:pPr>
    <w:r>
      <w:rPr>
        <w:noProof/>
        <w:lang w:eastAsia="en-AU"/>
      </w:rPr>
      <mc:AlternateContent>
        <mc:Choice Requires="wpg">
          <w:drawing>
            <wp:anchor distT="0" distB="0" distL="114300" distR="114300" simplePos="0" relativeHeight="251660288" behindDoc="0" locked="0" layoutInCell="1" allowOverlap="1" wp14:anchorId="5FD2314D" wp14:editId="1DBA5228">
              <wp:simplePos x="0" y="0"/>
              <wp:positionH relativeFrom="column">
                <wp:posOffset>-914400</wp:posOffset>
              </wp:positionH>
              <wp:positionV relativeFrom="paragraph">
                <wp:posOffset>419735</wp:posOffset>
              </wp:positionV>
              <wp:extent cx="15120000" cy="277200"/>
              <wp:effectExtent l="0" t="0" r="5715" b="8890"/>
              <wp:wrapNone/>
              <wp:docPr id="9" name="Group 9" descr="Footer Banner" title="Footer Banner"/>
              <wp:cNvGraphicFramePr/>
              <a:graphic xmlns:a="http://schemas.openxmlformats.org/drawingml/2006/main">
                <a:graphicData uri="http://schemas.microsoft.com/office/word/2010/wordprocessingGroup">
                  <wpg:wgp>
                    <wpg:cNvGrpSpPr/>
                    <wpg:grpSpPr>
                      <a:xfrm>
                        <a:off x="0" y="0"/>
                        <a:ext cx="15120000" cy="277200"/>
                        <a:chOff x="0" y="0"/>
                        <a:chExt cx="15120000" cy="277200"/>
                      </a:xfrm>
                    </wpg:grpSpPr>
                    <wps:wsp>
                      <wps:cNvPr id="10" name="Rectangle 10" descr="Footer Banner" title="Footer Banner"/>
                      <wps:cNvSpPr/>
                      <wps:spPr>
                        <a:xfrm>
                          <a:off x="0" y="0"/>
                          <a:ext cx="15120000" cy="277200"/>
                        </a:xfrm>
                        <a:prstGeom prst="rect">
                          <a:avLst/>
                        </a:prstGeom>
                        <a:solidFill>
                          <a:srgbClr val="00A9E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descr="Footer Banner" title="Footer Banner"/>
                      <wps:cNvSpPr/>
                      <wps:spPr>
                        <a:xfrm>
                          <a:off x="914400" y="0"/>
                          <a:ext cx="2732400" cy="277200"/>
                        </a:xfrm>
                        <a:prstGeom prst="rect">
                          <a:avLst/>
                        </a:prstGeom>
                        <a:solidFill>
                          <a:srgbClr val="0121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A9A5C1" id="Group 9" o:spid="_x0000_s1026" alt="Title: Footer Banner - Description: Footer Banner" style="position:absolute;margin-left:-1in;margin-top:33.05pt;width:1190.55pt;height:21.85pt;z-index:251660288" coordsize="151200,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">
              <v:rect id="Rectangle 10" o:spid="_x0000_s1027" alt="Footer Banner" style="position:absolute;width:15120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" fillcolor="#00a9e0" stroked="f" strokeweight="2pt"/>
              <v:rect id="Rectangle 13" o:spid="_x0000_s1028" alt="Footer Banner" style="position:absolute;left:9144;width:27324;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" fillcolor="#012169"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D0AF5" w14:textId="77777777" w:rsidR="00521088" w:rsidRPr="000D4EDE" w:rsidRDefault="00521088" w:rsidP="000D4EDE">
      <w:r>
        <w:separator/>
      </w:r>
    </w:p>
  </w:footnote>
  <w:footnote w:type="continuationSeparator" w:id="0">
    <w:p w14:paraId="614A489B" w14:textId="77777777" w:rsidR="00521088" w:rsidRPr="000D4EDE" w:rsidRDefault="00521088" w:rsidP="000D4EDE">
      <w:r>
        <w:continuationSeparator/>
      </w:r>
    </w:p>
  </w:footnote>
  <w:footnote w:type="continuationNotice" w:id="1">
    <w:p w14:paraId="497CF77A" w14:textId="77777777" w:rsidR="00521088" w:rsidRDefault="00521088">
      <w:pPr>
        <w:spacing w:after="0"/>
      </w:pPr>
    </w:p>
  </w:footnote>
  <w:footnote w:id="2">
    <w:p w14:paraId="6DDE3909" w14:textId="77777777" w:rsidR="00521088" w:rsidRDefault="00521088" w:rsidP="004A2124">
      <w:pPr>
        <w:pStyle w:val="FootnoteText"/>
      </w:pPr>
      <w:r>
        <w:rPr>
          <w:rStyle w:val="FootnoteReference"/>
        </w:rPr>
        <w:footnoteRef/>
      </w:r>
      <w:r>
        <w:t xml:space="preserve"> </w:t>
      </w:r>
      <w:r w:rsidRPr="00D979D4">
        <w:t>Letter: Roadmap for APRA's review of the private health insurance capital framework, available at:</w:t>
      </w:r>
      <w:r>
        <w:t xml:space="preserve"> </w:t>
      </w:r>
      <w:hyperlink r:id="rId1" w:history="1">
        <w:r w:rsidRPr="00D20B86">
          <w:rPr>
            <w:rStyle w:val="Hyperlink"/>
          </w:rPr>
          <w:t>https://www.apra.gov.au/sites/default/files/phi_capital_roadmap_letter.pdf</w:t>
        </w:r>
      </w:hyperlink>
      <w:r>
        <w:t xml:space="preserve"> </w:t>
      </w:r>
    </w:p>
  </w:footnote>
  <w:footnote w:id="3">
    <w:p w14:paraId="013EFE71" w14:textId="525D938F" w:rsidR="00521088" w:rsidRPr="00FD7C10" w:rsidRDefault="00521088" w:rsidP="004A2124">
      <w:pPr>
        <w:pStyle w:val="FootnoteText"/>
      </w:pPr>
      <w:r w:rsidRPr="00FD7C10">
        <w:rPr>
          <w:rStyle w:val="FootnoteReference"/>
        </w:rPr>
        <w:footnoteRef/>
      </w:r>
      <w:r w:rsidRPr="00FD7C10">
        <w:t xml:space="preserve"> </w:t>
      </w:r>
      <w:r w:rsidRPr="00FD7C10">
        <w:rPr>
          <w:rStyle w:val="document-linklabel"/>
        </w:rPr>
        <w:t>Letter: Information request and consultation on directions for integration of AASB</w:t>
      </w:r>
      <w:r>
        <w:rPr>
          <w:rStyle w:val="document-linklabel"/>
        </w:rPr>
        <w:t> </w:t>
      </w:r>
      <w:r w:rsidRPr="00FD7C10">
        <w:rPr>
          <w:rStyle w:val="document-linklabel"/>
        </w:rPr>
        <w:t>17 insurance contracts into the capital and reporting framework for insurers</w:t>
      </w:r>
      <w:r w:rsidRPr="00FD7C10">
        <w:rPr>
          <w:shd w:val="clear" w:color="auto" w:fill="FFFFFF"/>
        </w:rPr>
        <w:t xml:space="preserve">, available at: </w:t>
      </w:r>
      <w:hyperlink r:id="rId2" w:history="1">
        <w:r w:rsidRPr="00930B67">
          <w:rPr>
            <w:rStyle w:val="Hyperlink"/>
            <w:shd w:val="clear" w:color="auto" w:fill="FFFFFF"/>
          </w:rPr>
          <w:t>https://www.apra.gov.au/new-accounting-standard-–-aasb-17-insurance-contracts</w:t>
        </w:r>
      </w:hyperlink>
      <w:r>
        <w:rPr>
          <w:shd w:val="clear" w:color="auto" w:fill="FFFFFF"/>
        </w:rPr>
        <w:t xml:space="preserve"> </w:t>
      </w:r>
    </w:p>
  </w:footnote>
  <w:footnote w:id="4">
    <w:p w14:paraId="041A8563" w14:textId="77777777" w:rsidR="00521088" w:rsidRPr="0064451B" w:rsidRDefault="00521088" w:rsidP="00DB5711">
      <w:pPr>
        <w:pStyle w:val="FootnoteText"/>
      </w:pPr>
      <w:r w:rsidRPr="0064451B">
        <w:rPr>
          <w:rStyle w:val="FootnoteReference"/>
        </w:rPr>
        <w:footnoteRef/>
      </w:r>
      <w:r w:rsidRPr="0064451B">
        <w:t xml:space="preserve"> </w:t>
      </w:r>
      <w:r>
        <w:t xml:space="preserve">  Letter: </w:t>
      </w:r>
      <w:r w:rsidRPr="0064451B">
        <w:t>Private Health Insurance (PHI) Prudential Policy Outlook August 2016</w:t>
      </w:r>
      <w:r>
        <w:t>,</w:t>
      </w:r>
      <w:r w:rsidRPr="0064451B">
        <w:t xml:space="preserve"> available at: </w:t>
      </w:r>
      <w:hyperlink r:id="rId3" w:history="1">
        <w:r w:rsidRPr="009D1E1B">
          <w:rPr>
            <w:rStyle w:val="Hyperlink"/>
          </w:rPr>
          <w:t>https://www.apra.gov.au/private-health-insurance-prudential-policy-outlook</w:t>
        </w:r>
      </w:hyperlink>
    </w:p>
  </w:footnote>
  <w:footnote w:id="5">
    <w:p w14:paraId="087BD87F" w14:textId="77777777" w:rsidR="00521088" w:rsidRPr="00491CC2" w:rsidRDefault="00521088" w:rsidP="00DB5711">
      <w:pPr>
        <w:pStyle w:val="FootnoteText"/>
      </w:pPr>
      <w:r w:rsidRPr="00491CC2">
        <w:rPr>
          <w:rStyle w:val="FootnoteReference"/>
        </w:rPr>
        <w:footnoteRef/>
      </w:r>
      <w:r>
        <w:t xml:space="preserve">   Letter: </w:t>
      </w:r>
      <w:r w:rsidRPr="00491CC2">
        <w:t xml:space="preserve">Roadmap for APRA’s review of the private health insurance capital framework, available at: </w:t>
      </w:r>
      <w:hyperlink r:id="rId4" w:history="1">
        <w:r w:rsidRPr="009D1E1B">
          <w:rPr>
            <w:rStyle w:val="Hyperlink"/>
          </w:rPr>
          <w:t>https://www.apra.gov.au/review-private-health-insurance-capital-framework</w:t>
        </w:r>
      </w:hyperlink>
    </w:p>
  </w:footnote>
  <w:footnote w:id="6">
    <w:p w14:paraId="122D3617" w14:textId="77777777" w:rsidR="00521088" w:rsidRDefault="00521088" w:rsidP="00DB5711">
      <w:pPr>
        <w:pStyle w:val="FootnoteText"/>
      </w:pPr>
      <w:r>
        <w:rPr>
          <w:rStyle w:val="FootnoteReference"/>
        </w:rPr>
        <w:footnoteRef/>
      </w:r>
      <w:r>
        <w:t xml:space="preserve">  The health benefits fund is established in the private health insurer for the purposes of operating health insurance business and, where relevant, health-related business in accordance with the </w:t>
      </w:r>
      <w:r w:rsidRPr="00D94B66">
        <w:rPr>
          <w:i/>
        </w:rPr>
        <w:t>Private Health Insurance Act 2007</w:t>
      </w:r>
      <w:r>
        <w:t>. An insurer may have more than one health benefits fund, but must keep the assets of each fund separate from assets of other health benefits funds or assets of the insurer.</w:t>
      </w:r>
    </w:p>
  </w:footnote>
  <w:footnote w:id="7">
    <w:p w14:paraId="6B80BB70" w14:textId="77777777" w:rsidR="00521088" w:rsidRDefault="00521088" w:rsidP="00DB5711">
      <w:pPr>
        <w:pStyle w:val="FootnoteText"/>
      </w:pPr>
      <w:r>
        <w:rPr>
          <w:rStyle w:val="FootnoteReference"/>
        </w:rPr>
        <w:footnoteRef/>
      </w:r>
      <w:r>
        <w:t xml:space="preserve">   Outlined in the Explanatory Statement to the Private Health Insurance (Health Benefit Fund Administration) Amendment Rule 2013 (No 1), available at: </w:t>
      </w:r>
      <w:hyperlink r:id="rId5" w:history="1">
        <w:r w:rsidRPr="00FE413F">
          <w:rPr>
            <w:rStyle w:val="Hyperlink"/>
          </w:rPr>
          <w:t>https://www.legislation.gov.au/Details/F2013L01684/Download</w:t>
        </w:r>
      </w:hyperlink>
    </w:p>
  </w:footnote>
  <w:footnote w:id="8">
    <w:p w14:paraId="44A3A289" w14:textId="77777777" w:rsidR="00521088" w:rsidRPr="00690D89" w:rsidRDefault="00521088" w:rsidP="00DB5711">
      <w:pPr>
        <w:pStyle w:val="FootnoteText"/>
      </w:pPr>
      <w:r w:rsidRPr="00F030F7">
        <w:rPr>
          <w:rStyle w:val="FootnoteReference"/>
        </w:rPr>
        <w:footnoteRef/>
      </w:r>
      <w:r w:rsidRPr="00F030F7">
        <w:t xml:space="preserve"> </w:t>
      </w:r>
      <w:r>
        <w:t xml:space="preserve">  </w:t>
      </w:r>
      <w:r w:rsidRPr="00690D89">
        <w:rPr>
          <w:bCs/>
        </w:rPr>
        <w:t>Letter: Roadmap for APRA's review of the private health insurance capital framework</w:t>
      </w:r>
      <w:r w:rsidRPr="00690D89">
        <w:t>,</w:t>
      </w:r>
      <w:r>
        <w:t xml:space="preserve"> available at: </w:t>
      </w:r>
      <w:hyperlink r:id="rId6" w:history="1">
        <w:r w:rsidRPr="00930B67">
          <w:rPr>
            <w:rStyle w:val="Hyperlink"/>
          </w:rPr>
          <w:t>https://www.apra.gov.au/sites/default/files/phi_capital_roadmap_letter.pdf</w:t>
        </w:r>
      </w:hyperlink>
      <w:r>
        <w:t xml:space="preserve"> </w:t>
      </w:r>
    </w:p>
  </w:footnote>
  <w:footnote w:id="9">
    <w:p w14:paraId="549F3C82" w14:textId="411432A0" w:rsidR="00521088" w:rsidRDefault="00521088" w:rsidP="00DB5711">
      <w:pPr>
        <w:pStyle w:val="FootnoteText"/>
      </w:pPr>
      <w:r>
        <w:rPr>
          <w:rStyle w:val="FootnoteReference"/>
        </w:rPr>
        <w:footnoteRef/>
      </w:r>
      <w:r>
        <w:t xml:space="preserve"> Includes only the </w:t>
      </w:r>
      <w:r w:rsidRPr="00B15C30">
        <w:t>top 25 insurers</w:t>
      </w:r>
      <w:r>
        <w:t xml:space="preserve"> by the number of members. The remaining 12 insurers have a total of 155,503 members.</w:t>
      </w:r>
    </w:p>
  </w:footnote>
  <w:footnote w:id="10">
    <w:p w14:paraId="7BE11FCA" w14:textId="77777777" w:rsidR="00521088" w:rsidRPr="00351B50" w:rsidRDefault="00521088" w:rsidP="00DB5711">
      <w:pPr>
        <w:pStyle w:val="FootnoteText"/>
      </w:pPr>
      <w:r w:rsidRPr="00351B50">
        <w:rPr>
          <w:rStyle w:val="FootnoteReference"/>
        </w:rPr>
        <w:footnoteRef/>
      </w:r>
      <w:r w:rsidRPr="00351B50">
        <w:t xml:space="preserve"> To ensure alignment with Parliament’s original intention, APRA adopts the common usage of this term (for example, as found in the Commonwealth Competitive Neutrality Policy Statement).</w:t>
      </w:r>
    </w:p>
  </w:footnote>
  <w:footnote w:id="11">
    <w:p w14:paraId="068D7D0D" w14:textId="77777777" w:rsidR="00521088" w:rsidRDefault="00521088" w:rsidP="00DB5711">
      <w:pPr>
        <w:pStyle w:val="FootnoteText"/>
      </w:pPr>
      <w:r>
        <w:rPr>
          <w:rStyle w:val="FootnoteReference"/>
        </w:rPr>
        <w:footnoteRef/>
      </w:r>
      <w:r w:rsidRPr="00491CC2">
        <w:t xml:space="preserve">  Letter: Roadmap for APRA’s review of the private health insurance capital framework, available at: </w:t>
      </w:r>
      <w:hyperlink r:id="rId7" w:history="1">
        <w:r w:rsidRPr="009D1E1B">
          <w:rPr>
            <w:rStyle w:val="Hyperlink"/>
          </w:rPr>
          <w:t>https://www.apra.gov.au/review-private-health-insurance-capital-framework</w:t>
        </w:r>
      </w:hyperlink>
    </w:p>
  </w:footnote>
  <w:footnote w:id="12">
    <w:p w14:paraId="7ECCD9AB" w14:textId="77777777" w:rsidR="00521088" w:rsidRPr="007F7F2E" w:rsidRDefault="00521088" w:rsidP="00DD25AD">
      <w:pPr>
        <w:pStyle w:val="FootnoteText"/>
      </w:pPr>
      <w:r w:rsidRPr="007F7F2E">
        <w:rPr>
          <w:rStyle w:val="FootnoteReference"/>
        </w:rPr>
        <w:footnoteRef/>
      </w:r>
      <w:r w:rsidRPr="007F7F2E">
        <w:t xml:space="preserve"> Detail on the aggregation benefit formula that applies to general insurers is provided in </w:t>
      </w:r>
      <w:r w:rsidRPr="007F7F2E">
        <w:rPr>
          <w:i/>
        </w:rPr>
        <w:t>Prudential Standard GPS 110 Capital Adequacy</w:t>
      </w:r>
      <w:r w:rsidRPr="007F7F2E">
        <w:t xml:space="preserve"> available at: </w:t>
      </w:r>
      <w:hyperlink r:id="rId8" w:history="1">
        <w:r w:rsidRPr="007B63D3">
          <w:rPr>
            <w:rStyle w:val="Hyperlink"/>
          </w:rPr>
          <w:t>https://www.legislation.gov.au/Details/F2019L00869</w:t>
        </w:r>
      </w:hyperlink>
      <w:r>
        <w:t xml:space="preserve">, </w:t>
      </w:r>
      <w:r w:rsidRPr="007F7F2E">
        <w:t xml:space="preserve">while the aggregation benefit formula that applies to life insurers is provided in </w:t>
      </w:r>
      <w:r w:rsidRPr="007F7F2E">
        <w:rPr>
          <w:i/>
        </w:rPr>
        <w:t xml:space="preserve">Prudential Standard LPS 110 Capital Adequacy </w:t>
      </w:r>
      <w:r w:rsidRPr="007F7F2E">
        <w:t xml:space="preserve">available at: </w:t>
      </w:r>
      <w:hyperlink r:id="rId9" w:history="1">
        <w:r w:rsidRPr="007B63D3">
          <w:rPr>
            <w:rStyle w:val="Hyperlink"/>
          </w:rPr>
          <w:t>https://www.legislation.gov.au/Details/F2012L02460</w:t>
        </w:r>
      </w:hyperlink>
      <w:r>
        <w:t xml:space="preserve"> </w:t>
      </w:r>
    </w:p>
  </w:footnote>
  <w:footnote w:id="13">
    <w:p w14:paraId="13C782F7" w14:textId="77777777" w:rsidR="00521088" w:rsidRPr="003E4BF3" w:rsidRDefault="00521088" w:rsidP="00DD25AD">
      <w:pPr>
        <w:pStyle w:val="FootnoteText"/>
      </w:pPr>
      <w:r w:rsidRPr="003E4BF3">
        <w:rPr>
          <w:rStyle w:val="FootnoteReference"/>
        </w:rPr>
        <w:footnoteRef/>
      </w:r>
      <w:r w:rsidRPr="003E4BF3">
        <w:t xml:space="preserve"> </w:t>
      </w:r>
      <w:r>
        <w:t xml:space="preserve"> Available at </w:t>
      </w:r>
      <w:hyperlink r:id="rId10" w:history="1">
        <w:r w:rsidRPr="009009E4">
          <w:rPr>
            <w:rStyle w:val="Hyperlink"/>
          </w:rPr>
          <w:t>https://www.apra.gov.au/sites/default/files/CPG-110-ICAAP-and-Supervisory-Review-March-2013_3.pdf</w:t>
        </w:r>
      </w:hyperlink>
      <w:r>
        <w:t xml:space="preserve"> </w:t>
      </w:r>
    </w:p>
  </w:footnote>
  <w:footnote w:id="14">
    <w:p w14:paraId="67F7EB5C" w14:textId="77777777" w:rsidR="00521088" w:rsidRDefault="00521088" w:rsidP="00DD25AD">
      <w:pPr>
        <w:pStyle w:val="FootnoteText"/>
      </w:pPr>
      <w:r>
        <w:rPr>
          <w:rStyle w:val="FootnoteReference"/>
        </w:rPr>
        <w:footnoteRef/>
      </w:r>
      <w:r>
        <w:t xml:space="preserve"> APRA is currently reviewing its supervisory model, as flagged under APRA’s 2018-2022 Corporate Plan, and expects to publish a revised PAIRS and SOARS model by </w:t>
      </w:r>
      <w:r w:rsidRPr="00FB75CB">
        <w:t>mid-2020</w:t>
      </w:r>
      <w:r>
        <w:t>. APRA proposes that the revised supervisory model will apply to the PHI industry.</w:t>
      </w:r>
    </w:p>
  </w:footnote>
  <w:footnote w:id="15">
    <w:p w14:paraId="2D0D1A04" w14:textId="4E8CCC7B" w:rsidR="00521088" w:rsidRPr="00BE401A" w:rsidRDefault="00521088" w:rsidP="00DD25AD">
      <w:pPr>
        <w:pStyle w:val="FootnoteText"/>
        <w:rPr>
          <w:shd w:val="clear" w:color="auto" w:fill="FFFFFF"/>
        </w:rPr>
      </w:pPr>
      <w:r w:rsidRPr="00BE401A">
        <w:rPr>
          <w:rStyle w:val="FootnoteReference"/>
        </w:rPr>
        <w:footnoteRef/>
      </w:r>
      <w:r w:rsidRPr="00BE401A">
        <w:t xml:space="preserve"> </w:t>
      </w:r>
      <w:r>
        <w:t>Refer to</w:t>
      </w:r>
      <w:r w:rsidRPr="00BE401A">
        <w:t xml:space="preserve"> </w:t>
      </w:r>
      <w:r w:rsidRPr="00944923">
        <w:rPr>
          <w:i/>
          <w:shd w:val="clear" w:color="auto" w:fill="FFFFFF"/>
        </w:rPr>
        <w:t>Prudential Standard APS 110 Capital Adequacy</w:t>
      </w:r>
      <w:r>
        <w:rPr>
          <w:shd w:val="clear" w:color="auto" w:fill="FFFFFF"/>
        </w:rPr>
        <w:t xml:space="preserve">, </w:t>
      </w:r>
      <w:r w:rsidRPr="00944923">
        <w:rPr>
          <w:i/>
          <w:shd w:val="clear" w:color="auto" w:fill="FFFFFF"/>
        </w:rPr>
        <w:t>Prudential Standard LPS 110 Capital Adequacy</w:t>
      </w:r>
      <w:r>
        <w:rPr>
          <w:shd w:val="clear" w:color="auto" w:fill="FFFFFF"/>
        </w:rPr>
        <w:t xml:space="preserve"> and </w:t>
      </w:r>
      <w:r w:rsidRPr="00944923">
        <w:rPr>
          <w:i/>
          <w:shd w:val="clear" w:color="auto" w:fill="FFFFFF"/>
        </w:rPr>
        <w:t>Prudential Standard GPS 110 Capital Adequacy</w:t>
      </w:r>
      <w:r>
        <w:rPr>
          <w:shd w:val="clear" w:color="auto" w:fill="FFFFFF"/>
        </w:rPr>
        <w:t xml:space="preserve"> for further information. </w:t>
      </w:r>
    </w:p>
  </w:footnote>
  <w:footnote w:id="16">
    <w:p w14:paraId="6AABCD03" w14:textId="77777777" w:rsidR="00521088" w:rsidRPr="003E4BF3" w:rsidRDefault="00521088" w:rsidP="00DD25AD">
      <w:pPr>
        <w:pStyle w:val="FootnoteText"/>
      </w:pPr>
      <w:r w:rsidRPr="003E4BF3">
        <w:rPr>
          <w:rStyle w:val="FootnoteReference"/>
        </w:rPr>
        <w:footnoteRef/>
      </w:r>
      <w:r w:rsidRPr="003E4BF3">
        <w:t xml:space="preserve"> </w:t>
      </w:r>
      <w:r>
        <w:t xml:space="preserve"> </w:t>
      </w:r>
      <w:r w:rsidRPr="003E4BF3">
        <w:t xml:space="preserve">Available at: </w:t>
      </w:r>
      <w:hyperlink r:id="rId11" w:history="1">
        <w:r w:rsidRPr="009009E4">
          <w:rPr>
            <w:rStyle w:val="Hyperlink"/>
          </w:rPr>
          <w:t>https://www.apra.gov.au/sites/default/files/CPG-110-ICAAP-and-Supervisory-Review-March-2013_3.pdf</w:t>
        </w:r>
      </w:hyperlink>
      <w:r>
        <w:t xml:space="preserve"> </w:t>
      </w:r>
    </w:p>
  </w:footnote>
  <w:footnote w:id="17">
    <w:p w14:paraId="23F01827" w14:textId="77777777" w:rsidR="00521088" w:rsidRPr="00A04D36" w:rsidRDefault="00521088" w:rsidP="00962A5A">
      <w:pPr>
        <w:pStyle w:val="FootnoteText"/>
      </w:pPr>
      <w:r w:rsidRPr="00A04D36">
        <w:rPr>
          <w:rStyle w:val="FootnoteReference"/>
        </w:rPr>
        <w:footnoteRef/>
      </w:r>
      <w:r w:rsidRPr="00A04D36">
        <w:t xml:space="preserve"> Further information on APRA’s published implementation plan for its new Data Collection Solution is available at: </w:t>
      </w:r>
      <w:hyperlink r:id="rId12" w:history="1">
        <w:r w:rsidRPr="00AF7052">
          <w:rPr>
            <w:rStyle w:val="Hyperlink"/>
          </w:rPr>
          <w:t>https://www.apra.gov.au/data-collection-solution-communications-and-past-updates</w:t>
        </w:r>
      </w:hyperlink>
      <w:r>
        <w:rPr>
          <w:rStyle w:val="Hyperlink"/>
          <w:color w:val="000000"/>
        </w:rPr>
        <w:t xml:space="preserve"> </w:t>
      </w:r>
    </w:p>
  </w:footnote>
  <w:footnote w:id="18">
    <w:p w14:paraId="4CDB5E2B" w14:textId="77777777" w:rsidR="00521088" w:rsidRDefault="00521088" w:rsidP="00962A5A">
      <w:pPr>
        <w:pStyle w:val="FootnoteText"/>
      </w:pPr>
      <w:r>
        <w:rPr>
          <w:rStyle w:val="FootnoteReference"/>
        </w:rPr>
        <w:footnoteRef/>
      </w:r>
      <w:r>
        <w:t xml:space="preserve"> Detail of APRA’s indicative timelines are in APRA’s Letter: </w:t>
      </w:r>
      <w:r w:rsidRPr="00B20F72">
        <w:t>Inform</w:t>
      </w:r>
      <w:r>
        <w:t>ation Request and Consultation o</w:t>
      </w:r>
      <w:r w:rsidRPr="00B20F72">
        <w:t>n Di</w:t>
      </w:r>
      <w:r>
        <w:t>rections for Integration of AASB 17 Insurance Contracts i</w:t>
      </w:r>
      <w:r w:rsidRPr="00B20F72">
        <w:t xml:space="preserve">nto </w:t>
      </w:r>
      <w:r>
        <w:t>t</w:t>
      </w:r>
      <w:r w:rsidRPr="00B20F72">
        <w:t>he C</w:t>
      </w:r>
      <w:r>
        <w:t>apital And Reporting Framework f</w:t>
      </w:r>
      <w:r w:rsidRPr="00B20F72">
        <w:t>or Insurers</w:t>
      </w:r>
      <w:r>
        <w:t xml:space="preserve">, available at: </w:t>
      </w:r>
      <w:hyperlink r:id="rId13" w:history="1">
        <w:r w:rsidRPr="008D0E41">
          <w:rPr>
            <w:rStyle w:val="Hyperlink"/>
          </w:rPr>
          <w:t>https://www.apra.gov.au/new-accounting-standard-–-aasb-17-insurance-contracts</w:t>
        </w:r>
      </w:hyperlink>
    </w:p>
  </w:footnote>
  <w:footnote w:id="19">
    <w:p w14:paraId="16B874D6" w14:textId="77777777" w:rsidR="00521088" w:rsidRPr="00FD7C10" w:rsidRDefault="00521088" w:rsidP="00962A5A">
      <w:pPr>
        <w:pStyle w:val="FootnoteText"/>
      </w:pPr>
      <w:r w:rsidRPr="00FD7C10">
        <w:rPr>
          <w:rStyle w:val="FootnoteReference"/>
        </w:rPr>
        <w:footnoteRef/>
      </w:r>
      <w:r w:rsidRPr="00FD7C10">
        <w:t xml:space="preserve"> </w:t>
      </w:r>
      <w:r w:rsidRPr="00FD7C10">
        <w:rPr>
          <w:rStyle w:val="document-linklabel"/>
        </w:rPr>
        <w:t>Letter: Information request and consultation on directions for integration of AASB 17 insurance contracts into the capital and reporting framework for insurers</w:t>
      </w:r>
      <w:r w:rsidRPr="00FD7C10">
        <w:rPr>
          <w:shd w:val="clear" w:color="auto" w:fill="FFFFFF"/>
        </w:rPr>
        <w:t xml:space="preserve">, available at: </w:t>
      </w:r>
      <w:hyperlink r:id="rId14" w:history="1">
        <w:r w:rsidRPr="00930B67">
          <w:rPr>
            <w:rStyle w:val="Hyperlink"/>
            <w:shd w:val="clear" w:color="auto" w:fill="FFFFFF"/>
          </w:rPr>
          <w:t>https://www.apra.gov.au/new-accounting-standard-–-aasb-17-insurance-contracts</w:t>
        </w:r>
      </w:hyperlink>
      <w:r>
        <w:rPr>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C0A3" w14:textId="77777777" w:rsidR="00DD14EA" w:rsidRDefault="00DD14EA">
    <w:pPr>
      <w:pStyle w:val="Header"/>
    </w:pPr>
    <w:r>
      <w:rPr>
        <w:noProof/>
        <w:lang w:eastAsia="en-AU"/>
      </w:rPr>
      <w:drawing>
        <wp:anchor distT="0" distB="0" distL="114300" distR="114300" simplePos="0" relativeHeight="251661312" behindDoc="1" locked="0" layoutInCell="1" allowOverlap="1" wp14:anchorId="0FEE93B0" wp14:editId="4EA48188">
          <wp:simplePos x="0" y="0"/>
          <wp:positionH relativeFrom="page">
            <wp:posOffset>0</wp:posOffset>
          </wp:positionH>
          <wp:positionV relativeFrom="page">
            <wp:posOffset>4763</wp:posOffset>
          </wp:positionV>
          <wp:extent cx="7560000" cy="10685124"/>
          <wp:effectExtent l="0" t="0" r="3175"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2FC6" w14:textId="77777777" w:rsidR="00521088" w:rsidRDefault="00521088">
    <w:pPr>
      <w:pStyle w:val="Header"/>
    </w:pPr>
    <w:r>
      <w:rPr>
        <w:noProof/>
        <w:lang w:eastAsia="en-AU"/>
      </w:rPr>
      <w:drawing>
        <wp:anchor distT="0" distB="0" distL="114300" distR="114300" simplePos="0" relativeHeight="251658240" behindDoc="1" locked="0" layoutInCell="1" allowOverlap="1" wp14:anchorId="1C29A887" wp14:editId="3448FBEE">
          <wp:simplePos x="0" y="0"/>
          <wp:positionH relativeFrom="page">
            <wp:align>left</wp:align>
          </wp:positionH>
          <wp:positionV relativeFrom="page">
            <wp:align>top</wp:align>
          </wp:positionV>
          <wp:extent cx="7560000" cy="10698352"/>
          <wp:effectExtent l="0" t="0" r="3175" b="825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7CD473A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844A4"/>
    <w:multiLevelType w:val="hybridMultilevel"/>
    <w:tmpl w:val="015C654C"/>
    <w:lvl w:ilvl="0" w:tplc="9D5A2BE2">
      <w:start w:val="1"/>
      <w:numFmt w:val="decimal"/>
      <w:pStyle w:val="Figurenumbered"/>
      <w:lvlText w:val="Figure %1."/>
      <w:lvlJc w:val="left"/>
      <w:pPr>
        <w:ind w:left="786"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94D013A"/>
    <w:multiLevelType w:val="multilevel"/>
    <w:tmpl w:val="BED8FB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AE53F4"/>
    <w:multiLevelType w:val="multilevel"/>
    <w:tmpl w:val="73EC9368"/>
    <w:lvl w:ilvl="0">
      <w:start w:val="1"/>
      <w:numFmt w:val="decimal"/>
      <w:pStyle w:val="ListNumber"/>
      <w:lvlText w:val="%1."/>
      <w:lvlJc w:val="left"/>
      <w:pPr>
        <w:tabs>
          <w:tab w:val="num" w:pos="851"/>
        </w:tabs>
        <w:ind w:left="851" w:hanging="851"/>
      </w:pPr>
      <w:rPr>
        <w:rFonts w:hint="default"/>
        <w:spacing w:val="0"/>
      </w:rPr>
    </w:lvl>
    <w:lvl w:ilvl="1">
      <w:start w:val="1"/>
      <w:numFmt w:val="decimal"/>
      <w:pStyle w:val="ListNumber2"/>
      <w:lvlText w:val="%1.%2."/>
      <w:lvlJc w:val="left"/>
      <w:pPr>
        <w:tabs>
          <w:tab w:val="num" w:pos="1701"/>
        </w:tabs>
        <w:ind w:left="1701" w:hanging="850"/>
      </w:pPr>
      <w:rPr>
        <w:rFonts w:hint="default"/>
        <w:spacing w:val="0"/>
      </w:rPr>
    </w:lvl>
    <w:lvl w:ilvl="2">
      <w:start w:val="1"/>
      <w:numFmt w:val="decimal"/>
      <w:pStyle w:val="ListNumber3"/>
      <w:lvlText w:val="%1.%2.%3."/>
      <w:lvlJc w:val="left"/>
      <w:pPr>
        <w:tabs>
          <w:tab w:val="num" w:pos="2552"/>
        </w:tabs>
        <w:ind w:left="2552" w:hanging="851"/>
      </w:pPr>
      <w:rPr>
        <w:rFonts w:hint="default"/>
        <w:spacing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8" w15:restartNumberingAfterBreak="0">
    <w:nsid w:val="40FE1B54"/>
    <w:multiLevelType w:val="multilevel"/>
    <w:tmpl w:val="D09441D2"/>
    <w:lvl w:ilvl="0">
      <w:start w:val="1"/>
      <w:numFmt w:val="decimal"/>
      <w:pStyle w:val="Heading1Numbers"/>
      <w:suff w:val="nothing"/>
      <w:lvlText w:val="Chapter %1 -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s"/>
      <w:lvlText w:val="%1.%2"/>
      <w:lvlJc w:val="left"/>
      <w:pPr>
        <w:tabs>
          <w:tab w:val="num" w:pos="5813"/>
        </w:tabs>
        <w:ind w:left="5813" w:hanging="851"/>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s"/>
      <w:lvlText w:val="%1.%2.%3"/>
      <w:lvlJc w:val="left"/>
      <w:pPr>
        <w:tabs>
          <w:tab w:val="num" w:pos="1276"/>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540E5588"/>
    <w:multiLevelType w:val="multilevel"/>
    <w:tmpl w:val="060A2B94"/>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5D526774"/>
    <w:multiLevelType w:val="multilevel"/>
    <w:tmpl w:val="7CC65220"/>
    <w:lvl w:ilvl="0">
      <w:start w:val="1"/>
      <w:numFmt w:val="upperLetter"/>
      <w:pStyle w:val="AttachmentHeading"/>
      <w:suff w:val="space"/>
      <w:lvlText w:val="Attachmen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5E4C441D"/>
    <w:multiLevelType w:val="hybridMultilevel"/>
    <w:tmpl w:val="3B221308"/>
    <w:lvl w:ilvl="0" w:tplc="B9129F8C">
      <w:start w:val="1"/>
      <w:numFmt w:val="bullet"/>
      <w:lvlText w:val=""/>
      <w:lvlJc w:val="left"/>
      <w:pPr>
        <w:tabs>
          <w:tab w:val="num" w:pos="454"/>
        </w:tabs>
        <w:ind w:left="454" w:hanging="454"/>
      </w:pPr>
      <w:rPr>
        <w:rFonts w:ascii="Symbol" w:hAnsi="Symbol" w:hint="default"/>
      </w:rPr>
    </w:lvl>
    <w:lvl w:ilvl="1" w:tplc="F5126D84">
      <w:start w:val="1"/>
      <w:numFmt w:val="bullet"/>
      <w:lvlText w:val="-"/>
      <w:lvlJc w:val="left"/>
      <w:pPr>
        <w:tabs>
          <w:tab w:val="num" w:pos="853"/>
        </w:tabs>
        <w:ind w:left="853" w:hanging="340"/>
      </w:pPr>
      <w:rPr>
        <w:rFonts w:ascii="Times New Roman" w:hAnsi="Times New Roman" w:cs="Times New Roman"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cs="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cs="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69B17A3F"/>
    <w:multiLevelType w:val="multilevel"/>
    <w:tmpl w:val="4218048E"/>
    <w:lvl w:ilvl="0">
      <w:start w:val="1"/>
      <w:numFmt w:val="none"/>
      <w:pStyle w:val="Normal"/>
      <w:suff w:val="nothing"/>
      <w:lvlText w:val=""/>
      <w:lvlJc w:val="left"/>
      <w:pPr>
        <w:ind w:left="0" w:firstLine="0"/>
      </w:pPr>
      <w:rPr>
        <w:rFonts w:hint="default"/>
      </w:rPr>
    </w:lvl>
    <w:lvl w:ilvl="1">
      <w:start w:val="1"/>
      <w:numFmt w:val="decimal"/>
      <w:pStyle w:val="List"/>
      <w:lvlText w:val="%2."/>
      <w:lvlJc w:val="left"/>
      <w:pPr>
        <w:tabs>
          <w:tab w:val="num" w:pos="425"/>
        </w:tabs>
        <w:ind w:left="425" w:hanging="425"/>
      </w:pPr>
      <w:rPr>
        <w:rFonts w:hint="default"/>
      </w:rPr>
    </w:lvl>
    <w:lvl w:ilvl="2">
      <w:start w:val="1"/>
      <w:numFmt w:val="lowerLetter"/>
      <w:pStyle w:val="List2"/>
      <w:lvlText w:val="%3)"/>
      <w:lvlJc w:val="left"/>
      <w:pPr>
        <w:tabs>
          <w:tab w:val="num" w:pos="851"/>
        </w:tabs>
        <w:ind w:left="851" w:hanging="426"/>
      </w:pPr>
      <w:rPr>
        <w:rFonts w:hint="default"/>
      </w:rPr>
    </w:lvl>
    <w:lvl w:ilvl="3">
      <w:start w:val="1"/>
      <w:numFmt w:val="lowerRoman"/>
      <w:pStyle w:val="List3"/>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70776594"/>
    <w:multiLevelType w:val="multilevel"/>
    <w:tmpl w:val="6B24E690"/>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786D3F55"/>
    <w:multiLevelType w:val="multilevel"/>
    <w:tmpl w:val="B8D07316"/>
    <w:lvl w:ilvl="0">
      <w:start w:val="2"/>
      <w:numFmt w:val="decimal"/>
      <w:lvlText w:val="%1"/>
      <w:lvlJc w:val="left"/>
      <w:pPr>
        <w:ind w:left="360" w:hanging="360"/>
      </w:pPr>
      <w:rPr>
        <w:rFonts w:hint="default"/>
      </w:rPr>
    </w:lvl>
    <w:lvl w:ilvl="1">
      <w:start w:val="1"/>
      <w:numFmt w:val="none"/>
      <w:lvlText w:val="2.e"/>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4"/>
  </w:num>
  <w:num w:numId="4">
    <w:abstractNumId w:val="12"/>
  </w:num>
  <w:num w:numId="5">
    <w:abstractNumId w:val="8"/>
  </w:num>
  <w:num w:numId="6">
    <w:abstractNumId w:val="7"/>
  </w:num>
  <w:num w:numId="7">
    <w:abstractNumId w:val="6"/>
  </w:num>
  <w:num w:numId="8">
    <w:abstractNumId w:val="10"/>
  </w:num>
  <w:num w:numId="9">
    <w:abstractNumId w:val="3"/>
  </w:num>
  <w:num w:numId="10">
    <w:abstractNumId w:val="1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a"/>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3">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b"/>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4">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c"/>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5">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d"/>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6">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e"/>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7">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f"/>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8">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g"/>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9">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h"/>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0">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i"/>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1">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j"/>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2">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k"/>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3">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l"/>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4">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m"/>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5">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n"/>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o"/>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14"/>
    <w:lvlOverride w:ilvl="0">
      <w:lvl w:ilvl="0">
        <w:start w:val="2"/>
        <w:numFmt w:val="decimal"/>
        <w:lvlText w:val="%1"/>
        <w:lvlJc w:val="left"/>
        <w:pPr>
          <w:ind w:left="360" w:hanging="360"/>
        </w:pPr>
        <w:rPr>
          <w:rFonts w:hint="default"/>
        </w:rPr>
      </w:lvl>
    </w:lvlOverride>
    <w:lvlOverride w:ilvl="1">
      <w:lvl w:ilvl="1">
        <w:start w:val="1"/>
        <w:numFmt w:val="none"/>
        <w:lvlText w:val="2p"/>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8">
    <w:abstractNumId w:val="5"/>
    <w:lvlOverride w:ilvl="0">
      <w:lvl w:ilvl="0">
        <w:start w:val="3"/>
        <w:numFmt w:val="decimal"/>
        <w:lvlText w:val="%1"/>
        <w:lvlJc w:val="left"/>
        <w:pPr>
          <w:ind w:left="360" w:hanging="360"/>
        </w:pPr>
        <w:rPr>
          <w:rFonts w:hint="default"/>
        </w:rPr>
      </w:lvl>
    </w:lvlOverride>
    <w:lvlOverride w:ilvl="1">
      <w:lvl w:ilvl="1">
        <w:start w:val="1"/>
        <w:numFmt w:val="none"/>
        <w:lvlText w:val="3a"/>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9">
    <w:abstractNumId w:val="11"/>
  </w:num>
  <w:num w:numId="30">
    <w:abstractNumId w:val="2"/>
  </w:num>
  <w:num w:numId="31">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proofState w:spelling="clean" w:grammar="clean"/>
  <w:stylePaneSortMethod w:val="0004"/>
  <w:documentProtection w:formatting="1" w:enforcement="0"/>
  <w:styleLockTheme/>
  <w:styleLockQFSet/>
  <w:defaultTabStop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40"/>
    <w:rsid w:val="00004BBD"/>
    <w:rsid w:val="00005D98"/>
    <w:rsid w:val="00007262"/>
    <w:rsid w:val="000106C1"/>
    <w:rsid w:val="00011C96"/>
    <w:rsid w:val="0001306B"/>
    <w:rsid w:val="000141B9"/>
    <w:rsid w:val="00014DB5"/>
    <w:rsid w:val="00020F5B"/>
    <w:rsid w:val="00034A19"/>
    <w:rsid w:val="00036462"/>
    <w:rsid w:val="00036F9E"/>
    <w:rsid w:val="00040F1E"/>
    <w:rsid w:val="000413B3"/>
    <w:rsid w:val="000424FD"/>
    <w:rsid w:val="00053BBA"/>
    <w:rsid w:val="000573E5"/>
    <w:rsid w:val="00057B71"/>
    <w:rsid w:val="00060AD6"/>
    <w:rsid w:val="00071C61"/>
    <w:rsid w:val="0007202C"/>
    <w:rsid w:val="00072B30"/>
    <w:rsid w:val="0007319C"/>
    <w:rsid w:val="000732AA"/>
    <w:rsid w:val="000767DD"/>
    <w:rsid w:val="0008011A"/>
    <w:rsid w:val="000838AA"/>
    <w:rsid w:val="000843AF"/>
    <w:rsid w:val="00084D2B"/>
    <w:rsid w:val="00084F8B"/>
    <w:rsid w:val="000851D0"/>
    <w:rsid w:val="0008689D"/>
    <w:rsid w:val="00086D07"/>
    <w:rsid w:val="00086F71"/>
    <w:rsid w:val="000875E3"/>
    <w:rsid w:val="00090930"/>
    <w:rsid w:val="00091977"/>
    <w:rsid w:val="00092CB1"/>
    <w:rsid w:val="00093915"/>
    <w:rsid w:val="000949AD"/>
    <w:rsid w:val="00095109"/>
    <w:rsid w:val="00096B0F"/>
    <w:rsid w:val="000A425F"/>
    <w:rsid w:val="000A490E"/>
    <w:rsid w:val="000B04C5"/>
    <w:rsid w:val="000B0E15"/>
    <w:rsid w:val="000B63CA"/>
    <w:rsid w:val="000B74CA"/>
    <w:rsid w:val="000B752A"/>
    <w:rsid w:val="000C14D9"/>
    <w:rsid w:val="000C15C7"/>
    <w:rsid w:val="000C3071"/>
    <w:rsid w:val="000D4E19"/>
    <w:rsid w:val="000D4EDE"/>
    <w:rsid w:val="000E2460"/>
    <w:rsid w:val="000E3427"/>
    <w:rsid w:val="000E43AC"/>
    <w:rsid w:val="000E54B4"/>
    <w:rsid w:val="000E6973"/>
    <w:rsid w:val="000E6E37"/>
    <w:rsid w:val="000F0E6F"/>
    <w:rsid w:val="000F58C6"/>
    <w:rsid w:val="0010067D"/>
    <w:rsid w:val="001018A5"/>
    <w:rsid w:val="001027F1"/>
    <w:rsid w:val="00106F56"/>
    <w:rsid w:val="00111489"/>
    <w:rsid w:val="00115A39"/>
    <w:rsid w:val="00116F22"/>
    <w:rsid w:val="00123576"/>
    <w:rsid w:val="001241CB"/>
    <w:rsid w:val="00124B21"/>
    <w:rsid w:val="00125196"/>
    <w:rsid w:val="001327B8"/>
    <w:rsid w:val="00132997"/>
    <w:rsid w:val="00133EF9"/>
    <w:rsid w:val="0013471B"/>
    <w:rsid w:val="001352D4"/>
    <w:rsid w:val="00137B6C"/>
    <w:rsid w:val="00142689"/>
    <w:rsid w:val="00144295"/>
    <w:rsid w:val="001454B4"/>
    <w:rsid w:val="00151D78"/>
    <w:rsid w:val="00157C98"/>
    <w:rsid w:val="001609A8"/>
    <w:rsid w:val="0016272E"/>
    <w:rsid w:val="001653B6"/>
    <w:rsid w:val="00165BF6"/>
    <w:rsid w:val="001708CD"/>
    <w:rsid w:val="00174B0F"/>
    <w:rsid w:val="0018235E"/>
    <w:rsid w:val="00184187"/>
    <w:rsid w:val="0018481E"/>
    <w:rsid w:val="001A4EA4"/>
    <w:rsid w:val="001A664F"/>
    <w:rsid w:val="001A7BED"/>
    <w:rsid w:val="001B02B5"/>
    <w:rsid w:val="001B2DB7"/>
    <w:rsid w:val="001B32AE"/>
    <w:rsid w:val="001B3A9F"/>
    <w:rsid w:val="001B4A90"/>
    <w:rsid w:val="001B7817"/>
    <w:rsid w:val="001D0C02"/>
    <w:rsid w:val="001D26DF"/>
    <w:rsid w:val="001D3D43"/>
    <w:rsid w:val="001E0F51"/>
    <w:rsid w:val="001E306B"/>
    <w:rsid w:val="001E55BF"/>
    <w:rsid w:val="001E7AF4"/>
    <w:rsid w:val="001F6E1A"/>
    <w:rsid w:val="001F780A"/>
    <w:rsid w:val="001F7917"/>
    <w:rsid w:val="00200613"/>
    <w:rsid w:val="002035B2"/>
    <w:rsid w:val="0021262F"/>
    <w:rsid w:val="00214883"/>
    <w:rsid w:val="0021701A"/>
    <w:rsid w:val="00217E47"/>
    <w:rsid w:val="00220550"/>
    <w:rsid w:val="002301A2"/>
    <w:rsid w:val="00231E61"/>
    <w:rsid w:val="00231EE0"/>
    <w:rsid w:val="00236C2D"/>
    <w:rsid w:val="002374B7"/>
    <w:rsid w:val="00240126"/>
    <w:rsid w:val="00241FCC"/>
    <w:rsid w:val="00242384"/>
    <w:rsid w:val="0024304D"/>
    <w:rsid w:val="002440D3"/>
    <w:rsid w:val="00244826"/>
    <w:rsid w:val="002475F3"/>
    <w:rsid w:val="00247ACA"/>
    <w:rsid w:val="00252E6A"/>
    <w:rsid w:val="00253A7C"/>
    <w:rsid w:val="00254E08"/>
    <w:rsid w:val="00255A20"/>
    <w:rsid w:val="00256B55"/>
    <w:rsid w:val="0025782A"/>
    <w:rsid w:val="00263414"/>
    <w:rsid w:val="00265CC1"/>
    <w:rsid w:val="002661A6"/>
    <w:rsid w:val="00266C23"/>
    <w:rsid w:val="002707DE"/>
    <w:rsid w:val="0027194D"/>
    <w:rsid w:val="0027257F"/>
    <w:rsid w:val="00277D6C"/>
    <w:rsid w:val="00281939"/>
    <w:rsid w:val="00282DBE"/>
    <w:rsid w:val="00283DF4"/>
    <w:rsid w:val="00286EAD"/>
    <w:rsid w:val="00291E14"/>
    <w:rsid w:val="0029389B"/>
    <w:rsid w:val="00294B81"/>
    <w:rsid w:val="00295C3A"/>
    <w:rsid w:val="002A11A7"/>
    <w:rsid w:val="002A1894"/>
    <w:rsid w:val="002A2188"/>
    <w:rsid w:val="002A36F2"/>
    <w:rsid w:val="002A641A"/>
    <w:rsid w:val="002A7C01"/>
    <w:rsid w:val="002A7D14"/>
    <w:rsid w:val="002B0913"/>
    <w:rsid w:val="002B1EEB"/>
    <w:rsid w:val="002B28E4"/>
    <w:rsid w:val="002B3C7D"/>
    <w:rsid w:val="002B4D52"/>
    <w:rsid w:val="002B7504"/>
    <w:rsid w:val="002B7AFB"/>
    <w:rsid w:val="002C0D97"/>
    <w:rsid w:val="002C25F8"/>
    <w:rsid w:val="002C66D1"/>
    <w:rsid w:val="002C7065"/>
    <w:rsid w:val="002C7F4A"/>
    <w:rsid w:val="002D227F"/>
    <w:rsid w:val="002D2804"/>
    <w:rsid w:val="002D4B6C"/>
    <w:rsid w:val="002D5274"/>
    <w:rsid w:val="002F0135"/>
    <w:rsid w:val="002F0C2C"/>
    <w:rsid w:val="002F17FA"/>
    <w:rsid w:val="002F2A27"/>
    <w:rsid w:val="002F2B45"/>
    <w:rsid w:val="002F77E2"/>
    <w:rsid w:val="00300655"/>
    <w:rsid w:val="00303687"/>
    <w:rsid w:val="00303D18"/>
    <w:rsid w:val="0030577A"/>
    <w:rsid w:val="00307267"/>
    <w:rsid w:val="00307ADD"/>
    <w:rsid w:val="00307E55"/>
    <w:rsid w:val="003100EF"/>
    <w:rsid w:val="00312A66"/>
    <w:rsid w:val="003130CA"/>
    <w:rsid w:val="00313219"/>
    <w:rsid w:val="00321582"/>
    <w:rsid w:val="0032180D"/>
    <w:rsid w:val="003241A7"/>
    <w:rsid w:val="00332909"/>
    <w:rsid w:val="00355D40"/>
    <w:rsid w:val="003562AF"/>
    <w:rsid w:val="00362355"/>
    <w:rsid w:val="00371AAC"/>
    <w:rsid w:val="00371F54"/>
    <w:rsid w:val="0037770C"/>
    <w:rsid w:val="00377C8B"/>
    <w:rsid w:val="00381E55"/>
    <w:rsid w:val="00383A95"/>
    <w:rsid w:val="00385CA0"/>
    <w:rsid w:val="00386B56"/>
    <w:rsid w:val="00392810"/>
    <w:rsid w:val="003A2733"/>
    <w:rsid w:val="003A3021"/>
    <w:rsid w:val="003A473C"/>
    <w:rsid w:val="003A627E"/>
    <w:rsid w:val="003A79EE"/>
    <w:rsid w:val="003B1086"/>
    <w:rsid w:val="003B51A4"/>
    <w:rsid w:val="003B6E16"/>
    <w:rsid w:val="003C180A"/>
    <w:rsid w:val="003C1E25"/>
    <w:rsid w:val="003C516B"/>
    <w:rsid w:val="003D243D"/>
    <w:rsid w:val="003D27CB"/>
    <w:rsid w:val="003D329D"/>
    <w:rsid w:val="003D5574"/>
    <w:rsid w:val="003E2C43"/>
    <w:rsid w:val="003E6BF6"/>
    <w:rsid w:val="003F0F0D"/>
    <w:rsid w:val="003F3A0D"/>
    <w:rsid w:val="0040173E"/>
    <w:rsid w:val="00413F96"/>
    <w:rsid w:val="00416812"/>
    <w:rsid w:val="00416F15"/>
    <w:rsid w:val="00431FCB"/>
    <w:rsid w:val="0043498B"/>
    <w:rsid w:val="00435281"/>
    <w:rsid w:val="00435288"/>
    <w:rsid w:val="00435339"/>
    <w:rsid w:val="00437ABB"/>
    <w:rsid w:val="004410DC"/>
    <w:rsid w:val="00443D94"/>
    <w:rsid w:val="0044447D"/>
    <w:rsid w:val="00450C67"/>
    <w:rsid w:val="00453810"/>
    <w:rsid w:val="00460CF7"/>
    <w:rsid w:val="00460E6B"/>
    <w:rsid w:val="00462A46"/>
    <w:rsid w:val="00463FA8"/>
    <w:rsid w:val="00466648"/>
    <w:rsid w:val="00467C2A"/>
    <w:rsid w:val="00470E21"/>
    <w:rsid w:val="004712AE"/>
    <w:rsid w:val="0047297E"/>
    <w:rsid w:val="00472CBC"/>
    <w:rsid w:val="00473851"/>
    <w:rsid w:val="004765B3"/>
    <w:rsid w:val="00477122"/>
    <w:rsid w:val="004845F4"/>
    <w:rsid w:val="00484BF5"/>
    <w:rsid w:val="00493DAA"/>
    <w:rsid w:val="00494335"/>
    <w:rsid w:val="00495A4C"/>
    <w:rsid w:val="004967A1"/>
    <w:rsid w:val="004A2124"/>
    <w:rsid w:val="004A334D"/>
    <w:rsid w:val="004A3B93"/>
    <w:rsid w:val="004B5827"/>
    <w:rsid w:val="004B584E"/>
    <w:rsid w:val="004C1106"/>
    <w:rsid w:val="004C6D4B"/>
    <w:rsid w:val="004C766B"/>
    <w:rsid w:val="004D33E3"/>
    <w:rsid w:val="004E2269"/>
    <w:rsid w:val="004E551C"/>
    <w:rsid w:val="004E7DAB"/>
    <w:rsid w:val="004F3339"/>
    <w:rsid w:val="004F35D2"/>
    <w:rsid w:val="004F52CB"/>
    <w:rsid w:val="004F72A2"/>
    <w:rsid w:val="00500E87"/>
    <w:rsid w:val="005026D4"/>
    <w:rsid w:val="00503A51"/>
    <w:rsid w:val="005059AD"/>
    <w:rsid w:val="00506774"/>
    <w:rsid w:val="005101A1"/>
    <w:rsid w:val="005113A6"/>
    <w:rsid w:val="00512309"/>
    <w:rsid w:val="00515B31"/>
    <w:rsid w:val="00521088"/>
    <w:rsid w:val="0052328F"/>
    <w:rsid w:val="00530B8A"/>
    <w:rsid w:val="00532B37"/>
    <w:rsid w:val="005333B4"/>
    <w:rsid w:val="00541D54"/>
    <w:rsid w:val="00542522"/>
    <w:rsid w:val="00544DB1"/>
    <w:rsid w:val="0054526E"/>
    <w:rsid w:val="00545CE1"/>
    <w:rsid w:val="005473A9"/>
    <w:rsid w:val="005476B5"/>
    <w:rsid w:val="0055170A"/>
    <w:rsid w:val="00552D1F"/>
    <w:rsid w:val="005549D7"/>
    <w:rsid w:val="005602DA"/>
    <w:rsid w:val="00562087"/>
    <w:rsid w:val="0056770E"/>
    <w:rsid w:val="005678FC"/>
    <w:rsid w:val="00571F92"/>
    <w:rsid w:val="0057322F"/>
    <w:rsid w:val="00573327"/>
    <w:rsid w:val="00573618"/>
    <w:rsid w:val="0058026A"/>
    <w:rsid w:val="00592F64"/>
    <w:rsid w:val="00594742"/>
    <w:rsid w:val="005971F3"/>
    <w:rsid w:val="005A2EB8"/>
    <w:rsid w:val="005A3F63"/>
    <w:rsid w:val="005A59D0"/>
    <w:rsid w:val="005B073E"/>
    <w:rsid w:val="005B227F"/>
    <w:rsid w:val="005B7801"/>
    <w:rsid w:val="005C5891"/>
    <w:rsid w:val="005D5FAE"/>
    <w:rsid w:val="005E0C27"/>
    <w:rsid w:val="005E4276"/>
    <w:rsid w:val="005E4BC9"/>
    <w:rsid w:val="005E572B"/>
    <w:rsid w:val="005E7358"/>
    <w:rsid w:val="005E7562"/>
    <w:rsid w:val="005F29B7"/>
    <w:rsid w:val="005F5882"/>
    <w:rsid w:val="00602D39"/>
    <w:rsid w:val="00605D68"/>
    <w:rsid w:val="00606EB5"/>
    <w:rsid w:val="00606FC8"/>
    <w:rsid w:val="006142D7"/>
    <w:rsid w:val="00616C90"/>
    <w:rsid w:val="00617492"/>
    <w:rsid w:val="00617FDA"/>
    <w:rsid w:val="0062116F"/>
    <w:rsid w:val="00623FD7"/>
    <w:rsid w:val="00626087"/>
    <w:rsid w:val="006269A8"/>
    <w:rsid w:val="00632C30"/>
    <w:rsid w:val="00634E4C"/>
    <w:rsid w:val="00636B8B"/>
    <w:rsid w:val="006379B5"/>
    <w:rsid w:val="00641EAA"/>
    <w:rsid w:val="006427FE"/>
    <w:rsid w:val="00646695"/>
    <w:rsid w:val="006506C1"/>
    <w:rsid w:val="00651840"/>
    <w:rsid w:val="0065747A"/>
    <w:rsid w:val="00662E28"/>
    <w:rsid w:val="0066321B"/>
    <w:rsid w:val="0066674D"/>
    <w:rsid w:val="00666A78"/>
    <w:rsid w:val="00675D20"/>
    <w:rsid w:val="00676C12"/>
    <w:rsid w:val="00685AEA"/>
    <w:rsid w:val="00691276"/>
    <w:rsid w:val="0069375D"/>
    <w:rsid w:val="0069407C"/>
    <w:rsid w:val="00694C76"/>
    <w:rsid w:val="0069574E"/>
    <w:rsid w:val="006969C0"/>
    <w:rsid w:val="006A1921"/>
    <w:rsid w:val="006A2303"/>
    <w:rsid w:val="006A6CE6"/>
    <w:rsid w:val="006B2F95"/>
    <w:rsid w:val="006C2E57"/>
    <w:rsid w:val="006C6C47"/>
    <w:rsid w:val="006D2A45"/>
    <w:rsid w:val="006D2FC6"/>
    <w:rsid w:val="006D71B8"/>
    <w:rsid w:val="006E0FD6"/>
    <w:rsid w:val="006E4272"/>
    <w:rsid w:val="006E61A9"/>
    <w:rsid w:val="006E6DCD"/>
    <w:rsid w:val="006F145A"/>
    <w:rsid w:val="006F27CB"/>
    <w:rsid w:val="006F359B"/>
    <w:rsid w:val="006F5865"/>
    <w:rsid w:val="006F6604"/>
    <w:rsid w:val="006F72F5"/>
    <w:rsid w:val="00701EC6"/>
    <w:rsid w:val="0070300F"/>
    <w:rsid w:val="007040EC"/>
    <w:rsid w:val="00706179"/>
    <w:rsid w:val="00711E22"/>
    <w:rsid w:val="00714F78"/>
    <w:rsid w:val="007152B0"/>
    <w:rsid w:val="007170F7"/>
    <w:rsid w:val="007206F8"/>
    <w:rsid w:val="00721FB8"/>
    <w:rsid w:val="00722837"/>
    <w:rsid w:val="00722CE9"/>
    <w:rsid w:val="00722F9F"/>
    <w:rsid w:val="007253B8"/>
    <w:rsid w:val="00734B7F"/>
    <w:rsid w:val="00736014"/>
    <w:rsid w:val="007368A7"/>
    <w:rsid w:val="00736E7D"/>
    <w:rsid w:val="00745B65"/>
    <w:rsid w:val="007509A6"/>
    <w:rsid w:val="00750FD0"/>
    <w:rsid w:val="00753F83"/>
    <w:rsid w:val="007541B0"/>
    <w:rsid w:val="0075469B"/>
    <w:rsid w:val="00755163"/>
    <w:rsid w:val="007568F8"/>
    <w:rsid w:val="00756AAB"/>
    <w:rsid w:val="00757099"/>
    <w:rsid w:val="00757F63"/>
    <w:rsid w:val="00761DE2"/>
    <w:rsid w:val="007645AE"/>
    <w:rsid w:val="00764992"/>
    <w:rsid w:val="007710A5"/>
    <w:rsid w:val="00775AA0"/>
    <w:rsid w:val="00776D97"/>
    <w:rsid w:val="00776EBD"/>
    <w:rsid w:val="007770FA"/>
    <w:rsid w:val="00785F09"/>
    <w:rsid w:val="00791738"/>
    <w:rsid w:val="00791780"/>
    <w:rsid w:val="007921D6"/>
    <w:rsid w:val="00792D37"/>
    <w:rsid w:val="007949CD"/>
    <w:rsid w:val="007A0EB7"/>
    <w:rsid w:val="007A1FD3"/>
    <w:rsid w:val="007A6C71"/>
    <w:rsid w:val="007B3902"/>
    <w:rsid w:val="007B6871"/>
    <w:rsid w:val="007C08B1"/>
    <w:rsid w:val="007C2CC2"/>
    <w:rsid w:val="007C38BD"/>
    <w:rsid w:val="007C79AA"/>
    <w:rsid w:val="007D31DA"/>
    <w:rsid w:val="007D72C5"/>
    <w:rsid w:val="007E525D"/>
    <w:rsid w:val="007E5D0C"/>
    <w:rsid w:val="007E7F27"/>
    <w:rsid w:val="007F0323"/>
    <w:rsid w:val="007F3059"/>
    <w:rsid w:val="007F379E"/>
    <w:rsid w:val="007F471C"/>
    <w:rsid w:val="008006E1"/>
    <w:rsid w:val="00800C90"/>
    <w:rsid w:val="00801DEF"/>
    <w:rsid w:val="00811155"/>
    <w:rsid w:val="008125F8"/>
    <w:rsid w:val="00827271"/>
    <w:rsid w:val="0083209B"/>
    <w:rsid w:val="00834CE0"/>
    <w:rsid w:val="0084110F"/>
    <w:rsid w:val="00843683"/>
    <w:rsid w:val="00844B1D"/>
    <w:rsid w:val="00844F5C"/>
    <w:rsid w:val="00845843"/>
    <w:rsid w:val="00846D34"/>
    <w:rsid w:val="00847884"/>
    <w:rsid w:val="00851E16"/>
    <w:rsid w:val="00852552"/>
    <w:rsid w:val="008539A5"/>
    <w:rsid w:val="008612C3"/>
    <w:rsid w:val="00863020"/>
    <w:rsid w:val="008637EC"/>
    <w:rsid w:val="00867B8C"/>
    <w:rsid w:val="00870BC6"/>
    <w:rsid w:val="00870C37"/>
    <w:rsid w:val="00874303"/>
    <w:rsid w:val="00874F8A"/>
    <w:rsid w:val="00875DAD"/>
    <w:rsid w:val="00876844"/>
    <w:rsid w:val="00876E7E"/>
    <w:rsid w:val="00877B84"/>
    <w:rsid w:val="0088036D"/>
    <w:rsid w:val="00881155"/>
    <w:rsid w:val="00881F97"/>
    <w:rsid w:val="00882892"/>
    <w:rsid w:val="00885A14"/>
    <w:rsid w:val="0088689B"/>
    <w:rsid w:val="00886CFE"/>
    <w:rsid w:val="00890FA0"/>
    <w:rsid w:val="00891641"/>
    <w:rsid w:val="008935C8"/>
    <w:rsid w:val="008947BF"/>
    <w:rsid w:val="0089674A"/>
    <w:rsid w:val="008A0CBE"/>
    <w:rsid w:val="008A1CA8"/>
    <w:rsid w:val="008A214D"/>
    <w:rsid w:val="008A3584"/>
    <w:rsid w:val="008A72D2"/>
    <w:rsid w:val="008A74A3"/>
    <w:rsid w:val="008B2BF9"/>
    <w:rsid w:val="008B39AF"/>
    <w:rsid w:val="008B6868"/>
    <w:rsid w:val="008B6D24"/>
    <w:rsid w:val="008C34F7"/>
    <w:rsid w:val="008C5D20"/>
    <w:rsid w:val="008C5D32"/>
    <w:rsid w:val="008C6A43"/>
    <w:rsid w:val="008D080C"/>
    <w:rsid w:val="008D0C97"/>
    <w:rsid w:val="008D5FD6"/>
    <w:rsid w:val="008D6437"/>
    <w:rsid w:val="008D6EDF"/>
    <w:rsid w:val="008E0F20"/>
    <w:rsid w:val="008E3EF5"/>
    <w:rsid w:val="008E62EB"/>
    <w:rsid w:val="008F33B5"/>
    <w:rsid w:val="008F3B15"/>
    <w:rsid w:val="00902603"/>
    <w:rsid w:val="00906799"/>
    <w:rsid w:val="00906842"/>
    <w:rsid w:val="009073E4"/>
    <w:rsid w:val="00907939"/>
    <w:rsid w:val="00916E52"/>
    <w:rsid w:val="00917AC5"/>
    <w:rsid w:val="00922193"/>
    <w:rsid w:val="00924152"/>
    <w:rsid w:val="00926072"/>
    <w:rsid w:val="009279A6"/>
    <w:rsid w:val="00931324"/>
    <w:rsid w:val="0093194D"/>
    <w:rsid w:val="00934C3F"/>
    <w:rsid w:val="009417AE"/>
    <w:rsid w:val="00945635"/>
    <w:rsid w:val="00945B3F"/>
    <w:rsid w:val="0095058A"/>
    <w:rsid w:val="00950DCB"/>
    <w:rsid w:val="00952D47"/>
    <w:rsid w:val="00952D4C"/>
    <w:rsid w:val="00953192"/>
    <w:rsid w:val="00960246"/>
    <w:rsid w:val="00962A5A"/>
    <w:rsid w:val="00962F4D"/>
    <w:rsid w:val="009649F0"/>
    <w:rsid w:val="00970AD5"/>
    <w:rsid w:val="009720E1"/>
    <w:rsid w:val="00973542"/>
    <w:rsid w:val="00974A0C"/>
    <w:rsid w:val="00974F0E"/>
    <w:rsid w:val="00975CD7"/>
    <w:rsid w:val="0098419A"/>
    <w:rsid w:val="009849DE"/>
    <w:rsid w:val="00985E70"/>
    <w:rsid w:val="0098783B"/>
    <w:rsid w:val="00990633"/>
    <w:rsid w:val="00992268"/>
    <w:rsid w:val="0099265F"/>
    <w:rsid w:val="00993C2B"/>
    <w:rsid w:val="00997591"/>
    <w:rsid w:val="009979F4"/>
    <w:rsid w:val="00997CC3"/>
    <w:rsid w:val="009A0C96"/>
    <w:rsid w:val="009A132E"/>
    <w:rsid w:val="009A45B2"/>
    <w:rsid w:val="009A5585"/>
    <w:rsid w:val="009A59D5"/>
    <w:rsid w:val="009B1062"/>
    <w:rsid w:val="009B2CB7"/>
    <w:rsid w:val="009B3C9A"/>
    <w:rsid w:val="009C0E68"/>
    <w:rsid w:val="009C26EA"/>
    <w:rsid w:val="009C6DBC"/>
    <w:rsid w:val="009D2DDD"/>
    <w:rsid w:val="009E0C10"/>
    <w:rsid w:val="009E4116"/>
    <w:rsid w:val="00A10DA6"/>
    <w:rsid w:val="00A151E9"/>
    <w:rsid w:val="00A15DBB"/>
    <w:rsid w:val="00A20C0D"/>
    <w:rsid w:val="00A21CAA"/>
    <w:rsid w:val="00A259F2"/>
    <w:rsid w:val="00A2758A"/>
    <w:rsid w:val="00A324EB"/>
    <w:rsid w:val="00A32B07"/>
    <w:rsid w:val="00A33802"/>
    <w:rsid w:val="00A37162"/>
    <w:rsid w:val="00A37E51"/>
    <w:rsid w:val="00A41FBD"/>
    <w:rsid w:val="00A50552"/>
    <w:rsid w:val="00A519AE"/>
    <w:rsid w:val="00A51E2D"/>
    <w:rsid w:val="00A529B8"/>
    <w:rsid w:val="00A5319F"/>
    <w:rsid w:val="00A53690"/>
    <w:rsid w:val="00A62D31"/>
    <w:rsid w:val="00A63380"/>
    <w:rsid w:val="00A65D12"/>
    <w:rsid w:val="00A7317D"/>
    <w:rsid w:val="00A80A71"/>
    <w:rsid w:val="00A8129D"/>
    <w:rsid w:val="00A82FA8"/>
    <w:rsid w:val="00A865C7"/>
    <w:rsid w:val="00A909CC"/>
    <w:rsid w:val="00A90D0E"/>
    <w:rsid w:val="00A91AF5"/>
    <w:rsid w:val="00A95E31"/>
    <w:rsid w:val="00A964A5"/>
    <w:rsid w:val="00A97E3B"/>
    <w:rsid w:val="00AA00CB"/>
    <w:rsid w:val="00AA20A1"/>
    <w:rsid w:val="00AA2AA8"/>
    <w:rsid w:val="00AA41F2"/>
    <w:rsid w:val="00AA4CF7"/>
    <w:rsid w:val="00AB039E"/>
    <w:rsid w:val="00AB4206"/>
    <w:rsid w:val="00AC1C12"/>
    <w:rsid w:val="00AC2B3D"/>
    <w:rsid w:val="00AC5914"/>
    <w:rsid w:val="00AC7E54"/>
    <w:rsid w:val="00AD1276"/>
    <w:rsid w:val="00AD393D"/>
    <w:rsid w:val="00AD7CB0"/>
    <w:rsid w:val="00AE1FD1"/>
    <w:rsid w:val="00AE6A4E"/>
    <w:rsid w:val="00AE6A71"/>
    <w:rsid w:val="00AE7B98"/>
    <w:rsid w:val="00AF129F"/>
    <w:rsid w:val="00AF1D22"/>
    <w:rsid w:val="00AF7152"/>
    <w:rsid w:val="00B12DC9"/>
    <w:rsid w:val="00B13F84"/>
    <w:rsid w:val="00B14604"/>
    <w:rsid w:val="00B15ABA"/>
    <w:rsid w:val="00B20DFD"/>
    <w:rsid w:val="00B23046"/>
    <w:rsid w:val="00B24DD4"/>
    <w:rsid w:val="00B27E12"/>
    <w:rsid w:val="00B34339"/>
    <w:rsid w:val="00B42063"/>
    <w:rsid w:val="00B42B2F"/>
    <w:rsid w:val="00B43B73"/>
    <w:rsid w:val="00B44900"/>
    <w:rsid w:val="00B467F6"/>
    <w:rsid w:val="00B472E1"/>
    <w:rsid w:val="00B52821"/>
    <w:rsid w:val="00B6214D"/>
    <w:rsid w:val="00B71170"/>
    <w:rsid w:val="00B776CC"/>
    <w:rsid w:val="00B80BCE"/>
    <w:rsid w:val="00B81524"/>
    <w:rsid w:val="00B81740"/>
    <w:rsid w:val="00B83542"/>
    <w:rsid w:val="00B84BE6"/>
    <w:rsid w:val="00B85D7B"/>
    <w:rsid w:val="00B900EA"/>
    <w:rsid w:val="00B91069"/>
    <w:rsid w:val="00B92842"/>
    <w:rsid w:val="00B94E2E"/>
    <w:rsid w:val="00B95C31"/>
    <w:rsid w:val="00B95DC6"/>
    <w:rsid w:val="00BA2713"/>
    <w:rsid w:val="00BA2941"/>
    <w:rsid w:val="00BA4C61"/>
    <w:rsid w:val="00BA627A"/>
    <w:rsid w:val="00BA67E8"/>
    <w:rsid w:val="00BB0C5F"/>
    <w:rsid w:val="00BB13CD"/>
    <w:rsid w:val="00BB22FA"/>
    <w:rsid w:val="00BB2437"/>
    <w:rsid w:val="00BB2A6F"/>
    <w:rsid w:val="00BB576C"/>
    <w:rsid w:val="00BB5846"/>
    <w:rsid w:val="00BB6983"/>
    <w:rsid w:val="00BB7EB9"/>
    <w:rsid w:val="00BC1F1D"/>
    <w:rsid w:val="00BC28E6"/>
    <w:rsid w:val="00BC526D"/>
    <w:rsid w:val="00BD12A1"/>
    <w:rsid w:val="00BD1D09"/>
    <w:rsid w:val="00BD380D"/>
    <w:rsid w:val="00BD4B42"/>
    <w:rsid w:val="00BD55CE"/>
    <w:rsid w:val="00BD7B83"/>
    <w:rsid w:val="00BE0C40"/>
    <w:rsid w:val="00BE2C09"/>
    <w:rsid w:val="00BF17C6"/>
    <w:rsid w:val="00BF1C60"/>
    <w:rsid w:val="00BF6F09"/>
    <w:rsid w:val="00C00FDA"/>
    <w:rsid w:val="00C0137B"/>
    <w:rsid w:val="00C02EB9"/>
    <w:rsid w:val="00C0373C"/>
    <w:rsid w:val="00C04912"/>
    <w:rsid w:val="00C04E4B"/>
    <w:rsid w:val="00C0773E"/>
    <w:rsid w:val="00C11531"/>
    <w:rsid w:val="00C11B56"/>
    <w:rsid w:val="00C13466"/>
    <w:rsid w:val="00C14C04"/>
    <w:rsid w:val="00C16045"/>
    <w:rsid w:val="00C21E27"/>
    <w:rsid w:val="00C2332A"/>
    <w:rsid w:val="00C24B14"/>
    <w:rsid w:val="00C3101E"/>
    <w:rsid w:val="00C339FE"/>
    <w:rsid w:val="00C42EA5"/>
    <w:rsid w:val="00C47C54"/>
    <w:rsid w:val="00C52FEE"/>
    <w:rsid w:val="00C5573C"/>
    <w:rsid w:val="00C605DC"/>
    <w:rsid w:val="00C6072E"/>
    <w:rsid w:val="00C62BF5"/>
    <w:rsid w:val="00C636DA"/>
    <w:rsid w:val="00C642AF"/>
    <w:rsid w:val="00C64BDA"/>
    <w:rsid w:val="00C67E22"/>
    <w:rsid w:val="00C70564"/>
    <w:rsid w:val="00C72271"/>
    <w:rsid w:val="00C72A17"/>
    <w:rsid w:val="00C750E4"/>
    <w:rsid w:val="00C75819"/>
    <w:rsid w:val="00C76A68"/>
    <w:rsid w:val="00C81356"/>
    <w:rsid w:val="00C813CD"/>
    <w:rsid w:val="00C858D9"/>
    <w:rsid w:val="00C87DA0"/>
    <w:rsid w:val="00C91E77"/>
    <w:rsid w:val="00C9689E"/>
    <w:rsid w:val="00CA1769"/>
    <w:rsid w:val="00CA4E4D"/>
    <w:rsid w:val="00CA6FF9"/>
    <w:rsid w:val="00CB4238"/>
    <w:rsid w:val="00CB5938"/>
    <w:rsid w:val="00CB5B27"/>
    <w:rsid w:val="00CC08EE"/>
    <w:rsid w:val="00CC1A64"/>
    <w:rsid w:val="00CC34EB"/>
    <w:rsid w:val="00CC66EA"/>
    <w:rsid w:val="00CD3C17"/>
    <w:rsid w:val="00CE1F9C"/>
    <w:rsid w:val="00CE2D14"/>
    <w:rsid w:val="00CE2E48"/>
    <w:rsid w:val="00CE36C4"/>
    <w:rsid w:val="00CF0184"/>
    <w:rsid w:val="00CF55F6"/>
    <w:rsid w:val="00CF59E0"/>
    <w:rsid w:val="00CF6672"/>
    <w:rsid w:val="00D021F7"/>
    <w:rsid w:val="00D053A7"/>
    <w:rsid w:val="00D069C7"/>
    <w:rsid w:val="00D078A2"/>
    <w:rsid w:val="00D120BA"/>
    <w:rsid w:val="00D12204"/>
    <w:rsid w:val="00D1463A"/>
    <w:rsid w:val="00D147A2"/>
    <w:rsid w:val="00D2091C"/>
    <w:rsid w:val="00D21123"/>
    <w:rsid w:val="00D26BB7"/>
    <w:rsid w:val="00D367EB"/>
    <w:rsid w:val="00D36C91"/>
    <w:rsid w:val="00D36D55"/>
    <w:rsid w:val="00D41871"/>
    <w:rsid w:val="00D45954"/>
    <w:rsid w:val="00D461C2"/>
    <w:rsid w:val="00D51AED"/>
    <w:rsid w:val="00D51CA9"/>
    <w:rsid w:val="00D57B8C"/>
    <w:rsid w:val="00D57C21"/>
    <w:rsid w:val="00D61AAE"/>
    <w:rsid w:val="00D64CB8"/>
    <w:rsid w:val="00D703F9"/>
    <w:rsid w:val="00D72FD8"/>
    <w:rsid w:val="00D804AA"/>
    <w:rsid w:val="00D819B4"/>
    <w:rsid w:val="00D83894"/>
    <w:rsid w:val="00D92A45"/>
    <w:rsid w:val="00D9697A"/>
    <w:rsid w:val="00DA099C"/>
    <w:rsid w:val="00DA4C48"/>
    <w:rsid w:val="00DA727D"/>
    <w:rsid w:val="00DB34F0"/>
    <w:rsid w:val="00DB53A7"/>
    <w:rsid w:val="00DB5711"/>
    <w:rsid w:val="00DB77E3"/>
    <w:rsid w:val="00DB7ADA"/>
    <w:rsid w:val="00DD14EA"/>
    <w:rsid w:val="00DD170F"/>
    <w:rsid w:val="00DD25AD"/>
    <w:rsid w:val="00DD50CA"/>
    <w:rsid w:val="00DD5183"/>
    <w:rsid w:val="00DD5719"/>
    <w:rsid w:val="00DE0A8A"/>
    <w:rsid w:val="00DE4A02"/>
    <w:rsid w:val="00DF54C9"/>
    <w:rsid w:val="00DF68E4"/>
    <w:rsid w:val="00DF6E54"/>
    <w:rsid w:val="00E0100D"/>
    <w:rsid w:val="00E04228"/>
    <w:rsid w:val="00E04457"/>
    <w:rsid w:val="00E04BBC"/>
    <w:rsid w:val="00E0624D"/>
    <w:rsid w:val="00E10450"/>
    <w:rsid w:val="00E1176C"/>
    <w:rsid w:val="00E1478E"/>
    <w:rsid w:val="00E157DD"/>
    <w:rsid w:val="00E159D7"/>
    <w:rsid w:val="00E20866"/>
    <w:rsid w:val="00E213AB"/>
    <w:rsid w:val="00E21653"/>
    <w:rsid w:val="00E21C9B"/>
    <w:rsid w:val="00E2414E"/>
    <w:rsid w:val="00E26830"/>
    <w:rsid w:val="00E26FAF"/>
    <w:rsid w:val="00E271ED"/>
    <w:rsid w:val="00E31AE8"/>
    <w:rsid w:val="00E356A0"/>
    <w:rsid w:val="00E36E4F"/>
    <w:rsid w:val="00E40B36"/>
    <w:rsid w:val="00E51672"/>
    <w:rsid w:val="00E51991"/>
    <w:rsid w:val="00E522FC"/>
    <w:rsid w:val="00E55EE5"/>
    <w:rsid w:val="00E61784"/>
    <w:rsid w:val="00E625B3"/>
    <w:rsid w:val="00E64743"/>
    <w:rsid w:val="00E7257D"/>
    <w:rsid w:val="00E728CB"/>
    <w:rsid w:val="00E7336F"/>
    <w:rsid w:val="00E74F3B"/>
    <w:rsid w:val="00E76262"/>
    <w:rsid w:val="00E84A6B"/>
    <w:rsid w:val="00E85966"/>
    <w:rsid w:val="00E910A2"/>
    <w:rsid w:val="00E92385"/>
    <w:rsid w:val="00E93F74"/>
    <w:rsid w:val="00E9672D"/>
    <w:rsid w:val="00E96DEA"/>
    <w:rsid w:val="00EA1585"/>
    <w:rsid w:val="00EA48AE"/>
    <w:rsid w:val="00EB09E2"/>
    <w:rsid w:val="00EB74A5"/>
    <w:rsid w:val="00EC112D"/>
    <w:rsid w:val="00EC32BD"/>
    <w:rsid w:val="00EC440C"/>
    <w:rsid w:val="00EC4983"/>
    <w:rsid w:val="00ED2D89"/>
    <w:rsid w:val="00ED3CD3"/>
    <w:rsid w:val="00ED4C0C"/>
    <w:rsid w:val="00ED6CCC"/>
    <w:rsid w:val="00EE0126"/>
    <w:rsid w:val="00EE0A5B"/>
    <w:rsid w:val="00EE47FE"/>
    <w:rsid w:val="00EE50C6"/>
    <w:rsid w:val="00EE70EE"/>
    <w:rsid w:val="00EE766D"/>
    <w:rsid w:val="00EF2A15"/>
    <w:rsid w:val="00EF4AFB"/>
    <w:rsid w:val="00EF5BFD"/>
    <w:rsid w:val="00EF75B5"/>
    <w:rsid w:val="00F00470"/>
    <w:rsid w:val="00F01C6F"/>
    <w:rsid w:val="00F0509B"/>
    <w:rsid w:val="00F06EE2"/>
    <w:rsid w:val="00F074DC"/>
    <w:rsid w:val="00F131E8"/>
    <w:rsid w:val="00F13943"/>
    <w:rsid w:val="00F15632"/>
    <w:rsid w:val="00F17535"/>
    <w:rsid w:val="00F24F8F"/>
    <w:rsid w:val="00F27124"/>
    <w:rsid w:val="00F278AE"/>
    <w:rsid w:val="00F27B23"/>
    <w:rsid w:val="00F30097"/>
    <w:rsid w:val="00F303B2"/>
    <w:rsid w:val="00F307E0"/>
    <w:rsid w:val="00F31637"/>
    <w:rsid w:val="00F34D63"/>
    <w:rsid w:val="00F442CF"/>
    <w:rsid w:val="00F44698"/>
    <w:rsid w:val="00F52C55"/>
    <w:rsid w:val="00F57F7A"/>
    <w:rsid w:val="00F61362"/>
    <w:rsid w:val="00F62D33"/>
    <w:rsid w:val="00F63D95"/>
    <w:rsid w:val="00F6570B"/>
    <w:rsid w:val="00F66952"/>
    <w:rsid w:val="00F67615"/>
    <w:rsid w:val="00F76C98"/>
    <w:rsid w:val="00F804CD"/>
    <w:rsid w:val="00F80750"/>
    <w:rsid w:val="00F85874"/>
    <w:rsid w:val="00F85F59"/>
    <w:rsid w:val="00F86538"/>
    <w:rsid w:val="00F86717"/>
    <w:rsid w:val="00F86DD4"/>
    <w:rsid w:val="00F879EC"/>
    <w:rsid w:val="00F95418"/>
    <w:rsid w:val="00F966F7"/>
    <w:rsid w:val="00F97C7A"/>
    <w:rsid w:val="00FA2909"/>
    <w:rsid w:val="00FA3CEC"/>
    <w:rsid w:val="00FA4B3F"/>
    <w:rsid w:val="00FB3F32"/>
    <w:rsid w:val="00FB4CF2"/>
    <w:rsid w:val="00FB5F02"/>
    <w:rsid w:val="00FC27ED"/>
    <w:rsid w:val="00FC398C"/>
    <w:rsid w:val="00FC4845"/>
    <w:rsid w:val="00FC6B03"/>
    <w:rsid w:val="00FD05C9"/>
    <w:rsid w:val="00FD06D5"/>
    <w:rsid w:val="00FD28FF"/>
    <w:rsid w:val="00FD68A1"/>
    <w:rsid w:val="00FE110C"/>
    <w:rsid w:val="00FE419E"/>
    <w:rsid w:val="00FE5328"/>
    <w:rsid w:val="00FF2484"/>
    <w:rsid w:val="00FF4201"/>
    <w:rsid w:val="00FF477F"/>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C43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IN OT" w:eastAsiaTheme="minorHAnsi" w:hAnsi="DIN OT" w:cstheme="minorBidi"/>
        <w:color w:val="000000"/>
        <w:sz w:val="22"/>
        <w:szCs w:val="22"/>
        <w:lang w:val="en-AU" w:eastAsia="en-US" w:bidi="ar-SA"/>
      </w:rPr>
    </w:rPrDefault>
    <w:pPrDefault>
      <w:pPr>
        <w:spacing w:after="24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qFormat="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12" w:unhideWhenUsed="1" w:qFormat="1"/>
    <w:lsdException w:name="List Number" w:uiPriority="15"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2" w:unhideWhenUsed="1" w:qFormat="1"/>
    <w:lsdException w:name="List Bullet 3" w:uiPriority="12"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31"/>
    <w:lsdException w:name="Closing" w:semiHidden="1" w:unhideWhenUsed="1"/>
    <w:lsdException w:name="Signature" w:semiHidden="1" w:uiPriority="29"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2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53192"/>
    <w:pPr>
      <w:numPr>
        <w:numId w:val="4"/>
      </w:numPr>
    </w:pPr>
    <w:rPr>
      <w:rFonts w:ascii="DIN OT Light" w:hAnsi="DIN OT Light"/>
    </w:rPr>
  </w:style>
  <w:style w:type="paragraph" w:styleId="Heading1">
    <w:name w:val="heading 1"/>
    <w:basedOn w:val="Normal"/>
    <w:next w:val="Normal"/>
    <w:link w:val="Heading1Char"/>
    <w:uiPriority w:val="9"/>
    <w:qFormat/>
    <w:rsid w:val="00BB2437"/>
    <w:pPr>
      <w:keepNext/>
      <w:keepLines/>
      <w:pageBreakBefore/>
      <w:numPr>
        <w:numId w:val="0"/>
      </w:numPr>
      <w:pBdr>
        <w:bottom w:val="single" w:sz="4" w:space="3" w:color="BFBFBF" w:themeColor="background1" w:themeShade="BF"/>
      </w:pBdr>
      <w:spacing w:after="480"/>
      <w:outlineLvl w:val="0"/>
    </w:pPr>
    <w:rPr>
      <w:rFonts w:ascii="DIN OT Medium" w:eastAsiaTheme="majorEastAsia" w:hAnsi="DIN OT Medium" w:cstheme="majorBidi"/>
      <w:bCs/>
      <w:color w:val="012169" w:themeColor="text2"/>
      <w:sz w:val="48"/>
      <w:szCs w:val="28"/>
    </w:rPr>
  </w:style>
  <w:style w:type="paragraph" w:styleId="Heading2">
    <w:name w:val="heading 2"/>
    <w:basedOn w:val="Normal"/>
    <w:next w:val="Normal"/>
    <w:link w:val="Heading2Char"/>
    <w:uiPriority w:val="9"/>
    <w:qFormat/>
    <w:rsid w:val="00F61362"/>
    <w:pPr>
      <w:keepNext/>
      <w:keepLines/>
      <w:numPr>
        <w:numId w:val="0"/>
      </w:numPr>
      <w:spacing w:before="320"/>
      <w:outlineLvl w:val="1"/>
    </w:pPr>
    <w:rPr>
      <w:rFonts w:ascii="DIN OT Medium" w:eastAsiaTheme="majorEastAsia" w:hAnsi="DIN OT Medium" w:cstheme="majorBidi"/>
      <w:bCs/>
      <w:color w:val="012169" w:themeColor="text2"/>
      <w:sz w:val="30"/>
      <w:szCs w:val="26"/>
    </w:rPr>
  </w:style>
  <w:style w:type="paragraph" w:styleId="Heading3">
    <w:name w:val="heading 3"/>
    <w:basedOn w:val="Normal"/>
    <w:next w:val="Normal"/>
    <w:link w:val="Heading3Char"/>
    <w:uiPriority w:val="9"/>
    <w:qFormat/>
    <w:rsid w:val="007568F8"/>
    <w:pPr>
      <w:keepNext/>
      <w:keepLines/>
      <w:numPr>
        <w:numId w:val="0"/>
      </w:numPr>
      <w:spacing w:before="280" w:after="120"/>
      <w:outlineLvl w:val="2"/>
    </w:pPr>
    <w:rPr>
      <w:rFonts w:ascii="DIN OT Medium" w:eastAsiaTheme="majorEastAsia" w:hAnsi="DIN OT Medium" w:cstheme="majorBidi"/>
      <w:bCs/>
      <w:color w:val="012169" w:themeColor="text2"/>
      <w:sz w:val="26"/>
    </w:rPr>
  </w:style>
  <w:style w:type="paragraph" w:styleId="Heading4">
    <w:name w:val="heading 4"/>
    <w:basedOn w:val="Normal"/>
    <w:next w:val="Normal"/>
    <w:link w:val="Heading4Char"/>
    <w:uiPriority w:val="9"/>
    <w:qFormat/>
    <w:rsid w:val="00F63D95"/>
    <w:pPr>
      <w:keepNext/>
      <w:keepLines/>
      <w:numPr>
        <w:numId w:val="0"/>
      </w:numPr>
      <w:spacing w:before="240" w:after="120"/>
      <w:outlineLvl w:val="3"/>
    </w:pPr>
    <w:rPr>
      <w:rFonts w:ascii="DIN OT Medium" w:eastAsiaTheme="majorEastAsia" w:hAnsi="DIN OT Medium" w:cstheme="majorBidi"/>
      <w:bCs/>
      <w:iCs/>
      <w:color w:val="012169" w:themeColor="text2"/>
      <w:sz w:val="26"/>
    </w:rPr>
  </w:style>
  <w:style w:type="paragraph" w:styleId="Heading5">
    <w:name w:val="heading 5"/>
    <w:basedOn w:val="Normal"/>
    <w:next w:val="Normal"/>
    <w:link w:val="Heading5Char"/>
    <w:uiPriority w:val="9"/>
    <w:qFormat/>
    <w:rsid w:val="006C6C47"/>
    <w:pPr>
      <w:keepNext/>
      <w:keepLines/>
      <w:numPr>
        <w:numId w:val="0"/>
      </w:numPr>
      <w:spacing w:before="240" w:after="60"/>
      <w:outlineLvl w:val="4"/>
    </w:pPr>
    <w:rPr>
      <w:rFonts w:ascii="DIN OT Medium" w:eastAsiaTheme="majorEastAsia" w:hAnsi="DIN OT Medium" w:cstheme="majorBidi"/>
      <w:color w:val="000000" w:themeColor="text1"/>
    </w:rPr>
  </w:style>
  <w:style w:type="paragraph" w:styleId="Heading6">
    <w:name w:val="heading 6"/>
    <w:basedOn w:val="Normal"/>
    <w:next w:val="Normal"/>
    <w:link w:val="Heading6Char"/>
    <w:uiPriority w:val="9"/>
    <w:semiHidden/>
    <w:qFormat/>
    <w:rsid w:val="00BB6983"/>
    <w:pPr>
      <w:keepNext/>
      <w:keepLines/>
      <w:numPr>
        <w:numId w:val="0"/>
      </w:numPr>
      <w:spacing w:after="120" w:line="288" w:lineRule="auto"/>
      <w:outlineLvl w:val="5"/>
    </w:pPr>
    <w:rPr>
      <w:rFonts w:ascii="DIN Offc Medium" w:eastAsiaTheme="majorEastAsia" w:hAnsi="DIN Offc Medium" w:cstheme="majorBidi"/>
      <w:i/>
      <w:iCs/>
      <w:color w:val="012169" w:themeColor="text2"/>
    </w:rPr>
  </w:style>
  <w:style w:type="paragraph" w:styleId="Heading7">
    <w:name w:val="heading 7"/>
    <w:basedOn w:val="Normal"/>
    <w:next w:val="Normal"/>
    <w:link w:val="Heading7Char"/>
    <w:uiPriority w:val="9"/>
    <w:semiHidden/>
    <w:qFormat/>
    <w:rsid w:val="00BB6983"/>
    <w:pPr>
      <w:keepNext/>
      <w:keepLines/>
      <w:numPr>
        <w:numId w:val="0"/>
      </w:numPr>
      <w:spacing w:after="120" w:line="288" w:lineRule="auto"/>
      <w:outlineLvl w:val="6"/>
    </w:pPr>
    <w:rPr>
      <w:rFonts w:ascii="DIN Offc Medium" w:eastAsiaTheme="majorEastAsia" w:hAnsi="DIN Offc Medium" w:cstheme="majorBidi"/>
      <w:i/>
      <w:iCs/>
      <w:color w:val="012169" w:themeColor="text2"/>
    </w:rPr>
  </w:style>
  <w:style w:type="paragraph" w:styleId="Heading8">
    <w:name w:val="heading 8"/>
    <w:basedOn w:val="Normal"/>
    <w:next w:val="Normal"/>
    <w:link w:val="Heading8Char"/>
    <w:uiPriority w:val="9"/>
    <w:semiHidden/>
    <w:qFormat/>
    <w:rsid w:val="00BB6983"/>
    <w:pPr>
      <w:keepNext/>
      <w:keepLines/>
      <w:numPr>
        <w:numId w:val="0"/>
      </w:numPr>
      <w:spacing w:after="120" w:line="288" w:lineRule="auto"/>
      <w:outlineLvl w:val="7"/>
    </w:pPr>
    <w:rPr>
      <w:rFonts w:ascii="DIN Offc Medium" w:eastAsiaTheme="majorEastAsia" w:hAnsi="DIN Offc Medium" w:cstheme="majorBidi"/>
      <w:i/>
      <w:color w:val="012169" w:themeColor="text2"/>
    </w:rPr>
  </w:style>
  <w:style w:type="paragraph" w:styleId="Heading9">
    <w:name w:val="heading 9"/>
    <w:basedOn w:val="Normal"/>
    <w:next w:val="Normal"/>
    <w:link w:val="Heading9Char"/>
    <w:uiPriority w:val="9"/>
    <w:semiHidden/>
    <w:qFormat/>
    <w:rsid w:val="00BB6983"/>
    <w:pPr>
      <w:keepNext/>
      <w:keepLines/>
      <w:numPr>
        <w:numId w:val="0"/>
      </w:numPr>
      <w:spacing w:after="120" w:line="288" w:lineRule="auto"/>
      <w:outlineLvl w:val="8"/>
    </w:pPr>
    <w:rPr>
      <w:rFonts w:ascii="DIN Offc Medium" w:eastAsiaTheme="majorEastAsia" w:hAnsi="DIN Offc Medium" w:cstheme="majorBidi"/>
      <w:i/>
      <w:iCs/>
      <w:color w:val="01216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437"/>
    <w:rPr>
      <w:rFonts w:ascii="DIN OT Medium" w:eastAsiaTheme="majorEastAsia" w:hAnsi="DIN OT Medium" w:cstheme="majorBidi"/>
      <w:bCs/>
      <w:color w:val="012169" w:themeColor="text2"/>
      <w:sz w:val="48"/>
      <w:szCs w:val="28"/>
    </w:rPr>
  </w:style>
  <w:style w:type="character" w:customStyle="1" w:styleId="Heading2Char">
    <w:name w:val="Heading 2 Char"/>
    <w:basedOn w:val="DefaultParagraphFont"/>
    <w:link w:val="Heading2"/>
    <w:uiPriority w:val="9"/>
    <w:rsid w:val="00F61362"/>
    <w:rPr>
      <w:rFonts w:ascii="DIN OT Medium" w:eastAsiaTheme="majorEastAsia" w:hAnsi="DIN OT Medium" w:cstheme="majorBidi"/>
      <w:bCs/>
      <w:color w:val="012169" w:themeColor="text2"/>
      <w:sz w:val="30"/>
      <w:szCs w:val="26"/>
    </w:rPr>
  </w:style>
  <w:style w:type="character" w:customStyle="1" w:styleId="Heading3Char">
    <w:name w:val="Heading 3 Char"/>
    <w:basedOn w:val="DefaultParagraphFont"/>
    <w:link w:val="Heading3"/>
    <w:uiPriority w:val="9"/>
    <w:rsid w:val="007568F8"/>
    <w:rPr>
      <w:rFonts w:ascii="DIN OT Medium" w:eastAsiaTheme="majorEastAsia" w:hAnsi="DIN OT Medium" w:cstheme="majorBidi"/>
      <w:bCs/>
      <w:color w:val="012169" w:themeColor="text2"/>
      <w:sz w:val="26"/>
    </w:rPr>
  </w:style>
  <w:style w:type="paragraph" w:customStyle="1" w:styleId="CoverSubtitle">
    <w:name w:val="Cover Subtitle"/>
    <w:basedOn w:val="Normal"/>
    <w:next w:val="Normal"/>
    <w:uiPriority w:val="21"/>
    <w:semiHidden/>
    <w:locked/>
    <w:rsid w:val="00072B30"/>
    <w:pPr>
      <w:numPr>
        <w:numId w:val="0"/>
      </w:num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AD393D"/>
    <w:pPr>
      <w:keepNext/>
      <w:keepLines/>
      <w:numPr>
        <w:numId w:val="0"/>
      </w:numPr>
      <w:spacing w:before="240" w:after="120"/>
    </w:pPr>
    <w:rPr>
      <w:rFonts w:ascii="DIN OT Medium" w:hAnsi="DIN OT Medium"/>
      <w:color w:val="012169" w:themeColor="text2"/>
      <w:sz w:val="26"/>
    </w:rPr>
  </w:style>
  <w:style w:type="character" w:customStyle="1" w:styleId="Heading4Char">
    <w:name w:val="Heading 4 Char"/>
    <w:basedOn w:val="DefaultParagraphFont"/>
    <w:link w:val="Heading4"/>
    <w:uiPriority w:val="9"/>
    <w:rsid w:val="00F63D95"/>
    <w:rPr>
      <w:rFonts w:ascii="DIN OT Medium" w:eastAsiaTheme="majorEastAsia" w:hAnsi="DIN OT Medium" w:cstheme="majorBidi"/>
      <w:bCs/>
      <w:iCs/>
      <w:color w:val="012169" w:themeColor="text2"/>
      <w:sz w:val="26"/>
    </w:rPr>
  </w:style>
  <w:style w:type="paragraph" w:styleId="ListBullet">
    <w:name w:val="List Bullet"/>
    <w:basedOn w:val="Normal"/>
    <w:uiPriority w:val="12"/>
    <w:qFormat/>
    <w:rsid w:val="00641EAA"/>
    <w:pPr>
      <w:numPr>
        <w:numId w:val="6"/>
      </w:numPr>
    </w:pPr>
  </w:style>
  <w:style w:type="paragraph" w:styleId="ListBullet2">
    <w:name w:val="List Bullet 2"/>
    <w:basedOn w:val="ListBullet"/>
    <w:uiPriority w:val="12"/>
    <w:qFormat/>
    <w:rsid w:val="00641EAA"/>
    <w:pPr>
      <w:numPr>
        <w:ilvl w:val="1"/>
      </w:numPr>
    </w:pPr>
  </w:style>
  <w:style w:type="paragraph" w:styleId="ListNumber">
    <w:name w:val="List Number"/>
    <w:basedOn w:val="Normal"/>
    <w:uiPriority w:val="15"/>
    <w:qFormat/>
    <w:rsid w:val="00662E28"/>
    <w:pPr>
      <w:numPr>
        <w:numId w:val="7"/>
      </w:numPr>
    </w:pPr>
  </w:style>
  <w:style w:type="paragraph" w:styleId="ListNumber2">
    <w:name w:val="List Number 2"/>
    <w:basedOn w:val="Normal"/>
    <w:uiPriority w:val="16"/>
    <w:qFormat/>
    <w:rsid w:val="00662E28"/>
    <w:pPr>
      <w:numPr>
        <w:ilvl w:val="1"/>
        <w:numId w:val="7"/>
      </w:numPr>
    </w:pPr>
  </w:style>
  <w:style w:type="numbering" w:customStyle="1" w:styleId="HeadingList">
    <w:name w:val="Heading List"/>
    <w:uiPriority w:val="99"/>
    <w:rsid w:val="001241CB"/>
  </w:style>
  <w:style w:type="paragraph" w:styleId="ListNumber3">
    <w:name w:val="List Number 3"/>
    <w:basedOn w:val="Normal"/>
    <w:uiPriority w:val="16"/>
    <w:qFormat/>
    <w:rsid w:val="00662E28"/>
    <w:pPr>
      <w:numPr>
        <w:ilvl w:val="2"/>
        <w:numId w:val="7"/>
      </w:numPr>
    </w:pPr>
  </w:style>
  <w:style w:type="paragraph" w:styleId="Title">
    <w:name w:val="Title"/>
    <w:basedOn w:val="Normal"/>
    <w:next w:val="Normal"/>
    <w:link w:val="TitleChar"/>
    <w:uiPriority w:val="31"/>
    <w:rsid w:val="00DD5719"/>
    <w:pPr>
      <w:numPr>
        <w:numId w:val="0"/>
      </w:numPr>
      <w:pBdr>
        <w:bottom w:val="single" w:sz="24" w:space="10" w:color="012169" w:themeColor="accent1"/>
      </w:pBdr>
      <w:spacing w:after="0" w:line="192" w:lineRule="auto"/>
      <w:ind w:right="567"/>
    </w:pPr>
    <w:rPr>
      <w:rFonts w:ascii="DIN OT Medium" w:eastAsiaTheme="majorEastAsia" w:hAnsi="DIN OT Medium" w:cstheme="majorBidi"/>
      <w:caps/>
      <w:color w:val="012169" w:themeColor="text2"/>
      <w:sz w:val="80"/>
      <w:szCs w:val="52"/>
    </w:rPr>
  </w:style>
  <w:style w:type="character" w:customStyle="1" w:styleId="TitleChar">
    <w:name w:val="Title Char"/>
    <w:basedOn w:val="DefaultParagraphFont"/>
    <w:link w:val="Title"/>
    <w:uiPriority w:val="31"/>
    <w:rsid w:val="000E3427"/>
    <w:rPr>
      <w:rFonts w:ascii="DIN OT Medium" w:eastAsiaTheme="majorEastAsia" w:hAnsi="DIN OT Medium" w:cstheme="majorBidi"/>
      <w:caps/>
      <w:color w:val="012169" w:themeColor="text2"/>
      <w:sz w:val="80"/>
      <w:szCs w:val="52"/>
    </w:rPr>
  </w:style>
  <w:style w:type="numbering" w:styleId="111111">
    <w:name w:val="Outline List 2"/>
    <w:basedOn w:val="NoList"/>
    <w:uiPriority w:val="99"/>
    <w:semiHidden/>
    <w:unhideWhenUsed/>
    <w:locked/>
    <w:rsid w:val="00466648"/>
  </w:style>
  <w:style w:type="paragraph" w:styleId="TOC1">
    <w:name w:val="toc 1"/>
    <w:basedOn w:val="Normal"/>
    <w:next w:val="Normal"/>
    <w:autoRedefine/>
    <w:uiPriority w:val="39"/>
    <w:unhideWhenUsed/>
    <w:rsid w:val="00BB2437"/>
    <w:pPr>
      <w:numPr>
        <w:numId w:val="0"/>
      </w:numPr>
      <w:tabs>
        <w:tab w:val="right" w:pos="9027"/>
      </w:tabs>
    </w:pPr>
    <w:rPr>
      <w:rFonts w:ascii="DIN OT Medium" w:hAnsi="DIN OT Medium"/>
    </w:rPr>
  </w:style>
  <w:style w:type="paragraph" w:styleId="TOCHeading">
    <w:name w:val="TOC Heading"/>
    <w:basedOn w:val="Heading1"/>
    <w:next w:val="Normal"/>
    <w:uiPriority w:val="39"/>
    <w:unhideWhenUsed/>
    <w:qFormat/>
    <w:rsid w:val="00616C90"/>
    <w:pPr>
      <w:outlineLvl w:val="9"/>
    </w:pPr>
  </w:style>
  <w:style w:type="paragraph" w:styleId="Footer">
    <w:name w:val="footer"/>
    <w:basedOn w:val="Normal"/>
    <w:link w:val="FooterChar"/>
    <w:uiPriority w:val="99"/>
    <w:rsid w:val="00EE70EE"/>
    <w:pPr>
      <w:numPr>
        <w:numId w:val="0"/>
      </w:numPr>
      <w:tabs>
        <w:tab w:val="right" w:pos="9639"/>
      </w:tabs>
      <w:spacing w:after="0" w:line="200" w:lineRule="exact"/>
      <w:contextualSpacing/>
    </w:pPr>
    <w:rPr>
      <w:caps/>
      <w:sz w:val="16"/>
    </w:rPr>
  </w:style>
  <w:style w:type="character" w:customStyle="1" w:styleId="FooterChar">
    <w:name w:val="Footer Char"/>
    <w:basedOn w:val="DefaultParagraphFont"/>
    <w:link w:val="Footer"/>
    <w:uiPriority w:val="99"/>
    <w:rsid w:val="00EE70EE"/>
    <w:rPr>
      <w:rFonts w:ascii="DIN OT Light" w:hAnsi="DIN OT Light"/>
      <w:caps/>
      <w:sz w:val="16"/>
    </w:rPr>
  </w:style>
  <w:style w:type="paragraph" w:styleId="ListBullet3">
    <w:name w:val="List Bullet 3"/>
    <w:basedOn w:val="Normal"/>
    <w:uiPriority w:val="12"/>
    <w:qFormat/>
    <w:rsid w:val="00641EAA"/>
    <w:pPr>
      <w:numPr>
        <w:ilvl w:val="2"/>
        <w:numId w:val="6"/>
      </w:numPr>
    </w:pPr>
  </w:style>
  <w:style w:type="table" w:styleId="TableGrid">
    <w:name w:val="Table Grid"/>
    <w:basedOn w:val="TableNormal"/>
    <w:uiPriority w:val="59"/>
    <w:rsid w:val="00B20DFD"/>
    <w:pPr>
      <w:spacing w:before="60" w:after="60"/>
    </w:pPr>
    <w:rPr>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rFonts w:ascii="DIN OT Medium" w:hAnsi="DIN OT Medium"/>
        <w:b w:val="0"/>
        <w:color w:val="FFFFFF" w:themeColor="background1"/>
      </w:rPr>
      <w:tblPr/>
      <w:trPr>
        <w:cantSplit/>
        <w:tblHeader/>
      </w:trPr>
      <w:tcPr>
        <w:shd w:val="clear" w:color="auto" w:fill="012169" w:themeFill="accent1"/>
      </w:tcPr>
    </w:tblStylePr>
    <w:tblStylePr w:type="lastRow">
      <w:rPr>
        <w:rFonts w:ascii="DIN OT Medium" w:hAnsi="DIN OT Medium"/>
        <w:b w:val="0"/>
      </w:rPr>
      <w:tblPr/>
      <w:tcPr>
        <w:shd w:val="clear" w:color="auto" w:fill="EAECEE" w:themeFill="accent4" w:themeFillTint="33"/>
      </w:tcPr>
    </w:tblStylePr>
    <w:tblStylePr w:type="firstCol">
      <w:rPr>
        <w:rFonts w:ascii="DIN OT Medium" w:hAnsi="DIN OT Medium"/>
        <w:b w:val="0"/>
        <w:color w:val="auto"/>
      </w:rPr>
    </w:tblStylePr>
    <w:tblStylePr w:type="lastCol">
      <w:pPr>
        <w:jc w:val="right"/>
      </w:pPr>
      <w:rPr>
        <w:rFonts w:ascii="DIN OT Medium" w:hAnsi="DIN OT Medium"/>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27194D"/>
    <w:pPr>
      <w:tabs>
        <w:tab w:val="left" w:pos="1134"/>
      </w:tabs>
      <w:spacing w:before="240" w:after="120"/>
    </w:pPr>
    <w:rPr>
      <w:rFonts w:ascii="DIN OT Medium" w:hAnsi="DIN OT Medium"/>
      <w:bCs/>
      <w:i/>
      <w:szCs w:val="18"/>
    </w:rPr>
  </w:style>
  <w:style w:type="paragraph" w:styleId="Header">
    <w:name w:val="header"/>
    <w:basedOn w:val="Normal"/>
    <w:link w:val="HeaderChar"/>
    <w:uiPriority w:val="99"/>
    <w:rsid w:val="00722F9F"/>
    <w:pPr>
      <w:numPr>
        <w:numId w:val="0"/>
      </w:num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pPr>
      <w:numPr>
        <w:numId w:val="0"/>
      </w:numPr>
    </w:pPr>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asciiTheme="minorHAnsi" w:eastAsiaTheme="minorEastAsia" w:hAnsiTheme="minorHAnsi"/>
      <w:i/>
      <w:iCs/>
      <w:color w:val="012169"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rFonts w:ascii="DIN OT Light" w:hAnsi="DIN OT Light"/>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rFonts w:ascii="DIN OT Light" w:hAnsi="DIN OT Light"/>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rFonts w:ascii="DIN OT Light" w:hAnsi="DIN OT Light"/>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rFonts w:ascii="DIN OT Light" w:hAnsi="DIN OT Light"/>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rFonts w:ascii="DIN OT Light" w:hAnsi="DIN OT Light"/>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rFonts w:ascii="DIN OT Light" w:hAnsi="DIN OT Light"/>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rFonts w:ascii="DIN OT Light" w:hAnsi="DIN OT Light"/>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rFonts w:ascii="DIN OT Light" w:hAnsi="DIN OT Light"/>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rPr>
      <w:rFonts w:ascii="DIN OT Light" w:hAnsi="DIN OT Light"/>
    </w:rPr>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rFonts w:ascii="DIN OT Light" w:hAnsi="DIN OT Light"/>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rFonts w:ascii="DIN OT Light" w:hAnsi="DIN OT Light"/>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29"/>
    <w:qFormat/>
    <w:locked/>
    <w:rsid w:val="003B51A4"/>
    <w:pPr>
      <w:numPr>
        <w:numId w:val="0"/>
      </w:numPr>
      <w:spacing w:after="840"/>
      <w:contextualSpacing/>
    </w:pPr>
  </w:style>
  <w:style w:type="character" w:customStyle="1" w:styleId="DateChar">
    <w:name w:val="Date Char"/>
    <w:basedOn w:val="DefaultParagraphFont"/>
    <w:link w:val="Date"/>
    <w:uiPriority w:val="29"/>
    <w:rsid w:val="003B51A4"/>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rPr>
      <w:rFonts w:ascii="DIN OT Light" w:hAnsi="DIN OT Light"/>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numPr>
        <w:numId w:val="0"/>
      </w:num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qFormat/>
    <w:rsid w:val="000573E5"/>
    <w:rPr>
      <w:noProof w:val="0"/>
      <w:sz w:val="18"/>
      <w:vertAlign w:val="superscript"/>
      <w:lang w:val="en-AU"/>
    </w:rPr>
  </w:style>
  <w:style w:type="paragraph" w:styleId="FootnoteText">
    <w:name w:val="footnote text"/>
    <w:basedOn w:val="Normal"/>
    <w:link w:val="FootnoteTextChar"/>
    <w:uiPriority w:val="99"/>
    <w:rsid w:val="0016272E"/>
    <w:pPr>
      <w:numPr>
        <w:numId w:val="0"/>
      </w:numPr>
      <w:tabs>
        <w:tab w:val="left" w:pos="170"/>
      </w:tabs>
      <w:spacing w:after="120"/>
      <w:ind w:left="170" w:hanging="170"/>
    </w:pPr>
    <w:rPr>
      <w:sz w:val="18"/>
    </w:rPr>
  </w:style>
  <w:style w:type="character" w:customStyle="1" w:styleId="FootnoteTextChar">
    <w:name w:val="Footnote Text Char"/>
    <w:basedOn w:val="DefaultParagraphFont"/>
    <w:link w:val="FootnoteText"/>
    <w:uiPriority w:val="99"/>
    <w:rsid w:val="0016272E"/>
    <w:rPr>
      <w:sz w:val="18"/>
    </w:rPr>
  </w:style>
  <w:style w:type="character" w:customStyle="1" w:styleId="Heading5Char">
    <w:name w:val="Heading 5 Char"/>
    <w:basedOn w:val="DefaultParagraphFont"/>
    <w:link w:val="Heading5"/>
    <w:uiPriority w:val="9"/>
    <w:rsid w:val="006C6C47"/>
    <w:rPr>
      <w:rFonts w:ascii="DIN OT Medium" w:eastAsiaTheme="majorEastAsia" w:hAnsi="DIN OT Medium" w:cstheme="majorBidi"/>
      <w:color w:val="000000" w:themeColor="text1"/>
    </w:rPr>
  </w:style>
  <w:style w:type="character" w:customStyle="1" w:styleId="Heading6Char">
    <w:name w:val="Heading 6 Char"/>
    <w:basedOn w:val="DefaultParagraphFont"/>
    <w:link w:val="Heading6"/>
    <w:uiPriority w:val="9"/>
    <w:semiHidden/>
    <w:rsid w:val="00283DF4"/>
    <w:rPr>
      <w:rFonts w:ascii="DIN Offc Medium" w:eastAsiaTheme="majorEastAsia" w:hAnsi="DIN Offc Medium" w:cstheme="majorBidi"/>
      <w:i/>
      <w:iCs/>
      <w:color w:val="012169" w:themeColor="text2"/>
    </w:rPr>
  </w:style>
  <w:style w:type="character" w:customStyle="1" w:styleId="Heading7Char">
    <w:name w:val="Heading 7 Char"/>
    <w:basedOn w:val="DefaultParagraphFont"/>
    <w:link w:val="Heading7"/>
    <w:uiPriority w:val="9"/>
    <w:semiHidden/>
    <w:rsid w:val="00283DF4"/>
    <w:rPr>
      <w:rFonts w:ascii="DIN Offc Medium" w:eastAsiaTheme="majorEastAsia" w:hAnsi="DIN Offc Medium" w:cstheme="majorBidi"/>
      <w:i/>
      <w:iCs/>
      <w:color w:val="012169" w:themeColor="text2"/>
    </w:rPr>
  </w:style>
  <w:style w:type="character" w:customStyle="1" w:styleId="Heading8Char">
    <w:name w:val="Heading 8 Char"/>
    <w:basedOn w:val="DefaultParagraphFont"/>
    <w:link w:val="Heading8"/>
    <w:uiPriority w:val="9"/>
    <w:semiHidden/>
    <w:rsid w:val="00283DF4"/>
    <w:rPr>
      <w:rFonts w:ascii="DIN Offc Medium" w:eastAsiaTheme="majorEastAsia" w:hAnsi="DIN Offc Medium" w:cstheme="majorBidi"/>
      <w:i/>
      <w:color w:val="012169" w:themeColor="text2"/>
    </w:rPr>
  </w:style>
  <w:style w:type="character" w:customStyle="1" w:styleId="Heading9Char">
    <w:name w:val="Heading 9 Char"/>
    <w:basedOn w:val="DefaultParagraphFont"/>
    <w:link w:val="Heading9"/>
    <w:uiPriority w:val="9"/>
    <w:semiHidden/>
    <w:rsid w:val="00283DF4"/>
    <w:rPr>
      <w:rFonts w:ascii="DIN Offc Medium" w:eastAsiaTheme="majorEastAsia" w:hAnsi="DIN Offc Medium" w:cstheme="majorBidi"/>
      <w:i/>
      <w:iCs/>
      <w:color w:val="012169" w:themeColor="text2"/>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rFonts w:ascii="DIN OT Light" w:hAnsi="DIN OT Light"/>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rFonts w:ascii="DIN OT Light" w:hAnsi="DIN OT Light"/>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17"/>
    <w:qFormat/>
    <w:rsid w:val="00BB7EB9"/>
    <w:pPr>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20"/>
    <w:rsid w:val="00E910A2"/>
    <w:pPr>
      <w:numPr>
        <w:numId w:val="0"/>
      </w:numPr>
    </w:pPr>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rPr>
      <w:rFonts w:ascii="DIN OT Light" w:hAnsi="DIN OT Light"/>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945635"/>
    <w:pPr>
      <w:numPr>
        <w:numId w:val="0"/>
      </w:numPr>
      <w:ind w:left="425" w:right="425"/>
    </w:pPr>
    <w:rPr>
      <w:i/>
      <w:iCs/>
    </w:rPr>
  </w:style>
  <w:style w:type="character" w:customStyle="1" w:styleId="QuoteChar">
    <w:name w:val="Quote Char"/>
    <w:basedOn w:val="DefaultParagraphFont"/>
    <w:link w:val="Quote"/>
    <w:uiPriority w:val="19"/>
    <w:rsid w:val="00945635"/>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rFonts w:ascii="DIN OT Light" w:hAnsi="DIN OT Light"/>
    </w:rPr>
  </w:style>
  <w:style w:type="paragraph" w:styleId="Signature">
    <w:name w:val="Signature"/>
    <w:basedOn w:val="Normal"/>
    <w:link w:val="SignatureChar"/>
    <w:uiPriority w:val="29"/>
    <w:semiHidden/>
    <w:locked/>
    <w:rsid w:val="00F00470"/>
    <w:pPr>
      <w:numPr>
        <w:numId w:val="0"/>
      </w:numPr>
      <w:contextualSpacing/>
    </w:pPr>
  </w:style>
  <w:style w:type="character" w:customStyle="1" w:styleId="SignatureChar">
    <w:name w:val="Signature Char"/>
    <w:basedOn w:val="DefaultParagraphFont"/>
    <w:link w:val="Signature"/>
    <w:uiPriority w:val="29"/>
    <w:semiHidden/>
    <w:rsid w:val="00E910A2"/>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FC398C"/>
    <w:pPr>
      <w:numPr>
        <w:numId w:val="0"/>
      </w:numPr>
      <w:tabs>
        <w:tab w:val="left" w:pos="851"/>
        <w:tab w:val="right" w:pos="9027"/>
      </w:tabs>
      <w:ind w:left="850" w:hanging="737"/>
    </w:pPr>
  </w:style>
  <w:style w:type="paragraph" w:styleId="TOC3">
    <w:name w:val="toc 3"/>
    <w:basedOn w:val="Normal"/>
    <w:next w:val="Normal"/>
    <w:autoRedefine/>
    <w:uiPriority w:val="39"/>
    <w:rsid w:val="00AD393D"/>
    <w:pPr>
      <w:numPr>
        <w:numId w:val="0"/>
      </w:numPr>
      <w:tabs>
        <w:tab w:val="left" w:pos="851"/>
        <w:tab w:val="right" w:pos="9038"/>
      </w:tabs>
      <w:ind w:left="1702" w:hanging="851"/>
    </w:pPr>
  </w:style>
  <w:style w:type="paragraph" w:styleId="TOC4">
    <w:name w:val="toc 4"/>
    <w:basedOn w:val="Normal"/>
    <w:next w:val="Normal"/>
    <w:autoRedefine/>
    <w:uiPriority w:val="39"/>
    <w:rsid w:val="00AD393D"/>
    <w:pPr>
      <w:numPr>
        <w:numId w:val="0"/>
      </w:numPr>
      <w:tabs>
        <w:tab w:val="right" w:pos="9027"/>
      </w:tabs>
    </w:pPr>
    <w:rPr>
      <w:rFonts w:ascii="DIN OT Medium" w:hAnsi="DIN OT Medium"/>
    </w:rPr>
  </w:style>
  <w:style w:type="paragraph" w:styleId="TOC5">
    <w:name w:val="toc 5"/>
    <w:basedOn w:val="Normal"/>
    <w:next w:val="Normal"/>
    <w:autoRedefine/>
    <w:uiPriority w:val="39"/>
    <w:rsid w:val="00FC398C"/>
    <w:pPr>
      <w:numPr>
        <w:numId w:val="0"/>
      </w:numPr>
      <w:tabs>
        <w:tab w:val="left" w:pos="851"/>
        <w:tab w:val="right" w:pos="9027"/>
      </w:tabs>
      <w:ind w:left="113"/>
    </w:pPr>
  </w:style>
  <w:style w:type="paragraph" w:styleId="TOC6">
    <w:name w:val="toc 6"/>
    <w:basedOn w:val="Normal"/>
    <w:next w:val="Normal"/>
    <w:autoRedefine/>
    <w:uiPriority w:val="39"/>
    <w:rsid w:val="00EE70EE"/>
    <w:pPr>
      <w:numPr>
        <w:numId w:val="0"/>
      </w:numPr>
      <w:tabs>
        <w:tab w:val="left" w:pos="851"/>
        <w:tab w:val="right" w:pos="9027"/>
      </w:tabs>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144295"/>
  </w:style>
  <w:style w:type="numbering" w:customStyle="1" w:styleId="BulletList">
    <w:name w:val="Bullet List"/>
    <w:uiPriority w:val="99"/>
    <w:rsid w:val="00641EAA"/>
    <w:pPr>
      <w:numPr>
        <w:numId w:val="6"/>
      </w:numPr>
    </w:pPr>
  </w:style>
  <w:style w:type="paragraph" w:customStyle="1" w:styleId="PaperTitle">
    <w:name w:val="Paper Title"/>
    <w:next w:val="CoverDate"/>
    <w:uiPriority w:val="31"/>
    <w:rsid w:val="007E7F27"/>
    <w:pPr>
      <w:spacing w:before="2760"/>
      <w:contextualSpacing/>
    </w:pPr>
    <w:rPr>
      <w:rFonts w:ascii="DIN OT Medium" w:eastAsiaTheme="majorEastAsia" w:hAnsi="DIN OT Medium" w:cstheme="majorBidi"/>
      <w:color w:val="012169" w:themeColor="text2"/>
      <w:sz w:val="44"/>
      <w:szCs w:val="52"/>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ttachmentHeading">
    <w:name w:val="Attachment Heading"/>
    <w:basedOn w:val="Heading1"/>
    <w:next w:val="Normal"/>
    <w:uiPriority w:val="10"/>
    <w:qFormat/>
    <w:rsid w:val="003A2733"/>
    <w:pPr>
      <w:numPr>
        <w:numId w:val="8"/>
      </w:numPr>
    </w:pPr>
  </w:style>
  <w:style w:type="paragraph" w:customStyle="1" w:styleId="AttachmentSubHeading">
    <w:name w:val="Attachment Sub Heading"/>
    <w:basedOn w:val="Heading2"/>
    <w:next w:val="Normal"/>
    <w:uiPriority w:val="10"/>
    <w:qFormat/>
    <w:rsid w:val="003A2733"/>
  </w:style>
  <w:style w:type="paragraph" w:customStyle="1" w:styleId="Heading1Numbers">
    <w:name w:val="Heading 1 Numbers"/>
    <w:basedOn w:val="Heading1"/>
    <w:next w:val="Normal"/>
    <w:uiPriority w:val="9"/>
    <w:qFormat/>
    <w:rsid w:val="00BA627A"/>
    <w:pPr>
      <w:numPr>
        <w:numId w:val="5"/>
      </w:numPr>
    </w:pPr>
  </w:style>
  <w:style w:type="paragraph" w:customStyle="1" w:styleId="Heading2Numbers">
    <w:name w:val="Heading 2 Numbers"/>
    <w:basedOn w:val="Heading2"/>
    <w:next w:val="Normal"/>
    <w:uiPriority w:val="9"/>
    <w:qFormat/>
    <w:rsid w:val="00AD393D"/>
    <w:pPr>
      <w:numPr>
        <w:ilvl w:val="1"/>
        <w:numId w:val="5"/>
      </w:numPr>
      <w:ind w:left="851"/>
    </w:pPr>
    <w:rPr>
      <w:bCs w:val="0"/>
    </w:rPr>
  </w:style>
  <w:style w:type="paragraph" w:customStyle="1" w:styleId="Heading3Numbers">
    <w:name w:val="Heading 3 Numbers"/>
    <w:basedOn w:val="Heading3"/>
    <w:next w:val="Normal"/>
    <w:uiPriority w:val="9"/>
    <w:qFormat/>
    <w:rsid w:val="00BA627A"/>
    <w:pPr>
      <w:numPr>
        <w:ilvl w:val="2"/>
        <w:numId w:val="5"/>
      </w:numPr>
    </w:pPr>
  </w:style>
  <w:style w:type="paragraph" w:customStyle="1" w:styleId="Heading4NoNumber">
    <w:name w:val="Heading 4 No Number"/>
    <w:basedOn w:val="Heading4"/>
    <w:uiPriority w:val="9"/>
    <w:semiHidden/>
    <w:qFormat/>
    <w:rsid w:val="00BA627A"/>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semiHidden/>
    <w:qFormat/>
    <w:rsid w:val="00E910A2"/>
    <w:pPr>
      <w:numPr>
        <w:numId w:val="0"/>
      </w:numPr>
    </w:pPr>
    <w:rPr>
      <w:rFonts w:ascii="DIN Offc Medium" w:hAnsi="DIN Offc Medium"/>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uiPriority w:val="31"/>
    <w:rsid w:val="005113A6"/>
    <w:rPr>
      <w:rFonts w:ascii="DIN OT Medium" w:eastAsiaTheme="majorEastAsia" w:hAnsi="DIN OT Medium" w:cstheme="majorBidi"/>
      <w:color w:val="00A9E0" w:themeColor="background2"/>
      <w:sz w:val="24"/>
      <w:szCs w:val="52"/>
    </w:rPr>
  </w:style>
  <w:style w:type="paragraph" w:customStyle="1" w:styleId="Address">
    <w:name w:val="Address"/>
    <w:basedOn w:val="Normal"/>
    <w:uiPriority w:val="29"/>
    <w:qFormat/>
    <w:rsid w:val="00E910A2"/>
    <w:pPr>
      <w:numPr>
        <w:numId w:val="0"/>
      </w:numPr>
      <w:spacing w:after="840"/>
      <w:contextualSpacing/>
    </w:pPr>
  </w:style>
  <w:style w:type="paragraph" w:customStyle="1" w:styleId="Sincerely">
    <w:name w:val="Sincerely"/>
    <w:basedOn w:val="Normal"/>
    <w:uiPriority w:val="29"/>
    <w:qFormat/>
    <w:rsid w:val="00E910A2"/>
    <w:pPr>
      <w:numPr>
        <w:numId w:val="0"/>
      </w:numPr>
      <w:spacing w:before="720" w:after="600"/>
    </w:pPr>
  </w:style>
  <w:style w:type="paragraph" w:customStyle="1" w:styleId="Subject">
    <w:name w:val="Subject"/>
    <w:basedOn w:val="Normal"/>
    <w:uiPriority w:val="29"/>
    <w:qFormat/>
    <w:rsid w:val="00EE70EE"/>
    <w:pPr>
      <w:numPr>
        <w:numId w:val="0"/>
      </w:numPr>
      <w:spacing w:before="480" w:after="480"/>
    </w:pPr>
    <w:rPr>
      <w:rFonts w:ascii="DIN OT Medium" w:hAnsi="DIN OT Medium"/>
    </w:rPr>
  </w:style>
  <w:style w:type="table" w:customStyle="1" w:styleId="TableOption2">
    <w:name w:val="Table Option 2"/>
    <w:basedOn w:val="TableGrid"/>
    <w:uiPriority w:val="99"/>
    <w:rsid w:val="00B20DFD"/>
    <w:tblPr/>
    <w:tcPr>
      <w:shd w:val="clear" w:color="auto" w:fill="EAECEE" w:themeFill="accent4" w:themeFillTint="33"/>
    </w:tcPr>
    <w:tblStylePr w:type="firstRow">
      <w:rPr>
        <w:rFonts w:ascii="DIN OT Medium" w:hAnsi="DIN OT Medium"/>
        <w:b w:val="0"/>
        <w:color w:val="FFFFFF" w:themeColor="background1"/>
      </w:rPr>
      <w:tblPr/>
      <w:trPr>
        <w:cantSplit/>
        <w:tblHeader/>
      </w:trPr>
      <w:tcPr>
        <w:shd w:val="clear" w:color="auto" w:fill="012169" w:themeFill="accent1"/>
      </w:tcPr>
    </w:tblStylePr>
    <w:tblStylePr w:type="lastRow">
      <w:rPr>
        <w:rFonts w:ascii="DIN OT Medium" w:hAnsi="DIN OT Medium"/>
        <w:b w:val="0"/>
      </w:rPr>
      <w:tblPr/>
      <w:tcPr>
        <w:shd w:val="clear" w:color="auto" w:fill="EAECEE" w:themeFill="accent4" w:themeFillTint="33"/>
      </w:tcPr>
    </w:tblStylePr>
    <w:tblStylePr w:type="firstCol">
      <w:rPr>
        <w:rFonts w:ascii="DIN OT Medium" w:hAnsi="DIN OT Medium"/>
        <w:b w:val="0"/>
        <w:color w:val="auto"/>
      </w:rPr>
      <w:tblPr/>
      <w:tcPr>
        <w:shd w:val="clear" w:color="auto" w:fill="012169" w:themeFill="accent1"/>
      </w:tcPr>
    </w:tblStylePr>
    <w:tblStylePr w:type="lastCol">
      <w:pPr>
        <w:jc w:val="right"/>
      </w:pPr>
      <w:rPr>
        <w:rFonts w:ascii="DIN OT Medium" w:hAnsi="DIN OT Medium"/>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0B74CA"/>
    <w:pPr>
      <w:keepNext/>
      <w:numPr>
        <w:numId w:val="0"/>
      </w:numPr>
      <w:spacing w:before="240" w:after="120"/>
    </w:pPr>
    <w:rPr>
      <w:rFonts w:ascii="DIN OT Medium" w:hAnsi="DIN OT Medium"/>
    </w:rPr>
  </w:style>
  <w:style w:type="paragraph" w:customStyle="1" w:styleId="NameTitleDivision">
    <w:name w:val="Name/Title/Division"/>
    <w:basedOn w:val="Normal"/>
    <w:uiPriority w:val="18"/>
    <w:qFormat/>
    <w:rsid w:val="000573E5"/>
    <w:pPr>
      <w:numPr>
        <w:numId w:val="0"/>
      </w:numPr>
      <w:contextualSpacing/>
    </w:pPr>
    <w:rPr>
      <w:i/>
    </w:rPr>
  </w:style>
  <w:style w:type="paragraph" w:customStyle="1" w:styleId="DisclaimerHeading">
    <w:name w:val="Disclaimer Heading"/>
    <w:basedOn w:val="Normal"/>
    <w:next w:val="Normal"/>
    <w:uiPriority w:val="32"/>
    <w:rsid w:val="00EE70EE"/>
    <w:pPr>
      <w:framePr w:w="9027" w:wrap="around" w:hAnchor="text" w:yAlign="bottom"/>
      <w:numPr>
        <w:numId w:val="0"/>
      </w:numPr>
      <w:pBdr>
        <w:top w:val="single" w:sz="48" w:space="1" w:color="D9D9D9" w:themeColor="background1" w:themeShade="D9"/>
        <w:left w:val="single" w:sz="24" w:space="4" w:color="D9D9D9" w:themeColor="background1" w:themeShade="D9"/>
        <w:bottom w:val="single" w:sz="48" w:space="1" w:color="D9D9D9" w:themeColor="background1" w:themeShade="D9"/>
        <w:right w:val="single" w:sz="24" w:space="4" w:color="D9D9D9" w:themeColor="background1" w:themeShade="D9"/>
      </w:pBdr>
      <w:shd w:val="clear" w:color="auto" w:fill="D9D9D9" w:themeFill="background1" w:themeFillShade="D9"/>
      <w:spacing w:before="240"/>
      <w:ind w:left="170" w:right="170"/>
    </w:pPr>
    <w:rPr>
      <w:rFonts w:ascii="DIN OT Medium" w:hAnsi="DIN OT Medium"/>
      <w:sz w:val="28"/>
    </w:rPr>
  </w:style>
  <w:style w:type="paragraph" w:customStyle="1" w:styleId="DisclaimerText">
    <w:name w:val="Disclaimer Text"/>
    <w:basedOn w:val="DisclaimerHeading"/>
    <w:uiPriority w:val="32"/>
    <w:rsid w:val="00EE70EE"/>
    <w:pPr>
      <w:framePr w:wrap="around"/>
    </w:pPr>
    <w:rPr>
      <w:rFonts w:ascii="DIN OT Light" w:hAnsi="DIN OT Light"/>
      <w:sz w:val="22"/>
    </w:rPr>
  </w:style>
  <w:style w:type="character" w:customStyle="1" w:styleId="BoldCharacterDINOTMedium">
    <w:name w:val="Bold Character (DIN OT Medium)"/>
    <w:basedOn w:val="DefaultParagraphFont"/>
    <w:uiPriority w:val="10"/>
    <w:qFormat/>
    <w:rsid w:val="00484BF5"/>
    <w:rPr>
      <w:rFonts w:ascii="DIN OT Medium" w:hAnsi="DIN OT Medium"/>
    </w:rPr>
  </w:style>
  <w:style w:type="paragraph" w:customStyle="1" w:styleId="CoverLine">
    <w:name w:val="Cover Line"/>
    <w:basedOn w:val="Normal"/>
    <w:uiPriority w:val="31"/>
    <w:qFormat/>
    <w:rsid w:val="008B2BF9"/>
    <w:pPr>
      <w:numPr>
        <w:numId w:val="0"/>
      </w:numPr>
      <w:pBdr>
        <w:bottom w:val="single" w:sz="24" w:space="10" w:color="00A9E0" w:themeColor="accent2"/>
      </w:pBdr>
      <w:spacing w:before="2170" w:after="0" w:line="192" w:lineRule="auto"/>
      <w:ind w:left="-1440" w:firstLine="1021"/>
    </w:pPr>
    <w:rPr>
      <w:rFonts w:ascii="DIN OT Medium" w:hAnsi="DIN OT Medium"/>
      <w:caps/>
      <w:color w:val="FFFFFF" w:themeColor="background1"/>
      <w:sz w:val="80"/>
    </w:rPr>
  </w:style>
  <w:style w:type="table" w:customStyle="1" w:styleId="Style1">
    <w:name w:val="Style1"/>
    <w:basedOn w:val="TableNormal"/>
    <w:uiPriority w:val="99"/>
    <w:rsid w:val="00362355"/>
    <w:pPr>
      <w:spacing w:after="0"/>
    </w:pPr>
    <w:rPr>
      <w:sz w:val="20"/>
    </w:rPr>
    <w:tblPr/>
  </w:style>
  <w:style w:type="table" w:styleId="GridTable7Colorful-Accent6">
    <w:name w:val="Grid Table 7 Colorful Accent 6"/>
    <w:basedOn w:val="TableNormal"/>
    <w:uiPriority w:val="52"/>
    <w:locked/>
    <w:rsid w:val="005971F3"/>
    <w:pPr>
      <w:spacing w:after="0"/>
    </w:pPr>
    <w:rPr>
      <w:color w:val="26A6DC" w:themeColor="accent6" w:themeShade="BF"/>
    </w:rPr>
    <w:tblPr>
      <w:tblStyleRowBandSize w:val="1"/>
      <w:tblStyleColBandSize w:val="1"/>
      <w:tblBorders>
        <w:top w:val="single" w:sz="4" w:space="0" w:color="A9DCF1" w:themeColor="accent6" w:themeTint="99"/>
        <w:left w:val="single" w:sz="4" w:space="0" w:color="A9DCF1" w:themeColor="accent6" w:themeTint="99"/>
        <w:bottom w:val="single" w:sz="4" w:space="0" w:color="A9DCF1" w:themeColor="accent6" w:themeTint="99"/>
        <w:right w:val="single" w:sz="4" w:space="0" w:color="A9DCF1" w:themeColor="accent6" w:themeTint="99"/>
        <w:insideH w:val="single" w:sz="4" w:space="0" w:color="A9DCF1" w:themeColor="accent6" w:themeTint="99"/>
        <w:insideV w:val="single" w:sz="4" w:space="0" w:color="A9DC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6" w:themeFillTint="33"/>
      </w:tcPr>
    </w:tblStylePr>
    <w:tblStylePr w:type="band1Horz">
      <w:tblPr/>
      <w:tcPr>
        <w:shd w:val="clear" w:color="auto" w:fill="E2F3FA" w:themeFill="accent6" w:themeFillTint="33"/>
      </w:tcPr>
    </w:tblStylePr>
    <w:tblStylePr w:type="neCell">
      <w:tblPr/>
      <w:tcPr>
        <w:tcBorders>
          <w:bottom w:val="single" w:sz="4" w:space="0" w:color="A9DCF1" w:themeColor="accent6" w:themeTint="99"/>
        </w:tcBorders>
      </w:tcPr>
    </w:tblStylePr>
    <w:tblStylePr w:type="nwCell">
      <w:tblPr/>
      <w:tcPr>
        <w:tcBorders>
          <w:bottom w:val="single" w:sz="4" w:space="0" w:color="A9DCF1" w:themeColor="accent6" w:themeTint="99"/>
        </w:tcBorders>
      </w:tcPr>
    </w:tblStylePr>
    <w:tblStylePr w:type="seCell">
      <w:tblPr/>
      <w:tcPr>
        <w:tcBorders>
          <w:top w:val="single" w:sz="4" w:space="0" w:color="A9DCF1" w:themeColor="accent6" w:themeTint="99"/>
        </w:tcBorders>
      </w:tcPr>
    </w:tblStylePr>
    <w:tblStylePr w:type="swCell">
      <w:tblPr/>
      <w:tcPr>
        <w:tcBorders>
          <w:top w:val="single" w:sz="4" w:space="0" w:color="A9DCF1" w:themeColor="accent6" w:themeTint="99"/>
        </w:tcBorders>
      </w:tcPr>
    </w:tblStylePr>
  </w:style>
  <w:style w:type="character" w:customStyle="1" w:styleId="LightCharacterDINOTLight">
    <w:name w:val="Light Character (DIN OT Light)"/>
    <w:basedOn w:val="DefaultParagraphFont"/>
    <w:uiPriority w:val="10"/>
    <w:qFormat/>
    <w:rsid w:val="00DB34F0"/>
    <w:rPr>
      <w:rFonts w:ascii="DIN OT Light" w:hAnsi="DIN OT Light"/>
    </w:rPr>
  </w:style>
  <w:style w:type="character" w:customStyle="1" w:styleId="document-linklabel">
    <w:name w:val="document-link__label"/>
    <w:basedOn w:val="DefaultParagraphFont"/>
    <w:rsid w:val="00962A5A"/>
  </w:style>
  <w:style w:type="paragraph" w:customStyle="1" w:styleId="Figurenumbered">
    <w:name w:val="Figure numbered"/>
    <w:basedOn w:val="Normal"/>
    <w:link w:val="FigurenumberedChar"/>
    <w:qFormat/>
    <w:rsid w:val="00D703F9"/>
    <w:pPr>
      <w:numPr>
        <w:numId w:val="9"/>
      </w:numPr>
    </w:pPr>
    <w:rPr>
      <w:rFonts w:ascii="DIN OT Medium" w:hAnsi="DIN OT Medium"/>
      <w:i/>
      <w:color w:val="012169" w:themeColor="text2"/>
    </w:rPr>
  </w:style>
  <w:style w:type="character" w:customStyle="1" w:styleId="FigurenumberedChar">
    <w:name w:val="Figure numbered Char"/>
    <w:basedOn w:val="DefaultParagraphFont"/>
    <w:link w:val="Figurenumbered"/>
    <w:rsid w:val="00D703F9"/>
    <w:rPr>
      <w:rFonts w:ascii="DIN OT Medium" w:hAnsi="DIN OT Medium"/>
      <w:i/>
      <w:color w:val="012169" w:themeColor="text2"/>
    </w:rPr>
  </w:style>
  <w:style w:type="paragraph" w:customStyle="1" w:styleId="Bullet">
    <w:name w:val="Bullet"/>
    <w:basedOn w:val="Normal"/>
    <w:rsid w:val="00D703F9"/>
    <w:pPr>
      <w:numPr>
        <w:numId w:val="10"/>
      </w:numPr>
      <w:tabs>
        <w:tab w:val="left" w:pos="1935"/>
      </w:tabs>
      <w:spacing w:before="120"/>
      <w:jc w:val="both"/>
    </w:pPr>
    <w:rPr>
      <w:rFonts w:ascii="Arial" w:eastAsia="Times New Roman" w:hAnsi="Arial" w:cs="Times New Roman"/>
      <w:color w:val="auto"/>
      <w:sz w:val="24"/>
      <w:szCs w:val="24"/>
      <w:lang w:eastAsia="en-AU"/>
    </w:rPr>
  </w:style>
  <w:style w:type="paragraph" w:customStyle="1" w:styleId="Tablenumbered">
    <w:name w:val="Table numbered"/>
    <w:basedOn w:val="Figurenumbered"/>
    <w:link w:val="TablenumberedChar"/>
    <w:qFormat/>
    <w:rsid w:val="00DD5183"/>
    <w:pPr>
      <w:numPr>
        <w:numId w:val="0"/>
      </w:numPr>
      <w:ind w:left="360" w:hanging="360"/>
    </w:pPr>
  </w:style>
  <w:style w:type="character" w:customStyle="1" w:styleId="TablenumberedChar">
    <w:name w:val="Table numbered Char"/>
    <w:basedOn w:val="FigurenumberedChar"/>
    <w:link w:val="Tablenumbered"/>
    <w:rsid w:val="00DD5183"/>
    <w:rPr>
      <w:rFonts w:ascii="DIN OT Medium" w:hAnsi="DIN OT Medium"/>
      <w:i/>
      <w:color w:val="012169" w:themeColor="text2"/>
    </w:rPr>
  </w:style>
  <w:style w:type="paragraph" w:styleId="Revision">
    <w:name w:val="Revision"/>
    <w:hidden/>
    <w:uiPriority w:val="99"/>
    <w:semiHidden/>
    <w:rsid w:val="00FE5328"/>
    <w:pPr>
      <w:spacing w:after="0"/>
    </w:pPr>
    <w:rPr>
      <w:rFonts w:ascii="DIN OT Light" w:hAnsi="DIN OT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2540">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512303750">
      <w:bodyDiv w:val="1"/>
      <w:marLeft w:val="0"/>
      <w:marRight w:val="0"/>
      <w:marTop w:val="0"/>
      <w:marBottom w:val="0"/>
      <w:divBdr>
        <w:top w:val="none" w:sz="0" w:space="0" w:color="auto"/>
        <w:left w:val="none" w:sz="0" w:space="0" w:color="auto"/>
        <w:bottom w:val="none" w:sz="0" w:space="0" w:color="auto"/>
        <w:right w:val="none" w:sz="0" w:space="0" w:color="auto"/>
      </w:divBdr>
    </w:div>
    <w:div w:id="580988025">
      <w:bodyDiv w:val="1"/>
      <w:marLeft w:val="0"/>
      <w:marRight w:val="0"/>
      <w:marTop w:val="0"/>
      <w:marBottom w:val="0"/>
      <w:divBdr>
        <w:top w:val="none" w:sz="0" w:space="0" w:color="auto"/>
        <w:left w:val="none" w:sz="0" w:space="0" w:color="auto"/>
        <w:bottom w:val="none" w:sz="0" w:space="0" w:color="auto"/>
        <w:right w:val="none" w:sz="0" w:space="0" w:color="auto"/>
      </w:divBdr>
    </w:div>
    <w:div w:id="631793980">
      <w:bodyDiv w:val="1"/>
      <w:marLeft w:val="0"/>
      <w:marRight w:val="0"/>
      <w:marTop w:val="0"/>
      <w:marBottom w:val="0"/>
      <w:divBdr>
        <w:top w:val="none" w:sz="0" w:space="0" w:color="auto"/>
        <w:left w:val="none" w:sz="0" w:space="0" w:color="auto"/>
        <w:bottom w:val="none" w:sz="0" w:space="0" w:color="auto"/>
        <w:right w:val="none" w:sz="0" w:space="0" w:color="auto"/>
      </w:divBdr>
    </w:div>
    <w:div w:id="74260048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134100586">
      <w:bodyDiv w:val="1"/>
      <w:marLeft w:val="0"/>
      <w:marRight w:val="0"/>
      <w:marTop w:val="0"/>
      <w:marBottom w:val="0"/>
      <w:divBdr>
        <w:top w:val="none" w:sz="0" w:space="0" w:color="auto"/>
        <w:left w:val="none" w:sz="0" w:space="0" w:color="auto"/>
        <w:bottom w:val="none" w:sz="0" w:space="0" w:color="auto"/>
        <w:right w:val="none" w:sz="0" w:space="0" w:color="auto"/>
      </w:divBdr>
    </w:div>
    <w:div w:id="1192719230">
      <w:bodyDiv w:val="1"/>
      <w:marLeft w:val="0"/>
      <w:marRight w:val="0"/>
      <w:marTop w:val="0"/>
      <w:marBottom w:val="0"/>
      <w:divBdr>
        <w:top w:val="none" w:sz="0" w:space="0" w:color="auto"/>
        <w:left w:val="none" w:sz="0" w:space="0" w:color="auto"/>
        <w:bottom w:val="none" w:sz="0" w:space="0" w:color="auto"/>
        <w:right w:val="none" w:sz="0" w:space="0" w:color="auto"/>
      </w:divBdr>
    </w:div>
    <w:div w:id="1308393445">
      <w:bodyDiv w:val="1"/>
      <w:marLeft w:val="0"/>
      <w:marRight w:val="0"/>
      <w:marTop w:val="0"/>
      <w:marBottom w:val="0"/>
      <w:divBdr>
        <w:top w:val="none" w:sz="0" w:space="0" w:color="auto"/>
        <w:left w:val="none" w:sz="0" w:space="0" w:color="auto"/>
        <w:bottom w:val="none" w:sz="0" w:space="0" w:color="auto"/>
        <w:right w:val="none" w:sz="0" w:space="0" w:color="auto"/>
      </w:divBdr>
    </w:div>
    <w:div w:id="134710047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34016944">
      <w:bodyDiv w:val="1"/>
      <w:marLeft w:val="0"/>
      <w:marRight w:val="0"/>
      <w:marTop w:val="0"/>
      <w:marBottom w:val="0"/>
      <w:divBdr>
        <w:top w:val="none" w:sz="0" w:space="0" w:color="auto"/>
        <w:left w:val="none" w:sz="0" w:space="0" w:color="auto"/>
        <w:bottom w:val="none" w:sz="0" w:space="0" w:color="auto"/>
        <w:right w:val="none" w:sz="0" w:space="0" w:color="auto"/>
      </w:divBdr>
    </w:div>
    <w:div w:id="1665934382">
      <w:bodyDiv w:val="1"/>
      <w:marLeft w:val="0"/>
      <w:marRight w:val="0"/>
      <w:marTop w:val="0"/>
      <w:marBottom w:val="0"/>
      <w:divBdr>
        <w:top w:val="none" w:sz="0" w:space="0" w:color="auto"/>
        <w:left w:val="none" w:sz="0" w:space="0" w:color="auto"/>
        <w:bottom w:val="none" w:sz="0" w:space="0" w:color="auto"/>
        <w:right w:val="none" w:sz="0" w:space="0" w:color="auto"/>
      </w:divBdr>
    </w:div>
    <w:div w:id="1667854272">
      <w:bodyDiv w:val="1"/>
      <w:marLeft w:val="0"/>
      <w:marRight w:val="0"/>
      <w:marTop w:val="0"/>
      <w:marBottom w:val="0"/>
      <w:divBdr>
        <w:top w:val="none" w:sz="0" w:space="0" w:color="auto"/>
        <w:left w:val="none" w:sz="0" w:space="0" w:color="auto"/>
        <w:bottom w:val="none" w:sz="0" w:space="0" w:color="auto"/>
        <w:right w:val="none" w:sz="0" w:space="0" w:color="auto"/>
      </w:divBdr>
    </w:div>
    <w:div w:id="1711416383">
      <w:bodyDiv w:val="1"/>
      <w:marLeft w:val="0"/>
      <w:marRight w:val="0"/>
      <w:marTop w:val="0"/>
      <w:marBottom w:val="0"/>
      <w:divBdr>
        <w:top w:val="none" w:sz="0" w:space="0" w:color="auto"/>
        <w:left w:val="none" w:sz="0" w:space="0" w:color="auto"/>
        <w:bottom w:val="none" w:sz="0" w:space="0" w:color="auto"/>
        <w:right w:val="none" w:sz="0" w:space="0" w:color="auto"/>
      </w:divBdr>
    </w:div>
    <w:div w:id="1731614195">
      <w:bodyDiv w:val="1"/>
      <w:marLeft w:val="0"/>
      <w:marRight w:val="0"/>
      <w:marTop w:val="0"/>
      <w:marBottom w:val="0"/>
      <w:divBdr>
        <w:top w:val="none" w:sz="0" w:space="0" w:color="auto"/>
        <w:left w:val="none" w:sz="0" w:space="0" w:color="auto"/>
        <w:bottom w:val="none" w:sz="0" w:space="0" w:color="auto"/>
        <w:right w:val="none" w:sz="0" w:space="0" w:color="auto"/>
      </w:divBdr>
    </w:div>
    <w:div w:id="1791391436">
      <w:bodyDiv w:val="1"/>
      <w:marLeft w:val="0"/>
      <w:marRight w:val="0"/>
      <w:marTop w:val="0"/>
      <w:marBottom w:val="0"/>
      <w:divBdr>
        <w:top w:val="none" w:sz="0" w:space="0" w:color="auto"/>
        <w:left w:val="none" w:sz="0" w:space="0" w:color="auto"/>
        <w:bottom w:val="none" w:sz="0" w:space="0" w:color="auto"/>
        <w:right w:val="none" w:sz="0" w:space="0" w:color="auto"/>
      </w:divBdr>
    </w:div>
    <w:div w:id="1934043690">
      <w:bodyDiv w:val="1"/>
      <w:marLeft w:val="0"/>
      <w:marRight w:val="0"/>
      <w:marTop w:val="0"/>
      <w:marBottom w:val="0"/>
      <w:divBdr>
        <w:top w:val="none" w:sz="0" w:space="0" w:color="auto"/>
        <w:left w:val="none" w:sz="0" w:space="0" w:color="auto"/>
        <w:bottom w:val="none" w:sz="0" w:space="0" w:color="auto"/>
        <w:right w:val="none" w:sz="0" w:space="0" w:color="auto"/>
      </w:divBdr>
    </w:div>
    <w:div w:id="1945459939">
      <w:bodyDiv w:val="1"/>
      <w:marLeft w:val="0"/>
      <w:marRight w:val="0"/>
      <w:marTop w:val="0"/>
      <w:marBottom w:val="0"/>
      <w:divBdr>
        <w:top w:val="none" w:sz="0" w:space="0" w:color="auto"/>
        <w:left w:val="none" w:sz="0" w:space="0" w:color="auto"/>
        <w:bottom w:val="none" w:sz="0" w:space="0" w:color="auto"/>
        <w:right w:val="none" w:sz="0" w:space="0" w:color="auto"/>
      </w:divBdr>
    </w:div>
    <w:div w:id="2017880241">
      <w:bodyDiv w:val="1"/>
      <w:marLeft w:val="0"/>
      <w:marRight w:val="0"/>
      <w:marTop w:val="0"/>
      <w:marBottom w:val="0"/>
      <w:divBdr>
        <w:top w:val="none" w:sz="0" w:space="0" w:color="auto"/>
        <w:left w:val="none" w:sz="0" w:space="0" w:color="auto"/>
        <w:bottom w:val="none" w:sz="0" w:space="0" w:color="auto"/>
        <w:right w:val="none" w:sz="0" w:space="0" w:color="auto"/>
      </w:divBdr>
    </w:div>
    <w:div w:id="2034573818">
      <w:bodyDiv w:val="1"/>
      <w:marLeft w:val="0"/>
      <w:marRight w:val="0"/>
      <w:marTop w:val="0"/>
      <w:marBottom w:val="0"/>
      <w:divBdr>
        <w:top w:val="none" w:sz="0" w:space="0" w:color="auto"/>
        <w:left w:val="none" w:sz="0" w:space="0" w:color="auto"/>
        <w:bottom w:val="none" w:sz="0" w:space="0" w:color="auto"/>
        <w:right w:val="none" w:sz="0" w:space="0" w:color="auto"/>
      </w:divBdr>
    </w:div>
    <w:div w:id="20999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customXml" Target="../customXml/item2.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hyperlink" Target="https://rbm.obpr.gov.au/home.aspx" TargetMode="External"/><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hyperlink" Target="mailto:PolicyDevelopment@apra.gov.au" TargetMode="External"/><Relationship Id="rId4" Type="http://schemas.openxmlformats.org/officeDocument/2006/relationships/styles" Target="styles.xml"/><Relationship Id="rId9" Type="http://schemas.openxmlformats.org/officeDocument/2006/relationships/hyperlink" Target="https://creativecommons.org/licenses/by/3.0/au/"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Details/F2019L00869" TargetMode="External"/><Relationship Id="rId13" Type="http://schemas.openxmlformats.org/officeDocument/2006/relationships/hyperlink" Target="https://www.apra.gov.au/new-accounting-standard-&#8211;-aasb-17-insurance-contracts" TargetMode="External"/><Relationship Id="rId3" Type="http://schemas.openxmlformats.org/officeDocument/2006/relationships/hyperlink" Target="https://www.apra.gov.au/private-health-insurance-prudential-policy-outlook" TargetMode="External"/><Relationship Id="rId7" Type="http://schemas.openxmlformats.org/officeDocument/2006/relationships/hyperlink" Target="https://www.apra.gov.au/review-private-health-insurance-capital-framework" TargetMode="External"/><Relationship Id="rId12" Type="http://schemas.openxmlformats.org/officeDocument/2006/relationships/hyperlink" Target="https://www.apra.gov.au/data-collection-solution-communications-and-past-updates" TargetMode="External"/><Relationship Id="rId2" Type="http://schemas.openxmlformats.org/officeDocument/2006/relationships/hyperlink" Target="https://www.apra.gov.au/new-accounting-standard-&#8211;-aasb-17-insurance-contracts" TargetMode="External"/><Relationship Id="rId1" Type="http://schemas.openxmlformats.org/officeDocument/2006/relationships/hyperlink" Target="https://www.apra.gov.au/sites/default/files/phi_capital_roadmap_letter.pdf" TargetMode="External"/><Relationship Id="rId6" Type="http://schemas.openxmlformats.org/officeDocument/2006/relationships/hyperlink" Target="https://www.apra.gov.au/sites/default/files/phi_capital_roadmap_letter.pdf" TargetMode="External"/><Relationship Id="rId11" Type="http://schemas.openxmlformats.org/officeDocument/2006/relationships/hyperlink" Target="https://www.apra.gov.au/sites/default/files/CPG-110-ICAAP-and-Supervisory-Review-March-2013_3.pdf" TargetMode="External"/><Relationship Id="rId5" Type="http://schemas.openxmlformats.org/officeDocument/2006/relationships/hyperlink" Target="https://www.legislation.gov.au/Details/F2013L01684/Download" TargetMode="External"/><Relationship Id="rId10" Type="http://schemas.openxmlformats.org/officeDocument/2006/relationships/hyperlink" Target="https://www.apra.gov.au/sites/default/files/CPG-110-ICAAP-and-Supervisory-Review-March-2013_3.pdf" TargetMode="External"/><Relationship Id="rId4" Type="http://schemas.openxmlformats.org/officeDocument/2006/relationships/hyperlink" Target="https://www.apra.gov.au/review-private-health-insurance-capital-framework" TargetMode="External"/><Relationship Id="rId9" Type="http://schemas.openxmlformats.org/officeDocument/2006/relationships/hyperlink" Target="https://www.legislation.gov.au/Details/F2012L02460" TargetMode="External"/><Relationship Id="rId14" Type="http://schemas.openxmlformats.org/officeDocument/2006/relationships/hyperlink" Target="https://www.apra.gov.au/new-accounting-standard-&#8211;-aasb-17-insurance-contr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charts/_rels/chart1.xml.rels><?xml version="1.0" encoding="UTF-8" standalone="yes"?>
<Relationships xmlns="http://schemas.openxmlformats.org/package/2006/relationships"><Relationship Id="rId3" Type="http://schemas.openxmlformats.org/officeDocument/2006/relationships/oleObject" Target="file:///\\internal.apra.gov.au\users$\Sydney\tsmult\Policy%20-%202nd%20Rotation\Workbook%20for%20Presentation%20Slid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77636815036139E-2"/>
          <c:y val="3.0780003177148501E-2"/>
          <c:w val="0.88484500294812385"/>
          <c:h val="0.65407110158700987"/>
        </c:manualLayout>
      </c:layout>
      <c:barChart>
        <c:barDir val="col"/>
        <c:grouping val="clustered"/>
        <c:varyColors val="0"/>
        <c:ser>
          <c:idx val="0"/>
          <c:order val="0"/>
          <c:tx>
            <c:v>Data</c:v>
          </c:tx>
          <c:spPr>
            <a:solidFill>
              <a:schemeClr val="accent1"/>
            </a:solidFill>
            <a:ln>
              <a:noFill/>
            </a:ln>
            <a:effectLst/>
          </c:spPr>
          <c:invertIfNegative val="0"/>
          <c:dPt>
            <c:idx val="0"/>
            <c:invertIfNegative val="0"/>
            <c:bubble3D val="0"/>
            <c:spPr>
              <a:solidFill>
                <a:srgbClr val="012169"/>
              </a:solidFill>
              <a:ln>
                <a:solidFill>
                  <a:srgbClr val="012169"/>
                </a:solidFill>
              </a:ln>
              <a:effectLst/>
            </c:spPr>
            <c:extLst>
              <c:ext xmlns:c16="http://schemas.microsoft.com/office/drawing/2014/chart" uri="{C3380CC4-5D6E-409C-BE32-E72D297353CC}">
                <c16:uniqueId val="{00000001-FE29-4783-8C79-87A68B5B272C}"/>
              </c:ext>
            </c:extLst>
          </c:dPt>
          <c:dPt>
            <c:idx val="1"/>
            <c:invertIfNegative val="0"/>
            <c:bubble3D val="0"/>
            <c:spPr>
              <a:solidFill>
                <a:srgbClr val="012169"/>
              </a:solidFill>
              <a:ln>
                <a:solidFill>
                  <a:srgbClr val="012169"/>
                </a:solidFill>
              </a:ln>
              <a:effectLst/>
            </c:spPr>
            <c:extLst>
              <c:ext xmlns:c16="http://schemas.microsoft.com/office/drawing/2014/chart" uri="{C3380CC4-5D6E-409C-BE32-E72D297353CC}">
                <c16:uniqueId val="{00000003-FE29-4783-8C79-87A68B5B272C}"/>
              </c:ext>
            </c:extLst>
          </c:dPt>
          <c:dPt>
            <c:idx val="2"/>
            <c:invertIfNegative val="0"/>
            <c:bubble3D val="0"/>
            <c:spPr>
              <a:solidFill>
                <a:srgbClr val="00A9E0"/>
              </a:solidFill>
              <a:ln>
                <a:solidFill>
                  <a:srgbClr val="00A9E0"/>
                </a:solidFill>
              </a:ln>
              <a:effectLst/>
            </c:spPr>
            <c:extLst>
              <c:ext xmlns:c16="http://schemas.microsoft.com/office/drawing/2014/chart" uri="{C3380CC4-5D6E-409C-BE32-E72D297353CC}">
                <c16:uniqueId val="{00000005-FE29-4783-8C79-87A68B5B272C}"/>
              </c:ext>
            </c:extLst>
          </c:dPt>
          <c:dPt>
            <c:idx val="3"/>
            <c:invertIfNegative val="0"/>
            <c:bubble3D val="0"/>
            <c:spPr>
              <a:solidFill>
                <a:srgbClr val="012169"/>
              </a:solidFill>
              <a:ln>
                <a:solidFill>
                  <a:srgbClr val="012169"/>
                </a:solidFill>
              </a:ln>
              <a:effectLst/>
            </c:spPr>
            <c:extLst>
              <c:ext xmlns:c16="http://schemas.microsoft.com/office/drawing/2014/chart" uri="{C3380CC4-5D6E-409C-BE32-E72D297353CC}">
                <c16:uniqueId val="{00000007-FE29-4783-8C79-87A68B5B272C}"/>
              </c:ext>
            </c:extLst>
          </c:dPt>
          <c:dPt>
            <c:idx val="4"/>
            <c:invertIfNegative val="0"/>
            <c:bubble3D val="0"/>
            <c:spPr>
              <a:solidFill>
                <a:srgbClr val="00A9E0"/>
              </a:solidFill>
              <a:ln>
                <a:solidFill>
                  <a:srgbClr val="00A9E0"/>
                </a:solidFill>
              </a:ln>
              <a:effectLst/>
            </c:spPr>
            <c:extLst>
              <c:ext xmlns:c16="http://schemas.microsoft.com/office/drawing/2014/chart" uri="{C3380CC4-5D6E-409C-BE32-E72D297353CC}">
                <c16:uniqueId val="{00000009-FE29-4783-8C79-87A68B5B272C}"/>
              </c:ext>
            </c:extLst>
          </c:dPt>
          <c:dPt>
            <c:idx val="5"/>
            <c:invertIfNegative val="0"/>
            <c:bubble3D val="0"/>
            <c:spPr>
              <a:solidFill>
                <a:srgbClr val="00A9E0"/>
              </a:solidFill>
              <a:ln>
                <a:solidFill>
                  <a:srgbClr val="00A9E0"/>
                </a:solidFill>
              </a:ln>
              <a:effectLst/>
            </c:spPr>
            <c:extLst>
              <c:ext xmlns:c16="http://schemas.microsoft.com/office/drawing/2014/chart" uri="{C3380CC4-5D6E-409C-BE32-E72D297353CC}">
                <c16:uniqueId val="{0000000B-FE29-4783-8C79-87A68B5B272C}"/>
              </c:ext>
            </c:extLst>
          </c:dPt>
          <c:dPt>
            <c:idx val="6"/>
            <c:invertIfNegative val="0"/>
            <c:bubble3D val="0"/>
            <c:spPr>
              <a:solidFill>
                <a:srgbClr val="012169"/>
              </a:solidFill>
              <a:ln>
                <a:solidFill>
                  <a:srgbClr val="012169"/>
                </a:solidFill>
              </a:ln>
              <a:effectLst/>
            </c:spPr>
            <c:extLst>
              <c:ext xmlns:c16="http://schemas.microsoft.com/office/drawing/2014/chart" uri="{C3380CC4-5D6E-409C-BE32-E72D297353CC}">
                <c16:uniqueId val="{0000000D-FE29-4783-8C79-87A68B5B272C}"/>
              </c:ext>
            </c:extLst>
          </c:dPt>
          <c:dPt>
            <c:idx val="7"/>
            <c:invertIfNegative val="0"/>
            <c:bubble3D val="0"/>
            <c:spPr>
              <a:solidFill>
                <a:srgbClr val="00A9E0"/>
              </a:solidFill>
              <a:ln>
                <a:solidFill>
                  <a:srgbClr val="00A9E0"/>
                </a:solidFill>
              </a:ln>
              <a:effectLst/>
            </c:spPr>
            <c:extLst>
              <c:ext xmlns:c16="http://schemas.microsoft.com/office/drawing/2014/chart" uri="{C3380CC4-5D6E-409C-BE32-E72D297353CC}">
                <c16:uniqueId val="{0000000F-FE29-4783-8C79-87A68B5B272C}"/>
              </c:ext>
            </c:extLst>
          </c:dPt>
          <c:dPt>
            <c:idx val="8"/>
            <c:invertIfNegative val="0"/>
            <c:bubble3D val="0"/>
            <c:spPr>
              <a:solidFill>
                <a:srgbClr val="00A9E0"/>
              </a:solidFill>
              <a:ln>
                <a:solidFill>
                  <a:srgbClr val="00A9E0"/>
                </a:solidFill>
              </a:ln>
              <a:effectLst/>
            </c:spPr>
            <c:extLst>
              <c:ext xmlns:c16="http://schemas.microsoft.com/office/drawing/2014/chart" uri="{C3380CC4-5D6E-409C-BE32-E72D297353CC}">
                <c16:uniqueId val="{00000011-FE29-4783-8C79-87A68B5B272C}"/>
              </c:ext>
            </c:extLst>
          </c:dPt>
          <c:dPt>
            <c:idx val="9"/>
            <c:invertIfNegative val="0"/>
            <c:bubble3D val="0"/>
            <c:spPr>
              <a:solidFill>
                <a:srgbClr val="00A9E0"/>
              </a:solidFill>
              <a:ln>
                <a:solidFill>
                  <a:srgbClr val="00A9E0"/>
                </a:solidFill>
              </a:ln>
              <a:effectLst/>
            </c:spPr>
            <c:extLst>
              <c:ext xmlns:c16="http://schemas.microsoft.com/office/drawing/2014/chart" uri="{C3380CC4-5D6E-409C-BE32-E72D297353CC}">
                <c16:uniqueId val="{00000013-FE29-4783-8C79-87A68B5B272C}"/>
              </c:ext>
            </c:extLst>
          </c:dPt>
          <c:dPt>
            <c:idx val="10"/>
            <c:invertIfNegative val="0"/>
            <c:bubble3D val="0"/>
            <c:spPr>
              <a:solidFill>
                <a:srgbClr val="00A9E0"/>
              </a:solidFill>
              <a:ln>
                <a:noFill/>
              </a:ln>
              <a:effectLst/>
            </c:spPr>
            <c:extLst>
              <c:ext xmlns:c16="http://schemas.microsoft.com/office/drawing/2014/chart" uri="{C3380CC4-5D6E-409C-BE32-E72D297353CC}">
                <c16:uniqueId val="{00000015-FE29-4783-8C79-87A68B5B272C}"/>
              </c:ext>
            </c:extLst>
          </c:dPt>
          <c:dPt>
            <c:idx val="11"/>
            <c:invertIfNegative val="0"/>
            <c:bubble3D val="0"/>
            <c:spPr>
              <a:solidFill>
                <a:srgbClr val="00A9E0"/>
              </a:solidFill>
              <a:ln>
                <a:noFill/>
              </a:ln>
              <a:effectLst/>
            </c:spPr>
            <c:extLst>
              <c:ext xmlns:c16="http://schemas.microsoft.com/office/drawing/2014/chart" uri="{C3380CC4-5D6E-409C-BE32-E72D297353CC}">
                <c16:uniqueId val="{00000017-FE29-4783-8C79-87A68B5B272C}"/>
              </c:ext>
            </c:extLst>
          </c:dPt>
          <c:dPt>
            <c:idx val="12"/>
            <c:invertIfNegative val="0"/>
            <c:bubble3D val="0"/>
            <c:spPr>
              <a:solidFill>
                <a:srgbClr val="012169"/>
              </a:solidFill>
              <a:ln>
                <a:noFill/>
              </a:ln>
              <a:effectLst/>
            </c:spPr>
            <c:extLst>
              <c:ext xmlns:c16="http://schemas.microsoft.com/office/drawing/2014/chart" uri="{C3380CC4-5D6E-409C-BE32-E72D297353CC}">
                <c16:uniqueId val="{00000019-FE29-4783-8C79-87A68B5B272C}"/>
              </c:ext>
            </c:extLst>
          </c:dPt>
          <c:dPt>
            <c:idx val="13"/>
            <c:invertIfNegative val="0"/>
            <c:bubble3D val="0"/>
            <c:spPr>
              <a:solidFill>
                <a:srgbClr val="00A9E0"/>
              </a:solidFill>
              <a:ln>
                <a:noFill/>
              </a:ln>
              <a:effectLst/>
            </c:spPr>
            <c:extLst>
              <c:ext xmlns:c16="http://schemas.microsoft.com/office/drawing/2014/chart" uri="{C3380CC4-5D6E-409C-BE32-E72D297353CC}">
                <c16:uniqueId val="{0000001B-FE29-4783-8C79-87A68B5B272C}"/>
              </c:ext>
            </c:extLst>
          </c:dPt>
          <c:dPt>
            <c:idx val="14"/>
            <c:invertIfNegative val="0"/>
            <c:bubble3D val="0"/>
            <c:spPr>
              <a:solidFill>
                <a:srgbClr val="00A9E0"/>
              </a:solidFill>
              <a:ln>
                <a:noFill/>
              </a:ln>
              <a:effectLst/>
            </c:spPr>
            <c:extLst>
              <c:ext xmlns:c16="http://schemas.microsoft.com/office/drawing/2014/chart" uri="{C3380CC4-5D6E-409C-BE32-E72D297353CC}">
                <c16:uniqueId val="{0000001D-FE29-4783-8C79-87A68B5B272C}"/>
              </c:ext>
            </c:extLst>
          </c:dPt>
          <c:dPt>
            <c:idx val="15"/>
            <c:invertIfNegative val="0"/>
            <c:bubble3D val="0"/>
            <c:spPr>
              <a:solidFill>
                <a:srgbClr val="012169"/>
              </a:solidFill>
              <a:ln>
                <a:noFill/>
              </a:ln>
              <a:effectLst/>
            </c:spPr>
            <c:extLst>
              <c:ext xmlns:c16="http://schemas.microsoft.com/office/drawing/2014/chart" uri="{C3380CC4-5D6E-409C-BE32-E72D297353CC}">
                <c16:uniqueId val="{0000001F-FE29-4783-8C79-87A68B5B272C}"/>
              </c:ext>
            </c:extLst>
          </c:dPt>
          <c:dPt>
            <c:idx val="16"/>
            <c:invertIfNegative val="0"/>
            <c:bubble3D val="0"/>
            <c:spPr>
              <a:solidFill>
                <a:srgbClr val="00A9E0"/>
              </a:solidFill>
              <a:ln>
                <a:noFill/>
              </a:ln>
              <a:effectLst/>
            </c:spPr>
            <c:extLst>
              <c:ext xmlns:c16="http://schemas.microsoft.com/office/drawing/2014/chart" uri="{C3380CC4-5D6E-409C-BE32-E72D297353CC}">
                <c16:uniqueId val="{00000021-FE29-4783-8C79-87A68B5B272C}"/>
              </c:ext>
            </c:extLst>
          </c:dPt>
          <c:dPt>
            <c:idx val="17"/>
            <c:invertIfNegative val="0"/>
            <c:bubble3D val="0"/>
            <c:spPr>
              <a:solidFill>
                <a:srgbClr val="012169"/>
              </a:solidFill>
              <a:ln>
                <a:noFill/>
              </a:ln>
              <a:effectLst/>
            </c:spPr>
            <c:extLst>
              <c:ext xmlns:c16="http://schemas.microsoft.com/office/drawing/2014/chart" uri="{C3380CC4-5D6E-409C-BE32-E72D297353CC}">
                <c16:uniqueId val="{00000023-FE29-4783-8C79-87A68B5B272C}"/>
              </c:ext>
            </c:extLst>
          </c:dPt>
          <c:dPt>
            <c:idx val="18"/>
            <c:invertIfNegative val="0"/>
            <c:bubble3D val="0"/>
            <c:spPr>
              <a:solidFill>
                <a:srgbClr val="00A9E0"/>
              </a:solidFill>
              <a:ln>
                <a:noFill/>
              </a:ln>
              <a:effectLst/>
            </c:spPr>
            <c:extLst>
              <c:ext xmlns:c16="http://schemas.microsoft.com/office/drawing/2014/chart" uri="{C3380CC4-5D6E-409C-BE32-E72D297353CC}">
                <c16:uniqueId val="{00000025-FE29-4783-8C79-87A68B5B272C}"/>
              </c:ext>
            </c:extLst>
          </c:dPt>
          <c:dPt>
            <c:idx val="19"/>
            <c:invertIfNegative val="0"/>
            <c:bubble3D val="0"/>
            <c:spPr>
              <a:solidFill>
                <a:srgbClr val="00A9E0"/>
              </a:solidFill>
              <a:ln>
                <a:noFill/>
              </a:ln>
              <a:effectLst/>
            </c:spPr>
            <c:extLst>
              <c:ext xmlns:c16="http://schemas.microsoft.com/office/drawing/2014/chart" uri="{C3380CC4-5D6E-409C-BE32-E72D297353CC}">
                <c16:uniqueId val="{00000027-FE29-4783-8C79-87A68B5B272C}"/>
              </c:ext>
            </c:extLst>
          </c:dPt>
          <c:dPt>
            <c:idx val="20"/>
            <c:invertIfNegative val="0"/>
            <c:bubble3D val="0"/>
            <c:spPr>
              <a:solidFill>
                <a:srgbClr val="012169"/>
              </a:solidFill>
              <a:ln>
                <a:noFill/>
              </a:ln>
              <a:effectLst/>
            </c:spPr>
            <c:extLst>
              <c:ext xmlns:c16="http://schemas.microsoft.com/office/drawing/2014/chart" uri="{C3380CC4-5D6E-409C-BE32-E72D297353CC}">
                <c16:uniqueId val="{00000029-FE29-4783-8C79-87A68B5B272C}"/>
              </c:ext>
            </c:extLst>
          </c:dPt>
          <c:dPt>
            <c:idx val="21"/>
            <c:invertIfNegative val="0"/>
            <c:bubble3D val="0"/>
            <c:spPr>
              <a:solidFill>
                <a:srgbClr val="00A9E0"/>
              </a:solidFill>
              <a:ln>
                <a:noFill/>
              </a:ln>
              <a:effectLst/>
            </c:spPr>
            <c:extLst>
              <c:ext xmlns:c16="http://schemas.microsoft.com/office/drawing/2014/chart" uri="{C3380CC4-5D6E-409C-BE32-E72D297353CC}">
                <c16:uniqueId val="{0000002B-FE29-4783-8C79-87A68B5B272C}"/>
              </c:ext>
            </c:extLst>
          </c:dPt>
          <c:dPt>
            <c:idx val="22"/>
            <c:invertIfNegative val="0"/>
            <c:bubble3D val="0"/>
            <c:spPr>
              <a:solidFill>
                <a:srgbClr val="00A9E0"/>
              </a:solidFill>
              <a:ln>
                <a:noFill/>
              </a:ln>
              <a:effectLst/>
            </c:spPr>
            <c:extLst>
              <c:ext xmlns:c16="http://schemas.microsoft.com/office/drawing/2014/chart" uri="{C3380CC4-5D6E-409C-BE32-E72D297353CC}">
                <c16:uniqueId val="{0000002D-FE29-4783-8C79-87A68B5B272C}"/>
              </c:ext>
            </c:extLst>
          </c:dPt>
          <c:dPt>
            <c:idx val="23"/>
            <c:invertIfNegative val="0"/>
            <c:bubble3D val="0"/>
            <c:spPr>
              <a:solidFill>
                <a:srgbClr val="012169"/>
              </a:solidFill>
              <a:ln>
                <a:noFill/>
              </a:ln>
              <a:effectLst/>
            </c:spPr>
            <c:extLst>
              <c:ext xmlns:c16="http://schemas.microsoft.com/office/drawing/2014/chart" uri="{C3380CC4-5D6E-409C-BE32-E72D297353CC}">
                <c16:uniqueId val="{0000002F-FE29-4783-8C79-87A68B5B272C}"/>
              </c:ext>
            </c:extLst>
          </c:dPt>
          <c:dPt>
            <c:idx val="24"/>
            <c:invertIfNegative val="0"/>
            <c:bubble3D val="0"/>
            <c:spPr>
              <a:solidFill>
                <a:srgbClr val="00A9E0"/>
              </a:solidFill>
              <a:ln>
                <a:noFill/>
              </a:ln>
              <a:effectLst/>
            </c:spPr>
            <c:extLst>
              <c:ext xmlns:c16="http://schemas.microsoft.com/office/drawing/2014/chart" uri="{C3380CC4-5D6E-409C-BE32-E72D297353CC}">
                <c16:uniqueId val="{00000031-FE29-4783-8C79-87A68B5B272C}"/>
              </c:ext>
            </c:extLst>
          </c:dPt>
          <c:cat>
            <c:strRef>
              <c:f>'2018-2019'!$A$2:$A$38</c:f>
              <c:strCache>
                <c:ptCount val="37"/>
                <c:pt idx="0">
                  <c:v>BUPA</c:v>
                </c:pt>
                <c:pt idx="1">
                  <c:v>Medibank Private Limited</c:v>
                </c:pt>
                <c:pt idx="2">
                  <c:v>HCF</c:v>
                </c:pt>
                <c:pt idx="3">
                  <c:v>NIB Health Funds Ltd</c:v>
                </c:pt>
                <c:pt idx="4">
                  <c:v>HBF</c:v>
                </c:pt>
                <c:pt idx="5">
                  <c:v>Teachers Federation Health Ltd</c:v>
                </c:pt>
                <c:pt idx="6">
                  <c:v>Australian Unity Health Ltd</c:v>
                </c:pt>
                <c:pt idx="7">
                  <c:v>GMHBA Ltd</c:v>
                </c:pt>
                <c:pt idx="8">
                  <c:v>Defence Health Ltd</c:v>
                </c:pt>
                <c:pt idx="9">
                  <c:v>CBHS Health Fund Ltd</c:v>
                </c:pt>
                <c:pt idx="10">
                  <c:v>Westfund</c:v>
                </c:pt>
                <c:pt idx="11">
                  <c:v>HIF</c:v>
                </c:pt>
                <c:pt idx="12">
                  <c:v>Health.com.au Pty Ltd</c:v>
                </c:pt>
                <c:pt idx="13">
                  <c:v>Health Partners Ltd</c:v>
                </c:pt>
                <c:pt idx="14">
                  <c:v>Latrobe</c:v>
                </c:pt>
                <c:pt idx="15">
                  <c:v>Grand United Corporate Health </c:v>
                </c:pt>
                <c:pt idx="16">
                  <c:v>Queensland Teacher's Union Health</c:v>
                </c:pt>
                <c:pt idx="17">
                  <c:v>CUA Health Ltd</c:v>
                </c:pt>
                <c:pt idx="18">
                  <c:v>Peoplecare</c:v>
                </c:pt>
                <c:pt idx="19">
                  <c:v>St Luke's</c:v>
                </c:pt>
                <c:pt idx="20">
                  <c:v>Queensland Country Health</c:v>
                </c:pt>
                <c:pt idx="21">
                  <c:v>Police Health Ltd</c:v>
                </c:pt>
                <c:pt idx="22">
                  <c:v>Railway &amp; Transport Health</c:v>
                </c:pt>
                <c:pt idx="23">
                  <c:v>Doctor's Health Fund Ltd</c:v>
                </c:pt>
                <c:pt idx="24">
                  <c:v>Navy Health Ltd</c:v>
                </c:pt>
                <c:pt idx="25">
                  <c:v>Mildura</c:v>
                </c:pt>
                <c:pt idx="26">
                  <c:v>MOH</c:v>
                </c:pt>
                <c:pt idx="27">
                  <c:v>Phoenix</c:v>
                </c:pt>
                <c:pt idx="28">
                  <c:v>NHBA</c:v>
                </c:pt>
                <c:pt idx="29">
                  <c:v>HCI</c:v>
                </c:pt>
                <c:pt idx="30">
                  <c:v>Transport</c:v>
                </c:pt>
                <c:pt idx="31">
                  <c:v>ACA</c:v>
                </c:pt>
                <c:pt idx="32">
                  <c:v>NMW</c:v>
                </c:pt>
                <c:pt idx="33">
                  <c:v>CDH</c:v>
                </c:pt>
                <c:pt idx="34">
                  <c:v>RBHS</c:v>
                </c:pt>
                <c:pt idx="35">
                  <c:v>CBHSCH</c:v>
                </c:pt>
                <c:pt idx="36">
                  <c:v>ESH</c:v>
                </c:pt>
              </c:strCache>
            </c:strRef>
          </c:cat>
          <c:val>
            <c:numRef>
              <c:f>'2018-2019'!$C$2:$C$26</c:f>
              <c:numCache>
                <c:formatCode>General</c:formatCode>
                <c:ptCount val="25"/>
                <c:pt idx="0">
                  <c:v>3.597121</c:v>
                </c:pt>
                <c:pt idx="1">
                  <c:v>3.5392190000000001</c:v>
                </c:pt>
                <c:pt idx="2">
                  <c:v>1.594719</c:v>
                </c:pt>
                <c:pt idx="3">
                  <c:v>1.096544</c:v>
                </c:pt>
                <c:pt idx="4">
                  <c:v>0.98367400000000005</c:v>
                </c:pt>
                <c:pt idx="5">
                  <c:v>0.34044099999999999</c:v>
                </c:pt>
                <c:pt idx="6">
                  <c:v>0.318299</c:v>
                </c:pt>
                <c:pt idx="7">
                  <c:v>0.31530000000000002</c:v>
                </c:pt>
                <c:pt idx="8">
                  <c:v>0.29565999999999998</c:v>
                </c:pt>
                <c:pt idx="9">
                  <c:v>0.23050999999999999</c:v>
                </c:pt>
                <c:pt idx="10">
                  <c:v>0.11430800000000001</c:v>
                </c:pt>
                <c:pt idx="11">
                  <c:v>0.109125</c:v>
                </c:pt>
                <c:pt idx="12">
                  <c:v>9.3289999999999998E-2</c:v>
                </c:pt>
                <c:pt idx="13">
                  <c:v>8.9964000000000002E-2</c:v>
                </c:pt>
                <c:pt idx="14">
                  <c:v>8.1917000000000004E-2</c:v>
                </c:pt>
                <c:pt idx="15">
                  <c:v>7.9612000000000002E-2</c:v>
                </c:pt>
                <c:pt idx="16">
                  <c:v>7.8261999999999998E-2</c:v>
                </c:pt>
                <c:pt idx="17">
                  <c:v>7.7886999999999998E-2</c:v>
                </c:pt>
                <c:pt idx="18">
                  <c:v>7.6419000000000001E-2</c:v>
                </c:pt>
                <c:pt idx="19">
                  <c:v>6.8871000000000002E-2</c:v>
                </c:pt>
                <c:pt idx="20">
                  <c:v>6.1795000000000003E-2</c:v>
                </c:pt>
                <c:pt idx="21">
                  <c:v>5.8584999999999998E-2</c:v>
                </c:pt>
                <c:pt idx="22">
                  <c:v>5.2992999999999998E-2</c:v>
                </c:pt>
                <c:pt idx="23">
                  <c:v>4.5974000000000001E-2</c:v>
                </c:pt>
                <c:pt idx="24">
                  <c:v>4.5345000000000003E-2</c:v>
                </c:pt>
              </c:numCache>
            </c:numRef>
          </c:val>
          <c:extLst>
            <c:ext xmlns:c16="http://schemas.microsoft.com/office/drawing/2014/chart" uri="{C3380CC4-5D6E-409C-BE32-E72D297353CC}">
              <c16:uniqueId val="{00000032-FE29-4783-8C79-87A68B5B272C}"/>
            </c:ext>
          </c:extLst>
        </c:ser>
        <c:dLbls>
          <c:showLegendKey val="0"/>
          <c:showVal val="0"/>
          <c:showCatName val="0"/>
          <c:showSerName val="0"/>
          <c:showPercent val="0"/>
          <c:showBubbleSize val="0"/>
        </c:dLbls>
        <c:gapWidth val="150"/>
        <c:axId val="295101168"/>
        <c:axId val="295099208"/>
      </c:barChart>
      <c:catAx>
        <c:axId val="29510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DIN OT Medium" panose="020B0604020201010104" pitchFamily="34" charset="0"/>
                <a:ea typeface="+mn-ea"/>
                <a:cs typeface="+mn-cs"/>
              </a:defRPr>
            </a:pPr>
            <a:endParaRPr lang="en-US"/>
          </a:p>
        </c:txPr>
        <c:crossAx val="295099208"/>
        <c:crosses val="autoZero"/>
        <c:auto val="1"/>
        <c:lblAlgn val="ctr"/>
        <c:lblOffset val="100"/>
        <c:noMultiLvlLbl val="0"/>
      </c:catAx>
      <c:valAx>
        <c:axId val="295099208"/>
        <c:scaling>
          <c:orientation val="minMax"/>
          <c:max val="3.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DIN OT Medium" panose="020B0604020201010104" pitchFamily="34" charset="0"/>
                    <a:ea typeface="+mn-ea"/>
                    <a:cs typeface="+mn-cs"/>
                  </a:defRPr>
                </a:pPr>
                <a:r>
                  <a:rPr lang="en-AU" sz="700">
                    <a:latin typeface="DIN OT Medium" panose="020B0604020201010104" pitchFamily="34" charset="0"/>
                  </a:rPr>
                  <a:t>Millions</a:t>
                </a:r>
              </a:p>
            </c:rich>
          </c:tx>
          <c:layout>
            <c:manualLayout>
              <c:xMode val="edge"/>
              <c:yMode val="edge"/>
              <c:x val="2.1419115734847709E-2"/>
              <c:y val="1.9193666365474808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DIN OT Medium" panose="020B06040202010101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DIN OT Medium" panose="020B0604020201010104" pitchFamily="34" charset="0"/>
                <a:ea typeface="+mn-ea"/>
                <a:cs typeface="+mn-cs"/>
              </a:defRPr>
            </a:pPr>
            <a:endParaRPr lang="en-US"/>
          </a:p>
        </c:txPr>
        <c:crossAx val="29510116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dlc_DocId xmlns="4195ad5f-cdf2-4c4a-8d9b-b7944a108e98">DOCID-322795542-23712</_dlc_DocId>
    <_dlc_DocIdUrl xmlns="4195ad5f-cdf2-4c4a-8d9b-b7944a108e98">
      <Url>https://pmc01.sharepoint.com/sites/CRMOBPR/_layouts/15/DocIdRedir.aspx?ID=DOCID-322795542-23712</Url>
      <Description>DOCID-322795542-23712</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31E6C-1115-4370-A593-C8EB3455D3DF}">
  <ds:schemaRefs>
    <ds:schemaRef ds:uri="http://schemas.openxmlformats.org/officeDocument/2006/bibliography"/>
  </ds:schemaRefs>
</ds:datastoreItem>
</file>

<file path=customXml/itemProps3.xml><?xml version="1.0" encoding="utf-8"?>
<ds:datastoreItem xmlns:ds="http://schemas.openxmlformats.org/officeDocument/2006/customXml" ds:itemID="{BFDB0654-5C41-48AC-8FC3-83DF619C8FC2}"/>
</file>

<file path=customXml/itemProps4.xml><?xml version="1.0" encoding="utf-8"?>
<ds:datastoreItem xmlns:ds="http://schemas.openxmlformats.org/officeDocument/2006/customXml" ds:itemID="{10D1A08B-BFF9-4177-B8CB-C567CE312390}"/>
</file>

<file path=customXml/itemProps5.xml><?xml version="1.0" encoding="utf-8"?>
<ds:datastoreItem xmlns:ds="http://schemas.openxmlformats.org/officeDocument/2006/customXml" ds:itemID="{F7DBDDA8-3F53-4BE2-AF9F-34E0FE0973C4}"/>
</file>

<file path=customXml/itemProps6.xml><?xml version="1.0" encoding="utf-8"?>
<ds:datastoreItem xmlns:ds="http://schemas.openxmlformats.org/officeDocument/2006/customXml" ds:itemID="{F30D4EBC-5C15-4EEB-A7E8-46B926EDFE43}"/>
</file>

<file path=docProps/app.xml><?xml version="1.0" encoding="utf-8"?>
<Properties xmlns="http://schemas.openxmlformats.org/officeDocument/2006/extended-properties" xmlns:vt="http://schemas.openxmlformats.org/officeDocument/2006/docPropsVTypes">
  <Template>Normal.dotm</Template>
  <TotalTime>0</TotalTime>
  <Pages>44</Pages>
  <Words>13190</Words>
  <Characters>73591</Characters>
  <Application>Microsoft Office Word</Application>
  <DocSecurity>0</DocSecurity>
  <Lines>1345</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APRA - Discussion Paper - Private Health Insurance Capital Standards Review</dc:title>
  <dc:creator/>
  <cp:keywords>[SEC=OFFICIAL]</cp:keywords>
  <cp:lastModifiedBy/>
  <cp:revision>1</cp:revision>
  <dcterms:created xsi:type="dcterms:W3CDTF">2022-09-02T00:49:00Z</dcterms:created>
  <dcterms:modified xsi:type="dcterms:W3CDTF">2022-09-02T00:50:00Z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ng_FileId">
    <vt:lpwstr>F9B981E8734C44168D1D031DD5D08A61</vt:lpwstr>
  </property>
  <property fmtid="{D5CDD505-2E9C-101B-9397-08002B2CF9AE}" pid="3" name="PM_ProtectiveMarkingValue_Footer">
    <vt:lpwstr>OFFICIAL</vt:lpwstr>
  </property>
  <property fmtid="{D5CDD505-2E9C-101B-9397-08002B2CF9AE}" pid="4" name="PM_ProtectiveMarkingImage_Header">
    <vt:lpwstr>C:\Program Files\Common Files\janusNET Shared\janusSEAL\Images\DocumentSlashBlue.png</vt:lpwstr>
  </property>
  <property fmtid="{D5CDD505-2E9C-101B-9397-08002B2CF9AE}" pid="5" name="PM_Caveats_Count">
    <vt:lpwstr>0</vt:lpwstr>
  </property>
  <property fmtid="{D5CDD505-2E9C-101B-9397-08002B2CF9AE}" pid="6" name="PM_Qualifier">
    <vt:lpwstr/>
  </property>
  <property fmtid="{D5CDD505-2E9C-101B-9397-08002B2CF9AE}" pid="7" name="PM_DisplayValueSecClassificationWithQualifier">
    <vt:lpwstr>OFFICIAL</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onTimeStamp">
    <vt:lpwstr>2022-09-02T00:50:36Z</vt:lpwstr>
  </property>
  <property fmtid="{D5CDD505-2E9C-101B-9397-08002B2CF9AE}" pid="11" name="PM_ProtectiveMarkingValue_Header">
    <vt:lpwstr>OFFICIAL</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Hash_Version">
    <vt:lpwstr>2018.0</vt:lpwstr>
  </property>
  <property fmtid="{D5CDD505-2E9C-101B-9397-08002B2CF9AE}" pid="16" name="PM_SecurityClassification_Prev">
    <vt:lpwstr>OFFICIAL</vt:lpwstr>
  </property>
  <property fmtid="{D5CDD505-2E9C-101B-9397-08002B2CF9AE}" pid="17" name="PM_Qualifier_Prev">
    <vt:lpwstr/>
  </property>
  <property fmtid="{D5CDD505-2E9C-101B-9397-08002B2CF9AE}" pid="18" name="PM_Note">
    <vt:lpwstr/>
  </property>
  <property fmtid="{D5CDD505-2E9C-101B-9397-08002B2CF9AE}" pid="19" name="PM_Markers">
    <vt:lpwstr/>
  </property>
  <property fmtid="{D5CDD505-2E9C-101B-9397-08002B2CF9AE}" pid="20" name="PM_Originator_Hash_SHA1">
    <vt:lpwstr>FD601EB9279B81D19174D871B12407322185A007</vt:lpwstr>
  </property>
  <property fmtid="{D5CDD505-2E9C-101B-9397-08002B2CF9AE}" pid="21" name="PM_Hash_SHA1">
    <vt:lpwstr>4407C30A66EE85562592D9511FFF63055BB63511</vt:lpwstr>
  </property>
  <property fmtid="{D5CDD505-2E9C-101B-9397-08002B2CF9AE}" pid="22" name="MSIP_Label_c0129afb-6481-4f92-bc9f-5a4a6346364d_SetDate">
    <vt:lpwstr>2022-09-01T03:28:25Z</vt:lpwstr>
  </property>
  <property fmtid="{D5CDD505-2E9C-101B-9397-08002B2CF9AE}" pid="23" name="PM_Hash_Salt_Prev">
    <vt:lpwstr>739B15A4671DF0F290FD0B0B9068E0F6</vt:lpwstr>
  </property>
  <property fmtid="{D5CDD505-2E9C-101B-9397-08002B2CF9AE}" pid="24" name="PM_Hash_Salt">
    <vt:lpwstr>65CA38892F2AAB479174C161815A704D</vt:lpwstr>
  </property>
  <property fmtid="{D5CDD505-2E9C-101B-9397-08002B2CF9AE}" pid="25" name="PM_Display">
    <vt:lpwstr>OFFICIAL</vt:lpwstr>
  </property>
  <property fmtid="{D5CDD505-2E9C-101B-9397-08002B2CF9AE}" pid="26" name="PM_OriginatorUserAccountName_SHA256">
    <vt:lpwstr>52CA578D49D47181320D733DE315BF8BF71643387A629D3D6BA2BF9260CD3A97</vt:lpwstr>
  </property>
  <property fmtid="{D5CDD505-2E9C-101B-9397-08002B2CF9AE}" pid="27" name="PM_OriginatorDomainName_SHA256">
    <vt:lpwstr>ECBDE2B44A971754412B3FB70606937A119CC0D4B6C1B658A40FBD41C30BE3EC</vt:lpwstr>
  </property>
  <property fmtid="{D5CDD505-2E9C-101B-9397-08002B2CF9AE}" pid="28" name="PM_MinimumSecurityClassification">
    <vt:lpwstr/>
  </property>
  <property fmtid="{D5CDD505-2E9C-101B-9397-08002B2CF9AE}" pid="29" name="PMUuid">
    <vt:lpwstr>ABBFF5E2-9674-55C9-B08D-C9980002FD58</vt:lpwstr>
  </property>
  <property fmtid="{D5CDD505-2E9C-101B-9397-08002B2CF9AE}" pid="30" name="PMUuidVer">
    <vt:lpwstr>2022.1</vt:lpwstr>
  </property>
  <property fmtid="{D5CDD505-2E9C-101B-9397-08002B2CF9AE}" pid="31" name="MSIP_Label_c0129afb-6481-4f92-bc9f-5a4a6346364d_Name">
    <vt:lpwstr>OFFICIAL</vt:lpwstr>
  </property>
  <property fmtid="{D5CDD505-2E9C-101B-9397-08002B2CF9AE}" pid="32" name="MSIP_Label_c0129afb-6481-4f92-bc9f-5a4a6346364d_SiteId">
    <vt:lpwstr>c05e3ffd-b491-4431-9809-e61d4dc78816</vt:lpwstr>
  </property>
  <property fmtid="{D5CDD505-2E9C-101B-9397-08002B2CF9AE}" pid="33" name="MSIP_Label_c0129afb-6481-4f92-bc9f-5a4a6346364d_Enabled">
    <vt:lpwstr>true</vt:lpwstr>
  </property>
  <property fmtid="{D5CDD505-2E9C-101B-9397-08002B2CF9AE}" pid="34" name="ContentTypeId">
    <vt:lpwstr>0x0101009CA239676470E04B809DDC4E24CF2322</vt:lpwstr>
  </property>
  <property fmtid="{D5CDD505-2E9C-101B-9397-08002B2CF9AE}" pid="35" name="_dlc_DocIdItemGuid">
    <vt:lpwstr>46c0a8c6-caa7-4fe0-9690-8baec4182822</vt:lpwstr>
  </property>
</Properties>
</file>