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2E0E" w:rsidRDefault="00782E0E" w:rsidP="00782E0E">
      <w:pPr>
        <w:jc w:val="center"/>
        <w:sectPr w:rsidR="00782E0E" w:rsidSect="00782E0E">
          <w:headerReference w:type="default" r:id="rId10"/>
          <w:headerReference w:type="first" r:id="rId11"/>
          <w:pgSz w:w="11906" w:h="16838"/>
          <w:pgMar w:top="426" w:right="1440" w:bottom="1440" w:left="1440" w:header="567" w:footer="708" w:gutter="0"/>
          <w:cols w:space="708"/>
          <w:titlePg/>
          <w:docGrid w:linePitch="360"/>
        </w:sectPr>
      </w:pPr>
      <w:bookmarkStart w:id="0" w:name="_GoBack"/>
      <w:r>
        <w:rPr>
          <w:noProof/>
          <w:lang w:eastAsia="en-AU"/>
        </w:rPr>
        <w:drawing>
          <wp:inline distT="0" distB="0" distL="0" distR="0" wp14:anchorId="2E13D0BE" wp14:editId="493BC81D">
            <wp:extent cx="2232000" cy="1448951"/>
            <wp:effectExtent l="0" t="0" r="0" b="0"/>
            <wp:docPr id="3" name="Picture 3" descr="Australian Government&#10;Department of Infrastructure, Transport, Regional Development, Communications and the Ar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ustralian Government&#10;Department of Infrastructure, Transport, Regional Development, Communications and the Arts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2000" cy="1448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C4331" w:rsidRDefault="00DE2AB1" w:rsidP="008B4E23">
      <w:pPr>
        <w:spacing w:before="720"/>
      </w:pPr>
      <w:r>
        <w:t>Mr Jason</w:t>
      </w:r>
      <w:r w:rsidR="00EC4331">
        <w:t xml:space="preserve"> </w:t>
      </w:r>
      <w:r w:rsidRPr="00DE2AB1">
        <w:t>Lange</w:t>
      </w:r>
    </w:p>
    <w:p w:rsidR="00EC4331" w:rsidRDefault="00EC4331" w:rsidP="00EC4331">
      <w:r>
        <w:t>Executive Director</w:t>
      </w:r>
    </w:p>
    <w:p w:rsidR="00EC4331" w:rsidRDefault="00EC4331" w:rsidP="00EC4331">
      <w:r>
        <w:t>Office of Best Practice Regulation</w:t>
      </w:r>
    </w:p>
    <w:p w:rsidR="00EC4331" w:rsidRDefault="00EC4331" w:rsidP="00EC4331">
      <w:r>
        <w:t>Department of the Prime Minister and Cabinet</w:t>
      </w:r>
    </w:p>
    <w:p w:rsidR="00EC4331" w:rsidRDefault="00EC4331" w:rsidP="00EC4331">
      <w:r>
        <w:t>1 National Circuit</w:t>
      </w:r>
    </w:p>
    <w:p w:rsidR="00EC4331" w:rsidRDefault="00EC4331" w:rsidP="00EC4331">
      <w:r>
        <w:t>BARTON   ACT   2600</w:t>
      </w:r>
      <w:r>
        <w:br/>
      </w:r>
    </w:p>
    <w:p w:rsidR="00EC4331" w:rsidRDefault="00EC4331" w:rsidP="00EC4331">
      <w:r>
        <w:t xml:space="preserve">Email: </w:t>
      </w:r>
      <w:hyperlink r:id="rId13" w:history="1">
        <w:r w:rsidR="00782E0E" w:rsidRPr="008144B4">
          <w:rPr>
            <w:rStyle w:val="Hyperlink"/>
          </w:rPr>
          <w:t>helpdesk-OBPR@pmc.gov.au</w:t>
        </w:r>
      </w:hyperlink>
    </w:p>
    <w:p w:rsidR="00EC4331" w:rsidRDefault="00EC4331" w:rsidP="00F7020C">
      <w:pPr>
        <w:spacing w:before="240"/>
      </w:pPr>
      <w:r>
        <w:t xml:space="preserve">Dear Mr </w:t>
      </w:r>
      <w:r w:rsidR="00DE2AB1" w:rsidRPr="00DE2AB1">
        <w:t>Lange</w:t>
      </w:r>
    </w:p>
    <w:p w:rsidR="008C4768" w:rsidRPr="004D6A26" w:rsidRDefault="008C4768" w:rsidP="008C4768">
      <w:pPr>
        <w:pStyle w:val="Heading1"/>
        <w:spacing w:before="240" w:after="0" w:line="300" w:lineRule="exact"/>
        <w:rPr>
          <w:sz w:val="24"/>
          <w:szCs w:val="24"/>
        </w:rPr>
      </w:pPr>
      <w:r>
        <w:rPr>
          <w:sz w:val="24"/>
          <w:szCs w:val="24"/>
        </w:rPr>
        <w:t>Regulation Impact Statement –</w:t>
      </w:r>
      <w:r w:rsidR="00212DB4">
        <w:rPr>
          <w:sz w:val="24"/>
          <w:szCs w:val="24"/>
        </w:rPr>
        <w:t xml:space="preserve"> </w:t>
      </w:r>
      <w:r w:rsidR="008A5D56" w:rsidRPr="008A5D56">
        <w:rPr>
          <w:sz w:val="24"/>
          <w:szCs w:val="24"/>
        </w:rPr>
        <w:t>Remaking the Broadcasting Service Definition Exclusion Determination</w:t>
      </w:r>
      <w:r w:rsidR="00212DB4" w:rsidRPr="008A5D56">
        <w:rPr>
          <w:sz w:val="24"/>
          <w:szCs w:val="24"/>
        </w:rPr>
        <w:t xml:space="preserve"> </w:t>
      </w:r>
      <w:r w:rsidR="00212DB4">
        <w:rPr>
          <w:sz w:val="24"/>
          <w:szCs w:val="24"/>
        </w:rPr>
        <w:t>– S</w:t>
      </w:r>
      <w:r w:rsidR="00E2259E">
        <w:rPr>
          <w:sz w:val="24"/>
          <w:szCs w:val="24"/>
        </w:rPr>
        <w:t xml:space="preserve">econd </w:t>
      </w:r>
      <w:r w:rsidR="00212DB4">
        <w:rPr>
          <w:sz w:val="24"/>
          <w:szCs w:val="24"/>
        </w:rPr>
        <w:t>P</w:t>
      </w:r>
      <w:r w:rsidR="00E2259E">
        <w:rPr>
          <w:sz w:val="24"/>
          <w:szCs w:val="24"/>
        </w:rPr>
        <w:t>ass</w:t>
      </w:r>
      <w:r w:rsidR="00212DB4">
        <w:rPr>
          <w:sz w:val="24"/>
          <w:szCs w:val="24"/>
        </w:rPr>
        <w:t xml:space="preserve"> Final Assessment</w:t>
      </w:r>
    </w:p>
    <w:p w:rsidR="000A7ABA" w:rsidRPr="008A5D56" w:rsidRDefault="00284E41" w:rsidP="008A5D56">
      <w:pPr>
        <w:spacing w:before="240" w:line="300" w:lineRule="exact"/>
      </w:pPr>
      <w:r>
        <w:t>I am writing in relation to the attached Regulation Impact S</w:t>
      </w:r>
      <w:r w:rsidR="005B6B55">
        <w:t xml:space="preserve">tatement (RIS) prepared </w:t>
      </w:r>
      <w:r>
        <w:t xml:space="preserve">for </w:t>
      </w:r>
      <w:r w:rsidR="008A5D56" w:rsidRPr="00B90C54">
        <w:t xml:space="preserve">the proposal to </w:t>
      </w:r>
      <w:r w:rsidR="00C316F8">
        <w:t>make</w:t>
      </w:r>
      <w:r w:rsidR="008A5D56" w:rsidRPr="00B90C54">
        <w:t xml:space="preserve"> the </w:t>
      </w:r>
      <w:r w:rsidR="008A5D56" w:rsidRPr="00B90C54">
        <w:rPr>
          <w:i/>
        </w:rPr>
        <w:t xml:space="preserve">Broadcasting Services (“Broadcasting Service” Definition – Exclusion) Determination </w:t>
      </w:r>
      <w:r w:rsidR="00C316F8">
        <w:rPr>
          <w:i/>
        </w:rPr>
        <w:t>2022</w:t>
      </w:r>
      <w:r w:rsidR="008A5D56">
        <w:rPr>
          <w:i/>
        </w:rPr>
        <w:t xml:space="preserve"> </w:t>
      </w:r>
      <w:r w:rsidR="008A5D56" w:rsidRPr="00406983">
        <w:t>(the Determination)</w:t>
      </w:r>
      <w:r w:rsidR="00C316F8">
        <w:t xml:space="preserve"> in </w:t>
      </w:r>
      <w:r w:rsidR="00751685">
        <w:t xml:space="preserve">effectively the </w:t>
      </w:r>
      <w:r w:rsidR="00C316F8">
        <w:t xml:space="preserve">same terms as the </w:t>
      </w:r>
      <w:r w:rsidR="00C316F8" w:rsidRPr="00C316F8">
        <w:rPr>
          <w:i/>
        </w:rPr>
        <w:t>Broadcasting Services (“Broadcasting Service” Definition — Exclusion) Determination</w:t>
      </w:r>
      <w:r w:rsidR="00C316F8" w:rsidRPr="00C316F8">
        <w:t xml:space="preserve"> 2019</w:t>
      </w:r>
      <w:r w:rsidR="004D175A">
        <w:t xml:space="preserve"> (the 2019 Determination).</w:t>
      </w:r>
    </w:p>
    <w:p w:rsidR="00B5658B" w:rsidRPr="008B4E23" w:rsidRDefault="00284E41" w:rsidP="008C4768">
      <w:pPr>
        <w:pStyle w:val="BodyText"/>
        <w:jc w:val="left"/>
        <w:rPr>
          <w:szCs w:val="24"/>
        </w:rPr>
      </w:pPr>
      <w:r>
        <w:rPr>
          <w:szCs w:val="24"/>
        </w:rPr>
        <w:t xml:space="preserve">I am satisfied that the RIS </w:t>
      </w:r>
      <w:r w:rsidR="00B5658B">
        <w:rPr>
          <w:szCs w:val="24"/>
        </w:rPr>
        <w:t xml:space="preserve">addresses the </w:t>
      </w:r>
      <w:r w:rsidR="004D175A">
        <w:rPr>
          <w:szCs w:val="24"/>
        </w:rPr>
        <w:t>issues</w:t>
      </w:r>
      <w:r w:rsidR="00B5658B">
        <w:rPr>
          <w:szCs w:val="24"/>
        </w:rPr>
        <w:t xml:space="preserve"> raised in your letter </w:t>
      </w:r>
      <w:r w:rsidR="00781D2C">
        <w:rPr>
          <w:szCs w:val="24"/>
        </w:rPr>
        <w:t xml:space="preserve">of 8 September 2022. </w:t>
      </w:r>
      <w:r w:rsidR="00B5658B">
        <w:rPr>
          <w:szCs w:val="24"/>
        </w:rPr>
        <w:t xml:space="preserve">Specifically, </w:t>
      </w:r>
      <w:r w:rsidR="009B7A13" w:rsidRPr="009B7A13">
        <w:rPr>
          <w:szCs w:val="24"/>
        </w:rPr>
        <w:t xml:space="preserve">the </w:t>
      </w:r>
      <w:r w:rsidR="00751685">
        <w:rPr>
          <w:szCs w:val="24"/>
        </w:rPr>
        <w:t>RIS has been amended to</w:t>
      </w:r>
      <w:r w:rsidR="00751685" w:rsidRPr="008B4E23">
        <w:rPr>
          <w:szCs w:val="24"/>
        </w:rPr>
        <w:t>:</w:t>
      </w:r>
    </w:p>
    <w:p w:rsidR="00781D2C" w:rsidRDefault="00781D2C" w:rsidP="00751685">
      <w:pPr>
        <w:pStyle w:val="BodyText"/>
        <w:numPr>
          <w:ilvl w:val="0"/>
          <w:numId w:val="2"/>
        </w:numPr>
        <w:ind w:left="426" w:hanging="426"/>
        <w:jc w:val="left"/>
        <w:rPr>
          <w:szCs w:val="24"/>
        </w:rPr>
      </w:pPr>
      <w:r w:rsidRPr="00781D2C">
        <w:rPr>
          <w:szCs w:val="24"/>
        </w:rPr>
        <w:t xml:space="preserve">Provide a clearer explanation of </w:t>
      </w:r>
      <w:r w:rsidR="004D175A">
        <w:rPr>
          <w:szCs w:val="24"/>
        </w:rPr>
        <w:t>the</w:t>
      </w:r>
      <w:r w:rsidRPr="00781D2C">
        <w:rPr>
          <w:szCs w:val="24"/>
        </w:rPr>
        <w:t xml:space="preserve"> stakeholders </w:t>
      </w:r>
      <w:r w:rsidR="004D175A">
        <w:rPr>
          <w:szCs w:val="24"/>
        </w:rPr>
        <w:t xml:space="preserve">that </w:t>
      </w:r>
      <w:r w:rsidRPr="00781D2C">
        <w:rPr>
          <w:szCs w:val="24"/>
        </w:rPr>
        <w:t xml:space="preserve">are impacted by the </w:t>
      </w:r>
      <w:r w:rsidR="004D175A">
        <w:rPr>
          <w:szCs w:val="24"/>
        </w:rPr>
        <w:t>2019</w:t>
      </w:r>
      <w:r w:rsidRPr="00781D2C">
        <w:rPr>
          <w:szCs w:val="24"/>
        </w:rPr>
        <w:t xml:space="preserve"> Determination in the problem definition</w:t>
      </w:r>
      <w:r w:rsidR="004D175A">
        <w:rPr>
          <w:szCs w:val="24"/>
        </w:rPr>
        <w:t xml:space="preserve"> section</w:t>
      </w:r>
      <w:r w:rsidR="005D1210">
        <w:rPr>
          <w:szCs w:val="24"/>
        </w:rPr>
        <w:t xml:space="preserve">, including by describing </w:t>
      </w:r>
      <w:r w:rsidR="004D175A">
        <w:rPr>
          <w:szCs w:val="24"/>
        </w:rPr>
        <w:t xml:space="preserve">those parties that are directly affected (including broadcasters that provide online live-streamed services) and those parties that are </w:t>
      </w:r>
      <w:r w:rsidR="00B60BE9">
        <w:rPr>
          <w:szCs w:val="24"/>
        </w:rPr>
        <w:t xml:space="preserve">indirectly affected, </w:t>
      </w:r>
      <w:r w:rsidR="004D175A">
        <w:rPr>
          <w:szCs w:val="24"/>
        </w:rPr>
        <w:t xml:space="preserve">such as copyright owners, users and entities whose commercial arrangement rely on </w:t>
      </w:r>
      <w:r w:rsidR="00B60BE9">
        <w:rPr>
          <w:szCs w:val="24"/>
        </w:rPr>
        <w:t>the</w:t>
      </w:r>
      <w:r w:rsidR="004D175A">
        <w:rPr>
          <w:szCs w:val="24"/>
        </w:rPr>
        <w:t xml:space="preserve"> statutory definition of a broadcasting service. </w:t>
      </w:r>
      <w:r w:rsidR="00B60BE9">
        <w:rPr>
          <w:szCs w:val="24"/>
        </w:rPr>
        <w:t xml:space="preserve"> </w:t>
      </w:r>
    </w:p>
    <w:p w:rsidR="004D175A" w:rsidRDefault="004D175A" w:rsidP="00751685">
      <w:pPr>
        <w:pStyle w:val="BodyText"/>
        <w:numPr>
          <w:ilvl w:val="0"/>
          <w:numId w:val="2"/>
        </w:numPr>
        <w:ind w:left="426" w:hanging="426"/>
        <w:jc w:val="left"/>
        <w:rPr>
          <w:szCs w:val="24"/>
        </w:rPr>
      </w:pPr>
      <w:r>
        <w:rPr>
          <w:szCs w:val="24"/>
        </w:rPr>
        <w:t xml:space="preserve">Enhance the </w:t>
      </w:r>
      <w:r w:rsidR="00781D2C" w:rsidRPr="00751685">
        <w:rPr>
          <w:szCs w:val="24"/>
        </w:rPr>
        <w:t>impacts section with specific stakeholder input</w:t>
      </w:r>
      <w:r w:rsidR="00B60BE9" w:rsidRPr="00751685">
        <w:rPr>
          <w:szCs w:val="24"/>
        </w:rPr>
        <w:t xml:space="preserve">, including by incorporating examples of anticipated impacts of the </w:t>
      </w:r>
      <w:r>
        <w:rPr>
          <w:szCs w:val="24"/>
        </w:rPr>
        <w:t>expiry of the 2019</w:t>
      </w:r>
      <w:r w:rsidR="00B60BE9" w:rsidRPr="00751685">
        <w:rPr>
          <w:szCs w:val="24"/>
        </w:rPr>
        <w:t xml:space="preserve"> Determination </w:t>
      </w:r>
      <w:r>
        <w:rPr>
          <w:szCs w:val="24"/>
        </w:rPr>
        <w:t xml:space="preserve">on </w:t>
      </w:r>
      <w:r w:rsidR="00B60BE9" w:rsidRPr="00751685">
        <w:rPr>
          <w:szCs w:val="24"/>
        </w:rPr>
        <w:t xml:space="preserve">stakeholders. </w:t>
      </w:r>
    </w:p>
    <w:p w:rsidR="004D175A" w:rsidRDefault="00B60BE9" w:rsidP="004D175A">
      <w:pPr>
        <w:pStyle w:val="BodyText"/>
        <w:numPr>
          <w:ilvl w:val="1"/>
          <w:numId w:val="2"/>
        </w:numPr>
        <w:ind w:left="851" w:hanging="425"/>
        <w:jc w:val="left"/>
        <w:rPr>
          <w:szCs w:val="24"/>
        </w:rPr>
      </w:pPr>
      <w:r w:rsidRPr="00751685">
        <w:rPr>
          <w:szCs w:val="24"/>
        </w:rPr>
        <w:t xml:space="preserve">23 submissions </w:t>
      </w:r>
      <w:r w:rsidR="004D175A">
        <w:rPr>
          <w:szCs w:val="24"/>
        </w:rPr>
        <w:t xml:space="preserve">were received from </w:t>
      </w:r>
      <w:r w:rsidRPr="00751685">
        <w:rPr>
          <w:szCs w:val="24"/>
        </w:rPr>
        <w:t xml:space="preserve">stakeholders </w:t>
      </w:r>
      <w:r w:rsidR="004D175A">
        <w:rPr>
          <w:szCs w:val="24"/>
        </w:rPr>
        <w:t xml:space="preserve">as part of the consultation process undertaken to support the consideration of the proposal to make a new instrument in essentially the same terms as the 2019 Determination. </w:t>
      </w:r>
    </w:p>
    <w:p w:rsidR="00781D2C" w:rsidRDefault="004D175A" w:rsidP="004D175A">
      <w:pPr>
        <w:pStyle w:val="BodyText"/>
        <w:numPr>
          <w:ilvl w:val="1"/>
          <w:numId w:val="2"/>
        </w:numPr>
        <w:ind w:left="851" w:hanging="425"/>
        <w:jc w:val="left"/>
        <w:rPr>
          <w:szCs w:val="24"/>
        </w:rPr>
      </w:pPr>
      <w:r>
        <w:rPr>
          <w:szCs w:val="24"/>
        </w:rPr>
        <w:t xml:space="preserve">These submissions </w:t>
      </w:r>
      <w:r w:rsidR="00B60BE9" w:rsidRPr="00751685">
        <w:rPr>
          <w:szCs w:val="24"/>
        </w:rPr>
        <w:t>provid</w:t>
      </w:r>
      <w:r>
        <w:rPr>
          <w:szCs w:val="24"/>
        </w:rPr>
        <w:t>ed</w:t>
      </w:r>
      <w:r w:rsidR="00B60BE9" w:rsidRPr="00751685">
        <w:rPr>
          <w:szCs w:val="24"/>
        </w:rPr>
        <w:t xml:space="preserve"> unanimous support for the proposal, noting that remaking the Determination for a time-limited period would provide short</w:t>
      </w:r>
      <w:r w:rsidR="008B6781" w:rsidRPr="00751685">
        <w:rPr>
          <w:szCs w:val="24"/>
        </w:rPr>
        <w:t>-</w:t>
      </w:r>
      <w:r w:rsidR="00B60BE9" w:rsidRPr="00751685">
        <w:rPr>
          <w:szCs w:val="24"/>
        </w:rPr>
        <w:t xml:space="preserve">term </w:t>
      </w:r>
      <w:r w:rsidR="00B60BE9" w:rsidRPr="00751685">
        <w:rPr>
          <w:szCs w:val="24"/>
        </w:rPr>
        <w:lastRenderedPageBreak/>
        <w:t xml:space="preserve">certainty for industry and consumers, while allowing the </w:t>
      </w:r>
      <w:r w:rsidR="00A706F9">
        <w:rPr>
          <w:szCs w:val="24"/>
        </w:rPr>
        <w:t xml:space="preserve">Australian </w:t>
      </w:r>
      <w:r w:rsidR="00B60BE9" w:rsidRPr="00751685">
        <w:rPr>
          <w:szCs w:val="24"/>
        </w:rPr>
        <w:t>Government time to consult on broader regulatory reforms.</w:t>
      </w:r>
    </w:p>
    <w:p w:rsidR="004D175A" w:rsidRDefault="00781D2C" w:rsidP="00751685">
      <w:pPr>
        <w:pStyle w:val="BodyText"/>
        <w:numPr>
          <w:ilvl w:val="0"/>
          <w:numId w:val="2"/>
        </w:numPr>
        <w:ind w:left="426" w:hanging="426"/>
        <w:jc w:val="left"/>
        <w:rPr>
          <w:szCs w:val="24"/>
        </w:rPr>
      </w:pPr>
      <w:r w:rsidRPr="00751685">
        <w:rPr>
          <w:szCs w:val="24"/>
        </w:rPr>
        <w:t>Expand the implementation and evaluation section</w:t>
      </w:r>
      <w:r w:rsidR="004D175A">
        <w:rPr>
          <w:szCs w:val="24"/>
        </w:rPr>
        <w:t>s</w:t>
      </w:r>
      <w:r w:rsidRPr="00751685">
        <w:rPr>
          <w:szCs w:val="24"/>
        </w:rPr>
        <w:t xml:space="preserve"> to discuss next steps in the broader reform program </w:t>
      </w:r>
      <w:r w:rsidR="004D175A">
        <w:rPr>
          <w:szCs w:val="24"/>
        </w:rPr>
        <w:t>and how the D</w:t>
      </w:r>
      <w:r w:rsidRPr="00751685">
        <w:rPr>
          <w:szCs w:val="24"/>
        </w:rPr>
        <w:t xml:space="preserve">etermination will be reviewed </w:t>
      </w:r>
      <w:r w:rsidR="004D175A">
        <w:rPr>
          <w:szCs w:val="24"/>
        </w:rPr>
        <w:t xml:space="preserve">prior to its expiry. </w:t>
      </w:r>
    </w:p>
    <w:p w:rsidR="004D175A" w:rsidRDefault="00B60BE9" w:rsidP="004D175A">
      <w:pPr>
        <w:pStyle w:val="BodyText"/>
        <w:numPr>
          <w:ilvl w:val="1"/>
          <w:numId w:val="2"/>
        </w:numPr>
        <w:ind w:left="851" w:hanging="425"/>
        <w:jc w:val="left"/>
        <w:rPr>
          <w:szCs w:val="24"/>
        </w:rPr>
      </w:pPr>
      <w:r w:rsidRPr="00751685">
        <w:rPr>
          <w:szCs w:val="24"/>
        </w:rPr>
        <w:t xml:space="preserve">The RIS notes the Government’s intention, articulated </w:t>
      </w:r>
      <w:r w:rsidR="004D175A">
        <w:rPr>
          <w:szCs w:val="24"/>
        </w:rPr>
        <w:t>in</w:t>
      </w:r>
      <w:r w:rsidRPr="00751685">
        <w:rPr>
          <w:szCs w:val="24"/>
        </w:rPr>
        <w:t xml:space="preserve"> the Minister for Communication’s foreword to the consultation</w:t>
      </w:r>
      <w:r w:rsidR="004D175A">
        <w:rPr>
          <w:szCs w:val="24"/>
        </w:rPr>
        <w:t xml:space="preserve"> paper</w:t>
      </w:r>
      <w:r w:rsidRPr="00751685">
        <w:rPr>
          <w:szCs w:val="24"/>
        </w:rPr>
        <w:t xml:space="preserve">, to use the remaking of this Determination as the first step in a </w:t>
      </w:r>
      <w:r w:rsidR="008B6781" w:rsidRPr="00751685">
        <w:rPr>
          <w:szCs w:val="24"/>
        </w:rPr>
        <w:t xml:space="preserve">“program of work to modernise media regulations and fulfil the legitimate expectations of consumers and industry for consistency, transparency and equity in our regulatory environment.” </w:t>
      </w:r>
    </w:p>
    <w:p w:rsidR="00751685" w:rsidRDefault="008B6781" w:rsidP="004D175A">
      <w:pPr>
        <w:pStyle w:val="BodyText"/>
        <w:numPr>
          <w:ilvl w:val="1"/>
          <w:numId w:val="2"/>
        </w:numPr>
        <w:ind w:left="851" w:hanging="425"/>
        <w:jc w:val="left"/>
        <w:rPr>
          <w:szCs w:val="24"/>
        </w:rPr>
      </w:pPr>
      <w:r w:rsidRPr="00751685">
        <w:rPr>
          <w:szCs w:val="24"/>
        </w:rPr>
        <w:t>The Minister’s foreword goes on to note the Government’s reform agenda “will involve</w:t>
      </w:r>
      <w:r w:rsidR="00B60BE9" w:rsidRPr="00751685">
        <w:rPr>
          <w:szCs w:val="24"/>
        </w:rPr>
        <w:t xml:space="preserve"> </w:t>
      </w:r>
      <w:r w:rsidRPr="00751685">
        <w:rPr>
          <w:szCs w:val="24"/>
        </w:rPr>
        <w:t xml:space="preserve">a number of parallel work streams” and </w:t>
      </w:r>
      <w:r w:rsidR="00C316F8" w:rsidRPr="00751685">
        <w:rPr>
          <w:szCs w:val="24"/>
        </w:rPr>
        <w:t>“</w:t>
      </w:r>
      <w:r w:rsidRPr="00751685">
        <w:rPr>
          <w:szCs w:val="24"/>
        </w:rPr>
        <w:t>th</w:t>
      </w:r>
      <w:r w:rsidR="004D175A">
        <w:rPr>
          <w:szCs w:val="24"/>
        </w:rPr>
        <w:t>ere</w:t>
      </w:r>
      <w:r w:rsidRPr="00751685">
        <w:rPr>
          <w:szCs w:val="24"/>
        </w:rPr>
        <w:t xml:space="preserve"> </w:t>
      </w:r>
      <w:r w:rsidR="00C316F8" w:rsidRPr="00751685">
        <w:rPr>
          <w:szCs w:val="24"/>
        </w:rPr>
        <w:t xml:space="preserve">will be multiple opportunities for interested stakeholders and individuals to contribute to these processes”. </w:t>
      </w:r>
    </w:p>
    <w:p w:rsidR="004D175A" w:rsidRDefault="00781D2C" w:rsidP="00751685">
      <w:pPr>
        <w:pStyle w:val="BodyText"/>
        <w:numPr>
          <w:ilvl w:val="0"/>
          <w:numId w:val="2"/>
        </w:numPr>
        <w:ind w:left="426" w:hanging="426"/>
        <w:jc w:val="left"/>
        <w:rPr>
          <w:szCs w:val="24"/>
        </w:rPr>
      </w:pPr>
      <w:r w:rsidRPr="00751685">
        <w:rPr>
          <w:szCs w:val="24"/>
        </w:rPr>
        <w:t>Amend</w:t>
      </w:r>
      <w:r w:rsidR="004D175A">
        <w:rPr>
          <w:szCs w:val="24"/>
        </w:rPr>
        <w:t xml:space="preserve"> the RIS in a number of areas to address the more detailed comments provided by OBPR in parallel with </w:t>
      </w:r>
      <w:r w:rsidR="00A706F9">
        <w:rPr>
          <w:szCs w:val="24"/>
        </w:rPr>
        <w:t>your</w:t>
      </w:r>
      <w:r w:rsidR="004D175A">
        <w:rPr>
          <w:szCs w:val="24"/>
        </w:rPr>
        <w:t xml:space="preserve"> letter of 8 September 2022. </w:t>
      </w:r>
    </w:p>
    <w:p w:rsidR="006369A1" w:rsidRPr="004D175A" w:rsidRDefault="00F21C59" w:rsidP="004D175A">
      <w:pPr>
        <w:pStyle w:val="BodyText"/>
        <w:jc w:val="left"/>
        <w:rPr>
          <w:color w:val="000000" w:themeColor="text1"/>
          <w:szCs w:val="24"/>
        </w:rPr>
      </w:pPr>
      <w:r w:rsidRPr="004D175A">
        <w:rPr>
          <w:color w:val="000000" w:themeColor="text1"/>
          <w:szCs w:val="24"/>
        </w:rPr>
        <w:t xml:space="preserve">The </w:t>
      </w:r>
      <w:r w:rsidR="00A706F9">
        <w:rPr>
          <w:color w:val="000000" w:themeColor="text1"/>
          <w:szCs w:val="24"/>
        </w:rPr>
        <w:t xml:space="preserve">preferred option as stipulated in the RIS </w:t>
      </w:r>
      <w:r w:rsidR="00781D2C" w:rsidRPr="004D175A">
        <w:rPr>
          <w:color w:val="000000" w:themeColor="text1"/>
          <w:szCs w:val="24"/>
        </w:rPr>
        <w:t>is expected to have nil impact on the current regulatory arrangements for industry</w:t>
      </w:r>
      <w:r w:rsidR="00A706F9">
        <w:rPr>
          <w:color w:val="000000" w:themeColor="text1"/>
          <w:szCs w:val="24"/>
        </w:rPr>
        <w:t xml:space="preserve"> </w:t>
      </w:r>
      <w:r w:rsidR="00781D2C" w:rsidRPr="004D175A">
        <w:rPr>
          <w:color w:val="000000" w:themeColor="text1"/>
          <w:szCs w:val="24"/>
        </w:rPr>
        <w:t xml:space="preserve">and would have no </w:t>
      </w:r>
      <w:r w:rsidR="00A706F9">
        <w:rPr>
          <w:color w:val="000000" w:themeColor="text1"/>
          <w:szCs w:val="24"/>
        </w:rPr>
        <w:t xml:space="preserve">material </w:t>
      </w:r>
      <w:r w:rsidR="00781D2C" w:rsidRPr="004D175A">
        <w:rPr>
          <w:color w:val="000000" w:themeColor="text1"/>
          <w:szCs w:val="24"/>
        </w:rPr>
        <w:t>impact on the Australian community. This is because this option would effectively maintain the regulatory arrangements that have been in place for the past 22 years for a time-limited period</w:t>
      </w:r>
      <w:r w:rsidR="0073203A">
        <w:rPr>
          <w:color w:val="000000" w:themeColor="text1"/>
          <w:szCs w:val="24"/>
        </w:rPr>
        <w:t>. Therefore, by</w:t>
      </w:r>
      <w:r w:rsidR="0073203A" w:rsidRPr="0073203A">
        <w:rPr>
          <w:color w:val="000000" w:themeColor="text1"/>
          <w:szCs w:val="24"/>
        </w:rPr>
        <w:t xml:space="preserve"> not impos</w:t>
      </w:r>
      <w:r w:rsidR="0073203A">
        <w:rPr>
          <w:color w:val="000000" w:themeColor="text1"/>
          <w:szCs w:val="24"/>
        </w:rPr>
        <w:t>ing</w:t>
      </w:r>
      <w:r w:rsidR="0073203A" w:rsidRPr="0073203A">
        <w:rPr>
          <w:color w:val="000000" w:themeColor="text1"/>
          <w:szCs w:val="24"/>
        </w:rPr>
        <w:t xml:space="preserve"> additional costs on industry</w:t>
      </w:r>
      <w:r w:rsidR="00191589">
        <w:rPr>
          <w:color w:val="000000" w:themeColor="text1"/>
          <w:szCs w:val="24"/>
        </w:rPr>
        <w:t>,</w:t>
      </w:r>
      <w:r w:rsidR="0073203A" w:rsidRPr="0073203A">
        <w:rPr>
          <w:color w:val="000000" w:themeColor="text1"/>
          <w:szCs w:val="24"/>
        </w:rPr>
        <w:t xml:space="preserve"> it would be expected no additional costs would be passed onto consumers.</w:t>
      </w:r>
    </w:p>
    <w:p w:rsidR="00535899" w:rsidRDefault="00B5658B" w:rsidP="00692B2A">
      <w:pPr>
        <w:pStyle w:val="BodyText"/>
        <w:jc w:val="left"/>
        <w:rPr>
          <w:szCs w:val="24"/>
        </w:rPr>
      </w:pPr>
      <w:r>
        <w:rPr>
          <w:szCs w:val="24"/>
        </w:rPr>
        <w:t xml:space="preserve">Accordingly, I am satisfied that the RIS </w:t>
      </w:r>
      <w:r w:rsidR="00212DB4">
        <w:rPr>
          <w:szCs w:val="24"/>
        </w:rPr>
        <w:t xml:space="preserve">is now </w:t>
      </w:r>
      <w:r w:rsidR="00E2259E">
        <w:rPr>
          <w:szCs w:val="24"/>
        </w:rPr>
        <w:t>consistent with</w:t>
      </w:r>
      <w:r w:rsidR="006C1716">
        <w:rPr>
          <w:szCs w:val="24"/>
        </w:rPr>
        <w:t xml:space="preserve"> the </w:t>
      </w:r>
      <w:r w:rsidR="00212DB4">
        <w:rPr>
          <w:szCs w:val="24"/>
        </w:rPr>
        <w:t xml:space="preserve">six principles for Australian Government policy makers as specified in the </w:t>
      </w:r>
      <w:r w:rsidR="006C1716">
        <w:rPr>
          <w:i/>
          <w:szCs w:val="24"/>
        </w:rPr>
        <w:t>Australian Government Guide to Regulat</w:t>
      </w:r>
      <w:r w:rsidR="00212DB4">
        <w:rPr>
          <w:i/>
          <w:szCs w:val="24"/>
        </w:rPr>
        <w:t>ory Impact Analysis</w:t>
      </w:r>
      <w:r w:rsidR="00692B2A">
        <w:rPr>
          <w:szCs w:val="24"/>
        </w:rPr>
        <w:t>.</w:t>
      </w:r>
    </w:p>
    <w:p w:rsidR="008C4768" w:rsidRPr="006E1B31" w:rsidRDefault="00535899" w:rsidP="008C4768">
      <w:pPr>
        <w:pStyle w:val="BodyText"/>
        <w:jc w:val="left"/>
        <w:rPr>
          <w:szCs w:val="24"/>
        </w:rPr>
      </w:pPr>
      <w:r>
        <w:rPr>
          <w:szCs w:val="24"/>
        </w:rPr>
        <w:t>I</w:t>
      </w:r>
      <w:r w:rsidR="00284E41">
        <w:rPr>
          <w:szCs w:val="24"/>
        </w:rPr>
        <w:t xml:space="preserve"> submit </w:t>
      </w:r>
      <w:r>
        <w:rPr>
          <w:szCs w:val="24"/>
        </w:rPr>
        <w:t>the RIS</w:t>
      </w:r>
      <w:r w:rsidR="00284E41">
        <w:rPr>
          <w:szCs w:val="24"/>
        </w:rPr>
        <w:t xml:space="preserve"> to the Office of Best Practice Regulation for formal </w:t>
      </w:r>
      <w:r w:rsidR="006C1716">
        <w:rPr>
          <w:szCs w:val="24"/>
        </w:rPr>
        <w:t xml:space="preserve">final </w:t>
      </w:r>
      <w:r w:rsidR="00B5658B">
        <w:rPr>
          <w:szCs w:val="24"/>
        </w:rPr>
        <w:t>assessment</w:t>
      </w:r>
      <w:r w:rsidR="00284E41">
        <w:rPr>
          <w:szCs w:val="24"/>
        </w:rPr>
        <w:t>.</w:t>
      </w:r>
    </w:p>
    <w:p w:rsidR="008C4768" w:rsidRDefault="008C4768" w:rsidP="007A63B7">
      <w:pPr>
        <w:pStyle w:val="Header"/>
        <w:spacing w:before="360"/>
      </w:pPr>
      <w:r>
        <w:t>Yours sincerely</w:t>
      </w:r>
    </w:p>
    <w:p w:rsidR="008C4768" w:rsidRDefault="008B4E23" w:rsidP="008C4768">
      <w:pPr>
        <w:pStyle w:val="Header"/>
      </w:pPr>
      <w:r>
        <w:rPr>
          <w:noProof/>
        </w:rPr>
        <w:drawing>
          <wp:inline distT="0" distB="0" distL="0" distR="0" wp14:anchorId="1526D794" wp14:editId="1EB0C3BF">
            <wp:extent cx="1604634" cy="428625"/>
            <wp:effectExtent l="0" t="0" r="0" b="0"/>
            <wp:docPr id="2" name="Picture 2" descr="Signature:&#10;James Penprase&#10;Assistant Secretary &#10;Department of Infrastructure, Transport, Regional Development, Communications and the Arts&#10;10 September 2022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82627" cy="449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4768" w:rsidRDefault="00D74B7B" w:rsidP="008C4768">
      <w:r>
        <w:t xml:space="preserve">James </w:t>
      </w:r>
      <w:proofErr w:type="spellStart"/>
      <w:r>
        <w:t>Penprase</w:t>
      </w:r>
      <w:proofErr w:type="spellEnd"/>
    </w:p>
    <w:p w:rsidR="00781D2C" w:rsidRDefault="00D74B7B" w:rsidP="008C4768">
      <w:r>
        <w:t xml:space="preserve">Assistant Secretary </w:t>
      </w:r>
      <w:r w:rsidR="008C4768">
        <w:br/>
      </w:r>
      <w:r>
        <w:t>Department of Infrastructure, Transport, Regional Development, Communications and the Arts</w:t>
      </w:r>
    </w:p>
    <w:p w:rsidR="008C4768" w:rsidRDefault="00781D2C" w:rsidP="008C4768">
      <w:r w:rsidRPr="00781D2C">
        <w:t>10</w:t>
      </w:r>
      <w:r>
        <w:t xml:space="preserve"> </w:t>
      </w:r>
      <w:r w:rsidR="00D74B7B" w:rsidRPr="00781D2C">
        <w:t>S</w:t>
      </w:r>
      <w:r w:rsidR="00D74B7B">
        <w:t>eptember 2022</w:t>
      </w:r>
    </w:p>
    <w:sectPr w:rsidR="008C4768" w:rsidSect="00782E0E">
      <w:type w:val="continuous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567F" w:rsidRDefault="00E6567F" w:rsidP="0087568C">
      <w:pPr>
        <w:spacing w:line="240" w:lineRule="auto"/>
      </w:pPr>
      <w:r>
        <w:separator/>
      </w:r>
    </w:p>
  </w:endnote>
  <w:endnote w:type="continuationSeparator" w:id="0">
    <w:p w:rsidR="00E6567F" w:rsidRDefault="00E6567F" w:rsidP="0087568C">
      <w:pPr>
        <w:spacing w:line="240" w:lineRule="auto"/>
      </w:pPr>
      <w:r>
        <w:continuationSeparator/>
      </w:r>
    </w:p>
  </w:endnote>
  <w:endnote w:type="continuationNotice" w:id="1">
    <w:p w:rsidR="00E6567F" w:rsidRDefault="00E6567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567F" w:rsidRDefault="00E6567F" w:rsidP="0087568C">
      <w:pPr>
        <w:spacing w:line="240" w:lineRule="auto"/>
      </w:pPr>
      <w:r>
        <w:separator/>
      </w:r>
    </w:p>
  </w:footnote>
  <w:footnote w:type="continuationSeparator" w:id="0">
    <w:p w:rsidR="00E6567F" w:rsidRDefault="00E6567F" w:rsidP="0087568C">
      <w:pPr>
        <w:spacing w:line="240" w:lineRule="auto"/>
      </w:pPr>
      <w:r>
        <w:continuationSeparator/>
      </w:r>
    </w:p>
  </w:footnote>
  <w:footnote w:type="continuationNotice" w:id="1">
    <w:p w:rsidR="00E6567F" w:rsidRDefault="00E6567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568C" w:rsidRDefault="0087568C" w:rsidP="00D03705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0350" w:rsidRDefault="00660350" w:rsidP="0066035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0B151A"/>
    <w:multiLevelType w:val="hybridMultilevel"/>
    <w:tmpl w:val="5EFC4F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47E25"/>
    <w:multiLevelType w:val="hybridMultilevel"/>
    <w:tmpl w:val="29C4B3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DCB"/>
    <w:rsid w:val="0003036F"/>
    <w:rsid w:val="000954BF"/>
    <w:rsid w:val="000A7ABA"/>
    <w:rsid w:val="000B5184"/>
    <w:rsid w:val="000E63AC"/>
    <w:rsid w:val="000F790F"/>
    <w:rsid w:val="00124998"/>
    <w:rsid w:val="0015323A"/>
    <w:rsid w:val="00191589"/>
    <w:rsid w:val="001C2E28"/>
    <w:rsid w:val="00212DB4"/>
    <w:rsid w:val="00243D5F"/>
    <w:rsid w:val="00267E33"/>
    <w:rsid w:val="00284E41"/>
    <w:rsid w:val="002B1A2E"/>
    <w:rsid w:val="00387645"/>
    <w:rsid w:val="003D511E"/>
    <w:rsid w:val="003D5500"/>
    <w:rsid w:val="0047563D"/>
    <w:rsid w:val="004D175A"/>
    <w:rsid w:val="004D6A26"/>
    <w:rsid w:val="00535899"/>
    <w:rsid w:val="00547F2C"/>
    <w:rsid w:val="005921A1"/>
    <w:rsid w:val="005B6B55"/>
    <w:rsid w:val="005D1210"/>
    <w:rsid w:val="005D2418"/>
    <w:rsid w:val="005E621B"/>
    <w:rsid w:val="005F7F98"/>
    <w:rsid w:val="006369A1"/>
    <w:rsid w:val="00660350"/>
    <w:rsid w:val="00671DCB"/>
    <w:rsid w:val="00692B2A"/>
    <w:rsid w:val="006A6B04"/>
    <w:rsid w:val="006C1716"/>
    <w:rsid w:val="006E1B31"/>
    <w:rsid w:val="006E362C"/>
    <w:rsid w:val="00707DD8"/>
    <w:rsid w:val="00724897"/>
    <w:rsid w:val="0073203A"/>
    <w:rsid w:val="00751685"/>
    <w:rsid w:val="0075445C"/>
    <w:rsid w:val="0076750A"/>
    <w:rsid w:val="00770E95"/>
    <w:rsid w:val="00781D2C"/>
    <w:rsid w:val="00782E0E"/>
    <w:rsid w:val="007A63B7"/>
    <w:rsid w:val="007E4BF0"/>
    <w:rsid w:val="00803443"/>
    <w:rsid w:val="00830E27"/>
    <w:rsid w:val="00836343"/>
    <w:rsid w:val="0084719A"/>
    <w:rsid w:val="00873BFD"/>
    <w:rsid w:val="0087568C"/>
    <w:rsid w:val="008A5D56"/>
    <w:rsid w:val="008B4E23"/>
    <w:rsid w:val="008B6781"/>
    <w:rsid w:val="008C4768"/>
    <w:rsid w:val="008D4630"/>
    <w:rsid w:val="008E6A0C"/>
    <w:rsid w:val="008F122F"/>
    <w:rsid w:val="008F1BC6"/>
    <w:rsid w:val="009A18F3"/>
    <w:rsid w:val="009B7A13"/>
    <w:rsid w:val="009D0CF5"/>
    <w:rsid w:val="00A32F9F"/>
    <w:rsid w:val="00A706F9"/>
    <w:rsid w:val="00A8121F"/>
    <w:rsid w:val="00AA2F0C"/>
    <w:rsid w:val="00AA4D46"/>
    <w:rsid w:val="00B244B5"/>
    <w:rsid w:val="00B51C4A"/>
    <w:rsid w:val="00B5658B"/>
    <w:rsid w:val="00B60BE9"/>
    <w:rsid w:val="00B858F9"/>
    <w:rsid w:val="00C316F8"/>
    <w:rsid w:val="00CC1E38"/>
    <w:rsid w:val="00D03705"/>
    <w:rsid w:val="00D57FC0"/>
    <w:rsid w:val="00D74B7B"/>
    <w:rsid w:val="00D825A5"/>
    <w:rsid w:val="00DE2AB1"/>
    <w:rsid w:val="00E2259E"/>
    <w:rsid w:val="00E5554F"/>
    <w:rsid w:val="00E55ECA"/>
    <w:rsid w:val="00E6567F"/>
    <w:rsid w:val="00E9552F"/>
    <w:rsid w:val="00EA4572"/>
    <w:rsid w:val="00EC4331"/>
    <w:rsid w:val="00ED7854"/>
    <w:rsid w:val="00F01098"/>
    <w:rsid w:val="00F21256"/>
    <w:rsid w:val="00F21C59"/>
    <w:rsid w:val="00F67352"/>
    <w:rsid w:val="00F7020C"/>
    <w:rsid w:val="00F80033"/>
    <w:rsid w:val="00FE2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A0CE9EB"/>
  <w15:docId w15:val="{01F921B2-5E73-4908-97E6-D2AB739BD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4768"/>
    <w:pPr>
      <w:spacing w:after="0" w:line="240" w:lineRule="atLeast"/>
    </w:pPr>
    <w:rPr>
      <w:rFonts w:ascii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4768"/>
    <w:pPr>
      <w:keepNext/>
      <w:spacing w:before="60" w:after="3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C4768"/>
    <w:rPr>
      <w:rFonts w:ascii="Arial" w:hAnsi="Arial" w:cs="Times New Roman"/>
      <w:b/>
      <w:kern w:val="28"/>
      <w:sz w:val="20"/>
      <w:szCs w:val="20"/>
    </w:rPr>
  </w:style>
  <w:style w:type="paragraph" w:styleId="Header">
    <w:name w:val="header"/>
    <w:basedOn w:val="Normal"/>
    <w:link w:val="HeaderChar"/>
    <w:uiPriority w:val="99"/>
    <w:rsid w:val="008C4768"/>
    <w:pPr>
      <w:tabs>
        <w:tab w:val="center" w:pos="4153"/>
        <w:tab w:val="right" w:pos="8306"/>
      </w:tabs>
      <w:spacing w:after="24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C4768"/>
    <w:rPr>
      <w:rFonts w:ascii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8C4768"/>
    <w:pPr>
      <w:spacing w:before="240" w:line="300" w:lineRule="exact"/>
      <w:jc w:val="both"/>
    </w:pPr>
    <w:rPr>
      <w:lang w:eastAsia="en-A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C4768"/>
    <w:rPr>
      <w:rFonts w:ascii="Times New Roman" w:hAnsi="Times New Roman" w:cs="Times New Roman"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DB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DB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21C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1C59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1C59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1C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1C59"/>
    <w:rPr>
      <w:rFonts w:ascii="Times New Roman" w:hAnsi="Times New Roman" w:cs="Times New Roman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7568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68C"/>
    <w:rPr>
      <w:rFonts w:ascii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782E0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2E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helpdesk-OBPR@pmc.gov.a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3672\Desktop\new%20folder\agency-certification-letter-second-pass-final-assess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3A49AC4A56934D8276EE1D3C479ABA" ma:contentTypeVersion="0" ma:contentTypeDescription="Create a new document." ma:contentTypeScope="" ma:versionID="801553903ddeee176abda7e92ce93cf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C3ADAE-295E-4136-9E75-9D54D97CB5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A066AC8-0B94-4B34-A16D-556F4E4BE1CB}">
  <ds:schemaRefs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AC8725-F1DC-409D-8850-595E59E721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agency-certification-letter-second-pass-final-assessment.dotx</Template>
  <TotalTime>5</TotalTime>
  <Pages>2</Pages>
  <Words>555</Words>
  <Characters>3318</Characters>
  <Application>Microsoft Office Word</Application>
  <DocSecurity>0</DocSecurity>
  <Lines>48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Regulation Impact Statement – Remaking the Broadcasting Service Definition Exclusion Determination – Second Pass Final Assessment</vt:lpstr>
    </vt:vector>
  </TitlesOfParts>
  <Company>Department of Infrastructure, Transport, Regional Development, Communications and the Arts</Company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Regulation Impact Statement – Remaking the Broadcasting Service Definition Exclusion Determination – Second Pass Final Assessment</dc:title>
  <dc:creator>Department of Infrastructure, Transport, Regional Development, Communications and the Arts</dc:creator>
  <cp:lastModifiedBy>HALL Theresa</cp:lastModifiedBy>
  <cp:revision>5</cp:revision>
  <cp:lastPrinted>2020-07-16T06:36:00Z</cp:lastPrinted>
  <dcterms:created xsi:type="dcterms:W3CDTF">2022-09-19T08:01:00Z</dcterms:created>
  <dcterms:modified xsi:type="dcterms:W3CDTF">2022-09-19T08:05:00Z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0x010100293A49AC4A56934D8276EE1D3C479ABA</vt:lpwstr>
  </property>
  <property fmtid="{D5CDD505-2E9C-101B-9397-08002B2CF9AE}" pid="3" name="TrimRevisionNumber">
    <vt:i4>24</vt:i4>
  </property>
</Properties>
</file>