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6B95" w14:textId="5A051179" w:rsidR="005F6F02" w:rsidRPr="00BE3E07" w:rsidRDefault="00E272C3">
      <w:pPr>
        <w:spacing w:after="0"/>
        <w:jc w:val="right"/>
        <w:rPr>
          <w:rFonts w:asciiTheme="minorHAnsi" w:hAnsiTheme="minorHAnsi" w:cstheme="minorHAnsi"/>
          <w:szCs w:val="22"/>
        </w:rPr>
      </w:pPr>
      <w:r w:rsidRPr="00BE3E07">
        <w:rPr>
          <w:rFonts w:asciiTheme="minorHAnsi" w:hAnsiTheme="minorHAnsi" w:cstheme="minorHAnsi"/>
          <w:b/>
          <w:szCs w:val="22"/>
        </w:rPr>
        <w:t>Our r</w:t>
      </w:r>
      <w:r w:rsidR="00190A39" w:rsidRPr="00BE3E07">
        <w:rPr>
          <w:rFonts w:asciiTheme="minorHAnsi" w:hAnsiTheme="minorHAnsi" w:cstheme="minorHAnsi"/>
          <w:b/>
          <w:szCs w:val="22"/>
        </w:rPr>
        <w:t>ef:</w:t>
      </w:r>
      <w:r w:rsidR="00190A39" w:rsidRPr="00BE3E07">
        <w:rPr>
          <w:rFonts w:asciiTheme="minorHAnsi" w:hAnsiTheme="minorHAnsi" w:cstheme="minorHAnsi"/>
          <w:szCs w:val="22"/>
        </w:rPr>
        <w:t xml:space="preserve"> </w:t>
      </w:r>
      <w:sdt>
        <w:sdtPr>
          <w:rPr>
            <w:rFonts w:asciiTheme="minorHAnsi" w:hAnsiTheme="minorHAnsi" w:cstheme="minorHAnsi"/>
            <w:szCs w:val="22"/>
          </w:rPr>
          <w:alias w:val="PDR ID"/>
          <w:tag w:val="PdrId"/>
          <w:id w:val="-186916574"/>
          <w:placeholder>
            <w:docPart w:val="DefaultPlaceholder_-1854013440"/>
          </w:placeholder>
        </w:sdtPr>
        <w:sdtEndPr/>
        <w:sdtContent>
          <w:r w:rsidR="00190A39" w:rsidRPr="00BE3E07">
            <w:rPr>
              <w:rFonts w:asciiTheme="minorHAnsi" w:hAnsiTheme="minorHAnsi" w:cstheme="minorHAnsi"/>
              <w:szCs w:val="22"/>
              <w:bdr w:val="nil"/>
            </w:rPr>
            <w:t>EC22-001830</w:t>
          </w:r>
        </w:sdtContent>
      </w:sdt>
      <w:r w:rsidR="00190A39" w:rsidRPr="00BE3E07">
        <w:rPr>
          <w:rFonts w:asciiTheme="minorHAnsi" w:hAnsiTheme="minorHAnsi" w:cstheme="minorHAnsi"/>
          <w:szCs w:val="22"/>
        </w:rPr>
        <w:t xml:space="preserve"> </w:t>
      </w:r>
    </w:p>
    <w:p w14:paraId="0D0C77D2" w14:textId="22F68D69" w:rsidR="00704022" w:rsidRPr="00BE3E07" w:rsidRDefault="00704022" w:rsidP="00704022">
      <w:pPr>
        <w:spacing w:after="0"/>
        <w:rPr>
          <w:rFonts w:asciiTheme="minorHAnsi" w:hAnsiTheme="minorHAnsi" w:cstheme="minorHAnsi"/>
          <w:szCs w:val="22"/>
        </w:rPr>
      </w:pPr>
      <w:r w:rsidRPr="00BE3E07">
        <w:rPr>
          <w:rFonts w:asciiTheme="minorHAnsi" w:hAnsiTheme="minorHAnsi" w:cstheme="minorHAnsi"/>
          <w:szCs w:val="22"/>
        </w:rPr>
        <w:t>Mr Jason Lange</w:t>
      </w:r>
    </w:p>
    <w:p w14:paraId="43FFE197" w14:textId="5E307E0A" w:rsidR="00704022" w:rsidRPr="00BE3E07" w:rsidRDefault="00704022" w:rsidP="00704022">
      <w:pPr>
        <w:spacing w:after="0"/>
        <w:rPr>
          <w:rFonts w:asciiTheme="minorHAnsi" w:hAnsiTheme="minorHAnsi" w:cstheme="minorHAnsi"/>
          <w:szCs w:val="22"/>
        </w:rPr>
      </w:pPr>
      <w:r w:rsidRPr="00BE3E07">
        <w:rPr>
          <w:rFonts w:asciiTheme="minorHAnsi" w:hAnsiTheme="minorHAnsi" w:cstheme="minorHAnsi"/>
          <w:szCs w:val="22"/>
        </w:rPr>
        <w:t>Executive Director</w:t>
      </w:r>
      <w:r w:rsidR="00790BE1">
        <w:rPr>
          <w:rFonts w:asciiTheme="minorHAnsi" w:hAnsiTheme="minorHAnsi" w:cstheme="minorHAnsi"/>
          <w:szCs w:val="22"/>
        </w:rPr>
        <w:t xml:space="preserve"> - </w:t>
      </w:r>
      <w:r w:rsidRPr="00BE3E07">
        <w:rPr>
          <w:rFonts w:asciiTheme="minorHAnsi" w:hAnsiTheme="minorHAnsi" w:cstheme="minorHAnsi"/>
          <w:szCs w:val="22"/>
        </w:rPr>
        <w:t>Office of Best Practice Regulation</w:t>
      </w:r>
    </w:p>
    <w:p w14:paraId="4A7E410F" w14:textId="77777777" w:rsidR="00704022" w:rsidRPr="00BE3E07" w:rsidRDefault="00704022" w:rsidP="00704022">
      <w:pPr>
        <w:spacing w:after="0"/>
        <w:rPr>
          <w:rFonts w:asciiTheme="minorHAnsi" w:hAnsiTheme="minorHAnsi" w:cstheme="minorHAnsi"/>
          <w:szCs w:val="22"/>
        </w:rPr>
      </w:pPr>
      <w:r w:rsidRPr="00BE3E07">
        <w:rPr>
          <w:rFonts w:asciiTheme="minorHAnsi" w:hAnsiTheme="minorHAnsi" w:cstheme="minorHAnsi"/>
          <w:szCs w:val="22"/>
        </w:rPr>
        <w:t>Department of the Prime Minister and Cabinet</w:t>
      </w:r>
    </w:p>
    <w:p w14:paraId="6892C92B" w14:textId="77777777" w:rsidR="00704022" w:rsidRPr="00BE3E07" w:rsidRDefault="00704022" w:rsidP="00704022">
      <w:pPr>
        <w:spacing w:after="0"/>
        <w:rPr>
          <w:rFonts w:asciiTheme="minorHAnsi" w:hAnsiTheme="minorHAnsi" w:cstheme="minorHAnsi"/>
          <w:szCs w:val="22"/>
        </w:rPr>
      </w:pPr>
      <w:r w:rsidRPr="00BE3E07">
        <w:rPr>
          <w:rFonts w:asciiTheme="minorHAnsi" w:hAnsiTheme="minorHAnsi" w:cstheme="minorHAnsi"/>
          <w:szCs w:val="22"/>
        </w:rPr>
        <w:t>1 National Circuit</w:t>
      </w:r>
    </w:p>
    <w:p w14:paraId="623C65F6" w14:textId="77777777" w:rsidR="00704022" w:rsidRPr="00BE3E07" w:rsidRDefault="00704022" w:rsidP="00704022">
      <w:pPr>
        <w:spacing w:after="0"/>
        <w:rPr>
          <w:rFonts w:asciiTheme="minorHAnsi" w:hAnsiTheme="minorHAnsi" w:cstheme="minorHAnsi"/>
          <w:szCs w:val="22"/>
        </w:rPr>
      </w:pPr>
      <w:r w:rsidRPr="00BE3E07">
        <w:rPr>
          <w:rFonts w:asciiTheme="minorHAnsi" w:hAnsiTheme="minorHAnsi" w:cstheme="minorHAnsi"/>
          <w:szCs w:val="22"/>
        </w:rPr>
        <w:t>BARTON   ACT   2600</w:t>
      </w:r>
      <w:r w:rsidRPr="00BE3E07">
        <w:rPr>
          <w:rFonts w:asciiTheme="minorHAnsi" w:hAnsiTheme="minorHAnsi" w:cstheme="minorHAnsi"/>
          <w:szCs w:val="22"/>
        </w:rPr>
        <w:br/>
      </w:r>
    </w:p>
    <w:p w14:paraId="42208B6C" w14:textId="77777777" w:rsidR="00704022" w:rsidRPr="00BE3E07" w:rsidRDefault="00704022" w:rsidP="00704022">
      <w:pPr>
        <w:rPr>
          <w:rFonts w:asciiTheme="minorHAnsi" w:hAnsiTheme="minorHAnsi" w:cstheme="minorHAnsi"/>
          <w:szCs w:val="22"/>
        </w:rPr>
      </w:pPr>
      <w:r w:rsidRPr="00BE3E07">
        <w:rPr>
          <w:rFonts w:asciiTheme="minorHAnsi" w:hAnsiTheme="minorHAnsi" w:cstheme="minorHAnsi"/>
          <w:szCs w:val="22"/>
        </w:rPr>
        <w:t>Email: helpdesk-OBPR@pmc.gov.au</w:t>
      </w:r>
    </w:p>
    <w:p w14:paraId="11549AF8" w14:textId="77777777" w:rsidR="00BE3E07" w:rsidRPr="00BE3E07" w:rsidRDefault="00BE3E07" w:rsidP="00790BE1">
      <w:pPr>
        <w:spacing w:after="0"/>
        <w:rPr>
          <w:rFonts w:asciiTheme="minorHAnsi" w:hAnsiTheme="minorHAnsi" w:cstheme="minorHAnsi"/>
          <w:szCs w:val="22"/>
        </w:rPr>
      </w:pPr>
    </w:p>
    <w:p w14:paraId="6002EC02" w14:textId="1891180E" w:rsidR="00704022" w:rsidRPr="00BE3E07" w:rsidRDefault="00704022" w:rsidP="00704022">
      <w:pPr>
        <w:rPr>
          <w:rFonts w:asciiTheme="minorHAnsi" w:hAnsiTheme="minorHAnsi" w:cstheme="minorHAnsi"/>
          <w:szCs w:val="22"/>
        </w:rPr>
      </w:pPr>
      <w:r w:rsidRPr="00BE3E07">
        <w:rPr>
          <w:rFonts w:asciiTheme="minorHAnsi" w:hAnsiTheme="minorHAnsi" w:cstheme="minorHAnsi"/>
          <w:szCs w:val="22"/>
        </w:rPr>
        <w:t>Dear Mr Lange</w:t>
      </w:r>
    </w:p>
    <w:p w14:paraId="6B24FC57" w14:textId="7AD81250" w:rsidR="00704022" w:rsidRPr="00BE3E07" w:rsidRDefault="00704022" w:rsidP="00BE3E07">
      <w:pPr>
        <w:pStyle w:val="Heading1"/>
        <w:spacing w:before="0" w:after="0" w:line="300" w:lineRule="exact"/>
        <w:rPr>
          <w:rFonts w:asciiTheme="minorHAnsi" w:hAnsiTheme="minorHAnsi" w:cstheme="minorHAnsi"/>
          <w:sz w:val="22"/>
          <w:szCs w:val="22"/>
        </w:rPr>
      </w:pPr>
      <w:r w:rsidRPr="00BE3E07">
        <w:rPr>
          <w:rFonts w:asciiTheme="minorHAnsi" w:hAnsiTheme="minorHAnsi" w:cstheme="minorHAnsi"/>
          <w:sz w:val="22"/>
          <w:szCs w:val="22"/>
        </w:rPr>
        <w:t xml:space="preserve">Certification of independent review: </w:t>
      </w:r>
      <w:r w:rsidRPr="00BE3E07">
        <w:rPr>
          <w:rFonts w:asciiTheme="minorHAnsi" w:hAnsiTheme="minorHAnsi" w:cstheme="minorHAnsi"/>
          <w:i/>
          <w:sz w:val="22"/>
          <w:szCs w:val="22"/>
        </w:rPr>
        <w:t xml:space="preserve">Review of Small Amount </w:t>
      </w:r>
      <w:r w:rsidR="00AA6D99" w:rsidRPr="00BE3E07">
        <w:rPr>
          <w:rFonts w:asciiTheme="minorHAnsi" w:hAnsiTheme="minorHAnsi" w:cstheme="minorHAnsi"/>
          <w:i/>
          <w:sz w:val="22"/>
          <w:szCs w:val="22"/>
        </w:rPr>
        <w:t>CREDIT CONTRACT LAWS</w:t>
      </w:r>
    </w:p>
    <w:p w14:paraId="583A919B" w14:textId="77777777" w:rsidR="00BE3E07" w:rsidRDefault="00BE3E07" w:rsidP="00BE3E07">
      <w:pPr>
        <w:pStyle w:val="BodyText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04F179DD" w14:textId="54BA500D" w:rsidR="00704022" w:rsidRPr="00BE3E07" w:rsidRDefault="00704022" w:rsidP="00BE3E07">
      <w:pPr>
        <w:pStyle w:val="BodyText"/>
        <w:spacing w:before="0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BE3E07">
        <w:rPr>
          <w:rFonts w:asciiTheme="minorHAnsi" w:hAnsiTheme="minorHAnsi" w:cstheme="minorHAnsi"/>
          <w:sz w:val="22"/>
          <w:szCs w:val="22"/>
        </w:rPr>
        <w:t xml:space="preserve">I am writing to certify that the attached </w:t>
      </w:r>
      <w:r w:rsidR="007264C7">
        <w:rPr>
          <w:rFonts w:asciiTheme="minorHAnsi" w:hAnsiTheme="minorHAnsi" w:cstheme="minorHAnsi"/>
          <w:sz w:val="22"/>
          <w:szCs w:val="22"/>
        </w:rPr>
        <w:t xml:space="preserve">report of the </w:t>
      </w:r>
      <w:r w:rsidRPr="00BE3E07">
        <w:rPr>
          <w:rFonts w:asciiTheme="minorHAnsi" w:hAnsiTheme="minorHAnsi" w:cstheme="minorHAnsi"/>
          <w:sz w:val="22"/>
          <w:szCs w:val="22"/>
        </w:rPr>
        <w:t xml:space="preserve">independent </w:t>
      </w:r>
      <w:r w:rsidR="00A54204" w:rsidRPr="00BE3E07">
        <w:rPr>
          <w:rFonts w:asciiTheme="minorHAnsi" w:hAnsiTheme="minorHAnsi" w:cstheme="minorHAnsi"/>
          <w:sz w:val="22"/>
          <w:szCs w:val="22"/>
        </w:rPr>
        <w:t>R</w:t>
      </w:r>
      <w:r w:rsidRPr="00BE3E07">
        <w:rPr>
          <w:rFonts w:asciiTheme="minorHAnsi" w:hAnsiTheme="minorHAnsi" w:cstheme="minorHAnsi"/>
          <w:sz w:val="22"/>
          <w:szCs w:val="22"/>
        </w:rPr>
        <w:t xml:space="preserve">eview </w:t>
      </w:r>
      <w:r w:rsidR="00AA6D99" w:rsidRPr="00BE3E07">
        <w:rPr>
          <w:rFonts w:asciiTheme="minorHAnsi" w:hAnsiTheme="minorHAnsi" w:cstheme="minorHAnsi"/>
          <w:sz w:val="22"/>
          <w:szCs w:val="22"/>
        </w:rPr>
        <w:t>of Small Amount Credit Contract Laws</w:t>
      </w:r>
      <w:r w:rsidRPr="00BE3E07">
        <w:rPr>
          <w:rFonts w:asciiTheme="minorHAnsi" w:hAnsiTheme="minorHAnsi" w:cstheme="minorHAnsi"/>
          <w:sz w:val="22"/>
          <w:szCs w:val="22"/>
        </w:rPr>
        <w:t xml:space="preserve"> </w:t>
      </w:r>
      <w:r w:rsidR="00A54204" w:rsidRPr="00BE3E07">
        <w:rPr>
          <w:rFonts w:asciiTheme="minorHAnsi" w:hAnsiTheme="minorHAnsi" w:cstheme="minorHAnsi"/>
          <w:sz w:val="22"/>
          <w:szCs w:val="22"/>
        </w:rPr>
        <w:t xml:space="preserve">(the Review) </w:t>
      </w:r>
      <w:r w:rsidRPr="00BE3E07">
        <w:rPr>
          <w:rFonts w:asciiTheme="minorHAnsi" w:hAnsiTheme="minorHAnsi" w:cstheme="minorHAnsi"/>
          <w:sz w:val="22"/>
          <w:szCs w:val="22"/>
        </w:rPr>
        <w:t>has undertaken a process and analysis equivalent to a Regulation Impact Statement (RIS)</w:t>
      </w:r>
      <w:r w:rsidR="00BE3E07">
        <w:rPr>
          <w:rFonts w:asciiTheme="minorHAnsi" w:hAnsiTheme="minorHAnsi" w:cstheme="minorHAnsi"/>
          <w:sz w:val="22"/>
          <w:szCs w:val="22"/>
        </w:rPr>
        <w:t xml:space="preserve"> and </w:t>
      </w:r>
      <w:r w:rsidR="00BE3E07" w:rsidRPr="00BE3E07">
        <w:rPr>
          <w:rFonts w:asciiTheme="minorHAnsi" w:hAnsiTheme="minorHAnsi" w:cstheme="minorHAnsi"/>
          <w:sz w:val="22"/>
          <w:szCs w:val="22"/>
        </w:rPr>
        <w:t xml:space="preserve">is consistent with the </w:t>
      </w:r>
      <w:r w:rsidR="00BE3E07" w:rsidRPr="00BE3E07">
        <w:rPr>
          <w:rFonts w:asciiTheme="minorHAnsi" w:hAnsiTheme="minorHAnsi" w:cstheme="minorHAnsi"/>
          <w:i/>
          <w:sz w:val="22"/>
          <w:szCs w:val="22"/>
        </w:rPr>
        <w:t>Australian Government Guide to Regulatory Impact Analysis</w:t>
      </w:r>
      <w:r w:rsidRPr="00BE3E07">
        <w:rPr>
          <w:rFonts w:asciiTheme="minorHAnsi" w:hAnsiTheme="minorHAnsi" w:cstheme="minorHAnsi"/>
          <w:sz w:val="22"/>
          <w:szCs w:val="22"/>
        </w:rPr>
        <w:t xml:space="preserve">. </w:t>
      </w:r>
      <w:r w:rsidR="00E272C3" w:rsidRPr="00BE3E07">
        <w:rPr>
          <w:rFonts w:asciiTheme="minorHAnsi" w:hAnsiTheme="minorHAnsi" w:cstheme="minorHAnsi"/>
          <w:sz w:val="22"/>
          <w:szCs w:val="22"/>
        </w:rPr>
        <w:t xml:space="preserve">Office of Best Practice Regulation ID </w:t>
      </w:r>
      <w:r w:rsidR="00E272C3" w:rsidRPr="00BE3E07">
        <w:rPr>
          <w:rFonts w:asciiTheme="minorHAnsi" w:hAnsiTheme="minorHAnsi" w:cstheme="minorHAnsi"/>
          <w:b/>
          <w:bCs/>
          <w:sz w:val="22"/>
          <w:szCs w:val="22"/>
        </w:rPr>
        <w:t>OBPR22-02520</w:t>
      </w:r>
      <w:r w:rsidR="00E272C3" w:rsidRPr="00BE3E07">
        <w:rPr>
          <w:rFonts w:asciiTheme="minorHAnsi" w:hAnsiTheme="minorHAnsi" w:cstheme="minorHAnsi"/>
          <w:sz w:val="22"/>
          <w:szCs w:val="22"/>
        </w:rPr>
        <w:t xml:space="preserve"> refers.</w:t>
      </w:r>
      <w:r w:rsidR="00E272C3" w:rsidRPr="00BE3E07">
        <w:rPr>
          <w:sz w:val="22"/>
          <w:szCs w:val="22"/>
        </w:rPr>
        <w:t xml:space="preserve"> </w:t>
      </w:r>
    </w:p>
    <w:p w14:paraId="3EDCC843" w14:textId="3BFBAF60" w:rsidR="00704022" w:rsidRPr="00BE3E07" w:rsidRDefault="00704022" w:rsidP="00704022">
      <w:pPr>
        <w:pStyle w:val="BodyText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BE3E07">
        <w:rPr>
          <w:rFonts w:asciiTheme="minorHAnsi" w:hAnsiTheme="minorHAnsi" w:cstheme="minorHAnsi"/>
          <w:sz w:val="22"/>
          <w:szCs w:val="22"/>
        </w:rPr>
        <w:t xml:space="preserve">I certify that this document adequately addresses all seven RIS questions and is submitted to the Office of Best Practice Regulation </w:t>
      </w:r>
      <w:r w:rsidR="00260DE1" w:rsidRPr="00BE3E07">
        <w:rPr>
          <w:rFonts w:asciiTheme="minorHAnsi" w:hAnsiTheme="minorHAnsi" w:cstheme="minorHAnsi"/>
          <w:sz w:val="22"/>
          <w:szCs w:val="22"/>
        </w:rPr>
        <w:t>to support</w:t>
      </w:r>
      <w:r w:rsidR="00A54204" w:rsidRPr="00BE3E07">
        <w:rPr>
          <w:rFonts w:asciiTheme="minorHAnsi" w:hAnsiTheme="minorHAnsi" w:cstheme="minorHAnsi"/>
          <w:sz w:val="22"/>
          <w:szCs w:val="22"/>
        </w:rPr>
        <w:t xml:space="preserve"> the government’s </w:t>
      </w:r>
      <w:r w:rsidR="00E272C3" w:rsidRPr="00BE3E07">
        <w:rPr>
          <w:rFonts w:asciiTheme="minorHAnsi" w:hAnsiTheme="minorHAnsi" w:cstheme="minorHAnsi"/>
          <w:sz w:val="22"/>
          <w:szCs w:val="22"/>
        </w:rPr>
        <w:t>response to the Review which include</w:t>
      </w:r>
      <w:r w:rsidR="00A54204" w:rsidRPr="00BE3E07">
        <w:rPr>
          <w:rFonts w:asciiTheme="minorHAnsi" w:hAnsiTheme="minorHAnsi" w:cstheme="minorHAnsi"/>
          <w:sz w:val="22"/>
          <w:szCs w:val="22"/>
        </w:rPr>
        <w:t xml:space="preserve"> enhance</w:t>
      </w:r>
      <w:r w:rsidR="00E272C3" w:rsidRPr="00BE3E07">
        <w:rPr>
          <w:rFonts w:asciiTheme="minorHAnsi" w:hAnsiTheme="minorHAnsi" w:cstheme="minorHAnsi"/>
          <w:sz w:val="22"/>
          <w:szCs w:val="22"/>
        </w:rPr>
        <w:t>d</w:t>
      </w:r>
      <w:r w:rsidR="00A54204" w:rsidRPr="00BE3E07">
        <w:rPr>
          <w:rFonts w:asciiTheme="minorHAnsi" w:hAnsiTheme="minorHAnsi" w:cstheme="minorHAnsi"/>
          <w:sz w:val="22"/>
          <w:szCs w:val="22"/>
        </w:rPr>
        <w:t xml:space="preserve"> protections for </w:t>
      </w:r>
      <w:r w:rsidR="00E272C3" w:rsidRPr="00BE3E07">
        <w:rPr>
          <w:rFonts w:asciiTheme="minorHAnsi" w:hAnsiTheme="minorHAnsi" w:cstheme="minorHAnsi"/>
          <w:sz w:val="22"/>
          <w:szCs w:val="22"/>
        </w:rPr>
        <w:t>small amount credit contract and consumer lease consumers.</w:t>
      </w:r>
    </w:p>
    <w:p w14:paraId="37BE78A1" w14:textId="700FED24" w:rsidR="00BE3E07" w:rsidRDefault="00704022" w:rsidP="00BE3E07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 w:rsidRPr="00BE3E07">
        <w:rPr>
          <w:rFonts w:asciiTheme="minorHAnsi" w:hAnsiTheme="minorHAnsi" w:cstheme="minorHAnsi"/>
          <w:sz w:val="22"/>
          <w:szCs w:val="22"/>
        </w:rPr>
        <w:t xml:space="preserve">I am satisfied that the scope of the problem and the recommendations identified in the </w:t>
      </w:r>
      <w:r w:rsidR="00BE3E07" w:rsidRPr="00BE3E07">
        <w:rPr>
          <w:rFonts w:asciiTheme="minorHAnsi" w:hAnsiTheme="minorHAnsi" w:cstheme="minorHAnsi"/>
          <w:sz w:val="22"/>
          <w:szCs w:val="22"/>
        </w:rPr>
        <w:t>R</w:t>
      </w:r>
      <w:r w:rsidRPr="00BE3E07">
        <w:rPr>
          <w:rFonts w:asciiTheme="minorHAnsi" w:hAnsiTheme="minorHAnsi" w:cstheme="minorHAnsi"/>
          <w:sz w:val="22"/>
          <w:szCs w:val="22"/>
        </w:rPr>
        <w:t xml:space="preserve">eview are substantially the same as the identified problem and recommendations in the </w:t>
      </w:r>
      <w:r w:rsidR="00BE3E07" w:rsidRPr="00BE3E07">
        <w:rPr>
          <w:rFonts w:asciiTheme="minorHAnsi" w:hAnsiTheme="minorHAnsi" w:cstheme="minorHAnsi"/>
          <w:sz w:val="22"/>
          <w:szCs w:val="22"/>
        </w:rPr>
        <w:t>government’s response</w:t>
      </w:r>
      <w:r w:rsidR="00715BF0" w:rsidRPr="00BE3E07">
        <w:rPr>
          <w:rFonts w:asciiTheme="minorHAnsi" w:hAnsiTheme="minorHAnsi" w:cstheme="minorHAnsi"/>
          <w:sz w:val="22"/>
          <w:szCs w:val="22"/>
        </w:rPr>
        <w:t xml:space="preserve">. </w:t>
      </w:r>
      <w:r w:rsidR="00260DE1" w:rsidRPr="00BE3E07">
        <w:rPr>
          <w:rFonts w:asciiTheme="minorHAnsi" w:hAnsiTheme="minorHAnsi" w:cstheme="minorHAnsi"/>
          <w:sz w:val="22"/>
          <w:szCs w:val="22"/>
        </w:rPr>
        <w:br/>
      </w:r>
      <w:r w:rsidRPr="00BE3E07">
        <w:rPr>
          <w:rFonts w:asciiTheme="minorHAnsi" w:hAnsiTheme="minorHAnsi" w:cstheme="minorHAnsi"/>
          <w:sz w:val="22"/>
          <w:szCs w:val="22"/>
        </w:rPr>
        <w:t xml:space="preserve">The regulatory burden to business, community organisations or individuals is quantified using the Australian Government’s </w:t>
      </w:r>
      <w:r w:rsidRPr="00BE3E07">
        <w:rPr>
          <w:rFonts w:asciiTheme="minorHAnsi" w:hAnsiTheme="minorHAnsi" w:cstheme="minorHAnsi"/>
          <w:i/>
          <w:sz w:val="22"/>
          <w:szCs w:val="22"/>
        </w:rPr>
        <w:t xml:space="preserve">Regulatory Burden Measurement </w:t>
      </w:r>
      <w:r w:rsidRPr="00BE3E07">
        <w:rPr>
          <w:rFonts w:asciiTheme="minorHAnsi" w:hAnsiTheme="minorHAnsi" w:cstheme="minorHAnsi"/>
          <w:sz w:val="22"/>
          <w:szCs w:val="22"/>
        </w:rPr>
        <w:t>framework and is provided below.</w:t>
      </w:r>
      <w:r w:rsidR="00BE3E07" w:rsidRPr="00BE3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A70503" w14:textId="77777777" w:rsidR="00BE3E07" w:rsidRPr="00BE3E07" w:rsidRDefault="00BE3E07" w:rsidP="00190A39">
      <w:pPr>
        <w:pStyle w:val="TableName"/>
        <w:spacing w:before="240" w:after="0"/>
        <w:rPr>
          <w:rFonts w:asciiTheme="minorHAnsi" w:hAnsiTheme="minorHAnsi" w:cstheme="minorHAnsi"/>
          <w:b/>
        </w:rPr>
      </w:pPr>
      <w:r w:rsidRPr="00BE3E07">
        <w:rPr>
          <w:rFonts w:asciiTheme="minorHAnsi" w:hAnsiTheme="minorHAnsi" w:cstheme="minorHAnsi"/>
          <w:b/>
        </w:rPr>
        <w:t>Table 1: Regulatory Burden Estimate (RBE) Table</w:t>
      </w:r>
    </w:p>
    <w:tbl>
      <w:tblPr>
        <w:tblStyle w:val="LightGrid-Accent2"/>
        <w:tblW w:w="9356" w:type="dxa"/>
        <w:tblInd w:w="108" w:type="dxa"/>
        <w:tblLayout w:type="fixed"/>
        <w:tblLook w:val="04A0" w:firstRow="1" w:lastRow="0" w:firstColumn="1" w:lastColumn="0" w:noHBand="0" w:noVBand="1"/>
        <w:tblCaption w:val="Regulatory burden and cost offset estimate table"/>
        <w:tblDescription w:val="Template for the Regulatory burden and cost offset estimate table"/>
      </w:tblPr>
      <w:tblGrid>
        <w:gridCol w:w="1871"/>
        <w:gridCol w:w="1871"/>
        <w:gridCol w:w="1871"/>
        <w:gridCol w:w="1871"/>
        <w:gridCol w:w="1872"/>
      </w:tblGrid>
      <w:tr w:rsidR="00BE3E07" w:rsidRPr="00BE3E07" w14:paraId="24F61296" w14:textId="77777777" w:rsidTr="003F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noWrap/>
          </w:tcPr>
          <w:p w14:paraId="07781624" w14:textId="5EC22164" w:rsidR="00BE3E07" w:rsidRPr="00BE3E07" w:rsidRDefault="00BE3E07" w:rsidP="003F35E8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E3E07">
              <w:rPr>
                <w:rFonts w:asciiTheme="minorHAnsi" w:hAnsiTheme="minorHAnsi" w:cstheme="minorHAnsi"/>
                <w:szCs w:val="22"/>
              </w:rPr>
              <w:t>Average annual regulatory costs (from business as usual)</w:t>
            </w:r>
            <w:r w:rsidR="007264C7">
              <w:rPr>
                <w:rFonts w:asciiTheme="minorHAnsi" w:hAnsiTheme="minorHAnsi" w:cstheme="minorHAnsi"/>
                <w:szCs w:val="22"/>
              </w:rPr>
              <w:t xml:space="preserve"> – </w:t>
            </w:r>
            <w:proofErr w:type="gramStart"/>
            <w:r w:rsidR="007264C7">
              <w:rPr>
                <w:rFonts w:asciiTheme="minorHAnsi" w:hAnsiTheme="minorHAnsi" w:cstheme="minorHAnsi"/>
                <w:szCs w:val="22"/>
              </w:rPr>
              <w:t>10 year</w:t>
            </w:r>
            <w:proofErr w:type="gramEnd"/>
            <w:r w:rsidR="007264C7">
              <w:rPr>
                <w:rFonts w:asciiTheme="minorHAnsi" w:hAnsiTheme="minorHAnsi" w:cstheme="minorHAnsi"/>
                <w:szCs w:val="22"/>
              </w:rPr>
              <w:t xml:space="preserve"> annualised costs</w:t>
            </w:r>
          </w:p>
        </w:tc>
      </w:tr>
      <w:tr w:rsidR="00BE3E07" w:rsidRPr="00BE3E07" w14:paraId="1EA8D3EE" w14:textId="77777777" w:rsidTr="003F35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0F33BE1E" w14:textId="77777777" w:rsidR="00BE3E07" w:rsidRPr="00BE3E07" w:rsidRDefault="00BE3E07" w:rsidP="003F35E8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E3E07">
              <w:rPr>
                <w:rFonts w:asciiTheme="minorHAnsi" w:hAnsiTheme="minorHAnsi" w:cstheme="minorHAnsi"/>
                <w:b w:val="0"/>
                <w:sz w:val="22"/>
                <w:szCs w:val="22"/>
              </w:rPr>
              <w:t>Change in costs ($ million)</w:t>
            </w:r>
          </w:p>
        </w:tc>
        <w:tc>
          <w:tcPr>
            <w:tcW w:w="1871" w:type="dxa"/>
            <w:noWrap/>
          </w:tcPr>
          <w:p w14:paraId="4F112C29" w14:textId="77777777" w:rsidR="00BE3E07" w:rsidRPr="00BE3E07" w:rsidRDefault="00BE3E07" w:rsidP="003F35E8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E3E07">
              <w:rPr>
                <w:rFonts w:asciiTheme="minorHAnsi" w:hAnsiTheme="minorHAnsi" w:cstheme="minorHAnsi"/>
                <w:sz w:val="22"/>
                <w:szCs w:val="22"/>
              </w:rPr>
              <w:t>Business</w:t>
            </w:r>
          </w:p>
        </w:tc>
        <w:tc>
          <w:tcPr>
            <w:tcW w:w="1871" w:type="dxa"/>
            <w:noWrap/>
          </w:tcPr>
          <w:p w14:paraId="60D801A0" w14:textId="77777777" w:rsidR="00BE3E07" w:rsidRPr="00BE3E07" w:rsidRDefault="00BE3E07" w:rsidP="003F35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E3E07">
              <w:rPr>
                <w:rFonts w:asciiTheme="minorHAnsi" w:hAnsiTheme="minorHAnsi" w:cstheme="minorHAnsi"/>
                <w:szCs w:val="22"/>
              </w:rPr>
              <w:t>Community organisations</w:t>
            </w:r>
          </w:p>
        </w:tc>
        <w:tc>
          <w:tcPr>
            <w:tcW w:w="1871" w:type="dxa"/>
            <w:noWrap/>
          </w:tcPr>
          <w:p w14:paraId="59C34412" w14:textId="77777777" w:rsidR="00BE3E07" w:rsidRPr="00BE3E07" w:rsidRDefault="00BE3E07" w:rsidP="003F35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E3E07">
              <w:rPr>
                <w:rFonts w:asciiTheme="minorHAnsi" w:hAnsiTheme="minorHAnsi" w:cstheme="minorHAnsi"/>
                <w:szCs w:val="22"/>
              </w:rPr>
              <w:t>Individuals</w:t>
            </w:r>
          </w:p>
        </w:tc>
        <w:tc>
          <w:tcPr>
            <w:tcW w:w="1872" w:type="dxa"/>
            <w:noWrap/>
          </w:tcPr>
          <w:p w14:paraId="3317446D" w14:textId="77777777" w:rsidR="00BE3E07" w:rsidRPr="00BE3E07" w:rsidRDefault="00BE3E07" w:rsidP="003F35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E3E07">
              <w:rPr>
                <w:rFonts w:asciiTheme="minorHAnsi" w:hAnsiTheme="minorHAnsi" w:cstheme="minorHAnsi"/>
                <w:szCs w:val="22"/>
              </w:rPr>
              <w:t>Total change in costs</w:t>
            </w:r>
          </w:p>
        </w:tc>
      </w:tr>
      <w:tr w:rsidR="00BE3E07" w:rsidRPr="00BE3E07" w14:paraId="4684DE36" w14:textId="77777777" w:rsidTr="003F35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4DD70C21" w14:textId="77777777" w:rsidR="00BE3E07" w:rsidRPr="00BE3E07" w:rsidRDefault="00BE3E07" w:rsidP="003F35E8">
            <w:pPr>
              <w:spacing w:after="0"/>
              <w:rPr>
                <w:rFonts w:asciiTheme="minorHAnsi" w:hAnsiTheme="minorHAnsi" w:cstheme="minorHAnsi"/>
                <w:b w:val="0"/>
                <w:szCs w:val="22"/>
              </w:rPr>
            </w:pPr>
            <w:r w:rsidRPr="00BE3E07">
              <w:rPr>
                <w:rFonts w:asciiTheme="minorHAnsi" w:hAnsiTheme="minorHAnsi" w:cstheme="minorHAnsi"/>
                <w:b w:val="0"/>
                <w:szCs w:val="22"/>
              </w:rPr>
              <w:t>Total, by sector</w:t>
            </w:r>
          </w:p>
        </w:tc>
        <w:tc>
          <w:tcPr>
            <w:tcW w:w="1871" w:type="dxa"/>
            <w:noWrap/>
          </w:tcPr>
          <w:p w14:paraId="4DF93072" w14:textId="3A1566F2" w:rsidR="00BE3E07" w:rsidRPr="00BE3E07" w:rsidRDefault="00BE3E07" w:rsidP="003F35E8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E3E07">
              <w:rPr>
                <w:rFonts w:asciiTheme="minorHAnsi" w:hAnsiTheme="minorHAnsi" w:cstheme="minorHAnsi"/>
                <w:szCs w:val="22"/>
              </w:rPr>
              <w:t>$</w:t>
            </w:r>
            <w:r w:rsidR="00790BE1">
              <w:rPr>
                <w:rFonts w:asciiTheme="minorHAnsi" w:hAnsiTheme="minorHAnsi" w:cstheme="minorHAnsi"/>
                <w:szCs w:val="22"/>
              </w:rPr>
              <w:t>17.62</w:t>
            </w:r>
          </w:p>
        </w:tc>
        <w:tc>
          <w:tcPr>
            <w:tcW w:w="1871" w:type="dxa"/>
            <w:noWrap/>
          </w:tcPr>
          <w:p w14:paraId="6BC452D0" w14:textId="482DC9EC" w:rsidR="00BE3E07" w:rsidRPr="00BE3E07" w:rsidRDefault="00BE3E07" w:rsidP="003F35E8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E3E07">
              <w:rPr>
                <w:rFonts w:asciiTheme="minorHAnsi" w:hAnsiTheme="minorHAnsi" w:cstheme="minorHAnsi"/>
                <w:szCs w:val="22"/>
              </w:rPr>
              <w:t>$</w:t>
            </w:r>
            <w:r w:rsidR="007264C7">
              <w:rPr>
                <w:rFonts w:asciiTheme="minorHAnsi" w:hAnsiTheme="minorHAnsi" w:cstheme="minorHAnsi"/>
                <w:szCs w:val="22"/>
              </w:rPr>
              <w:t>Nil</w:t>
            </w:r>
          </w:p>
        </w:tc>
        <w:tc>
          <w:tcPr>
            <w:tcW w:w="1871" w:type="dxa"/>
            <w:noWrap/>
          </w:tcPr>
          <w:p w14:paraId="65A9E7C0" w14:textId="2753462C" w:rsidR="00BE3E07" w:rsidRPr="00BE3E07" w:rsidRDefault="00BE3E07" w:rsidP="003F35E8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E3E07">
              <w:rPr>
                <w:rFonts w:asciiTheme="minorHAnsi" w:hAnsiTheme="minorHAnsi" w:cstheme="minorHAnsi"/>
                <w:szCs w:val="22"/>
              </w:rPr>
              <w:t>$</w:t>
            </w:r>
            <w:r w:rsidR="007264C7">
              <w:rPr>
                <w:rFonts w:asciiTheme="minorHAnsi" w:hAnsiTheme="minorHAnsi" w:cstheme="minorHAnsi"/>
                <w:szCs w:val="22"/>
              </w:rPr>
              <w:t>Nil</w:t>
            </w:r>
          </w:p>
        </w:tc>
        <w:tc>
          <w:tcPr>
            <w:tcW w:w="1872" w:type="dxa"/>
            <w:noWrap/>
          </w:tcPr>
          <w:p w14:paraId="422CAA0F" w14:textId="6BB4A50D" w:rsidR="00BE3E07" w:rsidRPr="00BE3E07" w:rsidRDefault="00BE3E07" w:rsidP="003F35E8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E3E07">
              <w:rPr>
                <w:rFonts w:asciiTheme="minorHAnsi" w:hAnsiTheme="minorHAnsi" w:cstheme="minorHAnsi"/>
                <w:szCs w:val="22"/>
              </w:rPr>
              <w:t>$</w:t>
            </w:r>
            <w:r w:rsidR="00790BE1">
              <w:rPr>
                <w:rFonts w:asciiTheme="minorHAnsi" w:hAnsiTheme="minorHAnsi" w:cstheme="minorHAnsi"/>
                <w:szCs w:val="22"/>
              </w:rPr>
              <w:t>17.62</w:t>
            </w:r>
          </w:p>
        </w:tc>
      </w:tr>
    </w:tbl>
    <w:p w14:paraId="5C8A5873" w14:textId="4A1D6646" w:rsidR="00704022" w:rsidRPr="00BE3E07" w:rsidRDefault="00704022" w:rsidP="00BE3E07">
      <w:pPr>
        <w:pStyle w:val="BodyText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3E07">
        <w:rPr>
          <w:rFonts w:asciiTheme="minorHAnsi" w:hAnsiTheme="minorHAnsi" w:cstheme="minorHAnsi"/>
          <w:color w:val="000000" w:themeColor="text1"/>
          <w:sz w:val="22"/>
          <w:szCs w:val="22"/>
        </w:rPr>
        <w:t>I note that the implementation of this proposal will increase the regulatory burden</w:t>
      </w:r>
      <w:r w:rsidR="007264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upon certain businesses</w:t>
      </w:r>
      <w:r w:rsidRPr="00BE3E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No offset measure has been identified, but the </w:t>
      </w:r>
      <w:r w:rsidR="00715BF0" w:rsidRPr="00BE3E07">
        <w:rPr>
          <w:rFonts w:asciiTheme="minorHAnsi" w:hAnsiTheme="minorHAnsi" w:cstheme="minorHAnsi"/>
          <w:color w:val="000000" w:themeColor="text1"/>
          <w:sz w:val="22"/>
          <w:szCs w:val="22"/>
        </w:rPr>
        <w:t>Treasury will work with affected stakeholders and across Government to identi</w:t>
      </w:r>
      <w:r w:rsidR="00260DE1" w:rsidRPr="00BE3E07"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="00715BF0" w:rsidRPr="00BE3E07">
        <w:rPr>
          <w:rFonts w:asciiTheme="minorHAnsi" w:hAnsiTheme="minorHAnsi" w:cstheme="minorHAnsi"/>
          <w:color w:val="000000" w:themeColor="text1"/>
          <w:sz w:val="22"/>
          <w:szCs w:val="22"/>
        </w:rPr>
        <w:t>y regulatory burden reductions where appropriate</w:t>
      </w:r>
      <w:r w:rsidRPr="00BE3E0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9397178" w14:textId="64FE8F86" w:rsidR="00704022" w:rsidRPr="00BE3E07" w:rsidRDefault="00704022" w:rsidP="00260DE1">
      <w:pPr>
        <w:pStyle w:val="Header"/>
        <w:spacing w:before="240"/>
        <w:rPr>
          <w:rFonts w:asciiTheme="minorHAnsi" w:hAnsiTheme="minorHAnsi" w:cstheme="minorHAnsi"/>
          <w:b w:val="0"/>
          <w:bCs/>
          <w:szCs w:val="22"/>
        </w:rPr>
      </w:pPr>
      <w:r w:rsidRPr="00BE3E07">
        <w:rPr>
          <w:rFonts w:asciiTheme="minorHAnsi" w:hAnsiTheme="minorHAnsi" w:cstheme="minorHAnsi"/>
          <w:b w:val="0"/>
          <w:bCs/>
          <w:szCs w:val="22"/>
        </w:rPr>
        <w:t>Yours sincerely</w:t>
      </w:r>
    </w:p>
    <w:p w14:paraId="36D78977" w14:textId="55863FF2" w:rsidR="00BE3E07" w:rsidRDefault="00BE3E07" w:rsidP="00704022">
      <w:pPr>
        <w:rPr>
          <w:rFonts w:asciiTheme="minorHAnsi" w:hAnsiTheme="minorHAnsi" w:cstheme="minorHAnsi"/>
          <w:szCs w:val="22"/>
        </w:rPr>
      </w:pPr>
    </w:p>
    <w:p w14:paraId="74496B06" w14:textId="46F76E10" w:rsidR="00704022" w:rsidRDefault="00260DE1" w:rsidP="00BE3E07">
      <w:pPr>
        <w:spacing w:after="0"/>
        <w:rPr>
          <w:rFonts w:asciiTheme="minorHAnsi" w:hAnsiTheme="minorHAnsi" w:cstheme="minorHAnsi"/>
          <w:szCs w:val="22"/>
        </w:rPr>
      </w:pPr>
      <w:r w:rsidRPr="00BE3E07">
        <w:rPr>
          <w:rFonts w:asciiTheme="minorHAnsi" w:hAnsiTheme="minorHAnsi" w:cstheme="minorHAnsi"/>
          <w:szCs w:val="22"/>
        </w:rPr>
        <w:t>Meghan Quinn</w:t>
      </w:r>
    </w:p>
    <w:p w14:paraId="1D463F78" w14:textId="77777777" w:rsidR="00190A39" w:rsidRPr="00BE3E07" w:rsidRDefault="00190A39" w:rsidP="00BE3E07">
      <w:pPr>
        <w:spacing w:after="0"/>
        <w:rPr>
          <w:rFonts w:asciiTheme="minorHAnsi" w:hAnsiTheme="minorHAnsi" w:cstheme="minorHAnsi"/>
          <w:szCs w:val="22"/>
        </w:rPr>
      </w:pPr>
    </w:p>
    <w:p w14:paraId="3F9BB606" w14:textId="78D34E86" w:rsidR="00704022" w:rsidRPr="00BE3E07" w:rsidRDefault="00260DE1" w:rsidP="00704022">
      <w:pPr>
        <w:rPr>
          <w:rFonts w:asciiTheme="minorHAnsi" w:hAnsiTheme="minorHAnsi" w:cstheme="minorHAnsi"/>
          <w:szCs w:val="22"/>
        </w:rPr>
      </w:pPr>
      <w:r w:rsidRPr="00BE3E07">
        <w:rPr>
          <w:rFonts w:asciiTheme="minorHAnsi" w:hAnsiTheme="minorHAnsi" w:cstheme="minorHAnsi"/>
          <w:szCs w:val="22"/>
        </w:rPr>
        <w:t>Deputy Secretary</w:t>
      </w:r>
      <w:r w:rsidR="00704022" w:rsidRPr="00BE3E07">
        <w:rPr>
          <w:rFonts w:asciiTheme="minorHAnsi" w:hAnsiTheme="minorHAnsi" w:cstheme="minorHAnsi"/>
          <w:szCs w:val="22"/>
        </w:rPr>
        <w:br/>
      </w:r>
      <w:r w:rsidRPr="00BE3E07">
        <w:rPr>
          <w:rFonts w:asciiTheme="minorHAnsi" w:hAnsiTheme="minorHAnsi" w:cstheme="minorHAnsi"/>
          <w:szCs w:val="22"/>
        </w:rPr>
        <w:t>Markets Group</w:t>
      </w:r>
      <w:r w:rsidR="00704022" w:rsidRPr="00BE3E07">
        <w:rPr>
          <w:rFonts w:asciiTheme="minorHAnsi" w:hAnsiTheme="minorHAnsi" w:cstheme="minorHAnsi"/>
          <w:szCs w:val="22"/>
        </w:rPr>
        <w:br/>
      </w:r>
      <w:r w:rsidR="00AB429D">
        <w:rPr>
          <w:rFonts w:asciiTheme="minorHAnsi" w:hAnsiTheme="minorHAnsi" w:cstheme="minorHAnsi"/>
          <w:szCs w:val="22"/>
        </w:rPr>
        <w:t>27 July 2022</w:t>
      </w:r>
    </w:p>
    <w:p w14:paraId="06AA40F3" w14:textId="3EB5BC11" w:rsidR="00585D8B" w:rsidRPr="00AA6D99" w:rsidRDefault="00790BE1" w:rsidP="0070402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Enc. Review of Small Amount Credit Contracts</w:t>
      </w:r>
    </w:p>
    <w:sectPr w:rsidR="00585D8B" w:rsidRPr="00AA6D99" w:rsidSect="005F01D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425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ABDE" w14:textId="77777777" w:rsidR="00F016BF" w:rsidRDefault="00F016BF">
      <w:pPr>
        <w:spacing w:after="0"/>
      </w:pPr>
      <w:r>
        <w:separator/>
      </w:r>
    </w:p>
  </w:endnote>
  <w:endnote w:type="continuationSeparator" w:id="0">
    <w:p w14:paraId="65456842" w14:textId="77777777" w:rsidR="00F016BF" w:rsidRDefault="00F016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D1F4" w14:textId="77777777" w:rsidR="002B692A" w:rsidRDefault="002B692A" w:rsidP="002B692A">
    <w:pPr>
      <w:pStyle w:val="SecurityClassificationFooter"/>
    </w:pPr>
  </w:p>
  <w:p w14:paraId="258B7454" w14:textId="77777777" w:rsidR="002B692A" w:rsidRDefault="00F016BF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4B5B" w14:textId="77777777" w:rsidR="000C3D77" w:rsidRDefault="00190A39">
    <w:pPr>
      <w:tabs>
        <w:tab w:val="center" w:pos="4820"/>
      </w:tabs>
      <w:spacing w:before="120" w:after="0"/>
    </w:pPr>
    <w:r>
      <w:rPr>
        <w:vanish/>
      </w:rPr>
      <w:fldChar w:fldCharType="begin"/>
    </w:r>
    <w:r>
      <w:rPr>
        <w:vanish/>
      </w:rPr>
      <w:instrText xml:space="preserve"> FILENAME \p \* MERGEFORMAT </w:instrText>
    </w:r>
    <w:r w:rsidR="00F016BF">
      <w:rPr>
        <w:vanish/>
      </w:rPr>
      <w:fldChar w:fldCharType="separate"/>
    </w:r>
    <w:r>
      <w:rPr>
        <w:noProof/>
        <w:vanish/>
        <w:sz w:val="12"/>
      </w:rPr>
      <w:fldChar w:fldCharType="end"/>
    </w:r>
    <w:r w:rsidR="005F6F02">
      <w:tab/>
    </w:r>
  </w:p>
  <w:p w14:paraId="4263A738" w14:textId="77777777" w:rsidR="002B692A" w:rsidRDefault="002B692A" w:rsidP="002B692A">
    <w:pPr>
      <w:pStyle w:val="SecurityClassificationFooter"/>
    </w:pPr>
  </w:p>
  <w:p w14:paraId="0412DBED" w14:textId="77777777" w:rsidR="002B692A" w:rsidRDefault="00F016BF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AEC2" w14:textId="77777777" w:rsidR="00375CB3" w:rsidRPr="00375CB3" w:rsidRDefault="00190A39" w:rsidP="00A23E22">
    <w:pPr>
      <w:pStyle w:val="FooterAddress"/>
      <w:rPr>
        <w:sz w:val="12"/>
      </w:rPr>
    </w:pPr>
    <w:r>
      <w:rPr>
        <w:noProof/>
        <w:color w:val="000000" w:themeColor="text1"/>
      </w:rPr>
      <w:drawing>
        <wp:anchor distT="0" distB="0" distL="114300" distR="114300" simplePos="0" relativeHeight="251658240" behindDoc="1" locked="0" layoutInCell="1" allowOverlap="1" wp14:anchorId="4B359682" wp14:editId="61DBD191">
          <wp:simplePos x="0" y="0"/>
          <wp:positionH relativeFrom="page">
            <wp:align>center</wp:align>
          </wp:positionH>
          <wp:positionV relativeFrom="paragraph">
            <wp:posOffset>-575945</wp:posOffset>
          </wp:positionV>
          <wp:extent cx="7200000" cy="11844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SY - Letterhead footer -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5A1713" w14:textId="77777777" w:rsidR="005F6F02" w:rsidRPr="00A23E22" w:rsidRDefault="005F6F02" w:rsidP="00A23E22">
    <w:pPr>
      <w:pStyle w:val="FooterAddress"/>
      <w:rPr>
        <w:sz w:val="2"/>
      </w:rPr>
    </w:pPr>
  </w:p>
  <w:p w14:paraId="6F34227E" w14:textId="75552E6D" w:rsidR="005F6F02" w:rsidRDefault="00190A39" w:rsidP="00136149">
    <w:pPr>
      <w:pStyle w:val="FooterAddress"/>
    </w:pPr>
    <w:r>
      <w:t>Langton Crescent, PARKES ACT 2600, AUSTRALIA</w:t>
    </w:r>
    <w:r w:rsidR="00F36FE7">
      <w:br/>
    </w:r>
    <w:r w:rsidR="00021A7F">
      <w:t>P</w:t>
    </w:r>
    <w:r w:rsidR="00AD44A4">
      <w:t>:</w:t>
    </w:r>
    <w:r>
      <w:t xml:space="preserve">  </w:t>
    </w:r>
    <w:r w:rsidR="00A567A8">
      <w:t>1800 020 008</w:t>
    </w:r>
    <w:r w:rsidR="00F36FE7">
      <w:br/>
    </w:r>
    <w:r w:rsidR="00041147" w:rsidRPr="00485E79">
      <w:t>www.treasury.gov.au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9F8A" w14:textId="77777777" w:rsidR="00F016BF" w:rsidRDefault="00F016BF">
      <w:pPr>
        <w:spacing w:after="0"/>
      </w:pPr>
      <w:r>
        <w:separator/>
      </w:r>
    </w:p>
  </w:footnote>
  <w:footnote w:type="continuationSeparator" w:id="0">
    <w:p w14:paraId="33740D71" w14:textId="77777777" w:rsidR="00F016BF" w:rsidRDefault="00F016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8AEC" w14:textId="77777777" w:rsidR="005F6F02" w:rsidRDefault="00190A39">
    <w:pPr>
      <w:jc w:val="center"/>
      <w:rPr>
        <w:b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1F21" w14:textId="77777777" w:rsidR="005F6F02" w:rsidRPr="006A320D" w:rsidRDefault="00190A39" w:rsidP="00021A7F">
    <w:pPr>
      <w:rPr>
        <w:color w:val="000000" w:themeColor="text1"/>
      </w:rPr>
    </w:pPr>
    <w:r w:rsidRPr="006A320D">
      <w:rPr>
        <w:noProof/>
        <w:color w:val="000000" w:themeColor="text1"/>
      </w:rPr>
      <w:drawing>
        <wp:inline distT="0" distB="0" distL="0" distR="0" wp14:anchorId="03EB6400" wp14:editId="78680FDD">
          <wp:extent cx="2343150" cy="533400"/>
          <wp:effectExtent l="19050" t="0" r="0" b="0"/>
          <wp:docPr id="1" name="Picture 1" descr="The Treasury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Treasury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IClassificationInHeader" w:val="False"/>
    <w:docVar w:name="SecurityClassificationInHeader" w:val="False"/>
    <w:docVar w:name="SecurityDLMInHeader" w:val="False"/>
  </w:docVars>
  <w:rsids>
    <w:rsidRoot w:val="00136149"/>
    <w:rsid w:val="00010558"/>
    <w:rsid w:val="00013C16"/>
    <w:rsid w:val="00021A7F"/>
    <w:rsid w:val="00041147"/>
    <w:rsid w:val="00070A45"/>
    <w:rsid w:val="000C3D77"/>
    <w:rsid w:val="000D2875"/>
    <w:rsid w:val="000E70A5"/>
    <w:rsid w:val="00136149"/>
    <w:rsid w:val="00187181"/>
    <w:rsid w:val="00190A39"/>
    <w:rsid w:val="001F4A93"/>
    <w:rsid w:val="001F5439"/>
    <w:rsid w:val="002554F2"/>
    <w:rsid w:val="00260DE1"/>
    <w:rsid w:val="002B4ACE"/>
    <w:rsid w:val="002B692A"/>
    <w:rsid w:val="002F767C"/>
    <w:rsid w:val="00317D75"/>
    <w:rsid w:val="00337317"/>
    <w:rsid w:val="00375CB3"/>
    <w:rsid w:val="00436CCC"/>
    <w:rsid w:val="00437881"/>
    <w:rsid w:val="00444ADC"/>
    <w:rsid w:val="00485E79"/>
    <w:rsid w:val="004D59F6"/>
    <w:rsid w:val="00521D21"/>
    <w:rsid w:val="005234E0"/>
    <w:rsid w:val="0058454C"/>
    <w:rsid w:val="00585D8B"/>
    <w:rsid w:val="005F01D5"/>
    <w:rsid w:val="005F6F02"/>
    <w:rsid w:val="0066121B"/>
    <w:rsid w:val="006A1A29"/>
    <w:rsid w:val="006A320D"/>
    <w:rsid w:val="006A446E"/>
    <w:rsid w:val="006F2190"/>
    <w:rsid w:val="00704022"/>
    <w:rsid w:val="00715BF0"/>
    <w:rsid w:val="007232C5"/>
    <w:rsid w:val="007264C7"/>
    <w:rsid w:val="00790BE1"/>
    <w:rsid w:val="00826B07"/>
    <w:rsid w:val="00857F46"/>
    <w:rsid w:val="00887044"/>
    <w:rsid w:val="008C14D2"/>
    <w:rsid w:val="0092186E"/>
    <w:rsid w:val="0098490B"/>
    <w:rsid w:val="009D66DE"/>
    <w:rsid w:val="00A138CA"/>
    <w:rsid w:val="00A23E22"/>
    <w:rsid w:val="00A24156"/>
    <w:rsid w:val="00A54204"/>
    <w:rsid w:val="00A567A8"/>
    <w:rsid w:val="00A7671D"/>
    <w:rsid w:val="00AA5826"/>
    <w:rsid w:val="00AA6D99"/>
    <w:rsid w:val="00AB429D"/>
    <w:rsid w:val="00AD44A4"/>
    <w:rsid w:val="00B112A0"/>
    <w:rsid w:val="00B8256A"/>
    <w:rsid w:val="00BD4CB5"/>
    <w:rsid w:val="00BE3E07"/>
    <w:rsid w:val="00C8731A"/>
    <w:rsid w:val="00CA030C"/>
    <w:rsid w:val="00D26980"/>
    <w:rsid w:val="00D848F0"/>
    <w:rsid w:val="00DA54C5"/>
    <w:rsid w:val="00DC76B2"/>
    <w:rsid w:val="00DF1852"/>
    <w:rsid w:val="00E04515"/>
    <w:rsid w:val="00E217CF"/>
    <w:rsid w:val="00E272C3"/>
    <w:rsid w:val="00E36021"/>
    <w:rsid w:val="00E51C9D"/>
    <w:rsid w:val="00E90177"/>
    <w:rsid w:val="00EC5544"/>
    <w:rsid w:val="00F016BF"/>
    <w:rsid w:val="00F36FE7"/>
    <w:rsid w:val="00F5164B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814CC"/>
  <w15:docId w15:val="{CFF390C7-C200-4D1B-9A3C-428605BA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rsid w:val="006A1A29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rsid w:val="006A1A29"/>
    <w:pPr>
      <w:spacing w:after="0"/>
      <w:jc w:val="center"/>
    </w:pPr>
    <w:rPr>
      <w:b/>
    </w:rPr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link w:val="HeaderChar"/>
    <w:uiPriority w:val="99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4D59F6"/>
    <w:rPr>
      <w:rFonts w:asciiTheme="minorHAnsi" w:hAnsiTheme="minorHAnsi"/>
      <w:b w:val="0"/>
      <w:color w:val="FFFFFF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4D59F6"/>
    <w:rPr>
      <w:rFonts w:asciiTheme="minorHAnsi" w:hAnsiTheme="minorHAnsi"/>
      <w:b w:val="0"/>
      <w:color w:val="FFFFFF"/>
      <w:sz w:val="16"/>
    </w:rPr>
  </w:style>
  <w:style w:type="paragraph" w:customStyle="1" w:styleId="SecurityClassificationHeader">
    <w:name w:val="Security Classification Header"/>
    <w:link w:val="SecurityClassificationHead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SecurityClassificationFooter">
    <w:name w:val="Security Classification Footer"/>
    <w:link w:val="SecurityClassificationFoot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Header">
    <w:name w:val="DLM Security Header"/>
    <w:link w:val="DLMSecurityHead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HeaderChar">
    <w:name w:val="DLM Security Header Char"/>
    <w:basedOn w:val="DefaultParagraphFont"/>
    <w:link w:val="DLMSecurity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Footer">
    <w:name w:val="DLM Security Footer"/>
    <w:link w:val="DLMSecurityFoot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FooterChar">
    <w:name w:val="DLM Security Footer Char"/>
    <w:basedOn w:val="DefaultParagraphFont"/>
    <w:link w:val="DLMSecurityFooter"/>
    <w:rsid w:val="002B692A"/>
    <w:rPr>
      <w:rFonts w:ascii="Calibri" w:hAnsi="Calibri"/>
      <w:b/>
      <w:caps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FD6823"/>
    <w:rPr>
      <w:color w:val="808080"/>
    </w:rPr>
  </w:style>
  <w:style w:type="paragraph" w:customStyle="1" w:styleId="Addressee">
    <w:name w:val="Addressee"/>
    <w:basedOn w:val="Normal"/>
    <w:rsid w:val="00826B07"/>
    <w:pPr>
      <w:spacing w:after="0"/>
    </w:pPr>
    <w:rPr>
      <w:rFonts w:ascii="Garamond" w:hAnsi="Garamond"/>
      <w:sz w:val="24"/>
      <w:szCs w:val="24"/>
    </w:rPr>
  </w:style>
  <w:style w:type="character" w:customStyle="1" w:styleId="Style2">
    <w:name w:val="Style2"/>
    <w:basedOn w:val="DefaultParagraphFont"/>
    <w:uiPriority w:val="1"/>
    <w:rsid w:val="00826B07"/>
    <w:rPr>
      <w:rFonts w:asciiTheme="minorHAnsi" w:hAnsiTheme="minorHAnsi"/>
      <w:sz w:val="22"/>
    </w:rPr>
  </w:style>
  <w:style w:type="character" w:customStyle="1" w:styleId="Style1">
    <w:name w:val="Style1"/>
    <w:basedOn w:val="DefaultParagraphFont"/>
    <w:uiPriority w:val="1"/>
    <w:qFormat/>
    <w:rsid w:val="00826B07"/>
    <w:rPr>
      <w:rFonts w:asciiTheme="minorHAnsi" w:hAnsiTheme="minorHAnsi"/>
      <w:caps/>
      <w:smallCaps w:val="0"/>
      <w:sz w:val="22"/>
    </w:rPr>
  </w:style>
  <w:style w:type="paragraph" w:customStyle="1" w:styleId="cell">
    <w:name w:val="cell"/>
    <w:basedOn w:val="Normal"/>
    <w:rsid w:val="00A138CA"/>
    <w:pPr>
      <w:spacing w:after="0"/>
    </w:pPr>
    <w:rPr>
      <w:rFonts w:ascii="Arial" w:hAnsi="Arial" w:cs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4022"/>
    <w:rPr>
      <w:rFonts w:ascii="Calibri" w:hAnsi="Calibri"/>
      <w:b/>
      <w:sz w:val="22"/>
    </w:rPr>
  </w:style>
  <w:style w:type="paragraph" w:styleId="BodyText">
    <w:name w:val="Body Text"/>
    <w:basedOn w:val="Normal"/>
    <w:link w:val="BodyTextChar"/>
    <w:uiPriority w:val="99"/>
    <w:rsid w:val="00704022"/>
    <w:pPr>
      <w:spacing w:before="240" w:after="0" w:line="300" w:lineRule="exact"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04022"/>
    <w:rPr>
      <w:sz w:val="24"/>
    </w:rPr>
  </w:style>
  <w:style w:type="table" w:styleId="LightGrid-Accent2">
    <w:name w:val="Light Grid Accent 2"/>
    <w:basedOn w:val="TableNormal"/>
    <w:uiPriority w:val="62"/>
    <w:rsid w:val="00704022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Text">
    <w:name w:val="TableText"/>
    <w:basedOn w:val="Normal"/>
    <w:qFormat/>
    <w:rsid w:val="00704022"/>
    <w:pPr>
      <w:spacing w:before="120" w:after="120"/>
    </w:pPr>
    <w:rPr>
      <w:rFonts w:ascii="Arial" w:eastAsiaTheme="majorEastAsia" w:hAnsi="Arial" w:cs="Arial"/>
      <w:bCs/>
      <w:sz w:val="20"/>
      <w:lang w:eastAsia="en-US"/>
    </w:rPr>
  </w:style>
  <w:style w:type="paragraph" w:customStyle="1" w:styleId="TableName">
    <w:name w:val="TableName"/>
    <w:basedOn w:val="Normal"/>
    <w:qFormat/>
    <w:rsid w:val="00704022"/>
    <w:pPr>
      <w:keepNext/>
      <w:spacing w:after="120"/>
    </w:pPr>
    <w:rPr>
      <w:rFonts w:ascii="Arial" w:eastAsiaTheme="minorEastAsia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Correspondence\Lett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922D9-67CA-40BC-9296-E6731DC8DEBE}"/>
      </w:docPartPr>
      <w:docPartBody>
        <w:p w:rsidR="00E04515" w:rsidRDefault="006F6C00">
          <w:r w:rsidRPr="00317D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0"/>
    <w:rsid w:val="006F6C00"/>
    <w:rsid w:val="00BD2F9A"/>
    <w:rsid w:val="00D26980"/>
    <w:rsid w:val="00E0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9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DOCID-322795542-23132</_dlc_DocId>
    <_dlc_DocIdUrl xmlns="4195ad5f-cdf2-4c4a-8d9b-b7944a108e98">
      <Url>https://pmc01.sharepoint.com/sites/CRMOBPR/_layouts/15/DocIdRedir.aspx?ID=DOCID-322795542-23132</Url>
      <Description>DOCID-322795542-23132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580E15-E5E4-44EC-B6D4-8D8AFBA04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5DC4F-4A67-43D0-905C-3531AD983A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6CF39D-99D7-44FD-AE78-D9858F60BF7F}"/>
</file>

<file path=customXml/itemProps4.xml><?xml version="1.0" encoding="utf-8"?>
<ds:datastoreItem xmlns:ds="http://schemas.openxmlformats.org/officeDocument/2006/customXml" ds:itemID="{B6B6F8BB-E024-4C57-A028-703D0CF10624}">
  <ds:schemaRefs>
    <ds:schemaRef ds:uri="http://schemas.microsoft.com/office/2006/metadata/properties"/>
    <ds:schemaRef ds:uri="http://schemas.microsoft.com/office/infopath/2007/PartnerControls"/>
    <ds:schemaRef ds:uri="DD2D433F-6E4E-42FB-8933-315E34733C87"/>
  </ds:schemaRefs>
</ds:datastoreItem>
</file>

<file path=customXml/itemProps5.xml><?xml version="1.0" encoding="utf-8"?>
<ds:datastoreItem xmlns:ds="http://schemas.openxmlformats.org/officeDocument/2006/customXml" ds:itemID="{91DB0058-0456-4267-8063-53AF2FE58254}"/>
</file>

<file path=docProps/app.xml><?xml version="1.0" encoding="utf-8"?>
<Properties xmlns="http://schemas.openxmlformats.org/officeDocument/2006/extended-properties" xmlns:vt="http://schemas.openxmlformats.org/officeDocument/2006/docPropsVTypes">
  <Template>Letter.dotm</Template>
  <TotalTime>119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Treasury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Certification of the Review of Small Amount Credit Contracts as a process and analysis equivalent to a RIS</dc:subject>
  <dc:creator>Cook, Karen</dc:creator>
  <cp:lastModifiedBy>Quinn, Meghan</cp:lastModifiedBy>
  <cp:revision>12</cp:revision>
  <cp:lastPrinted>2006-03-24T05:20:00Z</cp:lastPrinted>
  <dcterms:created xsi:type="dcterms:W3CDTF">2020-05-22T06:23:00Z</dcterms:created>
  <dcterms:modified xsi:type="dcterms:W3CDTF">2022-07-27T02:26:00Z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Information">
    <vt:lpwstr/>
  </property>
  <property fmtid="{D5CDD505-2E9C-101B-9397-08002B2CF9AE}" pid="3" name="AdditionalSecurityInformation">
    <vt:lpwstr/>
  </property>
  <property fmtid="{D5CDD505-2E9C-101B-9397-08002B2CF9AE}" pid="4" name="ClearanceDueDate">
    <vt:lpwstr/>
  </property>
  <property fmtid="{D5CDD505-2E9C-101B-9397-08002B2CF9AE}" pid="5" name="ContactOfficer">
    <vt:lpwstr/>
  </property>
  <property fmtid="{D5CDD505-2E9C-101B-9397-08002B2CF9AE}" pid="6" name="ContactOfficerPhone">
    <vt:lpwstr/>
  </property>
  <property fmtid="{D5CDD505-2E9C-101B-9397-08002B2CF9AE}" pid="7" name="ContentTypeId">
    <vt:lpwstr>0x0101009CA239676470E04B809DDC4E24CF2322</vt:lpwstr>
  </property>
  <property fmtid="{D5CDD505-2E9C-101B-9397-08002B2CF9AE}" pid="8" name="CustomDate">
    <vt:lpwstr/>
  </property>
  <property fmtid="{D5CDD505-2E9C-101B-9397-08002B2CF9AE}" pid="9" name="CustomDateName">
    <vt:lpwstr/>
  </property>
  <property fmtid="{D5CDD505-2E9C-101B-9397-08002B2CF9AE}" pid="10" name="DLMSecurityClassification">
    <vt:lpwstr/>
  </property>
  <property fmtid="{D5CDD505-2E9C-101B-9397-08002B2CF9AE}" pid="11" name="ECDate">
    <vt:lpwstr/>
  </property>
  <property fmtid="{D5CDD505-2E9C-101B-9397-08002B2CF9AE}" pid="12" name="ECDateType">
    <vt:lpwstr/>
  </property>
  <property fmtid="{D5CDD505-2E9C-101B-9397-08002B2CF9AE}" pid="13" name="EventDate">
    <vt:lpwstr/>
  </property>
  <property fmtid="{D5CDD505-2E9C-101B-9397-08002B2CF9AE}" pid="14" name="EventState">
    <vt:lpwstr/>
  </property>
  <property fmtid="{D5CDD505-2E9C-101B-9397-08002B2CF9AE}" pid="15" name="EventVenue">
    <vt:lpwstr/>
  </property>
  <property fmtid="{D5CDD505-2E9C-101B-9397-08002B2CF9AE}" pid="16" name="Executives">
    <vt:lpwstr>Meghan Quinn</vt:lpwstr>
  </property>
  <property fmtid="{D5CDD505-2E9C-101B-9397-08002B2CF9AE}" pid="17" name="GroupResponsible">
    <vt:lpwstr>Financial System Division</vt:lpwstr>
  </property>
  <property fmtid="{D5CDD505-2E9C-101B-9397-08002B2CF9AE}" pid="18" name="HandlingProtocol">
    <vt:lpwstr>Standard</vt:lpwstr>
  </property>
  <property fmtid="{D5CDD505-2E9C-101B-9397-08002B2CF9AE}" pid="19" name="InformationExecutive">
    <vt:lpwstr> </vt:lpwstr>
  </property>
  <property fmtid="{D5CDD505-2E9C-101B-9397-08002B2CF9AE}" pid="20" name="InformationMinister">
    <vt:lpwstr> </vt:lpwstr>
  </property>
  <property fmtid="{D5CDD505-2E9C-101B-9397-08002B2CF9AE}" pid="21" name="InitiatorAddressBlock">
    <vt:lpwstr/>
  </property>
  <property fmtid="{D5CDD505-2E9C-101B-9397-08002B2CF9AE}" pid="22" name="InitiatorAddressLine1">
    <vt:lpwstr/>
  </property>
  <property fmtid="{D5CDD505-2E9C-101B-9397-08002B2CF9AE}" pid="23" name="InitiatorAddressLine1And2">
    <vt:lpwstr/>
  </property>
  <property fmtid="{D5CDD505-2E9C-101B-9397-08002B2CF9AE}" pid="24" name="InitiatorAddressLine2">
    <vt:lpwstr/>
  </property>
  <property fmtid="{D5CDD505-2E9C-101B-9397-08002B2CF9AE}" pid="25" name="InitiatorContactDate">
    <vt:lpwstr/>
  </property>
  <property fmtid="{D5CDD505-2E9C-101B-9397-08002B2CF9AE}" pid="26" name="InitiatorContactName">
    <vt:lpwstr/>
  </property>
  <property fmtid="{D5CDD505-2E9C-101B-9397-08002B2CF9AE}" pid="27" name="InitiatorContactPosition">
    <vt:lpwstr/>
  </property>
  <property fmtid="{D5CDD505-2E9C-101B-9397-08002B2CF9AE}" pid="28" name="InitiatorCountry">
    <vt:lpwstr/>
  </property>
  <property fmtid="{D5CDD505-2E9C-101B-9397-08002B2CF9AE}" pid="29" name="InitiatorEmail">
    <vt:lpwstr/>
  </property>
  <property fmtid="{D5CDD505-2E9C-101B-9397-08002B2CF9AE}" pid="30" name="InitiatorFax">
    <vt:lpwstr/>
  </property>
  <property fmtid="{D5CDD505-2E9C-101B-9397-08002B2CF9AE}" pid="31" name="InitiatorFirstName">
    <vt:lpwstr/>
  </property>
  <property fmtid="{D5CDD505-2E9C-101B-9397-08002B2CF9AE}" pid="32" name="InitiatorFormalTitle">
    <vt:lpwstr/>
  </property>
  <property fmtid="{D5CDD505-2E9C-101B-9397-08002B2CF9AE}" pid="33" name="InitiatorFullName">
    <vt:lpwstr/>
  </property>
  <property fmtid="{D5CDD505-2E9C-101B-9397-08002B2CF9AE}" pid="34" name="InitiatorLastName">
    <vt:lpwstr/>
  </property>
  <property fmtid="{D5CDD505-2E9C-101B-9397-08002B2CF9AE}" pid="35" name="InitiatorMobile">
    <vt:lpwstr/>
  </property>
  <property fmtid="{D5CDD505-2E9C-101B-9397-08002B2CF9AE}" pid="36" name="InitiatorMPElectorate">
    <vt:lpwstr/>
  </property>
  <property fmtid="{D5CDD505-2E9C-101B-9397-08002B2CF9AE}" pid="37" name="InitiatorMPState">
    <vt:lpwstr/>
  </property>
  <property fmtid="{D5CDD505-2E9C-101B-9397-08002B2CF9AE}" pid="38" name="InitiatorName">
    <vt:lpwstr/>
  </property>
  <property fmtid="{D5CDD505-2E9C-101B-9397-08002B2CF9AE}" pid="39" name="InitiatorOnBehalfVia">
    <vt:lpwstr/>
  </property>
  <property fmtid="{D5CDD505-2E9C-101B-9397-08002B2CF9AE}" pid="40" name="InitiatorOrganisation">
    <vt:lpwstr/>
  </property>
  <property fmtid="{D5CDD505-2E9C-101B-9397-08002B2CF9AE}" pid="41" name="InitiatorOrganisationContactInformation">
    <vt:lpwstr/>
  </property>
  <property fmtid="{D5CDD505-2E9C-101B-9397-08002B2CF9AE}" pid="42" name="InitiatorOrganisationType">
    <vt:lpwstr/>
  </property>
  <property fmtid="{D5CDD505-2E9C-101B-9397-08002B2CF9AE}" pid="43" name="InitiatorOrganisationWebsite">
    <vt:lpwstr/>
  </property>
  <property fmtid="{D5CDD505-2E9C-101B-9397-08002B2CF9AE}" pid="44" name="InitiatorParliamentaryTitle">
    <vt:lpwstr/>
  </property>
  <property fmtid="{D5CDD505-2E9C-101B-9397-08002B2CF9AE}" pid="45" name="InitiatorPhone">
    <vt:lpwstr/>
  </property>
  <property fmtid="{D5CDD505-2E9C-101B-9397-08002B2CF9AE}" pid="46" name="InitiatorPostCode">
    <vt:lpwstr/>
  </property>
  <property fmtid="{D5CDD505-2E9C-101B-9397-08002B2CF9AE}" pid="47" name="InitiatorPostNominal">
    <vt:lpwstr/>
  </property>
  <property fmtid="{D5CDD505-2E9C-101B-9397-08002B2CF9AE}" pid="48" name="InitiatorState">
    <vt:lpwstr/>
  </property>
  <property fmtid="{D5CDD505-2E9C-101B-9397-08002B2CF9AE}" pid="49" name="InitiatorSuburbOrCity">
    <vt:lpwstr/>
  </property>
  <property fmtid="{D5CDD505-2E9C-101B-9397-08002B2CF9AE}" pid="50" name="InitiatorSuburbStatePostcode">
    <vt:lpwstr/>
  </property>
  <property fmtid="{D5CDD505-2E9C-101B-9397-08002B2CF9AE}" pid="51" name="InitiatorTitle">
    <vt:lpwstr/>
  </property>
  <property fmtid="{D5CDD505-2E9C-101B-9397-08002B2CF9AE}" pid="52" name="InitiatorTitledFullName">
    <vt:lpwstr/>
  </property>
  <property fmtid="{D5CDD505-2E9C-101B-9397-08002B2CF9AE}" pid="53" name="Language">
    <vt:lpwstr>English</vt:lpwstr>
  </property>
  <property fmtid="{D5CDD505-2E9C-101B-9397-08002B2CF9AE}" pid="54" name="MeetingDate">
    <vt:lpwstr/>
  </property>
  <property fmtid="{D5CDD505-2E9C-101B-9397-08002B2CF9AE}" pid="55" name="MeetingState">
    <vt:lpwstr/>
  </property>
  <property fmtid="{D5CDD505-2E9C-101B-9397-08002B2CF9AE}" pid="56" name="MeetingVenue">
    <vt:lpwstr/>
  </property>
  <property fmtid="{D5CDD505-2E9C-101B-9397-08002B2CF9AE}" pid="57" name="Ministers">
    <vt:lpwstr/>
  </property>
  <property fmtid="{D5CDD505-2E9C-101B-9397-08002B2CF9AE}" pid="58" name="MOActionActualDate">
    <vt:lpwstr/>
  </property>
  <property fmtid="{D5CDD505-2E9C-101B-9397-08002B2CF9AE}" pid="59" name="MOActionDueDate">
    <vt:lpwstr/>
  </property>
  <property fmtid="{D5CDD505-2E9C-101B-9397-08002B2CF9AE}" pid="60" name="PdrId">
    <vt:lpwstr>EC22-001830</vt:lpwstr>
  </property>
  <property fmtid="{D5CDD505-2E9C-101B-9397-08002B2CF9AE}" pid="61" name="Principal">
    <vt:lpwstr>Dep Sec Markets</vt:lpwstr>
  </property>
  <property fmtid="{D5CDD505-2E9C-101B-9397-08002B2CF9AE}" pid="62" name="QualityCheckActualDate">
    <vt:lpwstr/>
  </property>
  <property fmtid="{D5CDD505-2E9C-101B-9397-08002B2CF9AE}" pid="63" name="QualityCheckDueDate">
    <vt:lpwstr/>
  </property>
  <property fmtid="{D5CDD505-2E9C-101B-9397-08002B2CF9AE}" pid="64" name="ReasonForCreation">
    <vt:lpwstr>Initiated by Division</vt:lpwstr>
  </property>
  <property fmtid="{D5CDD505-2E9C-101B-9397-08002B2CF9AE}" pid="65" name="ReasonForSensitivity">
    <vt:lpwstr/>
  </property>
  <property fmtid="{D5CDD505-2E9C-101B-9397-08002B2CF9AE}" pid="66" name="RegisteredDate">
    <vt:lpwstr>24 June 2022</vt:lpwstr>
  </property>
  <property fmtid="{D5CDD505-2E9C-101B-9397-08002B2CF9AE}" pid="67" name="RequestedExecutiveAction">
    <vt:lpwstr>Approval</vt:lpwstr>
  </property>
  <property fmtid="{D5CDD505-2E9C-101B-9397-08002B2CF9AE}" pid="68" name="RequestedSubmittedBy">
    <vt:lpwstr/>
  </property>
  <property fmtid="{D5CDD505-2E9C-101B-9397-08002B2CF9AE}" pid="69" name="ResponsibleExecutive">
    <vt:lpwstr>Meghan Quinn</vt:lpwstr>
  </property>
  <property fmtid="{D5CDD505-2E9C-101B-9397-08002B2CF9AE}" pid="70" name="ResponsibleMinister">
    <vt:lpwstr> </vt:lpwstr>
  </property>
  <property fmtid="{D5CDD505-2E9C-101B-9397-08002B2CF9AE}" pid="71" name="SecurityClassification">
    <vt:lpwstr>OFFICIAL  </vt:lpwstr>
  </property>
  <property fmtid="{D5CDD505-2E9C-101B-9397-08002B2CF9AE}" pid="72" name="SignedDate">
    <vt:lpwstr/>
  </property>
  <property fmtid="{D5CDD505-2E9C-101B-9397-08002B2CF9AE}" pid="73" name="Subject">
    <vt:lpwstr>Certification of the Review of Small Amount Credit Contracts as a process and analysis equivalent to a RIS</vt:lpwstr>
  </property>
  <property fmtid="{D5CDD505-2E9C-101B-9397-08002B2CF9AE}" pid="74" name="Superseded">
    <vt:lpwstr>True</vt:lpwstr>
  </property>
  <property fmtid="{D5CDD505-2E9C-101B-9397-08002B2CF9AE}" pid="75" name="TaskSeqNo">
    <vt:lpwstr>0</vt:lpwstr>
  </property>
  <property fmtid="{D5CDD505-2E9C-101B-9397-08002B2CF9AE}" pid="76" name="TemplateSubType">
    <vt:lpwstr>Standard with letter</vt:lpwstr>
  </property>
  <property fmtid="{D5CDD505-2E9C-101B-9397-08002B2CF9AE}" pid="77" name="TemplateType">
    <vt:lpwstr>Minute/Submission</vt:lpwstr>
  </property>
  <property fmtid="{D5CDD505-2E9C-101B-9397-08002B2CF9AE}" pid="78" name="TrustedGroups">
    <vt:lpwstr>Business Administrator, Executive Communications, Limited Distribution EC</vt:lpwstr>
  </property>
  <property fmtid="{D5CDD505-2E9C-101B-9397-08002B2CF9AE}" pid="79" name="WorkingDocStatus">
    <vt:lpwstr/>
  </property>
  <property fmtid="{D5CDD505-2E9C-101B-9397-08002B2CF9AE}" pid="80" name="_dlc_DocIdItemGuid">
    <vt:lpwstr>c924e856-6fd5-4c1f-a676-3a20d1203eb2</vt:lpwstr>
  </property>
  <property fmtid="{D5CDD505-2E9C-101B-9397-08002B2CF9AE}" pid="81" name="MediaServiceImageTags">
    <vt:lpwstr/>
  </property>
</Properties>
</file>