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42289537"/>
        <w:docPartObj>
          <w:docPartGallery w:val="Cover Pages"/>
          <w:docPartUnique/>
        </w:docPartObj>
      </w:sdtPr>
      <w:sdtEndPr/>
      <w:sdtContent>
        <w:p w14:paraId="49423173"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3B0907F6" wp14:editId="6165E60A">
                <wp:simplePos x="0" y="0"/>
                <wp:positionH relativeFrom="page">
                  <wp:posOffset>8890</wp:posOffset>
                </wp:positionH>
                <wp:positionV relativeFrom="page">
                  <wp:posOffset>-30480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FF1C1" w14:textId="77777777" w:rsidR="00A97160" w:rsidRPr="006D0240" w:rsidRDefault="00A97160" w:rsidP="00301755">
          <w:pPr>
            <w:pStyle w:val="Header"/>
            <w:spacing w:after="1200"/>
          </w:pPr>
        </w:p>
        <w:p w14:paraId="609A3EF2" w14:textId="15BC8682" w:rsidR="00A97160" w:rsidRPr="00C356F8" w:rsidRDefault="00E71675" w:rsidP="002A7A31">
          <w:pPr>
            <w:pStyle w:val="Title"/>
            <w:tabs>
              <w:tab w:val="left" w:pos="6379"/>
            </w:tabs>
            <w:spacing w:after="120" w:line="720" w:lineRule="exact"/>
            <w:ind w:right="1982"/>
            <w:rPr>
              <w:sz w:val="70"/>
              <w:szCs w:val="70"/>
            </w:rPr>
          </w:pPr>
          <w:r w:rsidRPr="00C356F8">
            <w:rPr>
              <w:sz w:val="70"/>
              <w:szCs w:val="70"/>
            </w:rPr>
            <w:t>Extending the ban on conflicted remuneration for listed investment companies and trusts</w:t>
          </w:r>
        </w:p>
        <w:p w14:paraId="186DAED8" w14:textId="781DE80C" w:rsidR="00A97160" w:rsidRPr="006923DF" w:rsidRDefault="00E71675" w:rsidP="00E40043">
          <w:pPr>
            <w:pStyle w:val="Subtitle"/>
            <w:spacing w:after="200"/>
          </w:pPr>
          <w:r>
            <w:t>Post-implementation review</w:t>
          </w:r>
        </w:p>
        <w:p w14:paraId="42D961A5" w14:textId="700F2289" w:rsidR="00A97160" w:rsidRPr="00586605" w:rsidRDefault="00E71675" w:rsidP="00E40043">
          <w:pPr>
            <w:pStyle w:val="ReportDate"/>
            <w:spacing w:after="200"/>
          </w:pPr>
          <w:r>
            <w:rPr>
              <w:rStyle w:val="ReportDateChar"/>
            </w:rPr>
            <w:t>July 2022</w:t>
          </w:r>
        </w:p>
        <w:p w14:paraId="2883D43B" w14:textId="77777777" w:rsidR="00A97160" w:rsidRDefault="00A97160">
          <w:pPr>
            <w:spacing w:before="0" w:after="160" w:line="259" w:lineRule="auto"/>
            <w:rPr>
              <w:noProof/>
            </w:rPr>
          </w:pPr>
        </w:p>
        <w:p w14:paraId="745628DF" w14:textId="77777777" w:rsidR="00A97160" w:rsidRDefault="00A97160" w:rsidP="00BE7EA5">
          <w:pPr>
            <w:spacing w:before="0" w:after="160" w:line="259" w:lineRule="auto"/>
            <w:rPr>
              <w:noProof/>
            </w:rPr>
          </w:pPr>
        </w:p>
        <w:p w14:paraId="2AD8ED1B" w14:textId="77777777" w:rsidR="00A97160" w:rsidRDefault="00A97160">
          <w:pPr>
            <w:spacing w:before="0" w:after="160" w:line="259" w:lineRule="auto"/>
          </w:pPr>
          <w:r>
            <w:br w:type="page"/>
          </w:r>
        </w:p>
      </w:sdtContent>
    </w:sdt>
    <w:p w14:paraId="138C8D56" w14:textId="549D69FB" w:rsidR="000E0B74" w:rsidRDefault="000E0B74" w:rsidP="005877AC">
      <w:pPr>
        <w:spacing w:before="0" w:after="160" w:line="259" w:lineRule="auto"/>
      </w:pPr>
      <w:r w:rsidRPr="00661BF0">
        <w:lastRenderedPageBreak/>
        <w:t xml:space="preserve">© Commonwealth of Australia </w:t>
      </w:r>
      <w:r w:rsidRPr="00717DC7">
        <w:t>20</w:t>
      </w:r>
      <w:r w:rsidR="00717DC7" w:rsidRPr="00717DC7">
        <w:t>22</w:t>
      </w:r>
    </w:p>
    <w:p w14:paraId="13D78D3B" w14:textId="0304BA1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F51BE97" w14:textId="77777777" w:rsidR="000E0B74" w:rsidRDefault="000E0B74" w:rsidP="000E0B74">
      <w:pPr>
        <w:pStyle w:val="ChartGraphic"/>
        <w:jc w:val="left"/>
      </w:pPr>
      <w:r w:rsidRPr="00E56DFB">
        <w:rPr>
          <w:noProof/>
        </w:rPr>
        <w:drawing>
          <wp:inline distT="0" distB="0" distL="0" distR="0" wp14:anchorId="498FAE69" wp14:editId="2822D0EE">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E097C80"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CFA0595" w14:textId="77777777" w:rsidR="000E0B74" w:rsidRPr="006469CC" w:rsidRDefault="000E0B74" w:rsidP="006469CC">
      <w:pPr>
        <w:spacing w:before="240"/>
        <w:rPr>
          <w:b/>
        </w:rPr>
      </w:pPr>
      <w:r w:rsidRPr="006469CC">
        <w:rPr>
          <w:b/>
        </w:rPr>
        <w:t>Treasury material used ‘as supplied’.</w:t>
      </w:r>
    </w:p>
    <w:p w14:paraId="3EB4D8C1"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3AEC43B9" w14:textId="4941AD6F" w:rsidR="000E0B74" w:rsidRPr="00A13A11" w:rsidRDefault="000E0B74" w:rsidP="000E0B74">
      <w:pPr>
        <w:ind w:firstLine="720"/>
      </w:pPr>
      <w:r w:rsidRPr="002F1BC2">
        <w:rPr>
          <w:i/>
        </w:rPr>
        <w:t xml:space="preserve">Source: The </w:t>
      </w:r>
      <w:r w:rsidRPr="002F1BC2">
        <w:rPr>
          <w:i/>
          <w:iCs/>
        </w:rPr>
        <w:t>Australian Government the Treasury</w:t>
      </w:r>
      <w:r w:rsidR="00717DC7">
        <w:rPr>
          <w:i/>
          <w:iCs/>
        </w:rPr>
        <w:t>.</w:t>
      </w:r>
    </w:p>
    <w:p w14:paraId="14EEE15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B482F0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B4130FB" w14:textId="1DCFB5FA" w:rsidR="000E0B74" w:rsidRPr="006627B4" w:rsidRDefault="000E0B74" w:rsidP="000E0B74">
      <w:pPr>
        <w:ind w:firstLine="720"/>
      </w:pPr>
      <w:r w:rsidRPr="002F1BC2">
        <w:rPr>
          <w:i/>
        </w:rPr>
        <w:t>Based on The Australian Government the Treasury data</w:t>
      </w:r>
      <w:r>
        <w:t>.</w:t>
      </w:r>
    </w:p>
    <w:p w14:paraId="5F00D650" w14:textId="77777777" w:rsidR="000E0B74" w:rsidRPr="006627B4" w:rsidRDefault="000E0B74" w:rsidP="000E0B74">
      <w:pPr>
        <w:spacing w:before="240"/>
        <w:rPr>
          <w:b/>
        </w:rPr>
      </w:pPr>
      <w:r w:rsidRPr="006627B4">
        <w:rPr>
          <w:b/>
        </w:rPr>
        <w:t>Use of the Coat of Arms</w:t>
      </w:r>
    </w:p>
    <w:p w14:paraId="3E2A9FB1"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6" w:history="1">
        <w:r w:rsidR="00F669CD">
          <w:rPr>
            <w:rStyle w:val="Hyperlink"/>
          </w:rPr>
          <w:t>http://www.pmc.gov.au/government/commonwealth-coat-arms</w:t>
        </w:r>
      </w:hyperlink>
      <w:r w:rsidRPr="005C503A">
        <w:t>).</w:t>
      </w:r>
    </w:p>
    <w:p w14:paraId="043D20F9" w14:textId="77777777" w:rsidR="000E0B74" w:rsidRPr="006627B4" w:rsidRDefault="000E0B74" w:rsidP="000E0B74">
      <w:pPr>
        <w:spacing w:before="240"/>
        <w:rPr>
          <w:b/>
        </w:rPr>
      </w:pPr>
      <w:r>
        <w:rPr>
          <w:b/>
        </w:rPr>
        <w:t>Other u</w:t>
      </w:r>
      <w:r w:rsidRPr="006627B4">
        <w:rPr>
          <w:b/>
        </w:rPr>
        <w:t>ses</w:t>
      </w:r>
    </w:p>
    <w:p w14:paraId="38269180" w14:textId="77777777" w:rsidR="000E0B74" w:rsidRPr="006627B4" w:rsidRDefault="000E0B74" w:rsidP="000E0B74">
      <w:r>
        <w:t>E</w:t>
      </w:r>
      <w:r w:rsidRPr="006627B4">
        <w:t>nquiries regarding this licence and any other use of this document are welcome at:</w:t>
      </w:r>
    </w:p>
    <w:p w14:paraId="3AA8B950"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Pr="00B31CFB">
          <w:rPr>
            <w:rStyle w:val="Hyperlink"/>
          </w:rPr>
          <w:t>medialiaison@treasury.gov.au</w:t>
        </w:r>
      </w:hyperlink>
    </w:p>
    <w:p w14:paraId="75D9F56C"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45A91563" w14:textId="77777777" w:rsidR="000E0B74" w:rsidRDefault="000E0B74" w:rsidP="001F1B27">
      <w:pPr>
        <w:pStyle w:val="Heading1"/>
      </w:pPr>
      <w:bookmarkStart w:id="1" w:name="_Toc109905910"/>
      <w:r w:rsidRPr="001F1B27">
        <w:lastRenderedPageBreak/>
        <w:t>Contents</w:t>
      </w:r>
      <w:bookmarkEnd w:id="1"/>
    </w:p>
    <w:p w14:paraId="7480B344" w14:textId="7EE96725" w:rsidR="00333B94" w:rsidRDefault="000E0B74" w:rsidP="002B2D62">
      <w:pPr>
        <w:pStyle w:val="TOC1"/>
        <w:spacing w:before="120" w:after="120"/>
        <w:rPr>
          <w:rFonts w:asciiTheme="minorHAnsi" w:eastAsiaTheme="minorEastAsia" w:hAnsiTheme="minorHAnsi" w:cstheme="minorBidi"/>
          <w:b w:val="0"/>
          <w:color w:val="auto"/>
        </w:rPr>
      </w:pPr>
      <w:r>
        <w:rPr>
          <w:color w:val="004A7F"/>
        </w:rPr>
        <w:fldChar w:fldCharType="begin"/>
      </w:r>
      <w:r w:rsidRPr="0025652F">
        <w:instrText xml:space="preserve"> TOC \o "1-3" \h \z \u </w:instrText>
      </w:r>
      <w:r>
        <w:rPr>
          <w:color w:val="004A7F"/>
        </w:rPr>
        <w:fldChar w:fldCharType="separate"/>
      </w:r>
      <w:hyperlink w:anchor="_Toc109905910" w:history="1">
        <w:r w:rsidR="00333B94" w:rsidRPr="00EF3604">
          <w:rPr>
            <w:rStyle w:val="Hyperlink"/>
          </w:rPr>
          <w:t>Contents</w:t>
        </w:r>
        <w:r w:rsidR="00333B94">
          <w:rPr>
            <w:webHidden/>
          </w:rPr>
          <w:tab/>
        </w:r>
        <w:r w:rsidR="00333B94">
          <w:rPr>
            <w:webHidden/>
          </w:rPr>
          <w:fldChar w:fldCharType="begin"/>
        </w:r>
        <w:r w:rsidR="00333B94">
          <w:rPr>
            <w:webHidden/>
          </w:rPr>
          <w:instrText xml:space="preserve"> PAGEREF _Toc109905910 \h </w:instrText>
        </w:r>
        <w:r w:rsidR="00333B94">
          <w:rPr>
            <w:webHidden/>
          </w:rPr>
        </w:r>
        <w:r w:rsidR="00333B94">
          <w:rPr>
            <w:webHidden/>
          </w:rPr>
          <w:fldChar w:fldCharType="separate"/>
        </w:r>
        <w:r w:rsidR="00EC02BC">
          <w:rPr>
            <w:webHidden/>
          </w:rPr>
          <w:t>iii</w:t>
        </w:r>
        <w:r w:rsidR="00333B94">
          <w:rPr>
            <w:webHidden/>
          </w:rPr>
          <w:fldChar w:fldCharType="end"/>
        </w:r>
      </w:hyperlink>
    </w:p>
    <w:p w14:paraId="086A201F" w14:textId="77D3BF6F" w:rsidR="00333B94" w:rsidRDefault="008E4D12" w:rsidP="002B2D62">
      <w:pPr>
        <w:pStyle w:val="TOC1"/>
        <w:spacing w:before="120" w:after="120"/>
        <w:rPr>
          <w:rFonts w:asciiTheme="minorHAnsi" w:eastAsiaTheme="minorEastAsia" w:hAnsiTheme="minorHAnsi" w:cstheme="minorBidi"/>
          <w:b w:val="0"/>
          <w:color w:val="auto"/>
        </w:rPr>
      </w:pPr>
      <w:hyperlink w:anchor="_Toc109905911" w:history="1">
        <w:r w:rsidR="00333B94" w:rsidRPr="00EF3604">
          <w:rPr>
            <w:rStyle w:val="Hyperlink"/>
          </w:rPr>
          <w:t>Introduction and background</w:t>
        </w:r>
        <w:r w:rsidR="00333B94">
          <w:rPr>
            <w:webHidden/>
          </w:rPr>
          <w:tab/>
        </w:r>
        <w:r w:rsidR="00333B94">
          <w:rPr>
            <w:webHidden/>
          </w:rPr>
          <w:fldChar w:fldCharType="begin"/>
        </w:r>
        <w:r w:rsidR="00333B94">
          <w:rPr>
            <w:webHidden/>
          </w:rPr>
          <w:instrText xml:space="preserve"> PAGEREF _Toc109905911 \h </w:instrText>
        </w:r>
        <w:r w:rsidR="00333B94">
          <w:rPr>
            <w:webHidden/>
          </w:rPr>
        </w:r>
        <w:r w:rsidR="00333B94">
          <w:rPr>
            <w:webHidden/>
          </w:rPr>
          <w:fldChar w:fldCharType="separate"/>
        </w:r>
        <w:r w:rsidR="00EC02BC">
          <w:rPr>
            <w:webHidden/>
          </w:rPr>
          <w:t>1</w:t>
        </w:r>
        <w:r w:rsidR="00333B94">
          <w:rPr>
            <w:webHidden/>
          </w:rPr>
          <w:fldChar w:fldCharType="end"/>
        </w:r>
      </w:hyperlink>
    </w:p>
    <w:p w14:paraId="6A5EEA0D" w14:textId="45BED795" w:rsidR="00333B94" w:rsidRDefault="008E4D12" w:rsidP="002B2D62">
      <w:pPr>
        <w:pStyle w:val="TOC1"/>
        <w:spacing w:before="120" w:after="120"/>
        <w:rPr>
          <w:rFonts w:asciiTheme="minorHAnsi" w:eastAsiaTheme="minorEastAsia" w:hAnsiTheme="minorHAnsi" w:cstheme="minorBidi"/>
          <w:b w:val="0"/>
          <w:color w:val="auto"/>
        </w:rPr>
      </w:pPr>
      <w:hyperlink w:anchor="_Toc109905912" w:history="1">
        <w:r w:rsidR="00333B94" w:rsidRPr="00EF3604">
          <w:rPr>
            <w:rStyle w:val="Hyperlink"/>
          </w:rPr>
          <w:t>Post-implementation review</w:t>
        </w:r>
        <w:r w:rsidR="00333B94">
          <w:rPr>
            <w:webHidden/>
          </w:rPr>
          <w:tab/>
        </w:r>
        <w:r w:rsidR="00333B94">
          <w:rPr>
            <w:webHidden/>
          </w:rPr>
          <w:fldChar w:fldCharType="begin"/>
        </w:r>
        <w:r w:rsidR="00333B94">
          <w:rPr>
            <w:webHidden/>
          </w:rPr>
          <w:instrText xml:space="preserve"> PAGEREF _Toc109905912 \h </w:instrText>
        </w:r>
        <w:r w:rsidR="00333B94">
          <w:rPr>
            <w:webHidden/>
          </w:rPr>
        </w:r>
        <w:r w:rsidR="00333B94">
          <w:rPr>
            <w:webHidden/>
          </w:rPr>
          <w:fldChar w:fldCharType="separate"/>
        </w:r>
        <w:r w:rsidR="00EC02BC">
          <w:rPr>
            <w:webHidden/>
          </w:rPr>
          <w:t>2</w:t>
        </w:r>
        <w:r w:rsidR="00333B94">
          <w:rPr>
            <w:webHidden/>
          </w:rPr>
          <w:fldChar w:fldCharType="end"/>
        </w:r>
      </w:hyperlink>
    </w:p>
    <w:p w14:paraId="5645D5AE" w14:textId="404D42DC" w:rsidR="00333B94" w:rsidRDefault="008E4D12" w:rsidP="002B2D62">
      <w:pPr>
        <w:pStyle w:val="TOC2"/>
        <w:spacing w:before="120" w:after="120"/>
        <w:rPr>
          <w:rFonts w:asciiTheme="minorHAnsi" w:eastAsiaTheme="minorEastAsia" w:hAnsiTheme="minorHAnsi" w:cstheme="minorBidi"/>
          <w:color w:val="auto"/>
          <w:szCs w:val="22"/>
        </w:rPr>
      </w:pPr>
      <w:hyperlink w:anchor="_Toc109905913" w:history="1">
        <w:r w:rsidR="00333B94" w:rsidRPr="00EF3604">
          <w:rPr>
            <w:rStyle w:val="Hyperlink"/>
          </w:rPr>
          <w:t>What was the problem that the regulation was trying to solve?</w:t>
        </w:r>
        <w:r w:rsidR="00333B94">
          <w:rPr>
            <w:webHidden/>
          </w:rPr>
          <w:tab/>
        </w:r>
        <w:r w:rsidR="00333B94">
          <w:rPr>
            <w:webHidden/>
          </w:rPr>
          <w:fldChar w:fldCharType="begin"/>
        </w:r>
        <w:r w:rsidR="00333B94">
          <w:rPr>
            <w:webHidden/>
          </w:rPr>
          <w:instrText xml:space="preserve"> PAGEREF _Toc109905913 \h </w:instrText>
        </w:r>
        <w:r w:rsidR="00333B94">
          <w:rPr>
            <w:webHidden/>
          </w:rPr>
        </w:r>
        <w:r w:rsidR="00333B94">
          <w:rPr>
            <w:webHidden/>
          </w:rPr>
          <w:fldChar w:fldCharType="separate"/>
        </w:r>
        <w:r w:rsidR="00EC02BC">
          <w:rPr>
            <w:webHidden/>
          </w:rPr>
          <w:t>2</w:t>
        </w:r>
        <w:r w:rsidR="00333B94">
          <w:rPr>
            <w:webHidden/>
          </w:rPr>
          <w:fldChar w:fldCharType="end"/>
        </w:r>
      </w:hyperlink>
    </w:p>
    <w:p w14:paraId="50234FB3" w14:textId="0D9399DE" w:rsidR="00333B94" w:rsidRDefault="008E4D12" w:rsidP="002B2D62">
      <w:pPr>
        <w:pStyle w:val="TOC2"/>
        <w:spacing w:before="120" w:after="120"/>
        <w:rPr>
          <w:rFonts w:asciiTheme="minorHAnsi" w:eastAsiaTheme="minorEastAsia" w:hAnsiTheme="minorHAnsi" w:cstheme="minorBidi"/>
          <w:color w:val="auto"/>
          <w:szCs w:val="22"/>
        </w:rPr>
      </w:pPr>
      <w:hyperlink w:anchor="_Toc109905914" w:history="1">
        <w:r w:rsidR="00333B94" w:rsidRPr="00EF3604">
          <w:rPr>
            <w:rStyle w:val="Hyperlink"/>
          </w:rPr>
          <w:t>Why was government action needed?</w:t>
        </w:r>
        <w:r w:rsidR="00333B94">
          <w:rPr>
            <w:webHidden/>
          </w:rPr>
          <w:tab/>
        </w:r>
        <w:r w:rsidR="00333B94">
          <w:rPr>
            <w:webHidden/>
          </w:rPr>
          <w:fldChar w:fldCharType="begin"/>
        </w:r>
        <w:r w:rsidR="00333B94">
          <w:rPr>
            <w:webHidden/>
          </w:rPr>
          <w:instrText xml:space="preserve"> PAGEREF _Toc109905914 \h </w:instrText>
        </w:r>
        <w:r w:rsidR="00333B94">
          <w:rPr>
            <w:webHidden/>
          </w:rPr>
        </w:r>
        <w:r w:rsidR="00333B94">
          <w:rPr>
            <w:webHidden/>
          </w:rPr>
          <w:fldChar w:fldCharType="separate"/>
        </w:r>
        <w:r w:rsidR="00EC02BC">
          <w:rPr>
            <w:webHidden/>
          </w:rPr>
          <w:t>7</w:t>
        </w:r>
        <w:r w:rsidR="00333B94">
          <w:rPr>
            <w:webHidden/>
          </w:rPr>
          <w:fldChar w:fldCharType="end"/>
        </w:r>
      </w:hyperlink>
    </w:p>
    <w:p w14:paraId="75B5578C" w14:textId="156156D1" w:rsidR="00333B94" w:rsidRDefault="008E4D12" w:rsidP="002B2D62">
      <w:pPr>
        <w:pStyle w:val="TOC2"/>
        <w:spacing w:before="120" w:after="120"/>
        <w:rPr>
          <w:rFonts w:asciiTheme="minorHAnsi" w:eastAsiaTheme="minorEastAsia" w:hAnsiTheme="minorHAnsi" w:cstheme="minorBidi"/>
          <w:color w:val="auto"/>
          <w:szCs w:val="22"/>
        </w:rPr>
      </w:pPr>
      <w:hyperlink w:anchor="_Toc109905915" w:history="1">
        <w:r w:rsidR="00333B94" w:rsidRPr="00EF3604">
          <w:rPr>
            <w:rStyle w:val="Hyperlink"/>
          </w:rPr>
          <w:t>What policy options were considered?</w:t>
        </w:r>
        <w:r w:rsidR="00333B94">
          <w:rPr>
            <w:webHidden/>
          </w:rPr>
          <w:tab/>
        </w:r>
        <w:r w:rsidR="00333B94">
          <w:rPr>
            <w:webHidden/>
          </w:rPr>
          <w:fldChar w:fldCharType="begin"/>
        </w:r>
        <w:r w:rsidR="00333B94">
          <w:rPr>
            <w:webHidden/>
          </w:rPr>
          <w:instrText xml:space="preserve"> PAGEREF _Toc109905915 \h </w:instrText>
        </w:r>
        <w:r w:rsidR="00333B94">
          <w:rPr>
            <w:webHidden/>
          </w:rPr>
        </w:r>
        <w:r w:rsidR="00333B94">
          <w:rPr>
            <w:webHidden/>
          </w:rPr>
          <w:fldChar w:fldCharType="separate"/>
        </w:r>
        <w:r w:rsidR="00EC02BC">
          <w:rPr>
            <w:webHidden/>
          </w:rPr>
          <w:t>9</w:t>
        </w:r>
        <w:r w:rsidR="00333B94">
          <w:rPr>
            <w:webHidden/>
          </w:rPr>
          <w:fldChar w:fldCharType="end"/>
        </w:r>
      </w:hyperlink>
    </w:p>
    <w:p w14:paraId="48EC87AD" w14:textId="552F7C28" w:rsidR="00333B94" w:rsidRDefault="008E4D12" w:rsidP="002B2D62">
      <w:pPr>
        <w:pStyle w:val="TOC3"/>
        <w:spacing w:before="120" w:after="120"/>
        <w:rPr>
          <w:rFonts w:asciiTheme="minorHAnsi" w:eastAsiaTheme="minorEastAsia" w:hAnsiTheme="minorHAnsi" w:cstheme="minorBidi"/>
          <w:szCs w:val="22"/>
        </w:rPr>
      </w:pPr>
      <w:hyperlink w:anchor="_Toc109905916" w:history="1">
        <w:r w:rsidR="00333B94" w:rsidRPr="00EF3604">
          <w:rPr>
            <w:rStyle w:val="Hyperlink"/>
            <w:rFonts w:eastAsia="Cambria"/>
          </w:rPr>
          <w:t>Option 1 – Retain the existing stamping fee exemption</w:t>
        </w:r>
        <w:r w:rsidR="00333B94">
          <w:rPr>
            <w:webHidden/>
          </w:rPr>
          <w:tab/>
        </w:r>
        <w:r w:rsidR="00333B94">
          <w:rPr>
            <w:webHidden/>
          </w:rPr>
          <w:fldChar w:fldCharType="begin"/>
        </w:r>
        <w:r w:rsidR="00333B94">
          <w:rPr>
            <w:webHidden/>
          </w:rPr>
          <w:instrText xml:space="preserve"> PAGEREF _Toc109905916 \h </w:instrText>
        </w:r>
        <w:r w:rsidR="00333B94">
          <w:rPr>
            <w:webHidden/>
          </w:rPr>
        </w:r>
        <w:r w:rsidR="00333B94">
          <w:rPr>
            <w:webHidden/>
          </w:rPr>
          <w:fldChar w:fldCharType="separate"/>
        </w:r>
        <w:r w:rsidR="00EC02BC">
          <w:rPr>
            <w:webHidden/>
          </w:rPr>
          <w:t>9</w:t>
        </w:r>
        <w:r w:rsidR="00333B94">
          <w:rPr>
            <w:webHidden/>
          </w:rPr>
          <w:fldChar w:fldCharType="end"/>
        </w:r>
      </w:hyperlink>
    </w:p>
    <w:p w14:paraId="351DCE64" w14:textId="309BB069" w:rsidR="00333B94" w:rsidRDefault="008E4D12" w:rsidP="002B2D62">
      <w:pPr>
        <w:pStyle w:val="TOC3"/>
        <w:spacing w:before="120" w:after="120"/>
        <w:rPr>
          <w:rFonts w:asciiTheme="minorHAnsi" w:eastAsiaTheme="minorEastAsia" w:hAnsiTheme="minorHAnsi" w:cstheme="minorBidi"/>
          <w:szCs w:val="22"/>
        </w:rPr>
      </w:pPr>
      <w:hyperlink w:anchor="_Toc109905917" w:history="1">
        <w:r w:rsidR="00333B94" w:rsidRPr="00EF3604">
          <w:rPr>
            <w:rStyle w:val="Hyperlink"/>
            <w:rFonts w:eastAsia="Cambria"/>
          </w:rPr>
          <w:t>Option 2 – Remove the stamping fee exemption for all listed entities</w:t>
        </w:r>
        <w:r w:rsidR="00333B94">
          <w:rPr>
            <w:webHidden/>
          </w:rPr>
          <w:tab/>
        </w:r>
        <w:r w:rsidR="00333B94">
          <w:rPr>
            <w:webHidden/>
          </w:rPr>
          <w:fldChar w:fldCharType="begin"/>
        </w:r>
        <w:r w:rsidR="00333B94">
          <w:rPr>
            <w:webHidden/>
          </w:rPr>
          <w:instrText xml:space="preserve"> PAGEREF _Toc109905917 \h </w:instrText>
        </w:r>
        <w:r w:rsidR="00333B94">
          <w:rPr>
            <w:webHidden/>
          </w:rPr>
        </w:r>
        <w:r w:rsidR="00333B94">
          <w:rPr>
            <w:webHidden/>
          </w:rPr>
          <w:fldChar w:fldCharType="separate"/>
        </w:r>
        <w:r w:rsidR="00EC02BC">
          <w:rPr>
            <w:webHidden/>
          </w:rPr>
          <w:t>10</w:t>
        </w:r>
        <w:r w:rsidR="00333B94">
          <w:rPr>
            <w:webHidden/>
          </w:rPr>
          <w:fldChar w:fldCharType="end"/>
        </w:r>
      </w:hyperlink>
    </w:p>
    <w:p w14:paraId="5383A44C" w14:textId="1CC07327" w:rsidR="00333B94" w:rsidRDefault="008E4D12" w:rsidP="002B2D62">
      <w:pPr>
        <w:pStyle w:val="TOC3"/>
        <w:spacing w:before="120" w:after="120"/>
        <w:rPr>
          <w:rFonts w:asciiTheme="minorHAnsi" w:eastAsiaTheme="minorEastAsia" w:hAnsiTheme="minorHAnsi" w:cstheme="minorBidi"/>
          <w:szCs w:val="22"/>
        </w:rPr>
      </w:pPr>
      <w:hyperlink w:anchor="_Toc109905918" w:history="1">
        <w:r w:rsidR="00333B94" w:rsidRPr="00EF3604">
          <w:rPr>
            <w:rStyle w:val="Hyperlink"/>
            <w:rFonts w:eastAsia="Cambria"/>
          </w:rPr>
          <w:t>Option 3 – Removing the stamping fee exemption for certain listed investment entities</w:t>
        </w:r>
        <w:r w:rsidR="00333B94">
          <w:rPr>
            <w:webHidden/>
          </w:rPr>
          <w:tab/>
        </w:r>
        <w:r w:rsidR="00333B94">
          <w:rPr>
            <w:webHidden/>
          </w:rPr>
          <w:fldChar w:fldCharType="begin"/>
        </w:r>
        <w:r w:rsidR="00333B94">
          <w:rPr>
            <w:webHidden/>
          </w:rPr>
          <w:instrText xml:space="preserve"> PAGEREF _Toc109905918 \h </w:instrText>
        </w:r>
        <w:r w:rsidR="00333B94">
          <w:rPr>
            <w:webHidden/>
          </w:rPr>
        </w:r>
        <w:r w:rsidR="00333B94">
          <w:rPr>
            <w:webHidden/>
          </w:rPr>
          <w:fldChar w:fldCharType="separate"/>
        </w:r>
        <w:r w:rsidR="00EC02BC">
          <w:rPr>
            <w:webHidden/>
          </w:rPr>
          <w:t>10</w:t>
        </w:r>
        <w:r w:rsidR="00333B94">
          <w:rPr>
            <w:webHidden/>
          </w:rPr>
          <w:fldChar w:fldCharType="end"/>
        </w:r>
      </w:hyperlink>
    </w:p>
    <w:p w14:paraId="7C42ECDE" w14:textId="2AB8653F" w:rsidR="00333B94" w:rsidRDefault="008E4D12" w:rsidP="002B2D62">
      <w:pPr>
        <w:pStyle w:val="TOC3"/>
        <w:spacing w:before="120" w:after="120"/>
        <w:rPr>
          <w:rFonts w:asciiTheme="minorHAnsi" w:eastAsiaTheme="minorEastAsia" w:hAnsiTheme="minorHAnsi" w:cstheme="minorBidi"/>
          <w:szCs w:val="22"/>
        </w:rPr>
      </w:pPr>
      <w:hyperlink w:anchor="_Toc109905919" w:history="1">
        <w:r w:rsidR="00333B94" w:rsidRPr="00EF3604">
          <w:rPr>
            <w:rStyle w:val="Hyperlink"/>
            <w:rFonts w:eastAsia="Cambria"/>
          </w:rPr>
          <w:t>Option 4 – Modifying the existing stamping fee exemption</w:t>
        </w:r>
        <w:r w:rsidR="00333B94">
          <w:rPr>
            <w:webHidden/>
          </w:rPr>
          <w:tab/>
        </w:r>
        <w:r w:rsidR="00333B94">
          <w:rPr>
            <w:webHidden/>
          </w:rPr>
          <w:fldChar w:fldCharType="begin"/>
        </w:r>
        <w:r w:rsidR="00333B94">
          <w:rPr>
            <w:webHidden/>
          </w:rPr>
          <w:instrText xml:space="preserve"> PAGEREF _Toc109905919 \h </w:instrText>
        </w:r>
        <w:r w:rsidR="00333B94">
          <w:rPr>
            <w:webHidden/>
          </w:rPr>
        </w:r>
        <w:r w:rsidR="00333B94">
          <w:rPr>
            <w:webHidden/>
          </w:rPr>
          <w:fldChar w:fldCharType="separate"/>
        </w:r>
        <w:r w:rsidR="00EC02BC">
          <w:rPr>
            <w:webHidden/>
          </w:rPr>
          <w:t>10</w:t>
        </w:r>
        <w:r w:rsidR="00333B94">
          <w:rPr>
            <w:webHidden/>
          </w:rPr>
          <w:fldChar w:fldCharType="end"/>
        </w:r>
      </w:hyperlink>
    </w:p>
    <w:p w14:paraId="2E860B1E" w14:textId="4881ECA8" w:rsidR="00333B94" w:rsidRDefault="008E4D12" w:rsidP="002B2D62">
      <w:pPr>
        <w:pStyle w:val="TOC3"/>
        <w:spacing w:before="120" w:after="120"/>
        <w:rPr>
          <w:rFonts w:asciiTheme="minorHAnsi" w:eastAsiaTheme="minorEastAsia" w:hAnsiTheme="minorHAnsi" w:cstheme="minorBidi"/>
          <w:szCs w:val="22"/>
        </w:rPr>
      </w:pPr>
      <w:hyperlink w:anchor="_Toc109905920" w:history="1">
        <w:r w:rsidR="00333B94" w:rsidRPr="00EF3604">
          <w:rPr>
            <w:rStyle w:val="Hyperlink"/>
            <w:rFonts w:eastAsia="Cambria"/>
          </w:rPr>
          <w:t>Outcome after considering options</w:t>
        </w:r>
        <w:r w:rsidR="00333B94">
          <w:rPr>
            <w:webHidden/>
          </w:rPr>
          <w:tab/>
        </w:r>
        <w:r w:rsidR="00333B94">
          <w:rPr>
            <w:webHidden/>
          </w:rPr>
          <w:fldChar w:fldCharType="begin"/>
        </w:r>
        <w:r w:rsidR="00333B94">
          <w:rPr>
            <w:webHidden/>
          </w:rPr>
          <w:instrText xml:space="preserve"> PAGEREF _Toc109905920 \h </w:instrText>
        </w:r>
        <w:r w:rsidR="00333B94">
          <w:rPr>
            <w:webHidden/>
          </w:rPr>
        </w:r>
        <w:r w:rsidR="00333B94">
          <w:rPr>
            <w:webHidden/>
          </w:rPr>
          <w:fldChar w:fldCharType="separate"/>
        </w:r>
        <w:r w:rsidR="00EC02BC">
          <w:rPr>
            <w:webHidden/>
          </w:rPr>
          <w:t>11</w:t>
        </w:r>
        <w:r w:rsidR="00333B94">
          <w:rPr>
            <w:webHidden/>
          </w:rPr>
          <w:fldChar w:fldCharType="end"/>
        </w:r>
      </w:hyperlink>
    </w:p>
    <w:p w14:paraId="67654B26" w14:textId="0BE12283" w:rsidR="00333B94" w:rsidRDefault="008E4D12" w:rsidP="002B2D62">
      <w:pPr>
        <w:pStyle w:val="TOC2"/>
        <w:spacing w:before="120" w:after="120"/>
        <w:rPr>
          <w:rFonts w:asciiTheme="minorHAnsi" w:eastAsiaTheme="minorEastAsia" w:hAnsiTheme="minorHAnsi" w:cstheme="minorBidi"/>
          <w:color w:val="auto"/>
          <w:szCs w:val="22"/>
        </w:rPr>
      </w:pPr>
      <w:hyperlink w:anchor="_Toc109905921" w:history="1">
        <w:r w:rsidR="00333B94" w:rsidRPr="00EF3604">
          <w:rPr>
            <w:rStyle w:val="Hyperlink"/>
          </w:rPr>
          <w:t>What have the impacts of regulation been?</w:t>
        </w:r>
        <w:r w:rsidR="00333B94">
          <w:rPr>
            <w:webHidden/>
          </w:rPr>
          <w:tab/>
        </w:r>
        <w:r w:rsidR="00333B94">
          <w:rPr>
            <w:webHidden/>
          </w:rPr>
          <w:fldChar w:fldCharType="begin"/>
        </w:r>
        <w:r w:rsidR="00333B94">
          <w:rPr>
            <w:webHidden/>
          </w:rPr>
          <w:instrText xml:space="preserve"> PAGEREF _Toc109905921 \h </w:instrText>
        </w:r>
        <w:r w:rsidR="00333B94">
          <w:rPr>
            <w:webHidden/>
          </w:rPr>
        </w:r>
        <w:r w:rsidR="00333B94">
          <w:rPr>
            <w:webHidden/>
          </w:rPr>
          <w:fldChar w:fldCharType="separate"/>
        </w:r>
        <w:r w:rsidR="00EC02BC">
          <w:rPr>
            <w:webHidden/>
          </w:rPr>
          <w:t>11</w:t>
        </w:r>
        <w:r w:rsidR="00333B94">
          <w:rPr>
            <w:webHidden/>
          </w:rPr>
          <w:fldChar w:fldCharType="end"/>
        </w:r>
      </w:hyperlink>
    </w:p>
    <w:p w14:paraId="3400D50F" w14:textId="2B9D2197" w:rsidR="00333B94" w:rsidRDefault="008E4D12" w:rsidP="002B2D62">
      <w:pPr>
        <w:pStyle w:val="TOC2"/>
        <w:spacing w:before="120" w:after="120"/>
        <w:rPr>
          <w:rFonts w:asciiTheme="minorHAnsi" w:eastAsiaTheme="minorEastAsia" w:hAnsiTheme="minorHAnsi" w:cstheme="minorBidi"/>
          <w:color w:val="auto"/>
          <w:szCs w:val="22"/>
        </w:rPr>
      </w:pPr>
      <w:hyperlink w:anchor="_Toc109905922" w:history="1">
        <w:r w:rsidR="00333B94" w:rsidRPr="00EF3604">
          <w:rPr>
            <w:rStyle w:val="Hyperlink"/>
          </w:rPr>
          <w:t>Which stakeholders have been consulted for this review?</w:t>
        </w:r>
        <w:r w:rsidR="00333B94">
          <w:rPr>
            <w:webHidden/>
          </w:rPr>
          <w:tab/>
        </w:r>
        <w:r w:rsidR="00333B94">
          <w:rPr>
            <w:webHidden/>
          </w:rPr>
          <w:fldChar w:fldCharType="begin"/>
        </w:r>
        <w:r w:rsidR="00333B94">
          <w:rPr>
            <w:webHidden/>
          </w:rPr>
          <w:instrText xml:space="preserve"> PAGEREF _Toc109905922 \h </w:instrText>
        </w:r>
        <w:r w:rsidR="00333B94">
          <w:rPr>
            <w:webHidden/>
          </w:rPr>
        </w:r>
        <w:r w:rsidR="00333B94">
          <w:rPr>
            <w:webHidden/>
          </w:rPr>
          <w:fldChar w:fldCharType="separate"/>
        </w:r>
        <w:r w:rsidR="00EC02BC">
          <w:rPr>
            <w:webHidden/>
          </w:rPr>
          <w:t>14</w:t>
        </w:r>
        <w:r w:rsidR="00333B94">
          <w:rPr>
            <w:webHidden/>
          </w:rPr>
          <w:fldChar w:fldCharType="end"/>
        </w:r>
      </w:hyperlink>
    </w:p>
    <w:p w14:paraId="1EFA7BA4" w14:textId="15EEE6DD" w:rsidR="00333B94" w:rsidRDefault="008E4D12" w:rsidP="002B2D62">
      <w:pPr>
        <w:pStyle w:val="TOC2"/>
        <w:spacing w:before="120" w:after="120"/>
        <w:rPr>
          <w:rFonts w:asciiTheme="minorHAnsi" w:eastAsiaTheme="minorEastAsia" w:hAnsiTheme="minorHAnsi" w:cstheme="minorBidi"/>
          <w:color w:val="auto"/>
          <w:szCs w:val="22"/>
        </w:rPr>
      </w:pPr>
      <w:hyperlink w:anchor="_Toc109905923" w:history="1">
        <w:r w:rsidR="00333B94" w:rsidRPr="00EF3604">
          <w:rPr>
            <w:rStyle w:val="Hyperlink"/>
          </w:rPr>
          <w:t>Has the regulation delivered a net benefit?</w:t>
        </w:r>
        <w:r w:rsidR="00333B94">
          <w:rPr>
            <w:webHidden/>
          </w:rPr>
          <w:tab/>
        </w:r>
        <w:r w:rsidR="00333B94">
          <w:rPr>
            <w:webHidden/>
          </w:rPr>
          <w:fldChar w:fldCharType="begin"/>
        </w:r>
        <w:r w:rsidR="00333B94">
          <w:rPr>
            <w:webHidden/>
          </w:rPr>
          <w:instrText xml:space="preserve"> PAGEREF _Toc109905923 \h </w:instrText>
        </w:r>
        <w:r w:rsidR="00333B94">
          <w:rPr>
            <w:webHidden/>
          </w:rPr>
        </w:r>
        <w:r w:rsidR="00333B94">
          <w:rPr>
            <w:webHidden/>
          </w:rPr>
          <w:fldChar w:fldCharType="separate"/>
        </w:r>
        <w:r w:rsidR="00EC02BC">
          <w:rPr>
            <w:webHidden/>
          </w:rPr>
          <w:t>15</w:t>
        </w:r>
        <w:r w:rsidR="00333B94">
          <w:rPr>
            <w:webHidden/>
          </w:rPr>
          <w:fldChar w:fldCharType="end"/>
        </w:r>
      </w:hyperlink>
    </w:p>
    <w:p w14:paraId="0A65F83B" w14:textId="79105AB3" w:rsidR="00333B94" w:rsidRDefault="008E4D12" w:rsidP="002B2D62">
      <w:pPr>
        <w:pStyle w:val="TOC2"/>
        <w:spacing w:before="120" w:after="120"/>
        <w:rPr>
          <w:rFonts w:asciiTheme="minorHAnsi" w:eastAsiaTheme="minorEastAsia" w:hAnsiTheme="minorHAnsi" w:cstheme="minorBidi"/>
          <w:color w:val="auto"/>
          <w:szCs w:val="22"/>
        </w:rPr>
      </w:pPr>
      <w:hyperlink w:anchor="_Toc109905924" w:history="1">
        <w:r w:rsidR="00333B94" w:rsidRPr="00EF3604">
          <w:rPr>
            <w:rStyle w:val="Hyperlink"/>
          </w:rPr>
          <w:t>How was the regulation implemented and evaluated?</w:t>
        </w:r>
        <w:r w:rsidR="00333B94">
          <w:rPr>
            <w:webHidden/>
          </w:rPr>
          <w:tab/>
        </w:r>
        <w:r w:rsidR="00333B94">
          <w:rPr>
            <w:webHidden/>
          </w:rPr>
          <w:fldChar w:fldCharType="begin"/>
        </w:r>
        <w:r w:rsidR="00333B94">
          <w:rPr>
            <w:webHidden/>
          </w:rPr>
          <w:instrText xml:space="preserve"> PAGEREF _Toc109905924 \h </w:instrText>
        </w:r>
        <w:r w:rsidR="00333B94">
          <w:rPr>
            <w:webHidden/>
          </w:rPr>
        </w:r>
        <w:r w:rsidR="00333B94">
          <w:rPr>
            <w:webHidden/>
          </w:rPr>
          <w:fldChar w:fldCharType="separate"/>
        </w:r>
        <w:r w:rsidR="00EC02BC">
          <w:rPr>
            <w:webHidden/>
          </w:rPr>
          <w:t>15</w:t>
        </w:r>
        <w:r w:rsidR="00333B94">
          <w:rPr>
            <w:webHidden/>
          </w:rPr>
          <w:fldChar w:fldCharType="end"/>
        </w:r>
      </w:hyperlink>
    </w:p>
    <w:p w14:paraId="04F0A503" w14:textId="27D77DCE" w:rsidR="00333B94" w:rsidRDefault="008E4D12">
      <w:pPr>
        <w:pStyle w:val="TOC1"/>
        <w:rPr>
          <w:rFonts w:asciiTheme="minorHAnsi" w:eastAsiaTheme="minorEastAsia" w:hAnsiTheme="minorHAnsi" w:cstheme="minorBidi"/>
          <w:b w:val="0"/>
          <w:color w:val="auto"/>
        </w:rPr>
      </w:pPr>
      <w:hyperlink w:anchor="_Toc109905925" w:history="1">
        <w:r w:rsidR="00333B94" w:rsidRPr="00EF3604">
          <w:rPr>
            <w:rStyle w:val="Hyperlink"/>
          </w:rPr>
          <w:t>References</w:t>
        </w:r>
        <w:r w:rsidR="00333B94">
          <w:rPr>
            <w:webHidden/>
          </w:rPr>
          <w:tab/>
        </w:r>
        <w:r w:rsidR="00333B94">
          <w:rPr>
            <w:webHidden/>
          </w:rPr>
          <w:fldChar w:fldCharType="begin"/>
        </w:r>
        <w:r w:rsidR="00333B94">
          <w:rPr>
            <w:webHidden/>
          </w:rPr>
          <w:instrText xml:space="preserve"> PAGEREF _Toc109905925 \h </w:instrText>
        </w:r>
        <w:r w:rsidR="00333B94">
          <w:rPr>
            <w:webHidden/>
          </w:rPr>
        </w:r>
        <w:r w:rsidR="00333B94">
          <w:rPr>
            <w:webHidden/>
          </w:rPr>
          <w:fldChar w:fldCharType="separate"/>
        </w:r>
        <w:r w:rsidR="00EC02BC">
          <w:rPr>
            <w:webHidden/>
          </w:rPr>
          <w:t>16</w:t>
        </w:r>
        <w:r w:rsidR="00333B94">
          <w:rPr>
            <w:webHidden/>
          </w:rPr>
          <w:fldChar w:fldCharType="end"/>
        </w:r>
      </w:hyperlink>
    </w:p>
    <w:p w14:paraId="6F2FDA80" w14:textId="1EF712B3" w:rsidR="00F836F9" w:rsidRDefault="000E0B74" w:rsidP="0056582C">
      <w:pPr>
        <w:pStyle w:val="SingleParagraph"/>
        <w:ind w:right="-2"/>
      </w:pPr>
      <w:r>
        <w:fldChar w:fldCharType="end"/>
      </w:r>
      <w:bookmarkStart w:id="2" w:name="_Toc432067103"/>
      <w:bookmarkStart w:id="3" w:name="_Toc452635030"/>
    </w:p>
    <w:p w14:paraId="2DA8102A" w14:textId="77777777" w:rsidR="003B67CF" w:rsidRDefault="003B67CF">
      <w:pPr>
        <w:spacing w:before="0" w:after="160" w:line="259" w:lineRule="auto"/>
        <w:rPr>
          <w:b/>
          <w:bCs/>
        </w:rPr>
      </w:pPr>
      <w:r>
        <w:rPr>
          <w:b/>
          <w:bCs/>
        </w:rPr>
        <w:br w:type="page"/>
      </w:r>
    </w:p>
    <w:p w14:paraId="0F13D329" w14:textId="77777777" w:rsidR="00B775EE" w:rsidRPr="00B775EE" w:rsidRDefault="00B775EE" w:rsidP="0056582C">
      <w:pPr>
        <w:pStyle w:val="SingleParagraph"/>
        <w:ind w:right="-2"/>
        <w:rPr>
          <w:b/>
          <w:bCs/>
        </w:rPr>
        <w:sectPr w:rsidR="00B775EE" w:rsidRPr="00B775EE" w:rsidSect="00164599">
          <w:headerReference w:type="even" r:id="rId18"/>
          <w:headerReference w:type="default" r:id="rId19"/>
          <w:footerReference w:type="even" r:id="rId20"/>
          <w:headerReference w:type="first" r:id="rId21"/>
          <w:footerReference w:type="first" r:id="rId22"/>
          <w:pgSz w:w="11906" w:h="16838" w:code="9"/>
          <w:pgMar w:top="1843" w:right="1418" w:bottom="1418" w:left="1418" w:header="709" w:footer="709" w:gutter="0"/>
          <w:pgNumType w:fmt="lowerRoman" w:start="3"/>
          <w:cols w:space="708"/>
          <w:titlePg/>
          <w:docGrid w:linePitch="360"/>
        </w:sectPr>
      </w:pPr>
    </w:p>
    <w:p w14:paraId="5FFC9581" w14:textId="5942C157" w:rsidR="00475085" w:rsidRPr="00F045E0" w:rsidRDefault="0056431C" w:rsidP="00F045E0">
      <w:pPr>
        <w:pStyle w:val="Heading1"/>
      </w:pPr>
      <w:bookmarkStart w:id="4" w:name="_Toc109905911"/>
      <w:bookmarkEnd w:id="2"/>
      <w:bookmarkEnd w:id="3"/>
      <w:r>
        <w:lastRenderedPageBreak/>
        <w:t>Introduction and background</w:t>
      </w:r>
      <w:bookmarkEnd w:id="4"/>
    </w:p>
    <w:p w14:paraId="5E12E507" w14:textId="77D9574B" w:rsidR="003276A2" w:rsidRPr="00FC7846" w:rsidRDefault="003276A2" w:rsidP="00EB5DB5">
      <w:pPr>
        <w:pStyle w:val="BodyText"/>
        <w:spacing w:before="240" w:after="240" w:line="276" w:lineRule="auto"/>
        <w:ind w:left="0" w:right="179"/>
        <w:rPr>
          <w:rFonts w:ascii="Calibri Light" w:eastAsiaTheme="minorHAnsi" w:hAnsi="Calibri Light" w:cs="Calibri Light"/>
          <w:lang w:val="en-AU"/>
        </w:rPr>
      </w:pPr>
      <w:r w:rsidRPr="00FC7846">
        <w:rPr>
          <w:rFonts w:ascii="Calibri Light" w:eastAsiaTheme="minorHAnsi" w:hAnsi="Calibri Light" w:cs="Calibri Light"/>
          <w:lang w:val="en-AU"/>
        </w:rPr>
        <w:t xml:space="preserve">On 21 May 2020 the former Treasurer, the Hon Josh Frydenberg MP, announced the removal </w:t>
      </w:r>
      <w:r w:rsidR="00E236E2">
        <w:rPr>
          <w:rFonts w:ascii="Calibri Light" w:eastAsiaTheme="minorHAnsi" w:hAnsi="Calibri Light" w:cs="Calibri Light"/>
          <w:lang w:val="en-AU"/>
        </w:rPr>
        <w:t>of</w:t>
      </w:r>
      <w:r w:rsidRPr="00FC7846">
        <w:rPr>
          <w:rFonts w:ascii="Calibri Light" w:eastAsiaTheme="minorHAnsi" w:hAnsi="Calibri Light" w:cs="Calibri Light"/>
          <w:lang w:val="en-AU"/>
        </w:rPr>
        <w:t xml:space="preserve"> the exemption to the ban on conflicted </w:t>
      </w:r>
      <w:r w:rsidR="00783534">
        <w:rPr>
          <w:rFonts w:ascii="Calibri Light" w:eastAsiaTheme="minorHAnsi" w:hAnsi="Calibri Light" w:cs="Calibri Light"/>
          <w:lang w:val="en-AU"/>
        </w:rPr>
        <w:t>remuneration for stamping fees paid in respect of</w:t>
      </w:r>
      <w:r w:rsidRPr="00FC7846">
        <w:rPr>
          <w:rFonts w:ascii="Calibri Light" w:eastAsiaTheme="minorHAnsi" w:hAnsi="Calibri Light" w:cs="Calibri Light"/>
          <w:lang w:val="en-AU"/>
        </w:rPr>
        <w:t xml:space="preserve"> listed investment companies (LICs) and listed investment trusts (LITs). The exemption to the ban would remain for trading companies, real estate investment trusts (REITs) and infrastructure entities.</w:t>
      </w:r>
    </w:p>
    <w:p w14:paraId="120EE6AF" w14:textId="21173AF6" w:rsidR="003276A2" w:rsidRDefault="003276A2" w:rsidP="00EB5DB5">
      <w:pPr>
        <w:pStyle w:val="BodyText"/>
        <w:spacing w:before="240" w:after="240" w:line="276" w:lineRule="auto"/>
        <w:ind w:left="0" w:right="179"/>
        <w:rPr>
          <w:rFonts w:ascii="Calibri Light" w:eastAsiaTheme="minorHAnsi" w:hAnsi="Calibri Light" w:cs="Calibri Light"/>
          <w:lang w:val="en-AU"/>
        </w:rPr>
      </w:pPr>
      <w:r w:rsidRPr="00FC7846">
        <w:rPr>
          <w:rFonts w:ascii="Calibri Light" w:eastAsiaTheme="minorHAnsi" w:hAnsi="Calibri Light" w:cs="Calibri Light"/>
          <w:lang w:val="en-AU"/>
        </w:rPr>
        <w:t xml:space="preserve">On 4 June 2020, Treasury consulted on draft regulations to extend the ban on conflicted remuneration to stamping fees. On 29 June 2020, the </w:t>
      </w:r>
      <w:r w:rsidRPr="00FC7846">
        <w:rPr>
          <w:rFonts w:ascii="Calibri Light" w:eastAsiaTheme="minorHAnsi" w:hAnsi="Calibri Light" w:cs="Calibri Light"/>
          <w:i/>
          <w:iCs/>
          <w:lang w:val="en-AU"/>
        </w:rPr>
        <w:t>Corporations Amendment (Stamping Fee Exemption) Regulations 2020</w:t>
      </w:r>
      <w:r w:rsidRPr="00FC7846">
        <w:rPr>
          <w:rFonts w:ascii="Calibri Light" w:eastAsiaTheme="minorHAnsi" w:hAnsi="Calibri Light" w:cs="Calibri Light"/>
          <w:lang w:val="en-AU"/>
        </w:rPr>
        <w:t xml:space="preserve"> (</w:t>
      </w:r>
      <w:r w:rsidR="00783534">
        <w:rPr>
          <w:rFonts w:ascii="Calibri Light" w:eastAsiaTheme="minorHAnsi" w:hAnsi="Calibri Light" w:cs="Calibri Light"/>
          <w:lang w:val="en-AU"/>
        </w:rPr>
        <w:t xml:space="preserve">Stamping Fee Exemption </w:t>
      </w:r>
      <w:r w:rsidRPr="00FC7846">
        <w:rPr>
          <w:rFonts w:ascii="Calibri Light" w:eastAsiaTheme="minorHAnsi" w:hAnsi="Calibri Light" w:cs="Calibri Light"/>
          <w:lang w:val="en-AU"/>
        </w:rPr>
        <w:t xml:space="preserve">Regulations) </w:t>
      </w:r>
      <w:r w:rsidR="00783534">
        <w:rPr>
          <w:rFonts w:ascii="Calibri Light" w:eastAsiaTheme="minorHAnsi" w:hAnsi="Calibri Light" w:cs="Calibri Light"/>
          <w:lang w:val="en-AU"/>
        </w:rPr>
        <w:t>were</w:t>
      </w:r>
      <w:r w:rsidR="00902020">
        <w:rPr>
          <w:rFonts w:ascii="Calibri Light" w:eastAsiaTheme="minorHAnsi" w:hAnsi="Calibri Light" w:cs="Calibri Light"/>
          <w:lang w:val="en-AU"/>
        </w:rPr>
        <w:t xml:space="preserve"> made</w:t>
      </w:r>
      <w:r w:rsidR="00783534">
        <w:rPr>
          <w:rFonts w:ascii="Calibri Light" w:eastAsiaTheme="minorHAnsi" w:hAnsi="Calibri Light" w:cs="Calibri Light"/>
          <w:lang w:val="en-AU"/>
        </w:rPr>
        <w:t xml:space="preserve">, taking effect from </w:t>
      </w:r>
      <w:r w:rsidRPr="00FC7846">
        <w:rPr>
          <w:rFonts w:ascii="Calibri Light" w:eastAsiaTheme="minorHAnsi" w:hAnsi="Calibri Light" w:cs="Calibri Light"/>
          <w:lang w:val="en-AU"/>
        </w:rPr>
        <w:t xml:space="preserve">1 July 2020. </w:t>
      </w:r>
    </w:p>
    <w:p w14:paraId="670EBEA4" w14:textId="3DAE28CC" w:rsidR="00783534" w:rsidRDefault="00783534" w:rsidP="00EB5DB5">
      <w:pPr>
        <w:pStyle w:val="BodyText"/>
        <w:spacing w:before="240" w:after="240" w:line="276" w:lineRule="auto"/>
        <w:ind w:left="0" w:right="179"/>
        <w:rPr>
          <w:rFonts w:ascii="Calibri Light" w:eastAsiaTheme="minorHAnsi" w:hAnsi="Calibri Light" w:cs="Calibri Light"/>
          <w:lang w:val="en-AU"/>
        </w:rPr>
      </w:pPr>
      <w:r>
        <w:rPr>
          <w:rFonts w:ascii="Calibri Light" w:eastAsiaTheme="minorHAnsi" w:hAnsi="Calibri Light" w:cs="Calibri Light"/>
          <w:lang w:val="en-AU"/>
        </w:rPr>
        <w:t xml:space="preserve">The Office of Best Practice Regulation (OBPR) determined that this change was likely to have major regulatory impacts and that </w:t>
      </w:r>
      <w:r w:rsidR="007A05CB">
        <w:rPr>
          <w:rFonts w:ascii="Calibri Light" w:eastAsiaTheme="minorHAnsi" w:hAnsi="Calibri Light" w:cs="Calibri Light"/>
          <w:lang w:val="en-AU"/>
        </w:rPr>
        <w:t xml:space="preserve">a </w:t>
      </w:r>
      <w:r>
        <w:rPr>
          <w:rFonts w:ascii="Calibri Light" w:eastAsiaTheme="minorHAnsi" w:hAnsi="Calibri Light" w:cs="Calibri Light"/>
          <w:lang w:val="en-AU"/>
        </w:rPr>
        <w:t xml:space="preserve">regulation impact statement (RIS) was required. A RIS was not completed prior to the </w:t>
      </w:r>
      <w:r w:rsidR="00101B80">
        <w:rPr>
          <w:rFonts w:ascii="Calibri Light" w:eastAsiaTheme="minorHAnsi" w:hAnsi="Calibri Light" w:cs="Calibri Light"/>
          <w:lang w:val="en-AU"/>
        </w:rPr>
        <w:t xml:space="preserve">final decision being taken. </w:t>
      </w:r>
      <w:r w:rsidR="00222CA5">
        <w:rPr>
          <w:rFonts w:ascii="Calibri Light" w:eastAsiaTheme="minorHAnsi" w:hAnsi="Calibri Light" w:cs="Calibri Light"/>
          <w:lang w:val="en-AU"/>
        </w:rPr>
        <w:t>The framework established by the Australian Government requires that where a RIS has not been assessed as adequate by OBPR prior to the final decision being taken,</w:t>
      </w:r>
      <w:r w:rsidR="00101B80">
        <w:rPr>
          <w:rFonts w:ascii="Calibri Light" w:eastAsiaTheme="minorHAnsi" w:hAnsi="Calibri Light" w:cs="Calibri Light"/>
          <w:lang w:val="en-AU"/>
        </w:rPr>
        <w:t xml:space="preserve"> a post-implementation review (PIR) must be undertaken.</w:t>
      </w:r>
      <w:r>
        <w:rPr>
          <w:rFonts w:ascii="Calibri Light" w:eastAsiaTheme="minorHAnsi" w:hAnsi="Calibri Light" w:cs="Calibri Light"/>
          <w:lang w:val="en-AU"/>
        </w:rPr>
        <w:t xml:space="preserve"> </w:t>
      </w:r>
    </w:p>
    <w:p w14:paraId="02BDD109" w14:textId="77777777" w:rsidR="003276A2" w:rsidRPr="00FC7846" w:rsidRDefault="003276A2" w:rsidP="00EB5DB5">
      <w:pPr>
        <w:pStyle w:val="BodyText"/>
        <w:spacing w:after="240" w:line="276" w:lineRule="auto"/>
        <w:ind w:left="0" w:right="179"/>
        <w:rPr>
          <w:rFonts w:ascii="Calibri Light" w:eastAsiaTheme="minorHAnsi" w:hAnsi="Calibri Light" w:cs="Calibri Light"/>
          <w:lang w:val="en-AU"/>
        </w:rPr>
      </w:pPr>
      <w:r w:rsidRPr="00FC7846">
        <w:rPr>
          <w:rFonts w:ascii="Calibri Light" w:eastAsiaTheme="minorHAnsi" w:hAnsi="Calibri Light" w:cs="Calibri Light"/>
          <w:lang w:val="en-AU"/>
        </w:rPr>
        <w:t xml:space="preserve">This PIR has been conducted in accordance with the Australian Government’s regulatory impact analysis requirements. </w:t>
      </w:r>
    </w:p>
    <w:p w14:paraId="6DE1E53B" w14:textId="77777777" w:rsidR="003276A2" w:rsidRPr="00A17969" w:rsidRDefault="003276A2" w:rsidP="00EB5DB5">
      <w:pPr>
        <w:pStyle w:val="SingleParagraph"/>
        <w:spacing w:after="240" w:line="276" w:lineRule="auto"/>
        <w:rPr>
          <w:rFonts w:cs="Calibri"/>
          <w:b/>
        </w:rPr>
      </w:pPr>
    </w:p>
    <w:p w14:paraId="124E5ABE" w14:textId="77777777" w:rsidR="006C5B73" w:rsidRPr="00B775EE" w:rsidRDefault="006C5B73" w:rsidP="00EB5DB5">
      <w:pPr>
        <w:pStyle w:val="SingleParagraph"/>
        <w:spacing w:after="240" w:line="276" w:lineRule="auto"/>
        <w:rPr>
          <w:rFonts w:cs="Arial"/>
          <w:bCs/>
          <w:szCs w:val="24"/>
        </w:rPr>
      </w:pPr>
    </w:p>
    <w:p w14:paraId="74937AA9" w14:textId="77777777" w:rsidR="00ED5A20" w:rsidRDefault="00ED5A20" w:rsidP="00ED5A20">
      <w:pPr>
        <w:pStyle w:val="Heading1Numbered"/>
        <w:sectPr w:rsidR="00ED5A20" w:rsidSect="00E349A7">
          <w:headerReference w:type="default" r:id="rId23"/>
          <w:footerReference w:type="default" r:id="rId24"/>
          <w:type w:val="oddPage"/>
          <w:pgSz w:w="11906" w:h="16838" w:code="9"/>
          <w:pgMar w:top="1843" w:right="1418" w:bottom="1418" w:left="1418" w:header="709" w:footer="709" w:gutter="0"/>
          <w:pgNumType w:start="1"/>
          <w:cols w:space="708"/>
          <w:docGrid w:linePitch="360"/>
        </w:sectPr>
      </w:pPr>
    </w:p>
    <w:p w14:paraId="58D58FA4" w14:textId="654AEFCC" w:rsidR="006C5B73" w:rsidRDefault="00E23DB5" w:rsidP="002B2D62">
      <w:pPr>
        <w:pStyle w:val="Heading1"/>
        <w:spacing w:before="0"/>
      </w:pPr>
      <w:bookmarkStart w:id="5" w:name="_Toc109905912"/>
      <w:r>
        <w:lastRenderedPageBreak/>
        <w:t>Post-implementation review</w:t>
      </w:r>
      <w:bookmarkEnd w:id="5"/>
    </w:p>
    <w:p w14:paraId="06DE42EC" w14:textId="30C6B759" w:rsidR="00E23DB5" w:rsidRDefault="002E72F1" w:rsidP="003351E9">
      <w:pPr>
        <w:pStyle w:val="Heading2"/>
        <w:spacing w:before="120" w:after="240"/>
      </w:pPr>
      <w:bookmarkStart w:id="6" w:name="_Toc109905913"/>
      <w:r>
        <w:t>What was the problem that the regulation was trying to solve?</w:t>
      </w:r>
      <w:bookmarkEnd w:id="6"/>
    </w:p>
    <w:p w14:paraId="44FE4B8A" w14:textId="1F289356" w:rsidR="00A6134B" w:rsidRPr="00A6134B" w:rsidRDefault="00A6134B" w:rsidP="00EB5DB5">
      <w:pPr>
        <w:spacing w:after="160" w:line="276" w:lineRule="auto"/>
        <w:rPr>
          <w:rFonts w:cs="Calibri Light"/>
          <w:i/>
          <w:iCs/>
          <w:szCs w:val="22"/>
        </w:rPr>
      </w:pPr>
      <w:r>
        <w:rPr>
          <w:rFonts w:cs="Calibri Light"/>
          <w:i/>
          <w:iCs/>
          <w:szCs w:val="22"/>
        </w:rPr>
        <w:t>What are stamping fees?</w:t>
      </w:r>
    </w:p>
    <w:p w14:paraId="7272A8CB" w14:textId="1983BE39" w:rsidR="00206B62" w:rsidRDefault="004F38AE" w:rsidP="00EB5DB5">
      <w:pPr>
        <w:spacing w:after="160" w:line="276" w:lineRule="auto"/>
        <w:rPr>
          <w:rFonts w:cs="Calibri Light"/>
          <w:szCs w:val="22"/>
        </w:rPr>
      </w:pPr>
      <w:r w:rsidRPr="00FC7846">
        <w:rPr>
          <w:rFonts w:cs="Calibri Light"/>
          <w:szCs w:val="22"/>
        </w:rPr>
        <w:t xml:space="preserve">Stamping fees are </w:t>
      </w:r>
      <w:r w:rsidR="00E236E2">
        <w:rPr>
          <w:rFonts w:cs="Calibri Light"/>
          <w:szCs w:val="22"/>
        </w:rPr>
        <w:t>upfront</w:t>
      </w:r>
      <w:r w:rsidR="00394AB1">
        <w:rPr>
          <w:rFonts w:cs="Calibri Light"/>
          <w:szCs w:val="22"/>
        </w:rPr>
        <w:t>,</w:t>
      </w:r>
      <w:r w:rsidR="00E236E2">
        <w:rPr>
          <w:rFonts w:cs="Calibri Light"/>
          <w:szCs w:val="22"/>
        </w:rPr>
        <w:t xml:space="preserve"> one-off </w:t>
      </w:r>
      <w:r w:rsidR="00394AB1">
        <w:rPr>
          <w:rFonts w:cs="Calibri Light"/>
          <w:szCs w:val="22"/>
        </w:rPr>
        <w:t xml:space="preserve">and volume-based </w:t>
      </w:r>
      <w:r w:rsidR="00E236E2">
        <w:rPr>
          <w:rFonts w:cs="Calibri Light"/>
          <w:szCs w:val="22"/>
        </w:rPr>
        <w:t>commissions paid to Australian Financial Service (AFS) licensees or their representatives</w:t>
      </w:r>
      <w:r w:rsidR="006C7B76">
        <w:rPr>
          <w:rFonts w:cs="Calibri Light"/>
          <w:szCs w:val="22"/>
        </w:rPr>
        <w:t xml:space="preserve"> </w:t>
      </w:r>
      <w:r w:rsidR="00E236E2">
        <w:rPr>
          <w:rFonts w:cs="Calibri Light"/>
          <w:szCs w:val="22"/>
        </w:rPr>
        <w:t>for their role in securing investors for capital raising, such as the initial public offering (IPO) of shares.</w:t>
      </w:r>
      <w:r w:rsidR="00722F38" w:rsidRPr="001F1173">
        <w:rPr>
          <w:rStyle w:val="FootnoteReference"/>
          <w:rFonts w:cs="Calibri Light"/>
          <w:szCs w:val="22"/>
          <w:vertAlign w:val="superscript"/>
        </w:rPr>
        <w:footnoteReference w:id="2"/>
      </w:r>
      <w:r w:rsidR="00E236E2">
        <w:rPr>
          <w:rFonts w:cs="Calibri Light"/>
          <w:szCs w:val="22"/>
        </w:rPr>
        <w:t xml:space="preserve"> </w:t>
      </w:r>
      <w:r w:rsidR="00CC122B">
        <w:rPr>
          <w:rFonts w:cs="Calibri Light"/>
          <w:szCs w:val="22"/>
        </w:rPr>
        <w:t>ASIC analysis of LIC and LIT issuances in the five years to 2019 found that 45 out of 51 paid stamping fees, with almost half paying a 1.5 per cent stamping fee and almost 30 per cent paying more.</w:t>
      </w:r>
      <w:r w:rsidR="0071075D" w:rsidRPr="001F1173">
        <w:rPr>
          <w:rStyle w:val="FootnoteReference"/>
          <w:rFonts w:cs="Calibri Light"/>
          <w:szCs w:val="22"/>
          <w:vertAlign w:val="superscript"/>
        </w:rPr>
        <w:footnoteReference w:id="3"/>
      </w:r>
      <w:r w:rsidR="00CC122B" w:rsidRPr="001F1173">
        <w:rPr>
          <w:rFonts w:cs="Calibri Light"/>
          <w:szCs w:val="22"/>
          <w:vertAlign w:val="superscript"/>
        </w:rPr>
        <w:t xml:space="preserve"> </w:t>
      </w:r>
    </w:p>
    <w:p w14:paraId="5F5E4476" w14:textId="32369158" w:rsidR="00E63240" w:rsidRDefault="00E236E2" w:rsidP="00EB5DB5">
      <w:pPr>
        <w:spacing w:after="160" w:line="276" w:lineRule="auto"/>
        <w:rPr>
          <w:rFonts w:cs="Calibri Light"/>
          <w:szCs w:val="22"/>
        </w:rPr>
      </w:pPr>
      <w:r>
        <w:rPr>
          <w:rFonts w:cs="Calibri Light"/>
          <w:szCs w:val="22"/>
        </w:rPr>
        <w:t>Stamping fees are considered a form of conflicted remuneration</w:t>
      </w:r>
      <w:r w:rsidR="005544D9">
        <w:rPr>
          <w:rFonts w:cs="Calibri Light"/>
          <w:szCs w:val="22"/>
        </w:rPr>
        <w:t xml:space="preserve">. </w:t>
      </w:r>
      <w:r w:rsidR="00E63240">
        <w:rPr>
          <w:rFonts w:cs="Calibri Light"/>
          <w:szCs w:val="22"/>
        </w:rPr>
        <w:t xml:space="preserve">The </w:t>
      </w:r>
      <w:r w:rsidR="00E63240">
        <w:rPr>
          <w:rFonts w:cs="Calibri Light"/>
          <w:i/>
          <w:iCs/>
          <w:szCs w:val="22"/>
        </w:rPr>
        <w:t xml:space="preserve">Corporations Act 2001 </w:t>
      </w:r>
      <w:r w:rsidR="00E63240">
        <w:rPr>
          <w:rFonts w:cs="Calibri Light"/>
          <w:szCs w:val="22"/>
        </w:rPr>
        <w:t>(Corporations Act) defines conflicted remuneration as:</w:t>
      </w:r>
    </w:p>
    <w:p w14:paraId="4566ACAE" w14:textId="611E4C34" w:rsidR="00E63240" w:rsidRPr="009E0993" w:rsidRDefault="00E63240" w:rsidP="00EB5DB5">
      <w:pPr>
        <w:spacing w:after="160" w:line="276" w:lineRule="auto"/>
        <w:ind w:left="720"/>
        <w:rPr>
          <w:rFonts w:cs="Calibri Light"/>
          <w:i/>
          <w:iCs/>
          <w:szCs w:val="22"/>
        </w:rPr>
      </w:pPr>
      <w:r w:rsidRPr="009E0993">
        <w:rPr>
          <w:rFonts w:cs="Calibri Light"/>
          <w:i/>
          <w:iCs/>
          <w:szCs w:val="22"/>
        </w:rPr>
        <w:t>      …any benefit, whether monetary or non-monetary, given to a </w:t>
      </w:r>
      <w:hyperlink r:id="rId25" w:anchor="financial_services_licensee" w:history="1">
        <w:r w:rsidRPr="009E0993">
          <w:rPr>
            <w:rStyle w:val="Hyperlink"/>
            <w:rFonts w:cs="Calibri Light"/>
            <w:i/>
            <w:iCs/>
            <w:color w:val="auto"/>
            <w:szCs w:val="22"/>
          </w:rPr>
          <w:t>financial services licensee</w:t>
        </w:r>
      </w:hyperlink>
      <w:r w:rsidRPr="009E0993">
        <w:rPr>
          <w:rFonts w:cs="Calibri Light"/>
          <w:i/>
          <w:iCs/>
          <w:szCs w:val="22"/>
        </w:rPr>
        <w:t>, or a </w:t>
      </w:r>
      <w:hyperlink r:id="rId26" w:anchor="representative" w:history="1">
        <w:r w:rsidRPr="009E0993">
          <w:rPr>
            <w:rStyle w:val="Hyperlink"/>
            <w:rFonts w:cs="Calibri Light"/>
            <w:i/>
            <w:iCs/>
            <w:color w:val="auto"/>
            <w:szCs w:val="22"/>
          </w:rPr>
          <w:t>representative</w:t>
        </w:r>
      </w:hyperlink>
      <w:r w:rsidRPr="009E0993">
        <w:rPr>
          <w:rFonts w:cs="Calibri Light"/>
          <w:i/>
          <w:iCs/>
          <w:szCs w:val="22"/>
        </w:rPr>
        <w:t> of a </w:t>
      </w:r>
      <w:hyperlink r:id="rId27" w:anchor="financial_services_licensee" w:history="1">
        <w:r w:rsidRPr="009E0993">
          <w:rPr>
            <w:rStyle w:val="Hyperlink"/>
            <w:rFonts w:cs="Calibri Light"/>
            <w:i/>
            <w:iCs/>
            <w:color w:val="auto"/>
            <w:szCs w:val="22"/>
          </w:rPr>
          <w:t>financial services licensee</w:t>
        </w:r>
      </w:hyperlink>
      <w:r w:rsidRPr="009E0993">
        <w:rPr>
          <w:rFonts w:cs="Calibri Light"/>
          <w:i/>
          <w:iCs/>
          <w:szCs w:val="22"/>
        </w:rPr>
        <w:t>, who </w:t>
      </w:r>
      <w:hyperlink r:id="rId28" w:anchor="provide" w:history="1">
        <w:r w:rsidRPr="009E0993">
          <w:rPr>
            <w:rStyle w:val="Hyperlink"/>
            <w:rFonts w:cs="Calibri Light"/>
            <w:i/>
            <w:iCs/>
            <w:color w:val="auto"/>
            <w:szCs w:val="22"/>
          </w:rPr>
          <w:t>provides</w:t>
        </w:r>
      </w:hyperlink>
      <w:r w:rsidRPr="009E0993">
        <w:rPr>
          <w:rFonts w:cs="Calibri Light"/>
          <w:i/>
          <w:iCs/>
          <w:szCs w:val="22"/>
        </w:rPr>
        <w:t> </w:t>
      </w:r>
      <w:hyperlink r:id="rId29" w:anchor="financial_product_advice" w:history="1">
        <w:r w:rsidRPr="009E0993">
          <w:rPr>
            <w:rStyle w:val="Hyperlink"/>
            <w:rFonts w:cs="Calibri Light"/>
            <w:i/>
            <w:iCs/>
            <w:color w:val="auto"/>
            <w:szCs w:val="22"/>
          </w:rPr>
          <w:t>financial product advice</w:t>
        </w:r>
      </w:hyperlink>
      <w:r w:rsidRPr="009E0993">
        <w:rPr>
          <w:rFonts w:cs="Calibri Light"/>
          <w:i/>
          <w:iCs/>
          <w:szCs w:val="22"/>
        </w:rPr>
        <w:t> to </w:t>
      </w:r>
      <w:hyperlink r:id="rId30" w:anchor="person" w:history="1">
        <w:r w:rsidRPr="009E0993">
          <w:rPr>
            <w:rStyle w:val="Hyperlink"/>
            <w:rFonts w:cs="Calibri Light"/>
            <w:i/>
            <w:iCs/>
            <w:color w:val="auto"/>
            <w:szCs w:val="22"/>
          </w:rPr>
          <w:t>persons</w:t>
        </w:r>
      </w:hyperlink>
      <w:r w:rsidRPr="009E0993">
        <w:rPr>
          <w:rFonts w:cs="Calibri Light"/>
          <w:i/>
          <w:iCs/>
          <w:szCs w:val="22"/>
        </w:rPr>
        <w:t> as </w:t>
      </w:r>
      <w:hyperlink r:id="rId31" w:anchor="retail_client" w:history="1">
        <w:r w:rsidRPr="009E0993">
          <w:rPr>
            <w:rStyle w:val="Hyperlink"/>
            <w:rFonts w:cs="Calibri Light"/>
            <w:i/>
            <w:iCs/>
            <w:color w:val="auto"/>
            <w:szCs w:val="22"/>
          </w:rPr>
          <w:t>retail clients</w:t>
        </w:r>
      </w:hyperlink>
      <w:r w:rsidRPr="009E0993">
        <w:rPr>
          <w:rFonts w:cs="Calibri Light"/>
          <w:i/>
          <w:iCs/>
          <w:szCs w:val="22"/>
        </w:rPr>
        <w:t> that, because of the nature of the benefit or the circumstances in which it is given:</w:t>
      </w:r>
    </w:p>
    <w:p w14:paraId="0EFB6C5A" w14:textId="77777777" w:rsidR="00E63240" w:rsidRPr="009E0993" w:rsidRDefault="00E63240" w:rsidP="00EB5DB5">
      <w:pPr>
        <w:spacing w:after="160" w:line="276" w:lineRule="auto"/>
        <w:ind w:left="720"/>
        <w:rPr>
          <w:rFonts w:cs="Calibri Light"/>
          <w:i/>
          <w:iCs/>
          <w:szCs w:val="22"/>
        </w:rPr>
      </w:pPr>
      <w:bookmarkStart w:id="7" w:name="paragraph"/>
      <w:r w:rsidRPr="009E0993">
        <w:rPr>
          <w:rFonts w:cs="Calibri Light"/>
          <w:i/>
          <w:iCs/>
          <w:szCs w:val="22"/>
        </w:rPr>
        <w:t>                     (a)  could reasonably be expected to influence the choice of </w:t>
      </w:r>
      <w:hyperlink r:id="rId32" w:anchor="financial_product" w:history="1">
        <w:r w:rsidRPr="009E0993">
          <w:rPr>
            <w:rStyle w:val="Hyperlink"/>
            <w:rFonts w:cs="Calibri Light"/>
            <w:i/>
            <w:iCs/>
            <w:color w:val="auto"/>
            <w:szCs w:val="22"/>
          </w:rPr>
          <w:t>financial product</w:t>
        </w:r>
      </w:hyperlink>
      <w:r w:rsidRPr="009E0993">
        <w:rPr>
          <w:rFonts w:cs="Calibri Light"/>
          <w:i/>
          <w:iCs/>
          <w:szCs w:val="22"/>
        </w:rPr>
        <w:t> recommended by the licensee or </w:t>
      </w:r>
      <w:hyperlink r:id="rId33" w:anchor="representative" w:history="1">
        <w:r w:rsidRPr="009E0993">
          <w:rPr>
            <w:rStyle w:val="Hyperlink"/>
            <w:rFonts w:cs="Calibri Light"/>
            <w:i/>
            <w:iCs/>
            <w:color w:val="auto"/>
            <w:szCs w:val="22"/>
          </w:rPr>
          <w:t>representative</w:t>
        </w:r>
      </w:hyperlink>
      <w:r w:rsidRPr="009E0993">
        <w:rPr>
          <w:rFonts w:cs="Calibri Light"/>
          <w:i/>
          <w:iCs/>
          <w:szCs w:val="22"/>
        </w:rPr>
        <w:t> to </w:t>
      </w:r>
      <w:hyperlink r:id="rId34" w:anchor="retail_client" w:history="1">
        <w:r w:rsidRPr="009E0993">
          <w:rPr>
            <w:rStyle w:val="Hyperlink"/>
            <w:rFonts w:cs="Calibri Light"/>
            <w:i/>
            <w:iCs/>
            <w:color w:val="auto"/>
            <w:szCs w:val="22"/>
          </w:rPr>
          <w:t>retail clients</w:t>
        </w:r>
      </w:hyperlink>
      <w:r w:rsidRPr="009E0993">
        <w:rPr>
          <w:rFonts w:cs="Calibri Light"/>
          <w:i/>
          <w:iCs/>
          <w:szCs w:val="22"/>
        </w:rPr>
        <w:t>; or</w:t>
      </w:r>
    </w:p>
    <w:bookmarkEnd w:id="7"/>
    <w:p w14:paraId="5E7863B4" w14:textId="77777777" w:rsidR="00E63240" w:rsidRPr="009E0993" w:rsidRDefault="00E63240" w:rsidP="00EB5DB5">
      <w:pPr>
        <w:spacing w:after="160" w:line="276" w:lineRule="auto"/>
        <w:ind w:left="720"/>
        <w:rPr>
          <w:rFonts w:cs="Calibri Light"/>
          <w:i/>
          <w:iCs/>
          <w:szCs w:val="22"/>
        </w:rPr>
      </w:pPr>
      <w:r w:rsidRPr="009E0993">
        <w:rPr>
          <w:rFonts w:cs="Calibri Light"/>
          <w:i/>
          <w:iCs/>
          <w:szCs w:val="22"/>
        </w:rPr>
        <w:t>                     (b)  could reasonably be expected to influence the </w:t>
      </w:r>
      <w:hyperlink r:id="rId35" w:anchor="financial_product_advice" w:history="1">
        <w:r w:rsidRPr="009E0993">
          <w:rPr>
            <w:rStyle w:val="Hyperlink"/>
            <w:rFonts w:cs="Calibri Light"/>
            <w:i/>
            <w:iCs/>
            <w:color w:val="auto"/>
            <w:szCs w:val="22"/>
          </w:rPr>
          <w:t>financial product advice</w:t>
        </w:r>
      </w:hyperlink>
      <w:r w:rsidRPr="009E0993">
        <w:rPr>
          <w:rFonts w:cs="Calibri Light"/>
          <w:i/>
          <w:iCs/>
          <w:szCs w:val="22"/>
        </w:rPr>
        <w:t> given to </w:t>
      </w:r>
      <w:hyperlink r:id="rId36" w:anchor="retail_client" w:history="1">
        <w:r w:rsidRPr="009E0993">
          <w:rPr>
            <w:rStyle w:val="Hyperlink"/>
            <w:rFonts w:cs="Calibri Light"/>
            <w:i/>
            <w:iCs/>
            <w:color w:val="auto"/>
            <w:szCs w:val="22"/>
          </w:rPr>
          <w:t>retail clients</w:t>
        </w:r>
      </w:hyperlink>
      <w:r w:rsidRPr="009E0993">
        <w:rPr>
          <w:rFonts w:cs="Calibri Light"/>
          <w:i/>
          <w:iCs/>
          <w:szCs w:val="22"/>
        </w:rPr>
        <w:t> by the licensee or </w:t>
      </w:r>
      <w:hyperlink r:id="rId37" w:anchor="representative" w:history="1">
        <w:r w:rsidRPr="009E0993">
          <w:rPr>
            <w:rStyle w:val="Hyperlink"/>
            <w:rFonts w:cs="Calibri Light"/>
            <w:i/>
            <w:iCs/>
            <w:color w:val="auto"/>
            <w:szCs w:val="22"/>
          </w:rPr>
          <w:t>representative</w:t>
        </w:r>
      </w:hyperlink>
      <w:r w:rsidRPr="009E0993">
        <w:rPr>
          <w:rFonts w:cs="Calibri Light"/>
          <w:i/>
          <w:iCs/>
          <w:szCs w:val="22"/>
        </w:rPr>
        <w:t>.</w:t>
      </w:r>
    </w:p>
    <w:p w14:paraId="3FDBBB18" w14:textId="5939C7F2" w:rsidR="005544D9" w:rsidRDefault="005544D9" w:rsidP="002B2D62">
      <w:pPr>
        <w:spacing w:line="276" w:lineRule="auto"/>
        <w:rPr>
          <w:rFonts w:cs="Calibri Light"/>
          <w:szCs w:val="22"/>
        </w:rPr>
      </w:pPr>
      <w:r>
        <w:rPr>
          <w:rFonts w:cs="Calibri Light"/>
          <w:szCs w:val="22"/>
        </w:rPr>
        <w:t>Stamping fees have the potential to incentivise AFS licensees or their representatives to recommend a LIC or LIT to a client on the basis of increased remuneration, rather than on the features of the product and needs and interests of the client. This is known as ‘mis-selling’ and can result in poor consumer outcomes.</w:t>
      </w:r>
      <w:r w:rsidR="007D103A">
        <w:rPr>
          <w:rFonts w:cs="Calibri Light"/>
          <w:szCs w:val="22"/>
        </w:rPr>
        <w:t xml:space="preserve"> </w:t>
      </w:r>
      <w:r w:rsidR="00BF1360">
        <w:rPr>
          <w:rFonts w:cs="Calibri Light"/>
          <w:szCs w:val="22"/>
        </w:rPr>
        <w:t>Mis-selling can result in the consumer taking on additional risk in the investment relative to their risk profile and opportunity costs relating to the availability of a more suitable equivalent investment.</w:t>
      </w:r>
      <w:r w:rsidR="00242325">
        <w:rPr>
          <w:rFonts w:cs="Calibri Light"/>
          <w:szCs w:val="22"/>
        </w:rPr>
        <w:t xml:space="preserve"> </w:t>
      </w:r>
      <w:r w:rsidR="00CD3E9C">
        <w:rPr>
          <w:rFonts w:cs="Calibri Light"/>
          <w:szCs w:val="22"/>
        </w:rPr>
        <w:t>As Commissioner Hayne noted in the Financial Services Royal Commission report:</w:t>
      </w:r>
    </w:p>
    <w:p w14:paraId="29BCF147" w14:textId="6DA9278D" w:rsidR="00CD3E9C" w:rsidRPr="00CD3E9C" w:rsidRDefault="00CD3E9C" w:rsidP="002B2D62">
      <w:pPr>
        <w:spacing w:before="0" w:after="0" w:line="276" w:lineRule="auto"/>
        <w:ind w:left="720"/>
        <w:rPr>
          <w:rFonts w:cs="Calibri Light"/>
          <w:szCs w:val="22"/>
        </w:rPr>
      </w:pPr>
      <w:r w:rsidRPr="00A55339">
        <w:rPr>
          <w:i/>
          <w:iCs/>
        </w:rPr>
        <w:t xml:space="preserve">the very hinge about which the conflicted remuneration provisions </w:t>
      </w:r>
      <w:r>
        <w:t xml:space="preserve">[in the Corporations Act] </w:t>
      </w:r>
      <w:r w:rsidRPr="00A55339">
        <w:rPr>
          <w:i/>
          <w:iCs/>
        </w:rPr>
        <w:t xml:space="preserve">turn, is that the payment is one that </w:t>
      </w:r>
      <w:r>
        <w:rPr>
          <w:i/>
          <w:iCs/>
        </w:rPr>
        <w:t>“</w:t>
      </w:r>
      <w:r w:rsidRPr="00A55339">
        <w:rPr>
          <w:i/>
          <w:iCs/>
        </w:rPr>
        <w:t>could reasonably be expected to influence the choice of financial product recommended to retail clients</w:t>
      </w:r>
      <w:r>
        <w:rPr>
          <w:i/>
          <w:iCs/>
        </w:rPr>
        <w:t>”.</w:t>
      </w:r>
      <w:r w:rsidRPr="00A55339">
        <w:rPr>
          <w:rStyle w:val="FootnoteReference"/>
          <w:vertAlign w:val="superscript"/>
        </w:rPr>
        <w:footnoteReference w:id="4"/>
      </w:r>
    </w:p>
    <w:p w14:paraId="1618984A" w14:textId="2E66FBEF" w:rsidR="00A6134B" w:rsidRPr="00A6134B" w:rsidRDefault="00A6134B" w:rsidP="00EB5DB5">
      <w:pPr>
        <w:spacing w:after="160" w:line="276" w:lineRule="auto"/>
        <w:rPr>
          <w:rFonts w:cs="Calibri Light"/>
          <w:i/>
          <w:iCs/>
          <w:szCs w:val="22"/>
        </w:rPr>
      </w:pPr>
      <w:r w:rsidRPr="00A6134B">
        <w:rPr>
          <w:rFonts w:cs="Calibri Light"/>
          <w:i/>
          <w:iCs/>
          <w:szCs w:val="22"/>
        </w:rPr>
        <w:lastRenderedPageBreak/>
        <w:t>What are LICs and LITs?</w:t>
      </w:r>
    </w:p>
    <w:p w14:paraId="0653E237" w14:textId="31571D5B" w:rsidR="00A6134B" w:rsidRDefault="00A6134B" w:rsidP="00EB5DB5">
      <w:pPr>
        <w:spacing w:after="160" w:line="276" w:lineRule="auto"/>
        <w:rPr>
          <w:rFonts w:cs="Calibri Light"/>
          <w:szCs w:val="22"/>
        </w:rPr>
      </w:pPr>
      <w:r>
        <w:rPr>
          <w:rFonts w:cs="Calibri Light"/>
          <w:szCs w:val="22"/>
        </w:rPr>
        <w:t xml:space="preserve">LICs and LITs are investment funds, incorporated as a company or trust, listed on the Australian Securities Exchange </w:t>
      </w:r>
      <w:r w:rsidR="000A08CE">
        <w:rPr>
          <w:rFonts w:cs="Calibri Light"/>
          <w:szCs w:val="22"/>
        </w:rPr>
        <w:t>(ASX</w:t>
      </w:r>
      <w:r w:rsidR="00E31FE3">
        <w:rPr>
          <w:rFonts w:cs="Calibri Light"/>
          <w:szCs w:val="22"/>
        </w:rPr>
        <w:t>)</w:t>
      </w:r>
      <w:r w:rsidR="000A08CE">
        <w:rPr>
          <w:rFonts w:cs="Calibri Light"/>
          <w:szCs w:val="22"/>
        </w:rPr>
        <w:t xml:space="preserve"> </w:t>
      </w:r>
      <w:r>
        <w:rPr>
          <w:rFonts w:cs="Calibri Light"/>
          <w:szCs w:val="22"/>
        </w:rPr>
        <w:t>and managed by an external or internal fund manager. They are closed-end, meaning they issue a fixed number of shares in an IPO, rather than issuing new share</w:t>
      </w:r>
      <w:r w:rsidR="0070414E">
        <w:rPr>
          <w:rFonts w:cs="Calibri Light"/>
          <w:szCs w:val="22"/>
        </w:rPr>
        <w:t>s o</w:t>
      </w:r>
      <w:r>
        <w:rPr>
          <w:rFonts w:cs="Calibri Light"/>
          <w:szCs w:val="22"/>
        </w:rPr>
        <w:t>r cancelling existing shares</w:t>
      </w:r>
      <w:r w:rsidR="00BD545F">
        <w:rPr>
          <w:rFonts w:cs="Calibri Light"/>
          <w:szCs w:val="22"/>
        </w:rPr>
        <w:t xml:space="preserve"> when investors enter or leave</w:t>
      </w:r>
      <w:r>
        <w:rPr>
          <w:rFonts w:cs="Calibri Light"/>
          <w:szCs w:val="22"/>
        </w:rPr>
        <w:t xml:space="preserve">. Investors can buy and sell LIC and LIT shares on the ASX. </w:t>
      </w:r>
      <w:r w:rsidR="00BD545F">
        <w:rPr>
          <w:rFonts w:cs="Calibri Light"/>
          <w:szCs w:val="22"/>
        </w:rPr>
        <w:t>LICs and LITs differ from other open-end investment vehicles like exchange traded funds (ETFs), where shares can be issued or cancelled depending on consumer demand.</w:t>
      </w:r>
      <w:r w:rsidR="004052A6">
        <w:rPr>
          <w:rFonts w:cs="Calibri Light"/>
          <w:szCs w:val="22"/>
        </w:rPr>
        <w:t xml:space="preserve"> </w:t>
      </w:r>
    </w:p>
    <w:p w14:paraId="0FA3A3CA" w14:textId="04074E2B" w:rsidR="00A6134B" w:rsidRPr="00A6134B" w:rsidRDefault="00A6134B" w:rsidP="00EB5DB5">
      <w:pPr>
        <w:spacing w:after="160" w:line="276" w:lineRule="auto"/>
        <w:rPr>
          <w:rFonts w:cs="Calibri Light"/>
          <w:i/>
          <w:iCs/>
          <w:szCs w:val="22"/>
        </w:rPr>
      </w:pPr>
      <w:r w:rsidRPr="00A6134B">
        <w:rPr>
          <w:rFonts w:cs="Calibri Light"/>
          <w:i/>
          <w:iCs/>
          <w:szCs w:val="22"/>
        </w:rPr>
        <w:t>What was the problem?</w:t>
      </w:r>
    </w:p>
    <w:p w14:paraId="0C1B7E7C" w14:textId="77777777" w:rsidR="0000369E" w:rsidRDefault="00BD545F" w:rsidP="00EB5DB5">
      <w:pPr>
        <w:spacing w:after="160" w:line="276" w:lineRule="auto"/>
        <w:rPr>
          <w:rFonts w:cs="Calibri Light"/>
          <w:szCs w:val="22"/>
        </w:rPr>
      </w:pPr>
      <w:r>
        <w:rPr>
          <w:rFonts w:cs="Calibri Light"/>
          <w:szCs w:val="22"/>
        </w:rPr>
        <w:t>Advice provided to consumers by AFS licensees and their representatives can play an important role in how consumers decide to manage their money</w:t>
      </w:r>
      <w:r w:rsidR="00520656">
        <w:rPr>
          <w:rFonts w:cs="Calibri Light"/>
          <w:szCs w:val="22"/>
        </w:rPr>
        <w:t xml:space="preserve"> and invest</w:t>
      </w:r>
      <w:r>
        <w:rPr>
          <w:rFonts w:cs="Calibri Light"/>
          <w:szCs w:val="22"/>
        </w:rPr>
        <w:t>. As such, it</w:t>
      </w:r>
      <w:r w:rsidR="00520656">
        <w:rPr>
          <w:rFonts w:cs="Calibri Light"/>
          <w:szCs w:val="22"/>
        </w:rPr>
        <w:t xml:space="preserve"> i</w:t>
      </w:r>
      <w:r>
        <w:rPr>
          <w:rFonts w:cs="Calibri Light"/>
          <w:szCs w:val="22"/>
        </w:rPr>
        <w:t>s crucial that this advice</w:t>
      </w:r>
      <w:r w:rsidR="000A08CE">
        <w:rPr>
          <w:rFonts w:cs="Calibri Light"/>
          <w:szCs w:val="22"/>
        </w:rPr>
        <w:t xml:space="preserve"> has integrity and</w:t>
      </w:r>
      <w:r>
        <w:rPr>
          <w:rFonts w:cs="Calibri Light"/>
          <w:szCs w:val="22"/>
        </w:rPr>
        <w:t xml:space="preserve"> comes from someone who is competent, trustworthy and acts in the best interests of the client.</w:t>
      </w:r>
      <w:r w:rsidR="00E144D5">
        <w:rPr>
          <w:rFonts w:cs="Calibri Light"/>
          <w:szCs w:val="22"/>
        </w:rPr>
        <w:t xml:space="preserve"> Prior to legislative changes in 2012, AFS licensees and their representatives were remunerated differently to </w:t>
      </w:r>
      <w:r w:rsidR="00233E44">
        <w:rPr>
          <w:rFonts w:cs="Calibri Light"/>
          <w:szCs w:val="22"/>
        </w:rPr>
        <w:t xml:space="preserve">other </w:t>
      </w:r>
      <w:r w:rsidR="00532687">
        <w:rPr>
          <w:rFonts w:cs="Calibri Light"/>
          <w:szCs w:val="22"/>
        </w:rPr>
        <w:t xml:space="preserve">comparable </w:t>
      </w:r>
      <w:r w:rsidR="00233E44">
        <w:rPr>
          <w:rFonts w:cs="Calibri Light"/>
          <w:szCs w:val="22"/>
        </w:rPr>
        <w:t>profession</w:t>
      </w:r>
      <w:r w:rsidR="00532687">
        <w:rPr>
          <w:rFonts w:cs="Calibri Light"/>
          <w:szCs w:val="22"/>
        </w:rPr>
        <w:t>s</w:t>
      </w:r>
      <w:r w:rsidR="00810948">
        <w:rPr>
          <w:rFonts w:cs="Calibri Light"/>
          <w:szCs w:val="22"/>
        </w:rPr>
        <w:t xml:space="preserve"> that provide advice services to their clients</w:t>
      </w:r>
      <w:r w:rsidR="00233E44">
        <w:rPr>
          <w:rFonts w:cs="Calibri Light"/>
          <w:szCs w:val="22"/>
        </w:rPr>
        <w:t xml:space="preserve">, in that they could receive commissions from product providers for selling particular products. These commissions could be upfront or ongoing, and could often be a percentage of the funds </w:t>
      </w:r>
      <w:r w:rsidR="00532687">
        <w:rPr>
          <w:rFonts w:cs="Calibri Light"/>
          <w:szCs w:val="22"/>
        </w:rPr>
        <w:t>under management</w:t>
      </w:r>
      <w:r w:rsidR="00233E44">
        <w:rPr>
          <w:rFonts w:cs="Calibri Light"/>
          <w:szCs w:val="22"/>
        </w:rPr>
        <w:t>.</w:t>
      </w:r>
      <w:r w:rsidR="00C610ED">
        <w:rPr>
          <w:rFonts w:cs="Calibri Light"/>
          <w:szCs w:val="22"/>
        </w:rPr>
        <w:t xml:space="preserve"> </w:t>
      </w:r>
    </w:p>
    <w:p w14:paraId="10FC2AC8" w14:textId="49DD755C" w:rsidR="00A001DD" w:rsidRDefault="00C93784" w:rsidP="00EB5DB5">
      <w:pPr>
        <w:spacing w:after="160" w:line="276" w:lineRule="auto"/>
        <w:rPr>
          <w:rFonts w:cs="Calibri Light"/>
          <w:szCs w:val="22"/>
        </w:rPr>
      </w:pPr>
      <w:r>
        <w:rPr>
          <w:rFonts w:cs="Calibri Light"/>
          <w:szCs w:val="22"/>
        </w:rPr>
        <w:t>F</w:t>
      </w:r>
      <w:r w:rsidR="00822403">
        <w:rPr>
          <w:rFonts w:cs="Calibri Light"/>
          <w:szCs w:val="22"/>
        </w:rPr>
        <w:t>ollowing the ban on conflicted remuneration for superannuation and ordinary investment products,</w:t>
      </w:r>
      <w:r w:rsidR="009E412D">
        <w:rPr>
          <w:rFonts w:cs="Calibri Light"/>
          <w:szCs w:val="22"/>
        </w:rPr>
        <w:t xml:space="preserve"> financial advisers can only receive conflicted remuneration in limited circumstances</w:t>
      </w:r>
      <w:r w:rsidR="00087C9F">
        <w:rPr>
          <w:rFonts w:cs="Calibri Light"/>
          <w:szCs w:val="22"/>
        </w:rPr>
        <w:t>, including for certain insurance products</w:t>
      </w:r>
      <w:r w:rsidR="004C4546">
        <w:rPr>
          <w:rFonts w:cs="Calibri Light"/>
          <w:szCs w:val="22"/>
        </w:rPr>
        <w:t>.</w:t>
      </w:r>
      <w:r w:rsidR="00087C9F" w:rsidRPr="00A55339">
        <w:rPr>
          <w:rStyle w:val="FootnoteReference"/>
          <w:rFonts w:ascii="Montserrat Ultra Light" w:eastAsiaTheme="minorHAnsi" w:hAnsi="Montserrat Ultra Light" w:cs="Calibri Light"/>
          <w:color w:val="000000"/>
          <w:szCs w:val="22"/>
          <w:vertAlign w:val="superscript"/>
          <w:lang w:eastAsia="en-US"/>
        </w:rPr>
        <w:footnoteReference w:id="5"/>
      </w:r>
      <w:r w:rsidR="00520789">
        <w:rPr>
          <w:rFonts w:cs="Calibri Light"/>
          <w:szCs w:val="22"/>
        </w:rPr>
        <w:t xml:space="preserve"> Outside of these limited circumstances, there are a range of charging arrangements. </w:t>
      </w:r>
      <w:r w:rsidR="00520789" w:rsidRPr="00520789">
        <w:rPr>
          <w:rFonts w:cs="Calibri Light"/>
          <w:szCs w:val="22"/>
        </w:rPr>
        <w:t>Fees charged to consumers by advisers may be flat (as an hourly rate or an agreed dollar-based amount) or</w:t>
      </w:r>
      <w:r w:rsidR="00520789">
        <w:rPr>
          <w:rFonts w:cs="Calibri Light"/>
          <w:szCs w:val="22"/>
        </w:rPr>
        <w:t xml:space="preserve"> </w:t>
      </w:r>
      <w:r w:rsidR="00520789" w:rsidRPr="00520789">
        <w:rPr>
          <w:rFonts w:cs="Calibri Light"/>
          <w:szCs w:val="22"/>
        </w:rPr>
        <w:t>percentage-based (as a percentage of the client's investment portfolio).</w:t>
      </w:r>
      <w:r w:rsidR="00D1062A" w:rsidRPr="00A55339">
        <w:rPr>
          <w:rStyle w:val="FootnoteReference"/>
          <w:rFonts w:ascii="Montserrat Ultra Light" w:eastAsiaTheme="minorHAnsi" w:hAnsi="Montserrat Ultra Light" w:cs="Calibri Light"/>
          <w:color w:val="000000"/>
          <w:szCs w:val="22"/>
          <w:vertAlign w:val="superscript"/>
          <w:lang w:eastAsia="en-US"/>
        </w:rPr>
        <w:footnoteReference w:id="6"/>
      </w:r>
      <w:r w:rsidR="00520789" w:rsidRPr="00520789">
        <w:rPr>
          <w:rFonts w:cs="Calibri Light"/>
          <w:szCs w:val="22"/>
        </w:rPr>
        <w:t xml:space="preserve"> Either can be charged on a</w:t>
      </w:r>
      <w:r w:rsidR="00520789">
        <w:rPr>
          <w:rFonts w:cs="Calibri Light"/>
          <w:szCs w:val="22"/>
        </w:rPr>
        <w:t xml:space="preserve"> </w:t>
      </w:r>
      <w:r w:rsidR="00520789" w:rsidRPr="00520789">
        <w:rPr>
          <w:rFonts w:cs="Calibri Light"/>
          <w:szCs w:val="22"/>
        </w:rPr>
        <w:t>non-ongoing (often one-off) basis or under an ongoing fee arrangement</w:t>
      </w:r>
      <w:r w:rsidR="00D1062A">
        <w:rPr>
          <w:rFonts w:cs="Calibri Light"/>
          <w:szCs w:val="22"/>
        </w:rPr>
        <w:t xml:space="preserve"> and</w:t>
      </w:r>
      <w:r w:rsidR="00520789" w:rsidRPr="00520789">
        <w:rPr>
          <w:rFonts w:cs="Calibri Light"/>
          <w:szCs w:val="22"/>
        </w:rPr>
        <w:t xml:space="preserve"> may be paid by</w:t>
      </w:r>
      <w:r w:rsidR="00520789">
        <w:rPr>
          <w:rFonts w:cs="Calibri Light"/>
          <w:szCs w:val="22"/>
        </w:rPr>
        <w:t xml:space="preserve"> </w:t>
      </w:r>
      <w:r w:rsidR="00520789" w:rsidRPr="00520789">
        <w:rPr>
          <w:rFonts w:cs="Calibri Light"/>
          <w:szCs w:val="22"/>
        </w:rPr>
        <w:t>the consumer directly or be deducted, with the consumer's consent, from a product held by the consumer (often a platform product or superannuation fund).</w:t>
      </w:r>
      <w:r w:rsidR="00520789" w:rsidRPr="00A55339">
        <w:rPr>
          <w:rStyle w:val="FootnoteReference"/>
          <w:rFonts w:ascii="Montserrat Ultra Light" w:eastAsiaTheme="minorHAnsi" w:hAnsi="Montserrat Ultra Light" w:cs="Calibri Light"/>
          <w:color w:val="000000"/>
          <w:szCs w:val="22"/>
          <w:vertAlign w:val="superscript"/>
          <w:lang w:eastAsia="en-US"/>
        </w:rPr>
        <w:footnoteReference w:id="7"/>
      </w:r>
      <w:r w:rsidR="00A55339">
        <w:rPr>
          <w:rFonts w:cs="Calibri Light"/>
          <w:szCs w:val="22"/>
        </w:rPr>
        <w:t xml:space="preserve"> </w:t>
      </w:r>
    </w:p>
    <w:p w14:paraId="644ECAEB" w14:textId="19F5C910" w:rsidR="007F5BCB" w:rsidRDefault="00532687" w:rsidP="007F5BCB">
      <w:pPr>
        <w:spacing w:after="160" w:line="276" w:lineRule="auto"/>
        <w:rPr>
          <w:rFonts w:cs="Calibri Light"/>
          <w:szCs w:val="22"/>
        </w:rPr>
      </w:pPr>
      <w:r>
        <w:rPr>
          <w:rFonts w:cs="Calibri Light"/>
          <w:szCs w:val="22"/>
        </w:rPr>
        <w:t>The idea that</w:t>
      </w:r>
      <w:r w:rsidR="00EA7375">
        <w:rPr>
          <w:rFonts w:cs="Calibri Light"/>
          <w:szCs w:val="22"/>
        </w:rPr>
        <w:t xml:space="preserve"> conflicted </w:t>
      </w:r>
      <w:r w:rsidR="00EA7375" w:rsidRPr="005A3D21">
        <w:rPr>
          <w:rFonts w:cs="Calibri Light"/>
          <w:szCs w:val="22"/>
        </w:rPr>
        <w:t xml:space="preserve">remuneration </w:t>
      </w:r>
      <w:r w:rsidR="00A31B86" w:rsidRPr="005A3D21">
        <w:rPr>
          <w:rFonts w:cs="Calibri Light"/>
          <w:szCs w:val="22"/>
        </w:rPr>
        <w:t>can negatively affect an adviser’s ability to give quality, unbiased advice to consumers</w:t>
      </w:r>
      <w:r w:rsidRPr="005A3D21">
        <w:rPr>
          <w:rFonts w:cs="Calibri Light"/>
          <w:szCs w:val="22"/>
        </w:rPr>
        <w:t xml:space="preserve"> has been considered </w:t>
      </w:r>
      <w:r w:rsidR="007F5BCB">
        <w:rPr>
          <w:rFonts w:cs="Calibri Light"/>
          <w:szCs w:val="22"/>
        </w:rPr>
        <w:t xml:space="preserve">in a number of </w:t>
      </w:r>
      <w:r w:rsidR="007E06EF">
        <w:rPr>
          <w:rFonts w:cs="Calibri Light"/>
          <w:szCs w:val="22"/>
        </w:rPr>
        <w:t>settings</w:t>
      </w:r>
      <w:r w:rsidR="007F5BCB">
        <w:rPr>
          <w:rFonts w:cs="Calibri Light"/>
          <w:szCs w:val="22"/>
        </w:rPr>
        <w:t>, including</w:t>
      </w:r>
      <w:r w:rsidRPr="005A3D21">
        <w:rPr>
          <w:rFonts w:cs="Calibri Light"/>
          <w:szCs w:val="22"/>
        </w:rPr>
        <w:t xml:space="preserve"> in-depth inquiries</w:t>
      </w:r>
      <w:r w:rsidR="00A31B86" w:rsidRPr="005A3D21">
        <w:rPr>
          <w:rFonts w:cs="Calibri Light"/>
          <w:szCs w:val="22"/>
        </w:rPr>
        <w:t xml:space="preserve">. </w:t>
      </w:r>
      <w:r w:rsidR="007F5BCB" w:rsidRPr="005A3D21">
        <w:rPr>
          <w:rFonts w:cs="Calibri Light"/>
          <w:szCs w:val="22"/>
        </w:rPr>
        <w:t xml:space="preserve">ASIC ran a </w:t>
      </w:r>
      <w:r w:rsidR="00205340">
        <w:rPr>
          <w:rFonts w:cs="Calibri Light"/>
          <w:szCs w:val="22"/>
        </w:rPr>
        <w:t>Shadow Shopping</w:t>
      </w:r>
      <w:r w:rsidR="007F5BCB" w:rsidRPr="005A3D21">
        <w:rPr>
          <w:rFonts w:cs="Calibri Light"/>
          <w:szCs w:val="22"/>
        </w:rPr>
        <w:t xml:space="preserve"> exercise in 2011 </w:t>
      </w:r>
      <w:r w:rsidR="00205340">
        <w:rPr>
          <w:rFonts w:cs="Calibri Light"/>
          <w:szCs w:val="22"/>
        </w:rPr>
        <w:t>which examined financial advice about reirement. This exercise</w:t>
      </w:r>
      <w:r w:rsidR="007F5BCB" w:rsidRPr="005A3D21">
        <w:rPr>
          <w:rFonts w:cs="Calibri Light"/>
          <w:szCs w:val="22"/>
        </w:rPr>
        <w:t xml:space="preserve"> identified many examples of advice geared towards selling financial products where advice fees were contingent on a commission – as noted, ‘in some cases this was at the expense of optimal strategic advice’.</w:t>
      </w:r>
      <w:r w:rsidR="007F5BCB" w:rsidRPr="005A3D21">
        <w:rPr>
          <w:rStyle w:val="FootnoteReference"/>
          <w:rFonts w:ascii="Montserrat Ultra Light" w:eastAsiaTheme="minorHAnsi" w:hAnsi="Montserrat Ultra Light" w:cs="Calibri Light"/>
          <w:color w:val="000000"/>
          <w:szCs w:val="22"/>
          <w:vertAlign w:val="superscript"/>
          <w:lang w:eastAsia="en-US"/>
        </w:rPr>
        <w:footnoteReference w:id="8"/>
      </w:r>
      <w:r w:rsidR="007F5BCB" w:rsidRPr="005A3D21">
        <w:rPr>
          <w:rFonts w:cs="Calibri Light"/>
          <w:szCs w:val="22"/>
        </w:rPr>
        <w:t xml:space="preserve"> </w:t>
      </w:r>
      <w:r w:rsidR="007F5BCB">
        <w:rPr>
          <w:rFonts w:cs="Calibri Light"/>
          <w:szCs w:val="22"/>
        </w:rPr>
        <w:t>However, t</w:t>
      </w:r>
      <w:r w:rsidR="007F5BCB" w:rsidRPr="005A3D21">
        <w:rPr>
          <w:rFonts w:cs="Calibri Light"/>
          <w:szCs w:val="22"/>
        </w:rPr>
        <w:t>he small sample (n=64) size did not allow for the drawing of definitive conclusions about the relationship between the model of remuneration and poor quality advice.</w:t>
      </w:r>
      <w:r w:rsidR="007F5BCB" w:rsidRPr="005A3D21">
        <w:rPr>
          <w:rStyle w:val="FootnoteReference"/>
          <w:rFonts w:cs="Calibri Light"/>
          <w:szCs w:val="22"/>
          <w:vertAlign w:val="superscript"/>
        </w:rPr>
        <w:footnoteReference w:id="9"/>
      </w:r>
      <w:r w:rsidR="007F5BCB" w:rsidRPr="005A3D21">
        <w:rPr>
          <w:rFonts w:cs="Calibri Light"/>
          <w:szCs w:val="22"/>
        </w:rPr>
        <w:t xml:space="preserve"> </w:t>
      </w:r>
    </w:p>
    <w:p w14:paraId="5D85699B" w14:textId="4793ED84" w:rsidR="00566074" w:rsidRDefault="007F5BCB" w:rsidP="00EB5DB5">
      <w:pPr>
        <w:spacing w:after="160" w:line="276" w:lineRule="auto"/>
        <w:rPr>
          <w:rFonts w:cs="Calibri Light"/>
          <w:szCs w:val="22"/>
        </w:rPr>
      </w:pPr>
      <w:r>
        <w:rPr>
          <w:rFonts w:cs="Calibri Light"/>
          <w:szCs w:val="22"/>
        </w:rPr>
        <w:lastRenderedPageBreak/>
        <w:t>Further, t</w:t>
      </w:r>
      <w:r w:rsidR="0000369E" w:rsidRPr="005A3D21">
        <w:rPr>
          <w:rFonts w:cs="Calibri Light"/>
          <w:szCs w:val="22"/>
        </w:rPr>
        <w:t>he 2009 Parliamentary Joint Committee on Corporations and Financial Services’ Inquiry into Financial Products and Services in Australia (PJC Inquiry)</w:t>
      </w:r>
      <w:r w:rsidR="00C52C04" w:rsidRPr="005A3D21">
        <w:rPr>
          <w:rFonts w:cs="Calibri Light"/>
          <w:szCs w:val="22"/>
        </w:rPr>
        <w:t xml:space="preserve">, </w:t>
      </w:r>
      <w:r w:rsidR="00566074" w:rsidRPr="005A3D21">
        <w:rPr>
          <w:rFonts w:cs="Calibri Light"/>
          <w:szCs w:val="22"/>
        </w:rPr>
        <w:t>prompted</w:t>
      </w:r>
      <w:r w:rsidR="00566074">
        <w:rPr>
          <w:rFonts w:cs="Calibri Light"/>
          <w:szCs w:val="22"/>
        </w:rPr>
        <w:t xml:space="preserve"> by contemporary financial product and service provider collapses, examined:</w:t>
      </w:r>
    </w:p>
    <w:p w14:paraId="51E7DE42" w14:textId="3F1A1456" w:rsidR="00566074" w:rsidRDefault="00566074" w:rsidP="00A55339">
      <w:pPr>
        <w:pStyle w:val="Bullet"/>
      </w:pPr>
      <w:r>
        <w:t>the role of financial advisers;</w:t>
      </w:r>
    </w:p>
    <w:p w14:paraId="71BDE29D" w14:textId="2DD69FE0" w:rsidR="00566074" w:rsidRDefault="00566074" w:rsidP="00A55339">
      <w:pPr>
        <w:pStyle w:val="Bullet"/>
      </w:pPr>
      <w:r>
        <w:t>the general regulatory environment for these products and services;</w:t>
      </w:r>
    </w:p>
    <w:p w14:paraId="7D500A2F" w14:textId="0B3E7034" w:rsidR="00566074" w:rsidRDefault="00566074" w:rsidP="00A55339">
      <w:pPr>
        <w:pStyle w:val="Bullet"/>
      </w:pPr>
      <w:r>
        <w:t>the role played by commission arrangements relating to product sales and advice, including the potential for conflicts of interest, the need for appropriate disclosure, and remuneration models for financial advisers;</w:t>
      </w:r>
    </w:p>
    <w:p w14:paraId="59640F55" w14:textId="2D118B5A" w:rsidR="00566074" w:rsidRDefault="00566074" w:rsidP="00A55339">
      <w:pPr>
        <w:pStyle w:val="Bullet"/>
      </w:pPr>
      <w:r>
        <w:t>the role played by marketing and advertising campaigns;</w:t>
      </w:r>
    </w:p>
    <w:p w14:paraId="0265BD7A" w14:textId="77D2054B" w:rsidR="00566074" w:rsidRDefault="00566074" w:rsidP="00A55339">
      <w:pPr>
        <w:pStyle w:val="Bullet"/>
      </w:pPr>
      <w:r>
        <w:t>the adequacy of licensing arrangements for those who sold the products and services;</w:t>
      </w:r>
    </w:p>
    <w:p w14:paraId="0E080F95" w14:textId="07243EB8" w:rsidR="00566074" w:rsidRDefault="00566074" w:rsidP="00A55339">
      <w:pPr>
        <w:pStyle w:val="Bullet"/>
      </w:pPr>
      <w:r>
        <w:t>the appropriateness of information and advice provided to consumers considering investing in those products and services, and how the interests of consumers can best be served;</w:t>
      </w:r>
    </w:p>
    <w:p w14:paraId="5456A692" w14:textId="19815E06" w:rsidR="00566074" w:rsidRDefault="00566074" w:rsidP="00A55339">
      <w:pPr>
        <w:pStyle w:val="Bullet"/>
      </w:pPr>
      <w:r>
        <w:t>consumer education and understanding of these financial products and services;</w:t>
      </w:r>
    </w:p>
    <w:p w14:paraId="2C206D54" w14:textId="47BE3A3E" w:rsidR="00566074" w:rsidRDefault="00566074" w:rsidP="00A55339">
      <w:pPr>
        <w:pStyle w:val="Bullet"/>
      </w:pPr>
      <w:r>
        <w:t>the adequacy of professional indemnity insurance arrangements for those who sold the products and services, and the impact on consumers; and</w:t>
      </w:r>
    </w:p>
    <w:p w14:paraId="7C8A1A66" w14:textId="4A25BADB" w:rsidR="00495CE3" w:rsidRPr="00A55339" w:rsidRDefault="00566074" w:rsidP="00566074">
      <w:pPr>
        <w:pStyle w:val="Bullet"/>
        <w:rPr>
          <w:rFonts w:cs="Calibri Light"/>
          <w:szCs w:val="22"/>
        </w:rPr>
      </w:pPr>
      <w:r>
        <w:t>the need for any legislative or regulatory change.</w:t>
      </w:r>
      <w:r w:rsidRPr="00A55339">
        <w:rPr>
          <w:rStyle w:val="FootnoteReference"/>
          <w:vertAlign w:val="superscript"/>
        </w:rPr>
        <w:footnoteReference w:id="10"/>
      </w:r>
      <w:r w:rsidR="00394AB1" w:rsidRPr="00344AFB">
        <w:rPr>
          <w:rFonts w:cs="Calibri Light"/>
          <w:szCs w:val="22"/>
          <w:vertAlign w:val="superscript"/>
        </w:rPr>
        <w:t xml:space="preserve"> </w:t>
      </w:r>
      <w:r w:rsidR="00A521FE">
        <w:rPr>
          <w:rFonts w:cs="Calibri Light"/>
          <w:szCs w:val="22"/>
          <w:vertAlign w:val="superscript"/>
        </w:rPr>
        <w:t xml:space="preserve"> </w:t>
      </w:r>
    </w:p>
    <w:p w14:paraId="486A426B" w14:textId="65E585E3" w:rsidR="00240157" w:rsidRDefault="00A521FE" w:rsidP="00240157">
      <w:pPr>
        <w:pStyle w:val="Bullet"/>
        <w:numPr>
          <w:ilvl w:val="0"/>
          <w:numId w:val="0"/>
        </w:numPr>
        <w:rPr>
          <w:rFonts w:cs="Calibri Light"/>
          <w:szCs w:val="22"/>
        </w:rPr>
      </w:pPr>
      <w:r>
        <w:rPr>
          <w:rFonts w:cs="Calibri Light"/>
          <w:szCs w:val="22"/>
        </w:rPr>
        <w:t xml:space="preserve">The </w:t>
      </w:r>
      <w:r w:rsidR="00817C1C">
        <w:rPr>
          <w:rFonts w:cs="Calibri Light"/>
          <w:szCs w:val="22"/>
        </w:rPr>
        <w:t xml:space="preserve">Committee received evidence from stakeholders that the regulatory arrangements in place at the time – </w:t>
      </w:r>
      <w:r w:rsidR="00BD5999">
        <w:rPr>
          <w:rFonts w:cs="Calibri Light"/>
          <w:szCs w:val="22"/>
        </w:rPr>
        <w:t xml:space="preserve">like disclosure and conduct standards, and licensing systems – </w:t>
      </w:r>
      <w:r w:rsidR="00817C1C">
        <w:rPr>
          <w:rFonts w:cs="Calibri Light"/>
          <w:szCs w:val="22"/>
        </w:rPr>
        <w:t>did not protect consumers from poor quality or inappropriate financial advice and its negative impacts</w:t>
      </w:r>
      <w:r w:rsidR="00BD5999">
        <w:rPr>
          <w:rFonts w:cs="Calibri Light"/>
          <w:szCs w:val="22"/>
        </w:rPr>
        <w:t xml:space="preserve">. </w:t>
      </w:r>
      <w:r w:rsidR="002B33EE" w:rsidRPr="005A3D21">
        <w:rPr>
          <w:rFonts w:cs="Calibri Light"/>
          <w:szCs w:val="22"/>
        </w:rPr>
        <w:t>In 2006, ASIC undertook a Shadow Shopping exercise on financial advice in relation to superannuation which assessed 306 examples of advice provided to real consumers.</w:t>
      </w:r>
      <w:r w:rsidR="002B33EE" w:rsidRPr="005A3D21">
        <w:rPr>
          <w:rStyle w:val="FootnoteReference"/>
          <w:rFonts w:ascii="Montserrat Ultra Light" w:eastAsiaTheme="minorHAnsi" w:hAnsi="Montserrat Ultra Light" w:cs="Calibri Light"/>
          <w:color w:val="000000"/>
          <w:szCs w:val="22"/>
          <w:vertAlign w:val="superscript"/>
          <w:lang w:eastAsia="en-US"/>
        </w:rPr>
        <w:footnoteReference w:id="11"/>
      </w:r>
      <w:r w:rsidR="002B33EE" w:rsidRPr="005A3D21">
        <w:rPr>
          <w:rFonts w:ascii="Montserrat Ultra Light" w:eastAsiaTheme="minorHAnsi" w:hAnsi="Montserrat Ultra Light" w:cs="Calibri Light"/>
          <w:color w:val="000000"/>
          <w:sz w:val="24"/>
          <w:szCs w:val="22"/>
          <w:vertAlign w:val="superscript"/>
          <w:lang w:eastAsia="en-US"/>
        </w:rPr>
        <w:t xml:space="preserve"> </w:t>
      </w:r>
      <w:r w:rsidR="002B33EE">
        <w:rPr>
          <w:rFonts w:ascii="Montserrat Ultra Light" w:eastAsiaTheme="minorHAnsi" w:hAnsi="Montserrat Ultra Light" w:cs="Calibri Light"/>
          <w:color w:val="000000"/>
          <w:sz w:val="24"/>
          <w:szCs w:val="22"/>
          <w:vertAlign w:val="superscript"/>
          <w:lang w:eastAsia="en-US"/>
        </w:rPr>
        <w:t xml:space="preserve"> </w:t>
      </w:r>
      <w:r w:rsidR="00A17F97">
        <w:rPr>
          <w:rFonts w:cs="Calibri Light"/>
          <w:szCs w:val="22"/>
        </w:rPr>
        <w:t xml:space="preserve">ASIC submitted </w:t>
      </w:r>
      <w:r w:rsidR="001F78D5">
        <w:rPr>
          <w:rFonts w:cs="Calibri Light"/>
          <w:szCs w:val="22"/>
        </w:rPr>
        <w:t xml:space="preserve">to the PJC Inquiry </w:t>
      </w:r>
      <w:r w:rsidR="00A17F97">
        <w:rPr>
          <w:rFonts w:cs="Calibri Light"/>
          <w:szCs w:val="22"/>
        </w:rPr>
        <w:t xml:space="preserve">that </w:t>
      </w:r>
      <w:r w:rsidR="002B33EE">
        <w:rPr>
          <w:rFonts w:cs="Calibri Light"/>
          <w:szCs w:val="22"/>
        </w:rPr>
        <w:t>this</w:t>
      </w:r>
      <w:r w:rsidR="00A17F97">
        <w:rPr>
          <w:rFonts w:cs="Calibri Light"/>
          <w:szCs w:val="22"/>
        </w:rPr>
        <w:t xml:space="preserve"> exercise suggested that </w:t>
      </w:r>
      <w:r w:rsidR="00A17F97">
        <w:t>unreasonable advice was</w:t>
      </w:r>
      <w:r w:rsidR="000A1C86">
        <w:t xml:space="preserve"> six times more common</w:t>
      </w:r>
      <w:r w:rsidR="00A17F97">
        <w:t xml:space="preserve"> where the </w:t>
      </w:r>
      <w:r w:rsidR="000A1C86">
        <w:t>adviser had an actual conflict of interest over remuneration</w:t>
      </w:r>
      <w:r w:rsidR="00A17F97">
        <w:t>.</w:t>
      </w:r>
      <w:r w:rsidR="00A17F97" w:rsidRPr="00A55339">
        <w:rPr>
          <w:rStyle w:val="FootnoteReference"/>
          <w:vertAlign w:val="superscript"/>
        </w:rPr>
        <w:footnoteReference w:id="12"/>
      </w:r>
      <w:r w:rsidR="00A17F97" w:rsidRPr="005F4FBE">
        <w:rPr>
          <w:rFonts w:cs="Calibri Light"/>
          <w:szCs w:val="22"/>
        </w:rPr>
        <w:t xml:space="preserve"> </w:t>
      </w:r>
      <w:r w:rsidR="00CE1A3B" w:rsidRPr="005F4FBE">
        <w:rPr>
          <w:rFonts w:cs="Calibri Light"/>
          <w:szCs w:val="22"/>
        </w:rPr>
        <w:t>S</w:t>
      </w:r>
      <w:r w:rsidR="00CE1A3B">
        <w:rPr>
          <w:rFonts w:cs="Calibri Light"/>
          <w:szCs w:val="22"/>
        </w:rPr>
        <w:t>everal stakeholders</w:t>
      </w:r>
      <w:r w:rsidR="00061E76">
        <w:rPr>
          <w:rFonts w:cs="Calibri Light"/>
          <w:szCs w:val="22"/>
        </w:rPr>
        <w:t xml:space="preserve"> pointed to the example of Westpoint to illustrate that commissions can incentivise the selling of higher-risk products and result in catastrophic outcomes for consumers.</w:t>
      </w:r>
      <w:r w:rsidR="00884F52" w:rsidRPr="00884F52">
        <w:rPr>
          <w:rStyle w:val="FootnoteReference"/>
          <w:rFonts w:cs="Calibri Light"/>
          <w:szCs w:val="22"/>
          <w:vertAlign w:val="superscript"/>
        </w:rPr>
        <w:footnoteReference w:id="13"/>
      </w:r>
      <w:r w:rsidR="00F2164D">
        <w:rPr>
          <w:rFonts w:cs="Calibri Light"/>
          <w:szCs w:val="22"/>
        </w:rPr>
        <w:t xml:space="preserve"> </w:t>
      </w:r>
      <w:r w:rsidR="00CE1A3B">
        <w:rPr>
          <w:rFonts w:cs="Calibri Light"/>
          <w:szCs w:val="22"/>
        </w:rPr>
        <w:t xml:space="preserve">Westpoint operated a complex mezzanine finance investment scheme which </w:t>
      </w:r>
      <w:r w:rsidR="00F2164D">
        <w:rPr>
          <w:rFonts w:cs="Calibri Light"/>
          <w:szCs w:val="22"/>
        </w:rPr>
        <w:t>paid upfront commissions</w:t>
      </w:r>
      <w:r w:rsidR="00CE1A3B">
        <w:rPr>
          <w:rFonts w:cs="Calibri Light"/>
          <w:szCs w:val="22"/>
        </w:rPr>
        <w:t xml:space="preserve"> to attract investors</w:t>
      </w:r>
      <w:r w:rsidR="00203D83">
        <w:rPr>
          <w:rFonts w:cs="Calibri Light"/>
          <w:szCs w:val="22"/>
        </w:rPr>
        <w:t>,</w:t>
      </w:r>
      <w:r w:rsidR="00F17D23">
        <w:rPr>
          <w:rFonts w:cs="Calibri Light"/>
          <w:szCs w:val="22"/>
        </w:rPr>
        <w:t xml:space="preserve"> </w:t>
      </w:r>
      <w:r w:rsidR="00203D83">
        <w:rPr>
          <w:rFonts w:cs="Calibri Light"/>
          <w:szCs w:val="22"/>
        </w:rPr>
        <w:t xml:space="preserve">including to financial advisers, that were </w:t>
      </w:r>
      <w:r w:rsidR="00F17D23">
        <w:rPr>
          <w:rFonts w:cs="Calibri Light"/>
          <w:szCs w:val="22"/>
        </w:rPr>
        <w:t xml:space="preserve">as high </w:t>
      </w:r>
      <w:r w:rsidR="00F17D23">
        <w:rPr>
          <w:rFonts w:cs="Calibri Light"/>
          <w:szCs w:val="22"/>
        </w:rPr>
        <w:lastRenderedPageBreak/>
        <w:t>as 10 per cent</w:t>
      </w:r>
      <w:r w:rsidR="00DE62C6">
        <w:rPr>
          <w:rFonts w:cs="Calibri Light"/>
          <w:szCs w:val="22"/>
        </w:rPr>
        <w:t>.</w:t>
      </w:r>
      <w:r w:rsidR="00203D83" w:rsidRPr="00A55339">
        <w:rPr>
          <w:rStyle w:val="FootnoteReference"/>
          <w:rFonts w:cs="Calibri Light"/>
          <w:szCs w:val="22"/>
          <w:vertAlign w:val="superscript"/>
        </w:rPr>
        <w:footnoteReference w:id="14"/>
      </w:r>
      <w:r w:rsidR="00F2164D" w:rsidRPr="00A55339">
        <w:rPr>
          <w:rFonts w:cs="Calibri Light"/>
          <w:szCs w:val="22"/>
          <w:vertAlign w:val="superscript"/>
        </w:rPr>
        <w:t xml:space="preserve"> </w:t>
      </w:r>
      <w:r w:rsidR="00F2164D">
        <w:rPr>
          <w:rFonts w:cs="Calibri Light"/>
          <w:szCs w:val="22"/>
        </w:rPr>
        <w:t xml:space="preserve">At the time of its collapse in January 2006, Westpoint owed </w:t>
      </w:r>
      <w:r w:rsidR="00F2164D" w:rsidRPr="00F2164D">
        <w:rPr>
          <w:rFonts w:cs="Calibri Light"/>
          <w:szCs w:val="22"/>
        </w:rPr>
        <w:t>$388 million</w:t>
      </w:r>
      <w:r w:rsidR="00D662E0" w:rsidRPr="00884F52">
        <w:rPr>
          <w:rStyle w:val="FootnoteReference"/>
          <w:rFonts w:cs="Calibri Light"/>
          <w:szCs w:val="22"/>
          <w:vertAlign w:val="superscript"/>
        </w:rPr>
        <w:footnoteReference w:id="15"/>
      </w:r>
      <w:r w:rsidR="00884F52" w:rsidRPr="00884F52">
        <w:rPr>
          <w:rFonts w:cs="Calibri Light"/>
          <w:szCs w:val="22"/>
        </w:rPr>
        <w:t xml:space="preserve"> </w:t>
      </w:r>
      <w:r w:rsidR="00F2164D" w:rsidRPr="00884F52">
        <w:rPr>
          <w:rFonts w:cs="Calibri Light"/>
          <w:szCs w:val="22"/>
        </w:rPr>
        <w:t>to</w:t>
      </w:r>
      <w:r w:rsidR="00F2164D">
        <w:rPr>
          <w:rFonts w:cs="Calibri Light"/>
          <w:szCs w:val="22"/>
        </w:rPr>
        <w:t xml:space="preserve"> </w:t>
      </w:r>
      <w:r w:rsidR="00DE62C6">
        <w:rPr>
          <w:rFonts w:cs="Calibri Light"/>
          <w:szCs w:val="22"/>
        </w:rPr>
        <w:t xml:space="preserve">between 3,000 and 4,000 </w:t>
      </w:r>
      <w:r w:rsidR="00F2164D">
        <w:rPr>
          <w:rFonts w:cs="Calibri Light"/>
          <w:szCs w:val="22"/>
        </w:rPr>
        <w:t>investors.</w:t>
      </w:r>
      <w:r w:rsidR="00DE62C6" w:rsidRPr="00A55339">
        <w:rPr>
          <w:rStyle w:val="FootnoteReference"/>
          <w:rFonts w:cs="Calibri Light"/>
          <w:szCs w:val="22"/>
          <w:vertAlign w:val="superscript"/>
        </w:rPr>
        <w:footnoteReference w:id="16"/>
      </w:r>
      <w:r w:rsidR="00F2164D">
        <w:rPr>
          <w:rFonts w:cs="Calibri Light"/>
          <w:szCs w:val="22"/>
        </w:rPr>
        <w:t xml:space="preserve"> </w:t>
      </w:r>
      <w:r w:rsidR="00CE5766">
        <w:rPr>
          <w:rFonts w:cs="Calibri Light"/>
          <w:szCs w:val="22"/>
        </w:rPr>
        <w:t xml:space="preserve">CHOICE also provided the Committee with a range of case studies that illustrated consumer perceptions of the impact of commissions on </w:t>
      </w:r>
      <w:r w:rsidR="00240157">
        <w:rPr>
          <w:rFonts w:cs="Calibri Light"/>
          <w:szCs w:val="22"/>
        </w:rPr>
        <w:t xml:space="preserve">the quality and appropriateness of </w:t>
      </w:r>
      <w:r w:rsidR="00CE5766">
        <w:rPr>
          <w:rFonts w:cs="Calibri Light"/>
          <w:szCs w:val="22"/>
        </w:rPr>
        <w:t>advice received.</w:t>
      </w:r>
      <w:r w:rsidR="00CE5766" w:rsidRPr="00A55339">
        <w:rPr>
          <w:rStyle w:val="FootnoteReference"/>
          <w:rFonts w:cs="Calibri Light"/>
          <w:szCs w:val="22"/>
          <w:vertAlign w:val="superscript"/>
        </w:rPr>
        <w:footnoteReference w:id="17"/>
      </w:r>
      <w:r w:rsidR="00566074" w:rsidRPr="00566074">
        <w:rPr>
          <w:rFonts w:cs="Calibri Light"/>
          <w:szCs w:val="22"/>
        </w:rPr>
        <w:t xml:space="preserve"> </w:t>
      </w:r>
      <w:r w:rsidR="00495CE3">
        <w:rPr>
          <w:rFonts w:cs="Calibri Light"/>
          <w:szCs w:val="22"/>
        </w:rPr>
        <w:t xml:space="preserve">Following consideration of evidence presented, the Committee </w:t>
      </w:r>
      <w:r w:rsidR="003F04CB">
        <w:rPr>
          <w:rFonts w:cs="Calibri Light"/>
          <w:szCs w:val="22"/>
        </w:rPr>
        <w:t>identified that ‘conflicts of interest caused by commission-based remuneration’ were not properly addressed by the existing disclosure and conduct standards.</w:t>
      </w:r>
      <w:r w:rsidR="00D1062A" w:rsidRPr="00A55339">
        <w:rPr>
          <w:rStyle w:val="FootnoteReference"/>
          <w:rFonts w:cs="Calibri Light"/>
          <w:szCs w:val="22"/>
          <w:vertAlign w:val="superscript"/>
        </w:rPr>
        <w:footnoteReference w:id="18"/>
      </w:r>
      <w:r w:rsidR="003F04CB">
        <w:rPr>
          <w:rFonts w:cs="Calibri Light"/>
          <w:szCs w:val="22"/>
        </w:rPr>
        <w:t xml:space="preserve"> </w:t>
      </w:r>
      <w:r w:rsidR="00240157">
        <w:rPr>
          <w:rFonts w:cs="Calibri Light"/>
          <w:szCs w:val="22"/>
        </w:rPr>
        <w:t>Among other outcomes, the PJC Inquiry recommended:</w:t>
      </w:r>
    </w:p>
    <w:p w14:paraId="0C60928A" w14:textId="2D870204" w:rsidR="00240157" w:rsidRDefault="00240157" w:rsidP="00240157">
      <w:pPr>
        <w:pStyle w:val="Bullet"/>
      </w:pPr>
      <w:r>
        <w:t xml:space="preserve">the introduction of a fiduciary duty for financial advisers operating under an AFSL, requiring them to place their clients’ interests ahead of their own, and </w:t>
      </w:r>
    </w:p>
    <w:p w14:paraId="2F652966" w14:textId="1105E7D4" w:rsidR="00240157" w:rsidRDefault="00240157" w:rsidP="00A55339">
      <w:pPr>
        <w:pStyle w:val="Bullet"/>
      </w:pPr>
      <w:r>
        <w:t>that the government consult with an</w:t>
      </w:r>
      <w:r w:rsidR="00822974">
        <w:t xml:space="preserve">d </w:t>
      </w:r>
      <w:r>
        <w:t xml:space="preserve">support industry </w:t>
      </w:r>
      <w:r w:rsidR="00822974">
        <w:t xml:space="preserve">in developing </w:t>
      </w:r>
      <w:r>
        <w:t xml:space="preserve">the most appropriate mechanism to cease payments </w:t>
      </w:r>
      <w:r w:rsidR="006F40C8">
        <w:t>from</w:t>
      </w:r>
      <w:r>
        <w:t xml:space="preserve"> financial product manufacturers to financial advisers (</w:t>
      </w:r>
      <w:r w:rsidR="006F40C8">
        <w:t>commissions).</w:t>
      </w:r>
      <w:r w:rsidR="00822974" w:rsidRPr="00A55339">
        <w:rPr>
          <w:rStyle w:val="FootnoteReference"/>
          <w:vertAlign w:val="superscript"/>
        </w:rPr>
        <w:footnoteReference w:id="19"/>
      </w:r>
    </w:p>
    <w:p w14:paraId="5195D631" w14:textId="2CC3E0E3" w:rsidR="00A6134B" w:rsidRDefault="00394AB1" w:rsidP="00A55339">
      <w:pPr>
        <w:pStyle w:val="Bullet"/>
        <w:numPr>
          <w:ilvl w:val="0"/>
          <w:numId w:val="0"/>
        </w:numPr>
        <w:rPr>
          <w:rFonts w:cs="Calibri Light"/>
          <w:szCs w:val="22"/>
        </w:rPr>
      </w:pPr>
      <w:r>
        <w:rPr>
          <w:rFonts w:cs="Calibri Light"/>
          <w:szCs w:val="22"/>
        </w:rPr>
        <w:t xml:space="preserve">The </w:t>
      </w:r>
      <w:r w:rsidR="00A31B86">
        <w:rPr>
          <w:rFonts w:cs="Calibri Light"/>
          <w:szCs w:val="22"/>
        </w:rPr>
        <w:t xml:space="preserve">2012 Future of Financial Advice (FoFA) reforms, developed in response to the </w:t>
      </w:r>
      <w:r>
        <w:rPr>
          <w:rFonts w:cs="Calibri Light"/>
          <w:szCs w:val="22"/>
        </w:rPr>
        <w:t xml:space="preserve">PJC Inquiry, implemented </w:t>
      </w:r>
      <w:r w:rsidR="00FF319D">
        <w:rPr>
          <w:rFonts w:cs="Calibri Light"/>
          <w:szCs w:val="22"/>
        </w:rPr>
        <w:t xml:space="preserve">an obligation for financial advisers to act in the best interests of their clients </w:t>
      </w:r>
      <w:r w:rsidR="00810948">
        <w:rPr>
          <w:rFonts w:cs="Calibri Light"/>
          <w:szCs w:val="22"/>
        </w:rPr>
        <w:t xml:space="preserve">(‘best interests’ duty) </w:t>
      </w:r>
      <w:r w:rsidR="00FF319D">
        <w:rPr>
          <w:rFonts w:cs="Calibri Light"/>
          <w:szCs w:val="22"/>
        </w:rPr>
        <w:t xml:space="preserve">and </w:t>
      </w:r>
      <w:r>
        <w:rPr>
          <w:rFonts w:cs="Calibri Light"/>
          <w:szCs w:val="22"/>
        </w:rPr>
        <w:t>a prospective ban on a range of conflicted remuneration structures in relation to the distribution of an advice about different retail investment products.</w:t>
      </w:r>
      <w:r w:rsidR="00BA5BB0" w:rsidRPr="001E2B75">
        <w:rPr>
          <w:rStyle w:val="FootnoteReference"/>
          <w:rFonts w:cs="Calibri Light"/>
          <w:szCs w:val="22"/>
          <w:vertAlign w:val="superscript"/>
        </w:rPr>
        <w:footnoteReference w:id="20"/>
      </w:r>
      <w:r w:rsidR="00A73E0C">
        <w:rPr>
          <w:rFonts w:cs="Calibri Light"/>
          <w:szCs w:val="22"/>
        </w:rPr>
        <w:t xml:space="preserve"> </w:t>
      </w:r>
      <w:r w:rsidR="00FF319D">
        <w:rPr>
          <w:rFonts w:cs="Calibri Light"/>
          <w:szCs w:val="22"/>
        </w:rPr>
        <w:t>As per the</w:t>
      </w:r>
      <w:r w:rsidR="00953EE9">
        <w:rPr>
          <w:rFonts w:cs="Calibri Light"/>
          <w:szCs w:val="22"/>
        </w:rPr>
        <w:t xml:space="preserve"> </w:t>
      </w:r>
      <w:r w:rsidR="00953EE9">
        <w:rPr>
          <w:rFonts w:cs="Calibri Light"/>
          <w:i/>
          <w:iCs/>
          <w:szCs w:val="22"/>
        </w:rPr>
        <w:t>Corporations Amendment (Further Future of Financial Advice Measures) Act</w:t>
      </w:r>
      <w:r w:rsidR="005F4FBE">
        <w:rPr>
          <w:rFonts w:cs="Calibri Light"/>
          <w:i/>
          <w:iCs/>
          <w:szCs w:val="22"/>
        </w:rPr>
        <w:t xml:space="preserve"> </w:t>
      </w:r>
      <w:r w:rsidR="00FF319D">
        <w:rPr>
          <w:rFonts w:cs="Calibri Light"/>
          <w:szCs w:val="22"/>
        </w:rPr>
        <w:t>explanatory memorandum, the rationale for these changes was to more closely align the interests of advisers and their clients.</w:t>
      </w:r>
      <w:r w:rsidR="00FF319D" w:rsidRPr="00A55339">
        <w:rPr>
          <w:rStyle w:val="FootnoteReference"/>
          <w:rFonts w:cs="Calibri Light"/>
          <w:szCs w:val="22"/>
          <w:vertAlign w:val="superscript"/>
        </w:rPr>
        <w:footnoteReference w:id="21"/>
      </w:r>
      <w:r w:rsidR="005941E8" w:rsidRPr="00A55339">
        <w:rPr>
          <w:rFonts w:cs="Calibri Light"/>
          <w:szCs w:val="22"/>
          <w:vertAlign w:val="superscript"/>
        </w:rPr>
        <w:t xml:space="preserve"> </w:t>
      </w:r>
    </w:p>
    <w:p w14:paraId="4F741BC6" w14:textId="6A7ABCCC" w:rsidR="00A73E0C" w:rsidRDefault="00E454E6" w:rsidP="00EB5DB5">
      <w:pPr>
        <w:spacing w:after="160" w:line="276" w:lineRule="auto"/>
        <w:rPr>
          <w:rFonts w:cs="Calibri Light"/>
          <w:szCs w:val="22"/>
        </w:rPr>
      </w:pPr>
      <w:r>
        <w:rPr>
          <w:rFonts w:cs="Calibri Light"/>
          <w:szCs w:val="22"/>
        </w:rPr>
        <w:t>S</w:t>
      </w:r>
      <w:r w:rsidR="00A73E0C">
        <w:rPr>
          <w:rFonts w:cs="Calibri Light"/>
          <w:szCs w:val="22"/>
        </w:rPr>
        <w:t xml:space="preserve">tamping fees relating to interests in non-investment entities and infrastructure funds were originally carved out from </w:t>
      </w:r>
      <w:r w:rsidR="005F4FBE">
        <w:rPr>
          <w:rFonts w:cs="Calibri Light"/>
          <w:szCs w:val="22"/>
        </w:rPr>
        <w:t>the</w:t>
      </w:r>
      <w:r w:rsidR="00A73E0C">
        <w:rPr>
          <w:rFonts w:cs="Calibri Light"/>
          <w:szCs w:val="22"/>
        </w:rPr>
        <w:t xml:space="preserve"> ban </w:t>
      </w:r>
      <w:r w:rsidR="005F4FBE">
        <w:rPr>
          <w:rFonts w:cs="Calibri Light"/>
          <w:szCs w:val="22"/>
        </w:rPr>
        <w:t xml:space="preserve">on conflicted remuneration </w:t>
      </w:r>
      <w:r w:rsidR="00A73E0C">
        <w:rPr>
          <w:rFonts w:cs="Calibri Light"/>
          <w:szCs w:val="22"/>
        </w:rPr>
        <w:t>in recognition of their facilitative role in capital raising, ensuring the economic activity of companies in the real economy would not be impacted by the reforms. In 2014, th</w:t>
      </w:r>
      <w:r w:rsidR="008A100D">
        <w:rPr>
          <w:rFonts w:cs="Calibri Light"/>
          <w:szCs w:val="22"/>
        </w:rPr>
        <w:t>is</w:t>
      </w:r>
      <w:r w:rsidR="00A73E0C">
        <w:rPr>
          <w:rFonts w:cs="Calibri Light"/>
          <w:szCs w:val="22"/>
        </w:rPr>
        <w:t xml:space="preserve"> exemption from the ban on conflicted remuneration was expanded to include LICs, LITs, and real estate investment trusts (REITs) on the basis that allowing some entities to pay stamping fees and not others created an inappropriate market distortion. </w:t>
      </w:r>
      <w:bookmarkStart w:id="12" w:name="_Hlk109901010"/>
      <w:r w:rsidR="002D3D28">
        <w:rPr>
          <w:rFonts w:cs="Calibri Light"/>
          <w:szCs w:val="22"/>
        </w:rPr>
        <w:t>Addressing this perceived distortion was the primary driver of that 2014 change, not addressing consumer harm caused by mis-selling.</w:t>
      </w:r>
      <w:r w:rsidR="00622C04">
        <w:rPr>
          <w:rFonts w:cs="Calibri Light"/>
          <w:szCs w:val="22"/>
        </w:rPr>
        <w:t xml:space="preserve"> </w:t>
      </w:r>
      <w:bookmarkEnd w:id="12"/>
    </w:p>
    <w:p w14:paraId="5C82FEAE" w14:textId="77777777" w:rsidR="006D501F" w:rsidRDefault="00E454E6" w:rsidP="006D501F">
      <w:pPr>
        <w:spacing w:after="160" w:line="276" w:lineRule="auto"/>
        <w:rPr>
          <w:rFonts w:cs="Calibri Light"/>
          <w:szCs w:val="22"/>
        </w:rPr>
      </w:pPr>
      <w:r>
        <w:rPr>
          <w:rFonts w:cs="Calibri Light"/>
          <w:szCs w:val="22"/>
        </w:rPr>
        <w:lastRenderedPageBreak/>
        <w:t xml:space="preserve">However, the nature of stamping fees as a form of conflicted remuneration has not changed. </w:t>
      </w:r>
      <w:r w:rsidR="00A15870">
        <w:rPr>
          <w:rFonts w:cs="Calibri Light"/>
          <w:szCs w:val="22"/>
        </w:rPr>
        <w:t xml:space="preserve">The Financial Services Royal Commission identified conflicts </w:t>
      </w:r>
      <w:r w:rsidR="00A15870" w:rsidRPr="00FC7846">
        <w:rPr>
          <w:rFonts w:cs="Calibri Light"/>
          <w:szCs w:val="22"/>
        </w:rPr>
        <w:t>of interest arising from advisers’ remuneration structures and argued that the remaining exemptions to the ban on conflicted remuneration were resulting in poor consumer outcomes.</w:t>
      </w:r>
      <w:r w:rsidR="009825F1" w:rsidRPr="001E2B75">
        <w:rPr>
          <w:rStyle w:val="FootnoteReference"/>
          <w:rFonts w:cs="Calibri Light"/>
          <w:szCs w:val="22"/>
          <w:vertAlign w:val="superscript"/>
        </w:rPr>
        <w:footnoteReference w:id="22"/>
      </w:r>
      <w:r w:rsidR="00A15870" w:rsidRPr="001E2B75">
        <w:rPr>
          <w:rFonts w:cs="Calibri Light"/>
          <w:szCs w:val="22"/>
        </w:rPr>
        <w:t xml:space="preserve"> The </w:t>
      </w:r>
      <w:r w:rsidR="00A15870">
        <w:rPr>
          <w:rFonts w:cs="Calibri Light"/>
          <w:szCs w:val="22"/>
        </w:rPr>
        <w:t>payment of stamping fees to advisers still has the potential</w:t>
      </w:r>
      <w:r w:rsidR="00E22CE1">
        <w:rPr>
          <w:rFonts w:cs="Calibri Light"/>
          <w:szCs w:val="22"/>
        </w:rPr>
        <w:t xml:space="preserve"> to</w:t>
      </w:r>
      <w:r w:rsidR="00A15870">
        <w:rPr>
          <w:rFonts w:cs="Calibri Light"/>
          <w:szCs w:val="22"/>
        </w:rPr>
        <w:t xml:space="preserve"> incentivise recommending consumers invest in LICs and LITs, without appropriate regard to their features and characteristics and without appropriately considering the best interests duty and other legal obligations.</w:t>
      </w:r>
      <w:r w:rsidR="00B52C8B">
        <w:rPr>
          <w:rFonts w:cs="Calibri Light"/>
          <w:szCs w:val="22"/>
        </w:rPr>
        <w:t xml:space="preserve"> As ASIC notes in its</w:t>
      </w:r>
      <w:r w:rsidR="006D501F">
        <w:rPr>
          <w:rFonts w:cs="Calibri Light"/>
          <w:szCs w:val="22"/>
        </w:rPr>
        <w:t xml:space="preserve"> 2020 submission to Treasury on the stamping fee exemption:</w:t>
      </w:r>
    </w:p>
    <w:p w14:paraId="50FD8ADF" w14:textId="5B610EC1" w:rsidR="004F38AE" w:rsidRPr="00A55339" w:rsidRDefault="006D501F" w:rsidP="006D501F">
      <w:pPr>
        <w:spacing w:after="160" w:line="276" w:lineRule="auto"/>
        <w:ind w:left="720"/>
        <w:rPr>
          <w:rFonts w:cs="Calibri Light"/>
          <w:szCs w:val="22"/>
        </w:rPr>
      </w:pPr>
      <w:r w:rsidRPr="00A55339">
        <w:rPr>
          <w:rFonts w:cs="Calibri Light"/>
          <w:i/>
          <w:iCs/>
          <w:szCs w:val="22"/>
        </w:rPr>
        <w:t>Investors of LIC and LIT capital raisings are overwhelmingly retail. The distribution of the products typically occurs under personal or general advice models.</w:t>
      </w:r>
      <w:r w:rsidR="00D1062A" w:rsidRPr="001E2B75">
        <w:rPr>
          <w:rStyle w:val="FootnoteReference"/>
          <w:rFonts w:cs="Calibri Light"/>
          <w:szCs w:val="22"/>
          <w:vertAlign w:val="superscript"/>
        </w:rPr>
        <w:footnoteReference w:id="23"/>
      </w:r>
    </w:p>
    <w:p w14:paraId="0AE41B7B" w14:textId="6A4DF929" w:rsidR="00BF1360" w:rsidRDefault="00974B49" w:rsidP="00EB5DB5">
      <w:pPr>
        <w:spacing w:after="160" w:line="276" w:lineRule="auto"/>
        <w:rPr>
          <w:rFonts w:cs="Calibri Light"/>
          <w:szCs w:val="22"/>
        </w:rPr>
      </w:pPr>
      <w:r>
        <w:rPr>
          <w:rFonts w:cs="Calibri Light"/>
          <w:szCs w:val="22"/>
        </w:rPr>
        <w:t xml:space="preserve">ASIC’s analysis </w:t>
      </w:r>
      <w:r w:rsidR="006F6E2E">
        <w:rPr>
          <w:rFonts w:cs="Calibri Light"/>
          <w:szCs w:val="22"/>
        </w:rPr>
        <w:t xml:space="preserve">in that 2020 submission </w:t>
      </w:r>
      <w:r>
        <w:rPr>
          <w:rFonts w:cs="Calibri Light"/>
          <w:szCs w:val="22"/>
        </w:rPr>
        <w:t>indicated</w:t>
      </w:r>
      <w:r w:rsidR="00BF1360">
        <w:rPr>
          <w:rFonts w:cs="Calibri Light"/>
          <w:szCs w:val="22"/>
        </w:rPr>
        <w:t xml:space="preserve"> that a significant proportion of LICs and LITs trade at a discount to full net tangible asset (NTA) value </w:t>
      </w:r>
      <w:r w:rsidR="006E2D53">
        <w:rPr>
          <w:rFonts w:cs="Calibri Light"/>
          <w:szCs w:val="22"/>
        </w:rPr>
        <w:t>‘</w:t>
      </w:r>
      <w:r w:rsidR="00BF1360">
        <w:rPr>
          <w:rFonts w:cs="Calibri Light"/>
          <w:szCs w:val="22"/>
        </w:rPr>
        <w:t>soon after issuance</w:t>
      </w:r>
      <w:r w:rsidR="006E2D53">
        <w:rPr>
          <w:rFonts w:cs="Calibri Light"/>
          <w:szCs w:val="22"/>
        </w:rPr>
        <w:t>’</w:t>
      </w:r>
      <w:r w:rsidR="00BF1360">
        <w:rPr>
          <w:rFonts w:cs="Calibri Light"/>
          <w:szCs w:val="22"/>
        </w:rPr>
        <w:t>.</w:t>
      </w:r>
      <w:r w:rsidR="00887553" w:rsidRPr="00A55339">
        <w:rPr>
          <w:rStyle w:val="FootnoteReference"/>
          <w:rFonts w:cs="Calibri Light"/>
          <w:szCs w:val="22"/>
          <w:vertAlign w:val="superscript"/>
        </w:rPr>
        <w:footnoteReference w:id="24"/>
      </w:r>
      <w:r w:rsidR="00BF1360" w:rsidRPr="00A55339">
        <w:rPr>
          <w:rFonts w:cs="Calibri Light"/>
          <w:szCs w:val="22"/>
          <w:vertAlign w:val="superscript"/>
        </w:rPr>
        <w:t xml:space="preserve"> </w:t>
      </w:r>
      <w:bookmarkStart w:id="13" w:name="_Hlk109903490"/>
      <w:r w:rsidRPr="00750B0F">
        <w:rPr>
          <w:rFonts w:cs="Calibri Light"/>
          <w:szCs w:val="22"/>
        </w:rPr>
        <w:t xml:space="preserve">Treasury analysis of ASX data </w:t>
      </w:r>
      <w:r w:rsidR="00251641" w:rsidRPr="00750B0F">
        <w:rPr>
          <w:rFonts w:cs="Calibri Light"/>
          <w:szCs w:val="22"/>
        </w:rPr>
        <w:t xml:space="preserve">on new admissions </w:t>
      </w:r>
      <w:r w:rsidR="003E7D34" w:rsidRPr="00750B0F">
        <w:rPr>
          <w:rFonts w:cs="Calibri Light"/>
          <w:szCs w:val="22"/>
        </w:rPr>
        <w:t xml:space="preserve">between </w:t>
      </w:r>
      <w:r w:rsidRPr="00750B0F">
        <w:rPr>
          <w:rFonts w:cs="Calibri Light"/>
          <w:szCs w:val="22"/>
        </w:rPr>
        <w:t>January 2017 and June</w:t>
      </w:r>
      <w:r w:rsidR="00251641" w:rsidRPr="00750B0F">
        <w:rPr>
          <w:rFonts w:cs="Calibri Light"/>
          <w:szCs w:val="22"/>
        </w:rPr>
        <w:t xml:space="preserve"> 202</w:t>
      </w:r>
      <w:r w:rsidR="003A4955" w:rsidRPr="00750B0F">
        <w:rPr>
          <w:rFonts w:cs="Calibri Light"/>
          <w:szCs w:val="22"/>
        </w:rPr>
        <w:t>0</w:t>
      </w:r>
      <w:r w:rsidRPr="00750B0F">
        <w:rPr>
          <w:rFonts w:cs="Calibri Light"/>
          <w:szCs w:val="22"/>
        </w:rPr>
        <w:t xml:space="preserve"> </w:t>
      </w:r>
      <w:r w:rsidR="00710047">
        <w:rPr>
          <w:rFonts w:cs="Calibri Light"/>
          <w:szCs w:val="22"/>
        </w:rPr>
        <w:t xml:space="preserve">(prior to the extension of the ban on stamping fees) </w:t>
      </w:r>
      <w:r w:rsidRPr="00750B0F">
        <w:rPr>
          <w:rFonts w:cs="Calibri Light"/>
          <w:szCs w:val="22"/>
        </w:rPr>
        <w:t xml:space="preserve">found that </w:t>
      </w:r>
      <w:r w:rsidR="00840E19" w:rsidRPr="00750B0F">
        <w:rPr>
          <w:rFonts w:cs="Calibri Light"/>
          <w:szCs w:val="22"/>
        </w:rPr>
        <w:t>2</w:t>
      </w:r>
      <w:r w:rsidR="003A4955" w:rsidRPr="00750B0F">
        <w:rPr>
          <w:rFonts w:cs="Calibri Light"/>
          <w:szCs w:val="22"/>
        </w:rPr>
        <w:t>3</w:t>
      </w:r>
      <w:r w:rsidRPr="00750B0F">
        <w:rPr>
          <w:rFonts w:cs="Calibri Light"/>
          <w:szCs w:val="22"/>
        </w:rPr>
        <w:t xml:space="preserve"> of </w:t>
      </w:r>
      <w:r w:rsidR="003A4955" w:rsidRPr="00750B0F">
        <w:rPr>
          <w:rFonts w:cs="Calibri Light"/>
          <w:szCs w:val="22"/>
        </w:rPr>
        <w:t>29</w:t>
      </w:r>
      <w:r w:rsidRPr="00750B0F">
        <w:rPr>
          <w:rFonts w:cs="Calibri Light"/>
          <w:szCs w:val="22"/>
        </w:rPr>
        <w:t xml:space="preserve"> new</w:t>
      </w:r>
      <w:r w:rsidR="00251641" w:rsidRPr="00750B0F">
        <w:rPr>
          <w:rFonts w:cs="Calibri Light"/>
          <w:szCs w:val="22"/>
        </w:rPr>
        <w:t>ly</w:t>
      </w:r>
      <w:r w:rsidRPr="00750B0F">
        <w:rPr>
          <w:rFonts w:cs="Calibri Light"/>
          <w:szCs w:val="22"/>
        </w:rPr>
        <w:t xml:space="preserve"> admi</w:t>
      </w:r>
      <w:r w:rsidR="00251641" w:rsidRPr="00750B0F">
        <w:rPr>
          <w:rFonts w:cs="Calibri Light"/>
          <w:szCs w:val="22"/>
        </w:rPr>
        <w:t>tted LICs and LITs</w:t>
      </w:r>
      <w:r w:rsidR="006F6E2E" w:rsidRPr="00750B0F">
        <w:rPr>
          <w:rStyle w:val="FootnoteReference"/>
          <w:rFonts w:cs="Calibri Light"/>
          <w:szCs w:val="22"/>
          <w:vertAlign w:val="superscript"/>
        </w:rPr>
        <w:footnoteReference w:id="25"/>
      </w:r>
      <w:r w:rsidRPr="00750B0F">
        <w:rPr>
          <w:rFonts w:cs="Calibri Light"/>
          <w:szCs w:val="22"/>
          <w:vertAlign w:val="superscript"/>
        </w:rPr>
        <w:t xml:space="preserve"> </w:t>
      </w:r>
      <w:r w:rsidR="00402064" w:rsidRPr="00750B0F">
        <w:rPr>
          <w:rFonts w:cs="Calibri Light"/>
          <w:szCs w:val="22"/>
        </w:rPr>
        <w:t>(</w:t>
      </w:r>
      <w:r w:rsidR="00580B1E" w:rsidRPr="00750B0F">
        <w:rPr>
          <w:rFonts w:cs="Calibri Light"/>
          <w:szCs w:val="22"/>
        </w:rPr>
        <w:t>more than 79</w:t>
      </w:r>
      <w:r w:rsidR="00402064" w:rsidRPr="00750B0F">
        <w:rPr>
          <w:rFonts w:cs="Calibri Light"/>
          <w:szCs w:val="22"/>
        </w:rPr>
        <w:t xml:space="preserve"> per cent) t</w:t>
      </w:r>
      <w:r w:rsidRPr="00750B0F">
        <w:rPr>
          <w:rFonts w:cs="Calibri Light"/>
          <w:szCs w:val="22"/>
        </w:rPr>
        <w:t>raded at a discount to NTA within six months</w:t>
      </w:r>
      <w:r w:rsidR="006E2D53" w:rsidRPr="00750B0F">
        <w:rPr>
          <w:rStyle w:val="FootnoteReference"/>
          <w:rFonts w:cs="Calibri Light"/>
          <w:szCs w:val="22"/>
          <w:vertAlign w:val="superscript"/>
        </w:rPr>
        <w:footnoteReference w:id="26"/>
      </w:r>
      <w:r w:rsidRPr="00750B0F">
        <w:rPr>
          <w:rFonts w:cs="Calibri Light"/>
          <w:szCs w:val="22"/>
          <w:vertAlign w:val="superscript"/>
        </w:rPr>
        <w:t xml:space="preserve"> </w:t>
      </w:r>
      <w:r w:rsidRPr="00750B0F">
        <w:rPr>
          <w:rFonts w:cs="Calibri Light"/>
          <w:szCs w:val="22"/>
        </w:rPr>
        <w:t>of listing</w:t>
      </w:r>
      <w:r w:rsidR="00251641" w:rsidRPr="00750B0F">
        <w:rPr>
          <w:rFonts w:cs="Calibri Light"/>
          <w:szCs w:val="22"/>
        </w:rPr>
        <w:t>.</w:t>
      </w:r>
      <w:r w:rsidR="00251641" w:rsidRPr="00750B0F">
        <w:rPr>
          <w:rStyle w:val="FootnoteReference"/>
          <w:rFonts w:cs="Calibri Light"/>
          <w:szCs w:val="22"/>
          <w:vertAlign w:val="superscript"/>
        </w:rPr>
        <w:footnoteReference w:id="27"/>
      </w:r>
      <w:r w:rsidR="00251641">
        <w:rPr>
          <w:rFonts w:cs="Calibri Light"/>
          <w:szCs w:val="22"/>
        </w:rPr>
        <w:t xml:space="preserve"> </w:t>
      </w:r>
      <w:bookmarkEnd w:id="13"/>
      <w:r w:rsidR="00A55339">
        <w:rPr>
          <w:rFonts w:cs="Calibri Light"/>
          <w:szCs w:val="22"/>
        </w:rPr>
        <w:t xml:space="preserve">This </w:t>
      </w:r>
      <w:r w:rsidR="00BF1360">
        <w:rPr>
          <w:rFonts w:cs="Calibri Light"/>
          <w:szCs w:val="22"/>
        </w:rPr>
        <w:t>represents a real and calculable loss to investors who seek to exit their LIC or LIT investment. The continued issuing of LICs and LITs despite the ongoing discount to NTA indicated the potential for stamping fees to drive mis-selling on a financial incentive basis.</w:t>
      </w:r>
      <w:r w:rsidR="00041883">
        <w:rPr>
          <w:rFonts w:cs="Calibri Light"/>
          <w:szCs w:val="22"/>
        </w:rPr>
        <w:t xml:space="preserve"> </w:t>
      </w:r>
      <w:r w:rsidR="00E02C1C">
        <w:rPr>
          <w:rFonts w:cs="Calibri Light"/>
          <w:szCs w:val="22"/>
        </w:rPr>
        <w:t>Further, there also appears to be an inverse relationship between the quantum of stamping fees and LIC and LIT performance. ASIC analysis found that the LICs and LITs that paid lower (less than 1.5 per cent) or no stamping fees performed better than those paying higher stamping fees (above 1.5 per cent).</w:t>
      </w:r>
      <w:r w:rsidR="00887553" w:rsidRPr="00A55339">
        <w:rPr>
          <w:rStyle w:val="FootnoteReference"/>
          <w:rFonts w:cs="Calibri Light"/>
          <w:szCs w:val="22"/>
          <w:vertAlign w:val="superscript"/>
        </w:rPr>
        <w:footnoteReference w:id="28"/>
      </w:r>
      <w:r w:rsidR="00E02C1C">
        <w:rPr>
          <w:rFonts w:cs="Calibri Light"/>
          <w:szCs w:val="22"/>
        </w:rPr>
        <w:t xml:space="preserve"> </w:t>
      </w:r>
      <w:r w:rsidR="00041883">
        <w:rPr>
          <w:rFonts w:cs="Calibri Light"/>
          <w:szCs w:val="22"/>
        </w:rPr>
        <w:t xml:space="preserve">Stamping fees are ad valorem, which </w:t>
      </w:r>
      <w:r w:rsidR="00944E37">
        <w:rPr>
          <w:rFonts w:cs="Calibri Light"/>
          <w:szCs w:val="22"/>
        </w:rPr>
        <w:t>further</w:t>
      </w:r>
      <w:r w:rsidR="00041883">
        <w:rPr>
          <w:rFonts w:cs="Calibri Light"/>
          <w:szCs w:val="22"/>
        </w:rPr>
        <w:t xml:space="preserve"> incentivises advisers to maximise the number of clients</w:t>
      </w:r>
      <w:r w:rsidR="00F354F6">
        <w:rPr>
          <w:rFonts w:cs="Calibri Light"/>
          <w:szCs w:val="22"/>
        </w:rPr>
        <w:t xml:space="preserve"> buying</w:t>
      </w:r>
      <w:r w:rsidR="00041883">
        <w:rPr>
          <w:rFonts w:cs="Calibri Light"/>
          <w:szCs w:val="22"/>
        </w:rPr>
        <w:t xml:space="preserve"> and the amount invested</w:t>
      </w:r>
      <w:r w:rsidR="00F354F6">
        <w:rPr>
          <w:rFonts w:cs="Calibri Light"/>
          <w:szCs w:val="22"/>
        </w:rPr>
        <w:t xml:space="preserve"> in LICs and LITs</w:t>
      </w:r>
      <w:r w:rsidR="00041883">
        <w:rPr>
          <w:rFonts w:cs="Calibri Light"/>
          <w:szCs w:val="22"/>
        </w:rPr>
        <w:t>.</w:t>
      </w:r>
      <w:r w:rsidR="00691D95">
        <w:rPr>
          <w:rFonts w:cs="Calibri Light"/>
          <w:szCs w:val="22"/>
        </w:rPr>
        <w:t xml:space="preserve"> </w:t>
      </w:r>
    </w:p>
    <w:p w14:paraId="29C565E1" w14:textId="250A75C8" w:rsidR="004F38AE" w:rsidRDefault="00A15870" w:rsidP="00EB5DB5">
      <w:pPr>
        <w:spacing w:after="160" w:line="276" w:lineRule="auto"/>
        <w:rPr>
          <w:rFonts w:cs="Calibri Light"/>
          <w:szCs w:val="22"/>
        </w:rPr>
      </w:pPr>
      <w:r>
        <w:rPr>
          <w:rFonts w:cs="Calibri Light"/>
          <w:szCs w:val="22"/>
        </w:rPr>
        <w:t>Secondary to the</w:t>
      </w:r>
      <w:r w:rsidR="007934C5">
        <w:rPr>
          <w:rFonts w:cs="Calibri Light"/>
          <w:szCs w:val="22"/>
        </w:rPr>
        <w:t xml:space="preserve"> issue of</w:t>
      </w:r>
      <w:r>
        <w:rPr>
          <w:rFonts w:cs="Calibri Light"/>
          <w:szCs w:val="22"/>
        </w:rPr>
        <w:t xml:space="preserve"> conflicted remuneration, stamping fees </w:t>
      </w:r>
      <w:r w:rsidR="004F38AE" w:rsidRPr="00FC7846">
        <w:rPr>
          <w:rFonts w:cs="Calibri Light"/>
          <w:szCs w:val="22"/>
        </w:rPr>
        <w:t>also create a distortion in the funds management market that puts financial advice firms that use fees-for-service models at a competitive disadvantage. Firms not receiving stamping fees compet</w:t>
      </w:r>
      <w:r>
        <w:rPr>
          <w:rFonts w:cs="Calibri Light"/>
          <w:szCs w:val="22"/>
        </w:rPr>
        <w:t xml:space="preserve">e </w:t>
      </w:r>
      <w:r w:rsidR="004F38AE" w:rsidRPr="00FC7846">
        <w:rPr>
          <w:rFonts w:cs="Calibri Light"/>
          <w:szCs w:val="22"/>
        </w:rPr>
        <w:t xml:space="preserve">against firms that can offer discounted pricing by supplementing revenue through stamping fee earnings. Investment products such as </w:t>
      </w:r>
      <w:r>
        <w:rPr>
          <w:rFonts w:cs="Calibri Light"/>
          <w:szCs w:val="22"/>
        </w:rPr>
        <w:t>ETFs</w:t>
      </w:r>
      <w:r w:rsidR="004F38AE" w:rsidRPr="00FC7846">
        <w:rPr>
          <w:rFonts w:cs="Calibri Light"/>
          <w:szCs w:val="22"/>
        </w:rPr>
        <w:t xml:space="preserve">, </w:t>
      </w:r>
      <w:r w:rsidR="004F38AE" w:rsidRPr="00FC7846">
        <w:rPr>
          <w:rFonts w:cs="Calibri Light"/>
          <w:szCs w:val="22"/>
        </w:rPr>
        <w:lastRenderedPageBreak/>
        <w:t xml:space="preserve">exchange traded products and managed funds </w:t>
      </w:r>
      <w:r>
        <w:rPr>
          <w:rFonts w:cs="Calibri Light"/>
          <w:szCs w:val="22"/>
        </w:rPr>
        <w:t>are</w:t>
      </w:r>
      <w:r w:rsidR="004F38AE" w:rsidRPr="00FC7846">
        <w:rPr>
          <w:rFonts w:cs="Calibri Light"/>
          <w:szCs w:val="22"/>
        </w:rPr>
        <w:t xml:space="preserve"> likewise disadvantaged by their inability </w:t>
      </w:r>
      <w:r w:rsidR="00E22CE1">
        <w:rPr>
          <w:rFonts w:cs="Calibri Light"/>
          <w:szCs w:val="22"/>
        </w:rPr>
        <w:t xml:space="preserve">to </w:t>
      </w:r>
      <w:r w:rsidR="004F38AE" w:rsidRPr="00FC7846">
        <w:rPr>
          <w:rFonts w:cs="Calibri Light"/>
          <w:szCs w:val="22"/>
        </w:rPr>
        <w:t>pay stamping fees</w:t>
      </w:r>
      <w:r>
        <w:rPr>
          <w:rFonts w:cs="Calibri Light"/>
          <w:szCs w:val="22"/>
        </w:rPr>
        <w:t xml:space="preserve"> to reach retail investor networks</w:t>
      </w:r>
      <w:r w:rsidR="004F38AE" w:rsidRPr="00FC7846">
        <w:rPr>
          <w:rFonts w:cs="Calibri Light"/>
          <w:szCs w:val="22"/>
        </w:rPr>
        <w:t xml:space="preserve">. </w:t>
      </w:r>
      <w:bookmarkStart w:id="16" w:name="_bookmark3"/>
      <w:bookmarkEnd w:id="16"/>
    </w:p>
    <w:p w14:paraId="5789BFB4" w14:textId="000D1871" w:rsidR="007934C5" w:rsidRPr="00FC7846" w:rsidRDefault="007934C5" w:rsidP="00EB5DB5">
      <w:pPr>
        <w:spacing w:after="160" w:line="276" w:lineRule="auto"/>
        <w:rPr>
          <w:rFonts w:cs="Calibri Light"/>
          <w:szCs w:val="22"/>
        </w:rPr>
      </w:pPr>
      <w:r>
        <w:rPr>
          <w:rFonts w:cs="Calibri Light"/>
          <w:szCs w:val="22"/>
        </w:rPr>
        <w:t xml:space="preserve">These </w:t>
      </w:r>
      <w:r w:rsidR="007D342A">
        <w:rPr>
          <w:rFonts w:cs="Calibri Light"/>
          <w:szCs w:val="22"/>
        </w:rPr>
        <w:t xml:space="preserve">problems </w:t>
      </w:r>
      <w:r w:rsidR="00A648E3">
        <w:rPr>
          <w:rFonts w:cs="Calibri Light"/>
          <w:szCs w:val="22"/>
        </w:rPr>
        <w:t>were</w:t>
      </w:r>
      <w:r w:rsidR="007D342A">
        <w:rPr>
          <w:rFonts w:cs="Calibri Light"/>
          <w:szCs w:val="22"/>
        </w:rPr>
        <w:t xml:space="preserve"> a result of the</w:t>
      </w:r>
      <w:r>
        <w:rPr>
          <w:rFonts w:cs="Calibri Light"/>
          <w:szCs w:val="22"/>
        </w:rPr>
        <w:t xml:space="preserve"> 2014 decision to expand the exemption from the ban on conflicted remuneration to LIC and LIT stamping fees.</w:t>
      </w:r>
      <w:r w:rsidR="00BB5EE3">
        <w:rPr>
          <w:rFonts w:cs="Calibri Light"/>
          <w:szCs w:val="22"/>
        </w:rPr>
        <w:t xml:space="preserve"> </w:t>
      </w:r>
      <w:r w:rsidR="006E488A">
        <w:rPr>
          <w:rFonts w:cs="Calibri Light"/>
          <w:szCs w:val="22"/>
        </w:rPr>
        <w:t xml:space="preserve">Based on the nature and history of the issue described above, and the factors driving the need for government intervention discussed in the following section, </w:t>
      </w:r>
      <w:r w:rsidR="00BB5EE3">
        <w:rPr>
          <w:rFonts w:cs="Calibri Light"/>
          <w:szCs w:val="22"/>
        </w:rPr>
        <w:t>Treasury is confident that these issues would re</w:t>
      </w:r>
      <w:r w:rsidR="00E22CE1">
        <w:rPr>
          <w:rFonts w:cs="Calibri Light"/>
          <w:szCs w:val="22"/>
        </w:rPr>
        <w:noBreakHyphen/>
      </w:r>
      <w:r w:rsidR="00BB5EE3">
        <w:rPr>
          <w:rFonts w:cs="Calibri Light"/>
          <w:szCs w:val="22"/>
        </w:rPr>
        <w:t>emerge if the regulation was to be repealed.</w:t>
      </w:r>
    </w:p>
    <w:p w14:paraId="527490CC" w14:textId="4D8D3C1C" w:rsidR="002E72F1" w:rsidRDefault="002E72F1" w:rsidP="00EB1118">
      <w:pPr>
        <w:pStyle w:val="Heading2"/>
        <w:spacing w:before="240" w:after="240"/>
      </w:pPr>
      <w:bookmarkStart w:id="17" w:name="_Toc109905914"/>
      <w:r>
        <w:t>Why was government action needed?</w:t>
      </w:r>
      <w:bookmarkEnd w:id="17"/>
    </w:p>
    <w:p w14:paraId="2ACD99DA" w14:textId="1AFE4D99" w:rsidR="00810948" w:rsidRDefault="003351E9" w:rsidP="00EB5DB5">
      <w:pPr>
        <w:pStyle w:val="BodyText"/>
        <w:spacing w:before="44" w:after="240" w:line="276" w:lineRule="auto"/>
        <w:ind w:left="0"/>
        <w:rPr>
          <w:rFonts w:ascii="Calibri Light" w:hAnsi="Calibri Light" w:cs="Calibri Light"/>
          <w:spacing w:val="-1"/>
        </w:rPr>
      </w:pPr>
      <w:r>
        <w:rPr>
          <w:rFonts w:ascii="Calibri Light" w:hAnsi="Calibri Light" w:cs="Calibri Light"/>
          <w:spacing w:val="-1"/>
        </w:rPr>
        <w:t>Regulation</w:t>
      </w:r>
      <w:r w:rsidR="00E87E63">
        <w:rPr>
          <w:rFonts w:ascii="Calibri Light" w:hAnsi="Calibri Light" w:cs="Calibri Light"/>
          <w:spacing w:val="-1"/>
        </w:rPr>
        <w:t xml:space="preserve"> has long played a role in the removal of conflicted remuneration practi</w:t>
      </w:r>
      <w:r w:rsidR="00AE4F80">
        <w:rPr>
          <w:rFonts w:ascii="Calibri Light" w:hAnsi="Calibri Light" w:cs="Calibri Light"/>
          <w:spacing w:val="-1"/>
        </w:rPr>
        <w:t>ces from the financial services industry, including the 2019 removal of grandfathering arrangements for particular commissions. In general, industries and actors that benefit from the payment or receipt of conflicted remuneration are unlikely to take independent action to remove such practices</w:t>
      </w:r>
      <w:r w:rsidR="00AD7D88">
        <w:rPr>
          <w:rFonts w:ascii="Calibri Light" w:hAnsi="Calibri Light" w:cs="Calibri Light"/>
          <w:spacing w:val="-1"/>
        </w:rPr>
        <w:t xml:space="preserve"> due to inherent financial interest</w:t>
      </w:r>
      <w:r w:rsidR="00AE4F80">
        <w:rPr>
          <w:rFonts w:ascii="Calibri Light" w:hAnsi="Calibri Light" w:cs="Calibri Light"/>
          <w:spacing w:val="-1"/>
        </w:rPr>
        <w:t>.</w:t>
      </w:r>
    </w:p>
    <w:p w14:paraId="08237F04" w14:textId="0E831129" w:rsidR="00FD20CD" w:rsidRDefault="00810948" w:rsidP="003351E9">
      <w:pPr>
        <w:pStyle w:val="BodyText"/>
        <w:spacing w:before="44" w:after="120" w:line="276" w:lineRule="auto"/>
        <w:ind w:left="0"/>
        <w:rPr>
          <w:rFonts w:ascii="Calibri Light" w:hAnsi="Calibri Light" w:cs="Calibri Light"/>
          <w:spacing w:val="-1"/>
        </w:rPr>
      </w:pPr>
      <w:r>
        <w:rPr>
          <w:rFonts w:ascii="Calibri Light" w:hAnsi="Calibri Light" w:cs="Calibri Light"/>
          <w:spacing w:val="-1"/>
        </w:rPr>
        <w:t xml:space="preserve">While the 2012 FoFA reforms introduced a ‘best interests’ </w:t>
      </w:r>
      <w:r w:rsidR="00FD20CD">
        <w:rPr>
          <w:rFonts w:ascii="Calibri Light" w:hAnsi="Calibri Light" w:cs="Calibri Light"/>
          <w:spacing w:val="-1"/>
        </w:rPr>
        <w:t>duty</w:t>
      </w:r>
      <w:r>
        <w:rPr>
          <w:rFonts w:ascii="Calibri Light" w:hAnsi="Calibri Light" w:cs="Calibri Light"/>
          <w:spacing w:val="-1"/>
        </w:rPr>
        <w:t xml:space="preserve"> for financial advisers, </w:t>
      </w:r>
      <w:r w:rsidR="00D7112F">
        <w:rPr>
          <w:rFonts w:ascii="Calibri Light" w:hAnsi="Calibri Light" w:cs="Calibri Light"/>
          <w:spacing w:val="-1"/>
        </w:rPr>
        <w:t xml:space="preserve">evidence presented to </w:t>
      </w:r>
      <w:r>
        <w:rPr>
          <w:rFonts w:ascii="Calibri Light" w:hAnsi="Calibri Light" w:cs="Calibri Light"/>
          <w:spacing w:val="-1"/>
        </w:rPr>
        <w:t xml:space="preserve">the Financial Services Royal Commission </w:t>
      </w:r>
      <w:r w:rsidR="00D7112F">
        <w:rPr>
          <w:rFonts w:ascii="Calibri Light" w:hAnsi="Calibri Light" w:cs="Calibri Light"/>
          <w:spacing w:val="-1"/>
        </w:rPr>
        <w:t xml:space="preserve">demonstrated that </w:t>
      </w:r>
      <w:r>
        <w:rPr>
          <w:rFonts w:ascii="Calibri Light" w:hAnsi="Calibri Light" w:cs="Calibri Light"/>
          <w:spacing w:val="-1"/>
        </w:rPr>
        <w:t xml:space="preserve">this was not sufficient to mitigate conflicts of interest in the presence of a competing financial incentive. </w:t>
      </w:r>
      <w:r w:rsidR="00D7112F">
        <w:rPr>
          <w:rFonts w:ascii="Calibri Light" w:hAnsi="Calibri Light" w:cs="Calibri Light"/>
          <w:spacing w:val="-1"/>
        </w:rPr>
        <w:t>In 2018, ASIC conducted an examination of Australia’s largest banking and financial services institution</w:t>
      </w:r>
      <w:r w:rsidR="00AB7C23">
        <w:rPr>
          <w:rFonts w:ascii="Calibri Light" w:hAnsi="Calibri Light" w:cs="Calibri Light"/>
          <w:spacing w:val="-1"/>
        </w:rPr>
        <w:t>s. In 75 per cent of the customer files reviewed as part of this examination the adviser did not demonstrate compliance with the best interests duty.</w:t>
      </w:r>
      <w:r w:rsidR="00AB7C23" w:rsidRPr="00A55339">
        <w:rPr>
          <w:rStyle w:val="FootnoteReference"/>
          <w:rFonts w:ascii="Calibri Light" w:hAnsi="Calibri Light" w:cs="Calibri Light"/>
          <w:spacing w:val="-1"/>
          <w:vertAlign w:val="superscript"/>
        </w:rPr>
        <w:footnoteReference w:id="29"/>
      </w:r>
      <w:r w:rsidR="00AB7C23">
        <w:rPr>
          <w:rFonts w:ascii="Calibri Light" w:hAnsi="Calibri Light" w:cs="Calibri Light"/>
          <w:spacing w:val="-1"/>
        </w:rPr>
        <w:t xml:space="preserve"> In 10 per cent of these non-compliant cases, ASIC </w:t>
      </w:r>
      <w:r w:rsidR="002B531E">
        <w:rPr>
          <w:rFonts w:ascii="Calibri Light" w:hAnsi="Calibri Light" w:cs="Calibri Light"/>
          <w:spacing w:val="-1"/>
        </w:rPr>
        <w:t>assessed that customers were like to be ‘significantly worse</w:t>
      </w:r>
      <w:r w:rsidR="00532687">
        <w:rPr>
          <w:rFonts w:ascii="Calibri Light" w:hAnsi="Calibri Light" w:cs="Calibri Light"/>
          <w:spacing w:val="-1"/>
        </w:rPr>
        <w:t xml:space="preserve"> </w:t>
      </w:r>
      <w:r w:rsidR="002B531E">
        <w:rPr>
          <w:rFonts w:ascii="Calibri Light" w:hAnsi="Calibri Light" w:cs="Calibri Light"/>
          <w:spacing w:val="-1"/>
        </w:rPr>
        <w:t>off as a result of following the advice’.</w:t>
      </w:r>
      <w:r w:rsidR="002B531E" w:rsidRPr="00A55339">
        <w:rPr>
          <w:rStyle w:val="FootnoteReference"/>
          <w:rFonts w:ascii="Calibri Light" w:hAnsi="Calibri Light" w:cs="Calibri Light"/>
          <w:spacing w:val="-1"/>
          <w:vertAlign w:val="superscript"/>
        </w:rPr>
        <w:footnoteReference w:id="30"/>
      </w:r>
      <w:r w:rsidR="00A55339" w:rsidRPr="001E2B75">
        <w:rPr>
          <w:rFonts w:ascii="Calibri Light" w:hAnsi="Calibri Light" w:cs="Calibri Light"/>
          <w:spacing w:val="-1"/>
        </w:rPr>
        <w:t xml:space="preserve"> </w:t>
      </w:r>
      <w:r w:rsidR="002B531E" w:rsidRPr="001E2B75">
        <w:rPr>
          <w:rFonts w:ascii="Calibri Light" w:hAnsi="Calibri Light" w:cs="Calibri Light"/>
          <w:spacing w:val="-1"/>
        </w:rPr>
        <w:t>In</w:t>
      </w:r>
      <w:r w:rsidR="002B531E">
        <w:rPr>
          <w:rFonts w:ascii="Calibri Light" w:hAnsi="Calibri Light" w:cs="Calibri Light"/>
          <w:spacing w:val="-1"/>
        </w:rPr>
        <w:t xml:space="preserve"> his report, </w:t>
      </w:r>
      <w:r w:rsidR="00FD20CD">
        <w:rPr>
          <w:rFonts w:ascii="Calibri Light" w:hAnsi="Calibri Light" w:cs="Calibri Light"/>
          <w:spacing w:val="-1"/>
        </w:rPr>
        <w:t xml:space="preserve">Commissioner Hayne </w:t>
      </w:r>
      <w:r w:rsidR="002B531E">
        <w:rPr>
          <w:rFonts w:ascii="Calibri Light" w:hAnsi="Calibri Light" w:cs="Calibri Light"/>
          <w:spacing w:val="-1"/>
        </w:rPr>
        <w:t>concluded</w:t>
      </w:r>
      <w:r w:rsidR="00FD20CD">
        <w:rPr>
          <w:rFonts w:ascii="Calibri Light" w:hAnsi="Calibri Light" w:cs="Calibri Light"/>
          <w:spacing w:val="-1"/>
        </w:rPr>
        <w:t>:</w:t>
      </w:r>
    </w:p>
    <w:p w14:paraId="180B563C" w14:textId="314990C3" w:rsidR="00E87E63" w:rsidRPr="0033166F" w:rsidRDefault="00FD20CD" w:rsidP="00A55339">
      <w:pPr>
        <w:pStyle w:val="BodyText"/>
        <w:spacing w:before="44" w:after="240" w:line="276" w:lineRule="auto"/>
        <w:ind w:left="720"/>
        <w:rPr>
          <w:rFonts w:ascii="Calibri Light" w:hAnsi="Calibri Light" w:cs="Calibri Light"/>
          <w:spacing w:val="-1"/>
        </w:rPr>
      </w:pPr>
      <w:r w:rsidRPr="00A55339">
        <w:rPr>
          <w:rFonts w:ascii="Calibri Light" w:hAnsi="Calibri Light" w:cs="Calibri Light"/>
          <w:i/>
          <w:iCs/>
          <w:spacing w:val="-1"/>
        </w:rPr>
        <w:t xml:space="preserve">[t]he interests of client, intermediary </w:t>
      </w:r>
      <w:r w:rsidRPr="001E2B75">
        <w:rPr>
          <w:rFonts w:ascii="Calibri Light" w:hAnsi="Calibri Light" w:cs="Calibri Light"/>
          <w:spacing w:val="-1"/>
        </w:rPr>
        <w:t xml:space="preserve">[e.g. AFS licensee or their representative] </w:t>
      </w:r>
      <w:r w:rsidRPr="00A55339">
        <w:rPr>
          <w:rFonts w:ascii="Calibri Light" w:hAnsi="Calibri Light" w:cs="Calibri Light"/>
          <w:i/>
          <w:iCs/>
          <w:spacing w:val="-1"/>
        </w:rPr>
        <w:t>and provider of a product or service are not only different, they are opposed. An intermediary who seeks to ‘stand in more than one canoe’ cannot.  Duty (to client) and (self) interest pull in opposite directions</w:t>
      </w:r>
      <w:r w:rsidR="00513870">
        <w:rPr>
          <w:rFonts w:ascii="Calibri Light" w:hAnsi="Calibri Light" w:cs="Calibri Light"/>
          <w:i/>
          <w:iCs/>
          <w:spacing w:val="-1"/>
        </w:rPr>
        <w:t>…experience shows that conflicts between duty and interest can seldom be managed; self-interest will almost always trump duty.</w:t>
      </w:r>
      <w:r w:rsidR="002B531E">
        <w:rPr>
          <w:rFonts w:ascii="Calibri Light" w:hAnsi="Calibri Light" w:cs="Calibri Light"/>
          <w:i/>
          <w:iCs/>
          <w:spacing w:val="-1"/>
        </w:rPr>
        <w:t xml:space="preserve"> </w:t>
      </w:r>
      <w:r w:rsidR="002B531E" w:rsidRPr="002B531E">
        <w:rPr>
          <w:rFonts w:ascii="Calibri Light" w:hAnsi="Calibri Light" w:cs="Calibri Light"/>
          <w:i/>
          <w:iCs/>
          <w:spacing w:val="-1"/>
        </w:rPr>
        <w:t>The evidence given to the Commission showed how those who were acting for a client too often resolved conflicts between duty to the client, and the interests of the entity, adviser or intermediary, in favour of the interests of the entity, adviser or intermediary and against the interests of the client.</w:t>
      </w:r>
      <w:r w:rsidR="0033166F" w:rsidRPr="00A55339">
        <w:rPr>
          <w:rStyle w:val="FootnoteReference"/>
          <w:rFonts w:ascii="Calibri Light" w:hAnsi="Calibri Light" w:cs="Calibri Light"/>
          <w:spacing w:val="-1"/>
          <w:vertAlign w:val="superscript"/>
        </w:rPr>
        <w:footnoteReference w:id="31"/>
      </w:r>
    </w:p>
    <w:p w14:paraId="2B3ACD3C" w14:textId="0267A9BC" w:rsidR="00AE4F80" w:rsidRDefault="00AE4F80" w:rsidP="00B13E47">
      <w:pPr>
        <w:pStyle w:val="BodyText"/>
        <w:spacing w:before="44" w:after="240" w:line="276" w:lineRule="auto"/>
        <w:ind w:left="0"/>
        <w:rPr>
          <w:rFonts w:ascii="Calibri Light" w:hAnsi="Calibri Light" w:cs="Calibri Light"/>
          <w:spacing w:val="-1"/>
        </w:rPr>
      </w:pPr>
      <w:r>
        <w:rPr>
          <w:rFonts w:ascii="Calibri Light" w:hAnsi="Calibri Light" w:cs="Calibri Light"/>
          <w:spacing w:val="-1"/>
        </w:rPr>
        <w:t>In the case of stamping fees, in the absence of government action, the payment of this conflicted remuneration was expected to continue</w:t>
      </w:r>
      <w:r w:rsidR="00C43781">
        <w:rPr>
          <w:rFonts w:ascii="Calibri Light" w:hAnsi="Calibri Light" w:cs="Calibri Light"/>
          <w:spacing w:val="-1"/>
        </w:rPr>
        <w:t xml:space="preserve"> and potentially compromise the quality of advice provided to </w:t>
      </w:r>
      <w:r w:rsidR="00C43781">
        <w:rPr>
          <w:rFonts w:ascii="Calibri Light" w:hAnsi="Calibri Light" w:cs="Calibri Light"/>
          <w:spacing w:val="-1"/>
        </w:rPr>
        <w:lastRenderedPageBreak/>
        <w:t>consumers</w:t>
      </w:r>
      <w:r>
        <w:rPr>
          <w:rFonts w:ascii="Calibri Light" w:hAnsi="Calibri Light" w:cs="Calibri Light"/>
          <w:spacing w:val="-1"/>
        </w:rPr>
        <w:t>. LIC and LIT issuers and distributors opposed, and continue to oppose, the extension of the ban</w:t>
      </w:r>
      <w:r w:rsidR="00AD7D88">
        <w:rPr>
          <w:rFonts w:ascii="Calibri Light" w:hAnsi="Calibri Light" w:cs="Calibri Light"/>
          <w:spacing w:val="-1"/>
        </w:rPr>
        <w:t xml:space="preserve"> on conflicted remuneration</w:t>
      </w:r>
      <w:r>
        <w:rPr>
          <w:rFonts w:ascii="Calibri Light" w:hAnsi="Calibri Light" w:cs="Calibri Light"/>
          <w:spacing w:val="-1"/>
        </w:rPr>
        <w:t xml:space="preserve"> to stamping fees.</w:t>
      </w:r>
      <w:r w:rsidR="00AD7D88">
        <w:rPr>
          <w:rFonts w:ascii="Calibri Light" w:hAnsi="Calibri Light" w:cs="Calibri Light"/>
          <w:spacing w:val="-1"/>
        </w:rPr>
        <w:t xml:space="preserve"> Similarly, AFS licensees and their representatives would have little incentive to reject receipt of stamping fees while the exemption persisted. While </w:t>
      </w:r>
      <w:r w:rsidR="00F47172">
        <w:rPr>
          <w:rFonts w:ascii="Calibri Light" w:hAnsi="Calibri Light" w:cs="Calibri Light"/>
          <w:spacing w:val="-1"/>
        </w:rPr>
        <w:t xml:space="preserve">prior to the ban on most forms of conflicted remuneration, </w:t>
      </w:r>
      <w:r w:rsidR="00AD7D88">
        <w:rPr>
          <w:rFonts w:ascii="Calibri Light" w:hAnsi="Calibri Light" w:cs="Calibri Light"/>
          <w:spacing w:val="-1"/>
        </w:rPr>
        <w:t>some</w:t>
      </w:r>
      <w:r w:rsidR="00787CCC">
        <w:rPr>
          <w:rFonts w:ascii="Calibri Light" w:hAnsi="Calibri Light" w:cs="Calibri Light"/>
          <w:spacing w:val="-1"/>
        </w:rPr>
        <w:t xml:space="preserve"> </w:t>
      </w:r>
      <w:r w:rsidR="00AD7D88">
        <w:rPr>
          <w:rFonts w:ascii="Calibri Light" w:hAnsi="Calibri Light" w:cs="Calibri Light"/>
          <w:spacing w:val="-1"/>
        </w:rPr>
        <w:t xml:space="preserve">financial advice firms </w:t>
      </w:r>
      <w:r w:rsidR="00F47172">
        <w:rPr>
          <w:rFonts w:ascii="Calibri Light" w:hAnsi="Calibri Light" w:cs="Calibri Light"/>
          <w:spacing w:val="-1"/>
        </w:rPr>
        <w:t xml:space="preserve">had </w:t>
      </w:r>
      <w:r w:rsidR="00AD7D88">
        <w:rPr>
          <w:rFonts w:ascii="Calibri Light" w:hAnsi="Calibri Light" w:cs="Calibri Light"/>
          <w:spacing w:val="-1"/>
        </w:rPr>
        <w:t>a general policy of not accepting commissions</w:t>
      </w:r>
      <w:r w:rsidR="00787CCC">
        <w:rPr>
          <w:rFonts w:ascii="Calibri Light" w:hAnsi="Calibri Light" w:cs="Calibri Light"/>
          <w:spacing w:val="-1"/>
        </w:rPr>
        <w:t xml:space="preserve"> and </w:t>
      </w:r>
      <w:r w:rsidR="00F47172">
        <w:rPr>
          <w:rFonts w:ascii="Calibri Light" w:hAnsi="Calibri Light" w:cs="Calibri Light"/>
          <w:spacing w:val="-1"/>
        </w:rPr>
        <w:t xml:space="preserve">instead </w:t>
      </w:r>
      <w:r w:rsidR="00787CCC">
        <w:rPr>
          <w:rFonts w:ascii="Calibri Light" w:hAnsi="Calibri Light" w:cs="Calibri Light"/>
          <w:spacing w:val="-1"/>
        </w:rPr>
        <w:t>operate</w:t>
      </w:r>
      <w:r w:rsidR="00F47172">
        <w:rPr>
          <w:rFonts w:ascii="Calibri Light" w:hAnsi="Calibri Light" w:cs="Calibri Light"/>
          <w:spacing w:val="-1"/>
        </w:rPr>
        <w:t>d</w:t>
      </w:r>
      <w:r w:rsidR="00787CCC">
        <w:rPr>
          <w:rFonts w:ascii="Calibri Light" w:hAnsi="Calibri Light" w:cs="Calibri Light"/>
          <w:spacing w:val="-1"/>
        </w:rPr>
        <w:t xml:space="preserve"> a fee-for-service model</w:t>
      </w:r>
      <w:r w:rsidR="00AD7D88">
        <w:rPr>
          <w:rFonts w:ascii="Calibri Light" w:hAnsi="Calibri Light" w:cs="Calibri Light"/>
          <w:spacing w:val="-1"/>
        </w:rPr>
        <w:t xml:space="preserve">, this </w:t>
      </w:r>
      <w:r w:rsidR="00D565D0">
        <w:rPr>
          <w:rFonts w:ascii="Calibri Light" w:hAnsi="Calibri Light" w:cs="Calibri Light"/>
          <w:spacing w:val="-1"/>
        </w:rPr>
        <w:t xml:space="preserve">was </w:t>
      </w:r>
      <w:r w:rsidR="00AD7D88">
        <w:rPr>
          <w:rFonts w:ascii="Calibri Light" w:hAnsi="Calibri Light" w:cs="Calibri Light"/>
          <w:spacing w:val="-1"/>
        </w:rPr>
        <w:t>not the industry norm</w:t>
      </w:r>
      <w:r w:rsidR="00ED62B0">
        <w:rPr>
          <w:rFonts w:ascii="Calibri Light" w:hAnsi="Calibri Light" w:cs="Calibri Light"/>
          <w:spacing w:val="-1"/>
        </w:rPr>
        <w:t xml:space="preserve"> without </w:t>
      </w:r>
      <w:r w:rsidR="0071075D">
        <w:rPr>
          <w:rFonts w:ascii="Calibri Light" w:hAnsi="Calibri Light" w:cs="Calibri Light"/>
          <w:spacing w:val="-1"/>
        </w:rPr>
        <w:t>g</w:t>
      </w:r>
      <w:r w:rsidR="00ED62B0">
        <w:rPr>
          <w:rFonts w:ascii="Calibri Light" w:hAnsi="Calibri Light" w:cs="Calibri Light"/>
          <w:spacing w:val="-1"/>
        </w:rPr>
        <w:t>overnment intervention</w:t>
      </w:r>
      <w:r w:rsidR="00AD7D88">
        <w:rPr>
          <w:rFonts w:ascii="Calibri Light" w:hAnsi="Calibri Light" w:cs="Calibri Light"/>
          <w:spacing w:val="-1"/>
        </w:rPr>
        <w:t>.</w:t>
      </w:r>
      <w:r w:rsidR="00F47172">
        <w:rPr>
          <w:rFonts w:ascii="Calibri Light" w:hAnsi="Calibri Light" w:cs="Calibri Light"/>
          <w:spacing w:val="-1"/>
        </w:rPr>
        <w:t xml:space="preserve"> For example, in ASIC’s 2011 </w:t>
      </w:r>
      <w:r w:rsidR="00477191">
        <w:rPr>
          <w:rFonts w:ascii="Calibri Light" w:hAnsi="Calibri Light" w:cs="Calibri Light"/>
          <w:spacing w:val="-1"/>
        </w:rPr>
        <w:t>S</w:t>
      </w:r>
      <w:r w:rsidR="00F47172">
        <w:rPr>
          <w:rFonts w:ascii="Calibri Light" w:hAnsi="Calibri Light" w:cs="Calibri Light"/>
          <w:spacing w:val="-1"/>
        </w:rPr>
        <w:t xml:space="preserve">hadow </w:t>
      </w:r>
      <w:r w:rsidR="00477191">
        <w:rPr>
          <w:rFonts w:ascii="Calibri Light" w:hAnsi="Calibri Light" w:cs="Calibri Light"/>
          <w:spacing w:val="-1"/>
        </w:rPr>
        <w:t>S</w:t>
      </w:r>
      <w:r w:rsidR="00F47172">
        <w:rPr>
          <w:rFonts w:ascii="Calibri Light" w:hAnsi="Calibri Light" w:cs="Calibri Light"/>
          <w:spacing w:val="-1"/>
        </w:rPr>
        <w:t>hopping exercise</w:t>
      </w:r>
      <w:r w:rsidR="00B13E47">
        <w:rPr>
          <w:rFonts w:ascii="Calibri Light" w:hAnsi="Calibri Light" w:cs="Calibri Light"/>
          <w:spacing w:val="-1"/>
        </w:rPr>
        <w:t xml:space="preserve">, </w:t>
      </w:r>
      <w:r w:rsidR="00C473F6">
        <w:rPr>
          <w:rFonts w:ascii="Calibri Light" w:hAnsi="Calibri Light" w:cs="Calibri Light"/>
          <w:spacing w:val="-1"/>
        </w:rPr>
        <w:br/>
      </w:r>
      <w:r w:rsidR="00B13E47">
        <w:rPr>
          <w:rFonts w:ascii="Calibri Light" w:hAnsi="Calibri Light" w:cs="Calibri Light"/>
          <w:spacing w:val="-1"/>
        </w:rPr>
        <w:t xml:space="preserve">78 per cent of the advice examples examined advice </w:t>
      </w:r>
      <w:r w:rsidR="00DC2AF2">
        <w:rPr>
          <w:rFonts w:ascii="Calibri Light" w:hAnsi="Calibri Light" w:cs="Calibri Light"/>
          <w:spacing w:val="-1"/>
        </w:rPr>
        <w:t>were</w:t>
      </w:r>
      <w:r w:rsidR="00B13E47">
        <w:rPr>
          <w:rFonts w:ascii="Calibri Light" w:hAnsi="Calibri Light" w:cs="Calibri Light"/>
          <w:spacing w:val="-1"/>
        </w:rPr>
        <w:t xml:space="preserve"> delivered under a remuneration model that included commissions </w:t>
      </w:r>
      <w:r w:rsidR="00B13E47" w:rsidRPr="00B13E47">
        <w:rPr>
          <w:rFonts w:ascii="Calibri Light" w:hAnsi="Calibri Light" w:cs="Calibri Light"/>
          <w:spacing w:val="-1"/>
        </w:rPr>
        <w:t>or fees that were based on a percentage of the client‘s assets or investments under advice</w:t>
      </w:r>
      <w:r w:rsidR="00B13E47">
        <w:rPr>
          <w:rFonts w:ascii="Calibri Light" w:hAnsi="Calibri Light" w:cs="Calibri Light"/>
          <w:spacing w:val="-1"/>
        </w:rPr>
        <w:t>.</w:t>
      </w:r>
      <w:r w:rsidR="00DC2AF2" w:rsidRPr="00A55339">
        <w:rPr>
          <w:rStyle w:val="FootnoteReference"/>
          <w:rFonts w:ascii="Calibri Light" w:hAnsi="Calibri Light" w:cs="Calibri Light"/>
          <w:spacing w:val="-1"/>
          <w:vertAlign w:val="superscript"/>
        </w:rPr>
        <w:footnoteReference w:id="32"/>
      </w:r>
      <w:r w:rsidR="00B13E47" w:rsidRPr="00A55339">
        <w:rPr>
          <w:rFonts w:ascii="Calibri Light" w:hAnsi="Calibri Light" w:cs="Calibri Light"/>
          <w:spacing w:val="-1"/>
          <w:vertAlign w:val="superscript"/>
        </w:rPr>
        <w:t xml:space="preserve"> </w:t>
      </w:r>
    </w:p>
    <w:p w14:paraId="1B72D85A" w14:textId="30F91935" w:rsidR="00874571" w:rsidRDefault="00874571" w:rsidP="003351E9">
      <w:pPr>
        <w:pStyle w:val="BodyText"/>
        <w:spacing w:before="44" w:after="120" w:line="276" w:lineRule="auto"/>
        <w:ind w:left="0"/>
        <w:rPr>
          <w:rFonts w:ascii="Calibri Light" w:hAnsi="Calibri Light" w:cs="Calibri Light"/>
          <w:spacing w:val="-1"/>
        </w:rPr>
      </w:pPr>
      <w:r>
        <w:rPr>
          <w:rFonts w:ascii="Calibri Light" w:hAnsi="Calibri Light" w:cs="Calibri Light"/>
          <w:spacing w:val="-1"/>
        </w:rPr>
        <w:t xml:space="preserve">The exemption of stamping fees from the ban on conflicted remuneration </w:t>
      </w:r>
      <w:r w:rsidR="00787CCC">
        <w:rPr>
          <w:rFonts w:ascii="Calibri Light" w:hAnsi="Calibri Light" w:cs="Calibri Light"/>
          <w:spacing w:val="-1"/>
        </w:rPr>
        <w:t>was</w:t>
      </w:r>
      <w:r>
        <w:rPr>
          <w:rFonts w:ascii="Calibri Light" w:hAnsi="Calibri Light" w:cs="Calibri Light"/>
          <w:spacing w:val="-1"/>
        </w:rPr>
        <w:t xml:space="preserve"> provided under law, meaning that government intervention was necessary to</w:t>
      </w:r>
      <w:r w:rsidR="00787CCC">
        <w:rPr>
          <w:rFonts w:ascii="Calibri Light" w:hAnsi="Calibri Light" w:cs="Calibri Light"/>
          <w:spacing w:val="-1"/>
        </w:rPr>
        <w:t xml:space="preserve"> remove this exemption. Removing the exemption for this form of conflicted remuneration was required to protect consumer interests and </w:t>
      </w:r>
      <w:r w:rsidR="00FE5C77">
        <w:rPr>
          <w:rFonts w:ascii="Calibri Light" w:hAnsi="Calibri Light" w:cs="Calibri Light"/>
          <w:spacing w:val="-1"/>
        </w:rPr>
        <w:t xml:space="preserve">reduce </w:t>
      </w:r>
      <w:r w:rsidR="00787CCC">
        <w:rPr>
          <w:rFonts w:ascii="Calibri Light" w:hAnsi="Calibri Light" w:cs="Calibri Light"/>
          <w:spacing w:val="-1"/>
        </w:rPr>
        <w:t>potential harm from conflicted advice, and level the playing field between participants in the funds management industry.</w:t>
      </w:r>
      <w:r w:rsidR="00A949D0">
        <w:rPr>
          <w:rFonts w:ascii="Calibri Light" w:hAnsi="Calibri Light" w:cs="Calibri Light"/>
          <w:spacing w:val="-1"/>
        </w:rPr>
        <w:t xml:space="preserve"> The Explanatory Memorandum to the </w:t>
      </w:r>
      <w:r w:rsidR="00FD1A01" w:rsidRPr="00FD1A01">
        <w:rPr>
          <w:rFonts w:ascii="Calibri Light" w:hAnsi="Calibri Light" w:cs="Calibri Light"/>
          <w:i/>
          <w:iCs/>
          <w:spacing w:val="-1"/>
        </w:rPr>
        <w:t>Corporations Amendment (Stamping Fee Exemption) Regulations 2020</w:t>
      </w:r>
      <w:r w:rsidR="00E043B8">
        <w:rPr>
          <w:rFonts w:ascii="Calibri Light" w:hAnsi="Calibri Light" w:cs="Calibri Light"/>
          <w:i/>
          <w:iCs/>
          <w:spacing w:val="-1"/>
        </w:rPr>
        <w:t xml:space="preserve"> </w:t>
      </w:r>
      <w:r w:rsidR="00E043B8">
        <w:rPr>
          <w:rFonts w:ascii="Calibri Light" w:hAnsi="Calibri Light" w:cs="Calibri Light"/>
          <w:spacing w:val="-1"/>
        </w:rPr>
        <w:t>(Stamping Fee Exemption Regulations)</w:t>
      </w:r>
      <w:r w:rsidR="00FD1A01">
        <w:rPr>
          <w:rFonts w:ascii="Calibri Light" w:hAnsi="Calibri Light" w:cs="Calibri Light"/>
          <w:i/>
          <w:iCs/>
          <w:spacing w:val="-1"/>
        </w:rPr>
        <w:t xml:space="preserve"> </w:t>
      </w:r>
      <w:r w:rsidR="00FD1A01">
        <w:rPr>
          <w:rFonts w:ascii="Calibri Light" w:hAnsi="Calibri Light" w:cs="Calibri Light"/>
          <w:spacing w:val="-1"/>
        </w:rPr>
        <w:t>summarises this neatly as:</w:t>
      </w:r>
    </w:p>
    <w:p w14:paraId="049F03A8" w14:textId="3965BEB1" w:rsidR="00FD1A01" w:rsidRPr="001E2B75" w:rsidRDefault="00FD1A01" w:rsidP="003351E9">
      <w:pPr>
        <w:pStyle w:val="BodyText"/>
        <w:spacing w:before="44" w:after="160" w:line="276" w:lineRule="auto"/>
        <w:ind w:left="720"/>
        <w:rPr>
          <w:i/>
          <w:iCs/>
          <w:color w:val="000000"/>
        </w:rPr>
      </w:pPr>
      <w:r w:rsidRPr="001E2B75">
        <w:rPr>
          <w:rFonts w:ascii="Calibri Light" w:hAnsi="Calibri Light" w:cs="Calibri Light"/>
          <w:i/>
          <w:iCs/>
          <w:color w:val="000000"/>
        </w:rPr>
        <w:t xml:space="preserve">The purpose of </w:t>
      </w:r>
      <w:r w:rsidRPr="001E2B75">
        <w:rPr>
          <w:rFonts w:ascii="Calibri Light" w:hAnsi="Calibri Light" w:cs="Calibri Light"/>
          <w:color w:val="000000"/>
        </w:rPr>
        <w:t>[the Regulations]</w:t>
      </w:r>
      <w:r w:rsidRPr="001E2B75">
        <w:rPr>
          <w:rFonts w:ascii="Calibri Light" w:hAnsi="Calibri Light" w:cs="Calibri Light"/>
          <w:i/>
          <w:iCs/>
          <w:color w:val="000000"/>
        </w:rPr>
        <w:t xml:space="preserve"> is to prohibit the payment or receipt of stamping fees paid in respect of listed investment companies or listed investment trusts. This removes the incentive for financial services licensees or their representatives to mis-sell products to retail clients in order to increase their remuneration, resulting in poor consumer outcomes. It also ensures that licensees using fees for services models are not at a competitive disadvantage vis a vis licensees that receive stamping fees</w:t>
      </w:r>
      <w:r w:rsidRPr="001E2B75">
        <w:rPr>
          <w:i/>
          <w:iCs/>
          <w:color w:val="000000"/>
        </w:rPr>
        <w:t>.</w:t>
      </w:r>
    </w:p>
    <w:p w14:paraId="2E225BF4" w14:textId="456E0612" w:rsidR="00691D95" w:rsidRDefault="00691D95" w:rsidP="00EB5DB5">
      <w:pPr>
        <w:pStyle w:val="BodyText"/>
        <w:spacing w:before="44" w:after="240" w:line="276" w:lineRule="auto"/>
        <w:rPr>
          <w:rFonts w:ascii="Calibri Light" w:hAnsi="Calibri Light" w:cs="Calibri Light"/>
          <w:color w:val="000000"/>
        </w:rPr>
      </w:pPr>
      <w:bookmarkStart w:id="20" w:name="_Hlk109901129"/>
      <w:r w:rsidRPr="00691D95">
        <w:rPr>
          <w:rFonts w:ascii="Calibri Light" w:hAnsi="Calibri Light" w:cs="Calibri Light"/>
          <w:color w:val="000000"/>
        </w:rPr>
        <w:t xml:space="preserve">The need to appropriately protect consumers was considered </w:t>
      </w:r>
      <w:r w:rsidR="000E662F">
        <w:rPr>
          <w:rFonts w:ascii="Calibri Light" w:hAnsi="Calibri Light" w:cs="Calibri Light"/>
          <w:color w:val="000000"/>
        </w:rPr>
        <w:t xml:space="preserve">by the previous government </w:t>
      </w:r>
      <w:r w:rsidRPr="00691D95">
        <w:rPr>
          <w:rFonts w:ascii="Calibri Light" w:hAnsi="Calibri Light" w:cs="Calibri Light"/>
          <w:color w:val="000000"/>
        </w:rPr>
        <w:t>to be of greater importance</w:t>
      </w:r>
      <w:r>
        <w:rPr>
          <w:rFonts w:ascii="Calibri Light" w:hAnsi="Calibri Light" w:cs="Calibri Light"/>
          <w:color w:val="000000"/>
        </w:rPr>
        <w:t xml:space="preserve"> than ensuring parity in </w:t>
      </w:r>
      <w:r w:rsidR="000E662F">
        <w:rPr>
          <w:rFonts w:ascii="Calibri Light" w:hAnsi="Calibri Light" w:cs="Calibri Light"/>
          <w:color w:val="000000"/>
        </w:rPr>
        <w:t xml:space="preserve">capital raising and </w:t>
      </w:r>
      <w:r>
        <w:rPr>
          <w:rFonts w:ascii="Calibri Light" w:hAnsi="Calibri Light" w:cs="Calibri Light"/>
          <w:color w:val="000000"/>
        </w:rPr>
        <w:t>remuneration models between different types of listed investment entities</w:t>
      </w:r>
      <w:r w:rsidR="002D3D28">
        <w:rPr>
          <w:rFonts w:ascii="Calibri Light" w:hAnsi="Calibri Light" w:cs="Calibri Light"/>
          <w:color w:val="000000"/>
        </w:rPr>
        <w:t>, which had underpinned the 2014 decision to extend the exemption to the ban on stamping fees</w:t>
      </w:r>
      <w:r>
        <w:rPr>
          <w:rFonts w:ascii="Calibri Light" w:hAnsi="Calibri Light" w:cs="Calibri Light"/>
          <w:color w:val="000000"/>
        </w:rPr>
        <w:t>.</w:t>
      </w:r>
    </w:p>
    <w:bookmarkEnd w:id="20"/>
    <w:p w14:paraId="3DA89DF2" w14:textId="191DFA91" w:rsidR="005105F8" w:rsidRDefault="005105F8" w:rsidP="00EB5DB5">
      <w:pPr>
        <w:pStyle w:val="BodyText"/>
        <w:spacing w:before="44" w:after="240" w:line="276" w:lineRule="auto"/>
        <w:rPr>
          <w:rFonts w:ascii="Calibri Light" w:hAnsi="Calibri Light" w:cs="Calibri Light"/>
          <w:color w:val="000000"/>
        </w:rPr>
      </w:pPr>
      <w:r w:rsidRPr="005105F8">
        <w:rPr>
          <w:rFonts w:ascii="Calibri Light" w:hAnsi="Calibri Light" w:cs="Calibri Light"/>
          <w:color w:val="000000"/>
        </w:rPr>
        <w:t xml:space="preserve">A contemporary media release from then-Treasurer the Hon Josh Frydenberg MP </w:t>
      </w:r>
      <w:r w:rsidR="00CF1028">
        <w:rPr>
          <w:rFonts w:ascii="Calibri Light" w:hAnsi="Calibri Light" w:cs="Calibri Light"/>
          <w:color w:val="000000"/>
        </w:rPr>
        <w:t>explained government action as addressing risks associated with the potential mis-selling of LICs and LITs and improving competition settings in the funds management industry. In this media release, the then</w:t>
      </w:r>
      <w:r w:rsidR="00ED62B0">
        <w:rPr>
          <w:rFonts w:ascii="Calibri Light" w:hAnsi="Calibri Light" w:cs="Calibri Light"/>
          <w:color w:val="000000"/>
        </w:rPr>
        <w:noBreakHyphen/>
      </w:r>
      <w:r w:rsidR="00CF1028">
        <w:rPr>
          <w:rFonts w:ascii="Calibri Light" w:hAnsi="Calibri Light" w:cs="Calibri Light"/>
          <w:color w:val="000000"/>
        </w:rPr>
        <w:t xml:space="preserve">Treasurer </w:t>
      </w:r>
      <w:r>
        <w:rPr>
          <w:rFonts w:ascii="Calibri Light" w:hAnsi="Calibri Light" w:cs="Calibri Light"/>
          <w:color w:val="000000"/>
        </w:rPr>
        <w:t>also considered government intervention to be beneficial in providing clarity and long-term certainty to the industry and consumers, ensuring that:</w:t>
      </w:r>
    </w:p>
    <w:p w14:paraId="0B7D6906" w14:textId="3F7E220D" w:rsidR="005105F8" w:rsidRPr="005105F8" w:rsidRDefault="005105F8" w:rsidP="00EB5DB5">
      <w:pPr>
        <w:pStyle w:val="BodyText"/>
        <w:spacing w:before="44" w:after="240" w:line="276" w:lineRule="auto"/>
        <w:ind w:left="720"/>
        <w:rPr>
          <w:rFonts w:ascii="Calibri Light" w:hAnsi="Calibri Light" w:cs="Calibri Light"/>
          <w:color w:val="000000"/>
        </w:rPr>
      </w:pPr>
      <w:r w:rsidRPr="002151E0">
        <w:rPr>
          <w:rFonts w:ascii="Calibri Light" w:hAnsi="Calibri Light" w:cs="Calibri Light"/>
          <w:i/>
          <w:iCs/>
          <w:color w:val="000000"/>
        </w:rPr>
        <w:t>…</w:t>
      </w:r>
      <w:r w:rsidRPr="002151E0">
        <w:rPr>
          <w:i/>
          <w:iCs/>
        </w:rPr>
        <w:t xml:space="preserve"> </w:t>
      </w:r>
      <w:r w:rsidRPr="002151E0">
        <w:rPr>
          <w:rFonts w:ascii="Calibri Light" w:hAnsi="Calibri Light" w:cs="Calibri Light"/>
          <w:i/>
          <w:iCs/>
          <w:color w:val="000000"/>
        </w:rPr>
        <w:t xml:space="preserve">stockbrokers, financial advisers and investment managers are clear about the regulatory settings that will apply in this area and investors can continue to invest with confidence in </w:t>
      </w:r>
      <w:r w:rsidRPr="002151E0">
        <w:rPr>
          <w:rFonts w:ascii="Calibri Light" w:hAnsi="Calibri Light" w:cs="Calibri Light"/>
          <w:i/>
          <w:iCs/>
          <w:color w:val="000000"/>
        </w:rPr>
        <w:lastRenderedPageBreak/>
        <w:t>these products</w:t>
      </w:r>
      <w:r w:rsidRPr="005105F8">
        <w:rPr>
          <w:rFonts w:ascii="Calibri Light" w:hAnsi="Calibri Light" w:cs="Calibri Light"/>
          <w:color w:val="000000"/>
        </w:rPr>
        <w:t>.</w:t>
      </w:r>
      <w:r w:rsidR="00F679E5" w:rsidRPr="00A55339">
        <w:rPr>
          <w:rStyle w:val="FootnoteReference"/>
          <w:rFonts w:ascii="Calibri Light" w:hAnsi="Calibri Light" w:cs="Calibri Light"/>
          <w:color w:val="000000"/>
          <w:vertAlign w:val="superscript"/>
        </w:rPr>
        <w:footnoteReference w:id="33"/>
      </w:r>
    </w:p>
    <w:p w14:paraId="41071687" w14:textId="4796EAA0" w:rsidR="00617CD2" w:rsidRPr="005105F8" w:rsidRDefault="00617CD2" w:rsidP="00A55339">
      <w:pPr>
        <w:spacing w:before="0" w:after="160" w:line="259" w:lineRule="auto"/>
        <w:rPr>
          <w:rFonts w:cs="Calibri Light"/>
          <w:color w:val="000000"/>
        </w:rPr>
      </w:pPr>
      <w:r>
        <w:rPr>
          <w:rFonts w:cs="Calibri Light"/>
          <w:color w:val="000000"/>
        </w:rPr>
        <w:t xml:space="preserve">Drawing on </w:t>
      </w:r>
      <w:r w:rsidR="000A4DF0">
        <w:rPr>
          <w:rFonts w:cs="Calibri Light"/>
          <w:color w:val="000000"/>
        </w:rPr>
        <w:t xml:space="preserve">domestic and </w:t>
      </w:r>
      <w:r>
        <w:rPr>
          <w:rFonts w:cs="Calibri Light"/>
          <w:color w:val="000000"/>
        </w:rPr>
        <w:t xml:space="preserve">international </w:t>
      </w:r>
      <w:r w:rsidR="000A4DF0">
        <w:rPr>
          <w:rFonts w:cs="Calibri Light"/>
          <w:color w:val="000000"/>
        </w:rPr>
        <w:t>evidence</w:t>
      </w:r>
      <w:r>
        <w:rPr>
          <w:rFonts w:cs="Calibri Light"/>
          <w:color w:val="000000"/>
        </w:rPr>
        <w:t>, government intervention was not expected to substantially undermine the</w:t>
      </w:r>
      <w:r w:rsidR="008F329A">
        <w:rPr>
          <w:rFonts w:cs="Calibri Light"/>
          <w:color w:val="000000"/>
        </w:rPr>
        <w:t xml:space="preserve"> viability of</w:t>
      </w:r>
      <w:r w:rsidR="000B50C1">
        <w:rPr>
          <w:rFonts w:cs="Calibri Light"/>
          <w:color w:val="000000"/>
        </w:rPr>
        <w:t xml:space="preserve"> the</w:t>
      </w:r>
      <w:r>
        <w:rPr>
          <w:rFonts w:cs="Calibri Light"/>
          <w:color w:val="000000"/>
        </w:rPr>
        <w:t xml:space="preserve"> LIC and LIT industry. </w:t>
      </w:r>
      <w:r w:rsidR="000A4DF0" w:rsidRPr="003C5838">
        <w:t>Between 1 July 2013 and 11</w:t>
      </w:r>
      <w:r w:rsidR="00094354">
        <w:t> </w:t>
      </w:r>
      <w:r w:rsidR="000A4DF0" w:rsidRPr="003C5838">
        <w:t>December 2014, the stamping fee exemption did not apply to LICs, LITs and REITs. Based on a review of transactions from publicly available ASX reports and an examination of product disclosure statements and prospectuses during that time, industry moved to adopting a more transparent client directed payment approach.</w:t>
      </w:r>
      <w:r w:rsidR="00CB7967" w:rsidRPr="00A55339">
        <w:rPr>
          <w:rStyle w:val="FootnoteReference"/>
          <w:vertAlign w:val="superscript"/>
        </w:rPr>
        <w:footnoteReference w:id="34"/>
      </w:r>
      <w:r w:rsidR="000A4DF0" w:rsidRPr="00854D24">
        <w:t xml:space="preserve"> </w:t>
      </w:r>
      <w:r w:rsidR="000A4DF0" w:rsidRPr="003C5838">
        <w:t>During this 18-month period, Treasury identified 22 investment entity listings (of which three were LICs, nine were REITs) suggesting that capital raising by these entities had</w:t>
      </w:r>
      <w:r w:rsidR="00094354">
        <w:t xml:space="preserve"> </w:t>
      </w:r>
      <w:r w:rsidR="000A4DF0" w:rsidRPr="003C5838">
        <w:t>n</w:t>
      </w:r>
      <w:r w:rsidR="00094354">
        <w:t>o</w:t>
      </w:r>
      <w:r w:rsidR="000A4DF0" w:rsidRPr="003C5838">
        <w:t>t been difficult without the exemption.</w:t>
      </w:r>
      <w:r w:rsidR="00CB7967" w:rsidRPr="00A55339">
        <w:rPr>
          <w:rStyle w:val="FootnoteReference"/>
          <w:vertAlign w:val="superscript"/>
        </w:rPr>
        <w:footnoteReference w:id="35"/>
      </w:r>
      <w:r w:rsidR="000A4DF0" w:rsidRPr="003C5838">
        <w:t xml:space="preserve"> However, REITs were impacted by the reduced participation of retail investors as the sector was heavily reliant on broker channels and the payment of stamping fees to distribute the product.</w:t>
      </w:r>
      <w:r w:rsidR="00CB7967" w:rsidRPr="00A55339">
        <w:rPr>
          <w:rStyle w:val="FootnoteReference"/>
          <w:vertAlign w:val="superscript"/>
        </w:rPr>
        <w:footnoteReference w:id="36"/>
      </w:r>
      <w:r w:rsidR="000A4DF0" w:rsidRPr="00A55339">
        <w:rPr>
          <w:vertAlign w:val="superscript"/>
        </w:rPr>
        <w:t xml:space="preserve"> </w:t>
      </w:r>
      <w:r>
        <w:rPr>
          <w:rFonts w:cs="Calibri Light"/>
          <w:color w:val="000000"/>
        </w:rPr>
        <w:t>ASIC analysi</w:t>
      </w:r>
      <w:r w:rsidR="008F329A">
        <w:rPr>
          <w:rFonts w:cs="Calibri Light"/>
          <w:color w:val="000000"/>
        </w:rPr>
        <w:t>s in 2020</w:t>
      </w:r>
      <w:r w:rsidR="000B50C1">
        <w:rPr>
          <w:rFonts w:cs="Calibri Light"/>
          <w:color w:val="000000"/>
        </w:rPr>
        <w:t xml:space="preserve"> (prior to the global economic impacts of the COVID-19 pandemic)</w:t>
      </w:r>
      <w:r w:rsidR="008F329A">
        <w:rPr>
          <w:rFonts w:cs="Calibri Light"/>
          <w:color w:val="000000"/>
        </w:rPr>
        <w:t xml:space="preserve"> found that i</w:t>
      </w:r>
      <w:r>
        <w:rPr>
          <w:rFonts w:cs="Calibri Light"/>
          <w:color w:val="000000"/>
        </w:rPr>
        <w:t>n the United Kingdom</w:t>
      </w:r>
      <w:r w:rsidR="000A4DF0">
        <w:rPr>
          <w:rFonts w:cs="Calibri Light"/>
          <w:color w:val="000000"/>
        </w:rPr>
        <w:t xml:space="preserve"> (UK)</w:t>
      </w:r>
      <w:r>
        <w:rPr>
          <w:rFonts w:cs="Calibri Light"/>
          <w:color w:val="000000"/>
        </w:rPr>
        <w:t xml:space="preserve">, </w:t>
      </w:r>
      <w:r w:rsidR="008F329A">
        <w:rPr>
          <w:rFonts w:cs="Calibri Light"/>
          <w:color w:val="000000"/>
        </w:rPr>
        <w:t xml:space="preserve">where </w:t>
      </w:r>
      <w:r>
        <w:rPr>
          <w:rFonts w:cs="Calibri Light"/>
          <w:color w:val="000000"/>
        </w:rPr>
        <w:t>commissions are banned for LICs and LITs</w:t>
      </w:r>
      <w:r w:rsidR="008F329A">
        <w:rPr>
          <w:rFonts w:cs="Calibri Light"/>
          <w:color w:val="000000"/>
        </w:rPr>
        <w:t xml:space="preserve">, </w:t>
      </w:r>
      <w:r w:rsidR="00A04CF0">
        <w:rPr>
          <w:rFonts w:cs="Calibri Light"/>
          <w:color w:val="000000"/>
        </w:rPr>
        <w:t>there were 27 new issuances in the previous two years</w:t>
      </w:r>
      <w:r w:rsidR="000A4DF0">
        <w:rPr>
          <w:rFonts w:cs="Calibri Light"/>
          <w:color w:val="000000"/>
        </w:rPr>
        <w:t xml:space="preserve">. At the time of analysis, the UK’s LIC and LIT market was around six times the size of the Australian market </w:t>
      </w:r>
      <w:r w:rsidR="00B8294A">
        <w:rPr>
          <w:rFonts w:cs="Calibri Light"/>
          <w:color w:val="000000"/>
        </w:rPr>
        <w:br/>
      </w:r>
      <w:r w:rsidR="000A4DF0">
        <w:rPr>
          <w:rFonts w:cs="Calibri Light"/>
          <w:color w:val="000000"/>
        </w:rPr>
        <w:t>(£200 billion).</w:t>
      </w:r>
      <w:r w:rsidR="00DC2AF2" w:rsidRPr="00A55339">
        <w:rPr>
          <w:rStyle w:val="FootnoteReference"/>
          <w:rFonts w:cs="Calibri Light"/>
          <w:color w:val="000000"/>
          <w:vertAlign w:val="superscript"/>
        </w:rPr>
        <w:footnoteReference w:id="37"/>
      </w:r>
      <w:r w:rsidR="000A4DF0" w:rsidRPr="00A55339">
        <w:rPr>
          <w:rFonts w:cs="Calibri Light"/>
          <w:color w:val="000000"/>
          <w:vertAlign w:val="superscript"/>
        </w:rPr>
        <w:t xml:space="preserve"> </w:t>
      </w:r>
      <w:r w:rsidR="00A04CF0">
        <w:rPr>
          <w:rFonts w:cs="Calibri Light"/>
          <w:color w:val="000000"/>
        </w:rPr>
        <w:t xml:space="preserve">ASIC considered </w:t>
      </w:r>
      <w:r w:rsidR="000A4DF0">
        <w:rPr>
          <w:rFonts w:cs="Calibri Light"/>
          <w:color w:val="000000"/>
        </w:rPr>
        <w:t xml:space="preserve">the </w:t>
      </w:r>
      <w:r w:rsidR="00922740">
        <w:rPr>
          <w:rFonts w:cs="Calibri Light"/>
          <w:color w:val="000000"/>
        </w:rPr>
        <w:t>continued issuance</w:t>
      </w:r>
      <w:r w:rsidR="000A4DF0">
        <w:rPr>
          <w:rFonts w:cs="Calibri Light"/>
          <w:color w:val="000000"/>
        </w:rPr>
        <w:t xml:space="preserve"> of LICs and LITs in the UK </w:t>
      </w:r>
      <w:r w:rsidR="00A04CF0">
        <w:rPr>
          <w:rFonts w:cs="Calibri Light"/>
          <w:color w:val="000000"/>
        </w:rPr>
        <w:t>reflected the ‘underlying demand for these types of products</w:t>
      </w:r>
      <w:r w:rsidR="000A4DF0">
        <w:rPr>
          <w:rFonts w:cs="Calibri Light"/>
          <w:color w:val="000000"/>
        </w:rPr>
        <w:t>’ and that ‘</w:t>
      </w:r>
      <w:r w:rsidR="00A04CF0">
        <w:rPr>
          <w:rFonts w:cs="Calibri Light"/>
          <w:color w:val="000000"/>
        </w:rPr>
        <w:t xml:space="preserve">they can successfully launch without </w:t>
      </w:r>
      <w:r w:rsidR="000A4DF0">
        <w:rPr>
          <w:rFonts w:cs="Calibri Light"/>
          <w:color w:val="000000"/>
        </w:rPr>
        <w:t>t</w:t>
      </w:r>
      <w:r w:rsidR="00A04CF0">
        <w:rPr>
          <w:rFonts w:cs="Calibri Light"/>
          <w:color w:val="000000"/>
        </w:rPr>
        <w:t>he need for commissions’</w:t>
      </w:r>
      <w:r w:rsidR="008F329A">
        <w:rPr>
          <w:rFonts w:cs="Calibri Light"/>
          <w:color w:val="000000"/>
        </w:rPr>
        <w:t>.</w:t>
      </w:r>
      <w:r w:rsidR="00F679E5" w:rsidRPr="00A55339">
        <w:rPr>
          <w:rStyle w:val="FootnoteReference"/>
          <w:rFonts w:cs="Calibri Light"/>
          <w:color w:val="000000"/>
          <w:vertAlign w:val="superscript"/>
        </w:rPr>
        <w:footnoteReference w:id="38"/>
      </w:r>
      <w:r w:rsidR="008F329A" w:rsidRPr="00A55339">
        <w:rPr>
          <w:rFonts w:cs="Calibri Light"/>
          <w:color w:val="000000"/>
          <w:vertAlign w:val="superscript"/>
        </w:rPr>
        <w:t xml:space="preserve"> </w:t>
      </w:r>
    </w:p>
    <w:p w14:paraId="6739E18F" w14:textId="0407407B" w:rsidR="002E72F1" w:rsidRDefault="002E72F1" w:rsidP="00EB1118">
      <w:pPr>
        <w:pStyle w:val="Heading2"/>
        <w:spacing w:before="240" w:after="240"/>
      </w:pPr>
      <w:bookmarkStart w:id="23" w:name="_Toc109905915"/>
      <w:r>
        <w:t>What policy options were considered?</w:t>
      </w:r>
      <w:bookmarkEnd w:id="23"/>
    </w:p>
    <w:p w14:paraId="101FB552" w14:textId="77777777" w:rsidR="00F45B65" w:rsidRPr="00FC7846" w:rsidRDefault="00F45B65" w:rsidP="00EB5DB5">
      <w:pPr>
        <w:pStyle w:val="Default"/>
        <w:spacing w:after="160" w:line="276" w:lineRule="auto"/>
        <w:rPr>
          <w:rFonts w:ascii="Calibri Light" w:hAnsi="Calibri Light" w:cs="Calibri Light"/>
          <w:color w:val="auto"/>
          <w:sz w:val="22"/>
          <w:szCs w:val="22"/>
        </w:rPr>
      </w:pPr>
      <w:r w:rsidRPr="00FC7846">
        <w:rPr>
          <w:rFonts w:ascii="Calibri Light" w:hAnsi="Calibri Light" w:cs="Calibri Light"/>
          <w:color w:val="auto"/>
          <w:sz w:val="22"/>
          <w:szCs w:val="22"/>
        </w:rPr>
        <w:t>Treasury considered four options, from which Option 3 was chosen as the option which best addressed the policy issues identified above. Options 1 and 2 involved no intervention and a complete removal of the exemption respectively, while Option 4 was to introduce a cap on stamping fees payable by listed investment entities.</w:t>
      </w:r>
    </w:p>
    <w:p w14:paraId="2B7BCC34" w14:textId="55F49B60" w:rsidR="00F45B65" w:rsidRPr="00FC7846" w:rsidRDefault="00F45B65" w:rsidP="00EB5DB5">
      <w:pPr>
        <w:pStyle w:val="Default"/>
        <w:spacing w:after="160" w:line="276" w:lineRule="auto"/>
        <w:rPr>
          <w:rFonts w:ascii="Calibri Light" w:hAnsi="Calibri Light" w:cs="Calibri Light"/>
          <w:color w:val="auto"/>
          <w:sz w:val="22"/>
          <w:szCs w:val="22"/>
        </w:rPr>
      </w:pPr>
      <w:r w:rsidRPr="00FC7846">
        <w:rPr>
          <w:rFonts w:ascii="Calibri Light" w:hAnsi="Calibri Light" w:cs="Calibri Light"/>
          <w:color w:val="auto"/>
          <w:sz w:val="22"/>
          <w:szCs w:val="22"/>
          <w:lang w:val="en-US"/>
        </w:rPr>
        <w:t>The four options were tested through the four-week public consultation announced on 27</w:t>
      </w:r>
      <w:r w:rsidR="004E707E">
        <w:rPr>
          <w:rFonts w:ascii="Calibri Light" w:hAnsi="Calibri Light" w:cs="Calibri Light"/>
          <w:color w:val="auto"/>
          <w:sz w:val="22"/>
          <w:szCs w:val="22"/>
          <w:lang w:val="en-US"/>
        </w:rPr>
        <w:t> </w:t>
      </w:r>
      <w:r w:rsidRPr="00FC7846">
        <w:rPr>
          <w:rFonts w:ascii="Calibri Light" w:hAnsi="Calibri Light" w:cs="Calibri Light"/>
          <w:color w:val="auto"/>
          <w:sz w:val="22"/>
          <w:szCs w:val="22"/>
          <w:lang w:val="en-US"/>
        </w:rPr>
        <w:t>January</w:t>
      </w:r>
      <w:r w:rsidR="004E707E">
        <w:rPr>
          <w:rFonts w:ascii="Calibri Light" w:hAnsi="Calibri Light" w:cs="Calibri Light"/>
          <w:color w:val="auto"/>
          <w:sz w:val="22"/>
          <w:szCs w:val="22"/>
          <w:lang w:val="en-US"/>
        </w:rPr>
        <w:t> </w:t>
      </w:r>
      <w:r w:rsidRPr="00FC7846">
        <w:rPr>
          <w:rFonts w:ascii="Calibri Light" w:hAnsi="Calibri Light" w:cs="Calibri Light"/>
          <w:color w:val="auto"/>
          <w:sz w:val="22"/>
          <w:szCs w:val="22"/>
          <w:lang w:val="en-US"/>
        </w:rPr>
        <w:t xml:space="preserve">2020, where the Government indicated that the consultation would inform its decision on whether to retain, remove or modify the stamping fee exemption. </w:t>
      </w:r>
    </w:p>
    <w:p w14:paraId="2A3168AF" w14:textId="77777777" w:rsidR="00F45B65" w:rsidRPr="00FC7846" w:rsidRDefault="00F45B65" w:rsidP="00EB5DB5">
      <w:pPr>
        <w:pStyle w:val="Heading3"/>
        <w:rPr>
          <w:rFonts w:eastAsia="Cambria"/>
        </w:rPr>
      </w:pPr>
      <w:bookmarkStart w:id="24" w:name="_Toc109905916"/>
      <w:r w:rsidRPr="00FC7846">
        <w:rPr>
          <w:rFonts w:eastAsia="Cambria"/>
        </w:rPr>
        <w:t>Option 1 – Retain the existing stamping fee exemption</w:t>
      </w:r>
      <w:bookmarkEnd w:id="24"/>
    </w:p>
    <w:p w14:paraId="1E7454AC" w14:textId="4B5C9D42" w:rsidR="00F45B65" w:rsidRPr="00FC7846" w:rsidRDefault="00F45B65" w:rsidP="00EB5DB5">
      <w:pPr>
        <w:spacing w:line="276" w:lineRule="auto"/>
        <w:rPr>
          <w:rFonts w:cs="Calibri Light"/>
          <w:szCs w:val="22"/>
        </w:rPr>
      </w:pPr>
      <w:r w:rsidRPr="00FC7846">
        <w:rPr>
          <w:rFonts w:cs="Calibri Light"/>
          <w:szCs w:val="22"/>
        </w:rPr>
        <w:t xml:space="preserve">Under this considered option, the stamping fee exemption would remain unchanged. </w:t>
      </w:r>
      <w:r w:rsidR="00926B44">
        <w:rPr>
          <w:rFonts w:cs="Calibri Light"/>
          <w:szCs w:val="22"/>
        </w:rPr>
        <w:t>LICs and LITs</w:t>
      </w:r>
      <w:r w:rsidRPr="00FC7846">
        <w:rPr>
          <w:rFonts w:cs="Calibri Light"/>
          <w:szCs w:val="22"/>
        </w:rPr>
        <w:t xml:space="preserve"> could continue to pay AFS licensees or their representatives stamping fees for their role in securing investors for a capital raising. This option was favoured by stakeholders who utilised the stamping fee </w:t>
      </w:r>
      <w:r w:rsidRPr="00FC7846">
        <w:rPr>
          <w:rFonts w:cs="Calibri Light"/>
          <w:szCs w:val="22"/>
        </w:rPr>
        <w:lastRenderedPageBreak/>
        <w:t xml:space="preserve">exemption. They submitted that stamping fees have been the traditional way that advisers have charged for work that analysed a potential offering and determined an appropriate recommendation for clients. Stamping fees are seen as an administratively efficient means of being able to aggregate and remunerate AFS licensees and stockbrokers for the work being done. </w:t>
      </w:r>
    </w:p>
    <w:p w14:paraId="123F26A5" w14:textId="77777777" w:rsidR="00F45B65" w:rsidRPr="00FC7846" w:rsidRDefault="00F45B65" w:rsidP="00EB5DB5">
      <w:pPr>
        <w:pStyle w:val="Heading3"/>
        <w:rPr>
          <w:rFonts w:eastAsia="Cambria"/>
        </w:rPr>
      </w:pPr>
      <w:bookmarkStart w:id="25" w:name="_Toc109905917"/>
      <w:r w:rsidRPr="00FC7846">
        <w:rPr>
          <w:rFonts w:eastAsia="Cambria"/>
        </w:rPr>
        <w:t>Option 2 – Remove the stamping fee exemption for all listed entities</w:t>
      </w:r>
      <w:bookmarkEnd w:id="25"/>
      <w:r w:rsidRPr="00FC7846">
        <w:rPr>
          <w:rFonts w:eastAsia="Cambria"/>
        </w:rPr>
        <w:t xml:space="preserve"> </w:t>
      </w:r>
    </w:p>
    <w:p w14:paraId="168A3087" w14:textId="12708CFF" w:rsidR="00F45B65" w:rsidRPr="00FC7846" w:rsidRDefault="00F45B65" w:rsidP="00EB5DB5">
      <w:pPr>
        <w:spacing w:line="276" w:lineRule="auto"/>
        <w:rPr>
          <w:rFonts w:cs="Calibri Light"/>
          <w:szCs w:val="22"/>
        </w:rPr>
      </w:pPr>
      <w:r w:rsidRPr="00FC7846">
        <w:rPr>
          <w:rFonts w:cs="Calibri Light"/>
          <w:szCs w:val="22"/>
        </w:rPr>
        <w:t>Option 2 required an amendment to the law to remove the stamping fee exemption from the general prohibition on conflicted remuneration. Stakeholders who supported this option argued that if stamping fees are to be removed then they should be removed across all types of investment entities given that stamping fees represent a conflict of interest and cause consumer detriment.</w:t>
      </w:r>
    </w:p>
    <w:p w14:paraId="6229DCAD" w14:textId="77777777" w:rsidR="00F45B65" w:rsidRPr="00FC7846" w:rsidRDefault="00F45B65" w:rsidP="00EB5DB5">
      <w:pPr>
        <w:pStyle w:val="Heading3"/>
        <w:rPr>
          <w:rFonts w:eastAsia="Cambria"/>
        </w:rPr>
      </w:pPr>
      <w:bookmarkStart w:id="26" w:name="_Toc109905918"/>
      <w:r w:rsidRPr="00FC7846">
        <w:rPr>
          <w:rFonts w:eastAsia="Cambria"/>
        </w:rPr>
        <w:t>Option 3 – Removing the stamping fee exemption for certain listed investment entities</w:t>
      </w:r>
      <w:bookmarkEnd w:id="26"/>
      <w:r w:rsidRPr="00FC7846">
        <w:rPr>
          <w:rFonts w:eastAsia="Cambria"/>
        </w:rPr>
        <w:t xml:space="preserve"> </w:t>
      </w:r>
    </w:p>
    <w:p w14:paraId="54A9F365" w14:textId="5BB7FAB8" w:rsidR="00F45B65" w:rsidRDefault="00F45B65" w:rsidP="00EB5DB5">
      <w:pPr>
        <w:spacing w:line="276" w:lineRule="auto"/>
        <w:rPr>
          <w:rFonts w:cs="Calibri Light"/>
          <w:szCs w:val="22"/>
        </w:rPr>
      </w:pPr>
      <w:r w:rsidRPr="00FC7846">
        <w:rPr>
          <w:rFonts w:cs="Calibri Light"/>
          <w:szCs w:val="22"/>
        </w:rPr>
        <w:t xml:space="preserve">This option considered removing the stamping fee exemption only for listed investment entities where there is evidence of mis-selling potential and the related risk of consumer harm, balanced against the policy rationale for introducing the exemption in 2014. The consultation feedback indicated that there is evidence of mis-selling potential of LICs and LITs with related risks of consumer harm, evidence that was not presented with regard to REITs and infrastructure entities. </w:t>
      </w:r>
      <w:r w:rsidR="0067674B" w:rsidRPr="00A55339">
        <w:rPr>
          <w:color w:val="000000"/>
          <w:szCs w:val="22"/>
        </w:rPr>
        <w:t xml:space="preserve">In contrast to LICs and LITs, other listed investment entities generally have an underlying portfolio of assets limiting the total amount of capital that can be raised which moderates the potential amount that can be mis-sold. The level of institutional investor participation in these entities is also higher than for LICs and LITs, which raises the level of due diligence. </w:t>
      </w:r>
      <w:r w:rsidR="00F22A22">
        <w:rPr>
          <w:color w:val="000000"/>
          <w:szCs w:val="22"/>
        </w:rPr>
        <w:t>As reported in the unassessed RIS developed by Treasury in 2020, d</w:t>
      </w:r>
      <w:r w:rsidR="0067674B" w:rsidRPr="00A55339">
        <w:rPr>
          <w:color w:val="000000"/>
          <w:szCs w:val="22"/>
        </w:rPr>
        <w:t>ata provided by the Property Council of Australia regarding REIT initial public offers on the ASX since 2016 indicated the median level of institutional participation was around 50 per cent for these investments.</w:t>
      </w:r>
      <w:r w:rsidR="00F22A22" w:rsidRPr="00A55339">
        <w:rPr>
          <w:rStyle w:val="FootnoteReference"/>
          <w:color w:val="000000"/>
          <w:szCs w:val="22"/>
          <w:vertAlign w:val="superscript"/>
        </w:rPr>
        <w:footnoteReference w:id="39"/>
      </w:r>
      <w:r w:rsidR="00F22A22">
        <w:rPr>
          <w:color w:val="000000"/>
          <w:szCs w:val="22"/>
        </w:rPr>
        <w:t xml:space="preserve"> Further, </w:t>
      </w:r>
      <w:r w:rsidRPr="00FC7846">
        <w:rPr>
          <w:rFonts w:cs="Calibri Light"/>
          <w:szCs w:val="22"/>
        </w:rPr>
        <w:t xml:space="preserve">REITs and infrastructure entities also have capital raising activities that have a more direct impact on supporting economic activity in the real economy, a key rationale for introducing the </w:t>
      </w:r>
      <w:r w:rsidR="009D4A95">
        <w:rPr>
          <w:rFonts w:cs="Calibri Light"/>
          <w:szCs w:val="22"/>
        </w:rPr>
        <w:t xml:space="preserve">original </w:t>
      </w:r>
      <w:r w:rsidRPr="00FC7846">
        <w:rPr>
          <w:rFonts w:cs="Calibri Light"/>
          <w:szCs w:val="22"/>
        </w:rPr>
        <w:t xml:space="preserve">stamping fee exemption. </w:t>
      </w:r>
    </w:p>
    <w:p w14:paraId="4222FC67" w14:textId="69E31584" w:rsidR="004161BC" w:rsidRPr="00FC7846" w:rsidRDefault="00DA767D" w:rsidP="00EB5DB5">
      <w:pPr>
        <w:spacing w:line="276" w:lineRule="auto"/>
        <w:rPr>
          <w:rFonts w:cs="Calibri Light"/>
          <w:szCs w:val="22"/>
        </w:rPr>
      </w:pPr>
      <w:r>
        <w:rPr>
          <w:rFonts w:cs="Calibri Light"/>
          <w:szCs w:val="22"/>
        </w:rPr>
        <w:t>At the time of the initial consideration of extending the ban on conflicted remuneration i</w:t>
      </w:r>
      <w:r w:rsidR="004161BC">
        <w:rPr>
          <w:rFonts w:cs="Calibri Light"/>
          <w:szCs w:val="22"/>
        </w:rPr>
        <w:t>n 2020, although t</w:t>
      </w:r>
      <w:r w:rsidR="004161BC" w:rsidRPr="004161BC">
        <w:rPr>
          <w:rFonts w:cs="Calibri Light"/>
          <w:szCs w:val="22"/>
        </w:rPr>
        <w:t xml:space="preserve">here </w:t>
      </w:r>
      <w:r>
        <w:rPr>
          <w:rFonts w:cs="Calibri Light"/>
          <w:szCs w:val="22"/>
        </w:rPr>
        <w:t>was</w:t>
      </w:r>
      <w:r w:rsidR="004161BC" w:rsidRPr="004161BC">
        <w:rPr>
          <w:rFonts w:cs="Calibri Light"/>
          <w:szCs w:val="22"/>
        </w:rPr>
        <w:t xml:space="preserve"> much debate about the performance of LICs and LITs,</w:t>
      </w:r>
      <w:r w:rsidR="004161BC">
        <w:rPr>
          <w:rFonts w:cs="Calibri Light"/>
          <w:szCs w:val="22"/>
        </w:rPr>
        <w:t xml:space="preserve"> </w:t>
      </w:r>
      <w:r w:rsidR="003B222C">
        <w:rPr>
          <w:rFonts w:cs="Calibri Light"/>
          <w:szCs w:val="22"/>
        </w:rPr>
        <w:t>the previous government</w:t>
      </w:r>
      <w:r w:rsidR="004161BC">
        <w:rPr>
          <w:rFonts w:cs="Calibri Light"/>
          <w:szCs w:val="22"/>
        </w:rPr>
        <w:t xml:space="preserve"> considered</w:t>
      </w:r>
      <w:r w:rsidR="004161BC" w:rsidRPr="004161BC">
        <w:rPr>
          <w:rFonts w:cs="Calibri Light"/>
          <w:szCs w:val="22"/>
        </w:rPr>
        <w:t xml:space="preserve"> the policy problem to be addressed </w:t>
      </w:r>
      <w:r w:rsidR="004161BC">
        <w:rPr>
          <w:rFonts w:cs="Calibri Light"/>
          <w:szCs w:val="22"/>
        </w:rPr>
        <w:t>was</w:t>
      </w:r>
      <w:r w:rsidR="004161BC" w:rsidRPr="004161BC">
        <w:rPr>
          <w:rFonts w:cs="Calibri Light"/>
          <w:szCs w:val="22"/>
        </w:rPr>
        <w:t xml:space="preserve"> the risk of consumer harm associated with the potential mis</w:t>
      </w:r>
      <w:r w:rsidR="004C24B3">
        <w:rPr>
          <w:rFonts w:cs="Calibri Light"/>
          <w:szCs w:val="22"/>
        </w:rPr>
        <w:noBreakHyphen/>
      </w:r>
      <w:r w:rsidR="004161BC" w:rsidRPr="004161BC">
        <w:rPr>
          <w:rFonts w:cs="Calibri Light"/>
          <w:szCs w:val="22"/>
        </w:rPr>
        <w:t xml:space="preserve">selling of these products to retail investors. This option </w:t>
      </w:r>
      <w:r w:rsidR="004161BC">
        <w:rPr>
          <w:rFonts w:cs="Calibri Light"/>
          <w:szCs w:val="22"/>
        </w:rPr>
        <w:t>was</w:t>
      </w:r>
      <w:r w:rsidR="004161BC" w:rsidRPr="004161BC">
        <w:rPr>
          <w:rFonts w:cs="Calibri Light"/>
          <w:szCs w:val="22"/>
        </w:rPr>
        <w:t xml:space="preserve"> not premised on any performance analysis nor </w:t>
      </w:r>
      <w:r w:rsidR="004161BC">
        <w:rPr>
          <w:rFonts w:cs="Calibri Light"/>
          <w:szCs w:val="22"/>
        </w:rPr>
        <w:t>was</w:t>
      </w:r>
      <w:r w:rsidR="004161BC" w:rsidRPr="004161BC">
        <w:rPr>
          <w:rFonts w:cs="Calibri Light"/>
          <w:szCs w:val="22"/>
        </w:rPr>
        <w:t xml:space="preserve"> it a reflection on the relative merits of certain investment vehicles or investment strategies. Both closed-end (</w:t>
      </w:r>
      <w:r w:rsidR="00D72F0A">
        <w:rPr>
          <w:rFonts w:cs="Calibri Light"/>
          <w:szCs w:val="22"/>
        </w:rPr>
        <w:t xml:space="preserve">e.g. </w:t>
      </w:r>
      <w:r w:rsidR="004161BC" w:rsidRPr="004161BC">
        <w:rPr>
          <w:rFonts w:cs="Calibri Light"/>
          <w:szCs w:val="22"/>
        </w:rPr>
        <w:t>LICs and LITs) and open-end vehicles (</w:t>
      </w:r>
      <w:r w:rsidR="00423C66">
        <w:rPr>
          <w:rFonts w:cs="Calibri Light"/>
          <w:szCs w:val="22"/>
        </w:rPr>
        <w:t xml:space="preserve">e.g. </w:t>
      </w:r>
      <w:r w:rsidR="004161BC" w:rsidRPr="004161BC">
        <w:rPr>
          <w:rFonts w:cs="Calibri Light"/>
          <w:szCs w:val="22"/>
        </w:rPr>
        <w:t>ETFs) are valid investment structures and investment strategy performance will perform to varying degrees over market cycles.</w:t>
      </w:r>
    </w:p>
    <w:p w14:paraId="5E8F9BC7" w14:textId="77777777" w:rsidR="00F45B65" w:rsidRPr="00FC7846" w:rsidRDefault="00F45B65" w:rsidP="00EB5DB5">
      <w:pPr>
        <w:pStyle w:val="Heading3"/>
        <w:rPr>
          <w:rFonts w:eastAsia="Cambria"/>
        </w:rPr>
      </w:pPr>
      <w:bookmarkStart w:id="27" w:name="_Toc109905919"/>
      <w:r w:rsidRPr="00FC7846">
        <w:rPr>
          <w:rFonts w:eastAsia="Cambria"/>
        </w:rPr>
        <w:lastRenderedPageBreak/>
        <w:t>Option 4 – Modifying the existing stamping fee exemption</w:t>
      </w:r>
      <w:bookmarkEnd w:id="27"/>
      <w:r w:rsidRPr="00FC7846">
        <w:rPr>
          <w:rFonts w:eastAsia="Cambria"/>
        </w:rPr>
        <w:t xml:space="preserve"> </w:t>
      </w:r>
    </w:p>
    <w:p w14:paraId="58FF8208" w14:textId="689F88BC" w:rsidR="00F45B65" w:rsidRPr="00FC7846" w:rsidRDefault="00F45B65" w:rsidP="00EB5DB5">
      <w:pPr>
        <w:spacing w:line="276" w:lineRule="auto"/>
        <w:rPr>
          <w:rFonts w:cs="Calibri Light"/>
          <w:szCs w:val="22"/>
        </w:rPr>
      </w:pPr>
      <w:r w:rsidRPr="00FC7846">
        <w:rPr>
          <w:rFonts w:cs="Calibri Light"/>
          <w:szCs w:val="22"/>
        </w:rPr>
        <w:t>Option 4 considered introducing a cap on stamping fees payable by listed investment entities. Some stakeholders suggested maintaining but modifying the stamping fee exemption by imposing a maximum ceiling on any stamping fee payable by listed investment entities. The rationale was to prohibit charging stamping fees in excess of what is considered to be an acceptable range.</w:t>
      </w:r>
      <w:r w:rsidR="00926B44">
        <w:rPr>
          <w:rFonts w:cs="Calibri Light"/>
          <w:szCs w:val="22"/>
        </w:rPr>
        <w:t xml:space="preserve"> </w:t>
      </w:r>
      <w:r w:rsidRPr="00FC7846">
        <w:rPr>
          <w:rFonts w:cs="Calibri Light"/>
          <w:szCs w:val="22"/>
        </w:rPr>
        <w:t>An ‘acceptable range’ was not suggested by stakeholders and further consultation would have been required to determine the parameters. However, it is noted that from 2014 to 2019, close to half of new LIC and LIT issuances (excluding conversions) paid 1.5 per cent in stamping fees, with around 22 per cent paying less and 30 per cent paying more.</w:t>
      </w:r>
      <w:r w:rsidR="009626AE" w:rsidRPr="00DD63A8">
        <w:rPr>
          <w:rStyle w:val="FootnoteReference"/>
          <w:rFonts w:cs="Calibri Light"/>
          <w:szCs w:val="22"/>
          <w:vertAlign w:val="superscript"/>
        </w:rPr>
        <w:footnoteReference w:id="40"/>
      </w:r>
      <w:r w:rsidRPr="00A55339">
        <w:rPr>
          <w:rFonts w:cs="Calibri Light"/>
          <w:szCs w:val="22"/>
          <w:vertAlign w:val="superscript"/>
        </w:rPr>
        <w:t xml:space="preserve"> </w:t>
      </w:r>
    </w:p>
    <w:p w14:paraId="094F0048" w14:textId="77777777" w:rsidR="00F45B65" w:rsidRPr="00FC7846" w:rsidRDefault="00F45B65" w:rsidP="00EB5DB5">
      <w:pPr>
        <w:pStyle w:val="Heading3"/>
        <w:rPr>
          <w:rFonts w:eastAsia="Cambria"/>
        </w:rPr>
      </w:pPr>
      <w:bookmarkStart w:id="28" w:name="_Toc109905920"/>
      <w:r w:rsidRPr="00FC7846">
        <w:rPr>
          <w:rFonts w:eastAsia="Cambria"/>
        </w:rPr>
        <w:t>Outcome after considering options</w:t>
      </w:r>
      <w:bookmarkEnd w:id="28"/>
      <w:r w:rsidRPr="00FC7846">
        <w:rPr>
          <w:rFonts w:eastAsia="Cambria"/>
        </w:rPr>
        <w:t xml:space="preserve"> </w:t>
      </w:r>
    </w:p>
    <w:p w14:paraId="2812A4A0" w14:textId="77777777" w:rsidR="00EB1118" w:rsidRDefault="00F45B65" w:rsidP="00EB1118">
      <w:pPr>
        <w:pStyle w:val="BodyText"/>
        <w:spacing w:before="167" w:line="276" w:lineRule="auto"/>
        <w:ind w:left="0" w:right="384"/>
      </w:pPr>
      <w:r w:rsidRPr="00FC7846">
        <w:rPr>
          <w:rFonts w:ascii="Calibri Light" w:hAnsi="Calibri Light" w:cs="Calibri Light"/>
          <w:spacing w:val="-1"/>
        </w:rPr>
        <w:t xml:space="preserve">Option 3 was chosen </w:t>
      </w:r>
      <w:r w:rsidR="00E62A78">
        <w:rPr>
          <w:rFonts w:ascii="Calibri Light" w:hAnsi="Calibri Light" w:cs="Calibri Light"/>
          <w:spacing w:val="-1"/>
        </w:rPr>
        <w:t xml:space="preserve">as it </w:t>
      </w:r>
      <w:r w:rsidR="00C21030">
        <w:rPr>
          <w:rFonts w:ascii="Calibri Light" w:hAnsi="Calibri Light" w:cs="Calibri Light"/>
          <w:spacing w:val="-1"/>
        </w:rPr>
        <w:t xml:space="preserve">best </w:t>
      </w:r>
      <w:r w:rsidR="00E62A78">
        <w:rPr>
          <w:rFonts w:ascii="Calibri Light" w:hAnsi="Calibri Light" w:cs="Calibri Light"/>
          <w:spacing w:val="-1"/>
        </w:rPr>
        <w:t xml:space="preserve">aligned with the objective of protecting consumers </w:t>
      </w:r>
      <w:r w:rsidR="00C21030">
        <w:rPr>
          <w:rFonts w:ascii="Calibri Light" w:hAnsi="Calibri Light" w:cs="Calibri Light"/>
          <w:spacing w:val="-1"/>
        </w:rPr>
        <w:t xml:space="preserve">from poor outcomes related to mis-selling of products and levelling the playing field in the funds management industry. Option 3 was preferred to Option 2, as </w:t>
      </w:r>
      <w:r w:rsidR="007229A7" w:rsidRPr="00A55339">
        <w:rPr>
          <w:rFonts w:ascii="Calibri Light" w:hAnsi="Calibri Light" w:cs="Calibri Light"/>
          <w:color w:val="000000"/>
        </w:rPr>
        <w:t>with the primary goal of ensuring enhanced protection for retail investors (rather than institutional or wholesale investors),</w:t>
      </w:r>
      <w:r w:rsidR="007229A7">
        <w:rPr>
          <w:color w:val="000000"/>
        </w:rPr>
        <w:t xml:space="preserve"> </w:t>
      </w:r>
      <w:r w:rsidR="00C21030">
        <w:rPr>
          <w:rFonts w:ascii="Calibri Light" w:hAnsi="Calibri Light" w:cs="Calibri Light"/>
          <w:spacing w:val="-1"/>
        </w:rPr>
        <w:t>it clearly targeted those products where there was an identified mis-selling potential</w:t>
      </w:r>
      <w:r w:rsidR="00AF6E95">
        <w:rPr>
          <w:rFonts w:ascii="Calibri Light" w:hAnsi="Calibri Light" w:cs="Calibri Light"/>
          <w:spacing w:val="-1"/>
        </w:rPr>
        <w:t xml:space="preserve"> </w:t>
      </w:r>
      <w:r w:rsidR="007229A7">
        <w:rPr>
          <w:rFonts w:ascii="Calibri Light" w:hAnsi="Calibri Light" w:cs="Calibri Light"/>
          <w:spacing w:val="-1"/>
        </w:rPr>
        <w:t xml:space="preserve">for retail investors. In addition, this option </w:t>
      </w:r>
      <w:r w:rsidR="00AF6E95">
        <w:rPr>
          <w:rFonts w:ascii="Calibri Light" w:hAnsi="Calibri Light" w:cs="Calibri Light"/>
          <w:spacing w:val="-1"/>
        </w:rPr>
        <w:t>did not impact capital raising activities for other listed investment entities that have a direct impact on supporting economic activity in the real economy.</w:t>
      </w:r>
      <w:r w:rsidR="00951B9E">
        <w:rPr>
          <w:rFonts w:ascii="Calibri Light" w:hAnsi="Calibri Light" w:cs="Calibri Light"/>
          <w:spacing w:val="-1"/>
        </w:rPr>
        <w:t xml:space="preserve"> This </w:t>
      </w:r>
      <w:r w:rsidR="00AA59FF">
        <w:rPr>
          <w:rFonts w:ascii="Calibri Light" w:hAnsi="Calibri Light" w:cs="Calibri Light"/>
          <w:spacing w:val="-1"/>
        </w:rPr>
        <w:t>was</w:t>
      </w:r>
      <w:r w:rsidR="00951B9E">
        <w:rPr>
          <w:rFonts w:ascii="Calibri Light" w:hAnsi="Calibri Light" w:cs="Calibri Light"/>
          <w:spacing w:val="-1"/>
        </w:rPr>
        <w:t xml:space="preserve"> consistent with the rationale for the original exemption from the ban on conflicted remuneration for non-investment entities and infrastructure funds.</w:t>
      </w:r>
      <w:bookmarkStart w:id="29" w:name="_Toc109905921"/>
    </w:p>
    <w:p w14:paraId="0FC0818C" w14:textId="2B16E317" w:rsidR="005B7A5E" w:rsidRDefault="005B7A5E" w:rsidP="00EB1118">
      <w:pPr>
        <w:pStyle w:val="Heading2"/>
        <w:spacing w:before="240" w:after="240"/>
      </w:pPr>
      <w:r>
        <w:t>What have the impacts of regulation been?</w:t>
      </w:r>
      <w:bookmarkEnd w:id="29"/>
    </w:p>
    <w:p w14:paraId="20AF2E02" w14:textId="32AFDD77" w:rsidR="0023269E" w:rsidRDefault="005B7A5E" w:rsidP="005846B5">
      <w:pPr>
        <w:pStyle w:val="Dash"/>
        <w:numPr>
          <w:ilvl w:val="0"/>
          <w:numId w:val="0"/>
        </w:numPr>
        <w:tabs>
          <w:tab w:val="left" w:pos="720"/>
        </w:tabs>
        <w:spacing w:line="276" w:lineRule="auto"/>
        <w:rPr>
          <w:rFonts w:cs="Calibri Light"/>
          <w:szCs w:val="22"/>
          <w:lang w:val="en-US"/>
        </w:rPr>
      </w:pPr>
      <w:r w:rsidRPr="00FC7846">
        <w:rPr>
          <w:rFonts w:cs="Calibri Light"/>
          <w:szCs w:val="22"/>
        </w:rPr>
        <w:t xml:space="preserve">On 21 May 2020 the former Government announced that as of 1 July 2020 </w:t>
      </w:r>
      <w:r w:rsidR="00E043B8">
        <w:rPr>
          <w:rFonts w:cs="Calibri Light"/>
          <w:szCs w:val="22"/>
        </w:rPr>
        <w:t>the</w:t>
      </w:r>
      <w:r w:rsidRPr="00FC7846">
        <w:rPr>
          <w:rFonts w:cs="Calibri Light"/>
          <w:szCs w:val="22"/>
        </w:rPr>
        <w:t xml:space="preserve"> </w:t>
      </w:r>
      <w:r w:rsidRPr="00FC7846">
        <w:rPr>
          <w:rFonts w:cs="Calibri Light"/>
          <w:szCs w:val="22"/>
          <w:lang w:val="en-US"/>
        </w:rPr>
        <w:t>ban on conflicted remuneration would be extended to LICs</w:t>
      </w:r>
      <w:r w:rsidR="00F7755A">
        <w:rPr>
          <w:rFonts w:cs="Calibri Light"/>
          <w:szCs w:val="22"/>
          <w:lang w:val="en-US"/>
        </w:rPr>
        <w:t xml:space="preserve"> and LITs</w:t>
      </w:r>
      <w:r w:rsidRPr="00FC7846">
        <w:rPr>
          <w:rFonts w:cs="Calibri Light"/>
          <w:szCs w:val="22"/>
          <w:lang w:val="en-US"/>
        </w:rPr>
        <w:t>.</w:t>
      </w:r>
      <w:r w:rsidR="00E043B8">
        <w:rPr>
          <w:rFonts w:cs="Calibri Light"/>
          <w:szCs w:val="22"/>
          <w:lang w:val="en-US"/>
        </w:rPr>
        <w:t xml:space="preserve"> These changes were implemented via the Stamping Fee Exemption Regulations. </w:t>
      </w:r>
    </w:p>
    <w:p w14:paraId="561A1CF6" w14:textId="2B9CBDFD" w:rsidR="0004238B" w:rsidRDefault="00F7755A" w:rsidP="005846B5">
      <w:pPr>
        <w:pStyle w:val="Bullet"/>
        <w:numPr>
          <w:ilvl w:val="0"/>
          <w:numId w:val="0"/>
        </w:numPr>
        <w:rPr>
          <w:rFonts w:cs="Calibri Light"/>
          <w:szCs w:val="22"/>
        </w:rPr>
      </w:pPr>
      <w:r w:rsidRPr="00FC7846">
        <w:rPr>
          <w:rFonts w:cs="Calibri Light"/>
          <w:szCs w:val="22"/>
        </w:rPr>
        <w:t xml:space="preserve">There </w:t>
      </w:r>
      <w:r w:rsidR="0042470D">
        <w:rPr>
          <w:rFonts w:cs="Calibri Light"/>
          <w:szCs w:val="22"/>
        </w:rPr>
        <w:t>have been</w:t>
      </w:r>
      <w:r w:rsidR="0042470D" w:rsidRPr="00FC7846">
        <w:rPr>
          <w:rFonts w:cs="Calibri Light"/>
          <w:szCs w:val="22"/>
        </w:rPr>
        <w:t xml:space="preserve"> </w:t>
      </w:r>
      <w:r w:rsidRPr="00FC7846">
        <w:rPr>
          <w:rFonts w:cs="Calibri Light"/>
          <w:szCs w:val="22"/>
        </w:rPr>
        <w:t xml:space="preserve">several </w:t>
      </w:r>
      <w:r w:rsidR="009515DC">
        <w:rPr>
          <w:rFonts w:cs="Calibri Light"/>
          <w:szCs w:val="22"/>
        </w:rPr>
        <w:t>changes to the LIC and LIT</w:t>
      </w:r>
      <w:r w:rsidRPr="00FC7846">
        <w:rPr>
          <w:rFonts w:cs="Calibri Light"/>
          <w:szCs w:val="22"/>
        </w:rPr>
        <w:t xml:space="preserve"> market </w:t>
      </w:r>
      <w:r w:rsidR="0042470D">
        <w:rPr>
          <w:rFonts w:cs="Calibri Light"/>
          <w:szCs w:val="22"/>
        </w:rPr>
        <w:t>since the removal of the</w:t>
      </w:r>
      <w:r w:rsidRPr="00FC7846">
        <w:rPr>
          <w:rFonts w:cs="Calibri Light"/>
          <w:szCs w:val="22"/>
        </w:rPr>
        <w:t xml:space="preserve"> stamping fee exemption.</w:t>
      </w:r>
      <w:r w:rsidR="007E33C6">
        <w:rPr>
          <w:rFonts w:cs="Calibri Light"/>
          <w:szCs w:val="22"/>
        </w:rPr>
        <w:t xml:space="preserve"> </w:t>
      </w:r>
      <w:r w:rsidR="00921B6F">
        <w:rPr>
          <w:rFonts w:cs="Calibri Light"/>
          <w:szCs w:val="22"/>
        </w:rPr>
        <w:t xml:space="preserve">Since July 2020, there have been five new listings of LICs and LITs on the ASX. </w:t>
      </w:r>
      <w:r w:rsidR="007E33C6">
        <w:rPr>
          <w:rFonts w:cs="Calibri Light"/>
          <w:szCs w:val="22"/>
        </w:rPr>
        <w:t>Based on available ASX data, t</w:t>
      </w:r>
      <w:r w:rsidR="00921B6F">
        <w:rPr>
          <w:rFonts w:cs="Calibri Light"/>
          <w:szCs w:val="22"/>
        </w:rPr>
        <w:t>able 1 below presents new LIC and LIT admissions to the ASX since 2017.</w:t>
      </w:r>
    </w:p>
    <w:p w14:paraId="60CD98A2" w14:textId="0CC0871D" w:rsidR="007E33C6" w:rsidRDefault="007E33C6" w:rsidP="00A55339">
      <w:pPr>
        <w:pStyle w:val="Caption"/>
        <w:keepNext/>
      </w:pPr>
      <w:r>
        <w:t xml:space="preserve">Table </w:t>
      </w:r>
      <w:fldSimple w:instr=" SEQ Table \* ARABIC ">
        <w:r w:rsidR="00EC02BC">
          <w:rPr>
            <w:noProof/>
          </w:rPr>
          <w:t>1</w:t>
        </w:r>
      </w:fldSimple>
      <w:r w:rsidR="00DC2AF2">
        <w:t xml:space="preserve"> LIC and LIT ASX admissions</w:t>
      </w:r>
      <w:r w:rsidR="00847A63">
        <w:t>,</w:t>
      </w:r>
      <w:r w:rsidR="00DC2AF2">
        <w:t xml:space="preserve"> 2017-2022</w:t>
      </w:r>
    </w:p>
    <w:tbl>
      <w:tblPr>
        <w:tblStyle w:val="TableGrid"/>
        <w:tblW w:w="0" w:type="auto"/>
        <w:tblLook w:val="04A0" w:firstRow="1" w:lastRow="0" w:firstColumn="1" w:lastColumn="0" w:noHBand="0" w:noVBand="1"/>
      </w:tblPr>
      <w:tblGrid>
        <w:gridCol w:w="4536"/>
        <w:gridCol w:w="4536"/>
      </w:tblGrid>
      <w:tr w:rsidR="00921B6F" w:rsidRPr="001442A7" w14:paraId="2F598309" w14:textId="77777777" w:rsidTr="00921B6F">
        <w:trPr>
          <w:cnfStyle w:val="100000000000" w:firstRow="1" w:lastRow="0" w:firstColumn="0" w:lastColumn="0" w:oddVBand="0" w:evenVBand="0" w:oddHBand="0" w:evenHBand="0" w:firstRowFirstColumn="0" w:firstRowLastColumn="0" w:lastRowFirstColumn="0" w:lastRowLastColumn="0"/>
        </w:trPr>
        <w:tc>
          <w:tcPr>
            <w:tcW w:w="4536" w:type="dxa"/>
          </w:tcPr>
          <w:p w14:paraId="5EE27F3D" w14:textId="3BFF52F5" w:rsidR="00921B6F" w:rsidRPr="001442A7" w:rsidRDefault="00921B6F" w:rsidP="005846B5">
            <w:pPr>
              <w:pStyle w:val="Bullet"/>
              <w:numPr>
                <w:ilvl w:val="0"/>
                <w:numId w:val="0"/>
              </w:numPr>
              <w:rPr>
                <w:rFonts w:cs="Calibri Light"/>
                <w:sz w:val="22"/>
                <w:szCs w:val="22"/>
              </w:rPr>
            </w:pPr>
            <w:r w:rsidRPr="001442A7">
              <w:rPr>
                <w:rFonts w:cs="Calibri Light"/>
                <w:sz w:val="22"/>
                <w:szCs w:val="22"/>
              </w:rPr>
              <w:t>Year</w:t>
            </w:r>
          </w:p>
        </w:tc>
        <w:tc>
          <w:tcPr>
            <w:tcW w:w="4536" w:type="dxa"/>
          </w:tcPr>
          <w:p w14:paraId="323827BE" w14:textId="648D5BC8" w:rsidR="00921B6F" w:rsidRPr="001442A7" w:rsidRDefault="00B529ED" w:rsidP="005846B5">
            <w:pPr>
              <w:pStyle w:val="Bullet"/>
              <w:numPr>
                <w:ilvl w:val="0"/>
                <w:numId w:val="0"/>
              </w:numPr>
              <w:rPr>
                <w:rFonts w:cs="Calibri Light"/>
                <w:sz w:val="22"/>
                <w:szCs w:val="22"/>
              </w:rPr>
            </w:pPr>
            <w:r w:rsidRPr="001442A7">
              <w:rPr>
                <w:rFonts w:cs="Calibri Light"/>
                <w:sz w:val="22"/>
                <w:szCs w:val="22"/>
              </w:rPr>
              <w:t>L</w:t>
            </w:r>
            <w:r w:rsidR="00921B6F" w:rsidRPr="001442A7">
              <w:rPr>
                <w:rFonts w:cs="Calibri Light"/>
                <w:sz w:val="22"/>
                <w:szCs w:val="22"/>
              </w:rPr>
              <w:t>IC and LIT admissions</w:t>
            </w:r>
          </w:p>
        </w:tc>
      </w:tr>
      <w:tr w:rsidR="00921B6F" w:rsidRPr="001442A7" w14:paraId="29F9F6E9" w14:textId="77777777" w:rsidTr="00921B6F">
        <w:tc>
          <w:tcPr>
            <w:tcW w:w="4536" w:type="dxa"/>
          </w:tcPr>
          <w:p w14:paraId="1804B009" w14:textId="22C644BB" w:rsidR="00921B6F" w:rsidRPr="001442A7" w:rsidRDefault="00921B6F" w:rsidP="005846B5">
            <w:pPr>
              <w:pStyle w:val="Bullet"/>
              <w:numPr>
                <w:ilvl w:val="0"/>
                <w:numId w:val="0"/>
              </w:numPr>
              <w:rPr>
                <w:rFonts w:cs="Calibri Light"/>
                <w:sz w:val="22"/>
                <w:szCs w:val="22"/>
              </w:rPr>
            </w:pPr>
            <w:r w:rsidRPr="001442A7">
              <w:rPr>
                <w:rFonts w:cs="Calibri Light"/>
                <w:sz w:val="22"/>
                <w:szCs w:val="22"/>
              </w:rPr>
              <w:t>2017</w:t>
            </w:r>
          </w:p>
        </w:tc>
        <w:tc>
          <w:tcPr>
            <w:tcW w:w="4536" w:type="dxa"/>
          </w:tcPr>
          <w:p w14:paraId="06E212DA" w14:textId="57B4E3AC" w:rsidR="00921B6F" w:rsidRPr="001442A7" w:rsidRDefault="00921B6F" w:rsidP="005846B5">
            <w:pPr>
              <w:pStyle w:val="Bullet"/>
              <w:numPr>
                <w:ilvl w:val="0"/>
                <w:numId w:val="0"/>
              </w:numPr>
              <w:rPr>
                <w:rFonts w:cs="Calibri Light"/>
                <w:sz w:val="22"/>
                <w:szCs w:val="22"/>
              </w:rPr>
            </w:pPr>
            <w:r w:rsidRPr="001442A7">
              <w:rPr>
                <w:rFonts w:cs="Calibri Light"/>
                <w:sz w:val="22"/>
                <w:szCs w:val="22"/>
              </w:rPr>
              <w:t>16</w:t>
            </w:r>
          </w:p>
        </w:tc>
      </w:tr>
      <w:tr w:rsidR="00921B6F" w:rsidRPr="001442A7" w14:paraId="2E3CAD90" w14:textId="77777777" w:rsidTr="00921B6F">
        <w:tc>
          <w:tcPr>
            <w:tcW w:w="4536" w:type="dxa"/>
          </w:tcPr>
          <w:p w14:paraId="75820795" w14:textId="1265CBFC" w:rsidR="00921B6F" w:rsidRPr="001442A7" w:rsidRDefault="00921B6F" w:rsidP="005846B5">
            <w:pPr>
              <w:pStyle w:val="Bullet"/>
              <w:numPr>
                <w:ilvl w:val="0"/>
                <w:numId w:val="0"/>
              </w:numPr>
              <w:rPr>
                <w:rFonts w:cs="Calibri Light"/>
                <w:sz w:val="22"/>
                <w:szCs w:val="22"/>
              </w:rPr>
            </w:pPr>
            <w:r w:rsidRPr="001442A7">
              <w:rPr>
                <w:rFonts w:cs="Calibri Light"/>
                <w:sz w:val="22"/>
                <w:szCs w:val="22"/>
              </w:rPr>
              <w:t>2018</w:t>
            </w:r>
          </w:p>
        </w:tc>
        <w:tc>
          <w:tcPr>
            <w:tcW w:w="4536" w:type="dxa"/>
          </w:tcPr>
          <w:p w14:paraId="1869CF26" w14:textId="17EE1699" w:rsidR="00921B6F" w:rsidRPr="001442A7" w:rsidRDefault="00921B6F" w:rsidP="005846B5">
            <w:pPr>
              <w:pStyle w:val="Bullet"/>
              <w:numPr>
                <w:ilvl w:val="0"/>
                <w:numId w:val="0"/>
              </w:numPr>
              <w:rPr>
                <w:rFonts w:cs="Calibri Light"/>
                <w:sz w:val="22"/>
                <w:szCs w:val="22"/>
              </w:rPr>
            </w:pPr>
            <w:r w:rsidRPr="001442A7">
              <w:rPr>
                <w:rFonts w:cs="Calibri Light"/>
                <w:sz w:val="22"/>
                <w:szCs w:val="22"/>
              </w:rPr>
              <w:t>12</w:t>
            </w:r>
          </w:p>
        </w:tc>
      </w:tr>
      <w:tr w:rsidR="00921B6F" w:rsidRPr="001442A7" w14:paraId="20556E98" w14:textId="77777777" w:rsidTr="00921B6F">
        <w:tc>
          <w:tcPr>
            <w:tcW w:w="4536" w:type="dxa"/>
          </w:tcPr>
          <w:p w14:paraId="68DB2F19" w14:textId="12EA8B5F" w:rsidR="00921B6F" w:rsidRPr="001442A7" w:rsidRDefault="00921B6F" w:rsidP="005846B5">
            <w:pPr>
              <w:pStyle w:val="Bullet"/>
              <w:numPr>
                <w:ilvl w:val="0"/>
                <w:numId w:val="0"/>
              </w:numPr>
              <w:rPr>
                <w:rFonts w:cs="Calibri Light"/>
                <w:sz w:val="22"/>
                <w:szCs w:val="22"/>
              </w:rPr>
            </w:pPr>
            <w:r w:rsidRPr="001442A7">
              <w:rPr>
                <w:rFonts w:cs="Calibri Light"/>
                <w:sz w:val="22"/>
                <w:szCs w:val="22"/>
              </w:rPr>
              <w:t>2019</w:t>
            </w:r>
          </w:p>
        </w:tc>
        <w:tc>
          <w:tcPr>
            <w:tcW w:w="4536" w:type="dxa"/>
          </w:tcPr>
          <w:p w14:paraId="3BAABE5B" w14:textId="78273090" w:rsidR="00921B6F" w:rsidRPr="001442A7" w:rsidRDefault="00921B6F" w:rsidP="005846B5">
            <w:pPr>
              <w:pStyle w:val="Bullet"/>
              <w:numPr>
                <w:ilvl w:val="0"/>
                <w:numId w:val="0"/>
              </w:numPr>
              <w:rPr>
                <w:rFonts w:cs="Calibri Light"/>
                <w:sz w:val="22"/>
                <w:szCs w:val="22"/>
              </w:rPr>
            </w:pPr>
            <w:r w:rsidRPr="001442A7">
              <w:rPr>
                <w:rFonts w:cs="Calibri Light"/>
                <w:sz w:val="22"/>
                <w:szCs w:val="22"/>
              </w:rPr>
              <w:t>8</w:t>
            </w:r>
          </w:p>
        </w:tc>
      </w:tr>
      <w:tr w:rsidR="00921B6F" w:rsidRPr="001442A7" w14:paraId="73E59324" w14:textId="77777777" w:rsidTr="00921B6F">
        <w:tc>
          <w:tcPr>
            <w:tcW w:w="4536" w:type="dxa"/>
          </w:tcPr>
          <w:p w14:paraId="08808647" w14:textId="709BAB42" w:rsidR="00921B6F" w:rsidRPr="001442A7" w:rsidRDefault="00921B6F" w:rsidP="005846B5">
            <w:pPr>
              <w:pStyle w:val="Bullet"/>
              <w:numPr>
                <w:ilvl w:val="0"/>
                <w:numId w:val="0"/>
              </w:numPr>
              <w:rPr>
                <w:rFonts w:cs="Calibri Light"/>
                <w:sz w:val="22"/>
                <w:szCs w:val="22"/>
              </w:rPr>
            </w:pPr>
            <w:r w:rsidRPr="001442A7">
              <w:rPr>
                <w:rFonts w:cs="Calibri Light"/>
                <w:sz w:val="22"/>
                <w:szCs w:val="22"/>
              </w:rPr>
              <w:t>2020</w:t>
            </w:r>
          </w:p>
        </w:tc>
        <w:tc>
          <w:tcPr>
            <w:tcW w:w="4536" w:type="dxa"/>
          </w:tcPr>
          <w:p w14:paraId="45AC0917" w14:textId="0D0C5777" w:rsidR="00921B6F" w:rsidRPr="001442A7" w:rsidRDefault="00921B6F" w:rsidP="005846B5">
            <w:pPr>
              <w:pStyle w:val="Bullet"/>
              <w:numPr>
                <w:ilvl w:val="0"/>
                <w:numId w:val="0"/>
              </w:numPr>
              <w:rPr>
                <w:rFonts w:cs="Calibri Light"/>
                <w:sz w:val="22"/>
                <w:szCs w:val="22"/>
              </w:rPr>
            </w:pPr>
            <w:r w:rsidRPr="001442A7">
              <w:rPr>
                <w:rFonts w:cs="Calibri Light"/>
                <w:sz w:val="22"/>
                <w:szCs w:val="22"/>
              </w:rPr>
              <w:t>1</w:t>
            </w:r>
          </w:p>
        </w:tc>
      </w:tr>
      <w:tr w:rsidR="00921B6F" w:rsidRPr="001442A7" w14:paraId="5A108E86" w14:textId="77777777" w:rsidTr="00921B6F">
        <w:tc>
          <w:tcPr>
            <w:tcW w:w="4536" w:type="dxa"/>
          </w:tcPr>
          <w:p w14:paraId="74851E7F" w14:textId="311E693F" w:rsidR="00921B6F" w:rsidRPr="001442A7" w:rsidRDefault="00921B6F" w:rsidP="005846B5">
            <w:pPr>
              <w:pStyle w:val="Bullet"/>
              <w:numPr>
                <w:ilvl w:val="0"/>
                <w:numId w:val="0"/>
              </w:numPr>
              <w:rPr>
                <w:rFonts w:cs="Calibri Light"/>
                <w:sz w:val="22"/>
                <w:szCs w:val="22"/>
              </w:rPr>
            </w:pPr>
            <w:r w:rsidRPr="001442A7">
              <w:rPr>
                <w:rFonts w:cs="Calibri Light"/>
                <w:sz w:val="22"/>
                <w:szCs w:val="22"/>
              </w:rPr>
              <w:t>2021</w:t>
            </w:r>
          </w:p>
        </w:tc>
        <w:tc>
          <w:tcPr>
            <w:tcW w:w="4536" w:type="dxa"/>
          </w:tcPr>
          <w:p w14:paraId="31EFDD7B" w14:textId="6C8F193C" w:rsidR="00921B6F" w:rsidRPr="001442A7" w:rsidRDefault="00921B6F" w:rsidP="005846B5">
            <w:pPr>
              <w:pStyle w:val="Bullet"/>
              <w:numPr>
                <w:ilvl w:val="0"/>
                <w:numId w:val="0"/>
              </w:numPr>
              <w:rPr>
                <w:rFonts w:cs="Calibri Light"/>
                <w:sz w:val="22"/>
                <w:szCs w:val="22"/>
              </w:rPr>
            </w:pPr>
            <w:r w:rsidRPr="001442A7">
              <w:rPr>
                <w:rFonts w:cs="Calibri Light"/>
                <w:sz w:val="22"/>
                <w:szCs w:val="22"/>
              </w:rPr>
              <w:t>4</w:t>
            </w:r>
          </w:p>
        </w:tc>
      </w:tr>
      <w:tr w:rsidR="00921B6F" w:rsidRPr="001442A7" w14:paraId="339953D3" w14:textId="77777777" w:rsidTr="00921B6F">
        <w:tc>
          <w:tcPr>
            <w:tcW w:w="4536" w:type="dxa"/>
          </w:tcPr>
          <w:p w14:paraId="76C30E33" w14:textId="1539E121" w:rsidR="00921B6F" w:rsidRPr="001442A7" w:rsidRDefault="00921B6F" w:rsidP="005846B5">
            <w:pPr>
              <w:pStyle w:val="Bullet"/>
              <w:numPr>
                <w:ilvl w:val="0"/>
                <w:numId w:val="0"/>
              </w:numPr>
              <w:rPr>
                <w:rFonts w:cs="Calibri Light"/>
                <w:sz w:val="22"/>
                <w:szCs w:val="22"/>
              </w:rPr>
            </w:pPr>
            <w:r w:rsidRPr="001442A7">
              <w:rPr>
                <w:rFonts w:cs="Calibri Light"/>
                <w:sz w:val="22"/>
                <w:szCs w:val="22"/>
              </w:rPr>
              <w:lastRenderedPageBreak/>
              <w:t>2022</w:t>
            </w:r>
          </w:p>
        </w:tc>
        <w:tc>
          <w:tcPr>
            <w:tcW w:w="4536" w:type="dxa"/>
          </w:tcPr>
          <w:p w14:paraId="3404B4D0" w14:textId="3B27C082" w:rsidR="00921B6F" w:rsidRPr="001442A7" w:rsidRDefault="00921B6F" w:rsidP="005846B5">
            <w:pPr>
              <w:pStyle w:val="Bullet"/>
              <w:numPr>
                <w:ilvl w:val="0"/>
                <w:numId w:val="0"/>
              </w:numPr>
              <w:rPr>
                <w:rFonts w:cs="Calibri Light"/>
                <w:sz w:val="22"/>
                <w:szCs w:val="22"/>
              </w:rPr>
            </w:pPr>
            <w:r w:rsidRPr="001442A7">
              <w:rPr>
                <w:rFonts w:cs="Calibri Light"/>
                <w:sz w:val="22"/>
                <w:szCs w:val="22"/>
              </w:rPr>
              <w:t>0</w:t>
            </w:r>
          </w:p>
        </w:tc>
      </w:tr>
      <w:tr w:rsidR="00921B6F" w:rsidRPr="001442A7" w14:paraId="1BE4543C" w14:textId="77777777" w:rsidTr="00921B6F">
        <w:tc>
          <w:tcPr>
            <w:tcW w:w="4536" w:type="dxa"/>
          </w:tcPr>
          <w:p w14:paraId="7A8869DE" w14:textId="3D5E2A9D" w:rsidR="00921B6F" w:rsidRPr="001442A7" w:rsidRDefault="00921B6F" w:rsidP="00A55339">
            <w:pPr>
              <w:pStyle w:val="Bullet"/>
              <w:numPr>
                <w:ilvl w:val="0"/>
                <w:numId w:val="0"/>
              </w:numPr>
              <w:jc w:val="right"/>
              <w:rPr>
                <w:rFonts w:cs="Calibri Light"/>
                <w:b/>
                <w:bCs/>
                <w:sz w:val="22"/>
                <w:szCs w:val="22"/>
              </w:rPr>
            </w:pPr>
            <w:r w:rsidRPr="001442A7">
              <w:rPr>
                <w:rFonts w:cs="Calibri Light"/>
                <w:b/>
                <w:bCs/>
                <w:sz w:val="22"/>
                <w:szCs w:val="22"/>
              </w:rPr>
              <w:t>Total</w:t>
            </w:r>
          </w:p>
        </w:tc>
        <w:tc>
          <w:tcPr>
            <w:tcW w:w="4536" w:type="dxa"/>
          </w:tcPr>
          <w:p w14:paraId="5E5271CB" w14:textId="2615DD35" w:rsidR="00921B6F" w:rsidRPr="001442A7" w:rsidRDefault="00921B6F" w:rsidP="005846B5">
            <w:pPr>
              <w:pStyle w:val="Bullet"/>
              <w:numPr>
                <w:ilvl w:val="0"/>
                <w:numId w:val="0"/>
              </w:numPr>
              <w:rPr>
                <w:rFonts w:cs="Calibri Light"/>
                <w:b/>
                <w:bCs/>
                <w:sz w:val="22"/>
                <w:szCs w:val="22"/>
              </w:rPr>
            </w:pPr>
            <w:r w:rsidRPr="001442A7">
              <w:rPr>
                <w:rFonts w:cs="Calibri Light"/>
                <w:b/>
                <w:bCs/>
                <w:sz w:val="22"/>
                <w:szCs w:val="22"/>
              </w:rPr>
              <w:t>41</w:t>
            </w:r>
          </w:p>
        </w:tc>
      </w:tr>
    </w:tbl>
    <w:p w14:paraId="464B246A" w14:textId="7B04EB96" w:rsidR="00132D53" w:rsidRDefault="00B529ED" w:rsidP="005846B5">
      <w:pPr>
        <w:pStyle w:val="Bullet"/>
        <w:numPr>
          <w:ilvl w:val="0"/>
          <w:numId w:val="0"/>
        </w:numPr>
        <w:rPr>
          <w:rFonts w:cs="Calibri Light"/>
          <w:szCs w:val="22"/>
        </w:rPr>
      </w:pPr>
      <w:r>
        <w:rPr>
          <w:rFonts w:cs="Calibri Light"/>
          <w:szCs w:val="22"/>
        </w:rPr>
        <w:t xml:space="preserve"> </w:t>
      </w:r>
      <w:r w:rsidR="00132D53">
        <w:rPr>
          <w:rFonts w:cs="Calibri Light"/>
          <w:szCs w:val="22"/>
        </w:rPr>
        <w:br/>
        <w:t>Figure 1 below presents the new LIC and LIT admissions in comparison to the total number of listed LICs and LITs between 2017 and 2022.</w:t>
      </w:r>
    </w:p>
    <w:p w14:paraId="63F2F78C" w14:textId="7989F142" w:rsidR="00132D53" w:rsidRDefault="00AA774D" w:rsidP="005846B5">
      <w:pPr>
        <w:pStyle w:val="Bullet"/>
        <w:numPr>
          <w:ilvl w:val="0"/>
          <w:numId w:val="0"/>
        </w:numPr>
        <w:rPr>
          <w:rFonts w:cs="Calibri Light"/>
          <w:szCs w:val="22"/>
        </w:rPr>
      </w:pPr>
      <w:r>
        <w:rPr>
          <w:rFonts w:cs="Calibri Light"/>
          <w:noProof/>
          <w:szCs w:val="22"/>
        </w:rPr>
        <w:drawing>
          <wp:inline distT="0" distB="0" distL="0" distR="0" wp14:anchorId="6D619481" wp14:editId="7734EDCC">
            <wp:extent cx="5578475" cy="3017520"/>
            <wp:effectExtent l="0" t="0" r="3175" b="0"/>
            <wp:docPr id="9" name="Picture 9" descr="A column and line graph depicting the number of existing and new LICs and LITs in the period January 2017 -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lumn and line graph depicting the number of existing and new LICs and LITs in the period January 2017 - June 20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78475" cy="3017520"/>
                    </a:xfrm>
                    <a:prstGeom prst="rect">
                      <a:avLst/>
                    </a:prstGeom>
                    <a:noFill/>
                  </pic:spPr>
                </pic:pic>
              </a:graphicData>
            </a:graphic>
          </wp:inline>
        </w:drawing>
      </w:r>
    </w:p>
    <w:p w14:paraId="7ECD7F41" w14:textId="62670D25" w:rsidR="00B529ED" w:rsidRDefault="00132D53" w:rsidP="00A55339">
      <w:pPr>
        <w:pStyle w:val="Caption"/>
        <w:jc w:val="center"/>
        <w:rPr>
          <w:rFonts w:cs="Calibri Light"/>
          <w:szCs w:val="22"/>
        </w:rPr>
      </w:pPr>
      <w:r>
        <w:t xml:space="preserve">Figure </w:t>
      </w:r>
      <w:fldSimple w:instr=" SEQ Figure \* ARABIC ">
        <w:r w:rsidR="00EC02BC">
          <w:rPr>
            <w:noProof/>
          </w:rPr>
          <w:t>1</w:t>
        </w:r>
      </w:fldSimple>
      <w:r w:rsidR="00DC2AF2">
        <w:t xml:space="preserve"> </w:t>
      </w:r>
      <w:r w:rsidR="00847A63">
        <w:t>Admisssions and total number of LICs and LITs, 2017-2022</w:t>
      </w:r>
    </w:p>
    <w:p w14:paraId="04CE6530" w14:textId="13C1A146" w:rsidR="007347B9" w:rsidRDefault="007347B9" w:rsidP="005846B5">
      <w:pPr>
        <w:pStyle w:val="Bullet"/>
        <w:numPr>
          <w:ilvl w:val="0"/>
          <w:numId w:val="0"/>
        </w:numPr>
        <w:rPr>
          <w:rFonts w:cs="Calibri Light"/>
          <w:szCs w:val="22"/>
        </w:rPr>
      </w:pPr>
      <w:r>
        <w:rPr>
          <w:rFonts w:cs="Calibri Light"/>
        </w:rPr>
        <w:t>Submissions from the A</w:t>
      </w:r>
      <w:r w:rsidR="0055344F">
        <w:rPr>
          <w:rFonts w:cs="Calibri Light"/>
        </w:rPr>
        <w:t xml:space="preserve">ustralian </w:t>
      </w:r>
      <w:r>
        <w:rPr>
          <w:rFonts w:cs="Calibri Light"/>
        </w:rPr>
        <w:t>S</w:t>
      </w:r>
      <w:r w:rsidR="0055344F">
        <w:rPr>
          <w:rFonts w:cs="Calibri Light"/>
        </w:rPr>
        <w:t xml:space="preserve">hareholders </w:t>
      </w:r>
      <w:r>
        <w:rPr>
          <w:rFonts w:cs="Calibri Light"/>
        </w:rPr>
        <w:t>A</w:t>
      </w:r>
      <w:r w:rsidR="0055344F">
        <w:rPr>
          <w:rFonts w:cs="Calibri Light"/>
        </w:rPr>
        <w:t>ssociation (ASA)</w:t>
      </w:r>
      <w:r>
        <w:rPr>
          <w:rFonts w:cs="Calibri Light"/>
        </w:rPr>
        <w:t xml:space="preserve">, </w:t>
      </w:r>
      <w:r w:rsidR="0055344F">
        <w:rPr>
          <w:rFonts w:cs="Calibri Light"/>
        </w:rPr>
        <w:t>the Listed Investment Companies and Trusts (</w:t>
      </w:r>
      <w:r>
        <w:rPr>
          <w:rFonts w:cs="Calibri Light"/>
        </w:rPr>
        <w:t>LICAT</w:t>
      </w:r>
      <w:r w:rsidR="0055344F">
        <w:rPr>
          <w:rFonts w:cs="Calibri Light"/>
        </w:rPr>
        <w:t>)</w:t>
      </w:r>
      <w:r>
        <w:rPr>
          <w:rFonts w:cs="Calibri Light"/>
        </w:rPr>
        <w:t xml:space="preserve"> Association, </w:t>
      </w:r>
      <w:r w:rsidR="0055344F">
        <w:rPr>
          <w:rFonts w:cs="Calibri Light"/>
        </w:rPr>
        <w:t>the Stockbrokers and Investment Advisers Association (</w:t>
      </w:r>
      <w:r>
        <w:rPr>
          <w:rFonts w:cs="Calibri Light"/>
        </w:rPr>
        <w:t>SIAA</w:t>
      </w:r>
      <w:r w:rsidR="0055344F">
        <w:rPr>
          <w:rFonts w:cs="Calibri Light"/>
        </w:rPr>
        <w:t>)</w:t>
      </w:r>
      <w:r>
        <w:rPr>
          <w:rFonts w:cs="Calibri Light"/>
        </w:rPr>
        <w:t xml:space="preserve"> and</w:t>
      </w:r>
      <w:r w:rsidR="0055344F">
        <w:rPr>
          <w:rFonts w:cs="Calibri Light"/>
        </w:rPr>
        <w:t xml:space="preserve"> the</w:t>
      </w:r>
      <w:r>
        <w:rPr>
          <w:rFonts w:cs="Calibri Light"/>
        </w:rPr>
        <w:t xml:space="preserve"> </w:t>
      </w:r>
      <w:r w:rsidR="0055344F">
        <w:rPr>
          <w:rFonts w:cs="Calibri Light"/>
        </w:rPr>
        <w:t>Australian Financial Markets Association (</w:t>
      </w:r>
      <w:r>
        <w:rPr>
          <w:rFonts w:cs="Calibri Light"/>
        </w:rPr>
        <w:t>AFMA</w:t>
      </w:r>
      <w:r w:rsidR="0055344F">
        <w:rPr>
          <w:rFonts w:cs="Calibri Light"/>
        </w:rPr>
        <w:t>)</w:t>
      </w:r>
      <w:r>
        <w:rPr>
          <w:rFonts w:cs="Calibri Light"/>
        </w:rPr>
        <w:t xml:space="preserve"> noted the reduction in the number of LIC and LIT issuances since the removal of the exemption, describing this as an unintended consequence of the policy which has the effect of reducing investment options for consumers</w:t>
      </w:r>
      <w:r w:rsidR="00C816BE">
        <w:rPr>
          <w:rFonts w:cs="Calibri Light"/>
        </w:rPr>
        <w:t xml:space="preserve"> and reflects a reduction on support for LICs and LITs more generally</w:t>
      </w:r>
      <w:r>
        <w:rPr>
          <w:rFonts w:cs="Calibri Light"/>
        </w:rPr>
        <w:t>.</w:t>
      </w:r>
    </w:p>
    <w:p w14:paraId="7AA4C31E" w14:textId="338FD6EE" w:rsidR="00B529ED" w:rsidRDefault="007347B9" w:rsidP="005846B5">
      <w:pPr>
        <w:pStyle w:val="Bullet"/>
        <w:numPr>
          <w:ilvl w:val="0"/>
          <w:numId w:val="0"/>
        </w:numPr>
        <w:rPr>
          <w:rFonts w:cs="Calibri Light"/>
          <w:szCs w:val="22"/>
        </w:rPr>
      </w:pPr>
      <w:r>
        <w:rPr>
          <w:rFonts w:cs="Calibri Light"/>
          <w:szCs w:val="22"/>
        </w:rPr>
        <w:t>However, b</w:t>
      </w:r>
      <w:r w:rsidR="00D31308">
        <w:rPr>
          <w:rFonts w:cs="Calibri Light"/>
          <w:szCs w:val="22"/>
        </w:rPr>
        <w:t xml:space="preserve">ased on </w:t>
      </w:r>
      <w:r>
        <w:rPr>
          <w:rFonts w:cs="Calibri Light"/>
          <w:szCs w:val="22"/>
        </w:rPr>
        <w:t>the available</w:t>
      </w:r>
      <w:r w:rsidR="00D31308">
        <w:rPr>
          <w:rFonts w:cs="Calibri Light"/>
          <w:szCs w:val="22"/>
        </w:rPr>
        <w:t xml:space="preserve"> data</w:t>
      </w:r>
      <w:r w:rsidR="0001021A">
        <w:rPr>
          <w:rFonts w:cs="Calibri Light"/>
          <w:szCs w:val="22"/>
        </w:rPr>
        <w:t xml:space="preserve"> and the noting the limitations of a relatively small time period</w:t>
      </w:r>
      <w:r w:rsidR="00D31308">
        <w:rPr>
          <w:rFonts w:cs="Calibri Light"/>
          <w:szCs w:val="22"/>
        </w:rPr>
        <w:t>, new LIC and LIT listings</w:t>
      </w:r>
      <w:r w:rsidR="00B71F48">
        <w:rPr>
          <w:rFonts w:cs="Calibri Light"/>
          <w:szCs w:val="22"/>
        </w:rPr>
        <w:t xml:space="preserve"> were in decline prior to changes to the stamping fee exemption. </w:t>
      </w:r>
      <w:r w:rsidR="00132D53">
        <w:rPr>
          <w:rFonts w:cs="Calibri Light"/>
          <w:szCs w:val="22"/>
        </w:rPr>
        <w:t>The former Treasurer announced the previous government’s intention to extend the ban on stamping fees for LICs and LITs on 21 May 2020. In the five months directly preceding May 2020, there were no new LIC and LIT admissions to the ASX</w:t>
      </w:r>
      <w:r w:rsidR="00B00574">
        <w:rPr>
          <w:rFonts w:cs="Calibri Light"/>
          <w:szCs w:val="22"/>
        </w:rPr>
        <w:t>, indicating that IPOs were not in the pipeline even prior to the announcement of the ban’s extension</w:t>
      </w:r>
      <w:r w:rsidR="00132D53">
        <w:rPr>
          <w:rFonts w:cs="Calibri Light"/>
          <w:szCs w:val="22"/>
        </w:rPr>
        <w:t xml:space="preserve">. </w:t>
      </w:r>
      <w:r w:rsidR="007A6C00">
        <w:rPr>
          <w:rFonts w:cs="Calibri Light"/>
          <w:szCs w:val="22"/>
        </w:rPr>
        <w:t xml:space="preserve">Similarly, when comparing single data points </w:t>
      </w:r>
      <w:r w:rsidR="00B8294A">
        <w:rPr>
          <w:rFonts w:cs="Calibri Light"/>
          <w:szCs w:val="22"/>
        </w:rPr>
        <w:br/>
      </w:r>
      <w:r w:rsidR="007A6C00">
        <w:rPr>
          <w:rFonts w:cs="Calibri Light"/>
          <w:szCs w:val="22"/>
        </w:rPr>
        <w:t>pre- and post-extension of the ban, it may appear that the existing number of LICs and LITs has reduced (e.g. from 111 in June 2020 to 95 in June 2022). However, considering the full range of available data, the number of LIC</w:t>
      </w:r>
      <w:r w:rsidR="00B71F48">
        <w:rPr>
          <w:rFonts w:cs="Calibri Light"/>
          <w:szCs w:val="22"/>
        </w:rPr>
        <w:t>s and LITs</w:t>
      </w:r>
      <w:r w:rsidR="007A6C00">
        <w:rPr>
          <w:rFonts w:cs="Calibri Light"/>
          <w:szCs w:val="22"/>
        </w:rPr>
        <w:t xml:space="preserve"> in January 2017 was 96, reaching a peak of 1</w:t>
      </w:r>
      <w:r w:rsidR="00B71F48">
        <w:rPr>
          <w:rFonts w:cs="Calibri Light"/>
          <w:szCs w:val="22"/>
        </w:rPr>
        <w:t>1</w:t>
      </w:r>
      <w:r w:rsidR="007A6C00">
        <w:rPr>
          <w:rFonts w:cs="Calibri Light"/>
          <w:szCs w:val="22"/>
        </w:rPr>
        <w:t xml:space="preserve">4 in </w:t>
      </w:r>
      <w:r w:rsidR="007A6C00">
        <w:rPr>
          <w:rFonts w:cs="Calibri Light"/>
          <w:szCs w:val="22"/>
        </w:rPr>
        <w:lastRenderedPageBreak/>
        <w:t>November 2018 and then moving into a gradual decline from December 2019.</w:t>
      </w:r>
      <w:r w:rsidR="008E3461">
        <w:rPr>
          <w:rFonts w:cs="Calibri Light"/>
          <w:szCs w:val="22"/>
        </w:rPr>
        <w:t xml:space="preserve"> As such, the change in the total number of LICs and LITs may be indicative of a natural cycle within the market.</w:t>
      </w:r>
      <w:r w:rsidR="000437EE" w:rsidRPr="002D5348">
        <w:rPr>
          <w:rStyle w:val="FootnoteReference"/>
          <w:rFonts w:cs="Calibri Light"/>
          <w:szCs w:val="22"/>
          <w:vertAlign w:val="superscript"/>
        </w:rPr>
        <w:footnoteReference w:id="41"/>
      </w:r>
      <w:r w:rsidR="00D31308" w:rsidRPr="002D5348">
        <w:rPr>
          <w:rFonts w:cs="Calibri Light"/>
          <w:szCs w:val="22"/>
          <w:vertAlign w:val="superscript"/>
        </w:rPr>
        <w:t xml:space="preserve"> </w:t>
      </w:r>
    </w:p>
    <w:p w14:paraId="405FB3F0" w14:textId="584AAE55" w:rsidR="00A7432D" w:rsidRDefault="00A7432D" w:rsidP="00A7432D">
      <w:pPr>
        <w:pStyle w:val="Bullet"/>
        <w:numPr>
          <w:ilvl w:val="0"/>
          <w:numId w:val="0"/>
        </w:numPr>
        <w:rPr>
          <w:rFonts w:cs="Calibri Light"/>
          <w:szCs w:val="22"/>
        </w:rPr>
      </w:pPr>
      <w:r>
        <w:rPr>
          <w:rFonts w:cs="Calibri Light"/>
          <w:szCs w:val="22"/>
        </w:rPr>
        <w:t>In addition, in attempting to draw a causal link between the regulation and the reduction in new LIC and LIT issuances and existing offerings, it is important to consider the impact of other relevant global factors, such as the ongoing effects of the COVID-19 pandemic and other macroeconomic factors, including those caused by geopolitical instability. For example, the contemporary media release from then-Treasurer the Hon Josh Frydenberg noted that new LIC capital raisings had ‘largely ceased since the inception of COVID-19’, prior to the extension of the ban.</w:t>
      </w:r>
      <w:r w:rsidRPr="00A55339">
        <w:rPr>
          <w:rStyle w:val="FootnoteReference"/>
          <w:rFonts w:cs="Calibri Light"/>
          <w:szCs w:val="22"/>
          <w:vertAlign w:val="superscript"/>
        </w:rPr>
        <w:footnoteReference w:id="42"/>
      </w:r>
      <w:r>
        <w:rPr>
          <w:rFonts w:cs="Calibri Light"/>
          <w:szCs w:val="22"/>
        </w:rPr>
        <w:t xml:space="preserve"> Within the confines of this targeted </w:t>
      </w:r>
      <w:r w:rsidR="002D5348">
        <w:rPr>
          <w:rFonts w:cs="Calibri Light"/>
          <w:szCs w:val="22"/>
        </w:rPr>
        <w:t>PIR</w:t>
      </w:r>
      <w:r>
        <w:rPr>
          <w:rFonts w:cs="Calibri Light"/>
          <w:szCs w:val="22"/>
        </w:rPr>
        <w:t>, it is not possible to control for these confounding factors to isolate causation.</w:t>
      </w:r>
    </w:p>
    <w:p w14:paraId="5FA490B0" w14:textId="51E2443A" w:rsidR="007347B9" w:rsidRDefault="007347B9" w:rsidP="007347B9">
      <w:pPr>
        <w:pStyle w:val="Bullet"/>
        <w:numPr>
          <w:ilvl w:val="0"/>
          <w:numId w:val="0"/>
        </w:numPr>
        <w:rPr>
          <w:rFonts w:cs="Calibri Light"/>
          <w:szCs w:val="22"/>
        </w:rPr>
      </w:pPr>
      <w:r>
        <w:rPr>
          <w:rFonts w:cs="Calibri Light"/>
          <w:szCs w:val="22"/>
        </w:rPr>
        <w:t>Further, it could be argued that a reduction in LIC and LIT issuances is not an unintended consequence of regulation, but a necessary correction in the market driven by the changes to increase consumer protections</w:t>
      </w:r>
      <w:r w:rsidR="008E02A0">
        <w:rPr>
          <w:rFonts w:cs="Calibri Light"/>
          <w:szCs w:val="22"/>
        </w:rPr>
        <w:t xml:space="preserve"> for retail investors</w:t>
      </w:r>
      <w:r>
        <w:rPr>
          <w:rFonts w:cs="Calibri Light"/>
          <w:szCs w:val="22"/>
        </w:rPr>
        <w:t>. Without the incentive of stamping fees for advisers to push the product to consumers, it is possible that lower quality LIC and LIT offerings are unable to find a market. It is beyond the scope of this review, and may not be feasible, to identify and examine the individual circumstances driving the decisions to not bring forward new LIC or LIT offerings. Between June 2020 and June 2022, the number of exchange traded products (including ETFs) increased from 208 to 252</w:t>
      </w:r>
      <w:r>
        <w:rPr>
          <w:rFonts w:cs="Calibri Light"/>
          <w:szCs w:val="22"/>
          <w:lang w:val="en-US"/>
        </w:rPr>
        <w:t>, with an increase in market capitalisation from $65.64 billion to $119.04 billion.</w:t>
      </w:r>
      <w:r w:rsidRPr="00A55339">
        <w:rPr>
          <w:rStyle w:val="FootnoteReference"/>
          <w:rFonts w:cs="Calibri Light"/>
          <w:szCs w:val="22"/>
          <w:vertAlign w:val="superscript"/>
          <w:lang w:val="en-US"/>
        </w:rPr>
        <w:footnoteReference w:id="43"/>
      </w:r>
      <w:r>
        <w:rPr>
          <w:rFonts w:cs="Calibri Light"/>
          <w:szCs w:val="22"/>
          <w:lang w:val="en-US"/>
        </w:rPr>
        <w:t xml:space="preserve"> As these products do not attract stamping fees, it would be reasonable to attribute growth in this category to more organic consumer demand based on perceived performance. Even with a reduction in new and existing LICs and LITs, consumers are still able to access a range of closed- and open-end investment vehicles, depending on their needs and interests and (where relevant) based on advice that is free from the conflict generated by stamping fees.</w:t>
      </w:r>
    </w:p>
    <w:p w14:paraId="4EBA9566" w14:textId="240F8DF7" w:rsidR="00F1123D" w:rsidRPr="00167980" w:rsidRDefault="00F1123D" w:rsidP="00F1123D">
      <w:pPr>
        <w:pStyle w:val="Bullet"/>
        <w:numPr>
          <w:ilvl w:val="0"/>
          <w:numId w:val="0"/>
        </w:numPr>
        <w:rPr>
          <w:rFonts w:cs="Calibri Light"/>
          <w:szCs w:val="22"/>
        </w:rPr>
      </w:pPr>
      <w:r>
        <w:rPr>
          <w:rFonts w:cs="Calibri Light"/>
          <w:szCs w:val="22"/>
        </w:rPr>
        <w:t>Treasury considers that the</w:t>
      </w:r>
      <w:r w:rsidR="00022050">
        <w:rPr>
          <w:rFonts w:cs="Calibri Light"/>
          <w:szCs w:val="22"/>
        </w:rPr>
        <w:t xml:space="preserve"> minor</w:t>
      </w:r>
      <w:r>
        <w:rPr>
          <w:rFonts w:cs="Calibri Light"/>
          <w:szCs w:val="22"/>
        </w:rPr>
        <w:t xml:space="preserve"> reduction in new and existing LICs and LITs</w:t>
      </w:r>
      <w:r w:rsidR="00410565">
        <w:rPr>
          <w:rFonts w:cs="Calibri Light"/>
          <w:szCs w:val="22"/>
        </w:rPr>
        <w:t xml:space="preserve"> </w:t>
      </w:r>
      <w:r>
        <w:rPr>
          <w:rFonts w:cs="Calibri Light"/>
          <w:szCs w:val="22"/>
        </w:rPr>
        <w:t>and its potential to represent fewer investment options for consumer</w:t>
      </w:r>
      <w:r w:rsidR="00410565">
        <w:rPr>
          <w:rFonts w:cs="Calibri Light"/>
          <w:szCs w:val="22"/>
        </w:rPr>
        <w:t>s, even if attributable to the regulatory change, i</w:t>
      </w:r>
      <w:r>
        <w:rPr>
          <w:rFonts w:cs="Calibri Light"/>
          <w:szCs w:val="22"/>
        </w:rPr>
        <w:t xml:space="preserve">s balanced against the need to remove conflicted remuneration and thus improve the quality of advice and protect against poor consumer outcomes. This was a stated objective of the regulation. </w:t>
      </w:r>
      <w:bookmarkStart w:id="32" w:name="_Hlk109817586"/>
      <w:r>
        <w:rPr>
          <w:rFonts w:cs="Calibri Light"/>
          <w:szCs w:val="22"/>
        </w:rPr>
        <w:t>Unfortunately, it is not possible to quantify the absence of poor consumer outcomes we expect has been generated by the regulation. There is no appropriate available data to quantify how consumers’ changed investment product choices, based on unconflicted advice, might have resulted in enhanced performance in relation to their financial objectives</w:t>
      </w:r>
      <w:bookmarkEnd w:id="32"/>
      <w:r>
        <w:rPr>
          <w:rFonts w:cs="Calibri Light"/>
          <w:szCs w:val="22"/>
        </w:rPr>
        <w:t xml:space="preserve">. </w:t>
      </w:r>
      <w:r>
        <w:rPr>
          <w:rFonts w:cs="Calibri Light"/>
          <w:iCs/>
          <w:spacing w:val="-1"/>
        </w:rPr>
        <w:t xml:space="preserve">As such, drawing definitive conclusions is beyond the capacity of this review. </w:t>
      </w:r>
      <w:r w:rsidR="00467E71">
        <w:rPr>
          <w:rFonts w:cs="Calibri Light"/>
          <w:iCs/>
          <w:spacing w:val="-1"/>
        </w:rPr>
        <w:t xml:space="preserve">As indicated above, as at June 2022 there are still 95 LICs and LITs listed on the ASX. The intent of regulation was not to remove LICs and LITs as investment option for consumers, </w:t>
      </w:r>
      <w:r w:rsidR="00467E71">
        <w:rPr>
          <w:rFonts w:cs="Calibri Light"/>
          <w:iCs/>
          <w:spacing w:val="-1"/>
        </w:rPr>
        <w:lastRenderedPageBreak/>
        <w:t>and this has not occurred.</w:t>
      </w:r>
      <w:r w:rsidR="009C26AC">
        <w:rPr>
          <w:rFonts w:cs="Calibri Light"/>
          <w:iCs/>
          <w:spacing w:val="-1"/>
        </w:rPr>
        <w:t xml:space="preserve"> A market of good-quality investment products should be able to adjust and implement methods for raising capital</w:t>
      </w:r>
      <w:r w:rsidR="00414EB5">
        <w:rPr>
          <w:rFonts w:cs="Calibri Light"/>
          <w:iCs/>
          <w:spacing w:val="-1"/>
        </w:rPr>
        <w:t xml:space="preserve"> that do not rely on the provision of conflicted remuneration to financial advisers</w:t>
      </w:r>
      <w:r w:rsidR="009C26AC">
        <w:rPr>
          <w:rFonts w:cs="Calibri Light"/>
          <w:iCs/>
          <w:spacing w:val="-1"/>
        </w:rPr>
        <w:t xml:space="preserve">. </w:t>
      </w:r>
    </w:p>
    <w:p w14:paraId="6DEE8266" w14:textId="0A982A98" w:rsidR="002B2F1C" w:rsidRDefault="006A38B2" w:rsidP="00F5380C">
      <w:pPr>
        <w:pStyle w:val="Dash"/>
        <w:numPr>
          <w:ilvl w:val="0"/>
          <w:numId w:val="0"/>
        </w:numPr>
        <w:tabs>
          <w:tab w:val="left" w:pos="720"/>
        </w:tabs>
        <w:spacing w:line="276" w:lineRule="auto"/>
        <w:rPr>
          <w:rFonts w:cs="Calibri Light"/>
          <w:szCs w:val="22"/>
        </w:rPr>
      </w:pPr>
      <w:r>
        <w:rPr>
          <w:rFonts w:cs="Calibri Light"/>
          <w:szCs w:val="22"/>
        </w:rPr>
        <w:t>In its submission, AFMA noted that i</w:t>
      </w:r>
      <w:r w:rsidR="00A7351B">
        <w:rPr>
          <w:rFonts w:cs="Calibri Light"/>
          <w:szCs w:val="22"/>
        </w:rPr>
        <w:t>t</w:t>
      </w:r>
      <w:r>
        <w:rPr>
          <w:rFonts w:cs="Calibri Light"/>
          <w:szCs w:val="22"/>
        </w:rPr>
        <w:t>s members had reported that the removal of stamping fees</w:t>
      </w:r>
      <w:r w:rsidR="002B2F1C">
        <w:rPr>
          <w:rFonts w:cs="Calibri Light"/>
          <w:szCs w:val="22"/>
        </w:rPr>
        <w:t xml:space="preserve"> may have increased the cost of providing advice in cases where these were previously used to subsidise this cost for consumers. </w:t>
      </w:r>
      <w:r w:rsidR="00D56226">
        <w:rPr>
          <w:rFonts w:cs="Calibri Light"/>
          <w:szCs w:val="22"/>
        </w:rPr>
        <w:t xml:space="preserve">In the shift from a remuneration model based on commissions or other conflicted remuneration to a fee-for-service model, it is not unexpected that upfront fees to consumers would increase. However, this does not indicate that the overall cost has increased, rather </w:t>
      </w:r>
      <w:r w:rsidR="00DD63A8">
        <w:rPr>
          <w:rFonts w:cs="Calibri Light"/>
          <w:szCs w:val="22"/>
        </w:rPr>
        <w:t xml:space="preserve">that </w:t>
      </w:r>
      <w:r w:rsidR="00D56226">
        <w:rPr>
          <w:rFonts w:cs="Calibri Light"/>
          <w:szCs w:val="22"/>
        </w:rPr>
        <w:t xml:space="preserve">it has shifted and become clearer to the consumer the </w:t>
      </w:r>
      <w:r w:rsidR="003B222C">
        <w:rPr>
          <w:rFonts w:cs="Calibri Light"/>
          <w:szCs w:val="22"/>
        </w:rPr>
        <w:t xml:space="preserve">actual </w:t>
      </w:r>
      <w:r w:rsidR="00D56226">
        <w:rPr>
          <w:rFonts w:cs="Calibri Light"/>
          <w:szCs w:val="22"/>
        </w:rPr>
        <w:t xml:space="preserve">price that is being paid. </w:t>
      </w:r>
    </w:p>
    <w:p w14:paraId="15D451C5" w14:textId="7948E3E1" w:rsidR="0048039D" w:rsidRDefault="0048039D" w:rsidP="005846B5">
      <w:pPr>
        <w:pStyle w:val="Dash"/>
        <w:numPr>
          <w:ilvl w:val="0"/>
          <w:numId w:val="0"/>
        </w:numPr>
        <w:tabs>
          <w:tab w:val="left" w:pos="720"/>
        </w:tabs>
        <w:spacing w:line="276" w:lineRule="auto"/>
        <w:rPr>
          <w:rFonts w:cs="Calibri Light"/>
          <w:szCs w:val="22"/>
        </w:rPr>
      </w:pPr>
      <w:r>
        <w:rPr>
          <w:rFonts w:cs="Calibri Light"/>
          <w:szCs w:val="22"/>
        </w:rPr>
        <w:t xml:space="preserve">ASIC incorporated the extension of the ban on conflicted remuneration to LIC and LIT stamping fees into its existing industry monitoring arrangements. ASIC recovers </w:t>
      </w:r>
      <w:r w:rsidR="006B6D2E">
        <w:rPr>
          <w:rFonts w:cs="Calibri Light"/>
          <w:szCs w:val="22"/>
        </w:rPr>
        <w:t>the cost of administering these regulations</w:t>
      </w:r>
      <w:r>
        <w:rPr>
          <w:rFonts w:cs="Calibri Light"/>
          <w:szCs w:val="22"/>
        </w:rPr>
        <w:t xml:space="preserve"> from relevant industry subsectors. ASIC’s </w:t>
      </w:r>
      <w:r w:rsidRPr="00FC7846">
        <w:rPr>
          <w:rFonts w:cs="Calibri Light"/>
          <w:szCs w:val="22"/>
        </w:rPr>
        <w:t xml:space="preserve">Cost Recovery Implementation Statement shows that between </w:t>
      </w:r>
      <w:r w:rsidR="002A0AEB">
        <w:rPr>
          <w:rFonts w:cs="Calibri Light"/>
          <w:szCs w:val="22"/>
        </w:rPr>
        <w:t>financial year 20</w:t>
      </w:r>
      <w:r w:rsidRPr="00FC7846">
        <w:rPr>
          <w:rFonts w:cs="Calibri Light"/>
          <w:szCs w:val="22"/>
        </w:rPr>
        <w:t>19-</w:t>
      </w:r>
      <w:r w:rsidR="002A0AEB">
        <w:rPr>
          <w:rFonts w:cs="Calibri Light"/>
          <w:szCs w:val="22"/>
        </w:rPr>
        <w:t>20</w:t>
      </w:r>
      <w:r w:rsidRPr="00FC7846">
        <w:rPr>
          <w:rFonts w:cs="Calibri Light"/>
          <w:szCs w:val="22"/>
        </w:rPr>
        <w:t xml:space="preserve">20 and </w:t>
      </w:r>
      <w:r w:rsidR="002A0AEB">
        <w:rPr>
          <w:rFonts w:cs="Calibri Light"/>
          <w:szCs w:val="22"/>
        </w:rPr>
        <w:t>20</w:t>
      </w:r>
      <w:r w:rsidRPr="00FC7846">
        <w:rPr>
          <w:rFonts w:cs="Calibri Light"/>
          <w:szCs w:val="22"/>
        </w:rPr>
        <w:t>20-</w:t>
      </w:r>
      <w:r w:rsidR="002A0AEB">
        <w:rPr>
          <w:rFonts w:cs="Calibri Light"/>
          <w:szCs w:val="22"/>
        </w:rPr>
        <w:t>20</w:t>
      </w:r>
      <w:r w:rsidRPr="00FC7846">
        <w:rPr>
          <w:rFonts w:cs="Calibri Light"/>
          <w:szCs w:val="22"/>
        </w:rPr>
        <w:t>21 the total costs to be recovered from financial advisers increased</w:t>
      </w:r>
      <w:r w:rsidR="002A0AEB">
        <w:rPr>
          <w:rFonts w:cs="Calibri Light"/>
          <w:szCs w:val="22"/>
        </w:rPr>
        <w:t>.</w:t>
      </w:r>
      <w:r w:rsidR="002A0AEB" w:rsidRPr="00DD63A8">
        <w:rPr>
          <w:rStyle w:val="FootnoteReference"/>
          <w:rFonts w:cs="Calibri Light"/>
          <w:szCs w:val="22"/>
          <w:vertAlign w:val="superscript"/>
        </w:rPr>
        <w:footnoteReference w:id="44"/>
      </w:r>
      <w:r>
        <w:rPr>
          <w:rFonts w:cs="Calibri Light"/>
          <w:szCs w:val="22"/>
        </w:rPr>
        <w:t xml:space="preserve"> </w:t>
      </w:r>
      <w:r w:rsidR="002A0AEB">
        <w:rPr>
          <w:rFonts w:cs="Calibri Light"/>
          <w:szCs w:val="22"/>
        </w:rPr>
        <w:t xml:space="preserve">However, </w:t>
      </w:r>
      <w:r>
        <w:rPr>
          <w:rFonts w:cs="Calibri Light"/>
          <w:szCs w:val="22"/>
        </w:rPr>
        <w:t>this incorporates the implementation of other regulatory mechanism</w:t>
      </w:r>
      <w:r w:rsidR="002A0AEB">
        <w:rPr>
          <w:rFonts w:cs="Calibri Light"/>
          <w:szCs w:val="22"/>
        </w:rPr>
        <w:t>s</w:t>
      </w:r>
      <w:r>
        <w:rPr>
          <w:rFonts w:cs="Calibri Light"/>
          <w:szCs w:val="22"/>
        </w:rPr>
        <w:t xml:space="preserve">, including following the Financial Services Royal Commission. </w:t>
      </w:r>
      <w:r w:rsidR="002A0AEB">
        <w:rPr>
          <w:rFonts w:cs="Calibri Light"/>
          <w:szCs w:val="22"/>
        </w:rPr>
        <w:t>As such, i</w:t>
      </w:r>
      <w:r>
        <w:rPr>
          <w:rFonts w:cs="Calibri Light"/>
          <w:szCs w:val="22"/>
        </w:rPr>
        <w:t>t is not possible to separate out the specific costs associated with expanded ASIC monitoring following the extension of the ban on conflicted remuneration to stamping fees.</w:t>
      </w:r>
    </w:p>
    <w:p w14:paraId="0AA45288" w14:textId="4EDCEFE2" w:rsidR="002E72F1" w:rsidRDefault="002E72F1" w:rsidP="00EB1118">
      <w:pPr>
        <w:pStyle w:val="Heading2"/>
        <w:spacing w:before="240" w:after="240"/>
      </w:pPr>
      <w:bookmarkStart w:id="34" w:name="_Toc109905922"/>
      <w:r>
        <w:t>Which stakeholders have been consulted for this review?</w:t>
      </w:r>
      <w:bookmarkEnd w:id="34"/>
    </w:p>
    <w:p w14:paraId="2A64F20D" w14:textId="2FC407B9" w:rsidR="001A052B" w:rsidRPr="00FC7846" w:rsidRDefault="001A052B" w:rsidP="005846B5">
      <w:pPr>
        <w:pStyle w:val="BodyText"/>
        <w:spacing w:before="167" w:line="276" w:lineRule="auto"/>
        <w:ind w:left="0" w:right="384"/>
        <w:rPr>
          <w:rFonts w:ascii="Calibri Light" w:hAnsi="Calibri Light" w:cs="Calibri Light"/>
          <w:spacing w:val="-1"/>
        </w:rPr>
      </w:pPr>
      <w:r w:rsidRPr="00FC7846">
        <w:rPr>
          <w:rFonts w:ascii="Calibri Light" w:hAnsi="Calibri Light" w:cs="Calibri Light"/>
          <w:spacing w:val="-1"/>
        </w:rPr>
        <w:t>In conducting this PIR, Treasury released a</w:t>
      </w:r>
      <w:r w:rsidR="001613A2">
        <w:rPr>
          <w:rFonts w:ascii="Calibri Light" w:hAnsi="Calibri Light" w:cs="Calibri Light"/>
          <w:spacing w:val="-1"/>
        </w:rPr>
        <w:t>n online</w:t>
      </w:r>
      <w:r w:rsidRPr="00FC7846">
        <w:rPr>
          <w:rFonts w:ascii="Calibri Light" w:hAnsi="Calibri Light" w:cs="Calibri Light"/>
          <w:spacing w:val="-1"/>
        </w:rPr>
        <w:t xml:space="preserve"> discussion paper for industry consultation between 28 June 2022 and 10 July 2022. This consultation process attracted </w:t>
      </w:r>
      <w:r w:rsidR="00AB4ABD">
        <w:rPr>
          <w:rFonts w:ascii="Calibri Light" w:hAnsi="Calibri Light" w:cs="Calibri Light"/>
          <w:spacing w:val="-1"/>
        </w:rPr>
        <w:t>seven</w:t>
      </w:r>
      <w:r w:rsidR="00AB4ABD" w:rsidRPr="00FC7846">
        <w:rPr>
          <w:rFonts w:ascii="Calibri Light" w:hAnsi="Calibri Light" w:cs="Calibri Light"/>
          <w:spacing w:val="-1"/>
        </w:rPr>
        <w:t xml:space="preserve"> </w:t>
      </w:r>
      <w:r w:rsidRPr="00FC7846">
        <w:rPr>
          <w:rFonts w:ascii="Calibri Light" w:hAnsi="Calibri Light" w:cs="Calibri Light"/>
          <w:spacing w:val="-1"/>
        </w:rPr>
        <w:t xml:space="preserve">written </w:t>
      </w:r>
      <w:r w:rsidR="008D0322">
        <w:rPr>
          <w:rFonts w:ascii="Calibri Light" w:hAnsi="Calibri Light" w:cs="Calibri Light"/>
          <w:spacing w:val="-1"/>
        </w:rPr>
        <w:t xml:space="preserve">submissions </w:t>
      </w:r>
      <w:r w:rsidRPr="00FC7846">
        <w:rPr>
          <w:rFonts w:ascii="Calibri Light" w:hAnsi="Calibri Light" w:cs="Calibri Light"/>
          <w:spacing w:val="-1"/>
        </w:rPr>
        <w:t>and one verbal submission from the following stakeholders</w:t>
      </w:r>
      <w:r w:rsidR="00FC7846">
        <w:rPr>
          <w:rFonts w:ascii="Calibri Light" w:hAnsi="Calibri Light" w:cs="Calibri Light"/>
          <w:spacing w:val="-1"/>
        </w:rPr>
        <w:t>:</w:t>
      </w:r>
    </w:p>
    <w:p w14:paraId="011876E5" w14:textId="166EFC24" w:rsidR="00F45B65" w:rsidRPr="00FC7846" w:rsidRDefault="0055344F" w:rsidP="005846B5">
      <w:pPr>
        <w:widowControl w:val="0"/>
        <w:numPr>
          <w:ilvl w:val="0"/>
          <w:numId w:val="22"/>
        </w:numPr>
        <w:tabs>
          <w:tab w:val="left" w:pos="622"/>
        </w:tabs>
        <w:spacing w:line="276" w:lineRule="auto"/>
        <w:ind w:right="641"/>
        <w:rPr>
          <w:rFonts w:eastAsia="Calibri" w:cs="Calibri Light"/>
          <w:bCs/>
          <w:szCs w:val="22"/>
        </w:rPr>
      </w:pPr>
      <w:r>
        <w:rPr>
          <w:rFonts w:cs="Calibri Light"/>
          <w:bCs/>
          <w:spacing w:val="-1"/>
        </w:rPr>
        <w:t>ASA</w:t>
      </w:r>
      <w:r w:rsidR="007C1B83" w:rsidRPr="00FC7846">
        <w:rPr>
          <w:rFonts w:cs="Calibri Light"/>
          <w:bCs/>
          <w:spacing w:val="-1"/>
        </w:rPr>
        <w:t xml:space="preserve"> – </w:t>
      </w:r>
      <w:r w:rsidR="001A052B" w:rsidRPr="00FC7846">
        <w:rPr>
          <w:rFonts w:cs="Calibri Light"/>
          <w:bCs/>
          <w:spacing w:val="-1"/>
        </w:rPr>
        <w:t xml:space="preserve">a member-based industry </w:t>
      </w:r>
      <w:r w:rsidR="007C1B83" w:rsidRPr="00FC7846">
        <w:rPr>
          <w:rFonts w:cs="Calibri Light"/>
          <w:bCs/>
          <w:spacing w:val="-1"/>
        </w:rPr>
        <w:t>body</w:t>
      </w:r>
      <w:r w:rsidR="001A052B" w:rsidRPr="00FC7846">
        <w:rPr>
          <w:rFonts w:cs="Calibri Light"/>
          <w:bCs/>
          <w:spacing w:val="-1"/>
        </w:rPr>
        <w:t xml:space="preserve"> </w:t>
      </w:r>
    </w:p>
    <w:p w14:paraId="16348B65" w14:textId="162D8CCD" w:rsidR="001A052B" w:rsidRPr="00FC7846" w:rsidRDefault="00EF7C8D" w:rsidP="005846B5">
      <w:pPr>
        <w:widowControl w:val="0"/>
        <w:numPr>
          <w:ilvl w:val="0"/>
          <w:numId w:val="22"/>
        </w:numPr>
        <w:tabs>
          <w:tab w:val="left" w:pos="622"/>
        </w:tabs>
        <w:spacing w:line="276" w:lineRule="auto"/>
        <w:ind w:right="641"/>
        <w:rPr>
          <w:rFonts w:eastAsia="Calibri" w:cs="Calibri Light"/>
          <w:bCs/>
          <w:szCs w:val="22"/>
        </w:rPr>
      </w:pPr>
      <w:r>
        <w:rPr>
          <w:rFonts w:cs="Calibri Light"/>
          <w:bCs/>
          <w:spacing w:val="-1"/>
        </w:rPr>
        <w:t>Confidential stakeholder</w:t>
      </w:r>
    </w:p>
    <w:p w14:paraId="1B686FEA" w14:textId="2F5A6C74" w:rsidR="001A052B" w:rsidRPr="00FC7846" w:rsidRDefault="007C1B83" w:rsidP="005846B5">
      <w:pPr>
        <w:widowControl w:val="0"/>
        <w:numPr>
          <w:ilvl w:val="0"/>
          <w:numId w:val="22"/>
        </w:numPr>
        <w:tabs>
          <w:tab w:val="left" w:pos="622"/>
        </w:tabs>
        <w:spacing w:line="276" w:lineRule="auto"/>
        <w:ind w:right="641"/>
        <w:rPr>
          <w:rFonts w:eastAsia="Calibri" w:cs="Calibri Light"/>
          <w:bCs/>
          <w:szCs w:val="22"/>
        </w:rPr>
      </w:pPr>
      <w:r w:rsidRPr="00FC7846">
        <w:rPr>
          <w:rFonts w:cs="Calibri Light"/>
          <w:bCs/>
          <w:spacing w:val="-1"/>
        </w:rPr>
        <w:t xml:space="preserve">LICAT </w:t>
      </w:r>
      <w:r w:rsidR="001A052B" w:rsidRPr="00FC7846">
        <w:rPr>
          <w:rFonts w:cs="Calibri Light"/>
          <w:bCs/>
          <w:spacing w:val="-1"/>
        </w:rPr>
        <w:t>Association</w:t>
      </w:r>
      <w:r w:rsidRPr="00FC7846">
        <w:rPr>
          <w:rFonts w:cs="Calibri Light"/>
          <w:bCs/>
          <w:spacing w:val="-1"/>
        </w:rPr>
        <w:t xml:space="preserve"> – the industry body for LICs, LITs and their investors</w:t>
      </w:r>
    </w:p>
    <w:p w14:paraId="2285B751" w14:textId="2B905566" w:rsidR="001A052B" w:rsidRPr="00FC7846" w:rsidRDefault="007C1B83" w:rsidP="005846B5">
      <w:pPr>
        <w:widowControl w:val="0"/>
        <w:numPr>
          <w:ilvl w:val="0"/>
          <w:numId w:val="22"/>
        </w:numPr>
        <w:tabs>
          <w:tab w:val="left" w:pos="622"/>
        </w:tabs>
        <w:spacing w:line="276" w:lineRule="auto"/>
        <w:ind w:right="641"/>
        <w:rPr>
          <w:rFonts w:eastAsia="Calibri" w:cs="Calibri Light"/>
          <w:bCs/>
          <w:szCs w:val="22"/>
        </w:rPr>
      </w:pPr>
      <w:r w:rsidRPr="00FC7846">
        <w:rPr>
          <w:rFonts w:cs="Calibri Light"/>
          <w:bCs/>
          <w:spacing w:val="-1"/>
        </w:rPr>
        <w:t>SIAA – the professional body for the stockbroking and investment advice industry</w:t>
      </w:r>
    </w:p>
    <w:p w14:paraId="053F16F5" w14:textId="12F974D8" w:rsidR="001A052B" w:rsidRPr="00FC7846" w:rsidRDefault="001A052B" w:rsidP="005846B5">
      <w:pPr>
        <w:widowControl w:val="0"/>
        <w:numPr>
          <w:ilvl w:val="0"/>
          <w:numId w:val="22"/>
        </w:numPr>
        <w:tabs>
          <w:tab w:val="left" w:pos="622"/>
        </w:tabs>
        <w:spacing w:line="276" w:lineRule="auto"/>
        <w:ind w:right="641"/>
        <w:rPr>
          <w:rFonts w:eastAsia="Calibri" w:cs="Calibri Light"/>
          <w:bCs/>
          <w:szCs w:val="22"/>
        </w:rPr>
      </w:pPr>
      <w:r w:rsidRPr="00FC7846">
        <w:rPr>
          <w:rFonts w:cs="Calibri Light"/>
          <w:bCs/>
          <w:spacing w:val="-1"/>
        </w:rPr>
        <w:t>VanEck</w:t>
      </w:r>
      <w:r w:rsidR="007C1B83" w:rsidRPr="00FC7846">
        <w:rPr>
          <w:rFonts w:cs="Calibri Light"/>
          <w:bCs/>
          <w:spacing w:val="-1"/>
        </w:rPr>
        <w:t xml:space="preserve"> – a funds management firm</w:t>
      </w:r>
    </w:p>
    <w:p w14:paraId="07043520" w14:textId="0DC822C8" w:rsidR="007C1B83" w:rsidRPr="00380137" w:rsidRDefault="007C1B83" w:rsidP="005846B5">
      <w:pPr>
        <w:widowControl w:val="0"/>
        <w:numPr>
          <w:ilvl w:val="0"/>
          <w:numId w:val="22"/>
        </w:numPr>
        <w:tabs>
          <w:tab w:val="left" w:pos="622"/>
        </w:tabs>
        <w:spacing w:line="276" w:lineRule="auto"/>
        <w:ind w:right="641"/>
        <w:rPr>
          <w:rFonts w:eastAsia="Calibri" w:cs="Calibri Light"/>
          <w:bCs/>
          <w:szCs w:val="22"/>
        </w:rPr>
      </w:pPr>
      <w:r w:rsidRPr="00FC7846">
        <w:rPr>
          <w:rFonts w:cs="Calibri Light"/>
          <w:bCs/>
          <w:spacing w:val="-1"/>
        </w:rPr>
        <w:t>CHOICE – a consumer advocacy body</w:t>
      </w:r>
    </w:p>
    <w:p w14:paraId="51EB12CB" w14:textId="220DDED7" w:rsidR="00380137" w:rsidRPr="001F1173" w:rsidRDefault="00EF7C8D" w:rsidP="005846B5">
      <w:pPr>
        <w:widowControl w:val="0"/>
        <w:numPr>
          <w:ilvl w:val="0"/>
          <w:numId w:val="22"/>
        </w:numPr>
        <w:tabs>
          <w:tab w:val="left" w:pos="622"/>
        </w:tabs>
        <w:spacing w:line="276" w:lineRule="auto"/>
        <w:ind w:right="641"/>
        <w:rPr>
          <w:rFonts w:eastAsia="Calibri" w:cs="Calibri Light"/>
          <w:bCs/>
          <w:szCs w:val="22"/>
        </w:rPr>
      </w:pPr>
      <w:r>
        <w:rPr>
          <w:rFonts w:cs="Calibri Light"/>
          <w:bCs/>
          <w:spacing w:val="-1"/>
        </w:rPr>
        <w:t>Confidential stakeholder</w:t>
      </w:r>
    </w:p>
    <w:p w14:paraId="487450F7" w14:textId="3BF1F0D4" w:rsidR="00AB4ABD" w:rsidRPr="00FC7846" w:rsidRDefault="0055344F" w:rsidP="005846B5">
      <w:pPr>
        <w:widowControl w:val="0"/>
        <w:numPr>
          <w:ilvl w:val="0"/>
          <w:numId w:val="22"/>
        </w:numPr>
        <w:tabs>
          <w:tab w:val="left" w:pos="622"/>
        </w:tabs>
        <w:spacing w:line="276" w:lineRule="auto"/>
        <w:ind w:right="641"/>
        <w:rPr>
          <w:rFonts w:eastAsia="Calibri" w:cs="Calibri Light"/>
          <w:bCs/>
          <w:szCs w:val="22"/>
        </w:rPr>
      </w:pPr>
      <w:r>
        <w:rPr>
          <w:rFonts w:cs="Calibri Light"/>
          <w:bCs/>
          <w:spacing w:val="-1"/>
        </w:rPr>
        <w:t xml:space="preserve">AFMA </w:t>
      </w:r>
      <w:r w:rsidR="003471BF">
        <w:rPr>
          <w:rFonts w:cs="Calibri Light"/>
          <w:bCs/>
          <w:spacing w:val="-1"/>
        </w:rPr>
        <w:t>–</w:t>
      </w:r>
      <w:r>
        <w:rPr>
          <w:rFonts w:cs="Calibri Light"/>
          <w:bCs/>
          <w:spacing w:val="-1"/>
        </w:rPr>
        <w:t xml:space="preserve"> </w:t>
      </w:r>
      <w:r w:rsidR="003471BF">
        <w:rPr>
          <w:rFonts w:cs="Calibri Light"/>
          <w:bCs/>
          <w:spacing w:val="-1"/>
        </w:rPr>
        <w:t>member-bassed industry body</w:t>
      </w:r>
    </w:p>
    <w:p w14:paraId="4FD0E6A4" w14:textId="2209D651" w:rsidR="00044529" w:rsidRDefault="00044529" w:rsidP="005846B5">
      <w:pPr>
        <w:spacing w:before="0" w:after="160" w:line="276" w:lineRule="auto"/>
        <w:rPr>
          <w:rFonts w:cs="Calibri Light"/>
        </w:rPr>
      </w:pPr>
      <w:r>
        <w:rPr>
          <w:rFonts w:cs="Calibri Light"/>
        </w:rPr>
        <w:t>The ASA, LICAT Association, SIAA</w:t>
      </w:r>
      <w:r w:rsidR="000D358A">
        <w:rPr>
          <w:rFonts w:cs="Calibri Light"/>
        </w:rPr>
        <w:t xml:space="preserve"> and AFMA</w:t>
      </w:r>
      <w:r>
        <w:rPr>
          <w:rFonts w:cs="Calibri Light"/>
        </w:rPr>
        <w:t xml:space="preserve"> submissions supported reinstating the </w:t>
      </w:r>
      <w:r w:rsidR="00574254">
        <w:rPr>
          <w:rFonts w:cs="Calibri Light"/>
        </w:rPr>
        <w:t xml:space="preserve">exemption for LICs and LITs to pay stamping fees. These stakeholders </w:t>
      </w:r>
      <w:r w:rsidR="00132C3A">
        <w:rPr>
          <w:rFonts w:cs="Calibri Light"/>
        </w:rPr>
        <w:t>noted</w:t>
      </w:r>
      <w:r w:rsidR="00574254">
        <w:rPr>
          <w:rFonts w:cs="Calibri Light"/>
        </w:rPr>
        <w:t xml:space="preserve"> the reduction in the number of LIC and LIT </w:t>
      </w:r>
      <w:r w:rsidR="00574254">
        <w:rPr>
          <w:rFonts w:cs="Calibri Light"/>
        </w:rPr>
        <w:lastRenderedPageBreak/>
        <w:t>issuances since the removal of the exemption, describing this as an unintended consequence of the policy</w:t>
      </w:r>
      <w:r w:rsidR="00132C3A">
        <w:rPr>
          <w:rFonts w:cs="Calibri Light"/>
        </w:rPr>
        <w:t xml:space="preserve"> which has the effect of reducing investment options for consumers</w:t>
      </w:r>
    </w:p>
    <w:p w14:paraId="6EB2F29D" w14:textId="16B8CD8B" w:rsidR="00132C3A" w:rsidRDefault="00326FC7" w:rsidP="005846B5">
      <w:pPr>
        <w:spacing w:before="0" w:after="160" w:line="276" w:lineRule="auto"/>
        <w:rPr>
          <w:rFonts w:cs="Calibri Light"/>
        </w:rPr>
      </w:pPr>
      <w:r>
        <w:rPr>
          <w:rFonts w:cs="Calibri Light"/>
        </w:rPr>
        <w:t xml:space="preserve">VanEck’s submission asserted that the removal of the stamping fee exemption had restored ‘competitive neutrality’ to </w:t>
      </w:r>
      <w:r w:rsidR="000C7028">
        <w:rPr>
          <w:rFonts w:cs="Calibri Light"/>
        </w:rPr>
        <w:t xml:space="preserve">the </w:t>
      </w:r>
      <w:r>
        <w:rPr>
          <w:rFonts w:cs="Calibri Light"/>
        </w:rPr>
        <w:t>market by removing the financial incentive for advisers to recommend</w:t>
      </w:r>
      <w:r w:rsidR="000C7028">
        <w:rPr>
          <w:rFonts w:cs="Calibri Light"/>
        </w:rPr>
        <w:t xml:space="preserve"> LICs and LITs to consumers over ETFs (which it considers have clear advantages over LICs and LITs).</w:t>
      </w:r>
    </w:p>
    <w:p w14:paraId="75C25B1D" w14:textId="69015F4A" w:rsidR="0010711B" w:rsidRDefault="0010711B" w:rsidP="005846B5">
      <w:pPr>
        <w:spacing w:before="0" w:after="160" w:line="276" w:lineRule="auto"/>
        <w:rPr>
          <w:rFonts w:cs="Calibri Light"/>
        </w:rPr>
      </w:pPr>
      <w:r w:rsidRPr="002B7C9F">
        <w:rPr>
          <w:rFonts w:cs="Calibri Light"/>
        </w:rPr>
        <w:t>CHOICE</w:t>
      </w:r>
      <w:r w:rsidR="002B7C9F">
        <w:rPr>
          <w:rFonts w:cs="Calibri Light"/>
        </w:rPr>
        <w:t xml:space="preserve"> advanced the position that conflicted remuneration leads to conflicted advice, worse investment choices and poor consumer outcomes. </w:t>
      </w:r>
      <w:r w:rsidR="00905897">
        <w:rPr>
          <w:rFonts w:cs="Calibri Light"/>
        </w:rPr>
        <w:t>It</w:t>
      </w:r>
      <w:r w:rsidR="002B7C9F">
        <w:rPr>
          <w:rFonts w:cs="Calibri Light"/>
        </w:rPr>
        <w:t xml:space="preserve"> considers the presence of financial gain in the form </w:t>
      </w:r>
      <w:r w:rsidR="00905897">
        <w:rPr>
          <w:rFonts w:cs="Calibri Light"/>
        </w:rPr>
        <w:t xml:space="preserve">of </w:t>
      </w:r>
      <w:r w:rsidR="002B7C9F">
        <w:rPr>
          <w:rFonts w:cs="Calibri Light"/>
        </w:rPr>
        <w:t xml:space="preserve">a stamping fee </w:t>
      </w:r>
      <w:r w:rsidR="00905897">
        <w:rPr>
          <w:rFonts w:cs="Calibri Light"/>
        </w:rPr>
        <w:t>is always in conflict with the duty to the client. CHOICE is supportive of consumers having access to a range of investment vehicles, including LICs and LITs, but does not support prioritising this access over protect</w:t>
      </w:r>
      <w:r w:rsidR="00FF07D6">
        <w:rPr>
          <w:rFonts w:cs="Calibri Light"/>
        </w:rPr>
        <w:t>ing</w:t>
      </w:r>
      <w:r w:rsidR="00905897">
        <w:rPr>
          <w:rFonts w:cs="Calibri Light"/>
        </w:rPr>
        <w:t xml:space="preserve"> consumers’ interests</w:t>
      </w:r>
      <w:r w:rsidR="00FF07D6">
        <w:rPr>
          <w:rFonts w:cs="Calibri Light"/>
        </w:rPr>
        <w:t xml:space="preserve"> through the extension of the ban on conflicted remuneration</w:t>
      </w:r>
      <w:r w:rsidR="00905897">
        <w:rPr>
          <w:rFonts w:cs="Calibri Light"/>
        </w:rPr>
        <w:t xml:space="preserve">. </w:t>
      </w:r>
    </w:p>
    <w:p w14:paraId="03F9C1FE" w14:textId="7851AD6E" w:rsidR="00144F09" w:rsidRDefault="00EF7C8D" w:rsidP="005846B5">
      <w:pPr>
        <w:spacing w:before="0" w:after="160" w:line="276" w:lineRule="auto"/>
        <w:rPr>
          <w:rFonts w:cs="Calibri Light"/>
        </w:rPr>
      </w:pPr>
      <w:r>
        <w:rPr>
          <w:rFonts w:cs="Calibri Light"/>
        </w:rPr>
        <w:t>Two stakeholders</w:t>
      </w:r>
      <w:r w:rsidR="00DF252A">
        <w:rPr>
          <w:rFonts w:cs="Calibri Light"/>
        </w:rPr>
        <w:t xml:space="preserve"> requested that their submissions remain confidential.</w:t>
      </w:r>
      <w:r w:rsidR="006672C4">
        <w:rPr>
          <w:rFonts w:cs="Calibri Light"/>
        </w:rPr>
        <w:t xml:space="preserve"> </w:t>
      </w:r>
    </w:p>
    <w:p w14:paraId="3FEF3F87" w14:textId="23A76996" w:rsidR="008F5360" w:rsidRPr="00FC7846" w:rsidRDefault="008F5360" w:rsidP="005846B5">
      <w:pPr>
        <w:spacing w:before="0" w:after="160" w:line="276" w:lineRule="auto"/>
        <w:rPr>
          <w:rFonts w:cs="Calibri Light"/>
        </w:rPr>
      </w:pPr>
      <w:r>
        <w:rPr>
          <w:rFonts w:cs="Calibri Light"/>
        </w:rPr>
        <w:t xml:space="preserve">Non-confidental submissions are available online at: </w:t>
      </w:r>
      <w:r w:rsidRPr="00DD63A8">
        <w:rPr>
          <w:rFonts w:cs="Calibri Light"/>
          <w:u w:val="single"/>
        </w:rPr>
        <w:t>www.treasury.gov.au/consultation/c2022-291413</w:t>
      </w:r>
    </w:p>
    <w:p w14:paraId="0A4369B6" w14:textId="4FEA5E4A" w:rsidR="002E72F1" w:rsidRPr="002E72F1" w:rsidRDefault="002E72F1" w:rsidP="00EB1118">
      <w:pPr>
        <w:pStyle w:val="Heading2"/>
        <w:spacing w:before="240" w:after="240"/>
      </w:pPr>
      <w:bookmarkStart w:id="35" w:name="_Toc109905923"/>
      <w:r>
        <w:t>Has the regulation delivered a net benefit?</w:t>
      </w:r>
      <w:bookmarkEnd w:id="35"/>
    </w:p>
    <w:p w14:paraId="724CA4D9" w14:textId="1EA3904F" w:rsidR="00BA554E" w:rsidRDefault="00BA554E" w:rsidP="000437EE">
      <w:pPr>
        <w:spacing w:line="276" w:lineRule="auto"/>
      </w:pPr>
      <w:r>
        <w:t>As outlined above, the</w:t>
      </w:r>
      <w:r w:rsidR="000437EE">
        <w:t xml:space="preserve"> i</w:t>
      </w:r>
      <w:r>
        <w:t>nability to control for impacts of the COVID-19 pandemic and other macroeconomic factors on the market</w:t>
      </w:r>
      <w:r w:rsidR="000437EE">
        <w:t xml:space="preserve"> and the a</w:t>
      </w:r>
      <w:r>
        <w:t xml:space="preserve">bsence of appropriate available data to quantify </w:t>
      </w:r>
      <w:r w:rsidR="000437EE">
        <w:t>consumer impacts limits the ability of this analysis to draw definitive conclusions about net benefit.</w:t>
      </w:r>
    </w:p>
    <w:p w14:paraId="5E57ED56" w14:textId="77777777" w:rsidR="001442A7" w:rsidRDefault="00D9013B" w:rsidP="001442A7">
      <w:pPr>
        <w:spacing w:line="276" w:lineRule="auto"/>
      </w:pPr>
      <w:r>
        <w:t>However, the regulation has certainly met its stated objective of removing a form of conflicted remuneration, which has well</w:t>
      </w:r>
      <w:r w:rsidR="00A60521">
        <w:noBreakHyphen/>
      </w:r>
      <w:r>
        <w:t>grounded theoretical flow ons to the quality of advice and consumer outcomes.</w:t>
      </w:r>
      <w:r w:rsidR="00E62C52">
        <w:t xml:space="preserve"> As a secondary outcome, it has also created a level playing field between advice firms previously receiving stamping fees and those which chose not to accept conflicted remuneration, removing the ability for the former firms to reduce their prices to consumers by supplementing their operating costs through stamping fees.</w:t>
      </w:r>
      <w:bookmarkStart w:id="36" w:name="_Toc109905924"/>
    </w:p>
    <w:p w14:paraId="5BFEB807" w14:textId="31B0952F" w:rsidR="0056431C" w:rsidRDefault="0056431C" w:rsidP="00EB1118">
      <w:pPr>
        <w:pStyle w:val="Heading2"/>
        <w:spacing w:before="240" w:after="240"/>
      </w:pPr>
      <w:r>
        <w:t>How was the regulation implemented and evaluated?</w:t>
      </w:r>
      <w:bookmarkEnd w:id="36"/>
    </w:p>
    <w:p w14:paraId="21C2AACC" w14:textId="69CC1484" w:rsidR="0032622B" w:rsidRDefault="00346443" w:rsidP="003F4D71">
      <w:pPr>
        <w:spacing w:line="276" w:lineRule="auto"/>
        <w:rPr>
          <w:rFonts w:cs="Calibri Light"/>
          <w:szCs w:val="22"/>
          <w:lang w:val="en-US"/>
        </w:rPr>
      </w:pPr>
      <w:r>
        <w:rPr>
          <w:rFonts w:cs="Calibri Light"/>
          <w:szCs w:val="22"/>
          <w:lang w:val="en-US"/>
        </w:rPr>
        <w:t>The change to extend the ban on conflicted remuneration to stamping fees paid in respect of LICs and LITs was implemented via the Stamping Fee Exemption Regulations.</w:t>
      </w:r>
      <w:r w:rsidR="009A316A">
        <w:rPr>
          <w:rFonts w:cs="Calibri Light"/>
          <w:szCs w:val="22"/>
          <w:lang w:val="en-US"/>
        </w:rPr>
        <w:t xml:space="preserve"> </w:t>
      </w:r>
      <w:r w:rsidR="00110AA0">
        <w:rPr>
          <w:rFonts w:cs="Calibri Light"/>
          <w:szCs w:val="22"/>
          <w:lang w:val="en-US"/>
        </w:rPr>
        <w:t>A comprehensive evaluation plan was not developed in 2020</w:t>
      </w:r>
      <w:r w:rsidR="00D56226">
        <w:rPr>
          <w:rFonts w:cs="Calibri Light"/>
          <w:szCs w:val="22"/>
          <w:lang w:val="en-US"/>
        </w:rPr>
        <w:t xml:space="preserve">. The </w:t>
      </w:r>
      <w:r w:rsidR="00110AA0">
        <w:t>purpose of this PIR is to evaluate</w:t>
      </w:r>
      <w:r w:rsidR="00110AA0" w:rsidRPr="00C96A0B">
        <w:t xml:space="preserve"> whether the implemented policy is operating as intended and is effectively and efficiently meeting the Government’s objectives in addressing the original problem.</w:t>
      </w:r>
      <w:r w:rsidR="00110AA0">
        <w:t xml:space="preserve"> </w:t>
      </w:r>
      <w:r w:rsidR="009A316A">
        <w:rPr>
          <w:rFonts w:cs="Calibri Light"/>
          <w:szCs w:val="22"/>
          <w:lang w:val="en-US"/>
        </w:rPr>
        <w:t>ASIC continues to monitor industry’s arrangements in relation to the ban on conflicted remuneration and will consider taking action where misconduct is identified.</w:t>
      </w:r>
      <w:r w:rsidR="00110AA0">
        <w:rPr>
          <w:rFonts w:cs="Calibri Light"/>
          <w:szCs w:val="22"/>
          <w:lang w:val="en-US"/>
        </w:rPr>
        <w:t xml:space="preserve"> </w:t>
      </w:r>
    </w:p>
    <w:p w14:paraId="3EDB2C67" w14:textId="042371ED" w:rsidR="00346443" w:rsidRDefault="0032622B" w:rsidP="003F4D71">
      <w:pPr>
        <w:spacing w:line="276" w:lineRule="auto"/>
        <w:rPr>
          <w:rFonts w:cs="Calibri Light"/>
          <w:szCs w:val="22"/>
          <w:lang w:val="en-US"/>
        </w:rPr>
      </w:pPr>
      <w:r>
        <w:rPr>
          <w:rFonts w:cs="Calibri Light"/>
          <w:szCs w:val="22"/>
          <w:lang w:val="en-US"/>
        </w:rPr>
        <w:t>In 2020, the former government did not consider that, on balance, extending the ban on conflicted remuneration to all listed investment entities</w:t>
      </w:r>
      <w:r w:rsidR="00C66E22">
        <w:rPr>
          <w:rFonts w:cs="Calibri Light"/>
          <w:szCs w:val="22"/>
          <w:lang w:val="en-US"/>
        </w:rPr>
        <w:t xml:space="preserve"> (Option 2, discussed above)</w:t>
      </w:r>
      <w:r>
        <w:rPr>
          <w:rFonts w:cs="Calibri Light"/>
          <w:szCs w:val="22"/>
          <w:lang w:val="en-US"/>
        </w:rPr>
        <w:t xml:space="preserve"> met its policy objective</w:t>
      </w:r>
      <w:r w:rsidR="00C66E22">
        <w:rPr>
          <w:rFonts w:cs="Calibri Light"/>
          <w:szCs w:val="22"/>
          <w:lang w:val="en-US"/>
        </w:rPr>
        <w:t>s</w:t>
      </w:r>
      <w:r>
        <w:rPr>
          <w:rFonts w:cs="Calibri Light"/>
          <w:szCs w:val="22"/>
          <w:lang w:val="en-US"/>
        </w:rPr>
        <w:t xml:space="preserve">. </w:t>
      </w:r>
      <w:r w:rsidR="00110AA0">
        <w:rPr>
          <w:rFonts w:cs="Calibri Light"/>
          <w:szCs w:val="22"/>
          <w:lang w:val="en-US"/>
        </w:rPr>
        <w:t>The Quality of Advice review, led by independent reviewer Ms Michelle Levy, is considering the remaining exemptions to the ban on conflicted remuneration</w:t>
      </w:r>
      <w:r w:rsidR="00E77E2B">
        <w:rPr>
          <w:rFonts w:cs="Calibri Light"/>
          <w:szCs w:val="22"/>
          <w:lang w:val="en-US"/>
        </w:rPr>
        <w:t>, including stamping fees</w:t>
      </w:r>
      <w:r w:rsidR="00110AA0">
        <w:rPr>
          <w:rFonts w:cs="Calibri Light"/>
          <w:szCs w:val="22"/>
          <w:lang w:val="en-US"/>
        </w:rPr>
        <w:t>. The Quality of Advice review is due to report to the Government by 16 December 2022.</w:t>
      </w:r>
    </w:p>
    <w:p w14:paraId="5ED636EF" w14:textId="26D76592" w:rsidR="006F31CD" w:rsidRDefault="006F31CD" w:rsidP="003F4D71">
      <w:pPr>
        <w:spacing w:line="276" w:lineRule="auto"/>
        <w:rPr>
          <w:rFonts w:cs="Calibri Light"/>
          <w:szCs w:val="22"/>
          <w:lang w:val="en-US"/>
        </w:rPr>
      </w:pPr>
    </w:p>
    <w:p w14:paraId="3060528E" w14:textId="05964E94" w:rsidR="006F31CD" w:rsidRDefault="006F31CD">
      <w:pPr>
        <w:spacing w:before="0" w:after="160" w:line="259" w:lineRule="auto"/>
        <w:rPr>
          <w:rFonts w:cs="Calibri Light"/>
          <w:szCs w:val="22"/>
          <w:lang w:val="en-US"/>
        </w:rPr>
      </w:pPr>
      <w:r>
        <w:rPr>
          <w:rFonts w:cs="Calibri Light"/>
          <w:szCs w:val="22"/>
          <w:lang w:val="en-US"/>
        </w:rPr>
        <w:lastRenderedPageBreak/>
        <w:br w:type="page"/>
      </w:r>
    </w:p>
    <w:p w14:paraId="725136F0" w14:textId="7CCE48FE" w:rsidR="006F31CD" w:rsidRDefault="006F31CD" w:rsidP="006F31CD">
      <w:pPr>
        <w:pStyle w:val="Heading1"/>
      </w:pPr>
      <w:bookmarkStart w:id="37" w:name="_Toc109905925"/>
      <w:r>
        <w:lastRenderedPageBreak/>
        <w:t>References</w:t>
      </w:r>
      <w:bookmarkEnd w:id="37"/>
    </w:p>
    <w:p w14:paraId="0631A874" w14:textId="77777777" w:rsidR="00E26F18" w:rsidRPr="00E26F18" w:rsidRDefault="00E26F18" w:rsidP="00E26F18">
      <w:pPr>
        <w:pStyle w:val="FootnoteText"/>
        <w:spacing w:before="240"/>
        <w:ind w:left="0" w:firstLine="0"/>
        <w:rPr>
          <w:rFonts w:cs="Calibri Light"/>
          <w:sz w:val="22"/>
          <w:szCs w:val="22"/>
        </w:rPr>
      </w:pPr>
      <w:r w:rsidRPr="00E26F18">
        <w:rPr>
          <w:rFonts w:cs="Calibri Light"/>
          <w:sz w:val="22"/>
          <w:szCs w:val="22"/>
        </w:rPr>
        <w:t xml:space="preserve">Australian Securities and Investments Commission. </w:t>
      </w:r>
      <w:r w:rsidRPr="00E26F18">
        <w:rPr>
          <w:rFonts w:cs="Calibri Light"/>
          <w:i/>
          <w:iCs/>
          <w:sz w:val="22"/>
          <w:szCs w:val="22"/>
        </w:rPr>
        <w:t>Cost Recovery Implementation Statement: ASIC industry funding model (2020-21).</w:t>
      </w:r>
      <w:r w:rsidRPr="00E26F18">
        <w:rPr>
          <w:rFonts w:cs="Calibri Light"/>
          <w:sz w:val="22"/>
          <w:szCs w:val="22"/>
        </w:rPr>
        <w:t xml:space="preserve"> November 2021. Available at: https://download.asic.gov.au/media/mvlbm4cu/cris-asic-industry-funding-model-2020-21-published-11-november-2021.pdf</w:t>
      </w:r>
    </w:p>
    <w:p w14:paraId="4A578685" w14:textId="1EB518AF" w:rsidR="00E26F18" w:rsidRPr="00E26F18" w:rsidRDefault="00E26F18" w:rsidP="00E26F18">
      <w:pPr>
        <w:spacing w:before="240"/>
        <w:rPr>
          <w:rFonts w:cs="Calibri Light"/>
        </w:rPr>
      </w:pPr>
      <w:r w:rsidRPr="00E26F18">
        <w:rPr>
          <w:rFonts w:cs="Calibri Light"/>
        </w:rPr>
        <w:t xml:space="preserve">Australian Securities and Investments Commission. </w:t>
      </w:r>
      <w:r w:rsidRPr="00E26F18">
        <w:rPr>
          <w:rFonts w:cs="Calibri Light"/>
          <w:i/>
          <w:iCs/>
        </w:rPr>
        <w:t xml:space="preserve">Report 69 – Shadow shopping survey on superannuation advice. </w:t>
      </w:r>
      <w:r w:rsidRPr="00E26F18">
        <w:rPr>
          <w:rFonts w:cs="Calibri Light"/>
        </w:rPr>
        <w:t>April 20</w:t>
      </w:r>
      <w:r w:rsidR="002B33EE">
        <w:rPr>
          <w:rFonts w:cs="Calibri Light"/>
        </w:rPr>
        <w:t>0</w:t>
      </w:r>
      <w:r w:rsidRPr="00E26F18">
        <w:rPr>
          <w:rFonts w:cs="Calibri Light"/>
        </w:rPr>
        <w:t>6. Available at: https://download.asic.gov.au/media/1347026/shadow_shop_report_2006.pdf</w:t>
      </w:r>
    </w:p>
    <w:p w14:paraId="1AD06A9E" w14:textId="77777777" w:rsidR="00E26F18" w:rsidRPr="00E26F18" w:rsidRDefault="00E26F18" w:rsidP="00E26F18">
      <w:pPr>
        <w:pStyle w:val="FootnoteText"/>
        <w:spacing w:before="240"/>
        <w:ind w:left="0" w:firstLine="0"/>
        <w:rPr>
          <w:rFonts w:cs="Calibri Light"/>
          <w:sz w:val="22"/>
          <w:szCs w:val="22"/>
        </w:rPr>
      </w:pPr>
      <w:r w:rsidRPr="00E26F18">
        <w:rPr>
          <w:rFonts w:cs="Calibri Light"/>
          <w:sz w:val="22"/>
          <w:szCs w:val="22"/>
        </w:rPr>
        <w:t xml:space="preserve">Australian Securities and Investments Commission. </w:t>
      </w:r>
      <w:r w:rsidRPr="00E26F18">
        <w:rPr>
          <w:rFonts w:cs="Calibri Light"/>
          <w:i/>
          <w:iCs/>
          <w:sz w:val="22"/>
          <w:szCs w:val="22"/>
        </w:rPr>
        <w:t>Report 279 – Shadow shopping study of retirement advice</w:t>
      </w:r>
      <w:r w:rsidRPr="00E26F18">
        <w:rPr>
          <w:rFonts w:cs="Calibri Light"/>
          <w:sz w:val="22"/>
          <w:szCs w:val="22"/>
        </w:rPr>
        <w:t>. March 2012. Available at: https://download.asic.gov.au/media/1343876/rep279-published-27-March-2012.pdf</w:t>
      </w:r>
    </w:p>
    <w:p w14:paraId="6439271E" w14:textId="77777777" w:rsidR="00E26F18" w:rsidRPr="00E26F18" w:rsidRDefault="00E26F18" w:rsidP="00E26F18">
      <w:pPr>
        <w:pStyle w:val="FootnoteText"/>
        <w:spacing w:before="240"/>
        <w:ind w:left="0" w:firstLine="0"/>
        <w:rPr>
          <w:rFonts w:cs="Calibri Light"/>
          <w:sz w:val="22"/>
          <w:szCs w:val="22"/>
        </w:rPr>
      </w:pPr>
      <w:r w:rsidRPr="00E26F18">
        <w:rPr>
          <w:rFonts w:cs="Calibri Light"/>
          <w:sz w:val="22"/>
          <w:szCs w:val="22"/>
        </w:rPr>
        <w:t xml:space="preserve">Australian Securities and Investments Commission. </w:t>
      </w:r>
      <w:r w:rsidRPr="00E26F18">
        <w:rPr>
          <w:rFonts w:cs="Calibri Light"/>
          <w:i/>
          <w:iCs/>
          <w:sz w:val="22"/>
          <w:szCs w:val="22"/>
        </w:rPr>
        <w:t>Report 562 - Financial advice: Vertically integrated institutions and conflicts of interest.</w:t>
      </w:r>
      <w:r w:rsidRPr="00E26F18">
        <w:rPr>
          <w:rFonts w:cs="Calibri Light"/>
          <w:sz w:val="22"/>
          <w:szCs w:val="22"/>
        </w:rPr>
        <w:t xml:space="preserve"> January 2018. Available at: https://download.asic.gov.au/media/4632718/rep-562-published-24-january-2018.pdf</w:t>
      </w:r>
    </w:p>
    <w:p w14:paraId="004D4E88" w14:textId="77777777" w:rsidR="00E26F18" w:rsidRPr="00E26F18" w:rsidRDefault="00E26F18" w:rsidP="00E26F18">
      <w:pPr>
        <w:spacing w:before="240"/>
        <w:rPr>
          <w:rFonts w:cs="Calibri Light"/>
        </w:rPr>
      </w:pPr>
      <w:r w:rsidRPr="00E26F18">
        <w:rPr>
          <w:rFonts w:cs="Calibri Light"/>
        </w:rPr>
        <w:t xml:space="preserve">Australian Securities and Investments Commission. </w:t>
      </w:r>
      <w:r w:rsidRPr="00E26F18">
        <w:rPr>
          <w:rFonts w:cs="Calibri Light"/>
          <w:i/>
          <w:iCs/>
        </w:rPr>
        <w:t>Treasury consultation on stamping fee exemption: response of the Australian Securities and Investments Commission</w:t>
      </w:r>
      <w:r w:rsidRPr="00E26F18">
        <w:rPr>
          <w:rFonts w:cs="Calibri Light"/>
        </w:rPr>
        <w:t>. 20 February 2020. Available at: https://treasury.gov.au/sites/default/files/2020-06/asic_submission.pdf</w:t>
      </w:r>
    </w:p>
    <w:p w14:paraId="30CA7885" w14:textId="77777777" w:rsidR="00E26F18" w:rsidRPr="00E26F18" w:rsidRDefault="00E26F18" w:rsidP="00E26F18">
      <w:pPr>
        <w:spacing w:before="240"/>
        <w:rPr>
          <w:rFonts w:cs="Calibri Light"/>
        </w:rPr>
      </w:pPr>
      <w:r w:rsidRPr="00E26F18">
        <w:rPr>
          <w:rFonts w:cs="Calibri Light"/>
        </w:rPr>
        <w:t xml:space="preserve">Australian Securities and Investments Commission. </w:t>
      </w:r>
      <w:r w:rsidRPr="00E26F18">
        <w:rPr>
          <w:rFonts w:cs="Calibri Light"/>
          <w:i/>
          <w:iCs/>
        </w:rPr>
        <w:t>Westpoint</w:t>
      </w:r>
      <w:r w:rsidRPr="00E26F18">
        <w:rPr>
          <w:rFonts w:cs="Calibri Light"/>
        </w:rPr>
        <w:t>. 29 April 2021. Available at: https://asic.gov.au/about-asic/news-centre/key-matters/westpoint/</w:t>
      </w:r>
    </w:p>
    <w:p w14:paraId="627E5A3C" w14:textId="77777777" w:rsidR="00E26F18" w:rsidRPr="00E26F18" w:rsidRDefault="00E26F18" w:rsidP="00E26F18">
      <w:pPr>
        <w:pStyle w:val="FootnoteText"/>
        <w:spacing w:before="240"/>
        <w:ind w:left="0" w:firstLine="0"/>
        <w:rPr>
          <w:rFonts w:cs="Calibri Light"/>
          <w:sz w:val="22"/>
          <w:szCs w:val="22"/>
        </w:rPr>
      </w:pPr>
      <w:r w:rsidRPr="00D0314F">
        <w:rPr>
          <w:rFonts w:cs="Calibri Light"/>
          <w:sz w:val="22"/>
          <w:szCs w:val="22"/>
        </w:rPr>
        <w:t>Australian Securities Exchange</w:t>
      </w:r>
      <w:r w:rsidRPr="00E26F18">
        <w:rPr>
          <w:rFonts w:cs="Calibri Light"/>
          <w:sz w:val="22"/>
          <w:szCs w:val="22"/>
        </w:rPr>
        <w:t>.</w:t>
      </w:r>
      <w:r w:rsidRPr="00D0314F">
        <w:rPr>
          <w:rFonts w:cs="Calibri Light"/>
          <w:sz w:val="22"/>
          <w:szCs w:val="22"/>
        </w:rPr>
        <w:t xml:space="preserve"> </w:t>
      </w:r>
      <w:r w:rsidRPr="00D0314F">
        <w:rPr>
          <w:rFonts w:cs="Calibri Light"/>
          <w:i/>
          <w:iCs/>
          <w:sz w:val="22"/>
          <w:szCs w:val="22"/>
        </w:rPr>
        <w:t xml:space="preserve">ASX funds statistics: ASX Investment Products monthly update. </w:t>
      </w:r>
      <w:r w:rsidRPr="00D0314F">
        <w:rPr>
          <w:rFonts w:cs="Calibri Light"/>
          <w:sz w:val="22"/>
          <w:szCs w:val="22"/>
        </w:rPr>
        <w:t>Available at: https://www2.asx.com.au/issuers/investment-products/asx-funds-statistics</w:t>
      </w:r>
    </w:p>
    <w:p w14:paraId="7850CE16" w14:textId="77777777" w:rsidR="00E26F18" w:rsidRPr="00D0314F" w:rsidRDefault="00E26F18" w:rsidP="00E26F18">
      <w:pPr>
        <w:spacing w:before="240" w:after="160" w:line="259" w:lineRule="auto"/>
        <w:rPr>
          <w:rFonts w:cs="Calibri Light"/>
          <w:szCs w:val="22"/>
        </w:rPr>
      </w:pPr>
      <w:r w:rsidRPr="00D0314F">
        <w:rPr>
          <w:rFonts w:cs="Calibri Light"/>
        </w:rPr>
        <w:t>CHOICE</w:t>
      </w:r>
      <w:r w:rsidRPr="00E26F18">
        <w:rPr>
          <w:rFonts w:cs="Calibri Light"/>
        </w:rPr>
        <w:t xml:space="preserve">. </w:t>
      </w:r>
      <w:r w:rsidRPr="00D0314F">
        <w:rPr>
          <w:rFonts w:cs="Calibri Light"/>
          <w:i/>
          <w:iCs/>
        </w:rPr>
        <w:t xml:space="preserve">Submission by CHOICE to the Parliamentary Joint Committee on Corporations and Financial </w:t>
      </w:r>
      <w:r w:rsidRPr="00D0314F">
        <w:rPr>
          <w:rFonts w:cs="Calibri Light"/>
          <w:i/>
          <w:iCs/>
          <w:szCs w:val="22"/>
        </w:rPr>
        <w:t>Services Inquiry into Financial Services and Products</w:t>
      </w:r>
      <w:r w:rsidRPr="00E26F18">
        <w:rPr>
          <w:rFonts w:cs="Calibri Light"/>
        </w:rPr>
        <w:t xml:space="preserve">. </w:t>
      </w:r>
      <w:r w:rsidRPr="00D0314F">
        <w:rPr>
          <w:rFonts w:cs="Calibri Light"/>
          <w:szCs w:val="22"/>
        </w:rPr>
        <w:t>August 2009. Available at: https://www.aph.gov.au/Parliamentary_Business/Committees/Joint/Corporations_and_Financial_Services/Completed_inquiries/2008-10/fps/submissions/sublist</w:t>
      </w:r>
    </w:p>
    <w:p w14:paraId="4EFF075F" w14:textId="77777777" w:rsidR="00E26F18" w:rsidRPr="00E26F18" w:rsidRDefault="00E26F18" w:rsidP="00E26F18">
      <w:pPr>
        <w:pStyle w:val="FootnoteText"/>
        <w:spacing w:before="240"/>
        <w:ind w:left="0" w:firstLine="0"/>
        <w:rPr>
          <w:rFonts w:cs="Calibri Light"/>
          <w:sz w:val="22"/>
          <w:szCs w:val="22"/>
        </w:rPr>
      </w:pPr>
      <w:r w:rsidRPr="00E26F18">
        <w:rPr>
          <w:rFonts w:cs="Calibri Light"/>
          <w:i/>
          <w:iCs/>
          <w:sz w:val="22"/>
          <w:szCs w:val="22"/>
        </w:rPr>
        <w:t>Corporations Amendment (Further Future of Financial Advice Measures) Act 2012</w:t>
      </w:r>
      <w:r w:rsidRPr="00E26F18">
        <w:rPr>
          <w:rFonts w:cs="Calibri Light"/>
          <w:sz w:val="22"/>
          <w:szCs w:val="22"/>
        </w:rPr>
        <w:t xml:space="preserve"> </w:t>
      </w:r>
      <w:r w:rsidRPr="00E26F18">
        <w:rPr>
          <w:rFonts w:cs="Calibri Light"/>
          <w:i/>
          <w:iCs/>
          <w:sz w:val="22"/>
          <w:szCs w:val="22"/>
        </w:rPr>
        <w:t>– Explanatory Memorandum</w:t>
      </w:r>
      <w:r w:rsidRPr="00E26F18">
        <w:rPr>
          <w:rFonts w:cs="Calibri Light"/>
          <w:sz w:val="22"/>
          <w:szCs w:val="22"/>
        </w:rPr>
        <w:t>.</w:t>
      </w:r>
    </w:p>
    <w:p w14:paraId="7F3E1B24" w14:textId="77777777" w:rsidR="00E26F18" w:rsidRPr="00E26F18" w:rsidRDefault="00E26F18" w:rsidP="00E26F18">
      <w:pPr>
        <w:pStyle w:val="FootnoteText"/>
        <w:spacing w:before="240"/>
        <w:rPr>
          <w:rFonts w:cs="Calibri Light"/>
          <w:sz w:val="22"/>
          <w:szCs w:val="22"/>
        </w:rPr>
      </w:pPr>
      <w:r w:rsidRPr="00E26F18">
        <w:rPr>
          <w:rFonts w:cs="Calibri Light"/>
          <w:i/>
          <w:iCs/>
          <w:sz w:val="22"/>
          <w:szCs w:val="22"/>
        </w:rPr>
        <w:t>Corporations Amendment (Future of Financial Advice) Act 2012</w:t>
      </w:r>
      <w:r w:rsidRPr="00E26F18">
        <w:rPr>
          <w:rFonts w:cs="Calibri Light"/>
          <w:sz w:val="22"/>
          <w:szCs w:val="22"/>
        </w:rPr>
        <w:t>.</w:t>
      </w:r>
    </w:p>
    <w:p w14:paraId="130079B3" w14:textId="77777777" w:rsidR="00E26F18" w:rsidRPr="00E26F18" w:rsidRDefault="00E26F18" w:rsidP="00E26F18">
      <w:pPr>
        <w:spacing w:before="240"/>
        <w:rPr>
          <w:rFonts w:cs="Calibri Light"/>
        </w:rPr>
      </w:pPr>
      <w:r w:rsidRPr="00E26F18">
        <w:rPr>
          <w:rFonts w:cs="Calibri Light"/>
        </w:rPr>
        <w:t xml:space="preserve">Parliamentary Joint Committee on Corporations and Financial Services. </w:t>
      </w:r>
      <w:r w:rsidRPr="00E26F18">
        <w:rPr>
          <w:rFonts w:cs="Calibri Light"/>
          <w:i/>
          <w:iCs/>
        </w:rPr>
        <w:t>Inquiry into financial products and services in Australia</w:t>
      </w:r>
      <w:r w:rsidRPr="00E26F18">
        <w:rPr>
          <w:rFonts w:cs="Calibri Light"/>
        </w:rPr>
        <w:t>. November 2009. Available at: https://www.aph.gov.au/binaries/senate/committee/corporations_ctte/fps/report/report.pdf</w:t>
      </w:r>
    </w:p>
    <w:p w14:paraId="14497C08" w14:textId="77777777" w:rsidR="00E26F18" w:rsidRPr="00E26F18" w:rsidRDefault="00E26F18" w:rsidP="00E26F18">
      <w:pPr>
        <w:spacing w:before="240"/>
        <w:rPr>
          <w:rFonts w:cs="Calibri Light"/>
        </w:rPr>
      </w:pPr>
      <w:r w:rsidRPr="00E26F18">
        <w:rPr>
          <w:rFonts w:cs="Calibri Light"/>
        </w:rPr>
        <w:t xml:space="preserve">Parliamentary Joint Committee on Corporations and Financial Services. </w:t>
      </w:r>
      <w:r w:rsidRPr="00E26F18">
        <w:rPr>
          <w:rFonts w:cs="Calibri Light"/>
          <w:i/>
          <w:iCs/>
        </w:rPr>
        <w:t>Statutory Oversight of the Australian Securities and Investments Commission</w:t>
      </w:r>
      <w:r w:rsidRPr="00E26F18">
        <w:rPr>
          <w:rFonts w:cs="Calibri Light"/>
        </w:rPr>
        <w:t>. 16 August 2006. Available at: https://www.aph.gov.au/Parliamentary_Business/Committees/Joint/Corporations_and_Financial_Services/Membership/asic/asic06/index</w:t>
      </w:r>
    </w:p>
    <w:p w14:paraId="6227F4A1" w14:textId="77777777" w:rsidR="00E26F18" w:rsidRPr="00E26F18" w:rsidRDefault="00E26F18" w:rsidP="00E26F18">
      <w:pPr>
        <w:spacing w:before="240"/>
        <w:rPr>
          <w:rFonts w:cs="Calibri Light"/>
        </w:rPr>
      </w:pPr>
      <w:r w:rsidRPr="00E26F18">
        <w:rPr>
          <w:rFonts w:cs="Calibri Light"/>
        </w:rPr>
        <w:lastRenderedPageBreak/>
        <w:t>Royal Commission into Misconduct in the Banking, Superannuation and Financial Services Industry.</w:t>
      </w:r>
      <w:r w:rsidRPr="00E26F18">
        <w:rPr>
          <w:rFonts w:cs="Calibri Light"/>
          <w:i/>
          <w:iCs/>
        </w:rPr>
        <w:t xml:space="preserve"> Final Report</w:t>
      </w:r>
      <w:r w:rsidRPr="00E26F18">
        <w:rPr>
          <w:rFonts w:cs="Calibri Light"/>
        </w:rPr>
        <w:t>.</w:t>
      </w:r>
      <w:r w:rsidRPr="00E26F18">
        <w:rPr>
          <w:rFonts w:cs="Calibri Light"/>
          <w:i/>
          <w:iCs/>
        </w:rPr>
        <w:t xml:space="preserve"> </w:t>
      </w:r>
      <w:r w:rsidRPr="00E26F18">
        <w:rPr>
          <w:rFonts w:cs="Calibri Light"/>
        </w:rPr>
        <w:t>2019. Available at: https://www.royalcommission.gov.au/system/files/2020-09/fsrc-volume-1-final-report.pdf</w:t>
      </w:r>
    </w:p>
    <w:p w14:paraId="31E0A765" w14:textId="77777777" w:rsidR="00E26F18" w:rsidRPr="00D0314F" w:rsidRDefault="00E26F18" w:rsidP="00E26F18">
      <w:pPr>
        <w:pStyle w:val="FootnoteText"/>
        <w:spacing w:before="240"/>
        <w:ind w:left="0" w:firstLine="0"/>
        <w:rPr>
          <w:rFonts w:cs="Calibri Light"/>
          <w:sz w:val="22"/>
          <w:szCs w:val="22"/>
        </w:rPr>
      </w:pPr>
      <w:r w:rsidRPr="00E26F18">
        <w:rPr>
          <w:rFonts w:cs="Calibri Light"/>
          <w:sz w:val="22"/>
          <w:szCs w:val="22"/>
        </w:rPr>
        <w:t xml:space="preserve">The Hon Josh Frydenberg MP. </w:t>
      </w:r>
      <w:r w:rsidRPr="00E26F18">
        <w:rPr>
          <w:rFonts w:cs="Calibri Light"/>
          <w:i/>
          <w:iCs/>
          <w:sz w:val="22"/>
          <w:szCs w:val="22"/>
        </w:rPr>
        <w:t>Government response to Treasury consultation on stamping fee exemption</w:t>
      </w:r>
      <w:r w:rsidRPr="00E26F18">
        <w:rPr>
          <w:rFonts w:cs="Calibri Light"/>
          <w:sz w:val="22"/>
          <w:szCs w:val="22"/>
        </w:rPr>
        <w:t>. 21 May 2020. Available at: https://ministers.treasury.gov.au/ministers/josh-frydenberg-2018/media-releases/government-response-treasury-consultation-stamping</w:t>
      </w:r>
    </w:p>
    <w:p w14:paraId="12829E8B" w14:textId="77777777" w:rsidR="00E26F18" w:rsidRPr="00E26F18" w:rsidRDefault="00E26F18" w:rsidP="00E26F18">
      <w:pPr>
        <w:pStyle w:val="FootnoteText"/>
        <w:spacing w:before="240"/>
        <w:ind w:left="0" w:firstLine="0"/>
        <w:rPr>
          <w:rFonts w:cs="Calibri Light"/>
          <w:sz w:val="22"/>
          <w:szCs w:val="22"/>
        </w:rPr>
      </w:pPr>
      <w:r w:rsidRPr="00E26F18">
        <w:rPr>
          <w:rFonts w:cs="Calibri Light"/>
          <w:sz w:val="22"/>
          <w:szCs w:val="22"/>
        </w:rPr>
        <w:t xml:space="preserve">Treasury, </w:t>
      </w:r>
      <w:r w:rsidRPr="00E26F18">
        <w:rPr>
          <w:rFonts w:cs="Calibri Light"/>
          <w:i/>
          <w:iCs/>
          <w:sz w:val="22"/>
          <w:szCs w:val="22"/>
        </w:rPr>
        <w:t>Regulation Impact Statement: Removal of the stamping fee exemption</w:t>
      </w:r>
      <w:r w:rsidRPr="00E26F18">
        <w:rPr>
          <w:rFonts w:cs="Calibri Light"/>
          <w:sz w:val="22"/>
          <w:szCs w:val="22"/>
        </w:rPr>
        <w:t>. 15 June 2020. Available at: https://obpr.pmc.gov.au/sites/default/files/posts/2020/06/regulation_impact_statement_-_stamping_fee.pdf</w:t>
      </w:r>
    </w:p>
    <w:p w14:paraId="498FDBC6" w14:textId="77777777" w:rsidR="00E26F18" w:rsidRPr="00E26F18" w:rsidRDefault="00E26F18" w:rsidP="00E26F18">
      <w:pPr>
        <w:spacing w:before="240"/>
        <w:rPr>
          <w:rFonts w:cs="Calibri Light"/>
        </w:rPr>
      </w:pPr>
      <w:r w:rsidRPr="00E26F18">
        <w:rPr>
          <w:rFonts w:cs="Calibri Light"/>
        </w:rPr>
        <w:t xml:space="preserve">Treasury. </w:t>
      </w:r>
      <w:r w:rsidRPr="00E26F18">
        <w:rPr>
          <w:rFonts w:cs="Calibri Light"/>
          <w:i/>
          <w:iCs/>
        </w:rPr>
        <w:t>Quality of Advice Review – Issues Paper</w:t>
      </w:r>
      <w:r w:rsidRPr="00E26F18">
        <w:rPr>
          <w:rFonts w:cs="Calibri Light"/>
        </w:rPr>
        <w:t>. March 2022. Available at: www.treasury.gov.au/sites/default/files/2022-03/c2022-259464-quality-of-advice-issues-paper_0.pdf</w:t>
      </w:r>
    </w:p>
    <w:p w14:paraId="10D336E8" w14:textId="2EC3272E" w:rsidR="006F31CD" w:rsidRPr="006F31CD" w:rsidRDefault="006F31CD" w:rsidP="006F31CD"/>
    <w:sectPr w:rsidR="006F31CD" w:rsidRPr="006F31CD" w:rsidSect="00295B30">
      <w:headerReference w:type="even" r:id="rId39"/>
      <w:footerReference w:type="even" r:id="rId40"/>
      <w:headerReference w:type="first" r:id="rId41"/>
      <w:footerReference w:type="first" r:id="rId42"/>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E109" w14:textId="77777777" w:rsidR="003708A8" w:rsidRDefault="003708A8">
      <w:pPr>
        <w:spacing w:before="0" w:after="0"/>
      </w:pPr>
      <w:r>
        <w:separator/>
      </w:r>
    </w:p>
  </w:endnote>
  <w:endnote w:type="continuationSeparator" w:id="0">
    <w:p w14:paraId="4A1E9527" w14:textId="77777777" w:rsidR="003708A8" w:rsidRDefault="003708A8">
      <w:pPr>
        <w:spacing w:before="0" w:after="0"/>
      </w:pPr>
      <w:r>
        <w:continuationSeparator/>
      </w:r>
    </w:p>
  </w:endnote>
  <w:endnote w:type="continuationNotice" w:id="1">
    <w:p w14:paraId="29A395C0" w14:textId="77777777" w:rsidR="00EE68B5" w:rsidRDefault="00EE68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Ultra Light">
    <w:panose1 w:val="000003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9043" w14:textId="6E7C07AB" w:rsidR="00B55B04" w:rsidRDefault="00B55B04" w:rsidP="00EE1447">
    <w:pPr>
      <w:pStyle w:val="FooterEven"/>
    </w:pPr>
    <w:r>
      <w:drawing>
        <wp:anchor distT="0" distB="0" distL="114300" distR="114300" simplePos="0" relativeHeight="251658241" behindDoc="1" locked="0" layoutInCell="1" allowOverlap="0" wp14:anchorId="64CD2D16" wp14:editId="2E47960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EC02BC">
      <w:fldChar w:fldCharType="begin"/>
    </w:r>
    <w:r w:rsidR="00EC02BC">
      <w:instrText xml:space="preserve"> STYLEREF  "Heading 1"  \* MERGEFORMAT </w:instrText>
    </w:r>
    <w:r w:rsidR="00EC02BC">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p w14:paraId="78A7E258" w14:textId="77777777" w:rsidR="008905A4" w:rsidRDefault="008905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E85F" w14:textId="69C846A0" w:rsidR="00B55B04" w:rsidRDefault="00B55B04" w:rsidP="00962ACF">
    <w:pPr>
      <w:pStyle w:val="FooterOdd"/>
    </w:pPr>
    <w:r w:rsidRPr="00103F3C">
      <w:rPr>
        <w:noProof/>
        <w:position w:val="-8"/>
      </w:rPr>
      <w:drawing>
        <wp:inline distT="0" distB="0" distL="0" distR="0" wp14:anchorId="0B549AF7" wp14:editId="47C99D38">
          <wp:extent cx="1324800" cy="201600"/>
          <wp:effectExtent l="0" t="0" r="0" b="8255"/>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8E4D12">
        <w:rPr>
          <w:noProof/>
        </w:rPr>
        <w:t>Contents</w:t>
      </w:r>
    </w:fldSimple>
    <w:r>
      <w:rPr>
        <w:noProof/>
      </w:rPr>
      <w:t xml:space="preserve"> </w:t>
    </w:r>
    <w:r>
      <w:t xml:space="preserve">| </w:t>
    </w:r>
    <w:r>
      <w:fldChar w:fldCharType="begin"/>
    </w:r>
    <w:r>
      <w:instrText xml:space="preserve"> PAGE   \* MERGEFORMAT </w:instrText>
    </w:r>
    <w:r>
      <w:fldChar w:fldCharType="separate"/>
    </w:r>
    <w:r w:rsidR="008E4D12">
      <w:rPr>
        <w:noProof/>
      </w:rPr>
      <w:t>iii</w:t>
    </w:r>
    <w:r>
      <w:fldChar w:fldCharType="end"/>
    </w:r>
  </w:p>
  <w:p w14:paraId="5F504870" w14:textId="77777777" w:rsidR="008905A4" w:rsidRDefault="008905A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457C" w14:textId="33EFA402" w:rsidR="00D329F1" w:rsidRDefault="00D329F1" w:rsidP="00103F3C">
    <w:pPr>
      <w:pStyle w:val="FooterOdd"/>
    </w:pPr>
    <w:r w:rsidRPr="00103F3C">
      <w:rPr>
        <w:noProof/>
        <w:position w:val="-8"/>
      </w:rPr>
      <w:drawing>
        <wp:inline distT="0" distB="0" distL="0" distR="0" wp14:anchorId="2C4BD132" wp14:editId="73A52AED">
          <wp:extent cx="1324800" cy="201600"/>
          <wp:effectExtent l="0" t="0" r="0" b="825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8E4D12">
        <w:rPr>
          <w:noProof/>
        </w:rPr>
        <w:t>References</w:t>
      </w:r>
    </w:fldSimple>
    <w:r>
      <w:t xml:space="preserve"> | </w:t>
    </w:r>
    <w:r>
      <w:fldChar w:fldCharType="begin"/>
    </w:r>
    <w:r>
      <w:instrText xml:space="preserve"> PAGE   \* MERGEFORMAT </w:instrText>
    </w:r>
    <w:r>
      <w:fldChar w:fldCharType="separate"/>
    </w:r>
    <w:r w:rsidR="008E4D12">
      <w:rPr>
        <w:noProof/>
      </w:rPr>
      <w:t>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09FB" w14:textId="3A4C33D3"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sidR="008E4D12">
      <w:t>16</w:t>
    </w:r>
    <w:r>
      <w:fldChar w:fldCharType="end"/>
    </w:r>
    <w:r>
      <w:t xml:space="preserve"> | </w:t>
    </w:r>
    <w:fldSimple w:instr=" STYLEREF  &quot;Heading 1&quot;  \* MERGEFORMAT ">
      <w:r w:rsidR="008E4D12">
        <w:t>Post-implementation review</w:t>
      </w:r>
    </w:fldSimple>
    <w:r w:rsidR="00103F3C">
      <w:tab/>
    </w:r>
    <w:r w:rsidR="00103F3C" w:rsidRPr="00103F3C">
      <w:rPr>
        <w:position w:val="-8"/>
      </w:rPr>
      <w:drawing>
        <wp:inline distT="0" distB="0" distL="0" distR="0" wp14:anchorId="266C15CD" wp14:editId="1B8D1AE3">
          <wp:extent cx="1324800" cy="201600"/>
          <wp:effectExtent l="0" t="0" r="0" b="8255"/>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48B8"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F9F6" w14:textId="77777777" w:rsidR="003708A8" w:rsidRPr="00ED5A20" w:rsidRDefault="003708A8" w:rsidP="000F6233">
      <w:pPr>
        <w:rPr>
          <w:color w:val="4D7861" w:themeColor="accent2"/>
        </w:rPr>
      </w:pPr>
      <w:r w:rsidRPr="00ED5A20">
        <w:rPr>
          <w:color w:val="4D7861" w:themeColor="accent2"/>
        </w:rPr>
        <w:separator/>
      </w:r>
    </w:p>
  </w:footnote>
  <w:footnote w:type="continuationSeparator" w:id="0">
    <w:p w14:paraId="022B80EE" w14:textId="77777777" w:rsidR="003708A8" w:rsidRPr="00B737EB" w:rsidRDefault="003708A8">
      <w:pPr>
        <w:spacing w:before="0" w:after="0"/>
        <w:rPr>
          <w:color w:val="2C384A" w:themeColor="accent1"/>
        </w:rPr>
      </w:pPr>
      <w:r w:rsidRPr="00B737EB">
        <w:rPr>
          <w:color w:val="2C384A" w:themeColor="accent1"/>
        </w:rPr>
        <w:continuationSeparator/>
      </w:r>
    </w:p>
  </w:footnote>
  <w:footnote w:type="continuationNotice" w:id="1">
    <w:p w14:paraId="78F92BB9" w14:textId="77777777" w:rsidR="00EE68B5" w:rsidRDefault="00EE68B5">
      <w:pPr>
        <w:spacing w:before="0" w:after="0"/>
      </w:pPr>
    </w:p>
  </w:footnote>
  <w:footnote w:id="2">
    <w:p w14:paraId="3B5B0D75" w14:textId="06C3050B" w:rsidR="00722F38" w:rsidRDefault="00722F38" w:rsidP="002B2D62">
      <w:pPr>
        <w:pStyle w:val="FootnoteText"/>
        <w:spacing w:after="60"/>
      </w:pPr>
      <w:r>
        <w:rPr>
          <w:rStyle w:val="FootnoteReference"/>
        </w:rPr>
        <w:footnoteRef/>
      </w:r>
      <w:r>
        <w:t xml:space="preserve"> </w:t>
      </w:r>
      <w:r w:rsidR="002B2D62">
        <w:tab/>
      </w:r>
      <w:r>
        <w:t xml:space="preserve">Representatives of AFS licensees are often referred to as ‘financial advisers’, a </w:t>
      </w:r>
      <w:r w:rsidR="00DD19F2">
        <w:t xml:space="preserve">broad </w:t>
      </w:r>
      <w:r w:rsidR="001A1B24">
        <w:t>terms</w:t>
      </w:r>
      <w:r w:rsidR="00DD19F2">
        <w:t xml:space="preserve"> that also covers </w:t>
      </w:r>
      <w:r w:rsidR="00B5653E">
        <w:t>titles</w:t>
      </w:r>
      <w:r w:rsidR="00DD19F2">
        <w:t xml:space="preserve"> like ‘stockbroker’.</w:t>
      </w:r>
    </w:p>
  </w:footnote>
  <w:footnote w:id="3">
    <w:p w14:paraId="69E10089" w14:textId="07E5D7B0" w:rsidR="0071075D" w:rsidRPr="0071075D" w:rsidRDefault="0071075D" w:rsidP="002B2D62">
      <w:pPr>
        <w:pStyle w:val="FootnoteText"/>
        <w:spacing w:after="60"/>
      </w:pPr>
      <w:r>
        <w:rPr>
          <w:rStyle w:val="FootnoteReference"/>
        </w:rPr>
        <w:footnoteRef/>
      </w:r>
      <w:r>
        <w:t xml:space="preserve"> </w:t>
      </w:r>
      <w:r w:rsidR="002B2D62">
        <w:tab/>
      </w:r>
      <w:r>
        <w:t xml:space="preserve">Australian Securities and Investments Commission, </w:t>
      </w:r>
      <w:r>
        <w:rPr>
          <w:i/>
          <w:iCs/>
        </w:rPr>
        <w:t>Treasury consultation on stamping fee exemption: response of the Australian Securities and Investments Commission</w:t>
      </w:r>
      <w:r>
        <w:t xml:space="preserve">, 20 February 2020. Available at: </w:t>
      </w:r>
      <w:r w:rsidRPr="0071075D">
        <w:t>https://treasury.gov.au/sites/default/files/2020-06/asic_submission.pdf</w:t>
      </w:r>
    </w:p>
  </w:footnote>
  <w:footnote w:id="4">
    <w:p w14:paraId="0D5F4D1A" w14:textId="3189569B" w:rsidR="00CD3E9C" w:rsidRDefault="00CD3E9C" w:rsidP="002B2D62">
      <w:pPr>
        <w:pStyle w:val="FootnoteText"/>
        <w:spacing w:after="60"/>
      </w:pPr>
      <w:r>
        <w:rPr>
          <w:rStyle w:val="FootnoteReference"/>
        </w:rPr>
        <w:footnoteRef/>
      </w:r>
      <w:r>
        <w:t xml:space="preserve"> </w:t>
      </w:r>
      <w:r w:rsidR="002B2D62">
        <w:tab/>
      </w:r>
      <w:r w:rsidR="00A133F3" w:rsidRPr="00672478">
        <w:t>Royal Commission into Misconduct in the Banking, Superannuation and Financial Services Industry</w:t>
      </w:r>
      <w:r w:rsidR="00A133F3">
        <w:rPr>
          <w:i/>
          <w:iCs/>
        </w:rPr>
        <w:t>, Final Report</w:t>
      </w:r>
      <w:r w:rsidR="00A133F3">
        <w:t>,</w:t>
      </w:r>
      <w:r w:rsidR="00A133F3">
        <w:rPr>
          <w:i/>
          <w:iCs/>
        </w:rPr>
        <w:t xml:space="preserve"> </w:t>
      </w:r>
      <w:r w:rsidR="00A133F3">
        <w:t xml:space="preserve">2019. Available at: </w:t>
      </w:r>
      <w:r w:rsidR="00A133F3" w:rsidRPr="00672478">
        <w:t>https://www.royalcommission.gov.au/system/files/2020-09/fsrc-volume-1-final-report.pdf</w:t>
      </w:r>
    </w:p>
  </w:footnote>
  <w:footnote w:id="5">
    <w:p w14:paraId="4B8E179E" w14:textId="41076E54" w:rsidR="00087C9F" w:rsidRPr="00087C9F" w:rsidRDefault="00087C9F" w:rsidP="002B2D62">
      <w:pPr>
        <w:pStyle w:val="FootnoteText"/>
        <w:spacing w:after="60"/>
      </w:pPr>
      <w:r>
        <w:rPr>
          <w:rStyle w:val="FootnoteReference"/>
        </w:rPr>
        <w:footnoteRef/>
      </w:r>
      <w:r>
        <w:t xml:space="preserve"> </w:t>
      </w:r>
      <w:bookmarkStart w:id="8" w:name="_Hlk109904997"/>
      <w:r w:rsidR="002B2D62">
        <w:tab/>
      </w:r>
      <w:r>
        <w:t xml:space="preserve">Treasury, </w:t>
      </w:r>
      <w:r>
        <w:rPr>
          <w:i/>
          <w:iCs/>
        </w:rPr>
        <w:t>Quality of Advice Review – Issues Paper</w:t>
      </w:r>
      <w:r>
        <w:t>, March 2022. Available at: www.</w:t>
      </w:r>
      <w:r w:rsidRPr="00087C9F">
        <w:t>treasury.gov.au/sites/default/files/2022-03/c2022-259464-quality-of-advice-issues-paper_0.pdf</w:t>
      </w:r>
      <w:bookmarkEnd w:id="8"/>
    </w:p>
  </w:footnote>
  <w:footnote w:id="6">
    <w:p w14:paraId="74FE87ED" w14:textId="59ADA0D1" w:rsidR="00D1062A" w:rsidRDefault="00D1062A" w:rsidP="002B2D62">
      <w:pPr>
        <w:pStyle w:val="FootnoteText"/>
        <w:spacing w:after="60"/>
      </w:pPr>
      <w:r>
        <w:rPr>
          <w:rStyle w:val="FootnoteReference"/>
        </w:rPr>
        <w:footnoteRef/>
      </w:r>
      <w:r>
        <w:t xml:space="preserve"> </w:t>
      </w:r>
      <w:r w:rsidR="002B2D62">
        <w:tab/>
      </w:r>
      <w:r>
        <w:t xml:space="preserve">Treasury, </w:t>
      </w:r>
      <w:r>
        <w:rPr>
          <w:i/>
          <w:iCs/>
        </w:rPr>
        <w:t>Quality of Advice Review – Issues Paper.</w:t>
      </w:r>
    </w:p>
  </w:footnote>
  <w:footnote w:id="7">
    <w:p w14:paraId="26338170" w14:textId="318D3B8D" w:rsidR="00520789" w:rsidRPr="00DD63A8" w:rsidRDefault="00520789" w:rsidP="002B2D62">
      <w:pPr>
        <w:pStyle w:val="FootnoteText"/>
        <w:spacing w:after="60"/>
        <w:rPr>
          <w:i/>
          <w:iCs/>
        </w:rPr>
      </w:pPr>
      <w:r>
        <w:rPr>
          <w:rStyle w:val="FootnoteReference"/>
        </w:rPr>
        <w:footnoteRef/>
      </w:r>
      <w:r>
        <w:t xml:space="preserve"> </w:t>
      </w:r>
      <w:r w:rsidR="002B2D62">
        <w:tab/>
      </w:r>
      <w:r>
        <w:t xml:space="preserve">Treasury, </w:t>
      </w:r>
      <w:r>
        <w:rPr>
          <w:i/>
          <w:iCs/>
        </w:rPr>
        <w:t>Quality of Advice Review – Issues Paper.</w:t>
      </w:r>
    </w:p>
  </w:footnote>
  <w:footnote w:id="8">
    <w:p w14:paraId="48FE86AA" w14:textId="383F7A29" w:rsidR="007F5BCB" w:rsidRDefault="007F5BCB" w:rsidP="004D7BA4">
      <w:pPr>
        <w:pStyle w:val="FootnoteText"/>
        <w:spacing w:after="60"/>
      </w:pPr>
      <w:r>
        <w:rPr>
          <w:rStyle w:val="FootnoteReference"/>
        </w:rPr>
        <w:footnoteRef/>
      </w:r>
      <w:r>
        <w:t xml:space="preserve"> </w:t>
      </w:r>
      <w:r w:rsidR="004D7BA4">
        <w:tab/>
      </w:r>
      <w:r w:rsidR="00205340">
        <w:t xml:space="preserve">Australian Securities and Investments Commission, </w:t>
      </w:r>
      <w:r w:rsidR="00205340">
        <w:rPr>
          <w:i/>
          <w:iCs/>
        </w:rPr>
        <w:t>Report 279 – Shadow shopping study of retirement advice</w:t>
      </w:r>
      <w:r w:rsidR="00205340">
        <w:t xml:space="preserve">, March 2012. Available at: </w:t>
      </w:r>
      <w:r w:rsidR="00205340" w:rsidRPr="0094414D">
        <w:t>https://download.asic.gov.au/media/1343876/rep279-published-27-March-2012.pdf</w:t>
      </w:r>
    </w:p>
  </w:footnote>
  <w:footnote w:id="9">
    <w:p w14:paraId="67810258" w14:textId="0904FEE8" w:rsidR="007F5BCB" w:rsidRPr="00C348BD" w:rsidRDefault="007F5BCB" w:rsidP="007F5BCB">
      <w:pPr>
        <w:pStyle w:val="FootnoteText"/>
      </w:pPr>
      <w:r>
        <w:rPr>
          <w:rStyle w:val="FootnoteReference"/>
        </w:rPr>
        <w:footnoteRef/>
      </w:r>
      <w:r>
        <w:t xml:space="preserve"> </w:t>
      </w:r>
      <w:r w:rsidR="004D7BA4">
        <w:tab/>
      </w:r>
      <w:r w:rsidR="00C348BD">
        <w:t xml:space="preserve">Australian Securities and Investments Commission, </w:t>
      </w:r>
      <w:r w:rsidR="00C348BD">
        <w:rPr>
          <w:i/>
          <w:iCs/>
        </w:rPr>
        <w:t>Report 279 – Shadow shopping study of retirement advice</w:t>
      </w:r>
      <w:r w:rsidR="00C348BD">
        <w:t>.</w:t>
      </w:r>
    </w:p>
  </w:footnote>
  <w:footnote w:id="10">
    <w:p w14:paraId="1B510EDC" w14:textId="71DA627D" w:rsidR="00566074" w:rsidRDefault="00566074" w:rsidP="004D7BA4">
      <w:pPr>
        <w:pStyle w:val="FootnoteText"/>
        <w:spacing w:after="60"/>
      </w:pPr>
      <w:r>
        <w:rPr>
          <w:rStyle w:val="FootnoteReference"/>
        </w:rPr>
        <w:footnoteRef/>
      </w:r>
      <w:r>
        <w:t xml:space="preserve"> </w:t>
      </w:r>
      <w:r w:rsidR="004D7BA4">
        <w:tab/>
      </w:r>
      <w:r w:rsidR="0000369E">
        <w:t xml:space="preserve">Parliamentary Joint Committee on Corporations and Financial Services, </w:t>
      </w:r>
      <w:r w:rsidR="0000369E">
        <w:rPr>
          <w:i/>
          <w:iCs/>
        </w:rPr>
        <w:t xml:space="preserve">Inquiry into financial products and services in Australia, </w:t>
      </w:r>
      <w:r w:rsidR="0000369E">
        <w:t xml:space="preserve">November 2009. Available at: </w:t>
      </w:r>
      <w:r w:rsidR="0000369E" w:rsidRPr="00344AFB">
        <w:t>https://www.aph.gov.au/binaries/senate/committee/corporations_ctte/fps/report/report.pdf</w:t>
      </w:r>
    </w:p>
  </w:footnote>
  <w:footnote w:id="11">
    <w:p w14:paraId="4467F135" w14:textId="305B8498" w:rsidR="002B33EE" w:rsidRDefault="002B33EE" w:rsidP="004D7BA4">
      <w:pPr>
        <w:pStyle w:val="FootnoteText"/>
        <w:spacing w:after="60"/>
      </w:pPr>
      <w:r>
        <w:rPr>
          <w:rStyle w:val="FootnoteReference"/>
        </w:rPr>
        <w:footnoteRef/>
      </w:r>
      <w:r>
        <w:t xml:space="preserve"> </w:t>
      </w:r>
      <w:r w:rsidR="004D7BA4">
        <w:tab/>
      </w:r>
      <w:r>
        <w:t xml:space="preserve">Australian Securities and Investments Commission, </w:t>
      </w:r>
      <w:r>
        <w:rPr>
          <w:i/>
          <w:iCs/>
        </w:rPr>
        <w:t xml:space="preserve">Report 69 – Shadow shopping survey on superannuation advice, </w:t>
      </w:r>
      <w:r>
        <w:t xml:space="preserve">April 2006. Available at: </w:t>
      </w:r>
      <w:r w:rsidRPr="00A133F3">
        <w:t>https://download.asic.gov.au/media/1347026/shadow_shop_report_2006.pdf</w:t>
      </w:r>
    </w:p>
  </w:footnote>
  <w:footnote w:id="12">
    <w:p w14:paraId="094A2D99" w14:textId="1085F6CB" w:rsidR="000A1C86" w:rsidRDefault="00A17F97" w:rsidP="004D7BA4">
      <w:pPr>
        <w:pStyle w:val="FootnoteText"/>
        <w:spacing w:after="60"/>
      </w:pPr>
      <w:r>
        <w:rPr>
          <w:rStyle w:val="FootnoteReference"/>
        </w:rPr>
        <w:footnoteRef/>
      </w:r>
      <w:r>
        <w:t xml:space="preserve"> </w:t>
      </w:r>
      <w:r w:rsidR="004D7BA4">
        <w:tab/>
      </w:r>
      <w:r w:rsidR="001A01C5">
        <w:t xml:space="preserve">Australian Securities and Investments Commission, </w:t>
      </w:r>
      <w:r w:rsidR="001A01C5">
        <w:rPr>
          <w:i/>
          <w:iCs/>
        </w:rPr>
        <w:t>Report 69 – Shadow shopping survey on superannuation advice.</w:t>
      </w:r>
    </w:p>
  </w:footnote>
  <w:footnote w:id="13">
    <w:p w14:paraId="3E2F387E" w14:textId="14382816" w:rsidR="00884F52" w:rsidRDefault="00884F52" w:rsidP="004D7BA4">
      <w:pPr>
        <w:pStyle w:val="FootnoteText"/>
        <w:spacing w:after="60"/>
      </w:pPr>
      <w:r>
        <w:rPr>
          <w:rStyle w:val="FootnoteReference"/>
        </w:rPr>
        <w:footnoteRef/>
      </w:r>
      <w:r>
        <w:t xml:space="preserve"> </w:t>
      </w:r>
      <w:r w:rsidR="004D7BA4">
        <w:tab/>
      </w:r>
      <w:r>
        <w:t xml:space="preserve">Parliamentary Joint Committee on Corporations and Financial Services, </w:t>
      </w:r>
      <w:r>
        <w:rPr>
          <w:i/>
          <w:iCs/>
        </w:rPr>
        <w:t>Inquiry into financial products and services in Australia.</w:t>
      </w:r>
    </w:p>
  </w:footnote>
  <w:footnote w:id="14">
    <w:p w14:paraId="333245F3" w14:textId="1E3F0E9D" w:rsidR="00203D83" w:rsidRPr="004D7BA4" w:rsidRDefault="00203D83" w:rsidP="004D7BA4">
      <w:pPr>
        <w:pStyle w:val="FootnoteText"/>
        <w:spacing w:after="60"/>
        <w:rPr>
          <w:rStyle w:val="FootnoteReference"/>
        </w:rPr>
      </w:pPr>
      <w:r>
        <w:rPr>
          <w:rStyle w:val="FootnoteReference"/>
        </w:rPr>
        <w:footnoteRef/>
      </w:r>
      <w:r w:rsidRPr="004D7BA4">
        <w:rPr>
          <w:rStyle w:val="FootnoteReference"/>
        </w:rPr>
        <w:t xml:space="preserve"> </w:t>
      </w:r>
      <w:bookmarkStart w:id="9" w:name="_Hlk109905023"/>
      <w:r w:rsidR="004D7BA4">
        <w:tab/>
      </w:r>
      <w:r w:rsidR="00A10B76" w:rsidRPr="004D7BA4">
        <w:rPr>
          <w:rStyle w:val="FootnoteReference"/>
        </w:rPr>
        <w:t>Parliamentary Joint Committee on Corporations and Financial Services, Statutory Oversight of the Australian Securities and Investments Commission, 16 August 2006. Available at: https://www.aph.gov.au/Parliamentary_Business/Committees/Joint/Corporations_and_Financial_Services/</w:t>
      </w:r>
      <w:r w:rsidR="004D7BA4">
        <w:t xml:space="preserve"> </w:t>
      </w:r>
      <w:r w:rsidR="00A10B76" w:rsidRPr="004D7BA4">
        <w:rPr>
          <w:rStyle w:val="FootnoteReference"/>
        </w:rPr>
        <w:t>Membership/asic/asic06/index</w:t>
      </w:r>
      <w:r w:rsidR="004D7BA4">
        <w:t xml:space="preserve"> </w:t>
      </w:r>
    </w:p>
    <w:bookmarkEnd w:id="9"/>
  </w:footnote>
  <w:footnote w:id="15">
    <w:p w14:paraId="03BB845A" w14:textId="00649235" w:rsidR="00D662E0" w:rsidRPr="004D7BA4" w:rsidRDefault="00D662E0" w:rsidP="004D7BA4">
      <w:pPr>
        <w:pStyle w:val="FootnoteText"/>
        <w:spacing w:after="60"/>
        <w:rPr>
          <w:rStyle w:val="FootnoteReference"/>
        </w:rPr>
      </w:pPr>
      <w:r>
        <w:rPr>
          <w:rStyle w:val="FootnoteReference"/>
        </w:rPr>
        <w:footnoteRef/>
      </w:r>
      <w:r w:rsidRPr="004D7BA4">
        <w:rPr>
          <w:rStyle w:val="FootnoteReference"/>
        </w:rPr>
        <w:t xml:space="preserve"> </w:t>
      </w:r>
      <w:bookmarkStart w:id="10" w:name="_Hlk109905066"/>
      <w:r w:rsidR="004D7BA4" w:rsidRPr="004D7BA4">
        <w:rPr>
          <w:rStyle w:val="FootnoteReference"/>
        </w:rPr>
        <w:tab/>
      </w:r>
      <w:r w:rsidRPr="004D7BA4">
        <w:rPr>
          <w:rStyle w:val="FootnoteReference"/>
        </w:rPr>
        <w:t>Australian Securities and Investments Commission, Westpoint, 29 April 2021. Available at: https://asic.gov.au/about-asic/news-centre/key-matters/westpoint/</w:t>
      </w:r>
      <w:bookmarkEnd w:id="10"/>
    </w:p>
  </w:footnote>
  <w:footnote w:id="16">
    <w:p w14:paraId="069267AA" w14:textId="237ECE38" w:rsidR="00DE62C6" w:rsidRPr="004D7BA4" w:rsidRDefault="00DE62C6" w:rsidP="004D7BA4">
      <w:pPr>
        <w:pStyle w:val="FootnoteText"/>
        <w:spacing w:after="60"/>
        <w:rPr>
          <w:rStyle w:val="FootnoteReference"/>
        </w:rPr>
      </w:pPr>
      <w:r>
        <w:rPr>
          <w:rStyle w:val="FootnoteReference"/>
        </w:rPr>
        <w:footnoteRef/>
      </w:r>
      <w:r w:rsidRPr="004D7BA4">
        <w:rPr>
          <w:rStyle w:val="FootnoteReference"/>
        </w:rPr>
        <w:t xml:space="preserve"> </w:t>
      </w:r>
      <w:r w:rsidR="004D7BA4" w:rsidRPr="004D7BA4">
        <w:rPr>
          <w:rStyle w:val="FootnoteReference"/>
        </w:rPr>
        <w:tab/>
      </w:r>
      <w:r w:rsidR="00A10B76" w:rsidRPr="004D7BA4">
        <w:rPr>
          <w:rStyle w:val="FootnoteReference"/>
        </w:rPr>
        <w:t>Parliamentary Joint Committee on Corporations and Financial Services, Statutory Oversight of the Australian Securities and Investments Commission.</w:t>
      </w:r>
    </w:p>
  </w:footnote>
  <w:footnote w:id="17">
    <w:p w14:paraId="1B79A1B4" w14:textId="497BE74A" w:rsidR="00CE5766" w:rsidRPr="004D7BA4" w:rsidRDefault="00CE5766" w:rsidP="004D7BA4">
      <w:pPr>
        <w:pStyle w:val="FootnoteText"/>
        <w:spacing w:after="60"/>
        <w:rPr>
          <w:rStyle w:val="FootnoteReference"/>
        </w:rPr>
      </w:pPr>
      <w:r>
        <w:rPr>
          <w:rStyle w:val="FootnoteReference"/>
        </w:rPr>
        <w:footnoteRef/>
      </w:r>
      <w:r w:rsidRPr="004D7BA4">
        <w:rPr>
          <w:rStyle w:val="FootnoteReference"/>
        </w:rPr>
        <w:t xml:space="preserve"> </w:t>
      </w:r>
      <w:bookmarkStart w:id="11" w:name="_Hlk109905171"/>
      <w:r w:rsidR="004D7BA4">
        <w:rPr>
          <w:rStyle w:val="FootnoteReference"/>
        </w:rPr>
        <w:tab/>
      </w:r>
      <w:r w:rsidR="00A10B76" w:rsidRPr="004D7BA4">
        <w:rPr>
          <w:rStyle w:val="FootnoteReference"/>
        </w:rPr>
        <w:t>CHOICE, Submission by CHOICE to the Parliamentary Joint Committee on Corporations and Financial Services Inquiry into Financial Services and Products, August 2009. Available at: https://www.aph.gov.au/Parliamentary_Business/Committees/Joint/Corporations_and_Financial_Services/Completed_inquiries/2008-10/fps/submissions/sublist</w:t>
      </w:r>
    </w:p>
    <w:bookmarkEnd w:id="11"/>
  </w:footnote>
  <w:footnote w:id="18">
    <w:p w14:paraId="17409B28" w14:textId="561DCE25" w:rsidR="00D1062A" w:rsidRPr="004D7BA4" w:rsidRDefault="00D1062A" w:rsidP="004D7BA4">
      <w:pPr>
        <w:pStyle w:val="FootnoteText"/>
        <w:spacing w:after="60"/>
        <w:rPr>
          <w:rStyle w:val="FootnoteReference"/>
        </w:rPr>
      </w:pPr>
      <w:r>
        <w:rPr>
          <w:rStyle w:val="FootnoteReference"/>
        </w:rPr>
        <w:footnoteRef/>
      </w:r>
      <w:r w:rsidRPr="004D7BA4">
        <w:rPr>
          <w:rStyle w:val="FootnoteReference"/>
        </w:rPr>
        <w:t xml:space="preserve"> </w:t>
      </w:r>
      <w:r w:rsidR="004D7BA4">
        <w:rPr>
          <w:rStyle w:val="FootnoteReference"/>
        </w:rPr>
        <w:tab/>
      </w:r>
      <w:r w:rsidRPr="004D7BA4">
        <w:rPr>
          <w:rStyle w:val="FootnoteReference"/>
        </w:rPr>
        <w:t>Parliamentary Joint Committee on Corporations and Financial Services, Inquiry into financial products and servi</w:t>
      </w:r>
      <w:r w:rsidR="00D662E0" w:rsidRPr="004D7BA4">
        <w:rPr>
          <w:rStyle w:val="FootnoteReference"/>
        </w:rPr>
        <w:t>c</w:t>
      </w:r>
      <w:r w:rsidRPr="004D7BA4">
        <w:rPr>
          <w:rStyle w:val="FootnoteReference"/>
        </w:rPr>
        <w:t>es in Australia.</w:t>
      </w:r>
    </w:p>
  </w:footnote>
  <w:footnote w:id="19">
    <w:p w14:paraId="2A9B7720" w14:textId="78091E3C" w:rsidR="00822974" w:rsidRPr="004D7BA4" w:rsidRDefault="00822974" w:rsidP="004D7BA4">
      <w:pPr>
        <w:pStyle w:val="FootnoteText"/>
        <w:spacing w:after="60"/>
        <w:rPr>
          <w:rStyle w:val="FootnoteReference"/>
        </w:rPr>
      </w:pPr>
      <w:r>
        <w:rPr>
          <w:rStyle w:val="FootnoteReference"/>
        </w:rPr>
        <w:footnoteRef/>
      </w:r>
      <w:r w:rsidRPr="004D7BA4">
        <w:rPr>
          <w:rStyle w:val="FootnoteReference"/>
        </w:rPr>
        <w:t xml:space="preserve"> </w:t>
      </w:r>
      <w:r w:rsidR="004D7BA4">
        <w:rPr>
          <w:rStyle w:val="FootnoteReference"/>
        </w:rPr>
        <w:tab/>
      </w:r>
      <w:r w:rsidR="00A10B76" w:rsidRPr="004D7BA4">
        <w:rPr>
          <w:rStyle w:val="FootnoteReference"/>
        </w:rPr>
        <w:t>Parliamentary Joint Committee on Corporations and Financial Services, Inquiry into financial products and servi</w:t>
      </w:r>
      <w:r w:rsidR="00D662E0" w:rsidRPr="004D7BA4">
        <w:rPr>
          <w:rStyle w:val="FootnoteReference"/>
        </w:rPr>
        <w:t>c</w:t>
      </w:r>
      <w:r w:rsidR="00A10B76" w:rsidRPr="004D7BA4">
        <w:rPr>
          <w:rStyle w:val="FootnoteReference"/>
        </w:rPr>
        <w:t>es in Australia.</w:t>
      </w:r>
    </w:p>
  </w:footnote>
  <w:footnote w:id="20">
    <w:p w14:paraId="48F0FA37" w14:textId="4FEC89C2" w:rsidR="00BA5BB0" w:rsidRPr="004D7BA4" w:rsidRDefault="00BA5BB0" w:rsidP="004D7BA4">
      <w:pPr>
        <w:pStyle w:val="FootnoteText"/>
        <w:spacing w:after="60"/>
        <w:rPr>
          <w:rStyle w:val="FootnoteReference"/>
        </w:rPr>
      </w:pPr>
      <w:r>
        <w:rPr>
          <w:rStyle w:val="FootnoteReference"/>
        </w:rPr>
        <w:footnoteRef/>
      </w:r>
      <w:r w:rsidRPr="004D7BA4">
        <w:rPr>
          <w:rStyle w:val="FootnoteReference"/>
        </w:rPr>
        <w:t xml:space="preserve"> </w:t>
      </w:r>
      <w:r w:rsidR="004D7BA4">
        <w:rPr>
          <w:rStyle w:val="FootnoteReference"/>
        </w:rPr>
        <w:tab/>
      </w:r>
      <w:r w:rsidR="009825F1" w:rsidRPr="004D7BA4">
        <w:rPr>
          <w:rStyle w:val="FootnoteReference"/>
        </w:rPr>
        <w:t>Corporations Amendment (Future of Financial Advice) Act 2012.</w:t>
      </w:r>
    </w:p>
  </w:footnote>
  <w:footnote w:id="21">
    <w:p w14:paraId="278B206F" w14:textId="0B6913CE" w:rsidR="00FF319D" w:rsidRDefault="00FF319D" w:rsidP="004D7BA4">
      <w:pPr>
        <w:pStyle w:val="FootnoteText"/>
        <w:spacing w:after="60"/>
      </w:pPr>
      <w:r>
        <w:rPr>
          <w:rStyle w:val="FootnoteReference"/>
        </w:rPr>
        <w:footnoteRef/>
      </w:r>
      <w:r w:rsidRPr="004D7BA4">
        <w:rPr>
          <w:rStyle w:val="FootnoteReference"/>
        </w:rPr>
        <w:t xml:space="preserve"> </w:t>
      </w:r>
      <w:r w:rsidR="004D7BA4">
        <w:rPr>
          <w:rStyle w:val="FootnoteReference"/>
        </w:rPr>
        <w:tab/>
      </w:r>
      <w:r w:rsidR="00873CF1" w:rsidRPr="004D7BA4">
        <w:rPr>
          <w:rStyle w:val="FootnoteReference"/>
        </w:rPr>
        <w:t>Corporations Amendment (Further Future of Financial Advice Measures) Act 2012 – Explanatory Memorandum.</w:t>
      </w:r>
    </w:p>
  </w:footnote>
  <w:footnote w:id="22">
    <w:p w14:paraId="3FAC94AA" w14:textId="60FC0548" w:rsidR="009825F1" w:rsidRPr="00672478" w:rsidRDefault="009825F1" w:rsidP="004D7BA4">
      <w:pPr>
        <w:pStyle w:val="FootnoteText"/>
        <w:spacing w:after="60"/>
      </w:pPr>
      <w:r>
        <w:rPr>
          <w:rStyle w:val="FootnoteReference"/>
        </w:rPr>
        <w:footnoteRef/>
      </w:r>
      <w:r>
        <w:t xml:space="preserve"> </w:t>
      </w:r>
      <w:r w:rsidR="004D7BA4">
        <w:tab/>
      </w:r>
      <w:r w:rsidR="00672478" w:rsidRPr="00672478">
        <w:t>Royal Commission into Misconduct in the Banking, Superannuation and Financial Services Industry</w:t>
      </w:r>
      <w:r w:rsidR="00672478">
        <w:rPr>
          <w:i/>
          <w:iCs/>
        </w:rPr>
        <w:t>, Final Report</w:t>
      </w:r>
      <w:r w:rsidR="00A133F3">
        <w:t>.</w:t>
      </w:r>
    </w:p>
  </w:footnote>
  <w:footnote w:id="23">
    <w:p w14:paraId="357FDF40" w14:textId="7A8D8692" w:rsidR="00D1062A" w:rsidRDefault="00D1062A" w:rsidP="004D7BA4">
      <w:pPr>
        <w:pStyle w:val="FootnoteText"/>
        <w:spacing w:after="60"/>
      </w:pPr>
      <w:r>
        <w:rPr>
          <w:rStyle w:val="FootnoteReference"/>
        </w:rPr>
        <w:footnoteRef/>
      </w:r>
      <w:r>
        <w:t xml:space="preserve"> </w:t>
      </w:r>
      <w:r w:rsidR="004D7BA4">
        <w:tab/>
      </w:r>
      <w:r>
        <w:t xml:space="preserve">Australian Securities and Investments Commission, </w:t>
      </w:r>
      <w:r>
        <w:rPr>
          <w:i/>
          <w:iCs/>
        </w:rPr>
        <w:t>Treasury consultation on stamping fee exemption.</w:t>
      </w:r>
    </w:p>
  </w:footnote>
  <w:footnote w:id="24">
    <w:p w14:paraId="4D803A89" w14:textId="2D713C44" w:rsidR="00887553" w:rsidRDefault="00887553" w:rsidP="004D7BA4">
      <w:pPr>
        <w:pStyle w:val="FootnoteText"/>
        <w:spacing w:after="60"/>
      </w:pPr>
      <w:r>
        <w:rPr>
          <w:rStyle w:val="FootnoteReference"/>
        </w:rPr>
        <w:footnoteRef/>
      </w:r>
      <w:r>
        <w:t xml:space="preserve"> </w:t>
      </w:r>
      <w:r w:rsidR="004D7BA4">
        <w:tab/>
      </w:r>
      <w:r>
        <w:t xml:space="preserve">Australian Securities and Investments Commission, </w:t>
      </w:r>
      <w:r>
        <w:rPr>
          <w:i/>
          <w:iCs/>
        </w:rPr>
        <w:t>Treasury consultation on stamping fee exemption.</w:t>
      </w:r>
    </w:p>
  </w:footnote>
  <w:footnote w:id="25">
    <w:p w14:paraId="119D7E08" w14:textId="32E77C8C" w:rsidR="006F6E2E" w:rsidRDefault="006F6E2E" w:rsidP="004D7BA4">
      <w:pPr>
        <w:pStyle w:val="FootnoteText"/>
        <w:spacing w:after="60"/>
      </w:pPr>
      <w:r>
        <w:rPr>
          <w:rStyle w:val="FootnoteReference"/>
        </w:rPr>
        <w:footnoteRef/>
      </w:r>
      <w:r>
        <w:t xml:space="preserve"> </w:t>
      </w:r>
      <w:bookmarkStart w:id="14" w:name="_Hlk109899482"/>
      <w:r w:rsidR="004D7BA4">
        <w:tab/>
      </w:r>
      <w:r>
        <w:t>Treasury considered some publicly available NTA data reported for</w:t>
      </w:r>
      <w:r w:rsidR="00DE00C7">
        <w:t xml:space="preserve"> the </w:t>
      </w:r>
      <w:r w:rsidR="00750B0F">
        <w:t>36</w:t>
      </w:r>
      <w:r>
        <w:t xml:space="preserve"> new LIC and LIT issuances in the period to be</w:t>
      </w:r>
      <w:r w:rsidR="0033166F">
        <w:t xml:space="preserve"> insufficient </w:t>
      </w:r>
      <w:r w:rsidR="001800D8">
        <w:t>(less than four months of recorded data)</w:t>
      </w:r>
      <w:r>
        <w:t xml:space="preserve"> and has excluded </w:t>
      </w:r>
      <w:r w:rsidR="0033166F">
        <w:t>these entities</w:t>
      </w:r>
      <w:r>
        <w:t xml:space="preserve"> from this analysis.</w:t>
      </w:r>
      <w:r w:rsidR="00AD21A1">
        <w:t xml:space="preserve"> Treasury has not considered firm-level data to determine which new issuances paid stamping fees and their value. ASIC did examine and report firm-level data in its 2020 submissions to Treasury, which has some overlap with the period considered here.</w:t>
      </w:r>
      <w:r w:rsidR="002F508A">
        <w:t xml:space="preserve"> </w:t>
      </w:r>
      <w:r w:rsidR="00AD21A1">
        <w:t>In</w:t>
      </w:r>
      <w:r w:rsidR="002F508A">
        <w:t xml:space="preserve"> </w:t>
      </w:r>
      <w:r w:rsidR="00AD21A1">
        <w:t>that analysis, more than 88 per cent of issuances involved the payment of stamping fees.</w:t>
      </w:r>
      <w:bookmarkEnd w:id="14"/>
    </w:p>
  </w:footnote>
  <w:footnote w:id="26">
    <w:p w14:paraId="7EAF6064" w14:textId="2341394E" w:rsidR="006E2D53" w:rsidRDefault="006E2D53" w:rsidP="004D7BA4">
      <w:pPr>
        <w:pStyle w:val="FootnoteText"/>
        <w:spacing w:after="60"/>
      </w:pPr>
      <w:r>
        <w:rPr>
          <w:rStyle w:val="FootnoteReference"/>
        </w:rPr>
        <w:footnoteRef/>
      </w:r>
      <w:r>
        <w:t xml:space="preserve"> </w:t>
      </w:r>
      <w:r w:rsidR="004D7BA4">
        <w:tab/>
      </w:r>
      <w:r>
        <w:t>Building on ASIC’s analysis in 2020 that a significant proportion of LICs and LITs traded at a discount ‘soon after issuance’, Treasury considered six months to be a reasonable period to capture th</w:t>
      </w:r>
      <w:r w:rsidR="00AD21A1">
        <w:t>is proposed</w:t>
      </w:r>
      <w:r>
        <w:t xml:space="preserve"> temporal nature of discount to NTA. </w:t>
      </w:r>
    </w:p>
  </w:footnote>
  <w:footnote w:id="27">
    <w:p w14:paraId="4DEA53A4" w14:textId="63873142" w:rsidR="00251641" w:rsidRPr="00F704E4" w:rsidRDefault="00251641" w:rsidP="004D7BA4">
      <w:pPr>
        <w:pStyle w:val="FootnoteText"/>
        <w:spacing w:after="60"/>
      </w:pPr>
      <w:r>
        <w:rPr>
          <w:rStyle w:val="FootnoteReference"/>
        </w:rPr>
        <w:footnoteRef/>
      </w:r>
      <w:r>
        <w:t xml:space="preserve"> </w:t>
      </w:r>
      <w:bookmarkStart w:id="15" w:name="_Hlk109905229"/>
      <w:r w:rsidR="004D7BA4">
        <w:tab/>
      </w:r>
      <w:r>
        <w:t xml:space="preserve">Australian Securities Exchange, </w:t>
      </w:r>
      <w:r>
        <w:rPr>
          <w:i/>
          <w:iCs/>
        </w:rPr>
        <w:t xml:space="preserve">ASX </w:t>
      </w:r>
      <w:r w:rsidR="00E67905">
        <w:rPr>
          <w:i/>
          <w:iCs/>
        </w:rPr>
        <w:t>funds statistics</w:t>
      </w:r>
      <w:r>
        <w:rPr>
          <w:i/>
          <w:iCs/>
        </w:rPr>
        <w:t xml:space="preserve">: </w:t>
      </w:r>
      <w:r w:rsidR="00E67905">
        <w:rPr>
          <w:i/>
          <w:iCs/>
        </w:rPr>
        <w:t>ASX Investment Products monthly update.</w:t>
      </w:r>
      <w:r w:rsidR="00F704E4">
        <w:rPr>
          <w:i/>
          <w:iCs/>
        </w:rPr>
        <w:t xml:space="preserve"> </w:t>
      </w:r>
      <w:r w:rsidR="00F704E4">
        <w:t xml:space="preserve">Available at: </w:t>
      </w:r>
      <w:r w:rsidR="00F704E4" w:rsidRPr="00F704E4">
        <w:t>https://www2.asx.com.au/issuers/investment-products/asx-funds-statistics</w:t>
      </w:r>
    </w:p>
    <w:bookmarkEnd w:id="15"/>
  </w:footnote>
  <w:footnote w:id="28">
    <w:p w14:paraId="4AB0D9EF" w14:textId="03E00668" w:rsidR="00887553" w:rsidRDefault="00887553" w:rsidP="004D7BA4">
      <w:pPr>
        <w:pStyle w:val="FootnoteText"/>
        <w:spacing w:after="60"/>
      </w:pPr>
      <w:r>
        <w:rPr>
          <w:rStyle w:val="FootnoteReference"/>
        </w:rPr>
        <w:footnoteRef/>
      </w:r>
      <w:r>
        <w:t xml:space="preserve"> </w:t>
      </w:r>
      <w:r w:rsidR="004D7BA4">
        <w:tab/>
      </w:r>
      <w:r>
        <w:t xml:space="preserve">Australian Securities and Investments Commission, </w:t>
      </w:r>
      <w:r>
        <w:rPr>
          <w:i/>
          <w:iCs/>
        </w:rPr>
        <w:t>Treasury consultation on stamping fee exemption.</w:t>
      </w:r>
    </w:p>
  </w:footnote>
  <w:footnote w:id="29">
    <w:p w14:paraId="1D13AFE4" w14:textId="03597F0D" w:rsidR="00AB7C23" w:rsidRDefault="00AB7C23" w:rsidP="003351E9">
      <w:pPr>
        <w:pStyle w:val="FootnoteText"/>
        <w:spacing w:after="60"/>
      </w:pPr>
      <w:r>
        <w:rPr>
          <w:rStyle w:val="FootnoteReference"/>
        </w:rPr>
        <w:footnoteRef/>
      </w:r>
      <w:r>
        <w:t xml:space="preserve"> </w:t>
      </w:r>
      <w:bookmarkStart w:id="18" w:name="_Hlk109905275"/>
      <w:r w:rsidR="003351E9">
        <w:tab/>
      </w:r>
      <w:r w:rsidR="00F704E4">
        <w:t xml:space="preserve">Australian Securities and Investments Commission, </w:t>
      </w:r>
      <w:r w:rsidR="00F704E4" w:rsidRPr="00DD63A8">
        <w:rPr>
          <w:i/>
          <w:iCs/>
        </w:rPr>
        <w:t>Report 562 - Financial advice: Vertically integrated institutions and conflicts of interest</w:t>
      </w:r>
      <w:r w:rsidR="00F704E4">
        <w:t xml:space="preserve">, January 2018. Available at: </w:t>
      </w:r>
      <w:r w:rsidR="00F704E4" w:rsidRPr="00F704E4">
        <w:t>https://download.asic.gov.au/media/4632718/rep-562-published-24-january-2018.pdf</w:t>
      </w:r>
      <w:bookmarkEnd w:id="18"/>
    </w:p>
  </w:footnote>
  <w:footnote w:id="30">
    <w:p w14:paraId="1BEB7BB0" w14:textId="1CE28EBC" w:rsidR="002B531E" w:rsidRDefault="002B531E" w:rsidP="003351E9">
      <w:pPr>
        <w:pStyle w:val="FootnoteText"/>
        <w:spacing w:after="60"/>
      </w:pPr>
      <w:r>
        <w:rPr>
          <w:rStyle w:val="FootnoteReference"/>
        </w:rPr>
        <w:footnoteRef/>
      </w:r>
      <w:r>
        <w:t xml:space="preserve"> </w:t>
      </w:r>
      <w:r w:rsidR="003351E9">
        <w:tab/>
      </w:r>
      <w:r w:rsidR="00F704E4">
        <w:t xml:space="preserve">Australian Securities and Investments Commission, </w:t>
      </w:r>
      <w:r w:rsidR="00F704E4" w:rsidRPr="00AD467F">
        <w:rPr>
          <w:i/>
          <w:iCs/>
        </w:rPr>
        <w:t>Report 562 - Financial advice: Vertically integrated institutions and conflicts of interest</w:t>
      </w:r>
      <w:r w:rsidR="00F704E4">
        <w:rPr>
          <w:i/>
          <w:iCs/>
        </w:rPr>
        <w:t>.</w:t>
      </w:r>
    </w:p>
  </w:footnote>
  <w:footnote w:id="31">
    <w:p w14:paraId="6E43527E" w14:textId="7D542F37" w:rsidR="0033166F" w:rsidRDefault="0033166F" w:rsidP="003351E9">
      <w:pPr>
        <w:pStyle w:val="FootnoteText"/>
        <w:spacing w:after="60"/>
      </w:pPr>
      <w:r>
        <w:rPr>
          <w:rStyle w:val="FootnoteReference"/>
        </w:rPr>
        <w:footnoteRef/>
      </w:r>
      <w:r>
        <w:t xml:space="preserve"> </w:t>
      </w:r>
      <w:r w:rsidR="003351E9">
        <w:tab/>
      </w:r>
      <w:r w:rsidRPr="00672478">
        <w:t>Royal Commission into Misconduct in the Banking, Superannuation and Financial Services Industry</w:t>
      </w:r>
      <w:r>
        <w:rPr>
          <w:i/>
          <w:iCs/>
        </w:rPr>
        <w:t>, Final Report.</w:t>
      </w:r>
    </w:p>
  </w:footnote>
  <w:footnote w:id="32">
    <w:p w14:paraId="2E06BA6F" w14:textId="3FCA1378" w:rsidR="00DC2AF2" w:rsidRDefault="00DC2AF2">
      <w:pPr>
        <w:pStyle w:val="FootnoteText"/>
      </w:pPr>
      <w:r>
        <w:rPr>
          <w:rStyle w:val="FootnoteReference"/>
        </w:rPr>
        <w:footnoteRef/>
      </w:r>
      <w:r>
        <w:t xml:space="preserve"> </w:t>
      </w:r>
      <w:bookmarkStart w:id="19" w:name="_Hlk109905289"/>
      <w:r w:rsidR="003351E9">
        <w:tab/>
      </w:r>
      <w:r w:rsidR="0094414D">
        <w:t xml:space="preserve">Australian Securities and Investments Commission, </w:t>
      </w:r>
      <w:r w:rsidR="0094414D">
        <w:rPr>
          <w:i/>
          <w:iCs/>
        </w:rPr>
        <w:t>Report 279 – Shadow shopping study of retirement advice</w:t>
      </w:r>
      <w:bookmarkEnd w:id="19"/>
      <w:r w:rsidR="00205340">
        <w:t>.</w:t>
      </w:r>
    </w:p>
  </w:footnote>
  <w:footnote w:id="33">
    <w:p w14:paraId="64ED2237" w14:textId="6E31CA2C" w:rsidR="00F679E5" w:rsidRPr="00F679E5" w:rsidRDefault="00F679E5" w:rsidP="003351E9">
      <w:pPr>
        <w:pStyle w:val="FootnoteText"/>
        <w:spacing w:after="60"/>
      </w:pPr>
      <w:r>
        <w:rPr>
          <w:rStyle w:val="FootnoteReference"/>
        </w:rPr>
        <w:footnoteRef/>
      </w:r>
      <w:r>
        <w:t xml:space="preserve"> </w:t>
      </w:r>
      <w:bookmarkStart w:id="21" w:name="_Hlk109905298"/>
      <w:r w:rsidR="003351E9">
        <w:tab/>
      </w:r>
      <w:r>
        <w:t xml:space="preserve">The Hon Josh Frydenberg MP, </w:t>
      </w:r>
      <w:r w:rsidRPr="00F679E5">
        <w:rPr>
          <w:i/>
          <w:iCs/>
        </w:rPr>
        <w:t>Government response to Treasury consultation on stamping fee exemption</w:t>
      </w:r>
      <w:r>
        <w:t xml:space="preserve">, 21 May 2020. Available at: </w:t>
      </w:r>
      <w:r w:rsidRPr="00F679E5">
        <w:t>https://ministers.treasury.gov.au/ministers/josh-frydenberg-2018/media-releases/government-response-treasury-consultation-stamping</w:t>
      </w:r>
      <w:bookmarkEnd w:id="21"/>
    </w:p>
  </w:footnote>
  <w:footnote w:id="34">
    <w:p w14:paraId="0CC53F65" w14:textId="5EE67FD5" w:rsidR="00CB7967" w:rsidRDefault="00CB7967" w:rsidP="003351E9">
      <w:pPr>
        <w:pStyle w:val="FootnoteText"/>
        <w:spacing w:after="60"/>
      </w:pPr>
      <w:r>
        <w:rPr>
          <w:rStyle w:val="FootnoteReference"/>
        </w:rPr>
        <w:footnoteRef/>
      </w:r>
      <w:r>
        <w:t xml:space="preserve"> </w:t>
      </w:r>
      <w:bookmarkStart w:id="22" w:name="_Hlk109905310"/>
      <w:r w:rsidR="003351E9">
        <w:tab/>
      </w:r>
      <w:r>
        <w:t xml:space="preserve">Treasury, </w:t>
      </w:r>
      <w:r>
        <w:rPr>
          <w:i/>
          <w:iCs/>
        </w:rPr>
        <w:t>Regulation Impact Statement: Removal of the stamping fee exemption</w:t>
      </w:r>
      <w:r>
        <w:t xml:space="preserve">, 15 June 2020. Available at: </w:t>
      </w:r>
      <w:r w:rsidRPr="00923AD9">
        <w:t>https://obpr.pmc.gov.au/sites/default/files/posts/2020/06/regulation_impact_statement_-_stamping_fee.pdf</w:t>
      </w:r>
      <w:bookmarkEnd w:id="22"/>
    </w:p>
  </w:footnote>
  <w:footnote w:id="35">
    <w:p w14:paraId="5B2AB7B1" w14:textId="1C6861F0" w:rsidR="00CB7967" w:rsidRDefault="00CB7967" w:rsidP="003351E9">
      <w:pPr>
        <w:pStyle w:val="FootnoteText"/>
        <w:spacing w:after="60"/>
      </w:pPr>
      <w:r>
        <w:rPr>
          <w:rStyle w:val="FootnoteReference"/>
        </w:rPr>
        <w:footnoteRef/>
      </w:r>
      <w:r>
        <w:t xml:space="preserve"> </w:t>
      </w:r>
      <w:r w:rsidR="003351E9">
        <w:tab/>
      </w:r>
      <w:r>
        <w:t xml:space="preserve">Treasury, </w:t>
      </w:r>
      <w:r>
        <w:rPr>
          <w:i/>
          <w:iCs/>
        </w:rPr>
        <w:t>Regulation Impact Statement: Removal of the stamping fee exemption</w:t>
      </w:r>
      <w:r>
        <w:t>.</w:t>
      </w:r>
    </w:p>
  </w:footnote>
  <w:footnote w:id="36">
    <w:p w14:paraId="32B09EEC" w14:textId="14F752B1" w:rsidR="00CB7967" w:rsidRDefault="00CB7967" w:rsidP="003351E9">
      <w:pPr>
        <w:pStyle w:val="FootnoteText"/>
        <w:spacing w:after="60"/>
      </w:pPr>
      <w:r>
        <w:rPr>
          <w:rStyle w:val="FootnoteReference"/>
        </w:rPr>
        <w:footnoteRef/>
      </w:r>
      <w:r>
        <w:t xml:space="preserve"> </w:t>
      </w:r>
      <w:r w:rsidR="003351E9">
        <w:tab/>
      </w:r>
      <w:r>
        <w:t xml:space="preserve">Treasury, </w:t>
      </w:r>
      <w:r>
        <w:rPr>
          <w:i/>
          <w:iCs/>
        </w:rPr>
        <w:t>Regulation Impact Statement: Removal of the stamping fee exemption</w:t>
      </w:r>
      <w:r>
        <w:t>.</w:t>
      </w:r>
    </w:p>
  </w:footnote>
  <w:footnote w:id="37">
    <w:p w14:paraId="10243225" w14:textId="762B31A8" w:rsidR="00DC2AF2" w:rsidRDefault="00DC2AF2" w:rsidP="003351E9">
      <w:pPr>
        <w:pStyle w:val="FootnoteText"/>
        <w:spacing w:after="60"/>
      </w:pPr>
      <w:r>
        <w:rPr>
          <w:rStyle w:val="FootnoteReference"/>
        </w:rPr>
        <w:footnoteRef/>
      </w:r>
      <w:r>
        <w:t xml:space="preserve"> </w:t>
      </w:r>
      <w:r w:rsidR="003351E9">
        <w:tab/>
      </w:r>
      <w:r w:rsidR="0094414D">
        <w:t xml:space="preserve">Australian Securities and Investments Commission, </w:t>
      </w:r>
      <w:r w:rsidR="0094414D">
        <w:rPr>
          <w:i/>
          <w:iCs/>
        </w:rPr>
        <w:t>Treasury consultation on stamping fee exemption.</w:t>
      </w:r>
    </w:p>
  </w:footnote>
  <w:footnote w:id="38">
    <w:p w14:paraId="5260B86F" w14:textId="4787B88D" w:rsidR="00F679E5" w:rsidRDefault="00F679E5" w:rsidP="003351E9">
      <w:pPr>
        <w:pStyle w:val="FootnoteText"/>
        <w:spacing w:after="60"/>
      </w:pPr>
      <w:r>
        <w:rPr>
          <w:rStyle w:val="FootnoteReference"/>
        </w:rPr>
        <w:footnoteRef/>
      </w:r>
      <w:r>
        <w:t xml:space="preserve"> </w:t>
      </w:r>
      <w:r w:rsidR="003351E9">
        <w:tab/>
      </w:r>
      <w:r>
        <w:t xml:space="preserve">Australian Securities and Investments Commission, </w:t>
      </w:r>
      <w:r>
        <w:rPr>
          <w:i/>
          <w:iCs/>
        </w:rPr>
        <w:t>Treasury consultation on stamping fee exemption.</w:t>
      </w:r>
    </w:p>
  </w:footnote>
  <w:footnote w:id="39">
    <w:p w14:paraId="0497A3A9" w14:textId="3523D658" w:rsidR="00F22A22" w:rsidRDefault="00F22A22">
      <w:pPr>
        <w:pStyle w:val="FootnoteText"/>
      </w:pPr>
      <w:r>
        <w:rPr>
          <w:rStyle w:val="FootnoteReference"/>
        </w:rPr>
        <w:footnoteRef/>
      </w:r>
      <w:r>
        <w:t xml:space="preserve"> </w:t>
      </w:r>
      <w:r w:rsidR="003351E9">
        <w:tab/>
      </w:r>
      <w:r w:rsidR="00CB7967">
        <w:t xml:space="preserve">Treasury, </w:t>
      </w:r>
      <w:r w:rsidR="00CB7967">
        <w:rPr>
          <w:i/>
          <w:iCs/>
        </w:rPr>
        <w:t>Regulation Impact Statement: Removal of the stamping fee exemption</w:t>
      </w:r>
      <w:r w:rsidR="00CB7967">
        <w:t>.</w:t>
      </w:r>
    </w:p>
  </w:footnote>
  <w:footnote w:id="40">
    <w:p w14:paraId="4B4D7375" w14:textId="47730C37" w:rsidR="009626AE" w:rsidRDefault="009626AE">
      <w:pPr>
        <w:pStyle w:val="FootnoteText"/>
      </w:pPr>
      <w:r>
        <w:rPr>
          <w:rStyle w:val="FootnoteReference"/>
        </w:rPr>
        <w:footnoteRef/>
      </w:r>
      <w:r>
        <w:t xml:space="preserve"> </w:t>
      </w:r>
      <w:r w:rsidR="003351E9">
        <w:tab/>
      </w:r>
      <w:r w:rsidR="00923AD9">
        <w:t xml:space="preserve">Australian Securities and Investments Commission, </w:t>
      </w:r>
      <w:r w:rsidR="00923AD9">
        <w:rPr>
          <w:i/>
          <w:iCs/>
        </w:rPr>
        <w:t>Treasury consultation on stamping fee exemption.</w:t>
      </w:r>
    </w:p>
  </w:footnote>
  <w:footnote w:id="41">
    <w:p w14:paraId="16235F51" w14:textId="0E9576CD" w:rsidR="000437EE" w:rsidRDefault="000437EE" w:rsidP="001442A7">
      <w:pPr>
        <w:pStyle w:val="FootnoteText"/>
        <w:spacing w:after="60"/>
      </w:pPr>
      <w:r>
        <w:rPr>
          <w:rStyle w:val="FootnoteReference"/>
        </w:rPr>
        <w:footnoteRef/>
      </w:r>
      <w:r>
        <w:t xml:space="preserve"> </w:t>
      </w:r>
      <w:bookmarkStart w:id="30" w:name="_Hlk109899567"/>
      <w:bookmarkStart w:id="31" w:name="_Hlk109899851"/>
      <w:r w:rsidR="001442A7">
        <w:tab/>
      </w:r>
      <w:r w:rsidR="0039716D">
        <w:t xml:space="preserve">Treasury has not included analysis on the proportion or quantum of discount to NTA. Given limitations with controlling for significant macroeconomic impacts, like the COVID-19 pandemic, that would likely affect NTA and the small sample size of LIC and LIT issuances following the extension of the ban on stamping fees, we did not consider any reasonable conclusions could be drawn from </w:t>
      </w:r>
      <w:r w:rsidR="00D563C4">
        <w:t>the available</w:t>
      </w:r>
      <w:r w:rsidR="0039716D">
        <w:t xml:space="preserve"> data.</w:t>
      </w:r>
      <w:r w:rsidR="001E6D9F">
        <w:t xml:space="preserve"> Ordinarily, an analysis of changes in the discount to NTA prior to and post-extension of the ban on stamping fees could be used to identify the presence of mis-selling.</w:t>
      </w:r>
      <w:bookmarkEnd w:id="30"/>
      <w:r w:rsidR="002F508A">
        <w:t xml:space="preserve"> </w:t>
      </w:r>
      <w:r w:rsidR="00622C04">
        <w:t xml:space="preserve">Given key structural differences, </w:t>
      </w:r>
      <w:r w:rsidR="002F508A">
        <w:t xml:space="preserve">Treasury does not consider comparisons with </w:t>
      </w:r>
      <w:r w:rsidR="00622C04">
        <w:t>open-ended</w:t>
      </w:r>
      <w:r w:rsidR="002F508A">
        <w:t xml:space="preserve"> investment vehicles, like ETFs, to be </w:t>
      </w:r>
      <w:r w:rsidR="00622C04">
        <w:t>appropriate</w:t>
      </w:r>
      <w:r w:rsidR="002F508A">
        <w:t xml:space="preserve"> to </w:t>
      </w:r>
      <w:r w:rsidR="00622C04">
        <w:t>identify mis-selling within the LIC and LIT market.</w:t>
      </w:r>
      <w:bookmarkEnd w:id="31"/>
    </w:p>
  </w:footnote>
  <w:footnote w:id="42">
    <w:p w14:paraId="3286DAF3" w14:textId="688FF90E" w:rsidR="00A7432D" w:rsidRDefault="00A7432D" w:rsidP="001442A7">
      <w:pPr>
        <w:pStyle w:val="FootnoteText"/>
        <w:spacing w:after="60"/>
      </w:pPr>
      <w:r>
        <w:rPr>
          <w:rStyle w:val="FootnoteReference"/>
        </w:rPr>
        <w:footnoteRef/>
      </w:r>
      <w:r>
        <w:t xml:space="preserve"> </w:t>
      </w:r>
      <w:r w:rsidR="001442A7">
        <w:tab/>
      </w:r>
      <w:r>
        <w:t xml:space="preserve">The Hon Josh Frydenberg MP, </w:t>
      </w:r>
      <w:r w:rsidRPr="00F679E5">
        <w:rPr>
          <w:i/>
          <w:iCs/>
        </w:rPr>
        <w:t>Government response to Treasury consultation on stamping fee exemption</w:t>
      </w:r>
      <w:r>
        <w:rPr>
          <w:i/>
          <w:iCs/>
        </w:rPr>
        <w:t>.</w:t>
      </w:r>
    </w:p>
  </w:footnote>
  <w:footnote w:id="43">
    <w:p w14:paraId="474F9FA8" w14:textId="22CC82E9" w:rsidR="007347B9" w:rsidRPr="001A76C4" w:rsidRDefault="007347B9" w:rsidP="001442A7">
      <w:pPr>
        <w:pStyle w:val="FootnoteText"/>
        <w:spacing w:after="60"/>
      </w:pPr>
      <w:r>
        <w:rPr>
          <w:rStyle w:val="FootnoteReference"/>
        </w:rPr>
        <w:footnoteRef/>
      </w:r>
      <w:r>
        <w:t xml:space="preserve"> </w:t>
      </w:r>
      <w:r w:rsidR="001442A7">
        <w:tab/>
      </w:r>
      <w:r w:rsidR="00B60342">
        <w:t xml:space="preserve">Australian Securities Exchange, </w:t>
      </w:r>
      <w:r w:rsidR="00B60342">
        <w:rPr>
          <w:i/>
          <w:iCs/>
        </w:rPr>
        <w:t>ASX funds statistics: ASX Investment Products monthly update.</w:t>
      </w:r>
    </w:p>
  </w:footnote>
  <w:footnote w:id="44">
    <w:p w14:paraId="4D7A4259" w14:textId="4E41486B" w:rsidR="002A0AEB" w:rsidRPr="00787500" w:rsidRDefault="002A0AEB" w:rsidP="002A0AEB">
      <w:pPr>
        <w:pStyle w:val="FootnoteText"/>
      </w:pPr>
      <w:r>
        <w:rPr>
          <w:rStyle w:val="FootnoteReference"/>
        </w:rPr>
        <w:footnoteRef/>
      </w:r>
      <w:r>
        <w:t xml:space="preserve"> </w:t>
      </w:r>
      <w:bookmarkStart w:id="33" w:name="_Hlk109905364"/>
      <w:r w:rsidR="001442A7">
        <w:tab/>
      </w:r>
      <w:r>
        <w:t xml:space="preserve">Australian Securities and Investments Commission, </w:t>
      </w:r>
      <w:r>
        <w:rPr>
          <w:i/>
          <w:iCs/>
        </w:rPr>
        <w:t>Cost Recovery Implementation Statement: ASIC industry funding model (2020-21)</w:t>
      </w:r>
      <w:r>
        <w:t xml:space="preserve">, November 2021. Available at: </w:t>
      </w:r>
      <w:r w:rsidRPr="00787500">
        <w:t>https://download.asic.gov.au/media/mvlbm4cu/cris-asic-industry-funding-model-2020-21-published-11-november-2021.pdf</w:t>
      </w:r>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8A08" w14:textId="77777777" w:rsidR="00095D88" w:rsidRPr="00095D88" w:rsidRDefault="00095D88" w:rsidP="00095D88">
    <w:pPr>
      <w:pStyle w:val="Header"/>
    </w:pPr>
  </w:p>
  <w:p w14:paraId="490F1E79" w14:textId="77777777" w:rsidR="008905A4" w:rsidRDefault="008905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C26C" w14:textId="77777777" w:rsidR="00095D88" w:rsidRPr="00095D88" w:rsidRDefault="00095D88" w:rsidP="00095D88">
    <w:pPr>
      <w:pStyle w:val="Header"/>
    </w:pPr>
  </w:p>
  <w:p w14:paraId="060155BE" w14:textId="77777777" w:rsidR="008905A4" w:rsidRDefault="008905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89C6" w14:textId="77777777" w:rsidR="00095D88" w:rsidRPr="00095D88" w:rsidRDefault="00095D88" w:rsidP="00095D88">
    <w:pPr>
      <w:pStyle w:val="Header"/>
    </w:pPr>
  </w:p>
  <w:p w14:paraId="6E5E4EE3" w14:textId="77777777" w:rsidR="008905A4" w:rsidRDefault="008905A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F1B9" w14:textId="77777777" w:rsidR="00B55B04" w:rsidRPr="00F60198" w:rsidRDefault="00B55B04" w:rsidP="00A12F62">
    <w:pPr>
      <w:pStyle w:val="HeaderOdd"/>
    </w:pPr>
    <w:r>
      <w:rPr>
        <w:noProof/>
      </w:rPr>
      <w:drawing>
        <wp:anchor distT="0" distB="0" distL="114300" distR="114300" simplePos="0" relativeHeight="251658240" behindDoc="1" locked="1" layoutInCell="1" allowOverlap="1" wp14:anchorId="1CA13C9F" wp14:editId="709F59FA">
          <wp:simplePos x="0" y="0"/>
          <wp:positionH relativeFrom="page">
            <wp:align>center</wp:align>
          </wp:positionH>
          <wp:positionV relativeFrom="page">
            <wp:align>top</wp:align>
          </wp:positionV>
          <wp:extent cx="7570800" cy="1044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E658" w14:textId="77777777" w:rsidR="00672B5D" w:rsidRPr="00AC75E2" w:rsidRDefault="00AC75E2" w:rsidP="00AC75E2">
    <w:pPr>
      <w:pStyle w:val="HeaderEven"/>
    </w:pPr>
    <w:r>
      <w:rPr>
        <w:noProof/>
      </w:rPr>
      <w:drawing>
        <wp:anchor distT="0" distB="0" distL="114300" distR="114300" simplePos="0" relativeHeight="251658242" behindDoc="1" locked="1" layoutInCell="1" allowOverlap="1" wp14:anchorId="226CB60B" wp14:editId="3F9085DC">
          <wp:simplePos x="0" y="0"/>
          <wp:positionH relativeFrom="page">
            <wp:posOffset>-635</wp:posOffset>
          </wp:positionH>
          <wp:positionV relativeFrom="page">
            <wp:align>top</wp:align>
          </wp:positionV>
          <wp:extent cx="7570800" cy="104400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072A"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B090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5pt;height:16pt;visibility:visible;mso-wrap-style:square" o:bullet="t">
        <v:imagedata r:id="rId1" o:title="Logo&#10;&#10;Description automatically generated with medium confidence"/>
      </v:shape>
    </w:pict>
  </w:numPicBullet>
  <w:abstractNum w:abstractNumId="0" w15:restartNumberingAfterBreak="0">
    <w:nsid w:val="00334C99"/>
    <w:multiLevelType w:val="multilevel"/>
    <w:tmpl w:val="9F0C0A0A"/>
    <w:name w:val="StandardNumberedList"/>
    <w:lvl w:ilvl="0">
      <w:start w:val="1"/>
      <w:numFmt w:val="decimal"/>
      <w:lvlText w:val="%1."/>
      <w:lvlJc w:val="left"/>
      <w:pPr>
        <w:tabs>
          <w:tab w:val="num" w:pos="638"/>
        </w:tabs>
        <w:ind w:left="638" w:hanging="638"/>
      </w:pPr>
      <w:rPr>
        <w:rFonts w:asciiTheme="minorHAnsi" w:hAnsiTheme="minorHAnsi" w:cstheme="minorHAnsi" w:hint="default"/>
        <w:sz w:val="22"/>
        <w:szCs w:val="22"/>
      </w:rPr>
    </w:lvl>
    <w:lvl w:ilvl="1">
      <w:start w:val="1"/>
      <w:numFmt w:val="decimal"/>
      <w:lvlText w:val="%1.%2."/>
      <w:lvlJc w:val="left"/>
      <w:pPr>
        <w:tabs>
          <w:tab w:val="num" w:pos="1276"/>
        </w:tabs>
        <w:ind w:left="1276" w:hanging="638"/>
      </w:pPr>
    </w:lvl>
    <w:lvl w:ilvl="2">
      <w:start w:val="1"/>
      <w:numFmt w:val="decimal"/>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071C9"/>
    <w:multiLevelType w:val="multilevel"/>
    <w:tmpl w:val="BC126D6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E3413"/>
    <w:multiLevelType w:val="multilevel"/>
    <w:tmpl w:val="8E6AE0B0"/>
    <w:lvl w:ilvl="0">
      <w:start w:val="1"/>
      <w:numFmt w:val="bullet"/>
      <w:lvlText w:val="•"/>
      <w:lvlJc w:val="left"/>
      <w:pPr>
        <w:tabs>
          <w:tab w:val="num" w:pos="638"/>
        </w:tabs>
        <w:ind w:left="638" w:hanging="638"/>
      </w:pPr>
      <w:rPr>
        <w:rFonts w:ascii="Times New Roman" w:hAnsi="Times New Roman" w:cs="Times New Roman"/>
      </w:rPr>
    </w:lvl>
    <w:lvl w:ilvl="1">
      <w:start w:val="1"/>
      <w:numFmt w:val="bullet"/>
      <w:lvlText w:val="–"/>
      <w:lvlJc w:val="left"/>
      <w:pPr>
        <w:tabs>
          <w:tab w:val="num" w:pos="1276"/>
        </w:tabs>
        <w:ind w:left="1276" w:hanging="638"/>
      </w:pPr>
      <w:rPr>
        <w:rFonts w:ascii="Times New Roman" w:hAnsi="Times New Roman" w:cs="Times New Roman"/>
      </w:rPr>
    </w:lvl>
    <w:lvl w:ilvl="2">
      <w:start w:val="1"/>
      <w:numFmt w:val="bullet"/>
      <w:lvlText w:val=":"/>
      <w:lvlJc w:val="left"/>
      <w:pPr>
        <w:tabs>
          <w:tab w:val="num" w:pos="1914"/>
        </w:tabs>
        <w:ind w:left="1914" w:hanging="638"/>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EC27F3"/>
    <w:multiLevelType w:val="hybridMultilevel"/>
    <w:tmpl w:val="C0B6A6D2"/>
    <w:lvl w:ilvl="0" w:tplc="6422EB2C">
      <w:start w:val="1"/>
      <w:numFmt w:val="bullet"/>
      <w:lvlText w:val="•"/>
      <w:lvlJc w:val="left"/>
      <w:pPr>
        <w:ind w:left="621" w:hanging="521"/>
      </w:pPr>
      <w:rPr>
        <w:rFonts w:ascii="Times New Roman" w:eastAsia="Times New Roman" w:hAnsi="Times New Roman" w:cs="Times New Roman" w:hint="default"/>
        <w:sz w:val="22"/>
        <w:szCs w:val="22"/>
      </w:rPr>
    </w:lvl>
    <w:lvl w:ilvl="1" w:tplc="9F04E7BE">
      <w:start w:val="1"/>
      <w:numFmt w:val="bullet"/>
      <w:lvlText w:val="•"/>
      <w:lvlJc w:val="left"/>
      <w:pPr>
        <w:ind w:left="1469" w:hanging="521"/>
      </w:pPr>
    </w:lvl>
    <w:lvl w:ilvl="2" w:tplc="FA8EBE34">
      <w:start w:val="1"/>
      <w:numFmt w:val="bullet"/>
      <w:lvlText w:val="•"/>
      <w:lvlJc w:val="left"/>
      <w:pPr>
        <w:ind w:left="2318" w:hanging="521"/>
      </w:pPr>
    </w:lvl>
    <w:lvl w:ilvl="3" w:tplc="56E4E2E4">
      <w:start w:val="1"/>
      <w:numFmt w:val="bullet"/>
      <w:lvlText w:val="•"/>
      <w:lvlJc w:val="left"/>
      <w:pPr>
        <w:ind w:left="3166" w:hanging="521"/>
      </w:pPr>
    </w:lvl>
    <w:lvl w:ilvl="4" w:tplc="0750C968">
      <w:start w:val="1"/>
      <w:numFmt w:val="bullet"/>
      <w:lvlText w:val="•"/>
      <w:lvlJc w:val="left"/>
      <w:pPr>
        <w:ind w:left="4015" w:hanging="521"/>
      </w:pPr>
    </w:lvl>
    <w:lvl w:ilvl="5" w:tplc="2CF88900">
      <w:start w:val="1"/>
      <w:numFmt w:val="bullet"/>
      <w:lvlText w:val="•"/>
      <w:lvlJc w:val="left"/>
      <w:pPr>
        <w:ind w:left="4863" w:hanging="521"/>
      </w:pPr>
    </w:lvl>
    <w:lvl w:ilvl="6" w:tplc="2EBE815A">
      <w:start w:val="1"/>
      <w:numFmt w:val="bullet"/>
      <w:lvlText w:val="•"/>
      <w:lvlJc w:val="left"/>
      <w:pPr>
        <w:ind w:left="5712" w:hanging="521"/>
      </w:pPr>
    </w:lvl>
    <w:lvl w:ilvl="7" w:tplc="F182BC6A">
      <w:start w:val="1"/>
      <w:numFmt w:val="bullet"/>
      <w:lvlText w:val="•"/>
      <w:lvlJc w:val="left"/>
      <w:pPr>
        <w:ind w:left="6560" w:hanging="521"/>
      </w:pPr>
    </w:lvl>
    <w:lvl w:ilvl="8" w:tplc="E1806BA6">
      <w:start w:val="1"/>
      <w:numFmt w:val="bullet"/>
      <w:lvlText w:val="•"/>
      <w:lvlJc w:val="left"/>
      <w:pPr>
        <w:ind w:left="7409" w:hanging="521"/>
      </w:p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6B5224"/>
    <w:multiLevelType w:val="multilevel"/>
    <w:tmpl w:val="57000EF8"/>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0"/>
  </w:num>
  <w:num w:numId="2">
    <w:abstractNumId w:val="2"/>
  </w:num>
  <w:num w:numId="3">
    <w:abstractNumId w:val="13"/>
  </w:num>
  <w:num w:numId="4">
    <w:abstractNumId w:val="4"/>
  </w:num>
  <w:num w:numId="5">
    <w:abstractNumId w:val="6"/>
  </w:num>
  <w:num w:numId="6">
    <w:abstractNumId w:val="15"/>
  </w:num>
  <w:num w:numId="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3"/>
  </w:num>
  <w:num w:numId="10">
    <w:abstractNumId w:val="9"/>
  </w:num>
  <w:num w:numId="11">
    <w:abstractNumId w:val="21"/>
  </w:num>
  <w:num w:numId="12">
    <w:abstractNumId w:val="15"/>
  </w:num>
  <w:num w:numId="13">
    <w:abstractNumId w:val="22"/>
  </w:num>
  <w:num w:numId="14">
    <w:abstractNumId w:val="14"/>
  </w:num>
  <w:num w:numId="15">
    <w:abstractNumId w:val="8"/>
  </w:num>
  <w:num w:numId="16">
    <w:abstractNumId w:val="17"/>
  </w:num>
  <w:num w:numId="17">
    <w:abstractNumId w:val="1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71675"/>
    <w:rsid w:val="0000369E"/>
    <w:rsid w:val="0001021A"/>
    <w:rsid w:val="00011725"/>
    <w:rsid w:val="00012C62"/>
    <w:rsid w:val="0001396A"/>
    <w:rsid w:val="00022050"/>
    <w:rsid w:val="0002544D"/>
    <w:rsid w:val="00030131"/>
    <w:rsid w:val="000379EB"/>
    <w:rsid w:val="00041883"/>
    <w:rsid w:val="0004238B"/>
    <w:rsid w:val="0004274D"/>
    <w:rsid w:val="0004282F"/>
    <w:rsid w:val="00043348"/>
    <w:rsid w:val="000437EE"/>
    <w:rsid w:val="00044529"/>
    <w:rsid w:val="0004483F"/>
    <w:rsid w:val="00046CB4"/>
    <w:rsid w:val="0005138B"/>
    <w:rsid w:val="000522B7"/>
    <w:rsid w:val="00053717"/>
    <w:rsid w:val="00056880"/>
    <w:rsid w:val="00061E76"/>
    <w:rsid w:val="000675D1"/>
    <w:rsid w:val="00073521"/>
    <w:rsid w:val="000775DE"/>
    <w:rsid w:val="00087C9F"/>
    <w:rsid w:val="00087FAF"/>
    <w:rsid w:val="00094354"/>
    <w:rsid w:val="00095D88"/>
    <w:rsid w:val="000A08CE"/>
    <w:rsid w:val="000A1C86"/>
    <w:rsid w:val="000A4592"/>
    <w:rsid w:val="000A4DF0"/>
    <w:rsid w:val="000B093F"/>
    <w:rsid w:val="000B302A"/>
    <w:rsid w:val="000B50C1"/>
    <w:rsid w:val="000C30F4"/>
    <w:rsid w:val="000C571D"/>
    <w:rsid w:val="000C5F40"/>
    <w:rsid w:val="000C7028"/>
    <w:rsid w:val="000D358A"/>
    <w:rsid w:val="000E0B74"/>
    <w:rsid w:val="000E662F"/>
    <w:rsid w:val="000E70F3"/>
    <w:rsid w:val="000E7901"/>
    <w:rsid w:val="000F6233"/>
    <w:rsid w:val="00101B80"/>
    <w:rsid w:val="0010396C"/>
    <w:rsid w:val="00103F3C"/>
    <w:rsid w:val="001059FB"/>
    <w:rsid w:val="0010711B"/>
    <w:rsid w:val="001106C7"/>
    <w:rsid w:val="00110AA0"/>
    <w:rsid w:val="001118CB"/>
    <w:rsid w:val="00114A1F"/>
    <w:rsid w:val="00131DC3"/>
    <w:rsid w:val="00132C3A"/>
    <w:rsid w:val="00132D53"/>
    <w:rsid w:val="00135E4C"/>
    <w:rsid w:val="001373F5"/>
    <w:rsid w:val="00137B4A"/>
    <w:rsid w:val="001442A7"/>
    <w:rsid w:val="00144F09"/>
    <w:rsid w:val="00146A22"/>
    <w:rsid w:val="001511B1"/>
    <w:rsid w:val="001574C0"/>
    <w:rsid w:val="001606CF"/>
    <w:rsid w:val="0016128D"/>
    <w:rsid w:val="001613A2"/>
    <w:rsid w:val="00164599"/>
    <w:rsid w:val="00165A60"/>
    <w:rsid w:val="00167980"/>
    <w:rsid w:val="0017089D"/>
    <w:rsid w:val="00175390"/>
    <w:rsid w:val="0017656A"/>
    <w:rsid w:val="001800D8"/>
    <w:rsid w:val="001805A8"/>
    <w:rsid w:val="00181010"/>
    <w:rsid w:val="0019101A"/>
    <w:rsid w:val="00195C8E"/>
    <w:rsid w:val="001972D2"/>
    <w:rsid w:val="001A01C5"/>
    <w:rsid w:val="001A052B"/>
    <w:rsid w:val="001A1B24"/>
    <w:rsid w:val="001A76C4"/>
    <w:rsid w:val="001C3486"/>
    <w:rsid w:val="001C358D"/>
    <w:rsid w:val="001C40A0"/>
    <w:rsid w:val="001E2B75"/>
    <w:rsid w:val="001E31D5"/>
    <w:rsid w:val="001E6D9F"/>
    <w:rsid w:val="001F1173"/>
    <w:rsid w:val="001F133F"/>
    <w:rsid w:val="001F1B27"/>
    <w:rsid w:val="001F3BA6"/>
    <w:rsid w:val="001F4F09"/>
    <w:rsid w:val="001F516C"/>
    <w:rsid w:val="001F78D5"/>
    <w:rsid w:val="00203D83"/>
    <w:rsid w:val="00203E0B"/>
    <w:rsid w:val="00205340"/>
    <w:rsid w:val="00206B62"/>
    <w:rsid w:val="002136A7"/>
    <w:rsid w:val="002151E0"/>
    <w:rsid w:val="00221EC0"/>
    <w:rsid w:val="00222CA5"/>
    <w:rsid w:val="00231049"/>
    <w:rsid w:val="002314D2"/>
    <w:rsid w:val="0023269E"/>
    <w:rsid w:val="0023305C"/>
    <w:rsid w:val="00233E44"/>
    <w:rsid w:val="00240157"/>
    <w:rsid w:val="00241881"/>
    <w:rsid w:val="00242325"/>
    <w:rsid w:val="0024294C"/>
    <w:rsid w:val="002461BA"/>
    <w:rsid w:val="00251641"/>
    <w:rsid w:val="002543D8"/>
    <w:rsid w:val="0025652F"/>
    <w:rsid w:val="00260C16"/>
    <w:rsid w:val="00263B6C"/>
    <w:rsid w:val="00272939"/>
    <w:rsid w:val="0027590B"/>
    <w:rsid w:val="00285969"/>
    <w:rsid w:val="002863AE"/>
    <w:rsid w:val="00295B30"/>
    <w:rsid w:val="002A0AEB"/>
    <w:rsid w:val="002A74EF"/>
    <w:rsid w:val="002A7A31"/>
    <w:rsid w:val="002B2D62"/>
    <w:rsid w:val="002B2F1C"/>
    <w:rsid w:val="002B33EE"/>
    <w:rsid w:val="002B3829"/>
    <w:rsid w:val="002B531E"/>
    <w:rsid w:val="002B5D94"/>
    <w:rsid w:val="002B7B41"/>
    <w:rsid w:val="002B7C9F"/>
    <w:rsid w:val="002C22EF"/>
    <w:rsid w:val="002C349F"/>
    <w:rsid w:val="002D0B93"/>
    <w:rsid w:val="002D3D28"/>
    <w:rsid w:val="002D5348"/>
    <w:rsid w:val="002D7123"/>
    <w:rsid w:val="002E09EF"/>
    <w:rsid w:val="002E1FB6"/>
    <w:rsid w:val="002E454C"/>
    <w:rsid w:val="002E6926"/>
    <w:rsid w:val="002E6DDF"/>
    <w:rsid w:val="002E72BE"/>
    <w:rsid w:val="002E72F1"/>
    <w:rsid w:val="002F508A"/>
    <w:rsid w:val="002F617F"/>
    <w:rsid w:val="00300109"/>
    <w:rsid w:val="00301755"/>
    <w:rsid w:val="0030665E"/>
    <w:rsid w:val="00306894"/>
    <w:rsid w:val="00306CC8"/>
    <w:rsid w:val="003122F4"/>
    <w:rsid w:val="00320123"/>
    <w:rsid w:val="00322FA9"/>
    <w:rsid w:val="0032622B"/>
    <w:rsid w:val="003268D5"/>
    <w:rsid w:val="00326FC7"/>
    <w:rsid w:val="00327299"/>
    <w:rsid w:val="003276A2"/>
    <w:rsid w:val="003306B9"/>
    <w:rsid w:val="0033166F"/>
    <w:rsid w:val="00333780"/>
    <w:rsid w:val="00333B94"/>
    <w:rsid w:val="003351E9"/>
    <w:rsid w:val="003368F7"/>
    <w:rsid w:val="0033755F"/>
    <w:rsid w:val="003448F6"/>
    <w:rsid w:val="00344AFB"/>
    <w:rsid w:val="00346443"/>
    <w:rsid w:val="003471BF"/>
    <w:rsid w:val="00350759"/>
    <w:rsid w:val="00354D27"/>
    <w:rsid w:val="003561BB"/>
    <w:rsid w:val="003563F7"/>
    <w:rsid w:val="0035738A"/>
    <w:rsid w:val="003708A8"/>
    <w:rsid w:val="00375655"/>
    <w:rsid w:val="00380137"/>
    <w:rsid w:val="003831C7"/>
    <w:rsid w:val="003858A6"/>
    <w:rsid w:val="00386BBB"/>
    <w:rsid w:val="00392DCC"/>
    <w:rsid w:val="00394AB1"/>
    <w:rsid w:val="003960C4"/>
    <w:rsid w:val="0039716D"/>
    <w:rsid w:val="00397BB5"/>
    <w:rsid w:val="003A4955"/>
    <w:rsid w:val="003A5B36"/>
    <w:rsid w:val="003B1C0E"/>
    <w:rsid w:val="003B222C"/>
    <w:rsid w:val="003B67CF"/>
    <w:rsid w:val="003B7EEA"/>
    <w:rsid w:val="003C24B4"/>
    <w:rsid w:val="003C5838"/>
    <w:rsid w:val="003D5699"/>
    <w:rsid w:val="003E20D6"/>
    <w:rsid w:val="003E4D87"/>
    <w:rsid w:val="003E7D34"/>
    <w:rsid w:val="003F04CB"/>
    <w:rsid w:val="003F4B90"/>
    <w:rsid w:val="003F4D71"/>
    <w:rsid w:val="003F4D84"/>
    <w:rsid w:val="003F4E48"/>
    <w:rsid w:val="00401082"/>
    <w:rsid w:val="00402064"/>
    <w:rsid w:val="004052A6"/>
    <w:rsid w:val="004073BB"/>
    <w:rsid w:val="00410565"/>
    <w:rsid w:val="00410819"/>
    <w:rsid w:val="00414901"/>
    <w:rsid w:val="00414A67"/>
    <w:rsid w:val="00414EB5"/>
    <w:rsid w:val="004161BC"/>
    <w:rsid w:val="00416762"/>
    <w:rsid w:val="00416E55"/>
    <w:rsid w:val="00421955"/>
    <w:rsid w:val="00423C66"/>
    <w:rsid w:val="0042470D"/>
    <w:rsid w:val="0042518A"/>
    <w:rsid w:val="004276A0"/>
    <w:rsid w:val="00440F55"/>
    <w:rsid w:val="00444A63"/>
    <w:rsid w:val="00445265"/>
    <w:rsid w:val="004559CE"/>
    <w:rsid w:val="00460E1A"/>
    <w:rsid w:val="00463DF8"/>
    <w:rsid w:val="00467E71"/>
    <w:rsid w:val="00475085"/>
    <w:rsid w:val="00476CF6"/>
    <w:rsid w:val="00477191"/>
    <w:rsid w:val="00477AA8"/>
    <w:rsid w:val="0048039D"/>
    <w:rsid w:val="00492904"/>
    <w:rsid w:val="00492FCB"/>
    <w:rsid w:val="00495CE3"/>
    <w:rsid w:val="004A0F11"/>
    <w:rsid w:val="004A3EAA"/>
    <w:rsid w:val="004A7D97"/>
    <w:rsid w:val="004B5133"/>
    <w:rsid w:val="004C24B3"/>
    <w:rsid w:val="004C2902"/>
    <w:rsid w:val="004C41B6"/>
    <w:rsid w:val="004C4546"/>
    <w:rsid w:val="004D6E37"/>
    <w:rsid w:val="004D7BA4"/>
    <w:rsid w:val="004E00EA"/>
    <w:rsid w:val="004E6B14"/>
    <w:rsid w:val="004E707E"/>
    <w:rsid w:val="004F29E7"/>
    <w:rsid w:val="004F38AE"/>
    <w:rsid w:val="004F4B92"/>
    <w:rsid w:val="00501B6C"/>
    <w:rsid w:val="00502A9D"/>
    <w:rsid w:val="005105F8"/>
    <w:rsid w:val="00513870"/>
    <w:rsid w:val="00516785"/>
    <w:rsid w:val="00520656"/>
    <w:rsid w:val="00520789"/>
    <w:rsid w:val="00521481"/>
    <w:rsid w:val="0052419D"/>
    <w:rsid w:val="005301F8"/>
    <w:rsid w:val="00530794"/>
    <w:rsid w:val="005312FC"/>
    <w:rsid w:val="00532687"/>
    <w:rsid w:val="00532C6D"/>
    <w:rsid w:val="0053569E"/>
    <w:rsid w:val="0053603D"/>
    <w:rsid w:val="0053742A"/>
    <w:rsid w:val="00537C85"/>
    <w:rsid w:val="00541D29"/>
    <w:rsid w:val="00543F23"/>
    <w:rsid w:val="00544A5C"/>
    <w:rsid w:val="0055344F"/>
    <w:rsid w:val="005544D9"/>
    <w:rsid w:val="00562F17"/>
    <w:rsid w:val="0056431C"/>
    <w:rsid w:val="0056582C"/>
    <w:rsid w:val="00566074"/>
    <w:rsid w:val="00572258"/>
    <w:rsid w:val="00574254"/>
    <w:rsid w:val="005776B2"/>
    <w:rsid w:val="00580B1E"/>
    <w:rsid w:val="005846B5"/>
    <w:rsid w:val="00586605"/>
    <w:rsid w:val="005868DE"/>
    <w:rsid w:val="005877AC"/>
    <w:rsid w:val="00594127"/>
    <w:rsid w:val="005941E8"/>
    <w:rsid w:val="005966B7"/>
    <w:rsid w:val="005A0C2E"/>
    <w:rsid w:val="005A3D21"/>
    <w:rsid w:val="005B5E2A"/>
    <w:rsid w:val="005B7A5E"/>
    <w:rsid w:val="005C02A4"/>
    <w:rsid w:val="005C20D2"/>
    <w:rsid w:val="005C32FE"/>
    <w:rsid w:val="005C503A"/>
    <w:rsid w:val="005D024A"/>
    <w:rsid w:val="005D4FD4"/>
    <w:rsid w:val="005D6D64"/>
    <w:rsid w:val="005F4FBE"/>
    <w:rsid w:val="00601650"/>
    <w:rsid w:val="00604EEF"/>
    <w:rsid w:val="00605AFD"/>
    <w:rsid w:val="006123D4"/>
    <w:rsid w:val="00614080"/>
    <w:rsid w:val="0061445B"/>
    <w:rsid w:val="00615F23"/>
    <w:rsid w:val="00617CD2"/>
    <w:rsid w:val="00622C04"/>
    <w:rsid w:val="00623592"/>
    <w:rsid w:val="00624C4B"/>
    <w:rsid w:val="006469CC"/>
    <w:rsid w:val="00650C76"/>
    <w:rsid w:val="0066103B"/>
    <w:rsid w:val="006672C4"/>
    <w:rsid w:val="00672478"/>
    <w:rsid w:val="00672B5D"/>
    <w:rsid w:val="00673F9B"/>
    <w:rsid w:val="0067622C"/>
    <w:rsid w:val="0067674B"/>
    <w:rsid w:val="00682249"/>
    <w:rsid w:val="00685CF7"/>
    <w:rsid w:val="00686165"/>
    <w:rsid w:val="00691CB5"/>
    <w:rsid w:val="00691D95"/>
    <w:rsid w:val="006923DF"/>
    <w:rsid w:val="006A37F5"/>
    <w:rsid w:val="006A38B2"/>
    <w:rsid w:val="006A782B"/>
    <w:rsid w:val="006B38FF"/>
    <w:rsid w:val="006B6D2E"/>
    <w:rsid w:val="006C1892"/>
    <w:rsid w:val="006C5B73"/>
    <w:rsid w:val="006C645D"/>
    <w:rsid w:val="006C7B76"/>
    <w:rsid w:val="006D501F"/>
    <w:rsid w:val="006E1A81"/>
    <w:rsid w:val="006E2D2A"/>
    <w:rsid w:val="006E2D53"/>
    <w:rsid w:val="006E3CC3"/>
    <w:rsid w:val="006E488A"/>
    <w:rsid w:val="006F31CD"/>
    <w:rsid w:val="006F40C8"/>
    <w:rsid w:val="006F4B0F"/>
    <w:rsid w:val="006F6E2E"/>
    <w:rsid w:val="0070414E"/>
    <w:rsid w:val="00706A9F"/>
    <w:rsid w:val="00706E8E"/>
    <w:rsid w:val="00710047"/>
    <w:rsid w:val="0071075D"/>
    <w:rsid w:val="00717DC7"/>
    <w:rsid w:val="00722045"/>
    <w:rsid w:val="007229A7"/>
    <w:rsid w:val="00722B53"/>
    <w:rsid w:val="00722F38"/>
    <w:rsid w:val="00727F98"/>
    <w:rsid w:val="007347B9"/>
    <w:rsid w:val="007422D4"/>
    <w:rsid w:val="00742366"/>
    <w:rsid w:val="00744484"/>
    <w:rsid w:val="007509DD"/>
    <w:rsid w:val="00750B0F"/>
    <w:rsid w:val="00763474"/>
    <w:rsid w:val="00766184"/>
    <w:rsid w:val="0078257B"/>
    <w:rsid w:val="00783534"/>
    <w:rsid w:val="00783CD2"/>
    <w:rsid w:val="00783D75"/>
    <w:rsid w:val="00784C0A"/>
    <w:rsid w:val="0078669E"/>
    <w:rsid w:val="00787500"/>
    <w:rsid w:val="00787CCC"/>
    <w:rsid w:val="007934C5"/>
    <w:rsid w:val="00794B40"/>
    <w:rsid w:val="00794BAB"/>
    <w:rsid w:val="00796E26"/>
    <w:rsid w:val="007A05CB"/>
    <w:rsid w:val="007A1079"/>
    <w:rsid w:val="007A6C00"/>
    <w:rsid w:val="007B2677"/>
    <w:rsid w:val="007B76AB"/>
    <w:rsid w:val="007C1B83"/>
    <w:rsid w:val="007D103A"/>
    <w:rsid w:val="007D342A"/>
    <w:rsid w:val="007D35EF"/>
    <w:rsid w:val="007D592B"/>
    <w:rsid w:val="007D5AA6"/>
    <w:rsid w:val="007D7A91"/>
    <w:rsid w:val="007E06EF"/>
    <w:rsid w:val="007E33C6"/>
    <w:rsid w:val="007E6456"/>
    <w:rsid w:val="007E7A64"/>
    <w:rsid w:val="007F1542"/>
    <w:rsid w:val="007F45F8"/>
    <w:rsid w:val="007F48F2"/>
    <w:rsid w:val="007F5BCB"/>
    <w:rsid w:val="008070B3"/>
    <w:rsid w:val="00810948"/>
    <w:rsid w:val="00811943"/>
    <w:rsid w:val="00815C81"/>
    <w:rsid w:val="008176E9"/>
    <w:rsid w:val="00817C1C"/>
    <w:rsid w:val="00822403"/>
    <w:rsid w:val="00822974"/>
    <w:rsid w:val="0082438F"/>
    <w:rsid w:val="008311B8"/>
    <w:rsid w:val="0083224E"/>
    <w:rsid w:val="00834243"/>
    <w:rsid w:val="008374C4"/>
    <w:rsid w:val="00840E19"/>
    <w:rsid w:val="00847A63"/>
    <w:rsid w:val="00854D24"/>
    <w:rsid w:val="00857969"/>
    <w:rsid w:val="00873CF1"/>
    <w:rsid w:val="00874571"/>
    <w:rsid w:val="00882421"/>
    <w:rsid w:val="00882CC4"/>
    <w:rsid w:val="008844AC"/>
    <w:rsid w:val="00884703"/>
    <w:rsid w:val="00884F52"/>
    <w:rsid w:val="00887553"/>
    <w:rsid w:val="008905A4"/>
    <w:rsid w:val="00897F46"/>
    <w:rsid w:val="008A100D"/>
    <w:rsid w:val="008A4323"/>
    <w:rsid w:val="008A66B4"/>
    <w:rsid w:val="008C73F6"/>
    <w:rsid w:val="008C7F71"/>
    <w:rsid w:val="008D0322"/>
    <w:rsid w:val="008D0AE7"/>
    <w:rsid w:val="008D339F"/>
    <w:rsid w:val="008E02A0"/>
    <w:rsid w:val="008E24D2"/>
    <w:rsid w:val="008E3461"/>
    <w:rsid w:val="008E4D12"/>
    <w:rsid w:val="008E6292"/>
    <w:rsid w:val="008F23EB"/>
    <w:rsid w:val="008F329A"/>
    <w:rsid w:val="008F5360"/>
    <w:rsid w:val="009019A3"/>
    <w:rsid w:val="00902020"/>
    <w:rsid w:val="00905897"/>
    <w:rsid w:val="00906E61"/>
    <w:rsid w:val="00917E28"/>
    <w:rsid w:val="00921B6F"/>
    <w:rsid w:val="00922740"/>
    <w:rsid w:val="00923AD9"/>
    <w:rsid w:val="00925AA5"/>
    <w:rsid w:val="00926B44"/>
    <w:rsid w:val="00934A77"/>
    <w:rsid w:val="0093540D"/>
    <w:rsid w:val="00936C65"/>
    <w:rsid w:val="0094019D"/>
    <w:rsid w:val="00942C11"/>
    <w:rsid w:val="0094351F"/>
    <w:rsid w:val="0094414D"/>
    <w:rsid w:val="00944E37"/>
    <w:rsid w:val="009515DC"/>
    <w:rsid w:val="00951B9E"/>
    <w:rsid w:val="00953EE9"/>
    <w:rsid w:val="009547F8"/>
    <w:rsid w:val="009626AE"/>
    <w:rsid w:val="00962ACF"/>
    <w:rsid w:val="0097034F"/>
    <w:rsid w:val="009705BA"/>
    <w:rsid w:val="009729D4"/>
    <w:rsid w:val="00974B49"/>
    <w:rsid w:val="00980759"/>
    <w:rsid w:val="009817B0"/>
    <w:rsid w:val="009821CE"/>
    <w:rsid w:val="009825F1"/>
    <w:rsid w:val="00992388"/>
    <w:rsid w:val="009A277C"/>
    <w:rsid w:val="009A316A"/>
    <w:rsid w:val="009A658F"/>
    <w:rsid w:val="009B088F"/>
    <w:rsid w:val="009B2249"/>
    <w:rsid w:val="009C26AC"/>
    <w:rsid w:val="009D2CFF"/>
    <w:rsid w:val="009D4A95"/>
    <w:rsid w:val="009D7233"/>
    <w:rsid w:val="009D7341"/>
    <w:rsid w:val="009E0993"/>
    <w:rsid w:val="009E0CA5"/>
    <w:rsid w:val="009E171B"/>
    <w:rsid w:val="009E18F9"/>
    <w:rsid w:val="009E412D"/>
    <w:rsid w:val="009E4D55"/>
    <w:rsid w:val="00A001DD"/>
    <w:rsid w:val="00A015E8"/>
    <w:rsid w:val="00A03768"/>
    <w:rsid w:val="00A04CF0"/>
    <w:rsid w:val="00A07D47"/>
    <w:rsid w:val="00A10593"/>
    <w:rsid w:val="00A10B76"/>
    <w:rsid w:val="00A12F62"/>
    <w:rsid w:val="00A133F3"/>
    <w:rsid w:val="00A14FE9"/>
    <w:rsid w:val="00A15870"/>
    <w:rsid w:val="00A17F97"/>
    <w:rsid w:val="00A30D1B"/>
    <w:rsid w:val="00A31B86"/>
    <w:rsid w:val="00A350EF"/>
    <w:rsid w:val="00A36515"/>
    <w:rsid w:val="00A3749B"/>
    <w:rsid w:val="00A37C18"/>
    <w:rsid w:val="00A37D87"/>
    <w:rsid w:val="00A4188F"/>
    <w:rsid w:val="00A42528"/>
    <w:rsid w:val="00A50D88"/>
    <w:rsid w:val="00A521FE"/>
    <w:rsid w:val="00A54654"/>
    <w:rsid w:val="00A55339"/>
    <w:rsid w:val="00A56923"/>
    <w:rsid w:val="00A60521"/>
    <w:rsid w:val="00A6134B"/>
    <w:rsid w:val="00A62E42"/>
    <w:rsid w:val="00A648E3"/>
    <w:rsid w:val="00A64A71"/>
    <w:rsid w:val="00A7236C"/>
    <w:rsid w:val="00A72960"/>
    <w:rsid w:val="00A72D8F"/>
    <w:rsid w:val="00A7351B"/>
    <w:rsid w:val="00A73E0C"/>
    <w:rsid w:val="00A7432D"/>
    <w:rsid w:val="00A74815"/>
    <w:rsid w:val="00A834C7"/>
    <w:rsid w:val="00A93401"/>
    <w:rsid w:val="00A949D0"/>
    <w:rsid w:val="00A97160"/>
    <w:rsid w:val="00AA59FF"/>
    <w:rsid w:val="00AA774D"/>
    <w:rsid w:val="00AB36F8"/>
    <w:rsid w:val="00AB4ABD"/>
    <w:rsid w:val="00AB7C23"/>
    <w:rsid w:val="00AC3196"/>
    <w:rsid w:val="00AC4065"/>
    <w:rsid w:val="00AC75E2"/>
    <w:rsid w:val="00AD21A1"/>
    <w:rsid w:val="00AD33D4"/>
    <w:rsid w:val="00AD7D88"/>
    <w:rsid w:val="00AE2F90"/>
    <w:rsid w:val="00AE4F80"/>
    <w:rsid w:val="00AF6E95"/>
    <w:rsid w:val="00B00574"/>
    <w:rsid w:val="00B03DD6"/>
    <w:rsid w:val="00B125D5"/>
    <w:rsid w:val="00B13E47"/>
    <w:rsid w:val="00B214C6"/>
    <w:rsid w:val="00B26FD3"/>
    <w:rsid w:val="00B3583B"/>
    <w:rsid w:val="00B37A8F"/>
    <w:rsid w:val="00B459BE"/>
    <w:rsid w:val="00B529ED"/>
    <w:rsid w:val="00B52C8B"/>
    <w:rsid w:val="00B53300"/>
    <w:rsid w:val="00B55B04"/>
    <w:rsid w:val="00B5653E"/>
    <w:rsid w:val="00B60342"/>
    <w:rsid w:val="00B65347"/>
    <w:rsid w:val="00B65DE1"/>
    <w:rsid w:val="00B66D83"/>
    <w:rsid w:val="00B71F48"/>
    <w:rsid w:val="00B72AF0"/>
    <w:rsid w:val="00B737EB"/>
    <w:rsid w:val="00B75BD6"/>
    <w:rsid w:val="00B775EE"/>
    <w:rsid w:val="00B80F70"/>
    <w:rsid w:val="00B8294A"/>
    <w:rsid w:val="00B838E1"/>
    <w:rsid w:val="00B86929"/>
    <w:rsid w:val="00B87927"/>
    <w:rsid w:val="00BA554E"/>
    <w:rsid w:val="00BA5BB0"/>
    <w:rsid w:val="00BB00F3"/>
    <w:rsid w:val="00BB5EE3"/>
    <w:rsid w:val="00BC5C24"/>
    <w:rsid w:val="00BC6E69"/>
    <w:rsid w:val="00BD26AA"/>
    <w:rsid w:val="00BD2B12"/>
    <w:rsid w:val="00BD454F"/>
    <w:rsid w:val="00BD545F"/>
    <w:rsid w:val="00BD5999"/>
    <w:rsid w:val="00BD785C"/>
    <w:rsid w:val="00BE3017"/>
    <w:rsid w:val="00BE7EA5"/>
    <w:rsid w:val="00BF1360"/>
    <w:rsid w:val="00BF6D62"/>
    <w:rsid w:val="00BF7503"/>
    <w:rsid w:val="00C01DCC"/>
    <w:rsid w:val="00C15C34"/>
    <w:rsid w:val="00C202B3"/>
    <w:rsid w:val="00C21030"/>
    <w:rsid w:val="00C21EE0"/>
    <w:rsid w:val="00C30297"/>
    <w:rsid w:val="00C348BD"/>
    <w:rsid w:val="00C356F8"/>
    <w:rsid w:val="00C43781"/>
    <w:rsid w:val="00C473F6"/>
    <w:rsid w:val="00C50B48"/>
    <w:rsid w:val="00C52C04"/>
    <w:rsid w:val="00C555AC"/>
    <w:rsid w:val="00C610ED"/>
    <w:rsid w:val="00C62267"/>
    <w:rsid w:val="00C66E22"/>
    <w:rsid w:val="00C713ED"/>
    <w:rsid w:val="00C72318"/>
    <w:rsid w:val="00C724E6"/>
    <w:rsid w:val="00C73B5D"/>
    <w:rsid w:val="00C747A5"/>
    <w:rsid w:val="00C816BE"/>
    <w:rsid w:val="00C85314"/>
    <w:rsid w:val="00C93784"/>
    <w:rsid w:val="00C964E0"/>
    <w:rsid w:val="00CA0116"/>
    <w:rsid w:val="00CA4BC0"/>
    <w:rsid w:val="00CA5CA8"/>
    <w:rsid w:val="00CB0157"/>
    <w:rsid w:val="00CB28E9"/>
    <w:rsid w:val="00CB5205"/>
    <w:rsid w:val="00CB5E3E"/>
    <w:rsid w:val="00CB7967"/>
    <w:rsid w:val="00CC122B"/>
    <w:rsid w:val="00CC38AC"/>
    <w:rsid w:val="00CC559D"/>
    <w:rsid w:val="00CC570A"/>
    <w:rsid w:val="00CC5848"/>
    <w:rsid w:val="00CC646F"/>
    <w:rsid w:val="00CD0C13"/>
    <w:rsid w:val="00CD3E9C"/>
    <w:rsid w:val="00CD654B"/>
    <w:rsid w:val="00CE17F4"/>
    <w:rsid w:val="00CE1A3B"/>
    <w:rsid w:val="00CE223E"/>
    <w:rsid w:val="00CE5766"/>
    <w:rsid w:val="00CF1028"/>
    <w:rsid w:val="00CF3396"/>
    <w:rsid w:val="00CF3F0D"/>
    <w:rsid w:val="00CF5B9B"/>
    <w:rsid w:val="00D101F7"/>
    <w:rsid w:val="00D1062A"/>
    <w:rsid w:val="00D109FA"/>
    <w:rsid w:val="00D145F5"/>
    <w:rsid w:val="00D31308"/>
    <w:rsid w:val="00D316A1"/>
    <w:rsid w:val="00D329F1"/>
    <w:rsid w:val="00D355F0"/>
    <w:rsid w:val="00D43AC8"/>
    <w:rsid w:val="00D4520E"/>
    <w:rsid w:val="00D50879"/>
    <w:rsid w:val="00D51610"/>
    <w:rsid w:val="00D56113"/>
    <w:rsid w:val="00D56226"/>
    <w:rsid w:val="00D563C4"/>
    <w:rsid w:val="00D565D0"/>
    <w:rsid w:val="00D63E12"/>
    <w:rsid w:val="00D643F4"/>
    <w:rsid w:val="00D662E0"/>
    <w:rsid w:val="00D7112F"/>
    <w:rsid w:val="00D72F0A"/>
    <w:rsid w:val="00D833D9"/>
    <w:rsid w:val="00D83BD9"/>
    <w:rsid w:val="00D9013B"/>
    <w:rsid w:val="00D94DCF"/>
    <w:rsid w:val="00D94EAE"/>
    <w:rsid w:val="00DA4197"/>
    <w:rsid w:val="00DA586F"/>
    <w:rsid w:val="00DA767D"/>
    <w:rsid w:val="00DB08DA"/>
    <w:rsid w:val="00DB7F09"/>
    <w:rsid w:val="00DC00E8"/>
    <w:rsid w:val="00DC0F19"/>
    <w:rsid w:val="00DC1C56"/>
    <w:rsid w:val="00DC2AF2"/>
    <w:rsid w:val="00DC4756"/>
    <w:rsid w:val="00DC6379"/>
    <w:rsid w:val="00DC6AAD"/>
    <w:rsid w:val="00DD19F2"/>
    <w:rsid w:val="00DD2227"/>
    <w:rsid w:val="00DD63A8"/>
    <w:rsid w:val="00DE00C7"/>
    <w:rsid w:val="00DE2763"/>
    <w:rsid w:val="00DE3A53"/>
    <w:rsid w:val="00DE3C77"/>
    <w:rsid w:val="00DE62C6"/>
    <w:rsid w:val="00DE70F1"/>
    <w:rsid w:val="00DF252A"/>
    <w:rsid w:val="00DF6F61"/>
    <w:rsid w:val="00E02C1C"/>
    <w:rsid w:val="00E043B8"/>
    <w:rsid w:val="00E101C6"/>
    <w:rsid w:val="00E144D5"/>
    <w:rsid w:val="00E22CE1"/>
    <w:rsid w:val="00E22D51"/>
    <w:rsid w:val="00E236E2"/>
    <w:rsid w:val="00E23DB5"/>
    <w:rsid w:val="00E26F18"/>
    <w:rsid w:val="00E31E30"/>
    <w:rsid w:val="00E31FE3"/>
    <w:rsid w:val="00E349A7"/>
    <w:rsid w:val="00E40043"/>
    <w:rsid w:val="00E454E6"/>
    <w:rsid w:val="00E50E7C"/>
    <w:rsid w:val="00E51545"/>
    <w:rsid w:val="00E51D9E"/>
    <w:rsid w:val="00E537D1"/>
    <w:rsid w:val="00E539B4"/>
    <w:rsid w:val="00E567E6"/>
    <w:rsid w:val="00E56971"/>
    <w:rsid w:val="00E61484"/>
    <w:rsid w:val="00E62A78"/>
    <w:rsid w:val="00E62C52"/>
    <w:rsid w:val="00E63240"/>
    <w:rsid w:val="00E66E73"/>
    <w:rsid w:val="00E67905"/>
    <w:rsid w:val="00E7017C"/>
    <w:rsid w:val="00E711D7"/>
    <w:rsid w:val="00E71675"/>
    <w:rsid w:val="00E77E2B"/>
    <w:rsid w:val="00E815E1"/>
    <w:rsid w:val="00E87B61"/>
    <w:rsid w:val="00E87E63"/>
    <w:rsid w:val="00E902B0"/>
    <w:rsid w:val="00E902E8"/>
    <w:rsid w:val="00E91E9E"/>
    <w:rsid w:val="00E9296B"/>
    <w:rsid w:val="00E97C19"/>
    <w:rsid w:val="00EA23AC"/>
    <w:rsid w:val="00EA398F"/>
    <w:rsid w:val="00EA7375"/>
    <w:rsid w:val="00EA7C3D"/>
    <w:rsid w:val="00EB00EC"/>
    <w:rsid w:val="00EB1118"/>
    <w:rsid w:val="00EB4B0B"/>
    <w:rsid w:val="00EB5DB5"/>
    <w:rsid w:val="00EB6878"/>
    <w:rsid w:val="00EC02BC"/>
    <w:rsid w:val="00EC1E0E"/>
    <w:rsid w:val="00EC236D"/>
    <w:rsid w:val="00EC6B16"/>
    <w:rsid w:val="00EC79D5"/>
    <w:rsid w:val="00ED203E"/>
    <w:rsid w:val="00ED2937"/>
    <w:rsid w:val="00ED5A20"/>
    <w:rsid w:val="00ED62B0"/>
    <w:rsid w:val="00EE1447"/>
    <w:rsid w:val="00EE1BF1"/>
    <w:rsid w:val="00EE4864"/>
    <w:rsid w:val="00EE68B5"/>
    <w:rsid w:val="00EE7744"/>
    <w:rsid w:val="00EF03E1"/>
    <w:rsid w:val="00EF145E"/>
    <w:rsid w:val="00EF2BBB"/>
    <w:rsid w:val="00EF5519"/>
    <w:rsid w:val="00EF7C8D"/>
    <w:rsid w:val="00F0082D"/>
    <w:rsid w:val="00F015AB"/>
    <w:rsid w:val="00F045E0"/>
    <w:rsid w:val="00F07C90"/>
    <w:rsid w:val="00F1123D"/>
    <w:rsid w:val="00F143F1"/>
    <w:rsid w:val="00F17D23"/>
    <w:rsid w:val="00F20F8A"/>
    <w:rsid w:val="00F21148"/>
    <w:rsid w:val="00F2164D"/>
    <w:rsid w:val="00F21825"/>
    <w:rsid w:val="00F22A22"/>
    <w:rsid w:val="00F23C64"/>
    <w:rsid w:val="00F304A4"/>
    <w:rsid w:val="00F33DB8"/>
    <w:rsid w:val="00F354F6"/>
    <w:rsid w:val="00F45B65"/>
    <w:rsid w:val="00F47172"/>
    <w:rsid w:val="00F51D7F"/>
    <w:rsid w:val="00F5365A"/>
    <w:rsid w:val="00F5380C"/>
    <w:rsid w:val="00F57BED"/>
    <w:rsid w:val="00F60198"/>
    <w:rsid w:val="00F63B5F"/>
    <w:rsid w:val="00F669CD"/>
    <w:rsid w:val="00F679E5"/>
    <w:rsid w:val="00F704E4"/>
    <w:rsid w:val="00F737DB"/>
    <w:rsid w:val="00F75DAE"/>
    <w:rsid w:val="00F7613A"/>
    <w:rsid w:val="00F7755A"/>
    <w:rsid w:val="00F82746"/>
    <w:rsid w:val="00F836F9"/>
    <w:rsid w:val="00F845D7"/>
    <w:rsid w:val="00F8687C"/>
    <w:rsid w:val="00F92279"/>
    <w:rsid w:val="00F9685D"/>
    <w:rsid w:val="00FB4D21"/>
    <w:rsid w:val="00FB762B"/>
    <w:rsid w:val="00FC5B12"/>
    <w:rsid w:val="00FC6ADA"/>
    <w:rsid w:val="00FC7846"/>
    <w:rsid w:val="00FD1A01"/>
    <w:rsid w:val="00FD20CD"/>
    <w:rsid w:val="00FE5C77"/>
    <w:rsid w:val="00FF07D6"/>
    <w:rsid w:val="00FF319D"/>
    <w:rsid w:val="00FF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ED5A20"/>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ED5A20"/>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Bulleted Para Char,FooterText Char,L Char,List Paragraph1 Char,List Paragraph11 Char,NFP GP Bulleted List Char,Number Char,Recommendation Char,b + line Char,b + line Char Char,b Char,b Char Char,b1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ullet + line,b,b + line,b1,level 1"/>
    <w:basedOn w:val="Normal"/>
    <w:link w:val="BulletChar"/>
    <w:qFormat/>
    <w:rsid w:val="009E0CA5"/>
    <w:pPr>
      <w:numPr>
        <w:numId w:val="19"/>
      </w:numPr>
      <w:tabs>
        <w:tab w:val="clear" w:pos="520"/>
        <w:tab w:val="left" w:pos="720"/>
      </w:tabs>
      <w:spacing w:before="0" w:line="276" w:lineRule="auto"/>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link w:val="DoubleDotChar"/>
    <w:qFormat/>
    <w:rsid w:val="000E0B74"/>
    <w:pPr>
      <w:numPr>
        <w:ilvl w:val="2"/>
        <w:numId w:val="1"/>
      </w:numPr>
      <w:spacing w:before="0"/>
      <w:ind w:left="851" w:hanging="284"/>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tabs>
        <w:tab w:val="num" w:pos="284"/>
        <w:tab w:val="num" w:pos="520"/>
      </w:tabs>
      <w:spacing w:before="60"/>
      <w:ind w:left="170" w:hanging="170"/>
    </w:pPr>
    <w:rPr>
      <w:color w:val="0D0D0D" w:themeColor="text1" w:themeTint="F2"/>
    </w:rPr>
  </w:style>
  <w:style w:type="paragraph" w:customStyle="1" w:styleId="Boxdash">
    <w:name w:val="Box dash"/>
    <w:basedOn w:val="Dash"/>
    <w:rsid w:val="00E349A7"/>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E349A7"/>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customStyle="1" w:styleId="Default">
    <w:name w:val="Default"/>
    <w:rsid w:val="004F38AE"/>
    <w:pPr>
      <w:autoSpaceDE w:val="0"/>
      <w:autoSpaceDN w:val="0"/>
      <w:adjustRightInd w:val="0"/>
      <w:spacing w:after="0" w:line="240" w:lineRule="auto"/>
    </w:pPr>
    <w:rPr>
      <w:rFonts w:ascii="Montserrat Ultra Light" w:hAnsi="Montserrat Ultra Light" w:cs="Montserrat Ultra Light"/>
      <w:color w:val="000000"/>
      <w:sz w:val="24"/>
      <w:szCs w:val="24"/>
    </w:rPr>
  </w:style>
  <w:style w:type="paragraph" w:styleId="BodyText">
    <w:name w:val="Body Text"/>
    <w:basedOn w:val="Normal"/>
    <w:link w:val="BodyTextChar"/>
    <w:uiPriority w:val="1"/>
    <w:unhideWhenUsed/>
    <w:qFormat/>
    <w:rsid w:val="00F45B65"/>
    <w:pPr>
      <w:widowControl w:val="0"/>
      <w:spacing w:before="0" w:after="0"/>
      <w:ind w:left="100"/>
    </w:pPr>
    <w:rPr>
      <w:rFonts w:ascii="Calibri" w:eastAsia="Calibri" w:hAnsi="Calibri" w:cstheme="minorBidi"/>
      <w:szCs w:val="22"/>
      <w:lang w:val="en-US" w:eastAsia="en-US"/>
    </w:rPr>
  </w:style>
  <w:style w:type="character" w:customStyle="1" w:styleId="BodyTextChar">
    <w:name w:val="Body Text Char"/>
    <w:basedOn w:val="DefaultParagraphFont"/>
    <w:link w:val="BodyText"/>
    <w:uiPriority w:val="1"/>
    <w:rsid w:val="00F45B65"/>
    <w:rPr>
      <w:rFonts w:ascii="Calibri" w:eastAsia="Calibri" w:hAnsi="Calibri"/>
      <w:lang w:val="en-US"/>
    </w:rPr>
  </w:style>
  <w:style w:type="character" w:customStyle="1" w:styleId="OutlineNumbered1Char">
    <w:name w:val="Outline Numbered 1 Char"/>
    <w:basedOn w:val="DefaultParagraphFont"/>
    <w:link w:val="OutlineNumbered1"/>
    <w:locked/>
    <w:rsid w:val="00F45B65"/>
    <w:rPr>
      <w:rFonts w:ascii="Calibri Light" w:eastAsia="Times New Roman" w:hAnsi="Calibri Light" w:cs="Times New Roman"/>
      <w:szCs w:val="20"/>
      <w:lang w:eastAsia="en-AU"/>
    </w:rPr>
  </w:style>
  <w:style w:type="character" w:customStyle="1" w:styleId="UnresolvedMention">
    <w:name w:val="Unresolved Mention"/>
    <w:basedOn w:val="DefaultParagraphFont"/>
    <w:uiPriority w:val="99"/>
    <w:semiHidden/>
    <w:unhideWhenUsed/>
    <w:rsid w:val="00E6324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19A3"/>
    <w:rPr>
      <w:rFonts w:ascii="Calibri Light" w:hAnsi="Calibri Light"/>
      <w:b/>
      <w:bCs/>
    </w:rPr>
  </w:style>
  <w:style w:type="character" w:customStyle="1" w:styleId="CommentSubjectChar">
    <w:name w:val="Comment Subject Char"/>
    <w:basedOn w:val="CommentTextChar"/>
    <w:link w:val="CommentSubject"/>
    <w:uiPriority w:val="99"/>
    <w:semiHidden/>
    <w:rsid w:val="009019A3"/>
    <w:rPr>
      <w:rFonts w:ascii="Calibri Light" w:eastAsia="Times New Roman" w:hAnsi="Calibri Light" w:cs="Times New Roman"/>
      <w:b/>
      <w:bCs/>
      <w:sz w:val="20"/>
      <w:szCs w:val="20"/>
      <w:lang w:eastAsia="en-AU"/>
    </w:rPr>
  </w:style>
  <w:style w:type="paragraph" w:styleId="NormalWeb">
    <w:name w:val="Normal (Web)"/>
    <w:basedOn w:val="Normal"/>
    <w:uiPriority w:val="99"/>
    <w:semiHidden/>
    <w:unhideWhenUsed/>
    <w:rsid w:val="009019A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A37C18"/>
    <w:rPr>
      <w:color w:val="844D9E" w:themeColor="followedHyperlink"/>
      <w:u w:val="single"/>
    </w:rPr>
  </w:style>
  <w:style w:type="paragraph" w:styleId="Caption">
    <w:name w:val="caption"/>
    <w:basedOn w:val="Normal"/>
    <w:next w:val="Normal"/>
    <w:uiPriority w:val="35"/>
    <w:unhideWhenUsed/>
    <w:qFormat/>
    <w:rsid w:val="007E33C6"/>
    <w:pPr>
      <w:spacing w:before="0" w:after="200"/>
    </w:pPr>
    <w:rPr>
      <w:i/>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9622">
      <w:bodyDiv w:val="1"/>
      <w:marLeft w:val="0"/>
      <w:marRight w:val="0"/>
      <w:marTop w:val="0"/>
      <w:marBottom w:val="0"/>
      <w:divBdr>
        <w:top w:val="none" w:sz="0" w:space="0" w:color="auto"/>
        <w:left w:val="none" w:sz="0" w:space="0" w:color="auto"/>
        <w:bottom w:val="none" w:sz="0" w:space="0" w:color="auto"/>
        <w:right w:val="none" w:sz="0" w:space="0" w:color="auto"/>
      </w:divBdr>
    </w:div>
    <w:div w:id="226843722">
      <w:bodyDiv w:val="1"/>
      <w:marLeft w:val="0"/>
      <w:marRight w:val="0"/>
      <w:marTop w:val="0"/>
      <w:marBottom w:val="0"/>
      <w:divBdr>
        <w:top w:val="none" w:sz="0" w:space="0" w:color="auto"/>
        <w:left w:val="none" w:sz="0" w:space="0" w:color="auto"/>
        <w:bottom w:val="none" w:sz="0" w:space="0" w:color="auto"/>
        <w:right w:val="none" w:sz="0" w:space="0" w:color="auto"/>
      </w:divBdr>
    </w:div>
    <w:div w:id="305279397">
      <w:bodyDiv w:val="1"/>
      <w:marLeft w:val="0"/>
      <w:marRight w:val="0"/>
      <w:marTop w:val="0"/>
      <w:marBottom w:val="0"/>
      <w:divBdr>
        <w:top w:val="none" w:sz="0" w:space="0" w:color="auto"/>
        <w:left w:val="none" w:sz="0" w:space="0" w:color="auto"/>
        <w:bottom w:val="none" w:sz="0" w:space="0" w:color="auto"/>
        <w:right w:val="none" w:sz="0" w:space="0" w:color="auto"/>
      </w:divBdr>
    </w:div>
    <w:div w:id="376658894">
      <w:bodyDiv w:val="1"/>
      <w:marLeft w:val="0"/>
      <w:marRight w:val="0"/>
      <w:marTop w:val="0"/>
      <w:marBottom w:val="0"/>
      <w:divBdr>
        <w:top w:val="none" w:sz="0" w:space="0" w:color="auto"/>
        <w:left w:val="none" w:sz="0" w:space="0" w:color="auto"/>
        <w:bottom w:val="none" w:sz="0" w:space="0" w:color="auto"/>
        <w:right w:val="none" w:sz="0" w:space="0" w:color="auto"/>
      </w:divBdr>
    </w:div>
    <w:div w:id="388380602">
      <w:bodyDiv w:val="1"/>
      <w:marLeft w:val="0"/>
      <w:marRight w:val="0"/>
      <w:marTop w:val="0"/>
      <w:marBottom w:val="0"/>
      <w:divBdr>
        <w:top w:val="none" w:sz="0" w:space="0" w:color="auto"/>
        <w:left w:val="none" w:sz="0" w:space="0" w:color="auto"/>
        <w:bottom w:val="none" w:sz="0" w:space="0" w:color="auto"/>
        <w:right w:val="none" w:sz="0" w:space="0" w:color="auto"/>
      </w:divBdr>
    </w:div>
    <w:div w:id="40576239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52389073">
      <w:bodyDiv w:val="1"/>
      <w:marLeft w:val="0"/>
      <w:marRight w:val="0"/>
      <w:marTop w:val="0"/>
      <w:marBottom w:val="0"/>
      <w:divBdr>
        <w:top w:val="none" w:sz="0" w:space="0" w:color="auto"/>
        <w:left w:val="none" w:sz="0" w:space="0" w:color="auto"/>
        <w:bottom w:val="none" w:sz="0" w:space="0" w:color="auto"/>
        <w:right w:val="none" w:sz="0" w:space="0" w:color="auto"/>
      </w:divBdr>
    </w:div>
    <w:div w:id="1241713054">
      <w:bodyDiv w:val="1"/>
      <w:marLeft w:val="0"/>
      <w:marRight w:val="0"/>
      <w:marTop w:val="0"/>
      <w:marBottom w:val="0"/>
      <w:divBdr>
        <w:top w:val="none" w:sz="0" w:space="0" w:color="auto"/>
        <w:left w:val="none" w:sz="0" w:space="0" w:color="auto"/>
        <w:bottom w:val="none" w:sz="0" w:space="0" w:color="auto"/>
        <w:right w:val="none" w:sz="0" w:space="0" w:color="auto"/>
      </w:divBdr>
    </w:div>
    <w:div w:id="1422023032">
      <w:bodyDiv w:val="1"/>
      <w:marLeft w:val="0"/>
      <w:marRight w:val="0"/>
      <w:marTop w:val="0"/>
      <w:marBottom w:val="0"/>
      <w:divBdr>
        <w:top w:val="none" w:sz="0" w:space="0" w:color="auto"/>
        <w:left w:val="none" w:sz="0" w:space="0" w:color="auto"/>
        <w:bottom w:val="none" w:sz="0" w:space="0" w:color="auto"/>
        <w:right w:val="none" w:sz="0" w:space="0" w:color="auto"/>
      </w:divBdr>
    </w:div>
    <w:div w:id="1517189497">
      <w:bodyDiv w:val="1"/>
      <w:marLeft w:val="0"/>
      <w:marRight w:val="0"/>
      <w:marTop w:val="0"/>
      <w:marBottom w:val="0"/>
      <w:divBdr>
        <w:top w:val="none" w:sz="0" w:space="0" w:color="auto"/>
        <w:left w:val="none" w:sz="0" w:space="0" w:color="auto"/>
        <w:bottom w:val="none" w:sz="0" w:space="0" w:color="auto"/>
        <w:right w:val="none" w:sz="0" w:space="0" w:color="auto"/>
      </w:divBdr>
    </w:div>
    <w:div w:id="1584877324">
      <w:bodyDiv w:val="1"/>
      <w:marLeft w:val="0"/>
      <w:marRight w:val="0"/>
      <w:marTop w:val="0"/>
      <w:marBottom w:val="0"/>
      <w:divBdr>
        <w:top w:val="none" w:sz="0" w:space="0" w:color="auto"/>
        <w:left w:val="none" w:sz="0" w:space="0" w:color="auto"/>
        <w:bottom w:val="none" w:sz="0" w:space="0" w:color="auto"/>
        <w:right w:val="none" w:sz="0" w:space="0" w:color="auto"/>
      </w:divBdr>
    </w:div>
    <w:div w:id="17920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26" Type="http://schemas.openxmlformats.org/officeDocument/2006/relationships/hyperlink" Target="http://www5.austlii.edu.au/au/legis/cth/consol_act/ca2001172/s960.html"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5.austlii.edu.au/au/legis/cth/consol_act/ca2001172/s761a.html"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liaison@treasury.gov.au" TargetMode="External"/><Relationship Id="rId25" Type="http://schemas.openxmlformats.org/officeDocument/2006/relationships/hyperlink" Target="http://www5.austlii.edu.au/au/legis/cth/consol_act/ca2001172/s761a.html" TargetMode="External"/><Relationship Id="rId33" Type="http://schemas.openxmlformats.org/officeDocument/2006/relationships/hyperlink" Target="http://www5.austlii.edu.au/au/legis/cth/consol_act/ca2001172/s960.html" TargetMode="Externa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1.xml"/><Relationship Id="rId29" Type="http://schemas.openxmlformats.org/officeDocument/2006/relationships/hyperlink" Target="http://www5.austlii.edu.au/au/legis/cth/consol_act/ca2001172/s761a.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hyperlink" Target="http://www5.austlii.edu.au/au/legis/cth/consol_act/ca2001172/s1023b.html" TargetMode="External"/><Relationship Id="rId37" Type="http://schemas.openxmlformats.org/officeDocument/2006/relationships/hyperlink" Target="http://www5.austlii.edu.au/au/legis/cth/consol_act/ca2001172/s960.html"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header" Target="header4.xml"/><Relationship Id="rId28" Type="http://schemas.openxmlformats.org/officeDocument/2006/relationships/hyperlink" Target="http://www5.austlii.edu.au/au/legis/cth/consol_act/ca2001172/s761a.html" TargetMode="External"/><Relationship Id="rId36" Type="http://schemas.openxmlformats.org/officeDocument/2006/relationships/hyperlink" Target="http://www5.austlii.edu.au/au/legis/cth/consol_act/ca2001172/s761a.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5.austlii.edu.au/au/legis/cth/consol_act/ca2001172/s761a.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2.xml"/><Relationship Id="rId27" Type="http://schemas.openxmlformats.org/officeDocument/2006/relationships/hyperlink" Target="http://www5.austlii.edu.au/au/legis/cth/consol_act/ca2001172/s761a.html" TargetMode="External"/><Relationship Id="rId30" Type="http://schemas.openxmlformats.org/officeDocument/2006/relationships/hyperlink" Target="http://www5.austlii.edu.au/au/legis/cth/consol_act/ca2001172/s761a.html" TargetMode="External"/><Relationship Id="rId35" Type="http://schemas.openxmlformats.org/officeDocument/2006/relationships/hyperlink" Target="http://www5.austlii.edu.au/au/legis/cth/consol_act/ca2001172/s761a.html"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DOCID-322795542-19754</_dlc_DocId>
    <_dlc_DocIdUrl xmlns="4195ad5f-cdf2-4c4a-8d9b-b7944a108e98">
      <Url>https://pmc01.sharepoint.com/sites/CRMOBPR/_layouts/15/DocIdRedir.aspx?ID=DOCID-322795542-19754</Url>
      <Description>DOCID-322795542-19754</Description>
    </_dlc_DocIdUrl>
  </documentManagement>
</p:properties>
</file>

<file path=customXml/itemProps1.xml><?xml version="1.0" encoding="utf-8"?>
<ds:datastoreItem xmlns:ds="http://schemas.openxmlformats.org/officeDocument/2006/customXml" ds:itemID="{0B4D9360-D205-4744-A0A7-55B3ED86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40CC5-D0DC-4A4D-A9D3-BE305B7C05F2}">
  <ds:schemaRefs>
    <ds:schemaRef ds:uri="http://schemas.microsoft.com/sharepoint/events"/>
  </ds:schemaRefs>
</ds:datastoreItem>
</file>

<file path=customXml/itemProps3.xml><?xml version="1.0" encoding="utf-8"?>
<ds:datastoreItem xmlns:ds="http://schemas.openxmlformats.org/officeDocument/2006/customXml" ds:itemID="{5E622AA1-2360-4E0F-84A3-0E0F666B9780}">
  <ds:schemaRefs>
    <ds:schemaRef ds:uri="http://schemas.microsoft.com/sharepoint/v3/contenttype/forms"/>
  </ds:schemaRefs>
</ds:datastoreItem>
</file>

<file path=customXml/itemProps4.xml><?xml version="1.0" encoding="utf-8"?>
<ds:datastoreItem xmlns:ds="http://schemas.openxmlformats.org/officeDocument/2006/customXml" ds:itemID="{D42A6513-8574-479C-8012-E5D531BAAF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285671-540d-468b-b7a1-f3e0438dd51a"/>
    <ds:schemaRef ds:uri="4195ad5f-cdf2-4c4a-8d9b-b7944a108e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6775</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2022-08-22T03:23:00Z</dcterms:created>
  <dcterms:modified xsi:type="dcterms:W3CDTF">2022-08-22T03:23:00Z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5fc9ab56-076c-47c4-90c7-9c6e9ac5ae15</vt:lpwstr>
  </property>
  <property fmtid="{D5CDD505-2E9C-101B-9397-08002B2CF9AE}" pid="4" name="MediaServiceImageTags">
    <vt:lpwstr/>
  </property>
</Properties>
</file>