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32864" w14:textId="4BF139C0" w:rsidR="0002573F" w:rsidRDefault="0002573F" w:rsidP="00A501F2">
      <w:bookmarkStart w:id="0" w:name="_GoBack"/>
      <w:bookmarkEnd w:id="0"/>
    </w:p>
    <w:p w14:paraId="00416826" w14:textId="77777777" w:rsidR="0002573F" w:rsidRDefault="0002573F" w:rsidP="00A501F2"/>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A501F2" w:rsidRPr="00C755AD" w14:paraId="579126BD" w14:textId="77777777" w:rsidTr="00302C1B">
        <w:trPr>
          <w:trHeight w:val="4227"/>
        </w:trPr>
        <w:tc>
          <w:tcPr>
            <w:tcW w:w="9242" w:type="dxa"/>
          </w:tcPr>
          <w:p w14:paraId="3E33F5C9" w14:textId="77777777" w:rsidR="00A501F2" w:rsidRPr="005E6C0E" w:rsidRDefault="00A501F2" w:rsidP="00302C1B">
            <w:r>
              <w:rPr>
                <w:noProof/>
                <w:lang w:eastAsia="en-AU"/>
              </w:rPr>
              <w:drawing>
                <wp:inline distT="0" distB="0" distL="0" distR="0" wp14:anchorId="45DD7F37" wp14:editId="5D6636EC">
                  <wp:extent cx="3243648"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2.png"/>
                          <pic:cNvPicPr/>
                        </pic:nvPicPr>
                        <pic:blipFill>
                          <a:blip r:embed="rId8">
                            <a:extLst>
                              <a:ext uri="{28A0092B-C50C-407E-A947-70E740481C1C}">
                                <a14:useLocalDpi xmlns:a14="http://schemas.microsoft.com/office/drawing/2010/main" val="0"/>
                              </a:ext>
                            </a:extLst>
                          </a:blip>
                          <a:stretch>
                            <a:fillRect/>
                          </a:stretch>
                        </pic:blipFill>
                        <pic:spPr>
                          <a:xfrm>
                            <a:off x="0" y="0"/>
                            <a:ext cx="3253555" cy="1203816"/>
                          </a:xfrm>
                          <a:prstGeom prst="rect">
                            <a:avLst/>
                          </a:prstGeom>
                        </pic:spPr>
                      </pic:pic>
                    </a:graphicData>
                  </a:graphic>
                </wp:inline>
              </w:drawing>
            </w:r>
          </w:p>
          <w:p w14:paraId="6A68F523" w14:textId="77777777" w:rsidR="00A501F2" w:rsidRPr="00E27642" w:rsidRDefault="00A501F2" w:rsidP="00302C1B"/>
        </w:tc>
      </w:tr>
      <w:tr w:rsidR="00A501F2" w:rsidRPr="00C755AD" w14:paraId="5DFA401F" w14:textId="77777777" w:rsidTr="00302C1B">
        <w:tc>
          <w:tcPr>
            <w:tcW w:w="9242" w:type="dxa"/>
          </w:tcPr>
          <w:p w14:paraId="7688177E" w14:textId="117F0664" w:rsidR="00A501F2" w:rsidRPr="00C755AD" w:rsidRDefault="00A501F2" w:rsidP="00302C1B">
            <w:pPr>
              <w:pStyle w:val="Title"/>
            </w:pPr>
            <w:r>
              <w:t xml:space="preserve">Infant </w:t>
            </w:r>
            <w:r w:rsidR="00166C75">
              <w:t xml:space="preserve">Sleep </w:t>
            </w:r>
            <w:r w:rsidR="00CA0C8B">
              <w:t>P</w:t>
            </w:r>
            <w:r>
              <w:t xml:space="preserve">roducts </w:t>
            </w:r>
          </w:p>
        </w:tc>
      </w:tr>
      <w:tr w:rsidR="00A501F2" w:rsidRPr="00C755AD" w14:paraId="56693E71" w14:textId="77777777" w:rsidTr="00302C1B">
        <w:tc>
          <w:tcPr>
            <w:tcW w:w="9242" w:type="dxa"/>
          </w:tcPr>
          <w:p w14:paraId="647ACF22" w14:textId="7C414DB8" w:rsidR="00A501F2" w:rsidRPr="00C755AD" w:rsidRDefault="00F346E3" w:rsidP="00302C1B">
            <w:pPr>
              <w:pStyle w:val="Subtitle"/>
            </w:pPr>
            <w:r>
              <w:t>Consultation Paper</w:t>
            </w:r>
            <w:r w:rsidR="00A501F2">
              <w:t xml:space="preserve"> </w:t>
            </w:r>
          </w:p>
        </w:tc>
      </w:tr>
      <w:tr w:rsidR="00A501F2" w:rsidRPr="00C755AD" w14:paraId="7621D1E3" w14:textId="77777777" w:rsidTr="00302C1B">
        <w:tc>
          <w:tcPr>
            <w:tcW w:w="9242" w:type="dxa"/>
          </w:tcPr>
          <w:p w14:paraId="1E8D4EE4" w14:textId="77777777" w:rsidR="00A501F2" w:rsidRPr="00C755AD" w:rsidRDefault="00A501F2" w:rsidP="00302C1B"/>
          <w:p w14:paraId="2E185280" w14:textId="0246D34F" w:rsidR="00A501F2" w:rsidRPr="00C755AD" w:rsidRDefault="001738B9" w:rsidP="00302C1B">
            <w:pPr>
              <w:pStyle w:val="CoverDate"/>
            </w:pPr>
            <w:r>
              <w:t xml:space="preserve">August </w:t>
            </w:r>
            <w:r w:rsidR="00A501F2">
              <w:t>2022</w:t>
            </w:r>
          </w:p>
        </w:tc>
      </w:tr>
    </w:tbl>
    <w:p w14:paraId="0A7DE60F" w14:textId="77777777" w:rsidR="00A501F2" w:rsidRDefault="00A501F2" w:rsidP="00A501F2"/>
    <w:p w14:paraId="1AEF72D7" w14:textId="77777777" w:rsidR="00A501F2" w:rsidRPr="003B5A70" w:rsidRDefault="00A501F2" w:rsidP="00A501F2"/>
    <w:p w14:paraId="3EFF9FEC" w14:textId="77777777" w:rsidR="005E550E" w:rsidRDefault="005E550E">
      <w:r>
        <w:br w:type="page"/>
      </w:r>
    </w:p>
    <w:bookmarkStart w:id="1" w:name="_Hlk90492786" w:displacedByCustomXml="next"/>
    <w:sdt>
      <w:sdtPr>
        <w:rPr>
          <w:rFonts w:ascii="Arial" w:eastAsiaTheme="minorHAnsi" w:hAnsi="Arial" w:cstheme="minorBidi"/>
          <w:bCs w:val="0"/>
          <w:color w:val="auto"/>
          <w:sz w:val="22"/>
          <w:szCs w:val="22"/>
          <w:lang w:val="en-AU" w:eastAsia="en-US"/>
        </w:rPr>
        <w:id w:val="1169761255"/>
        <w:docPartObj>
          <w:docPartGallery w:val="Table of Contents"/>
          <w:docPartUnique/>
        </w:docPartObj>
      </w:sdtPr>
      <w:sdtEndPr>
        <w:rPr>
          <w:b/>
        </w:rPr>
      </w:sdtEndPr>
      <w:sdtContent>
        <w:p w14:paraId="40C0126B" w14:textId="64C6F3EB" w:rsidR="008C086E" w:rsidRDefault="008C086E" w:rsidP="006C43E5">
          <w:pPr>
            <w:pStyle w:val="TOCHeading"/>
            <w:tabs>
              <w:tab w:val="left" w:pos="2738"/>
            </w:tabs>
          </w:pPr>
          <w:r>
            <w:t>Contents</w:t>
          </w:r>
          <w:r w:rsidR="006C43E5">
            <w:tab/>
          </w:r>
        </w:p>
        <w:p w14:paraId="72733216" w14:textId="50EB191D" w:rsidR="00A2715C" w:rsidRDefault="008C086E">
          <w:pPr>
            <w:pStyle w:val="TOC1"/>
            <w:rPr>
              <w:rFonts w:asciiTheme="minorHAnsi" w:eastAsiaTheme="minorEastAsia" w:hAnsiTheme="minorHAnsi"/>
              <w:lang w:val="en-AU" w:eastAsia="en-AU"/>
            </w:rPr>
          </w:pPr>
          <w:r>
            <w:fldChar w:fldCharType="begin"/>
          </w:r>
          <w:r>
            <w:instrText xml:space="preserve"> TOC \o "1-3" \h \z \u \t "Heading 6,1" </w:instrText>
          </w:r>
          <w:r>
            <w:fldChar w:fldCharType="separate"/>
          </w:r>
          <w:hyperlink w:anchor="_Toc110959447" w:history="1">
            <w:r w:rsidR="00A2715C" w:rsidRPr="000354E2">
              <w:rPr>
                <w:rStyle w:val="Hyperlink"/>
              </w:rPr>
              <w:t>Glossary</w:t>
            </w:r>
            <w:r w:rsidR="00A2715C">
              <w:rPr>
                <w:webHidden/>
              </w:rPr>
              <w:tab/>
            </w:r>
            <w:r w:rsidR="00A2715C">
              <w:rPr>
                <w:webHidden/>
              </w:rPr>
              <w:fldChar w:fldCharType="begin"/>
            </w:r>
            <w:r w:rsidR="00A2715C">
              <w:rPr>
                <w:webHidden/>
              </w:rPr>
              <w:instrText xml:space="preserve"> PAGEREF _Toc110959447 \h </w:instrText>
            </w:r>
            <w:r w:rsidR="00A2715C">
              <w:rPr>
                <w:webHidden/>
              </w:rPr>
            </w:r>
            <w:r w:rsidR="00A2715C">
              <w:rPr>
                <w:webHidden/>
              </w:rPr>
              <w:fldChar w:fldCharType="separate"/>
            </w:r>
            <w:r w:rsidR="00A17C76">
              <w:rPr>
                <w:webHidden/>
              </w:rPr>
              <w:t>iii</w:t>
            </w:r>
            <w:r w:rsidR="00A2715C">
              <w:rPr>
                <w:webHidden/>
              </w:rPr>
              <w:fldChar w:fldCharType="end"/>
            </w:r>
          </w:hyperlink>
        </w:p>
        <w:p w14:paraId="48556808" w14:textId="7A6DB195" w:rsidR="00A2715C" w:rsidRDefault="000635F2">
          <w:pPr>
            <w:pStyle w:val="TOC1"/>
            <w:rPr>
              <w:rFonts w:asciiTheme="minorHAnsi" w:eastAsiaTheme="minorEastAsia" w:hAnsiTheme="minorHAnsi"/>
              <w:lang w:val="en-AU" w:eastAsia="en-AU"/>
            </w:rPr>
          </w:pPr>
          <w:hyperlink w:anchor="_Toc110959448" w:history="1">
            <w:r w:rsidR="00A2715C" w:rsidRPr="000354E2">
              <w:rPr>
                <w:rStyle w:val="Hyperlink"/>
              </w:rPr>
              <w:t>Have your say</w:t>
            </w:r>
            <w:r w:rsidR="00A2715C">
              <w:rPr>
                <w:webHidden/>
              </w:rPr>
              <w:tab/>
            </w:r>
            <w:r w:rsidR="00A2715C">
              <w:rPr>
                <w:webHidden/>
              </w:rPr>
              <w:fldChar w:fldCharType="begin"/>
            </w:r>
            <w:r w:rsidR="00A2715C">
              <w:rPr>
                <w:webHidden/>
              </w:rPr>
              <w:instrText xml:space="preserve"> PAGEREF _Toc110959448 \h </w:instrText>
            </w:r>
            <w:r w:rsidR="00A2715C">
              <w:rPr>
                <w:webHidden/>
              </w:rPr>
            </w:r>
            <w:r w:rsidR="00A2715C">
              <w:rPr>
                <w:webHidden/>
              </w:rPr>
              <w:fldChar w:fldCharType="separate"/>
            </w:r>
            <w:r w:rsidR="00A17C76">
              <w:rPr>
                <w:webHidden/>
              </w:rPr>
              <w:t>v</w:t>
            </w:r>
            <w:r w:rsidR="00A2715C">
              <w:rPr>
                <w:webHidden/>
              </w:rPr>
              <w:fldChar w:fldCharType="end"/>
            </w:r>
          </w:hyperlink>
        </w:p>
        <w:p w14:paraId="0F84E66E" w14:textId="60A146B6" w:rsidR="00A2715C" w:rsidRDefault="000635F2">
          <w:pPr>
            <w:pStyle w:val="TOC1"/>
            <w:rPr>
              <w:rFonts w:asciiTheme="minorHAnsi" w:eastAsiaTheme="minorEastAsia" w:hAnsiTheme="minorHAnsi"/>
              <w:lang w:val="en-AU" w:eastAsia="en-AU"/>
            </w:rPr>
          </w:pPr>
          <w:hyperlink w:anchor="_Toc110959449" w:history="1">
            <w:r w:rsidR="00A2715C" w:rsidRPr="000354E2">
              <w:rPr>
                <w:rStyle w:val="Hyperlink"/>
              </w:rPr>
              <w:t>Scope</w:t>
            </w:r>
            <w:r w:rsidR="00A2715C">
              <w:rPr>
                <w:webHidden/>
              </w:rPr>
              <w:tab/>
            </w:r>
            <w:r w:rsidR="00A2715C">
              <w:rPr>
                <w:webHidden/>
              </w:rPr>
              <w:fldChar w:fldCharType="begin"/>
            </w:r>
            <w:r w:rsidR="00A2715C">
              <w:rPr>
                <w:webHidden/>
              </w:rPr>
              <w:instrText xml:space="preserve"> PAGEREF _Toc110959449 \h </w:instrText>
            </w:r>
            <w:r w:rsidR="00A2715C">
              <w:rPr>
                <w:webHidden/>
              </w:rPr>
            </w:r>
            <w:r w:rsidR="00A2715C">
              <w:rPr>
                <w:webHidden/>
              </w:rPr>
              <w:fldChar w:fldCharType="separate"/>
            </w:r>
            <w:r w:rsidR="00A17C76">
              <w:rPr>
                <w:webHidden/>
              </w:rPr>
              <w:t>vi</w:t>
            </w:r>
            <w:r w:rsidR="00A2715C">
              <w:rPr>
                <w:webHidden/>
              </w:rPr>
              <w:fldChar w:fldCharType="end"/>
            </w:r>
          </w:hyperlink>
        </w:p>
        <w:p w14:paraId="349B3809" w14:textId="172E1BDC" w:rsidR="00A2715C" w:rsidRDefault="000635F2">
          <w:pPr>
            <w:pStyle w:val="TOC1"/>
            <w:rPr>
              <w:rFonts w:asciiTheme="minorHAnsi" w:eastAsiaTheme="minorEastAsia" w:hAnsiTheme="minorHAnsi"/>
              <w:lang w:val="en-AU" w:eastAsia="en-AU"/>
            </w:rPr>
          </w:pPr>
          <w:hyperlink w:anchor="_Toc110959451" w:history="1">
            <w:r w:rsidR="00A2715C" w:rsidRPr="000354E2">
              <w:rPr>
                <w:rStyle w:val="Hyperlink"/>
              </w:rPr>
              <w:t>Executive summary</w:t>
            </w:r>
            <w:r w:rsidR="00A2715C">
              <w:rPr>
                <w:webHidden/>
              </w:rPr>
              <w:tab/>
            </w:r>
            <w:r w:rsidR="00A2715C">
              <w:rPr>
                <w:webHidden/>
              </w:rPr>
              <w:fldChar w:fldCharType="begin"/>
            </w:r>
            <w:r w:rsidR="00A2715C">
              <w:rPr>
                <w:webHidden/>
              </w:rPr>
              <w:instrText xml:space="preserve"> PAGEREF _Toc110959451 \h </w:instrText>
            </w:r>
            <w:r w:rsidR="00A2715C">
              <w:rPr>
                <w:webHidden/>
              </w:rPr>
            </w:r>
            <w:r w:rsidR="00A2715C">
              <w:rPr>
                <w:webHidden/>
              </w:rPr>
              <w:fldChar w:fldCharType="separate"/>
            </w:r>
            <w:r w:rsidR="00A17C76">
              <w:rPr>
                <w:webHidden/>
              </w:rPr>
              <w:t>ix</w:t>
            </w:r>
            <w:r w:rsidR="00A2715C">
              <w:rPr>
                <w:webHidden/>
              </w:rPr>
              <w:fldChar w:fldCharType="end"/>
            </w:r>
          </w:hyperlink>
        </w:p>
        <w:p w14:paraId="41C18B42" w14:textId="251A8283" w:rsidR="00A2715C" w:rsidRDefault="000635F2">
          <w:pPr>
            <w:pStyle w:val="TOC1"/>
            <w:rPr>
              <w:rFonts w:asciiTheme="minorHAnsi" w:eastAsiaTheme="minorEastAsia" w:hAnsiTheme="minorHAnsi"/>
              <w:lang w:val="en-AU" w:eastAsia="en-AU"/>
            </w:rPr>
          </w:pPr>
          <w:hyperlink w:anchor="_Toc110959452" w:history="1">
            <w:r w:rsidR="00A2715C" w:rsidRPr="000354E2">
              <w:rPr>
                <w:rStyle w:val="Hyperlink"/>
              </w:rPr>
              <w:t>1.</w:t>
            </w:r>
            <w:r w:rsidR="00A2715C">
              <w:rPr>
                <w:rFonts w:asciiTheme="minorHAnsi" w:eastAsiaTheme="minorEastAsia" w:hAnsiTheme="minorHAnsi"/>
                <w:lang w:val="en-AU" w:eastAsia="en-AU"/>
              </w:rPr>
              <w:tab/>
            </w:r>
            <w:r w:rsidR="00A2715C" w:rsidRPr="000354E2">
              <w:rPr>
                <w:rStyle w:val="Hyperlink"/>
              </w:rPr>
              <w:t>What is the problem we are trying to solve?</w:t>
            </w:r>
            <w:r w:rsidR="00A2715C">
              <w:rPr>
                <w:webHidden/>
              </w:rPr>
              <w:tab/>
            </w:r>
            <w:r w:rsidR="00A2715C">
              <w:rPr>
                <w:webHidden/>
              </w:rPr>
              <w:fldChar w:fldCharType="begin"/>
            </w:r>
            <w:r w:rsidR="00A2715C">
              <w:rPr>
                <w:webHidden/>
              </w:rPr>
              <w:instrText xml:space="preserve"> PAGEREF _Toc110959452 \h </w:instrText>
            </w:r>
            <w:r w:rsidR="00A2715C">
              <w:rPr>
                <w:webHidden/>
              </w:rPr>
            </w:r>
            <w:r w:rsidR="00A2715C">
              <w:rPr>
                <w:webHidden/>
              </w:rPr>
              <w:fldChar w:fldCharType="separate"/>
            </w:r>
            <w:r w:rsidR="00A17C76">
              <w:rPr>
                <w:webHidden/>
              </w:rPr>
              <w:t>1</w:t>
            </w:r>
            <w:r w:rsidR="00A2715C">
              <w:rPr>
                <w:webHidden/>
              </w:rPr>
              <w:fldChar w:fldCharType="end"/>
            </w:r>
          </w:hyperlink>
        </w:p>
        <w:p w14:paraId="39084296" w14:textId="77190F9C" w:rsidR="00A2715C" w:rsidRDefault="000635F2">
          <w:pPr>
            <w:pStyle w:val="TOC2"/>
            <w:rPr>
              <w:rFonts w:asciiTheme="minorHAnsi" w:eastAsiaTheme="minorEastAsia" w:hAnsiTheme="minorHAnsi"/>
              <w:lang w:eastAsia="en-AU"/>
            </w:rPr>
          </w:pPr>
          <w:hyperlink w:anchor="_Toc110959453" w:history="1">
            <w:r w:rsidR="00A2715C" w:rsidRPr="000354E2">
              <w:rPr>
                <w:rStyle w:val="Hyperlink"/>
                <w14:scene3d>
                  <w14:camera w14:prst="orthographicFront"/>
                  <w14:lightRig w14:rig="threePt" w14:dir="t">
                    <w14:rot w14:lat="0" w14:lon="0" w14:rev="0"/>
                  </w14:lightRig>
                </w14:scene3d>
              </w:rPr>
              <w:t>1.1.</w:t>
            </w:r>
            <w:r w:rsidR="00A2715C">
              <w:rPr>
                <w:rFonts w:asciiTheme="minorHAnsi" w:eastAsiaTheme="minorEastAsia" w:hAnsiTheme="minorHAnsi"/>
                <w:lang w:eastAsia="en-AU"/>
              </w:rPr>
              <w:tab/>
            </w:r>
            <w:r w:rsidR="00A2715C" w:rsidRPr="000354E2">
              <w:rPr>
                <w:rStyle w:val="Hyperlink"/>
              </w:rPr>
              <w:t>Risks associated with inclined products</w:t>
            </w:r>
            <w:r w:rsidR="00A2715C">
              <w:rPr>
                <w:webHidden/>
              </w:rPr>
              <w:tab/>
            </w:r>
            <w:r w:rsidR="00A2715C">
              <w:rPr>
                <w:webHidden/>
              </w:rPr>
              <w:fldChar w:fldCharType="begin"/>
            </w:r>
            <w:r w:rsidR="00A2715C">
              <w:rPr>
                <w:webHidden/>
              </w:rPr>
              <w:instrText xml:space="preserve"> PAGEREF _Toc110959453 \h </w:instrText>
            </w:r>
            <w:r w:rsidR="00A2715C">
              <w:rPr>
                <w:webHidden/>
              </w:rPr>
            </w:r>
            <w:r w:rsidR="00A2715C">
              <w:rPr>
                <w:webHidden/>
              </w:rPr>
              <w:fldChar w:fldCharType="separate"/>
            </w:r>
            <w:r w:rsidR="00A17C76">
              <w:rPr>
                <w:webHidden/>
              </w:rPr>
              <w:t>1</w:t>
            </w:r>
            <w:r w:rsidR="00A2715C">
              <w:rPr>
                <w:webHidden/>
              </w:rPr>
              <w:fldChar w:fldCharType="end"/>
            </w:r>
          </w:hyperlink>
        </w:p>
        <w:p w14:paraId="0CEF45A5" w14:textId="0DD5D332" w:rsidR="00A2715C" w:rsidRDefault="000635F2">
          <w:pPr>
            <w:pStyle w:val="TOC2"/>
            <w:rPr>
              <w:rFonts w:asciiTheme="minorHAnsi" w:eastAsiaTheme="minorEastAsia" w:hAnsiTheme="minorHAnsi"/>
              <w:lang w:eastAsia="en-AU"/>
            </w:rPr>
          </w:pPr>
          <w:hyperlink w:anchor="_Toc110959454" w:history="1">
            <w:r w:rsidR="00A2715C" w:rsidRPr="000354E2">
              <w:rPr>
                <w:rStyle w:val="Hyperlink"/>
                <w14:scene3d>
                  <w14:camera w14:prst="orthographicFront"/>
                  <w14:lightRig w14:rig="threePt" w14:dir="t">
                    <w14:rot w14:lat="0" w14:lon="0" w14:rev="0"/>
                  </w14:lightRig>
                </w14:scene3d>
              </w:rPr>
              <w:t>1.2.</w:t>
            </w:r>
            <w:r w:rsidR="00A2715C">
              <w:rPr>
                <w:rFonts w:asciiTheme="minorHAnsi" w:eastAsiaTheme="minorEastAsia" w:hAnsiTheme="minorHAnsi"/>
                <w:lang w:eastAsia="en-AU"/>
              </w:rPr>
              <w:tab/>
            </w:r>
            <w:r w:rsidR="00A2715C" w:rsidRPr="000354E2">
              <w:rPr>
                <w:rStyle w:val="Hyperlink"/>
              </w:rPr>
              <w:t>Additional risks associated with Infant Sleep Products</w:t>
            </w:r>
            <w:r w:rsidR="00A2715C">
              <w:rPr>
                <w:webHidden/>
              </w:rPr>
              <w:tab/>
            </w:r>
            <w:r w:rsidR="00A2715C">
              <w:rPr>
                <w:webHidden/>
              </w:rPr>
              <w:fldChar w:fldCharType="begin"/>
            </w:r>
            <w:r w:rsidR="00A2715C">
              <w:rPr>
                <w:webHidden/>
              </w:rPr>
              <w:instrText xml:space="preserve"> PAGEREF _Toc110959454 \h </w:instrText>
            </w:r>
            <w:r w:rsidR="00A2715C">
              <w:rPr>
                <w:webHidden/>
              </w:rPr>
            </w:r>
            <w:r w:rsidR="00A2715C">
              <w:rPr>
                <w:webHidden/>
              </w:rPr>
              <w:fldChar w:fldCharType="separate"/>
            </w:r>
            <w:r w:rsidR="00A17C76">
              <w:rPr>
                <w:webHidden/>
              </w:rPr>
              <w:t>1</w:t>
            </w:r>
            <w:r w:rsidR="00A2715C">
              <w:rPr>
                <w:webHidden/>
              </w:rPr>
              <w:fldChar w:fldCharType="end"/>
            </w:r>
          </w:hyperlink>
        </w:p>
        <w:p w14:paraId="1986D3BE" w14:textId="19BDE27B" w:rsidR="00A2715C" w:rsidRDefault="000635F2">
          <w:pPr>
            <w:pStyle w:val="TOC2"/>
            <w:rPr>
              <w:rFonts w:asciiTheme="minorHAnsi" w:eastAsiaTheme="minorEastAsia" w:hAnsiTheme="minorHAnsi"/>
              <w:lang w:eastAsia="en-AU"/>
            </w:rPr>
          </w:pPr>
          <w:hyperlink w:anchor="_Toc110959457" w:history="1">
            <w:r w:rsidR="00A2715C" w:rsidRPr="000354E2">
              <w:rPr>
                <w:rStyle w:val="Hyperlink"/>
                <w14:scene3d>
                  <w14:camera w14:prst="orthographicFront"/>
                  <w14:lightRig w14:rig="threePt" w14:dir="t">
                    <w14:rot w14:lat="0" w14:lon="0" w14:rev="0"/>
                  </w14:lightRig>
                </w14:scene3d>
              </w:rPr>
              <w:t>1.3.</w:t>
            </w:r>
            <w:r w:rsidR="00A2715C">
              <w:rPr>
                <w:rFonts w:asciiTheme="minorHAnsi" w:eastAsiaTheme="minorEastAsia" w:hAnsiTheme="minorHAnsi"/>
                <w:lang w:eastAsia="en-AU"/>
              </w:rPr>
              <w:tab/>
            </w:r>
            <w:r w:rsidR="00A2715C" w:rsidRPr="000354E2">
              <w:rPr>
                <w:rStyle w:val="Hyperlink"/>
              </w:rPr>
              <w:t>Australian infant fatalities</w:t>
            </w:r>
            <w:r w:rsidR="00A2715C">
              <w:rPr>
                <w:webHidden/>
              </w:rPr>
              <w:tab/>
            </w:r>
            <w:r w:rsidR="00A2715C">
              <w:rPr>
                <w:webHidden/>
              </w:rPr>
              <w:fldChar w:fldCharType="begin"/>
            </w:r>
            <w:r w:rsidR="00A2715C">
              <w:rPr>
                <w:webHidden/>
              </w:rPr>
              <w:instrText xml:space="preserve"> PAGEREF _Toc110959457 \h </w:instrText>
            </w:r>
            <w:r w:rsidR="00A2715C">
              <w:rPr>
                <w:webHidden/>
              </w:rPr>
            </w:r>
            <w:r w:rsidR="00A2715C">
              <w:rPr>
                <w:webHidden/>
              </w:rPr>
              <w:fldChar w:fldCharType="separate"/>
            </w:r>
            <w:r w:rsidR="00A17C76">
              <w:rPr>
                <w:webHidden/>
              </w:rPr>
              <w:t>3</w:t>
            </w:r>
            <w:r w:rsidR="00A2715C">
              <w:rPr>
                <w:webHidden/>
              </w:rPr>
              <w:fldChar w:fldCharType="end"/>
            </w:r>
          </w:hyperlink>
        </w:p>
        <w:p w14:paraId="6475DE49" w14:textId="1CB170C7" w:rsidR="00A2715C" w:rsidRDefault="000635F2">
          <w:pPr>
            <w:pStyle w:val="TOC1"/>
            <w:rPr>
              <w:rFonts w:asciiTheme="minorHAnsi" w:eastAsiaTheme="minorEastAsia" w:hAnsiTheme="minorHAnsi"/>
              <w:lang w:val="en-AU" w:eastAsia="en-AU"/>
            </w:rPr>
          </w:pPr>
          <w:hyperlink w:anchor="_Toc110959458" w:history="1">
            <w:r w:rsidR="00A2715C" w:rsidRPr="000354E2">
              <w:rPr>
                <w:rStyle w:val="Hyperlink"/>
              </w:rPr>
              <w:t>2.</w:t>
            </w:r>
            <w:r w:rsidR="00A2715C">
              <w:rPr>
                <w:rFonts w:asciiTheme="minorHAnsi" w:eastAsiaTheme="minorEastAsia" w:hAnsiTheme="minorHAnsi"/>
                <w:lang w:val="en-AU" w:eastAsia="en-AU"/>
              </w:rPr>
              <w:tab/>
            </w:r>
            <w:r w:rsidR="00A2715C" w:rsidRPr="000354E2">
              <w:rPr>
                <w:rStyle w:val="Hyperlink"/>
              </w:rPr>
              <w:t>Previous Stakeholder Consultation</w:t>
            </w:r>
            <w:r w:rsidR="00A2715C">
              <w:rPr>
                <w:webHidden/>
              </w:rPr>
              <w:tab/>
            </w:r>
            <w:r w:rsidR="00A2715C">
              <w:rPr>
                <w:webHidden/>
              </w:rPr>
              <w:fldChar w:fldCharType="begin"/>
            </w:r>
            <w:r w:rsidR="00A2715C">
              <w:rPr>
                <w:webHidden/>
              </w:rPr>
              <w:instrText xml:space="preserve"> PAGEREF _Toc110959458 \h </w:instrText>
            </w:r>
            <w:r w:rsidR="00A2715C">
              <w:rPr>
                <w:webHidden/>
              </w:rPr>
            </w:r>
            <w:r w:rsidR="00A2715C">
              <w:rPr>
                <w:webHidden/>
              </w:rPr>
              <w:fldChar w:fldCharType="separate"/>
            </w:r>
            <w:r w:rsidR="00A17C76">
              <w:rPr>
                <w:webHidden/>
              </w:rPr>
              <w:t>5</w:t>
            </w:r>
            <w:r w:rsidR="00A2715C">
              <w:rPr>
                <w:webHidden/>
              </w:rPr>
              <w:fldChar w:fldCharType="end"/>
            </w:r>
          </w:hyperlink>
        </w:p>
        <w:p w14:paraId="18DD948D" w14:textId="63FC0E77" w:rsidR="00A2715C" w:rsidRDefault="000635F2">
          <w:pPr>
            <w:pStyle w:val="TOC2"/>
            <w:rPr>
              <w:rFonts w:asciiTheme="minorHAnsi" w:eastAsiaTheme="minorEastAsia" w:hAnsiTheme="minorHAnsi"/>
              <w:lang w:eastAsia="en-AU"/>
            </w:rPr>
          </w:pPr>
          <w:hyperlink w:anchor="_Toc110959459" w:history="1">
            <w:r w:rsidR="00A2715C" w:rsidRPr="000354E2">
              <w:rPr>
                <w:rStyle w:val="Hyperlink"/>
                <w14:scene3d>
                  <w14:camera w14:prst="orthographicFront"/>
                  <w14:lightRig w14:rig="threePt" w14:dir="t">
                    <w14:rot w14:lat="0" w14:lon="0" w14:rev="0"/>
                  </w14:lightRig>
                </w14:scene3d>
              </w:rPr>
              <w:t>2.1.</w:t>
            </w:r>
            <w:r w:rsidR="00A2715C">
              <w:rPr>
                <w:rFonts w:asciiTheme="minorHAnsi" w:eastAsiaTheme="minorEastAsia" w:hAnsiTheme="minorHAnsi"/>
                <w:lang w:eastAsia="en-AU"/>
              </w:rPr>
              <w:tab/>
            </w:r>
            <w:r w:rsidR="00A2715C" w:rsidRPr="000354E2">
              <w:rPr>
                <w:rStyle w:val="Hyperlink"/>
              </w:rPr>
              <w:t>Inclined Sleep Products and Inclined Non-Sleep Products</w:t>
            </w:r>
            <w:r w:rsidR="00A2715C">
              <w:rPr>
                <w:webHidden/>
              </w:rPr>
              <w:tab/>
            </w:r>
            <w:r w:rsidR="00A2715C">
              <w:rPr>
                <w:webHidden/>
              </w:rPr>
              <w:fldChar w:fldCharType="begin"/>
            </w:r>
            <w:r w:rsidR="00A2715C">
              <w:rPr>
                <w:webHidden/>
              </w:rPr>
              <w:instrText xml:space="preserve"> PAGEREF _Toc110959459 \h </w:instrText>
            </w:r>
            <w:r w:rsidR="00A2715C">
              <w:rPr>
                <w:webHidden/>
              </w:rPr>
            </w:r>
            <w:r w:rsidR="00A2715C">
              <w:rPr>
                <w:webHidden/>
              </w:rPr>
              <w:fldChar w:fldCharType="separate"/>
            </w:r>
            <w:r w:rsidR="00A17C76">
              <w:rPr>
                <w:webHidden/>
              </w:rPr>
              <w:t>5</w:t>
            </w:r>
            <w:r w:rsidR="00A2715C">
              <w:rPr>
                <w:webHidden/>
              </w:rPr>
              <w:fldChar w:fldCharType="end"/>
            </w:r>
          </w:hyperlink>
        </w:p>
        <w:p w14:paraId="0798ACA2" w14:textId="0E1861F2" w:rsidR="00A2715C" w:rsidRDefault="000635F2">
          <w:pPr>
            <w:pStyle w:val="TOC2"/>
            <w:rPr>
              <w:rFonts w:asciiTheme="minorHAnsi" w:eastAsiaTheme="minorEastAsia" w:hAnsiTheme="minorHAnsi"/>
              <w:lang w:eastAsia="en-AU"/>
            </w:rPr>
          </w:pPr>
          <w:hyperlink w:anchor="_Toc110959460" w:history="1">
            <w:r w:rsidR="00A2715C" w:rsidRPr="000354E2">
              <w:rPr>
                <w:rStyle w:val="Hyperlink"/>
                <w14:scene3d>
                  <w14:camera w14:prst="orthographicFront"/>
                  <w14:lightRig w14:rig="threePt" w14:dir="t">
                    <w14:rot w14:lat="0" w14:lon="0" w14:rev="0"/>
                  </w14:lightRig>
                </w14:scene3d>
              </w:rPr>
              <w:t>2.2.</w:t>
            </w:r>
            <w:r w:rsidR="00A2715C">
              <w:rPr>
                <w:rFonts w:asciiTheme="minorHAnsi" w:eastAsiaTheme="minorEastAsia" w:hAnsiTheme="minorHAnsi"/>
                <w:lang w:eastAsia="en-AU"/>
              </w:rPr>
              <w:tab/>
            </w:r>
            <w:r w:rsidR="00A2715C" w:rsidRPr="000354E2">
              <w:rPr>
                <w:rStyle w:val="Hyperlink"/>
              </w:rPr>
              <w:t>Household cots</w:t>
            </w:r>
            <w:r w:rsidR="00A2715C">
              <w:rPr>
                <w:webHidden/>
              </w:rPr>
              <w:tab/>
            </w:r>
            <w:r w:rsidR="00A2715C">
              <w:rPr>
                <w:webHidden/>
              </w:rPr>
              <w:fldChar w:fldCharType="begin"/>
            </w:r>
            <w:r w:rsidR="00A2715C">
              <w:rPr>
                <w:webHidden/>
              </w:rPr>
              <w:instrText xml:space="preserve"> PAGEREF _Toc110959460 \h </w:instrText>
            </w:r>
            <w:r w:rsidR="00A2715C">
              <w:rPr>
                <w:webHidden/>
              </w:rPr>
            </w:r>
            <w:r w:rsidR="00A2715C">
              <w:rPr>
                <w:webHidden/>
              </w:rPr>
              <w:fldChar w:fldCharType="separate"/>
            </w:r>
            <w:r w:rsidR="00A17C76">
              <w:rPr>
                <w:webHidden/>
              </w:rPr>
              <w:t>6</w:t>
            </w:r>
            <w:r w:rsidR="00A2715C">
              <w:rPr>
                <w:webHidden/>
              </w:rPr>
              <w:fldChar w:fldCharType="end"/>
            </w:r>
          </w:hyperlink>
        </w:p>
        <w:p w14:paraId="07237A4D" w14:textId="3036D32A" w:rsidR="00A2715C" w:rsidRDefault="000635F2">
          <w:pPr>
            <w:pStyle w:val="TOC2"/>
            <w:rPr>
              <w:rFonts w:asciiTheme="minorHAnsi" w:eastAsiaTheme="minorEastAsia" w:hAnsiTheme="minorHAnsi"/>
              <w:lang w:eastAsia="en-AU"/>
            </w:rPr>
          </w:pPr>
          <w:hyperlink w:anchor="_Toc110959461" w:history="1">
            <w:r w:rsidR="00A2715C" w:rsidRPr="000354E2">
              <w:rPr>
                <w:rStyle w:val="Hyperlink"/>
                <w14:scene3d>
                  <w14:camera w14:prst="orthographicFront"/>
                  <w14:lightRig w14:rig="threePt" w14:dir="t">
                    <w14:rot w14:lat="0" w14:lon="0" w14:rev="0"/>
                  </w14:lightRig>
                </w14:scene3d>
              </w:rPr>
              <w:t>2.3.</w:t>
            </w:r>
            <w:r w:rsidR="00A2715C">
              <w:rPr>
                <w:rFonts w:asciiTheme="minorHAnsi" w:eastAsiaTheme="minorEastAsia" w:hAnsiTheme="minorHAnsi"/>
                <w:lang w:eastAsia="en-AU"/>
              </w:rPr>
              <w:tab/>
            </w:r>
            <w:r w:rsidR="00A2715C" w:rsidRPr="000354E2">
              <w:rPr>
                <w:rStyle w:val="Hyperlink"/>
              </w:rPr>
              <w:t>Folding cots</w:t>
            </w:r>
            <w:r w:rsidR="00A2715C">
              <w:rPr>
                <w:webHidden/>
              </w:rPr>
              <w:tab/>
            </w:r>
            <w:r w:rsidR="00A2715C">
              <w:rPr>
                <w:webHidden/>
              </w:rPr>
              <w:fldChar w:fldCharType="begin"/>
            </w:r>
            <w:r w:rsidR="00A2715C">
              <w:rPr>
                <w:webHidden/>
              </w:rPr>
              <w:instrText xml:space="preserve"> PAGEREF _Toc110959461 \h </w:instrText>
            </w:r>
            <w:r w:rsidR="00A2715C">
              <w:rPr>
                <w:webHidden/>
              </w:rPr>
            </w:r>
            <w:r w:rsidR="00A2715C">
              <w:rPr>
                <w:webHidden/>
              </w:rPr>
              <w:fldChar w:fldCharType="separate"/>
            </w:r>
            <w:r w:rsidR="00A17C76">
              <w:rPr>
                <w:webHidden/>
              </w:rPr>
              <w:t>6</w:t>
            </w:r>
            <w:r w:rsidR="00A2715C">
              <w:rPr>
                <w:webHidden/>
              </w:rPr>
              <w:fldChar w:fldCharType="end"/>
            </w:r>
          </w:hyperlink>
        </w:p>
        <w:p w14:paraId="77179F55" w14:textId="0A138FBB" w:rsidR="00A2715C" w:rsidRDefault="000635F2">
          <w:pPr>
            <w:pStyle w:val="TOC1"/>
            <w:rPr>
              <w:rFonts w:asciiTheme="minorHAnsi" w:eastAsiaTheme="minorEastAsia" w:hAnsiTheme="minorHAnsi"/>
              <w:lang w:val="en-AU" w:eastAsia="en-AU"/>
            </w:rPr>
          </w:pPr>
          <w:hyperlink w:anchor="_Toc110959462" w:history="1">
            <w:r w:rsidR="00A2715C" w:rsidRPr="000354E2">
              <w:rPr>
                <w:rStyle w:val="Hyperlink"/>
              </w:rPr>
              <w:t>3.</w:t>
            </w:r>
            <w:r w:rsidR="00A2715C">
              <w:rPr>
                <w:rFonts w:asciiTheme="minorHAnsi" w:eastAsiaTheme="minorEastAsia" w:hAnsiTheme="minorHAnsi"/>
                <w:lang w:val="en-AU" w:eastAsia="en-AU"/>
              </w:rPr>
              <w:tab/>
            </w:r>
            <w:r w:rsidR="00A2715C" w:rsidRPr="000354E2">
              <w:rPr>
                <w:rStyle w:val="Hyperlink"/>
              </w:rPr>
              <w:t>The need for government intervention</w:t>
            </w:r>
            <w:r w:rsidR="00A2715C">
              <w:rPr>
                <w:webHidden/>
              </w:rPr>
              <w:tab/>
            </w:r>
            <w:r w:rsidR="00A2715C">
              <w:rPr>
                <w:webHidden/>
              </w:rPr>
              <w:fldChar w:fldCharType="begin"/>
            </w:r>
            <w:r w:rsidR="00A2715C">
              <w:rPr>
                <w:webHidden/>
              </w:rPr>
              <w:instrText xml:space="preserve"> PAGEREF _Toc110959462 \h </w:instrText>
            </w:r>
            <w:r w:rsidR="00A2715C">
              <w:rPr>
                <w:webHidden/>
              </w:rPr>
            </w:r>
            <w:r w:rsidR="00A2715C">
              <w:rPr>
                <w:webHidden/>
              </w:rPr>
              <w:fldChar w:fldCharType="separate"/>
            </w:r>
            <w:r w:rsidR="00A17C76">
              <w:rPr>
                <w:webHidden/>
              </w:rPr>
              <w:t>7</w:t>
            </w:r>
            <w:r w:rsidR="00A2715C">
              <w:rPr>
                <w:webHidden/>
              </w:rPr>
              <w:fldChar w:fldCharType="end"/>
            </w:r>
          </w:hyperlink>
        </w:p>
        <w:p w14:paraId="60486508" w14:textId="11EF8B6E" w:rsidR="00A2715C" w:rsidRDefault="000635F2">
          <w:pPr>
            <w:pStyle w:val="TOC2"/>
            <w:rPr>
              <w:rFonts w:asciiTheme="minorHAnsi" w:eastAsiaTheme="minorEastAsia" w:hAnsiTheme="minorHAnsi"/>
              <w:lang w:eastAsia="en-AU"/>
            </w:rPr>
          </w:pPr>
          <w:hyperlink w:anchor="_Toc110959463" w:history="1">
            <w:r w:rsidR="00A2715C" w:rsidRPr="000354E2">
              <w:rPr>
                <w:rStyle w:val="Hyperlink"/>
                <w14:scene3d>
                  <w14:camera w14:prst="orthographicFront"/>
                  <w14:lightRig w14:rig="threePt" w14:dir="t">
                    <w14:rot w14:lat="0" w14:lon="0" w14:rev="0"/>
                  </w14:lightRig>
                </w14:scene3d>
              </w:rPr>
              <w:t>3.1.</w:t>
            </w:r>
            <w:r w:rsidR="00A2715C">
              <w:rPr>
                <w:rFonts w:asciiTheme="minorHAnsi" w:eastAsiaTheme="minorEastAsia" w:hAnsiTheme="minorHAnsi"/>
                <w:lang w:eastAsia="en-AU"/>
              </w:rPr>
              <w:tab/>
            </w:r>
            <w:r w:rsidR="00A2715C" w:rsidRPr="000354E2">
              <w:rPr>
                <w:rStyle w:val="Hyperlink"/>
              </w:rPr>
              <w:t>Australian standards</w:t>
            </w:r>
            <w:r w:rsidR="00A2715C">
              <w:rPr>
                <w:webHidden/>
              </w:rPr>
              <w:tab/>
            </w:r>
            <w:r w:rsidR="00A2715C">
              <w:rPr>
                <w:webHidden/>
              </w:rPr>
              <w:fldChar w:fldCharType="begin"/>
            </w:r>
            <w:r w:rsidR="00A2715C">
              <w:rPr>
                <w:webHidden/>
              </w:rPr>
              <w:instrText xml:space="preserve"> PAGEREF _Toc110959463 \h </w:instrText>
            </w:r>
            <w:r w:rsidR="00A2715C">
              <w:rPr>
                <w:webHidden/>
              </w:rPr>
            </w:r>
            <w:r w:rsidR="00A2715C">
              <w:rPr>
                <w:webHidden/>
              </w:rPr>
              <w:fldChar w:fldCharType="separate"/>
            </w:r>
            <w:r w:rsidR="00A17C76">
              <w:rPr>
                <w:webHidden/>
              </w:rPr>
              <w:t>7</w:t>
            </w:r>
            <w:r w:rsidR="00A2715C">
              <w:rPr>
                <w:webHidden/>
              </w:rPr>
              <w:fldChar w:fldCharType="end"/>
            </w:r>
          </w:hyperlink>
        </w:p>
        <w:p w14:paraId="5458C623" w14:textId="6BEC414C" w:rsidR="00A2715C" w:rsidRDefault="000635F2">
          <w:pPr>
            <w:pStyle w:val="TOC2"/>
            <w:rPr>
              <w:rFonts w:asciiTheme="minorHAnsi" w:eastAsiaTheme="minorEastAsia" w:hAnsiTheme="minorHAnsi"/>
              <w:lang w:eastAsia="en-AU"/>
            </w:rPr>
          </w:pPr>
          <w:hyperlink w:anchor="_Toc110959464" w:history="1">
            <w:r w:rsidR="00A2715C" w:rsidRPr="000354E2">
              <w:rPr>
                <w:rStyle w:val="Hyperlink"/>
                <w14:scene3d>
                  <w14:camera w14:prst="orthographicFront"/>
                  <w14:lightRig w14:rig="threePt" w14:dir="t">
                    <w14:rot w14:lat="0" w14:lon="0" w14:rev="0"/>
                  </w14:lightRig>
                </w14:scene3d>
              </w:rPr>
              <w:t>3.2.</w:t>
            </w:r>
            <w:r w:rsidR="00A2715C">
              <w:rPr>
                <w:rFonts w:asciiTheme="minorHAnsi" w:eastAsiaTheme="minorEastAsia" w:hAnsiTheme="minorHAnsi"/>
                <w:lang w:eastAsia="en-AU"/>
              </w:rPr>
              <w:tab/>
            </w:r>
            <w:r w:rsidR="00A2715C" w:rsidRPr="000354E2">
              <w:rPr>
                <w:rStyle w:val="Hyperlink"/>
              </w:rPr>
              <w:t>International standards and regulations</w:t>
            </w:r>
            <w:r w:rsidR="00A2715C">
              <w:rPr>
                <w:webHidden/>
              </w:rPr>
              <w:tab/>
            </w:r>
            <w:r w:rsidR="00A2715C">
              <w:rPr>
                <w:webHidden/>
              </w:rPr>
              <w:fldChar w:fldCharType="begin"/>
            </w:r>
            <w:r w:rsidR="00A2715C">
              <w:rPr>
                <w:webHidden/>
              </w:rPr>
              <w:instrText xml:space="preserve"> PAGEREF _Toc110959464 \h </w:instrText>
            </w:r>
            <w:r w:rsidR="00A2715C">
              <w:rPr>
                <w:webHidden/>
              </w:rPr>
            </w:r>
            <w:r w:rsidR="00A2715C">
              <w:rPr>
                <w:webHidden/>
              </w:rPr>
              <w:fldChar w:fldCharType="separate"/>
            </w:r>
            <w:r w:rsidR="00A17C76">
              <w:rPr>
                <w:webHidden/>
              </w:rPr>
              <w:t>7</w:t>
            </w:r>
            <w:r w:rsidR="00A2715C">
              <w:rPr>
                <w:webHidden/>
              </w:rPr>
              <w:fldChar w:fldCharType="end"/>
            </w:r>
          </w:hyperlink>
        </w:p>
        <w:p w14:paraId="6CB60B92" w14:textId="398F1960" w:rsidR="00A2715C" w:rsidRDefault="000635F2">
          <w:pPr>
            <w:pStyle w:val="TOC2"/>
            <w:rPr>
              <w:rFonts w:asciiTheme="minorHAnsi" w:eastAsiaTheme="minorEastAsia" w:hAnsiTheme="minorHAnsi"/>
              <w:lang w:eastAsia="en-AU"/>
            </w:rPr>
          </w:pPr>
          <w:hyperlink w:anchor="_Toc110959465" w:history="1">
            <w:r w:rsidR="00A2715C" w:rsidRPr="000354E2">
              <w:rPr>
                <w:rStyle w:val="Hyperlink"/>
                <w14:scene3d>
                  <w14:camera w14:prst="orthographicFront"/>
                  <w14:lightRig w14:rig="threePt" w14:dir="t">
                    <w14:rot w14:lat="0" w14:lon="0" w14:rev="0"/>
                  </w14:lightRig>
                </w14:scene3d>
              </w:rPr>
              <w:t>3.3.</w:t>
            </w:r>
            <w:r w:rsidR="00A2715C">
              <w:rPr>
                <w:rFonts w:asciiTheme="minorHAnsi" w:eastAsiaTheme="minorEastAsia" w:hAnsiTheme="minorHAnsi"/>
                <w:lang w:eastAsia="en-AU"/>
              </w:rPr>
              <w:tab/>
            </w:r>
            <w:r w:rsidR="00A2715C" w:rsidRPr="000354E2">
              <w:rPr>
                <w:rStyle w:val="Hyperlink"/>
              </w:rPr>
              <w:t>What government action can do to address the problem</w:t>
            </w:r>
            <w:r w:rsidR="00A2715C">
              <w:rPr>
                <w:webHidden/>
              </w:rPr>
              <w:tab/>
            </w:r>
            <w:r w:rsidR="00A2715C">
              <w:rPr>
                <w:webHidden/>
              </w:rPr>
              <w:fldChar w:fldCharType="begin"/>
            </w:r>
            <w:r w:rsidR="00A2715C">
              <w:rPr>
                <w:webHidden/>
              </w:rPr>
              <w:instrText xml:space="preserve"> PAGEREF _Toc110959465 \h </w:instrText>
            </w:r>
            <w:r w:rsidR="00A2715C">
              <w:rPr>
                <w:webHidden/>
              </w:rPr>
            </w:r>
            <w:r w:rsidR="00A2715C">
              <w:rPr>
                <w:webHidden/>
              </w:rPr>
              <w:fldChar w:fldCharType="separate"/>
            </w:r>
            <w:r w:rsidR="00A17C76">
              <w:rPr>
                <w:webHidden/>
              </w:rPr>
              <w:t>8</w:t>
            </w:r>
            <w:r w:rsidR="00A2715C">
              <w:rPr>
                <w:webHidden/>
              </w:rPr>
              <w:fldChar w:fldCharType="end"/>
            </w:r>
          </w:hyperlink>
        </w:p>
        <w:p w14:paraId="1EE6DE98" w14:textId="7CE449BA" w:rsidR="00A2715C" w:rsidRDefault="000635F2">
          <w:pPr>
            <w:pStyle w:val="TOC2"/>
            <w:rPr>
              <w:rFonts w:asciiTheme="minorHAnsi" w:eastAsiaTheme="minorEastAsia" w:hAnsiTheme="minorHAnsi"/>
              <w:lang w:eastAsia="en-AU"/>
            </w:rPr>
          </w:pPr>
          <w:hyperlink w:anchor="_Toc110959466" w:history="1">
            <w:r w:rsidR="00A2715C" w:rsidRPr="000354E2">
              <w:rPr>
                <w:rStyle w:val="Hyperlink"/>
                <w14:scene3d>
                  <w14:camera w14:prst="orthographicFront"/>
                  <w14:lightRig w14:rig="threePt" w14:dir="t">
                    <w14:rot w14:lat="0" w14:lon="0" w14:rev="0"/>
                  </w14:lightRig>
                </w14:scene3d>
              </w:rPr>
              <w:t>3.4.</w:t>
            </w:r>
            <w:r w:rsidR="00A2715C">
              <w:rPr>
                <w:rFonts w:asciiTheme="minorHAnsi" w:eastAsiaTheme="minorEastAsia" w:hAnsiTheme="minorHAnsi"/>
                <w:lang w:eastAsia="en-AU"/>
              </w:rPr>
              <w:tab/>
            </w:r>
            <w:r w:rsidR="00A2715C" w:rsidRPr="000354E2">
              <w:rPr>
                <w:rStyle w:val="Hyperlink"/>
              </w:rPr>
              <w:t>Alternatives to government action</w:t>
            </w:r>
            <w:r w:rsidR="00A2715C">
              <w:rPr>
                <w:webHidden/>
              </w:rPr>
              <w:tab/>
            </w:r>
            <w:r w:rsidR="00A2715C">
              <w:rPr>
                <w:webHidden/>
              </w:rPr>
              <w:fldChar w:fldCharType="begin"/>
            </w:r>
            <w:r w:rsidR="00A2715C">
              <w:rPr>
                <w:webHidden/>
              </w:rPr>
              <w:instrText xml:space="preserve"> PAGEREF _Toc110959466 \h </w:instrText>
            </w:r>
            <w:r w:rsidR="00A2715C">
              <w:rPr>
                <w:webHidden/>
              </w:rPr>
            </w:r>
            <w:r w:rsidR="00A2715C">
              <w:rPr>
                <w:webHidden/>
              </w:rPr>
              <w:fldChar w:fldCharType="separate"/>
            </w:r>
            <w:r w:rsidR="00A17C76">
              <w:rPr>
                <w:webHidden/>
              </w:rPr>
              <w:t>8</w:t>
            </w:r>
            <w:r w:rsidR="00A2715C">
              <w:rPr>
                <w:webHidden/>
              </w:rPr>
              <w:fldChar w:fldCharType="end"/>
            </w:r>
          </w:hyperlink>
        </w:p>
        <w:p w14:paraId="19F63F1E" w14:textId="19233E68" w:rsidR="00A2715C" w:rsidRDefault="000635F2" w:rsidP="00E330EC">
          <w:pPr>
            <w:pStyle w:val="TOC1"/>
            <w:ind w:left="340" w:hanging="340"/>
            <w:rPr>
              <w:rFonts w:asciiTheme="minorHAnsi" w:eastAsiaTheme="minorEastAsia" w:hAnsiTheme="minorHAnsi"/>
              <w:lang w:val="en-AU" w:eastAsia="en-AU"/>
            </w:rPr>
          </w:pPr>
          <w:hyperlink w:anchor="_Toc110959467" w:history="1">
            <w:r w:rsidR="00A2715C" w:rsidRPr="000354E2">
              <w:rPr>
                <w:rStyle w:val="Hyperlink"/>
              </w:rPr>
              <w:t>4.</w:t>
            </w:r>
            <w:r w:rsidR="00A2715C">
              <w:rPr>
                <w:rFonts w:asciiTheme="minorHAnsi" w:eastAsiaTheme="minorEastAsia" w:hAnsiTheme="minorHAnsi"/>
                <w:lang w:val="en-AU" w:eastAsia="en-AU"/>
              </w:rPr>
              <w:tab/>
            </w:r>
            <w:r w:rsidR="00A2715C" w:rsidRPr="000354E2">
              <w:rPr>
                <w:rStyle w:val="Hyperlink"/>
              </w:rPr>
              <w:t>Policy options – Infant Sleep Products, Inclined Sleep Products and Inclined Non-Sleep Products</w:t>
            </w:r>
            <w:r w:rsidR="00A2715C">
              <w:rPr>
                <w:webHidden/>
              </w:rPr>
              <w:tab/>
            </w:r>
            <w:r w:rsidR="00A2715C">
              <w:rPr>
                <w:webHidden/>
              </w:rPr>
              <w:fldChar w:fldCharType="begin"/>
            </w:r>
            <w:r w:rsidR="00A2715C">
              <w:rPr>
                <w:webHidden/>
              </w:rPr>
              <w:instrText xml:space="preserve"> PAGEREF _Toc110959467 \h </w:instrText>
            </w:r>
            <w:r w:rsidR="00A2715C">
              <w:rPr>
                <w:webHidden/>
              </w:rPr>
            </w:r>
            <w:r w:rsidR="00A2715C">
              <w:rPr>
                <w:webHidden/>
              </w:rPr>
              <w:fldChar w:fldCharType="separate"/>
            </w:r>
            <w:r w:rsidR="00A17C76">
              <w:rPr>
                <w:webHidden/>
              </w:rPr>
              <w:t>9</w:t>
            </w:r>
            <w:r w:rsidR="00A2715C">
              <w:rPr>
                <w:webHidden/>
              </w:rPr>
              <w:fldChar w:fldCharType="end"/>
            </w:r>
          </w:hyperlink>
        </w:p>
        <w:p w14:paraId="54968B79" w14:textId="2E39DF65" w:rsidR="00A2715C" w:rsidRDefault="000635F2">
          <w:pPr>
            <w:pStyle w:val="TOC1"/>
            <w:rPr>
              <w:rFonts w:asciiTheme="minorHAnsi" w:eastAsiaTheme="minorEastAsia" w:hAnsiTheme="minorHAnsi"/>
              <w:lang w:val="en-AU" w:eastAsia="en-AU"/>
            </w:rPr>
          </w:pPr>
          <w:hyperlink w:anchor="_Toc110959488" w:history="1">
            <w:r w:rsidR="00A2715C" w:rsidRPr="000354E2">
              <w:rPr>
                <w:rStyle w:val="Hyperlink"/>
              </w:rPr>
              <w:t>5.</w:t>
            </w:r>
            <w:r w:rsidR="00A2715C">
              <w:rPr>
                <w:rFonts w:asciiTheme="minorHAnsi" w:eastAsiaTheme="minorEastAsia" w:hAnsiTheme="minorHAnsi"/>
                <w:lang w:val="en-AU" w:eastAsia="en-AU"/>
              </w:rPr>
              <w:tab/>
            </w:r>
            <w:r w:rsidR="00A2715C" w:rsidRPr="000354E2">
              <w:rPr>
                <w:rStyle w:val="Hyperlink"/>
              </w:rPr>
              <w:t>Policy options – Household Cots</w:t>
            </w:r>
            <w:r w:rsidR="00A2715C">
              <w:rPr>
                <w:webHidden/>
              </w:rPr>
              <w:tab/>
            </w:r>
            <w:r w:rsidR="00A2715C">
              <w:rPr>
                <w:webHidden/>
              </w:rPr>
              <w:fldChar w:fldCharType="begin"/>
            </w:r>
            <w:r w:rsidR="00A2715C">
              <w:rPr>
                <w:webHidden/>
              </w:rPr>
              <w:instrText xml:space="preserve"> PAGEREF _Toc110959488 \h </w:instrText>
            </w:r>
            <w:r w:rsidR="00A2715C">
              <w:rPr>
                <w:webHidden/>
              </w:rPr>
            </w:r>
            <w:r w:rsidR="00A2715C">
              <w:rPr>
                <w:webHidden/>
              </w:rPr>
              <w:fldChar w:fldCharType="separate"/>
            </w:r>
            <w:r w:rsidR="00A17C76">
              <w:rPr>
                <w:webHidden/>
              </w:rPr>
              <w:t>20</w:t>
            </w:r>
            <w:r w:rsidR="00A2715C">
              <w:rPr>
                <w:webHidden/>
              </w:rPr>
              <w:fldChar w:fldCharType="end"/>
            </w:r>
          </w:hyperlink>
        </w:p>
        <w:p w14:paraId="0447A3DA" w14:textId="002EA872" w:rsidR="00A2715C" w:rsidRDefault="000635F2">
          <w:pPr>
            <w:pStyle w:val="TOC1"/>
            <w:rPr>
              <w:rFonts w:asciiTheme="minorHAnsi" w:eastAsiaTheme="minorEastAsia" w:hAnsiTheme="minorHAnsi"/>
              <w:lang w:val="en-AU" w:eastAsia="en-AU"/>
            </w:rPr>
          </w:pPr>
          <w:hyperlink w:anchor="_Toc110959497" w:history="1">
            <w:r w:rsidR="00A2715C" w:rsidRPr="000354E2">
              <w:rPr>
                <w:rStyle w:val="Hyperlink"/>
              </w:rPr>
              <w:t>6.</w:t>
            </w:r>
            <w:r w:rsidR="00A2715C">
              <w:rPr>
                <w:rFonts w:asciiTheme="minorHAnsi" w:eastAsiaTheme="minorEastAsia" w:hAnsiTheme="minorHAnsi"/>
                <w:lang w:val="en-AU" w:eastAsia="en-AU"/>
              </w:rPr>
              <w:tab/>
            </w:r>
            <w:r w:rsidR="00A2715C" w:rsidRPr="000354E2">
              <w:rPr>
                <w:rStyle w:val="Hyperlink"/>
              </w:rPr>
              <w:t>Policy options – Folding Cots</w:t>
            </w:r>
            <w:r w:rsidR="00A2715C">
              <w:rPr>
                <w:webHidden/>
              </w:rPr>
              <w:tab/>
            </w:r>
            <w:r w:rsidR="00A2715C">
              <w:rPr>
                <w:webHidden/>
              </w:rPr>
              <w:fldChar w:fldCharType="begin"/>
            </w:r>
            <w:r w:rsidR="00A2715C">
              <w:rPr>
                <w:webHidden/>
              </w:rPr>
              <w:instrText xml:space="preserve"> PAGEREF _Toc110959497 \h </w:instrText>
            </w:r>
            <w:r w:rsidR="00A2715C">
              <w:rPr>
                <w:webHidden/>
              </w:rPr>
            </w:r>
            <w:r w:rsidR="00A2715C">
              <w:rPr>
                <w:webHidden/>
              </w:rPr>
              <w:fldChar w:fldCharType="separate"/>
            </w:r>
            <w:r w:rsidR="00A17C76">
              <w:rPr>
                <w:webHidden/>
              </w:rPr>
              <w:t>23</w:t>
            </w:r>
            <w:r w:rsidR="00A2715C">
              <w:rPr>
                <w:webHidden/>
              </w:rPr>
              <w:fldChar w:fldCharType="end"/>
            </w:r>
          </w:hyperlink>
        </w:p>
        <w:p w14:paraId="5468834B" w14:textId="50BEFC77" w:rsidR="00A2715C" w:rsidRDefault="000635F2">
          <w:pPr>
            <w:pStyle w:val="TOC1"/>
            <w:rPr>
              <w:rFonts w:asciiTheme="minorHAnsi" w:eastAsiaTheme="minorEastAsia" w:hAnsiTheme="minorHAnsi"/>
              <w:lang w:val="en-AU" w:eastAsia="en-AU"/>
            </w:rPr>
          </w:pPr>
          <w:hyperlink w:anchor="_Toc110959506" w:history="1">
            <w:r w:rsidR="00A2715C" w:rsidRPr="000354E2">
              <w:rPr>
                <w:rStyle w:val="Hyperlink"/>
              </w:rPr>
              <w:t>7.</w:t>
            </w:r>
            <w:r w:rsidR="00A2715C">
              <w:rPr>
                <w:rFonts w:asciiTheme="minorHAnsi" w:eastAsiaTheme="minorEastAsia" w:hAnsiTheme="minorHAnsi"/>
                <w:lang w:val="en-AU" w:eastAsia="en-AU"/>
              </w:rPr>
              <w:tab/>
            </w:r>
            <w:r w:rsidR="00A2715C" w:rsidRPr="000354E2">
              <w:rPr>
                <w:rStyle w:val="Hyperlink"/>
              </w:rPr>
              <w:t>Recommended approach</w:t>
            </w:r>
            <w:r w:rsidR="00A2715C">
              <w:rPr>
                <w:webHidden/>
              </w:rPr>
              <w:tab/>
            </w:r>
            <w:r w:rsidR="00A2715C">
              <w:rPr>
                <w:webHidden/>
              </w:rPr>
              <w:fldChar w:fldCharType="begin"/>
            </w:r>
            <w:r w:rsidR="00A2715C">
              <w:rPr>
                <w:webHidden/>
              </w:rPr>
              <w:instrText xml:space="preserve"> PAGEREF _Toc110959506 \h </w:instrText>
            </w:r>
            <w:r w:rsidR="00A2715C">
              <w:rPr>
                <w:webHidden/>
              </w:rPr>
            </w:r>
            <w:r w:rsidR="00A2715C">
              <w:rPr>
                <w:webHidden/>
              </w:rPr>
              <w:fldChar w:fldCharType="separate"/>
            </w:r>
            <w:r w:rsidR="00A17C76">
              <w:rPr>
                <w:webHidden/>
              </w:rPr>
              <w:t>27</w:t>
            </w:r>
            <w:r w:rsidR="00A2715C">
              <w:rPr>
                <w:webHidden/>
              </w:rPr>
              <w:fldChar w:fldCharType="end"/>
            </w:r>
          </w:hyperlink>
        </w:p>
        <w:p w14:paraId="4881A984" w14:textId="6D6D786A" w:rsidR="00A2715C" w:rsidRDefault="000635F2">
          <w:pPr>
            <w:pStyle w:val="TOC2"/>
            <w:rPr>
              <w:rFonts w:asciiTheme="minorHAnsi" w:eastAsiaTheme="minorEastAsia" w:hAnsiTheme="minorHAnsi"/>
              <w:lang w:eastAsia="en-AU"/>
            </w:rPr>
          </w:pPr>
          <w:hyperlink w:anchor="_Toc110959507" w:history="1">
            <w:r w:rsidR="00A2715C" w:rsidRPr="000354E2">
              <w:rPr>
                <w:rStyle w:val="Hyperlink"/>
                <w14:scene3d>
                  <w14:camera w14:prst="orthographicFront"/>
                  <w14:lightRig w14:rig="threePt" w14:dir="t">
                    <w14:rot w14:lat="0" w14:lon="0" w14:rev="0"/>
                  </w14:lightRig>
                </w14:scene3d>
              </w:rPr>
              <w:t>7.1.</w:t>
            </w:r>
            <w:r w:rsidR="00A2715C">
              <w:rPr>
                <w:rFonts w:asciiTheme="minorHAnsi" w:eastAsiaTheme="minorEastAsia" w:hAnsiTheme="minorHAnsi"/>
                <w:lang w:eastAsia="en-AU"/>
              </w:rPr>
              <w:tab/>
            </w:r>
            <w:r w:rsidR="00A2715C" w:rsidRPr="000354E2">
              <w:rPr>
                <w:rStyle w:val="Hyperlink"/>
              </w:rPr>
              <w:t>Preliminary position</w:t>
            </w:r>
            <w:r w:rsidR="00A2715C">
              <w:rPr>
                <w:webHidden/>
              </w:rPr>
              <w:tab/>
            </w:r>
            <w:r w:rsidR="00A2715C">
              <w:rPr>
                <w:webHidden/>
              </w:rPr>
              <w:fldChar w:fldCharType="begin"/>
            </w:r>
            <w:r w:rsidR="00A2715C">
              <w:rPr>
                <w:webHidden/>
              </w:rPr>
              <w:instrText xml:space="preserve"> PAGEREF _Toc110959507 \h </w:instrText>
            </w:r>
            <w:r w:rsidR="00A2715C">
              <w:rPr>
                <w:webHidden/>
              </w:rPr>
            </w:r>
            <w:r w:rsidR="00A2715C">
              <w:rPr>
                <w:webHidden/>
              </w:rPr>
              <w:fldChar w:fldCharType="separate"/>
            </w:r>
            <w:r w:rsidR="00A17C76">
              <w:rPr>
                <w:webHidden/>
              </w:rPr>
              <w:t>27</w:t>
            </w:r>
            <w:r w:rsidR="00A2715C">
              <w:rPr>
                <w:webHidden/>
              </w:rPr>
              <w:fldChar w:fldCharType="end"/>
            </w:r>
          </w:hyperlink>
        </w:p>
        <w:p w14:paraId="3150FB8E" w14:textId="00FFDDD7" w:rsidR="00A2715C" w:rsidRDefault="000635F2">
          <w:pPr>
            <w:pStyle w:val="TOC2"/>
            <w:rPr>
              <w:rFonts w:asciiTheme="minorHAnsi" w:eastAsiaTheme="minorEastAsia" w:hAnsiTheme="minorHAnsi"/>
              <w:lang w:eastAsia="en-AU"/>
            </w:rPr>
          </w:pPr>
          <w:hyperlink w:anchor="_Toc110959508" w:history="1">
            <w:r w:rsidR="00A2715C" w:rsidRPr="000354E2">
              <w:rPr>
                <w:rStyle w:val="Hyperlink"/>
                <w14:scene3d>
                  <w14:camera w14:prst="orthographicFront"/>
                  <w14:lightRig w14:rig="threePt" w14:dir="t">
                    <w14:rot w14:lat="0" w14:lon="0" w14:rev="0"/>
                  </w14:lightRig>
                </w14:scene3d>
              </w:rPr>
              <w:t>7.2.</w:t>
            </w:r>
            <w:r w:rsidR="00A2715C">
              <w:rPr>
                <w:rFonts w:asciiTheme="minorHAnsi" w:eastAsiaTheme="minorEastAsia" w:hAnsiTheme="minorHAnsi"/>
                <w:lang w:eastAsia="en-AU"/>
              </w:rPr>
              <w:tab/>
            </w:r>
            <w:r w:rsidR="00A2715C" w:rsidRPr="000354E2">
              <w:rPr>
                <w:rStyle w:val="Hyperlink"/>
              </w:rPr>
              <w:t>Transition period</w:t>
            </w:r>
            <w:r w:rsidR="00A2715C">
              <w:rPr>
                <w:webHidden/>
              </w:rPr>
              <w:tab/>
            </w:r>
            <w:r w:rsidR="00A2715C">
              <w:rPr>
                <w:webHidden/>
              </w:rPr>
              <w:fldChar w:fldCharType="begin"/>
            </w:r>
            <w:r w:rsidR="00A2715C">
              <w:rPr>
                <w:webHidden/>
              </w:rPr>
              <w:instrText xml:space="preserve"> PAGEREF _Toc110959508 \h </w:instrText>
            </w:r>
            <w:r w:rsidR="00A2715C">
              <w:rPr>
                <w:webHidden/>
              </w:rPr>
            </w:r>
            <w:r w:rsidR="00A2715C">
              <w:rPr>
                <w:webHidden/>
              </w:rPr>
              <w:fldChar w:fldCharType="separate"/>
            </w:r>
            <w:r w:rsidR="00A17C76">
              <w:rPr>
                <w:webHidden/>
              </w:rPr>
              <w:t>27</w:t>
            </w:r>
            <w:r w:rsidR="00A2715C">
              <w:rPr>
                <w:webHidden/>
              </w:rPr>
              <w:fldChar w:fldCharType="end"/>
            </w:r>
          </w:hyperlink>
        </w:p>
        <w:p w14:paraId="0ACF3ED2" w14:textId="355041BA" w:rsidR="00A2715C" w:rsidRDefault="000635F2">
          <w:pPr>
            <w:pStyle w:val="TOC2"/>
            <w:rPr>
              <w:rFonts w:asciiTheme="minorHAnsi" w:eastAsiaTheme="minorEastAsia" w:hAnsiTheme="minorHAnsi"/>
              <w:lang w:eastAsia="en-AU"/>
            </w:rPr>
          </w:pPr>
          <w:hyperlink w:anchor="_Toc110959509" w:history="1">
            <w:r w:rsidR="00A2715C" w:rsidRPr="000354E2">
              <w:rPr>
                <w:rStyle w:val="Hyperlink"/>
                <w14:scene3d>
                  <w14:camera w14:prst="orthographicFront"/>
                  <w14:lightRig w14:rig="threePt" w14:dir="t">
                    <w14:rot w14:lat="0" w14:lon="0" w14:rev="0"/>
                  </w14:lightRig>
                </w14:scene3d>
              </w:rPr>
              <w:t>7.3.</w:t>
            </w:r>
            <w:r w:rsidR="00A2715C">
              <w:rPr>
                <w:rFonts w:asciiTheme="minorHAnsi" w:eastAsiaTheme="minorEastAsia" w:hAnsiTheme="minorHAnsi"/>
                <w:lang w:eastAsia="en-AU"/>
              </w:rPr>
              <w:tab/>
            </w:r>
            <w:r w:rsidR="00A2715C" w:rsidRPr="000354E2">
              <w:rPr>
                <w:rStyle w:val="Hyperlink"/>
              </w:rPr>
              <w:t>Review of mandatory standards</w:t>
            </w:r>
            <w:r w:rsidR="00A2715C">
              <w:rPr>
                <w:webHidden/>
              </w:rPr>
              <w:tab/>
            </w:r>
            <w:r w:rsidR="00A2715C">
              <w:rPr>
                <w:webHidden/>
              </w:rPr>
              <w:fldChar w:fldCharType="begin"/>
            </w:r>
            <w:r w:rsidR="00A2715C">
              <w:rPr>
                <w:webHidden/>
              </w:rPr>
              <w:instrText xml:space="preserve"> PAGEREF _Toc110959509 \h </w:instrText>
            </w:r>
            <w:r w:rsidR="00A2715C">
              <w:rPr>
                <w:webHidden/>
              </w:rPr>
            </w:r>
            <w:r w:rsidR="00A2715C">
              <w:rPr>
                <w:webHidden/>
              </w:rPr>
              <w:fldChar w:fldCharType="separate"/>
            </w:r>
            <w:r w:rsidR="00A17C76">
              <w:rPr>
                <w:webHidden/>
              </w:rPr>
              <w:t>28</w:t>
            </w:r>
            <w:r w:rsidR="00A2715C">
              <w:rPr>
                <w:webHidden/>
              </w:rPr>
              <w:fldChar w:fldCharType="end"/>
            </w:r>
          </w:hyperlink>
        </w:p>
        <w:p w14:paraId="4BA9B5A9" w14:textId="204F40F5" w:rsidR="00A2715C" w:rsidRDefault="000635F2">
          <w:pPr>
            <w:pStyle w:val="TOC1"/>
            <w:rPr>
              <w:rFonts w:asciiTheme="minorHAnsi" w:eastAsiaTheme="minorEastAsia" w:hAnsiTheme="minorHAnsi"/>
              <w:lang w:val="en-AU" w:eastAsia="en-AU"/>
            </w:rPr>
          </w:pPr>
          <w:hyperlink w:anchor="_Toc110959510" w:history="1">
            <w:r w:rsidR="00A2715C" w:rsidRPr="000354E2">
              <w:rPr>
                <w:rStyle w:val="Hyperlink"/>
              </w:rPr>
              <w:t>8.</w:t>
            </w:r>
            <w:r w:rsidR="00A2715C">
              <w:rPr>
                <w:rFonts w:asciiTheme="minorHAnsi" w:eastAsiaTheme="minorEastAsia" w:hAnsiTheme="minorHAnsi"/>
                <w:lang w:val="en-AU" w:eastAsia="en-AU"/>
              </w:rPr>
              <w:tab/>
            </w:r>
            <w:r w:rsidR="00A2715C" w:rsidRPr="000354E2">
              <w:rPr>
                <w:rStyle w:val="Hyperlink"/>
              </w:rPr>
              <w:t>Next steps</w:t>
            </w:r>
            <w:r w:rsidR="00A2715C">
              <w:rPr>
                <w:webHidden/>
              </w:rPr>
              <w:tab/>
            </w:r>
            <w:r w:rsidR="00A2715C">
              <w:rPr>
                <w:webHidden/>
              </w:rPr>
              <w:fldChar w:fldCharType="begin"/>
            </w:r>
            <w:r w:rsidR="00A2715C">
              <w:rPr>
                <w:webHidden/>
              </w:rPr>
              <w:instrText xml:space="preserve"> PAGEREF _Toc110959510 \h </w:instrText>
            </w:r>
            <w:r w:rsidR="00A2715C">
              <w:rPr>
                <w:webHidden/>
              </w:rPr>
            </w:r>
            <w:r w:rsidR="00A2715C">
              <w:rPr>
                <w:webHidden/>
              </w:rPr>
              <w:fldChar w:fldCharType="separate"/>
            </w:r>
            <w:r w:rsidR="00A17C76">
              <w:rPr>
                <w:webHidden/>
              </w:rPr>
              <w:t>28</w:t>
            </w:r>
            <w:r w:rsidR="00A2715C">
              <w:rPr>
                <w:webHidden/>
              </w:rPr>
              <w:fldChar w:fldCharType="end"/>
            </w:r>
          </w:hyperlink>
        </w:p>
        <w:p w14:paraId="48AAF726" w14:textId="721444AE" w:rsidR="00A2715C" w:rsidRDefault="000635F2">
          <w:pPr>
            <w:pStyle w:val="TOC1"/>
            <w:rPr>
              <w:rFonts w:asciiTheme="minorHAnsi" w:eastAsiaTheme="minorEastAsia" w:hAnsiTheme="minorHAnsi"/>
              <w:lang w:val="en-AU" w:eastAsia="en-AU"/>
            </w:rPr>
          </w:pPr>
          <w:hyperlink w:anchor="_Toc110959511" w:history="1">
            <w:r w:rsidR="00A2715C" w:rsidRPr="000354E2">
              <w:rPr>
                <w:rStyle w:val="Hyperlink"/>
              </w:rPr>
              <w:t>Appendices</w:t>
            </w:r>
            <w:r w:rsidR="00A2715C">
              <w:rPr>
                <w:webHidden/>
              </w:rPr>
              <w:tab/>
            </w:r>
            <w:r w:rsidR="00A2715C">
              <w:rPr>
                <w:webHidden/>
              </w:rPr>
              <w:fldChar w:fldCharType="begin"/>
            </w:r>
            <w:r w:rsidR="00A2715C">
              <w:rPr>
                <w:webHidden/>
              </w:rPr>
              <w:instrText xml:space="preserve"> PAGEREF _Toc110959511 \h </w:instrText>
            </w:r>
            <w:r w:rsidR="00A2715C">
              <w:rPr>
                <w:webHidden/>
              </w:rPr>
            </w:r>
            <w:r w:rsidR="00A2715C">
              <w:rPr>
                <w:webHidden/>
              </w:rPr>
              <w:fldChar w:fldCharType="separate"/>
            </w:r>
            <w:r w:rsidR="00A17C76">
              <w:rPr>
                <w:webHidden/>
              </w:rPr>
              <w:t>29</w:t>
            </w:r>
            <w:r w:rsidR="00A2715C">
              <w:rPr>
                <w:webHidden/>
              </w:rPr>
              <w:fldChar w:fldCharType="end"/>
            </w:r>
          </w:hyperlink>
        </w:p>
        <w:p w14:paraId="6AFE846A" w14:textId="53FF0E98" w:rsidR="00F346E3" w:rsidRDefault="008C086E" w:rsidP="00DD69BF">
          <w:pPr>
            <w:rPr>
              <w:b/>
            </w:rPr>
          </w:pPr>
          <w:r>
            <w:rPr>
              <w:b/>
            </w:rPr>
            <w:fldChar w:fldCharType="end"/>
          </w:r>
        </w:p>
      </w:sdtContent>
    </w:sdt>
    <w:bookmarkEnd w:id="1" w:displacedByCustomXml="prev"/>
    <w:p w14:paraId="1FBB668E" w14:textId="77777777" w:rsidR="005728DA" w:rsidRDefault="005728DA" w:rsidP="005728DA">
      <w:pPr>
        <w:ind w:firstLine="340"/>
        <w:rPr>
          <w:b/>
        </w:rPr>
      </w:pPr>
    </w:p>
    <w:p w14:paraId="3F33A985" w14:textId="77777777" w:rsidR="005728DA" w:rsidRDefault="005728DA" w:rsidP="005728DA">
      <w:pPr>
        <w:rPr>
          <w:b/>
        </w:rPr>
      </w:pPr>
    </w:p>
    <w:p w14:paraId="713E19C1" w14:textId="516C34D5" w:rsidR="005728DA" w:rsidRPr="00BF095E" w:rsidRDefault="005728DA" w:rsidP="005728DA">
      <w:pPr>
        <w:sectPr w:rsidR="005728DA" w:rsidRPr="00BF095E" w:rsidSect="00A2715C">
          <w:footerReference w:type="default" r:id="rId9"/>
          <w:footerReference w:type="first" r:id="rId10"/>
          <w:pgSz w:w="11906" w:h="16838"/>
          <w:pgMar w:top="1276" w:right="1440" w:bottom="1440" w:left="1440" w:header="708" w:footer="708" w:gutter="0"/>
          <w:pgNumType w:fmt="lowerRoman" w:start="1"/>
          <w:cols w:space="708"/>
          <w:titlePg/>
          <w:docGrid w:linePitch="360"/>
        </w:sectPr>
      </w:pPr>
    </w:p>
    <w:p w14:paraId="355EE430" w14:textId="6C102546" w:rsidR="004F46B8" w:rsidRDefault="00B63B0F" w:rsidP="00DD69BF">
      <w:pPr>
        <w:pStyle w:val="Heading1"/>
      </w:pPr>
      <w:bookmarkStart w:id="2" w:name="_Toc110959447"/>
      <w:r>
        <w:lastRenderedPageBreak/>
        <w:t>Glossary</w:t>
      </w:r>
      <w:bookmarkEnd w:id="2"/>
      <w:r w:rsidR="00D95B21">
        <w:t xml:space="preserve"> </w:t>
      </w:r>
    </w:p>
    <w:p w14:paraId="4272DD8C" w14:textId="77777777" w:rsidR="008559A0" w:rsidRPr="008559A0" w:rsidRDefault="008559A0" w:rsidP="008559A0">
      <w:pPr>
        <w:pStyle w:val="NoSpacing"/>
      </w:pPr>
    </w:p>
    <w:tbl>
      <w:tblPr>
        <w:tblStyle w:val="TableGrid"/>
        <w:tblW w:w="9498" w:type="dxa"/>
        <w:tblInd w:w="-142" w:type="dxa"/>
        <w:tblBorders>
          <w:top w:val="none" w:sz="0" w:space="0" w:color="auto"/>
          <w:bottom w:val="none" w:sz="0" w:space="0" w:color="auto"/>
        </w:tblBorders>
        <w:tblLook w:val="04A0" w:firstRow="1" w:lastRow="0" w:firstColumn="1" w:lastColumn="0" w:noHBand="0" w:noVBand="1"/>
      </w:tblPr>
      <w:tblGrid>
        <w:gridCol w:w="2269"/>
        <w:gridCol w:w="7229"/>
      </w:tblGrid>
      <w:tr w:rsidR="00A6635D" w:rsidRPr="00A64B7F" w14:paraId="19608DEE" w14:textId="77777777" w:rsidTr="00855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left w:val="none" w:sz="0" w:space="0" w:color="auto"/>
              <w:bottom w:val="single" w:sz="4" w:space="0" w:color="D9D9D9" w:themeColor="background1" w:themeShade="D9"/>
              <w:right w:val="none" w:sz="0" w:space="0" w:color="auto"/>
              <w:tl2br w:val="none" w:sz="0" w:space="0" w:color="auto"/>
              <w:tr2bl w:val="none" w:sz="0" w:space="0" w:color="auto"/>
            </w:tcBorders>
          </w:tcPr>
          <w:p w14:paraId="24A03ADC" w14:textId="112C8591" w:rsidR="00A6635D" w:rsidRPr="00A64B7F" w:rsidRDefault="004F46B8" w:rsidP="004A7094">
            <w:pPr>
              <w:pStyle w:val="Tabletext"/>
            </w:pPr>
            <w:r w:rsidRPr="00A64B7F">
              <w:t>Term</w:t>
            </w:r>
          </w:p>
        </w:tc>
        <w:tc>
          <w:tcPr>
            <w:tcW w:w="7229" w:type="dxa"/>
            <w:tcBorders>
              <w:top w:val="single" w:sz="4" w:space="0" w:color="D9D9D9" w:themeColor="background1" w:themeShade="D9"/>
              <w:left w:val="none" w:sz="0" w:space="0" w:color="auto"/>
              <w:bottom w:val="single" w:sz="4" w:space="0" w:color="D9D9D9" w:themeColor="background1" w:themeShade="D9"/>
              <w:right w:val="none" w:sz="0" w:space="0" w:color="auto"/>
              <w:tl2br w:val="none" w:sz="0" w:space="0" w:color="auto"/>
              <w:tr2bl w:val="none" w:sz="0" w:space="0" w:color="auto"/>
            </w:tcBorders>
          </w:tcPr>
          <w:p w14:paraId="31FEDC92" w14:textId="01571446" w:rsidR="00A6635D" w:rsidRPr="00A64B7F" w:rsidRDefault="004F46B8" w:rsidP="004A7094">
            <w:pPr>
              <w:pStyle w:val="Tabletext"/>
              <w:cnfStyle w:val="100000000000" w:firstRow="1" w:lastRow="0" w:firstColumn="0" w:lastColumn="0" w:oddVBand="0" w:evenVBand="0" w:oddHBand="0" w:evenHBand="0" w:firstRowFirstColumn="0" w:firstRowLastColumn="0" w:lastRowFirstColumn="0" w:lastRowLastColumn="0"/>
            </w:pPr>
            <w:r w:rsidRPr="00A64B7F">
              <w:t xml:space="preserve">Definition </w:t>
            </w:r>
          </w:p>
        </w:tc>
      </w:tr>
      <w:tr w:rsidR="00A6635D" w:rsidRPr="00A64B7F" w14:paraId="249EF27A"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831A27A" w14:textId="5E7F9677" w:rsidR="00A6635D" w:rsidRPr="00285057" w:rsidRDefault="004F46B8" w:rsidP="004A7094">
            <w:pPr>
              <w:pStyle w:val="Tabletext"/>
              <w:rPr>
                <w:b w:val="0"/>
                <w:bCs/>
                <w:szCs w:val="20"/>
              </w:rPr>
            </w:pPr>
            <w:r w:rsidRPr="004A426E">
              <w:rPr>
                <w:bCs/>
                <w:szCs w:val="20"/>
              </w:rPr>
              <w:t>ACCC</w:t>
            </w:r>
          </w:p>
        </w:tc>
        <w:tc>
          <w:tcPr>
            <w:tcW w:w="7229" w:type="dxa"/>
            <w:tcBorders>
              <w:top w:val="single" w:sz="4" w:space="0" w:color="D9D9D9" w:themeColor="background1" w:themeShade="D9"/>
              <w:bottom w:val="single" w:sz="4" w:space="0" w:color="D9D9D9" w:themeColor="background1" w:themeShade="D9"/>
            </w:tcBorders>
          </w:tcPr>
          <w:p w14:paraId="1332F2F2" w14:textId="06090B4C" w:rsidR="00A6635D" w:rsidRPr="00285057" w:rsidRDefault="004F46B8"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Australian Competition and Consumer Commission</w:t>
            </w:r>
          </w:p>
        </w:tc>
      </w:tr>
      <w:tr w:rsidR="0032619C" w:rsidRPr="00A64B7F" w14:paraId="416C7529"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75904C7" w14:textId="06A9D23D" w:rsidR="0032619C" w:rsidRPr="00285057" w:rsidRDefault="00CE0128" w:rsidP="004A7094">
            <w:pPr>
              <w:pStyle w:val="Tabletext"/>
              <w:rPr>
                <w:b w:val="0"/>
                <w:bCs/>
                <w:szCs w:val="20"/>
              </w:rPr>
            </w:pPr>
            <w:r w:rsidRPr="004A426E">
              <w:rPr>
                <w:bCs/>
                <w:szCs w:val="20"/>
              </w:rPr>
              <w:t>ACL</w:t>
            </w:r>
          </w:p>
        </w:tc>
        <w:tc>
          <w:tcPr>
            <w:tcW w:w="7229" w:type="dxa"/>
            <w:tcBorders>
              <w:top w:val="single" w:sz="4" w:space="0" w:color="D9D9D9" w:themeColor="background1" w:themeShade="D9"/>
              <w:bottom w:val="single" w:sz="4" w:space="0" w:color="D9D9D9" w:themeColor="background1" w:themeShade="D9"/>
            </w:tcBorders>
          </w:tcPr>
          <w:p w14:paraId="7D18F498" w14:textId="631E2B25" w:rsidR="0032619C" w:rsidRPr="00285057" w:rsidRDefault="00CE0128"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Australian Consumer Law</w:t>
            </w:r>
            <w:r w:rsidR="007F71E4" w:rsidRPr="004A426E">
              <w:rPr>
                <w:szCs w:val="20"/>
              </w:rPr>
              <w:t xml:space="preserve">, Schedule 2 of the </w:t>
            </w:r>
            <w:r w:rsidR="007F71E4" w:rsidRPr="004A426E">
              <w:rPr>
                <w:i/>
                <w:iCs/>
                <w:szCs w:val="20"/>
              </w:rPr>
              <w:t>Competition and Consumer Act 2010</w:t>
            </w:r>
            <w:r w:rsidR="00292889" w:rsidRPr="004A426E">
              <w:rPr>
                <w:i/>
                <w:iCs/>
                <w:szCs w:val="20"/>
              </w:rPr>
              <w:t xml:space="preserve"> </w:t>
            </w:r>
            <w:r w:rsidR="00292889" w:rsidRPr="004A426E">
              <w:rPr>
                <w:szCs w:val="20"/>
              </w:rPr>
              <w:t>(Cth)</w:t>
            </w:r>
          </w:p>
        </w:tc>
      </w:tr>
      <w:tr w:rsidR="0078536B" w:rsidRPr="00A64B7F" w14:paraId="1B1BE19E"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4CF7FAE9" w14:textId="528F1812" w:rsidR="0078536B" w:rsidRPr="00285057" w:rsidRDefault="0078536B" w:rsidP="004A7094">
            <w:pPr>
              <w:pStyle w:val="Tabletext"/>
              <w:rPr>
                <w:b w:val="0"/>
                <w:bCs/>
                <w:szCs w:val="20"/>
              </w:rPr>
            </w:pPr>
            <w:r w:rsidRPr="004A426E">
              <w:rPr>
                <w:bCs/>
                <w:szCs w:val="20"/>
              </w:rPr>
              <w:t>Infant</w:t>
            </w:r>
          </w:p>
        </w:tc>
        <w:tc>
          <w:tcPr>
            <w:tcW w:w="7229" w:type="dxa"/>
            <w:tcBorders>
              <w:top w:val="single" w:sz="4" w:space="0" w:color="D9D9D9" w:themeColor="background1" w:themeShade="D9"/>
              <w:bottom w:val="single" w:sz="4" w:space="0" w:color="D9D9D9" w:themeColor="background1" w:themeShade="D9"/>
            </w:tcBorders>
          </w:tcPr>
          <w:p w14:paraId="60619848" w14:textId="004B735D" w:rsidR="0078536B" w:rsidRPr="00285057" w:rsidRDefault="00292889"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A child of less than 12 months of age</w:t>
            </w:r>
          </w:p>
        </w:tc>
      </w:tr>
      <w:tr w:rsidR="005B5639" w:rsidRPr="00A64B7F" w14:paraId="3C729D3B"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D408416" w14:textId="41B67237" w:rsidR="005B5639" w:rsidRPr="00285057" w:rsidRDefault="005B5639" w:rsidP="004A7094">
            <w:pPr>
              <w:pStyle w:val="Tabletext"/>
              <w:rPr>
                <w:b w:val="0"/>
                <w:bCs/>
                <w:szCs w:val="20"/>
              </w:rPr>
            </w:pPr>
            <w:r w:rsidRPr="004A426E">
              <w:rPr>
                <w:bCs/>
                <w:szCs w:val="20"/>
              </w:rPr>
              <w:t>CCA</w:t>
            </w:r>
          </w:p>
        </w:tc>
        <w:tc>
          <w:tcPr>
            <w:tcW w:w="7229" w:type="dxa"/>
            <w:tcBorders>
              <w:top w:val="single" w:sz="4" w:space="0" w:color="D9D9D9" w:themeColor="background1" w:themeShade="D9"/>
              <w:bottom w:val="single" w:sz="4" w:space="0" w:color="D9D9D9" w:themeColor="background1" w:themeShade="D9"/>
            </w:tcBorders>
          </w:tcPr>
          <w:p w14:paraId="5F1825E5" w14:textId="7A4671C2" w:rsidR="005B5639" w:rsidRPr="00285057" w:rsidRDefault="005B5639"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i/>
                <w:iCs/>
                <w:szCs w:val="20"/>
              </w:rPr>
              <w:t>Competition and Consumer Act 2010</w:t>
            </w:r>
            <w:r w:rsidR="00620590" w:rsidRPr="004A426E">
              <w:rPr>
                <w:szCs w:val="20"/>
              </w:rPr>
              <w:t xml:space="preserve"> (Cth)</w:t>
            </w:r>
          </w:p>
        </w:tc>
      </w:tr>
      <w:tr w:rsidR="008559A0" w:rsidRPr="00A64B7F" w14:paraId="28AB19AF"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2AF706D" w14:textId="5A4BA224" w:rsidR="008559A0" w:rsidRPr="004A426E" w:rsidRDefault="008559A0" w:rsidP="004A7094">
            <w:pPr>
              <w:pStyle w:val="Tabletext"/>
              <w:rPr>
                <w:bCs/>
                <w:szCs w:val="20"/>
              </w:rPr>
            </w:pPr>
            <w:r>
              <w:rPr>
                <w:bCs/>
                <w:szCs w:val="20"/>
              </w:rPr>
              <w:t>Expert Reports</w:t>
            </w:r>
          </w:p>
        </w:tc>
        <w:tc>
          <w:tcPr>
            <w:tcW w:w="7229" w:type="dxa"/>
            <w:tcBorders>
              <w:top w:val="single" w:sz="4" w:space="0" w:color="D9D9D9" w:themeColor="background1" w:themeShade="D9"/>
              <w:bottom w:val="single" w:sz="4" w:space="0" w:color="D9D9D9" w:themeColor="background1" w:themeShade="D9"/>
            </w:tcBorders>
          </w:tcPr>
          <w:p w14:paraId="0F78CF08" w14:textId="17FE1C94" w:rsidR="008559A0" w:rsidRPr="008559A0" w:rsidRDefault="00C12305"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ACCC procured </w:t>
            </w:r>
            <w:r w:rsidR="008559A0" w:rsidRPr="008559A0">
              <w:rPr>
                <w:szCs w:val="20"/>
              </w:rPr>
              <w:t>expert reports from Dr Tom Whyte, a biomechanical engineer and Professor Rosemary Horne, a paediatrician</w:t>
            </w:r>
            <w:r>
              <w:rPr>
                <w:szCs w:val="20"/>
              </w:rPr>
              <w:t xml:space="preserve">, </w:t>
            </w:r>
            <w:r w:rsidR="008559A0" w:rsidRPr="008559A0">
              <w:rPr>
                <w:szCs w:val="20"/>
              </w:rPr>
              <w:t>asked to comment on the risks identified in the Mannen Report</w:t>
            </w:r>
          </w:p>
        </w:tc>
      </w:tr>
      <w:tr w:rsidR="008559A0" w:rsidRPr="00A64B7F" w14:paraId="308CC75B"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2C6CB013" w14:textId="22242A87" w:rsidR="008559A0" w:rsidRDefault="008559A0" w:rsidP="004A7094">
            <w:pPr>
              <w:pStyle w:val="Tabletext"/>
              <w:rPr>
                <w:bCs/>
                <w:szCs w:val="20"/>
              </w:rPr>
            </w:pPr>
            <w:r>
              <w:rPr>
                <w:bCs/>
                <w:szCs w:val="20"/>
              </w:rPr>
              <w:t>Folding Cots Mandatory Standard</w:t>
            </w:r>
          </w:p>
        </w:tc>
        <w:tc>
          <w:tcPr>
            <w:tcW w:w="7229" w:type="dxa"/>
            <w:tcBorders>
              <w:top w:val="single" w:sz="4" w:space="0" w:color="D9D9D9" w:themeColor="background1" w:themeShade="D9"/>
              <w:bottom w:val="single" w:sz="4" w:space="0" w:color="D9D9D9" w:themeColor="background1" w:themeShade="D9"/>
            </w:tcBorders>
          </w:tcPr>
          <w:p w14:paraId="60AB8EA9" w14:textId="331E7795" w:rsidR="008559A0" w:rsidRPr="004A426E" w:rsidRDefault="00C12305" w:rsidP="004A7094">
            <w:pPr>
              <w:pStyle w:val="Tabletext"/>
              <w:cnfStyle w:val="000000000000" w:firstRow="0" w:lastRow="0" w:firstColumn="0" w:lastColumn="0" w:oddVBand="0" w:evenVBand="0" w:oddHBand="0" w:evenHBand="0" w:firstRowFirstColumn="0" w:firstRowLastColumn="0" w:lastRowFirstColumn="0" w:lastRowLastColumn="0"/>
              <w:rPr>
                <w:i/>
                <w:iCs/>
                <w:szCs w:val="20"/>
              </w:rPr>
            </w:pPr>
            <w:r>
              <w:rPr>
                <w:szCs w:val="20"/>
              </w:rPr>
              <w:t>The</w:t>
            </w:r>
            <w:r w:rsidRPr="00C12305">
              <w:rPr>
                <w:szCs w:val="20"/>
              </w:rPr>
              <w:t xml:space="preserve"> mandatory standard for Folding Cots (</w:t>
            </w:r>
            <w:r w:rsidRPr="00C12305">
              <w:rPr>
                <w:i/>
                <w:iCs/>
                <w:szCs w:val="20"/>
              </w:rPr>
              <w:t>Consumer Product Safety Standard for Children’s Portable Folding Cots 2008</w:t>
            </w:r>
            <w:r w:rsidRPr="00C12305">
              <w:rPr>
                <w:szCs w:val="20"/>
              </w:rPr>
              <w:t>)</w:t>
            </w:r>
          </w:p>
        </w:tc>
      </w:tr>
      <w:tr w:rsidR="00C12305" w:rsidRPr="00A64B7F" w14:paraId="3F398E84"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5E68D44C" w14:textId="29E02D23" w:rsidR="00C12305" w:rsidRDefault="00C12305" w:rsidP="004A7094">
            <w:pPr>
              <w:pStyle w:val="Tabletext"/>
              <w:rPr>
                <w:bCs/>
                <w:szCs w:val="20"/>
              </w:rPr>
            </w:pPr>
            <w:r>
              <w:rPr>
                <w:szCs w:val="20"/>
              </w:rPr>
              <w:t>Household Cots Mandatory Standard</w:t>
            </w:r>
          </w:p>
        </w:tc>
        <w:tc>
          <w:tcPr>
            <w:tcW w:w="7229" w:type="dxa"/>
            <w:tcBorders>
              <w:top w:val="single" w:sz="4" w:space="0" w:color="D9D9D9" w:themeColor="background1" w:themeShade="D9"/>
              <w:bottom w:val="single" w:sz="4" w:space="0" w:color="D9D9D9" w:themeColor="background1" w:themeShade="D9"/>
            </w:tcBorders>
          </w:tcPr>
          <w:p w14:paraId="76A551A1" w14:textId="32DE60E0" w:rsidR="00C12305" w:rsidRPr="004A426E" w:rsidRDefault="00C12305" w:rsidP="004A7094">
            <w:pPr>
              <w:pStyle w:val="Tabletext"/>
              <w:cnfStyle w:val="000000000000" w:firstRow="0" w:lastRow="0" w:firstColumn="0" w:lastColumn="0" w:oddVBand="0" w:evenVBand="0" w:oddHBand="0" w:evenHBand="0" w:firstRowFirstColumn="0" w:firstRowLastColumn="0" w:lastRowFirstColumn="0" w:lastRowLastColumn="0"/>
              <w:rPr>
                <w:i/>
                <w:iCs/>
                <w:szCs w:val="20"/>
              </w:rPr>
            </w:pPr>
            <w:r>
              <w:rPr>
                <w:szCs w:val="20"/>
              </w:rPr>
              <w:t>T</w:t>
            </w:r>
            <w:r w:rsidRPr="00C12305">
              <w:rPr>
                <w:szCs w:val="20"/>
              </w:rPr>
              <w:t>he mandatory standard for Household Cots (</w:t>
            </w:r>
            <w:r w:rsidRPr="00C12305">
              <w:rPr>
                <w:i/>
                <w:iCs/>
                <w:szCs w:val="20"/>
              </w:rPr>
              <w:t>Consumer Product Safety Standard: Children’s Household Cots 2005</w:t>
            </w:r>
            <w:r w:rsidRPr="00C12305">
              <w:rPr>
                <w:szCs w:val="20"/>
              </w:rPr>
              <w:t xml:space="preserve">) </w:t>
            </w:r>
          </w:p>
        </w:tc>
      </w:tr>
      <w:tr w:rsidR="005B5639" w:rsidRPr="00A64B7F" w14:paraId="24F47CEB"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50F2A7C8" w14:textId="277B6513" w:rsidR="005B5639" w:rsidRPr="00285057" w:rsidRDefault="005B5639" w:rsidP="004A7094">
            <w:pPr>
              <w:pStyle w:val="Tabletext"/>
              <w:rPr>
                <w:b w:val="0"/>
                <w:bCs/>
                <w:szCs w:val="20"/>
              </w:rPr>
            </w:pPr>
            <w:r w:rsidRPr="004A426E">
              <w:rPr>
                <w:bCs/>
                <w:szCs w:val="20"/>
              </w:rPr>
              <w:t>Issues Paper</w:t>
            </w:r>
          </w:p>
        </w:tc>
        <w:tc>
          <w:tcPr>
            <w:tcW w:w="7229" w:type="dxa"/>
            <w:tcBorders>
              <w:top w:val="single" w:sz="4" w:space="0" w:color="D9D9D9" w:themeColor="background1" w:themeShade="D9"/>
              <w:bottom w:val="single" w:sz="4" w:space="0" w:color="D9D9D9" w:themeColor="background1" w:themeShade="D9"/>
            </w:tcBorders>
          </w:tcPr>
          <w:p w14:paraId="081B9374" w14:textId="0E70B186" w:rsidR="005B5639" w:rsidRPr="00285057" w:rsidRDefault="00174D00"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 xml:space="preserve">Infant Inclined Products </w:t>
            </w:r>
            <w:hyperlink r:id="rId11" w:history="1">
              <w:r w:rsidR="005B5639" w:rsidRPr="00285057">
                <w:rPr>
                  <w:rStyle w:val="Hyperlink"/>
                  <w:rFonts w:cs="Arial"/>
                  <w:sz w:val="20"/>
                  <w:szCs w:val="20"/>
                </w:rPr>
                <w:t>Issues Paper</w:t>
              </w:r>
            </w:hyperlink>
            <w:r w:rsidR="00E96EAA" w:rsidRPr="00D22B88">
              <w:rPr>
                <w:szCs w:val="20"/>
              </w:rPr>
              <w:t xml:space="preserve"> </w:t>
            </w:r>
            <w:r w:rsidRPr="00D22B88">
              <w:rPr>
                <w:szCs w:val="20"/>
              </w:rPr>
              <w:t>published</w:t>
            </w:r>
            <w:r w:rsidR="005B5639" w:rsidRPr="00285057">
              <w:rPr>
                <w:szCs w:val="20"/>
              </w:rPr>
              <w:t xml:space="preserve"> </w:t>
            </w:r>
            <w:r w:rsidR="005B5639" w:rsidRPr="00D22B88">
              <w:rPr>
                <w:szCs w:val="20"/>
              </w:rPr>
              <w:t>by the ACCC on 19 July 2021</w:t>
            </w:r>
          </w:p>
        </w:tc>
      </w:tr>
      <w:tr w:rsidR="00A6635D" w:rsidRPr="00A64B7F" w14:paraId="25FCB780"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187968F0" w14:textId="013B68AE" w:rsidR="00A6635D" w:rsidRPr="00285057" w:rsidRDefault="004F46B8" w:rsidP="004A7094">
            <w:pPr>
              <w:pStyle w:val="Tabletext"/>
              <w:rPr>
                <w:b w:val="0"/>
                <w:bCs/>
                <w:szCs w:val="20"/>
                <w:highlight w:val="yellow"/>
              </w:rPr>
            </w:pPr>
            <w:r w:rsidRPr="004A426E">
              <w:rPr>
                <w:bCs/>
                <w:szCs w:val="20"/>
              </w:rPr>
              <w:t xml:space="preserve">Inclined Sleep Products </w:t>
            </w:r>
          </w:p>
        </w:tc>
        <w:tc>
          <w:tcPr>
            <w:tcW w:w="7229" w:type="dxa"/>
            <w:tcBorders>
              <w:top w:val="single" w:sz="4" w:space="0" w:color="D9D9D9" w:themeColor="background1" w:themeShade="D9"/>
              <w:bottom w:val="single" w:sz="4" w:space="0" w:color="D9D9D9" w:themeColor="background1" w:themeShade="D9"/>
            </w:tcBorders>
          </w:tcPr>
          <w:p w14:paraId="04BB7178" w14:textId="008E888E" w:rsidR="00A6635D" w:rsidRPr="00285057" w:rsidRDefault="005B5A47"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An inclined product for infants that position the infant’s head above the horizontal, which is designed, intended, marketed or contains representations that it is suitable for infant sleep, including to soothe or settle</w:t>
            </w:r>
          </w:p>
        </w:tc>
      </w:tr>
      <w:tr w:rsidR="00A6635D" w:rsidRPr="00A64B7F" w14:paraId="18B1DB96"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6B187819" w14:textId="0B254A70" w:rsidR="00A6635D" w:rsidRPr="00285057" w:rsidRDefault="004F46B8" w:rsidP="004A7094">
            <w:pPr>
              <w:pStyle w:val="Tabletext"/>
              <w:rPr>
                <w:b w:val="0"/>
                <w:bCs/>
                <w:szCs w:val="20"/>
                <w:highlight w:val="yellow"/>
              </w:rPr>
            </w:pPr>
            <w:r w:rsidRPr="004A426E">
              <w:rPr>
                <w:bCs/>
                <w:szCs w:val="20"/>
              </w:rPr>
              <w:t xml:space="preserve">Inclined Non-sleep Products </w:t>
            </w:r>
          </w:p>
        </w:tc>
        <w:tc>
          <w:tcPr>
            <w:tcW w:w="7229" w:type="dxa"/>
            <w:tcBorders>
              <w:top w:val="single" w:sz="4" w:space="0" w:color="D9D9D9" w:themeColor="background1" w:themeShade="D9"/>
              <w:bottom w:val="single" w:sz="4" w:space="0" w:color="D9D9D9" w:themeColor="background1" w:themeShade="D9"/>
            </w:tcBorders>
          </w:tcPr>
          <w:p w14:paraId="24C445AE" w14:textId="22E44C1F" w:rsidR="00A6635D" w:rsidRPr="00285057" w:rsidRDefault="005B5A47"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An inclined product for infants that position the infant’s head above the horizontal, which is not designed, intended, marketed or contain any representations that it is suitable for sleep, but where an infant may still fall asleep</w:t>
            </w:r>
          </w:p>
        </w:tc>
      </w:tr>
      <w:tr w:rsidR="00065501" w:rsidRPr="00A64B7F" w14:paraId="59D39F83"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1208783" w14:textId="405C064B" w:rsidR="00065501" w:rsidRPr="004A426E" w:rsidRDefault="00C1112E" w:rsidP="004A7094">
            <w:pPr>
              <w:pStyle w:val="Tabletext"/>
              <w:rPr>
                <w:b w:val="0"/>
                <w:szCs w:val="20"/>
                <w:highlight w:val="yellow"/>
              </w:rPr>
            </w:pPr>
            <w:r w:rsidRPr="004A426E">
              <w:rPr>
                <w:szCs w:val="20"/>
              </w:rPr>
              <w:t xml:space="preserve">Infant Sleep Products </w:t>
            </w:r>
          </w:p>
        </w:tc>
        <w:tc>
          <w:tcPr>
            <w:tcW w:w="7229" w:type="dxa"/>
            <w:tcBorders>
              <w:top w:val="single" w:sz="4" w:space="0" w:color="D9D9D9" w:themeColor="background1" w:themeShade="D9"/>
              <w:bottom w:val="single" w:sz="4" w:space="0" w:color="D9D9D9" w:themeColor="background1" w:themeShade="D9"/>
            </w:tcBorders>
          </w:tcPr>
          <w:p w14:paraId="07FB96C4" w14:textId="7A2C00ED" w:rsidR="00065501" w:rsidRPr="00285057" w:rsidRDefault="00E25FA2"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D22B88">
              <w:rPr>
                <w:szCs w:val="20"/>
              </w:rPr>
              <w:t xml:space="preserve">Any product for infants that </w:t>
            </w:r>
            <w:r w:rsidR="000C7953" w:rsidRPr="00D22B88">
              <w:rPr>
                <w:szCs w:val="20"/>
              </w:rPr>
              <w:t xml:space="preserve">has a surface on which infants lie which </w:t>
            </w:r>
            <w:r w:rsidRPr="00D22B88">
              <w:rPr>
                <w:szCs w:val="20"/>
              </w:rPr>
              <w:t>create a sleep environment, including to soothe or settle</w:t>
            </w:r>
            <w:r w:rsidR="00651FF8">
              <w:rPr>
                <w:szCs w:val="20"/>
              </w:rPr>
              <w:t>, including Inclined Sleep Products</w:t>
            </w:r>
          </w:p>
        </w:tc>
      </w:tr>
      <w:tr w:rsidR="007E26FF" w:rsidRPr="00A64B7F" w14:paraId="6C96ADE9"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3490342F" w14:textId="79E511AA" w:rsidR="007E26FF" w:rsidRPr="00285057" w:rsidRDefault="007E26FF" w:rsidP="004A7094">
            <w:pPr>
              <w:pStyle w:val="Tabletext"/>
              <w:rPr>
                <w:b w:val="0"/>
                <w:szCs w:val="20"/>
              </w:rPr>
            </w:pPr>
            <w:r w:rsidRPr="004A426E">
              <w:rPr>
                <w:szCs w:val="20"/>
              </w:rPr>
              <w:t>Interim ban</w:t>
            </w:r>
          </w:p>
        </w:tc>
        <w:tc>
          <w:tcPr>
            <w:tcW w:w="7229" w:type="dxa"/>
            <w:tcBorders>
              <w:top w:val="single" w:sz="4" w:space="0" w:color="D9D9D9" w:themeColor="background1" w:themeShade="D9"/>
              <w:bottom w:val="single" w:sz="4" w:space="0" w:color="D9D9D9" w:themeColor="background1" w:themeShade="D9"/>
            </w:tcBorders>
          </w:tcPr>
          <w:p w14:paraId="1B2EC70B" w14:textId="1F79D547" w:rsidR="007E26FF" w:rsidRPr="004A426E" w:rsidRDefault="00DF6A58"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A ban that p</w:t>
            </w:r>
            <w:r w:rsidR="00E77013" w:rsidRPr="004A426E">
              <w:rPr>
                <w:szCs w:val="20"/>
              </w:rPr>
              <w:t>rohibits a product from being supplied in Australia for a limited period of time</w:t>
            </w:r>
          </w:p>
        </w:tc>
      </w:tr>
      <w:tr w:rsidR="001B0FFD" w:rsidRPr="00A64B7F" w14:paraId="0E848F0C"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8D56C4A" w14:textId="29FEB60E" w:rsidR="001B0FFD" w:rsidRPr="004A426E" w:rsidRDefault="001B0FFD" w:rsidP="004A7094">
            <w:pPr>
              <w:pStyle w:val="Tabletext"/>
              <w:rPr>
                <w:szCs w:val="20"/>
              </w:rPr>
            </w:pPr>
            <w:r w:rsidRPr="004A426E">
              <w:rPr>
                <w:bCs/>
                <w:szCs w:val="20"/>
              </w:rPr>
              <w:t>Mandatory information standard</w:t>
            </w:r>
          </w:p>
        </w:tc>
        <w:tc>
          <w:tcPr>
            <w:tcW w:w="7229" w:type="dxa"/>
            <w:tcBorders>
              <w:top w:val="single" w:sz="4" w:space="0" w:color="D9D9D9" w:themeColor="background1" w:themeShade="D9"/>
              <w:bottom w:val="single" w:sz="4" w:space="0" w:color="D9D9D9" w:themeColor="background1" w:themeShade="D9"/>
            </w:tcBorders>
          </w:tcPr>
          <w:p w14:paraId="7EA802E9" w14:textId="19BEC229" w:rsidR="001B0FFD" w:rsidRPr="004A426E" w:rsidRDefault="00EE3536"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E</w:t>
            </w:r>
            <w:r w:rsidR="001B0FFD" w:rsidRPr="00D22B88">
              <w:rPr>
                <w:szCs w:val="20"/>
              </w:rPr>
              <w:t>nsures consumers are provided with important information about a product</w:t>
            </w:r>
          </w:p>
        </w:tc>
      </w:tr>
      <w:tr w:rsidR="001B0FFD" w:rsidRPr="00A64B7F" w14:paraId="0F77E021"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AA9D0D6" w14:textId="74B77EDB" w:rsidR="001B0FFD" w:rsidRPr="004A426E" w:rsidRDefault="001B0FFD" w:rsidP="004A7094">
            <w:pPr>
              <w:pStyle w:val="Tabletext"/>
              <w:rPr>
                <w:szCs w:val="20"/>
              </w:rPr>
            </w:pPr>
            <w:r w:rsidRPr="004A426E">
              <w:rPr>
                <w:bCs/>
                <w:szCs w:val="20"/>
              </w:rPr>
              <w:t>Mandatory safety standard</w:t>
            </w:r>
          </w:p>
        </w:tc>
        <w:tc>
          <w:tcPr>
            <w:tcW w:w="7229" w:type="dxa"/>
            <w:tcBorders>
              <w:top w:val="single" w:sz="4" w:space="0" w:color="D9D9D9" w:themeColor="background1" w:themeShade="D9"/>
              <w:bottom w:val="single" w:sz="4" w:space="0" w:color="D9D9D9" w:themeColor="background1" w:themeShade="D9"/>
            </w:tcBorders>
          </w:tcPr>
          <w:p w14:paraId="2FBD627B" w14:textId="0E56090B" w:rsidR="001B0FFD" w:rsidRPr="004A426E" w:rsidRDefault="00EE3536"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S</w:t>
            </w:r>
            <w:r w:rsidR="001B0FFD" w:rsidRPr="00D22B88">
              <w:rPr>
                <w:szCs w:val="20"/>
              </w:rPr>
              <w:t>pecifies minimum requirements products must meet before being supplied</w:t>
            </w:r>
          </w:p>
        </w:tc>
      </w:tr>
      <w:tr w:rsidR="00A41D30" w:rsidRPr="00A64B7F" w14:paraId="422D1DB3"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1D5AA4B7" w14:textId="1AEEAD63" w:rsidR="00A41D30" w:rsidRPr="00285057" w:rsidRDefault="00A41D30" w:rsidP="004A7094">
            <w:pPr>
              <w:pStyle w:val="Tabletext"/>
              <w:rPr>
                <w:b w:val="0"/>
                <w:bCs/>
                <w:szCs w:val="20"/>
                <w:highlight w:val="yellow"/>
              </w:rPr>
            </w:pPr>
            <w:r w:rsidRPr="004A426E">
              <w:rPr>
                <w:bCs/>
                <w:szCs w:val="20"/>
              </w:rPr>
              <w:t>Mannen Report</w:t>
            </w:r>
          </w:p>
        </w:tc>
        <w:tc>
          <w:tcPr>
            <w:tcW w:w="7229" w:type="dxa"/>
            <w:tcBorders>
              <w:top w:val="single" w:sz="4" w:space="0" w:color="D9D9D9" w:themeColor="background1" w:themeShade="D9"/>
              <w:bottom w:val="single" w:sz="4" w:space="0" w:color="D9D9D9" w:themeColor="background1" w:themeShade="D9"/>
            </w:tcBorders>
          </w:tcPr>
          <w:p w14:paraId="396DBE5F" w14:textId="57A56921" w:rsidR="00A41D30" w:rsidRPr="00285057" w:rsidRDefault="00644A13" w:rsidP="004A7094">
            <w:pPr>
              <w:pStyle w:val="Tabletext"/>
              <w:cnfStyle w:val="000000000000" w:firstRow="0" w:lastRow="0" w:firstColumn="0" w:lastColumn="0" w:oddVBand="0" w:evenVBand="0" w:oddHBand="0" w:evenHBand="0" w:firstRowFirstColumn="0" w:firstRowLastColumn="0" w:lastRowFirstColumn="0" w:lastRowLastColumn="0"/>
              <w:rPr>
                <w:bCs/>
                <w:szCs w:val="20"/>
              </w:rPr>
            </w:pPr>
            <w:r w:rsidRPr="004A426E">
              <w:rPr>
                <w:bCs/>
                <w:szCs w:val="20"/>
              </w:rPr>
              <w:t xml:space="preserve">The </w:t>
            </w:r>
            <w:hyperlink r:id="rId12" w:history="1">
              <w:r w:rsidRPr="00894F33">
                <w:rPr>
                  <w:rStyle w:val="Hyperlink"/>
                  <w:bCs/>
                  <w:sz w:val="20"/>
                  <w:szCs w:val="20"/>
                </w:rPr>
                <w:t>report</w:t>
              </w:r>
            </w:hyperlink>
            <w:r w:rsidRPr="004A426E">
              <w:rPr>
                <w:bCs/>
                <w:szCs w:val="20"/>
              </w:rPr>
              <w:t xml:space="preserve"> by Erin Mannen PhD commissioned by the </w:t>
            </w:r>
            <w:r w:rsidRPr="004A426E">
              <w:rPr>
                <w:szCs w:val="20"/>
              </w:rPr>
              <w:t>United States Consumer Product Safety Commission</w:t>
            </w:r>
            <w:r w:rsidR="00F876D3" w:rsidRPr="004A426E">
              <w:rPr>
                <w:szCs w:val="20"/>
              </w:rPr>
              <w:t xml:space="preserve"> and published on</w:t>
            </w:r>
            <w:r w:rsidR="00C563E3" w:rsidRPr="004A426E">
              <w:rPr>
                <w:szCs w:val="20"/>
              </w:rPr>
              <w:t xml:space="preserve"> 25 October 2019</w:t>
            </w:r>
            <w:r w:rsidRPr="004A426E">
              <w:rPr>
                <w:szCs w:val="20"/>
              </w:rPr>
              <w:t xml:space="preserve"> to evaluate the design of </w:t>
            </w:r>
            <w:r w:rsidR="00D7101A">
              <w:rPr>
                <w:szCs w:val="20"/>
              </w:rPr>
              <w:t>I</w:t>
            </w:r>
            <w:r w:rsidRPr="004A426E">
              <w:rPr>
                <w:szCs w:val="20"/>
              </w:rPr>
              <w:t xml:space="preserve">nclined </w:t>
            </w:r>
            <w:r w:rsidR="00D7101A">
              <w:rPr>
                <w:szCs w:val="20"/>
              </w:rPr>
              <w:t>S</w:t>
            </w:r>
            <w:r w:rsidRPr="004A426E">
              <w:rPr>
                <w:szCs w:val="20"/>
              </w:rPr>
              <w:t xml:space="preserve">leep </w:t>
            </w:r>
            <w:r w:rsidR="00D7101A">
              <w:rPr>
                <w:szCs w:val="20"/>
              </w:rPr>
              <w:t>P</w:t>
            </w:r>
            <w:r w:rsidRPr="004A426E">
              <w:rPr>
                <w:szCs w:val="20"/>
              </w:rPr>
              <w:t>roduct</w:t>
            </w:r>
            <w:r w:rsidR="00285057">
              <w:rPr>
                <w:szCs w:val="20"/>
              </w:rPr>
              <w:t>s</w:t>
            </w:r>
          </w:p>
        </w:tc>
      </w:tr>
      <w:tr w:rsidR="007E26FF" w:rsidRPr="00A64B7F" w14:paraId="2FB9BB53" w14:textId="77777777" w:rsidTr="008559A0">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5A44EB91" w14:textId="66AD4782" w:rsidR="007E26FF" w:rsidRPr="00285057" w:rsidRDefault="007E26FF" w:rsidP="004A7094">
            <w:pPr>
              <w:pStyle w:val="Tabletext"/>
              <w:rPr>
                <w:b w:val="0"/>
                <w:szCs w:val="20"/>
              </w:rPr>
            </w:pPr>
            <w:r w:rsidRPr="004A426E">
              <w:rPr>
                <w:szCs w:val="20"/>
              </w:rPr>
              <w:t>Permanent ban</w:t>
            </w:r>
          </w:p>
        </w:tc>
        <w:tc>
          <w:tcPr>
            <w:tcW w:w="7229" w:type="dxa"/>
            <w:tcBorders>
              <w:top w:val="single" w:sz="4" w:space="0" w:color="D9D9D9" w:themeColor="background1" w:themeShade="D9"/>
              <w:bottom w:val="single" w:sz="4" w:space="0" w:color="D9D9D9" w:themeColor="background1" w:themeShade="D9"/>
            </w:tcBorders>
          </w:tcPr>
          <w:p w14:paraId="210DF697" w14:textId="0DF96B49" w:rsidR="007E26FF" w:rsidRPr="004A426E" w:rsidRDefault="00DF6A58" w:rsidP="004A7094">
            <w:pPr>
              <w:pStyle w:val="Tabletext"/>
              <w:cnfStyle w:val="000000000000" w:firstRow="0" w:lastRow="0" w:firstColumn="0" w:lastColumn="0" w:oddVBand="0" w:evenVBand="0" w:oddHBand="0" w:evenHBand="0" w:firstRowFirstColumn="0" w:firstRowLastColumn="0" w:lastRowFirstColumn="0" w:lastRowLastColumn="0"/>
              <w:rPr>
                <w:bCs/>
                <w:szCs w:val="20"/>
              </w:rPr>
            </w:pPr>
            <w:r>
              <w:rPr>
                <w:bCs/>
                <w:szCs w:val="20"/>
              </w:rPr>
              <w:t xml:space="preserve">A ban that </w:t>
            </w:r>
            <w:r w:rsidR="00F72A11">
              <w:rPr>
                <w:bCs/>
                <w:szCs w:val="20"/>
              </w:rPr>
              <w:t>p</w:t>
            </w:r>
            <w:r w:rsidR="00E77013" w:rsidRPr="004A426E">
              <w:rPr>
                <w:bCs/>
                <w:szCs w:val="20"/>
              </w:rPr>
              <w:t>rohibits a product from being supplied in Australia indefinitely</w:t>
            </w:r>
          </w:p>
        </w:tc>
      </w:tr>
      <w:tr w:rsidR="00065501" w:rsidRPr="00A64B7F" w14:paraId="73B83CA7" w14:textId="77777777" w:rsidTr="008559A0">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A41C5E2" w14:textId="6E107294" w:rsidR="00065501" w:rsidRPr="00285057" w:rsidRDefault="00065501" w:rsidP="004A7094">
            <w:pPr>
              <w:pStyle w:val="Tabletext"/>
              <w:rPr>
                <w:b w:val="0"/>
                <w:bCs/>
                <w:szCs w:val="20"/>
              </w:rPr>
            </w:pPr>
            <w:r w:rsidRPr="004A426E">
              <w:rPr>
                <w:bCs/>
                <w:szCs w:val="20"/>
              </w:rPr>
              <w:t xml:space="preserve">Prone position </w:t>
            </w:r>
          </w:p>
        </w:tc>
        <w:tc>
          <w:tcPr>
            <w:tcW w:w="7229" w:type="dxa"/>
            <w:tcBorders>
              <w:top w:val="single" w:sz="4" w:space="0" w:color="D9D9D9" w:themeColor="background1" w:themeShade="D9"/>
              <w:bottom w:val="single" w:sz="4" w:space="0" w:color="D9D9D9" w:themeColor="background1" w:themeShade="D9"/>
            </w:tcBorders>
          </w:tcPr>
          <w:p w14:paraId="48515860" w14:textId="388AFFE8" w:rsidR="00065501" w:rsidRPr="00285057" w:rsidRDefault="00065501" w:rsidP="004A7094">
            <w:pPr>
              <w:pStyle w:val="Tabletext"/>
              <w:cnfStyle w:val="000000000000" w:firstRow="0" w:lastRow="0" w:firstColumn="0" w:lastColumn="0" w:oddVBand="0" w:evenVBand="0" w:oddHBand="0" w:evenHBand="0" w:firstRowFirstColumn="0" w:firstRowLastColumn="0" w:lastRowFirstColumn="0" w:lastRowLastColumn="0"/>
              <w:rPr>
                <w:bCs/>
                <w:szCs w:val="20"/>
              </w:rPr>
            </w:pPr>
            <w:r w:rsidRPr="004A426E">
              <w:rPr>
                <w:bCs/>
                <w:szCs w:val="20"/>
              </w:rPr>
              <w:t xml:space="preserve">Lying flat on the stomach </w:t>
            </w:r>
          </w:p>
        </w:tc>
      </w:tr>
      <w:tr w:rsidR="00065501" w:rsidRPr="00A64B7F" w14:paraId="69AE0D43" w14:textId="77777777" w:rsidTr="008559A0">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B0B74F2" w14:textId="07CC44A9" w:rsidR="00065501" w:rsidRPr="00285057" w:rsidRDefault="00065501" w:rsidP="004A7094">
            <w:pPr>
              <w:pStyle w:val="Tabletext"/>
              <w:rPr>
                <w:b w:val="0"/>
                <w:szCs w:val="20"/>
              </w:rPr>
            </w:pPr>
            <w:r w:rsidRPr="004A426E">
              <w:rPr>
                <w:szCs w:val="20"/>
              </w:rPr>
              <w:lastRenderedPageBreak/>
              <w:t>SIDS</w:t>
            </w:r>
          </w:p>
        </w:tc>
        <w:tc>
          <w:tcPr>
            <w:tcW w:w="7229" w:type="dxa"/>
            <w:tcBorders>
              <w:top w:val="single" w:sz="4" w:space="0" w:color="D9D9D9" w:themeColor="background1" w:themeShade="D9"/>
              <w:bottom w:val="single" w:sz="4" w:space="0" w:color="D9D9D9" w:themeColor="background1" w:themeShade="D9"/>
            </w:tcBorders>
          </w:tcPr>
          <w:p w14:paraId="01926EB7" w14:textId="1117C372" w:rsidR="00065501" w:rsidRPr="00285057" w:rsidRDefault="00065501"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Sudden Infant Death Syndrome</w:t>
            </w:r>
            <w:r w:rsidR="009F3203" w:rsidRPr="004A426E">
              <w:rPr>
                <w:szCs w:val="20"/>
              </w:rPr>
              <w:t xml:space="preserve"> (SIDS)</w:t>
            </w:r>
            <w:r w:rsidRPr="004A426E">
              <w:rPr>
                <w:szCs w:val="20"/>
              </w:rPr>
              <w:t xml:space="preserve"> is a </w:t>
            </w:r>
            <w:r w:rsidR="00444C6A">
              <w:rPr>
                <w:szCs w:val="20"/>
              </w:rPr>
              <w:t xml:space="preserve">subset of Sudden Unexpected Deaths in Infancy (SUDI). Deaths are classified as SIDS </w:t>
            </w:r>
            <w:r w:rsidR="00E6396D">
              <w:rPr>
                <w:szCs w:val="20"/>
              </w:rPr>
              <w:t>w</w:t>
            </w:r>
            <w:r w:rsidR="00444C6A">
              <w:rPr>
                <w:szCs w:val="20"/>
              </w:rPr>
              <w:t>here there is no cause that can be found for the death</w:t>
            </w:r>
            <w:r w:rsidRPr="00D22B88">
              <w:rPr>
                <w:rStyle w:val="FootnoteReference"/>
                <w:rFonts w:cs="Arial"/>
                <w:szCs w:val="20"/>
              </w:rPr>
              <w:footnoteReference w:id="1"/>
            </w:r>
          </w:p>
        </w:tc>
      </w:tr>
      <w:tr w:rsidR="00065501" w:rsidRPr="00A64B7F" w14:paraId="2BBAE237" w14:textId="77777777" w:rsidTr="008559A0">
        <w:trPr>
          <w:trHeight w:val="509"/>
        </w:trPr>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E7D559E" w14:textId="7267BD58" w:rsidR="00065501" w:rsidRPr="00285057" w:rsidRDefault="00065501" w:rsidP="004A7094">
            <w:pPr>
              <w:pStyle w:val="Tabletext"/>
              <w:rPr>
                <w:b w:val="0"/>
                <w:szCs w:val="20"/>
              </w:rPr>
            </w:pPr>
            <w:r w:rsidRPr="004A426E">
              <w:rPr>
                <w:szCs w:val="20"/>
              </w:rPr>
              <w:t>SUDI</w:t>
            </w:r>
          </w:p>
        </w:tc>
        <w:tc>
          <w:tcPr>
            <w:tcW w:w="7229" w:type="dxa"/>
            <w:tcBorders>
              <w:top w:val="single" w:sz="4" w:space="0" w:color="D9D9D9" w:themeColor="background1" w:themeShade="D9"/>
              <w:bottom w:val="single" w:sz="4" w:space="0" w:color="D9D9D9" w:themeColor="background1" w:themeShade="D9"/>
            </w:tcBorders>
          </w:tcPr>
          <w:p w14:paraId="294A8AC8" w14:textId="0B9CD5F2" w:rsidR="00065501" w:rsidRPr="00285057" w:rsidRDefault="00065501"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Sudden Unexpected Deaths in Infancy</w:t>
            </w:r>
            <w:r w:rsidR="004629AF" w:rsidRPr="004A426E">
              <w:rPr>
                <w:szCs w:val="20"/>
              </w:rPr>
              <w:t xml:space="preserve"> (SUDI)</w:t>
            </w:r>
            <w:r w:rsidRPr="004A426E">
              <w:rPr>
                <w:szCs w:val="20"/>
              </w:rPr>
              <w:t xml:space="preserve"> </w:t>
            </w:r>
            <w:r w:rsidR="00545FFC">
              <w:rPr>
                <w:szCs w:val="20"/>
              </w:rPr>
              <w:t xml:space="preserve">is an umbrella term used to describe the sudden and unexpected death of an infant where the cause is not immediately obvious unless an autopsy is conducted. Following investigation, some deaths may be explained by existing health conditions, </w:t>
            </w:r>
            <w:r w:rsidRPr="004A426E">
              <w:rPr>
                <w:szCs w:val="20"/>
              </w:rPr>
              <w:t xml:space="preserve">genetic disorders or </w:t>
            </w:r>
            <w:r w:rsidR="00E6396D">
              <w:rPr>
                <w:szCs w:val="20"/>
              </w:rPr>
              <w:t xml:space="preserve">other known causes such as suffocation. </w:t>
            </w:r>
            <w:r w:rsidR="00545FFC">
              <w:rPr>
                <w:szCs w:val="20"/>
              </w:rPr>
              <w:t>Some deaths may remain unexplained and are then attributed to Sudden Infant Death Syndrome (SIDS</w:t>
            </w:r>
            <w:r w:rsidR="00545FFC" w:rsidRPr="00545FFC">
              <w:rPr>
                <w:szCs w:val="20"/>
              </w:rPr>
              <w:t>)</w:t>
            </w:r>
            <w:r w:rsidR="00545FFC" w:rsidRPr="00545FFC">
              <w:rPr>
                <w:rStyle w:val="FootnoteReference"/>
                <w:rFonts w:cs="Arial"/>
                <w:szCs w:val="20"/>
              </w:rPr>
              <w:footnoteReference w:id="2"/>
            </w:r>
          </w:p>
        </w:tc>
      </w:tr>
      <w:tr w:rsidR="00065501" w:rsidRPr="00A64B7F" w14:paraId="666370BE"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7DFBD471" w14:textId="1564E3C2" w:rsidR="00065501" w:rsidRPr="00285057" w:rsidRDefault="00065501" w:rsidP="004A7094">
            <w:pPr>
              <w:pStyle w:val="Tabletext"/>
              <w:rPr>
                <w:b w:val="0"/>
                <w:bCs/>
                <w:szCs w:val="20"/>
              </w:rPr>
            </w:pPr>
            <w:r w:rsidRPr="004A426E">
              <w:rPr>
                <w:bCs/>
                <w:szCs w:val="20"/>
              </w:rPr>
              <w:t xml:space="preserve">Supine position </w:t>
            </w:r>
          </w:p>
        </w:tc>
        <w:tc>
          <w:tcPr>
            <w:tcW w:w="7229" w:type="dxa"/>
            <w:tcBorders>
              <w:top w:val="single" w:sz="4" w:space="0" w:color="D9D9D9" w:themeColor="background1" w:themeShade="D9"/>
              <w:bottom w:val="single" w:sz="4" w:space="0" w:color="D9D9D9" w:themeColor="background1" w:themeShade="D9"/>
            </w:tcBorders>
          </w:tcPr>
          <w:p w14:paraId="4111E3F8" w14:textId="1AB9EBB6" w:rsidR="00065501" w:rsidRPr="00285057" w:rsidRDefault="00065501"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Lying flat on the back</w:t>
            </w:r>
          </w:p>
        </w:tc>
      </w:tr>
      <w:tr w:rsidR="00065501" w:rsidRPr="00A64B7F" w14:paraId="549BBEB1" w14:textId="77777777" w:rsidTr="008559A0">
        <w:tc>
          <w:tcPr>
            <w:cnfStyle w:val="001000000000" w:firstRow="0" w:lastRow="0" w:firstColumn="1" w:lastColumn="0" w:oddVBand="0" w:evenVBand="0" w:oddHBand="0" w:evenHBand="0" w:firstRowFirstColumn="0" w:firstRowLastColumn="0" w:lastRowFirstColumn="0" w:lastRowLastColumn="0"/>
            <w:tcW w:w="2269" w:type="dxa"/>
            <w:tcBorders>
              <w:top w:val="single" w:sz="4" w:space="0" w:color="D9D9D9" w:themeColor="background1" w:themeShade="D9"/>
              <w:bottom w:val="single" w:sz="4" w:space="0" w:color="D9D9D9" w:themeColor="background1" w:themeShade="D9"/>
            </w:tcBorders>
          </w:tcPr>
          <w:p w14:paraId="0FE90616" w14:textId="5EFD8355" w:rsidR="00065501" w:rsidRPr="00285057" w:rsidRDefault="00065501" w:rsidP="004A7094">
            <w:pPr>
              <w:pStyle w:val="Tabletext"/>
              <w:rPr>
                <w:b w:val="0"/>
                <w:bCs/>
                <w:szCs w:val="20"/>
              </w:rPr>
            </w:pPr>
            <w:r w:rsidRPr="004A426E">
              <w:rPr>
                <w:bCs/>
                <w:szCs w:val="20"/>
              </w:rPr>
              <w:t xml:space="preserve">US-CPSC </w:t>
            </w:r>
          </w:p>
        </w:tc>
        <w:tc>
          <w:tcPr>
            <w:tcW w:w="7229" w:type="dxa"/>
            <w:tcBorders>
              <w:top w:val="single" w:sz="4" w:space="0" w:color="D9D9D9" w:themeColor="background1" w:themeShade="D9"/>
              <w:bottom w:val="single" w:sz="4" w:space="0" w:color="D9D9D9" w:themeColor="background1" w:themeShade="D9"/>
            </w:tcBorders>
          </w:tcPr>
          <w:p w14:paraId="799B4465" w14:textId="1D58CEB6" w:rsidR="00065501" w:rsidRPr="00285057" w:rsidRDefault="00065501" w:rsidP="004A7094">
            <w:pPr>
              <w:pStyle w:val="Tabletext"/>
              <w:cnfStyle w:val="000000000000" w:firstRow="0" w:lastRow="0" w:firstColumn="0" w:lastColumn="0" w:oddVBand="0" w:evenVBand="0" w:oddHBand="0" w:evenHBand="0" w:firstRowFirstColumn="0" w:firstRowLastColumn="0" w:lastRowFirstColumn="0" w:lastRowLastColumn="0"/>
              <w:rPr>
                <w:szCs w:val="20"/>
              </w:rPr>
            </w:pPr>
            <w:r w:rsidRPr="004A426E">
              <w:rPr>
                <w:szCs w:val="20"/>
              </w:rPr>
              <w:t>United States Consumer Product Safety Commission</w:t>
            </w:r>
          </w:p>
        </w:tc>
      </w:tr>
    </w:tbl>
    <w:p w14:paraId="1479EBC3" w14:textId="0D69DB25" w:rsidR="00420B15" w:rsidRDefault="00420B15" w:rsidP="00B63B0F">
      <w:pPr>
        <w:sectPr w:rsidR="00420B15" w:rsidSect="00A86A08">
          <w:pgSz w:w="11906" w:h="16838"/>
          <w:pgMar w:top="1276" w:right="1440" w:bottom="1440" w:left="1440" w:header="708" w:footer="708" w:gutter="0"/>
          <w:pgNumType w:fmt="lowerRoman"/>
          <w:cols w:space="708"/>
          <w:docGrid w:linePitch="360"/>
        </w:sectPr>
      </w:pPr>
    </w:p>
    <w:p w14:paraId="10CA8ED4" w14:textId="35315C32" w:rsidR="004A21CC" w:rsidRDefault="004A21CC" w:rsidP="004A7094">
      <w:pPr>
        <w:pStyle w:val="Numbered1"/>
        <w:numPr>
          <w:ilvl w:val="0"/>
          <w:numId w:val="0"/>
        </w:numPr>
        <w:spacing w:before="0"/>
        <w:rPr>
          <w:i/>
          <w:iCs/>
          <w:color w:val="000000" w:themeColor="text1"/>
        </w:rPr>
      </w:pPr>
      <w:bookmarkStart w:id="3" w:name="_Toc110959448"/>
      <w:r>
        <w:t>Have your say</w:t>
      </w:r>
      <w:bookmarkEnd w:id="3"/>
      <w:r>
        <w:t xml:space="preserve"> </w:t>
      </w:r>
    </w:p>
    <w:p w14:paraId="45D604C0" w14:textId="145F3E77" w:rsidR="004A21CC" w:rsidRPr="00CF7756" w:rsidRDefault="004A21CC" w:rsidP="004A21CC">
      <w:r w:rsidRPr="00CF7756">
        <w:t xml:space="preserve">The </w:t>
      </w:r>
      <w:r w:rsidR="0087542C">
        <w:t>Australian Competition and Consumer Commission (</w:t>
      </w:r>
      <w:r w:rsidRPr="00CF7756">
        <w:t>ACCC</w:t>
      </w:r>
      <w:r w:rsidR="0087542C">
        <w:t>)</w:t>
      </w:r>
      <w:r w:rsidRPr="00CF7756">
        <w:t xml:space="preserve"> welcomes submissions from </w:t>
      </w:r>
      <w:r w:rsidR="001B1FB9">
        <w:t>interested stakeholders</w:t>
      </w:r>
      <w:r>
        <w:t xml:space="preserve"> in relation to </w:t>
      </w:r>
      <w:r w:rsidR="001B1FB9">
        <w:t>Infant Sleep Products and I</w:t>
      </w:r>
      <w:r>
        <w:t>n</w:t>
      </w:r>
      <w:r w:rsidR="0000247B">
        <w:t>clined</w:t>
      </w:r>
      <w:r>
        <w:t xml:space="preserve"> </w:t>
      </w:r>
      <w:r w:rsidR="008D06E1">
        <w:t xml:space="preserve">Non-Sleep </w:t>
      </w:r>
      <w:r w:rsidR="001B1FB9">
        <w:t>P</w:t>
      </w:r>
      <w:r>
        <w:t>roducts</w:t>
      </w:r>
      <w:r w:rsidRPr="00CF7756">
        <w:t xml:space="preserve">. </w:t>
      </w:r>
    </w:p>
    <w:p w14:paraId="3E811A42" w14:textId="45BB28D3" w:rsidR="004A21CC" w:rsidRPr="00CF7756" w:rsidRDefault="004A21CC" w:rsidP="004A21CC">
      <w:r w:rsidRPr="00CF7756">
        <w:t xml:space="preserve">This </w:t>
      </w:r>
      <w:r w:rsidR="001B1FB9">
        <w:t>C</w:t>
      </w:r>
      <w:r w:rsidRPr="00CF7756">
        <w:t xml:space="preserve">onsultation </w:t>
      </w:r>
      <w:r w:rsidR="001B1FB9">
        <w:t>P</w:t>
      </w:r>
      <w:r w:rsidRPr="00CF7756">
        <w:t xml:space="preserve">aper includes questions that are designed to elicit feedback and information on the proposed options. Respondents may answer some or all of the questions posed, or can raise a matter not explicitly addressed, as long as it is relevant </w:t>
      </w:r>
      <w:r w:rsidR="004E578E">
        <w:t xml:space="preserve">to </w:t>
      </w:r>
      <w:r>
        <w:t xml:space="preserve">the safety of </w:t>
      </w:r>
      <w:r w:rsidR="001B1FB9">
        <w:t xml:space="preserve">Infant Sleep Products or </w:t>
      </w:r>
      <w:r w:rsidR="0000247B">
        <w:t>Inclined</w:t>
      </w:r>
      <w:r>
        <w:t xml:space="preserve"> </w:t>
      </w:r>
      <w:r w:rsidR="008D06E1">
        <w:t>Non-Sleep</w:t>
      </w:r>
      <w:r>
        <w:t xml:space="preserve"> </w:t>
      </w:r>
      <w:r w:rsidR="001B1FB9">
        <w:t>P</w:t>
      </w:r>
      <w:r>
        <w:t>roducts</w:t>
      </w:r>
      <w:r w:rsidRPr="00CF7756">
        <w:t xml:space="preserve">. Consultation questions are in relevant sections of this paper. </w:t>
      </w:r>
    </w:p>
    <w:p w14:paraId="79D92E04" w14:textId="7FBEFDF0" w:rsidR="004A21CC" w:rsidRDefault="004A21CC" w:rsidP="004A21CC">
      <w:r w:rsidRPr="00CF7756">
        <w:t xml:space="preserve">Submissions must be provided on or </w:t>
      </w:r>
      <w:r w:rsidRPr="00662A9D">
        <w:t xml:space="preserve">before </w:t>
      </w:r>
      <w:r w:rsidR="00662A9D" w:rsidRPr="00BF095E">
        <w:rPr>
          <w:b/>
          <w:bCs/>
        </w:rPr>
        <w:t>11</w:t>
      </w:r>
      <w:r w:rsidRPr="00BF095E">
        <w:rPr>
          <w:b/>
          <w:bCs/>
        </w:rPr>
        <w:t xml:space="preserve"> </w:t>
      </w:r>
      <w:r w:rsidR="00C65EBD" w:rsidRPr="00662A9D">
        <w:rPr>
          <w:b/>
          <w:bCs/>
        </w:rPr>
        <w:t>September</w:t>
      </w:r>
      <w:r w:rsidR="00C65EBD" w:rsidRPr="00E62C14">
        <w:rPr>
          <w:b/>
          <w:bCs/>
        </w:rPr>
        <w:t xml:space="preserve"> </w:t>
      </w:r>
      <w:r w:rsidRPr="00662A9D">
        <w:rPr>
          <w:b/>
          <w:bCs/>
        </w:rPr>
        <w:t>2022</w:t>
      </w:r>
      <w:r w:rsidRPr="00662A9D">
        <w:t>.</w:t>
      </w:r>
      <w:r w:rsidRPr="00CF7756">
        <w:t xml:space="preserve"> </w:t>
      </w:r>
    </w:p>
    <w:p w14:paraId="44FD77BF" w14:textId="2D765E42" w:rsidR="004A21CC" w:rsidRPr="00A771B8" w:rsidRDefault="004A21CC" w:rsidP="001B1FB9">
      <w:pPr>
        <w:spacing w:after="240"/>
        <w:rPr>
          <w:b/>
          <w:bCs/>
        </w:rPr>
      </w:pPr>
      <w:r w:rsidRPr="00CF7756">
        <w:rPr>
          <w:b/>
          <w:bCs/>
        </w:rPr>
        <w:t>Submissions can be lodged</w:t>
      </w:r>
    </w:p>
    <w:tbl>
      <w:tblPr>
        <w:tblStyle w:val="TableGrid"/>
        <w:tblW w:w="9026" w:type="dxa"/>
        <w:tblLook w:val="04A0" w:firstRow="1" w:lastRow="0" w:firstColumn="1" w:lastColumn="0" w:noHBand="0" w:noVBand="1"/>
      </w:tblPr>
      <w:tblGrid>
        <w:gridCol w:w="2977"/>
        <w:gridCol w:w="6049"/>
      </w:tblGrid>
      <w:tr w:rsidR="004A21CC" w14:paraId="789B1024" w14:textId="77777777" w:rsidTr="001B1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4AE7AD8F" w14:textId="77777777" w:rsidR="004A21CC" w:rsidRDefault="004A21CC" w:rsidP="001B1FB9">
            <w:r w:rsidRPr="00CF7756">
              <w:t xml:space="preserve">Online </w:t>
            </w:r>
          </w:p>
        </w:tc>
        <w:tc>
          <w:tcPr>
            <w:tcW w:w="6049" w:type="dxa"/>
          </w:tcPr>
          <w:p w14:paraId="34FA1241" w14:textId="4EDA8A44" w:rsidR="004A21CC" w:rsidRPr="00A771B8" w:rsidRDefault="004A21CC" w:rsidP="001B1FB9">
            <w:pPr>
              <w:cnfStyle w:val="100000000000" w:firstRow="1" w:lastRow="0" w:firstColumn="0" w:lastColumn="0" w:oddVBand="0" w:evenVBand="0" w:oddHBand="0" w:evenHBand="0" w:firstRowFirstColumn="0" w:firstRowLastColumn="0" w:lastRowFirstColumn="0" w:lastRowLastColumn="0"/>
              <w:rPr>
                <w:b w:val="0"/>
                <w:bCs/>
              </w:rPr>
            </w:pPr>
            <w:r w:rsidRPr="00CF7756">
              <w:rPr>
                <w:b w:val="0"/>
                <w:bCs/>
              </w:rPr>
              <w:t xml:space="preserve">ACCC </w:t>
            </w:r>
            <w:r w:rsidR="00BF3522">
              <w:rPr>
                <w:b w:val="0"/>
                <w:bCs/>
              </w:rPr>
              <w:t>C</w:t>
            </w:r>
            <w:r w:rsidRPr="00CF7756">
              <w:rPr>
                <w:b w:val="0"/>
                <w:bCs/>
              </w:rPr>
              <w:t xml:space="preserve">onsultation </w:t>
            </w:r>
            <w:r w:rsidR="00BF3522">
              <w:rPr>
                <w:b w:val="0"/>
                <w:bCs/>
              </w:rPr>
              <w:t>H</w:t>
            </w:r>
            <w:r w:rsidRPr="00CF7756">
              <w:rPr>
                <w:b w:val="0"/>
                <w:bCs/>
              </w:rPr>
              <w:t>ub at</w:t>
            </w:r>
            <w:r w:rsidRPr="00C65EBD">
              <w:rPr>
                <w:b w:val="0"/>
                <w:bCs/>
              </w:rPr>
              <w:t xml:space="preserve">: </w:t>
            </w:r>
            <w:r w:rsidRPr="009F3BA1">
              <w:rPr>
                <w:bCs/>
                <w:u w:val="single"/>
              </w:rPr>
              <w:t>consultation.accc.gov.au/</w:t>
            </w:r>
            <w:r w:rsidRPr="00CF7756">
              <w:rPr>
                <w:b w:val="0"/>
                <w:bCs/>
                <w:u w:val="single"/>
              </w:rPr>
              <w:t xml:space="preserve"> </w:t>
            </w:r>
          </w:p>
        </w:tc>
      </w:tr>
      <w:tr w:rsidR="004A21CC" w14:paraId="49A51035" w14:textId="77777777" w:rsidTr="001B1FB9">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themeColor="background1" w:themeShade="BF"/>
              <w:bottom w:val="single" w:sz="4" w:space="0" w:color="BFBFBF" w:themeColor="background1" w:themeShade="BF"/>
            </w:tcBorders>
          </w:tcPr>
          <w:p w14:paraId="6FC72EAF" w14:textId="77777777" w:rsidR="004A21CC" w:rsidRDefault="004A21CC" w:rsidP="001B1FB9">
            <w:r w:rsidRPr="00CF7756">
              <w:t xml:space="preserve">By email or post </w:t>
            </w:r>
          </w:p>
        </w:tc>
        <w:tc>
          <w:tcPr>
            <w:tcW w:w="6049" w:type="dxa"/>
            <w:tcBorders>
              <w:top w:val="single" w:sz="4" w:space="0" w:color="BFBFBF" w:themeColor="background1" w:themeShade="BF"/>
              <w:bottom w:val="single" w:sz="4" w:space="0" w:color="BFBFBF" w:themeColor="background1" w:themeShade="BF"/>
            </w:tcBorders>
          </w:tcPr>
          <w:p w14:paraId="7557EB79" w14:textId="77777777" w:rsidR="001B1FB9" w:rsidRDefault="004A21CC" w:rsidP="001B1FB9">
            <w:pPr>
              <w:cnfStyle w:val="000000000000" w:firstRow="0" w:lastRow="0" w:firstColumn="0" w:lastColumn="0" w:oddVBand="0" w:evenVBand="0" w:oddHBand="0" w:evenHBand="0" w:firstRowFirstColumn="0" w:firstRowLastColumn="0" w:lastRowFirstColumn="0" w:lastRowLastColumn="0"/>
            </w:pPr>
            <w:r w:rsidRPr="00CF7756">
              <w:t>Director</w:t>
            </w:r>
          </w:p>
          <w:p w14:paraId="4756E849" w14:textId="5341F1B0" w:rsidR="004A21CC" w:rsidRPr="00CF7756" w:rsidRDefault="001B1FB9" w:rsidP="001B1FB9">
            <w:pPr>
              <w:cnfStyle w:val="000000000000" w:firstRow="0" w:lastRow="0" w:firstColumn="0" w:lastColumn="0" w:oddVBand="0" w:evenVBand="0" w:oddHBand="0" w:evenHBand="0" w:firstRowFirstColumn="0" w:firstRowLastColumn="0" w:lastRowFirstColumn="0" w:lastRowLastColumn="0"/>
            </w:pPr>
            <w:r>
              <w:t xml:space="preserve">Infant Inclined Products </w:t>
            </w:r>
            <w:r w:rsidR="004A21CC" w:rsidRPr="00CF7756">
              <w:t xml:space="preserve"> </w:t>
            </w:r>
          </w:p>
          <w:p w14:paraId="6C1A03F8" w14:textId="77777777" w:rsidR="004A21CC" w:rsidRPr="00CF7756" w:rsidRDefault="004A21CC" w:rsidP="001B1FB9">
            <w:pPr>
              <w:cnfStyle w:val="000000000000" w:firstRow="0" w:lastRow="0" w:firstColumn="0" w:lastColumn="0" w:oddVBand="0" w:evenVBand="0" w:oddHBand="0" w:evenHBand="0" w:firstRowFirstColumn="0" w:firstRowLastColumn="0" w:lastRowFirstColumn="0" w:lastRowLastColumn="0"/>
            </w:pPr>
            <w:r w:rsidRPr="00CF7756">
              <w:t xml:space="preserve">Australian Competition &amp; Consumer Commission </w:t>
            </w:r>
          </w:p>
          <w:p w14:paraId="720F6CA7" w14:textId="77777777" w:rsidR="001B1FB9" w:rsidRDefault="004A21CC" w:rsidP="001B1FB9">
            <w:pPr>
              <w:cnfStyle w:val="000000000000" w:firstRow="0" w:lastRow="0" w:firstColumn="0" w:lastColumn="0" w:oddVBand="0" w:evenVBand="0" w:oddHBand="0" w:evenHBand="0" w:firstRowFirstColumn="0" w:firstRowLastColumn="0" w:lastRowFirstColumn="0" w:lastRowLastColumn="0"/>
            </w:pPr>
            <w:r w:rsidRPr="00CF7756">
              <w:t xml:space="preserve">GPO Box 3131 </w:t>
            </w:r>
          </w:p>
          <w:p w14:paraId="3FAF7840" w14:textId="1435E142" w:rsidR="004A21CC" w:rsidRDefault="001B1FB9" w:rsidP="001B1FB9">
            <w:pPr>
              <w:cnfStyle w:val="000000000000" w:firstRow="0" w:lastRow="0" w:firstColumn="0" w:lastColumn="0" w:oddVBand="0" w:evenVBand="0" w:oddHBand="0" w:evenHBand="0" w:firstRowFirstColumn="0" w:firstRowLastColumn="0" w:lastRowFirstColumn="0" w:lastRowLastColumn="0"/>
            </w:pPr>
            <w:r>
              <w:t>Canberra</w:t>
            </w:r>
            <w:r w:rsidR="004A21CC" w:rsidRPr="00CF7756">
              <w:t xml:space="preserve"> ACT 2601 </w:t>
            </w:r>
          </w:p>
        </w:tc>
      </w:tr>
      <w:tr w:rsidR="004A21CC" w14:paraId="2067176A" w14:textId="77777777" w:rsidTr="001B1FB9">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themeColor="background1" w:themeShade="BF"/>
              <w:bottom w:val="single" w:sz="4" w:space="0" w:color="BFBFBF" w:themeColor="background1" w:themeShade="BF"/>
            </w:tcBorders>
          </w:tcPr>
          <w:p w14:paraId="5C6B9CBD" w14:textId="77777777" w:rsidR="004A21CC" w:rsidRDefault="004A21CC" w:rsidP="001B1FB9">
            <w:r w:rsidRPr="00CF7756">
              <w:t xml:space="preserve">Contacts </w:t>
            </w:r>
          </w:p>
        </w:tc>
        <w:tc>
          <w:tcPr>
            <w:tcW w:w="6049" w:type="dxa"/>
            <w:tcBorders>
              <w:top w:val="single" w:sz="4" w:space="0" w:color="BFBFBF" w:themeColor="background1" w:themeShade="BF"/>
              <w:bottom w:val="single" w:sz="4" w:space="0" w:color="BFBFBF" w:themeColor="background1" w:themeShade="BF"/>
            </w:tcBorders>
          </w:tcPr>
          <w:p w14:paraId="2768F68C" w14:textId="5DDD5F25" w:rsidR="004A21CC" w:rsidRPr="00CF7756" w:rsidRDefault="001B1FB9" w:rsidP="001B1FB9">
            <w:pPr>
              <w:cnfStyle w:val="000000000000" w:firstRow="0" w:lastRow="0" w:firstColumn="0" w:lastColumn="0" w:oddVBand="0" w:evenVBand="0" w:oddHBand="0" w:evenHBand="0" w:firstRowFirstColumn="0" w:firstRowLastColumn="0" w:lastRowFirstColumn="0" w:lastRowLastColumn="0"/>
            </w:pPr>
            <w:r>
              <w:t>Kerin Callard</w:t>
            </w:r>
            <w:r w:rsidR="004A21CC" w:rsidRPr="00CF7756">
              <w:t xml:space="preserve"> </w:t>
            </w:r>
          </w:p>
          <w:p w14:paraId="4C9104F1" w14:textId="10AF7EBC" w:rsidR="002E7CC6" w:rsidRDefault="004A21CC" w:rsidP="002E7CC6">
            <w:pPr>
              <w:cnfStyle w:val="000000000000" w:firstRow="0" w:lastRow="0" w:firstColumn="0" w:lastColumn="0" w:oddVBand="0" w:evenVBand="0" w:oddHBand="0" w:evenHBand="0" w:firstRowFirstColumn="0" w:firstRowLastColumn="0" w:lastRowFirstColumn="0" w:lastRowLastColumn="0"/>
            </w:pPr>
            <w:r w:rsidRPr="00CF7756">
              <w:t xml:space="preserve">Phone: </w:t>
            </w:r>
            <w:r w:rsidR="002E7CC6" w:rsidRPr="002E7CC6">
              <w:t>(02) 6243 1007</w:t>
            </w:r>
          </w:p>
          <w:p w14:paraId="72C8E787" w14:textId="4D8A454A" w:rsidR="004A21CC" w:rsidRDefault="004A21CC" w:rsidP="002E7CC6">
            <w:pPr>
              <w:cnfStyle w:val="000000000000" w:firstRow="0" w:lastRow="0" w:firstColumn="0" w:lastColumn="0" w:oddVBand="0" w:evenVBand="0" w:oddHBand="0" w:evenHBand="0" w:firstRowFirstColumn="0" w:firstRowLastColumn="0" w:lastRowFirstColumn="0" w:lastRowLastColumn="0"/>
            </w:pPr>
            <w:r>
              <w:t>Email:</w:t>
            </w:r>
            <w:r w:rsidRPr="00CF7756">
              <w:t xml:space="preserve"> </w:t>
            </w:r>
            <w:hyperlink r:id="rId13" w:history="1">
              <w:r w:rsidR="002E7CC6" w:rsidRPr="002E7CC6">
                <w:rPr>
                  <w:rStyle w:val="Hyperlink"/>
                  <w:sz w:val="20"/>
                  <w:szCs w:val="20"/>
                </w:rPr>
                <w:t>IIPMarketReview@accc.gov.au</w:t>
              </w:r>
            </w:hyperlink>
            <w:r w:rsidR="002E7CC6" w:rsidRPr="002E7CC6">
              <w:rPr>
                <w:szCs w:val="20"/>
                <w:u w:val="single"/>
              </w:rPr>
              <w:t xml:space="preserve"> </w:t>
            </w:r>
          </w:p>
        </w:tc>
      </w:tr>
      <w:tr w:rsidR="004A21CC" w14:paraId="3F9B47BC" w14:textId="77777777" w:rsidTr="001B1FB9">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BFBFBF" w:themeColor="background1" w:themeShade="BF"/>
            </w:tcBorders>
          </w:tcPr>
          <w:p w14:paraId="2DF9F5C8" w14:textId="77777777" w:rsidR="004A21CC" w:rsidRDefault="004A21CC" w:rsidP="001B1FB9">
            <w:r w:rsidRPr="00CF7756">
              <w:t xml:space="preserve">Website </w:t>
            </w:r>
          </w:p>
        </w:tc>
        <w:tc>
          <w:tcPr>
            <w:tcW w:w="6049" w:type="dxa"/>
            <w:tcBorders>
              <w:top w:val="single" w:sz="4" w:space="0" w:color="BFBFBF" w:themeColor="background1" w:themeShade="BF"/>
            </w:tcBorders>
          </w:tcPr>
          <w:p w14:paraId="6956BCF1" w14:textId="29B49ACB" w:rsidR="004A21CC" w:rsidRDefault="004A21CC" w:rsidP="001B1FB9">
            <w:pPr>
              <w:cnfStyle w:val="000000000000" w:firstRow="0" w:lastRow="0" w:firstColumn="0" w:lastColumn="0" w:oddVBand="0" w:evenVBand="0" w:oddHBand="0" w:evenHBand="0" w:firstRowFirstColumn="0" w:firstRowLastColumn="0" w:lastRowFirstColumn="0" w:lastRowLastColumn="0"/>
            </w:pPr>
            <w:r w:rsidRPr="00BF095E">
              <w:rPr>
                <w:u w:val="single"/>
              </w:rPr>
              <w:t>productsafety.gov.au</w:t>
            </w:r>
            <w:r w:rsidRPr="00CF7756">
              <w:rPr>
                <w:u w:val="single"/>
              </w:rPr>
              <w:t xml:space="preserve"> </w:t>
            </w:r>
          </w:p>
        </w:tc>
      </w:tr>
    </w:tbl>
    <w:p w14:paraId="1F0D480D" w14:textId="77777777" w:rsidR="004A21CC" w:rsidRPr="007275E3" w:rsidRDefault="004A21CC" w:rsidP="004A21CC">
      <w:r w:rsidRPr="007275E3">
        <w:t xml:space="preserve">All submissions will be treated as public documents and published on the ACCC website, </w:t>
      </w:r>
      <w:hyperlink r:id="rId14" w:history="1">
        <w:r w:rsidRPr="002377FA">
          <w:rPr>
            <w:rStyle w:val="Hyperlink"/>
          </w:rPr>
          <w:t>www.productsafety.gov.au</w:t>
        </w:r>
      </w:hyperlink>
      <w:r w:rsidRPr="007275E3">
        <w:t xml:space="preserve">, unless otherwise requested. Parties wishing to submit confidential information are requested to: </w:t>
      </w:r>
    </w:p>
    <w:p w14:paraId="5B91D850" w14:textId="77777777" w:rsidR="004A21CC" w:rsidRPr="007275E3" w:rsidRDefault="004A21CC" w:rsidP="00F840EA">
      <w:pPr>
        <w:pStyle w:val="Bulletpoint"/>
      </w:pPr>
      <w:r w:rsidRPr="007275E3">
        <w:t>clearly identify the information that is the subject of the confidentiality claim—the identified information must be genuinely of a confidential nature and not otherwise publicly available</w:t>
      </w:r>
      <w:r>
        <w:t>.</w:t>
      </w:r>
    </w:p>
    <w:p w14:paraId="05245ABE" w14:textId="77777777" w:rsidR="004A21CC" w:rsidRPr="007275E3" w:rsidRDefault="004A21CC" w:rsidP="00F840EA">
      <w:pPr>
        <w:pStyle w:val="Bulletpoint"/>
      </w:pPr>
      <w:r w:rsidRPr="007275E3">
        <w:t xml:space="preserve">provide a non-confidential version of the submission in a form suitable for publication—this public version should identify where confidential information has been redacted. </w:t>
      </w:r>
    </w:p>
    <w:p w14:paraId="5EB9F128" w14:textId="77777777" w:rsidR="004A21CC" w:rsidRDefault="004A21CC" w:rsidP="004A21CC">
      <w:r w:rsidRPr="007275E3">
        <w:t xml:space="preserve">The ACCC will not disclose the confidential information to third parties, other than advisers or consultants engaged directly by the ACCC, except where permitted or required by law. </w:t>
      </w:r>
      <w:r>
        <w:t xml:space="preserve">The general policy of the ACCC on the collection, use and disclosure of information is set out in the </w:t>
      </w:r>
      <w:hyperlink r:id="rId15" w:history="1">
        <w:r w:rsidRPr="00C4787B">
          <w:rPr>
            <w:rStyle w:val="Hyperlink"/>
          </w:rPr>
          <w:t>ACCC</w:t>
        </w:r>
        <w:r>
          <w:rPr>
            <w:rStyle w:val="Hyperlink"/>
          </w:rPr>
          <w:t>/AER</w:t>
        </w:r>
        <w:r w:rsidRPr="00C4787B">
          <w:rPr>
            <w:rStyle w:val="Hyperlink"/>
          </w:rPr>
          <w:t xml:space="preserve"> Information Policy (June 2014)</w:t>
        </w:r>
      </w:hyperlink>
      <w:r>
        <w:t>.</w:t>
      </w:r>
    </w:p>
    <w:p w14:paraId="34B84E93" w14:textId="2179C067" w:rsidR="00B20721" w:rsidRDefault="00B20721" w:rsidP="00426E2B">
      <w:pPr>
        <w:rPr>
          <w:rFonts w:eastAsiaTheme="majorEastAsia" w:cstheme="majorBidi"/>
          <w:b/>
          <w:bCs/>
          <w:color w:val="000000" w:themeColor="text1" w:themeShade="BF"/>
          <w:sz w:val="24"/>
        </w:rPr>
      </w:pPr>
      <w:r>
        <w:br w:type="page"/>
      </w:r>
    </w:p>
    <w:p w14:paraId="4485BD06" w14:textId="77777777" w:rsidR="00363D62" w:rsidRDefault="00363D62" w:rsidP="00363D62">
      <w:pPr>
        <w:pStyle w:val="Numbered1"/>
        <w:numPr>
          <w:ilvl w:val="0"/>
          <w:numId w:val="0"/>
        </w:numPr>
        <w:ind w:left="360" w:hanging="360"/>
      </w:pPr>
      <w:bookmarkStart w:id="4" w:name="_Toc110959449"/>
      <w:r>
        <w:t>Scope</w:t>
      </w:r>
      <w:bookmarkEnd w:id="4"/>
      <w:r>
        <w:t xml:space="preserve"> </w:t>
      </w:r>
    </w:p>
    <w:p w14:paraId="59B17AED" w14:textId="68C96390" w:rsidR="00363D62" w:rsidRDefault="00363D62" w:rsidP="00363D62">
      <w:r>
        <w:t>This consultation relates to all ‘</w:t>
      </w:r>
      <w:r w:rsidRPr="00357A52">
        <w:rPr>
          <w:b/>
          <w:bCs/>
        </w:rPr>
        <w:t>Infant Sleep Products</w:t>
      </w:r>
      <w:r>
        <w:t xml:space="preserve">’, being any product that has a surface on which an infant may lie which creates a sleep environment, </w:t>
      </w:r>
      <w:r w:rsidRPr="00C36260">
        <w:t xml:space="preserve">including </w:t>
      </w:r>
      <w:r>
        <w:t>products that</w:t>
      </w:r>
      <w:r w:rsidRPr="00C36260">
        <w:t xml:space="preserve"> soothe or settle</w:t>
      </w:r>
      <w:r>
        <w:t xml:space="preserve">. Examples of Infant Sleep Products </w:t>
      </w:r>
      <w:r w:rsidRPr="003662C9">
        <w:t>include</w:t>
      </w:r>
      <w:r>
        <w:t xml:space="preserve"> baby hammocks, bassinets, bedside sleepers, household </w:t>
      </w:r>
      <w:r w:rsidR="00425CB8">
        <w:t xml:space="preserve">cots </w:t>
      </w:r>
      <w:r>
        <w:t>and folding cots.</w:t>
      </w:r>
      <w:r w:rsidR="0006291F">
        <w:t xml:space="preserve"> Infant Sleep Products include</w:t>
      </w:r>
      <w:r w:rsidR="008731EF">
        <w:t xml:space="preserve">s Inclined Sleep Products (see below). </w:t>
      </w:r>
    </w:p>
    <w:p w14:paraId="08C5B795" w14:textId="25B58A43" w:rsidR="00363D62" w:rsidRDefault="00363D62" w:rsidP="00363D62">
      <w:r>
        <w:t xml:space="preserve">A specific risk being addressed in this consultation is incline. As such, the ACCC uses the following additional </w:t>
      </w:r>
      <w:r w:rsidR="007F14CC">
        <w:t>definitions</w:t>
      </w:r>
      <w:r>
        <w:t xml:space="preserve">: </w:t>
      </w:r>
    </w:p>
    <w:p w14:paraId="24208EAC" w14:textId="77777777" w:rsidR="00363D62" w:rsidRDefault="00363D62" w:rsidP="00363D62">
      <w:pPr>
        <w:pStyle w:val="Bulletpoint"/>
      </w:pPr>
      <w:r>
        <w:rPr>
          <w:b/>
          <w:bCs/>
        </w:rPr>
        <w:t>‘</w:t>
      </w:r>
      <w:r w:rsidRPr="00FC4A48">
        <w:rPr>
          <w:b/>
          <w:bCs/>
        </w:rPr>
        <w:t>Inclined Sleep Products</w:t>
      </w:r>
      <w:r>
        <w:t>’ being</w:t>
      </w:r>
      <w:r w:rsidRPr="00C36260">
        <w:t xml:space="preserve"> any </w:t>
      </w:r>
      <w:r>
        <w:t>inclined</w:t>
      </w:r>
      <w:r w:rsidRPr="00C36260">
        <w:t xml:space="preserve"> product</w:t>
      </w:r>
      <w:r>
        <w:t xml:space="preserve"> for infants</w:t>
      </w:r>
      <w:r w:rsidRPr="00C36260">
        <w:t xml:space="preserve"> that position the infant’s head above the horizontal, which is designed, intended, marketed or contains representations that it is suitable for infant sleep</w:t>
      </w:r>
      <w:r>
        <w:t xml:space="preserve">. </w:t>
      </w:r>
    </w:p>
    <w:p w14:paraId="100E112A" w14:textId="77777777" w:rsidR="00363D62" w:rsidRPr="00C36260" w:rsidRDefault="00363D62" w:rsidP="00363D62">
      <w:pPr>
        <w:pStyle w:val="Bulletpoint"/>
        <w:numPr>
          <w:ilvl w:val="0"/>
          <w:numId w:val="0"/>
        </w:numPr>
        <w:ind w:left="360"/>
      </w:pPr>
      <w:r>
        <w:t>Examples of Inclined Sleep Products include inclined sleepers and rockers marketed for sleep.</w:t>
      </w:r>
    </w:p>
    <w:p w14:paraId="06B51FF9" w14:textId="77777777" w:rsidR="00363D62" w:rsidRDefault="00363D62" w:rsidP="00363D62">
      <w:pPr>
        <w:pStyle w:val="Bulletpoint"/>
      </w:pPr>
      <w:r w:rsidRPr="00C36260">
        <w:rPr>
          <w:b/>
          <w:bCs/>
        </w:rPr>
        <w:t>‘</w:t>
      </w:r>
      <w:r>
        <w:rPr>
          <w:b/>
          <w:bCs/>
        </w:rPr>
        <w:t>Inclined</w:t>
      </w:r>
      <w:r w:rsidRPr="00C36260">
        <w:rPr>
          <w:b/>
          <w:bCs/>
        </w:rPr>
        <w:t xml:space="preserve"> Non-Sleep Products</w:t>
      </w:r>
      <w:r w:rsidRPr="00C36260">
        <w:t xml:space="preserve">’ </w:t>
      </w:r>
      <w:r>
        <w:t>being</w:t>
      </w:r>
      <w:r w:rsidRPr="00C36260">
        <w:t xml:space="preserve"> any </w:t>
      </w:r>
      <w:r>
        <w:t>inclined</w:t>
      </w:r>
      <w:r w:rsidRPr="00C36260">
        <w:t xml:space="preserve"> product</w:t>
      </w:r>
      <w:r>
        <w:t xml:space="preserve"> for infants</w:t>
      </w:r>
      <w:r w:rsidRPr="00C36260">
        <w:t xml:space="preserve"> that position the infant’s head above the horizontal, which is not designed,</w:t>
      </w:r>
      <w:r w:rsidRPr="00C228E5">
        <w:t xml:space="preserve"> intended</w:t>
      </w:r>
      <w:r>
        <w:t xml:space="preserve">, </w:t>
      </w:r>
      <w:r w:rsidRPr="00C228E5">
        <w:t xml:space="preserve">marketed </w:t>
      </w:r>
      <w:r>
        <w:t>or</w:t>
      </w:r>
      <w:r w:rsidRPr="00C228E5">
        <w:t xml:space="preserve"> contain any representation</w:t>
      </w:r>
      <w:r>
        <w:t>s</w:t>
      </w:r>
      <w:r w:rsidRPr="00C228E5">
        <w:t xml:space="preserve"> that it is suitable for sleep</w:t>
      </w:r>
      <w:r>
        <w:t xml:space="preserve">, but where an infant may still fall asleep. </w:t>
      </w:r>
    </w:p>
    <w:p w14:paraId="6D985145" w14:textId="77777777" w:rsidR="00363D62" w:rsidRDefault="00363D62" w:rsidP="00363D62">
      <w:pPr>
        <w:pStyle w:val="Bulletpoint"/>
        <w:numPr>
          <w:ilvl w:val="0"/>
          <w:numId w:val="0"/>
        </w:numPr>
        <w:ind w:left="360"/>
      </w:pPr>
      <w:r>
        <w:t xml:space="preserve">Examples of Inclined Non-Sleep Products include </w:t>
      </w:r>
      <w:r w:rsidRPr="00B65BC1">
        <w:t>infant swings</w:t>
      </w:r>
      <w:r>
        <w:t xml:space="preserve"> and</w:t>
      </w:r>
      <w:r w:rsidRPr="00B65BC1">
        <w:t xml:space="preserve"> bouncer seats</w:t>
      </w:r>
      <w:r>
        <w:t xml:space="preserve">. </w:t>
      </w:r>
    </w:p>
    <w:p w14:paraId="0772BEA7" w14:textId="6620C0CD" w:rsidR="00363D62" w:rsidRDefault="00363D62" w:rsidP="00363D62">
      <w:r w:rsidRPr="00122F31">
        <w:t>The application of these definitions to a particular product will depend upon a</w:t>
      </w:r>
      <w:r>
        <w:t>n objective</w:t>
      </w:r>
      <w:r w:rsidRPr="00122F31">
        <w:t xml:space="preserve"> assessment of the product and associated marketing and information. </w:t>
      </w:r>
      <w:r>
        <w:t xml:space="preserve">For example, a rocker may fall into both </w:t>
      </w:r>
      <w:r w:rsidR="00D7101A">
        <w:t xml:space="preserve">definitions </w:t>
      </w:r>
      <w:r>
        <w:t xml:space="preserve">depending on whether the packaging or advertising represents the product as appropriate for sleep, including images showing a baby sleeping.  </w:t>
      </w:r>
    </w:p>
    <w:p w14:paraId="5808C670" w14:textId="7E3748F4" w:rsidR="00363D62" w:rsidRDefault="00363D62" w:rsidP="00363D62">
      <w:r w:rsidRPr="00157CE7">
        <w:t xml:space="preserve">Table </w:t>
      </w:r>
      <w:r w:rsidR="002B2B8F">
        <w:t>1</w:t>
      </w:r>
      <w:r w:rsidRPr="00BC2FEB">
        <w:t xml:space="preserve"> illustrates </w:t>
      </w:r>
      <w:r>
        <w:t>some</w:t>
      </w:r>
      <w:r w:rsidRPr="009002B9">
        <w:t xml:space="preserve"> infant products</w:t>
      </w:r>
      <w:r>
        <w:t xml:space="preserve"> captured by the product categories. </w:t>
      </w:r>
    </w:p>
    <w:p w14:paraId="63B1923F" w14:textId="77777777" w:rsidR="00363D62" w:rsidRDefault="00363D62" w:rsidP="00363D62">
      <w:pPr>
        <w:pStyle w:val="Numbered111"/>
        <w:numPr>
          <w:ilvl w:val="0"/>
          <w:numId w:val="0"/>
        </w:numPr>
        <w:ind w:left="1224" w:hanging="1224"/>
      </w:pPr>
      <w:bookmarkStart w:id="5" w:name="_Toc109039338"/>
      <w:bookmarkStart w:id="6" w:name="_Toc110871606"/>
      <w:bookmarkStart w:id="7" w:name="_Toc110959450"/>
      <w:r>
        <w:t>Exclusions</w:t>
      </w:r>
      <w:bookmarkEnd w:id="5"/>
      <w:bookmarkEnd w:id="6"/>
      <w:bookmarkEnd w:id="7"/>
    </w:p>
    <w:p w14:paraId="2E4479BE" w14:textId="77777777" w:rsidR="00363D62" w:rsidRDefault="00363D62" w:rsidP="00363D62">
      <w:r>
        <w:t>Some</w:t>
      </w:r>
      <w:r w:rsidRPr="00277475">
        <w:t xml:space="preserve"> products that may fall within </w:t>
      </w:r>
      <w:r w:rsidRPr="009656CF">
        <w:t>the</w:t>
      </w:r>
      <w:r>
        <w:t>se</w:t>
      </w:r>
      <w:r w:rsidRPr="009656CF">
        <w:t xml:space="preserve"> definitions are already subject to </w:t>
      </w:r>
      <w:r w:rsidRPr="008B2787">
        <w:t>mandatory standard</w:t>
      </w:r>
      <w:r>
        <w:t>s</w:t>
      </w:r>
      <w:r w:rsidRPr="008B2787">
        <w:t>, such as baby walkers, beanbags, prams, strollers</w:t>
      </w:r>
      <w:r>
        <w:t>, and</w:t>
      </w:r>
      <w:r w:rsidRPr="008B2787">
        <w:t xml:space="preserve"> car seats</w:t>
      </w:r>
      <w:r>
        <w:t xml:space="preserve"> </w:t>
      </w:r>
      <w:r w:rsidRPr="00DA18AA">
        <w:t>including capsules.</w:t>
      </w:r>
      <w:r>
        <w:rPr>
          <w:rStyle w:val="FootnoteReference"/>
        </w:rPr>
        <w:footnoteReference w:id="3"/>
      </w:r>
      <w:r w:rsidRPr="00277475">
        <w:t xml:space="preserve"> </w:t>
      </w:r>
      <w:r w:rsidRPr="00D203A0">
        <w:t>We do not propose to apply further regulation to these products</w:t>
      </w:r>
      <w:r>
        <w:t>.</w:t>
      </w:r>
      <w:r w:rsidRPr="00D203A0">
        <w:t xml:space="preserve"> </w:t>
      </w:r>
    </w:p>
    <w:p w14:paraId="13FF355C" w14:textId="11916E1D" w:rsidR="00363D62" w:rsidRDefault="00363D62" w:rsidP="00363D62">
      <w:r>
        <w:t>The ACCC expects sleep accessories would be exempt from any regulation. For example, sleep aid toys, infant pillows</w:t>
      </w:r>
      <w:r w:rsidR="00425CB8">
        <w:t xml:space="preserve"> and</w:t>
      </w:r>
      <w:r>
        <w:t xml:space="preserve"> sleep positioning wedges. </w:t>
      </w:r>
    </w:p>
    <w:p w14:paraId="40AEBAE7" w14:textId="77777777" w:rsidR="00363D62" w:rsidRDefault="00363D62" w:rsidP="00363D62">
      <w:r>
        <w:t xml:space="preserve">Inclined Non-Sleep Products would exclude </w:t>
      </w:r>
      <w:r w:rsidRPr="00C36260">
        <w:t xml:space="preserve">products </w:t>
      </w:r>
      <w:r>
        <w:t xml:space="preserve">where the infant is at 90 degrees from the horizontal </w:t>
      </w:r>
      <w:r w:rsidRPr="00C36260">
        <w:t>such as highchairs</w:t>
      </w:r>
      <w:r>
        <w:t xml:space="preserve"> or</w:t>
      </w:r>
      <w:r w:rsidRPr="00C36260">
        <w:t xml:space="preserve"> baby seats.</w:t>
      </w:r>
    </w:p>
    <w:p w14:paraId="0A44F767" w14:textId="77777777" w:rsidR="00363D62" w:rsidRDefault="00363D62" w:rsidP="00363D62">
      <w:pPr>
        <w:spacing w:after="240"/>
      </w:pPr>
      <w:r w:rsidRPr="00277475">
        <w:t xml:space="preserve">The ACCC </w:t>
      </w:r>
      <w:r>
        <w:t xml:space="preserve">also </w:t>
      </w:r>
      <w:r w:rsidRPr="00277475">
        <w:t>considers medical devices subject to regulation by the Therapeutic Goods Administration</w:t>
      </w:r>
      <w:r>
        <w:t xml:space="preserve"> and products designed to carry infants on the body of another person (such as slings) should be excluded from the proposed regulation</w:t>
      </w:r>
      <w:r w:rsidRPr="00277475">
        <w:t>.</w:t>
      </w:r>
    </w:p>
    <w:p w14:paraId="12D3E8D6" w14:textId="77777777" w:rsidR="00363D62" w:rsidRPr="00BA43B8" w:rsidRDefault="00363D62" w:rsidP="00363D62">
      <w:pPr>
        <w:shd w:val="clear" w:color="auto" w:fill="F2F2F2" w:themeFill="background1" w:themeFillShade="F2"/>
        <w:rPr>
          <w:b/>
          <w:bCs/>
          <w:szCs w:val="24"/>
        </w:rPr>
      </w:pPr>
      <w:r w:rsidRPr="00BA43B8">
        <w:rPr>
          <w:b/>
          <w:bCs/>
          <w:szCs w:val="24"/>
        </w:rPr>
        <w:t>Question</w:t>
      </w:r>
    </w:p>
    <w:p w14:paraId="669818FB" w14:textId="77777777" w:rsidR="00363D62" w:rsidRPr="00157CE7" w:rsidRDefault="00363D62" w:rsidP="00363D62">
      <w:pPr>
        <w:pStyle w:val="ListParagraph"/>
        <w:numPr>
          <w:ilvl w:val="0"/>
          <w:numId w:val="64"/>
        </w:numPr>
        <w:shd w:val="clear" w:color="auto" w:fill="F2F2F2" w:themeFill="background1" w:themeFillShade="F2"/>
        <w:rPr>
          <w:bCs/>
          <w:szCs w:val="24"/>
        </w:rPr>
      </w:pPr>
      <w:r w:rsidRPr="00157CE7">
        <w:rPr>
          <w:bCs/>
          <w:szCs w:val="24"/>
        </w:rPr>
        <w:t>Do you agree with the definitions, exceptions and categorisation of Infant Sleep Products, Inclined Sleep Products and Inclined Non-Sleep Products? Please explain your answer.</w:t>
      </w:r>
    </w:p>
    <w:p w14:paraId="60C4DB4F" w14:textId="77777777" w:rsidR="00363D62" w:rsidRDefault="00363D62" w:rsidP="0087596A">
      <w:pPr>
        <w:pStyle w:val="Numbered1"/>
        <w:numPr>
          <w:ilvl w:val="0"/>
          <w:numId w:val="0"/>
        </w:numPr>
        <w:ind w:left="360" w:hanging="360"/>
        <w:sectPr w:rsidR="00363D62" w:rsidSect="00AF441D">
          <w:pgSz w:w="11906" w:h="16838"/>
          <w:pgMar w:top="1276" w:right="1440" w:bottom="1440" w:left="1440" w:header="709" w:footer="709" w:gutter="0"/>
          <w:pgNumType w:fmt="lowerRoman"/>
          <w:cols w:space="708"/>
          <w:docGrid w:linePitch="360"/>
        </w:sectPr>
      </w:pPr>
    </w:p>
    <w:p w14:paraId="7B1E43F5" w14:textId="15DA9264" w:rsidR="00363D62" w:rsidRPr="00176E42" w:rsidRDefault="00363D62" w:rsidP="00363D62">
      <w:pPr>
        <w:pStyle w:val="TableHeading"/>
      </w:pPr>
      <w:r w:rsidRPr="00176E42">
        <w:t xml:space="preserve">Table </w:t>
      </w:r>
      <w:r w:rsidR="002B2B8F">
        <w:t>1</w:t>
      </w:r>
      <w:r w:rsidRPr="00176E42">
        <w:t xml:space="preserve">: </w:t>
      </w:r>
      <w:r w:rsidR="00425CB8">
        <w:t xml:space="preserve">Images of </w:t>
      </w:r>
      <w:r w:rsidRPr="00176E42">
        <w:t>infant product</w:t>
      </w:r>
      <w:r w:rsidR="00425CB8">
        <w:t xml:space="preserve"> types</w:t>
      </w:r>
      <w:r w:rsidRPr="00176E42">
        <w:t xml:space="preserve"> </w:t>
      </w:r>
    </w:p>
    <w:p w14:paraId="5321FB2C" w14:textId="77777777" w:rsidR="00363D62" w:rsidRPr="00232A07" w:rsidRDefault="00363D62" w:rsidP="00363D62">
      <w:pPr>
        <w:pStyle w:val="TableHeading"/>
        <w:rPr>
          <w:sz w:val="2"/>
          <w:szCs w:val="2"/>
        </w:rPr>
      </w:pPr>
    </w:p>
    <w:tbl>
      <w:tblPr>
        <w:tblStyle w:val="TableGrid"/>
        <w:tblW w:w="9026" w:type="dxa"/>
        <w:jc w:val="center"/>
        <w:tblBorders>
          <w:top w:val="none" w:sz="0" w:space="0" w:color="auto"/>
          <w:bottom w:val="none" w:sz="0" w:space="0" w:color="auto"/>
        </w:tblBorders>
        <w:tblLook w:val="04A0" w:firstRow="1" w:lastRow="0" w:firstColumn="1" w:lastColumn="0" w:noHBand="0" w:noVBand="1"/>
      </w:tblPr>
      <w:tblGrid>
        <w:gridCol w:w="1402"/>
        <w:gridCol w:w="2760"/>
        <w:gridCol w:w="420"/>
        <w:gridCol w:w="1942"/>
        <w:gridCol w:w="2502"/>
      </w:tblGrid>
      <w:tr w:rsidR="00363D62" w:rsidRPr="00892C45" w14:paraId="2B5360EF" w14:textId="77777777" w:rsidTr="00302C1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59ADB9D9" w14:textId="77777777" w:rsidR="00363D62" w:rsidRPr="00792AED" w:rsidRDefault="00363D62" w:rsidP="00302C1B">
            <w:pPr>
              <w:pStyle w:val="Tabletext"/>
            </w:pPr>
            <w:bookmarkStart w:id="8" w:name="_Hlk104536635"/>
            <w:r w:rsidRPr="00792AED">
              <w:t>Product</w:t>
            </w:r>
          </w:p>
        </w:tc>
        <w:tc>
          <w:tcPr>
            <w:tcW w:w="2780"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78BFA520" w14:textId="77777777" w:rsidR="00363D62" w:rsidRPr="00792AED" w:rsidRDefault="00363D62" w:rsidP="00302C1B">
            <w:pPr>
              <w:pStyle w:val="Tabletext"/>
              <w:cnfStyle w:val="100000000000" w:firstRow="1" w:lastRow="0" w:firstColumn="0" w:lastColumn="0" w:oddVBand="0" w:evenVBand="0" w:oddHBand="0" w:evenHBand="0" w:firstRowFirstColumn="0" w:firstRowLastColumn="0" w:lastRowFirstColumn="0" w:lastRowLastColumn="0"/>
            </w:pPr>
            <w:r w:rsidRPr="00792AED">
              <w:t>Product Example</w:t>
            </w:r>
          </w:p>
        </w:tc>
        <w:tc>
          <w:tcPr>
            <w:tcW w:w="437" w:type="dxa"/>
            <w:vMerge w:val="restar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vAlign w:val="center"/>
          </w:tcPr>
          <w:p w14:paraId="6B2EC105" w14:textId="77777777" w:rsidR="00363D62" w:rsidRPr="00792AED" w:rsidRDefault="00363D62" w:rsidP="00302C1B">
            <w:pPr>
              <w:pStyle w:val="Tabletext"/>
              <w:cnfStyle w:val="100000000000" w:firstRow="1" w:lastRow="0" w:firstColumn="0" w:lastColumn="0" w:oddVBand="0" w:evenVBand="0" w:oddHBand="0" w:evenHBand="0" w:firstRowFirstColumn="0" w:firstRowLastColumn="0" w:lastRowFirstColumn="0" w:lastRowLastColumn="0"/>
            </w:pPr>
          </w:p>
        </w:tc>
        <w:tc>
          <w:tcPr>
            <w:tcW w:w="1975"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7BAFDB84" w14:textId="77777777" w:rsidR="00363D62" w:rsidRPr="00792AED" w:rsidRDefault="00363D62" w:rsidP="00302C1B">
            <w:pPr>
              <w:pStyle w:val="Tabletext"/>
              <w:cnfStyle w:val="100000000000" w:firstRow="1" w:lastRow="0" w:firstColumn="0" w:lastColumn="0" w:oddVBand="0" w:evenVBand="0" w:oddHBand="0" w:evenHBand="0" w:firstRowFirstColumn="0" w:firstRowLastColumn="0" w:lastRowFirstColumn="0" w:lastRowLastColumn="0"/>
            </w:pPr>
            <w:r w:rsidRPr="00792AED">
              <w:t>Product</w:t>
            </w:r>
          </w:p>
        </w:tc>
        <w:tc>
          <w:tcPr>
            <w:tcW w:w="2413"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24855D27" w14:textId="77777777" w:rsidR="00363D62" w:rsidRPr="00792AED" w:rsidRDefault="00363D62" w:rsidP="00302C1B">
            <w:pPr>
              <w:pStyle w:val="Tabletext"/>
              <w:cnfStyle w:val="100000000000" w:firstRow="1" w:lastRow="0" w:firstColumn="0" w:lastColumn="0" w:oddVBand="0" w:evenVBand="0" w:oddHBand="0" w:evenHBand="0" w:firstRowFirstColumn="0" w:firstRowLastColumn="0" w:lastRowFirstColumn="0" w:lastRowLastColumn="0"/>
            </w:pPr>
            <w:r w:rsidRPr="00792AED">
              <w:t>Product Example</w:t>
            </w:r>
          </w:p>
        </w:tc>
      </w:tr>
      <w:tr w:rsidR="00363D62" w:rsidRPr="00892C45" w14:paraId="41942281" w14:textId="77777777" w:rsidTr="00302C1B">
        <w:trPr>
          <w:jc w:val="center"/>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38BA7A68" w14:textId="77777777" w:rsidR="00363D62" w:rsidRPr="004C3AA7" w:rsidRDefault="00363D62" w:rsidP="00302C1B">
            <w:pPr>
              <w:pStyle w:val="Tabletext"/>
              <w:rPr>
                <w:bCs/>
              </w:rPr>
            </w:pPr>
            <w:r w:rsidRPr="004C3AA7">
              <w:rPr>
                <w:b w:val="0"/>
                <w:bCs/>
              </w:rPr>
              <w:t>Baby hammock</w:t>
            </w:r>
          </w:p>
        </w:tc>
        <w:tc>
          <w:tcPr>
            <w:tcW w:w="2780"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64F6A97E"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anchor distT="0" distB="0" distL="114300" distR="114300" simplePos="0" relativeHeight="251661312" behindDoc="0" locked="0" layoutInCell="1" allowOverlap="1" wp14:anchorId="447B89C1" wp14:editId="7DECBE85">
                  <wp:simplePos x="0" y="0"/>
                  <wp:positionH relativeFrom="column">
                    <wp:posOffset>178435</wp:posOffset>
                  </wp:positionH>
                  <wp:positionV relativeFrom="paragraph">
                    <wp:posOffset>131445</wp:posOffset>
                  </wp:positionV>
                  <wp:extent cx="1040765" cy="1370965"/>
                  <wp:effectExtent l="0" t="0" r="6985" b="635"/>
                  <wp:wrapSquare wrapText="bothSides"/>
                  <wp:docPr id="5" name="Picture 5"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lt=&quot;&qu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0765" cy="1370965"/>
                          </a:xfrm>
                          <a:prstGeom prst="rect">
                            <a:avLst/>
                          </a:prstGeom>
                        </pic:spPr>
                      </pic:pic>
                    </a:graphicData>
                  </a:graphic>
                  <wp14:sizeRelH relativeFrom="margin">
                    <wp14:pctWidth>0</wp14:pctWidth>
                  </wp14:sizeRelH>
                  <wp14:sizeRelV relativeFrom="margin">
                    <wp14:pctHeight>0</wp14:pctHeight>
                  </wp14:sizeRelV>
                </wp:anchor>
              </w:drawing>
            </w:r>
          </w:p>
          <w:p w14:paraId="65D12C13"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2494C4EC"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7A535A69"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6AC075B0"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746FD167"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00C14EEA"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12FD091A"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437" w:type="dxa"/>
            <w:vMerge/>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D5D6D2" w:themeFill="background2"/>
            <w:vAlign w:val="center"/>
          </w:tcPr>
          <w:p w14:paraId="1052F6BA"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1975"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59CFF919" w14:textId="77777777" w:rsidR="00363D62" w:rsidRPr="004C3AA7" w:rsidRDefault="00363D62" w:rsidP="00302C1B">
            <w:pPr>
              <w:pStyle w:val="Tabletext"/>
              <w:cnfStyle w:val="000000000000" w:firstRow="0" w:lastRow="0" w:firstColumn="0" w:lastColumn="0" w:oddVBand="0" w:evenVBand="0" w:oddHBand="0" w:evenHBand="0" w:firstRowFirstColumn="0" w:firstRowLastColumn="0" w:lastRowFirstColumn="0" w:lastRowLastColumn="0"/>
              <w:rPr>
                <w:bCs/>
              </w:rPr>
            </w:pPr>
            <w:r w:rsidRPr="00A53532">
              <w:rPr>
                <w:bCs/>
              </w:rPr>
              <w:t xml:space="preserve">Inclined sleeper/ </w:t>
            </w:r>
            <w:r>
              <w:rPr>
                <w:bCs/>
              </w:rPr>
              <w:t>b</w:t>
            </w:r>
            <w:r w:rsidRPr="00A53532">
              <w:rPr>
                <w:bCs/>
              </w:rPr>
              <w:t>ouncer/</w:t>
            </w:r>
            <w:r>
              <w:rPr>
                <w:bCs/>
              </w:rPr>
              <w:t>r</w:t>
            </w:r>
            <w:r w:rsidRPr="00A53532">
              <w:rPr>
                <w:bCs/>
              </w:rPr>
              <w:t>ocker</w:t>
            </w:r>
          </w:p>
        </w:tc>
        <w:tc>
          <w:tcPr>
            <w:tcW w:w="2413"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1A942D22"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inline distT="0" distB="0" distL="0" distR="0" wp14:anchorId="5F4C06F4" wp14:editId="671FAE88">
                  <wp:extent cx="1258432" cy="1258432"/>
                  <wp:effectExtent l="0" t="0" r="0" b="0"/>
                  <wp:docPr id="10" name="Picture 10"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lt=&quot;&quo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0258" cy="1270258"/>
                          </a:xfrm>
                          <a:prstGeom prst="rect">
                            <a:avLst/>
                          </a:prstGeom>
                        </pic:spPr>
                      </pic:pic>
                    </a:graphicData>
                  </a:graphic>
                </wp:inline>
              </w:drawing>
            </w:r>
          </w:p>
        </w:tc>
      </w:tr>
      <w:tr w:rsidR="00363D62" w:rsidRPr="00892C45" w14:paraId="10B6A676" w14:textId="77777777" w:rsidTr="00302C1B">
        <w:trPr>
          <w:jc w:val="center"/>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6AFC8EB2" w14:textId="77777777" w:rsidR="00363D62" w:rsidRPr="004C3AA7" w:rsidRDefault="00363D62" w:rsidP="00302C1B">
            <w:pPr>
              <w:pStyle w:val="Tabletext"/>
              <w:rPr>
                <w:b w:val="0"/>
                <w:bCs/>
              </w:rPr>
            </w:pPr>
            <w:r w:rsidRPr="004C3AA7">
              <w:rPr>
                <w:b w:val="0"/>
                <w:bCs/>
              </w:rPr>
              <w:t>Baby lounger</w:t>
            </w:r>
          </w:p>
        </w:tc>
        <w:tc>
          <w:tcPr>
            <w:tcW w:w="2780"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75FB28B7"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inline distT="0" distB="0" distL="0" distR="0" wp14:anchorId="4265B065" wp14:editId="5AF5DFDD">
                  <wp:extent cx="1465580" cy="1131683"/>
                  <wp:effectExtent l="0" t="0" r="1270" b="0"/>
                  <wp:docPr id="6" name="Picture 6"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lt=&quot;&quot;"/>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496563" cy="1155607"/>
                          </a:xfrm>
                          <a:prstGeom prst="rect">
                            <a:avLst/>
                          </a:prstGeom>
                          <a:ln>
                            <a:noFill/>
                          </a:ln>
                          <a:extLst>
                            <a:ext uri="{53640926-AAD7-44D8-BBD7-CCE9431645EC}">
                              <a14:shadowObscured xmlns:a14="http://schemas.microsoft.com/office/drawing/2010/main"/>
                            </a:ext>
                          </a:extLst>
                        </pic:spPr>
                      </pic:pic>
                    </a:graphicData>
                  </a:graphic>
                </wp:inline>
              </w:drawing>
            </w:r>
          </w:p>
        </w:tc>
        <w:tc>
          <w:tcPr>
            <w:tcW w:w="437" w:type="dxa"/>
            <w:vMerge/>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D5D6D2" w:themeFill="background2"/>
            <w:vAlign w:val="center"/>
          </w:tcPr>
          <w:p w14:paraId="3F55DD9B"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1975"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5C235727"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sidRPr="00A53532">
              <w:t>Infant swing</w:t>
            </w:r>
          </w:p>
        </w:tc>
        <w:tc>
          <w:tcPr>
            <w:tcW w:w="2413"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52D356D2"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inline distT="0" distB="0" distL="0" distR="0" wp14:anchorId="1F4D33AA" wp14:editId="2BBEA935">
                  <wp:extent cx="1240325" cy="1144545"/>
                  <wp:effectExtent l="0" t="0" r="0" b="0"/>
                  <wp:docPr id="14" name="Picture 14"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lt=&quo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66663" cy="1168849"/>
                          </a:xfrm>
                          <a:prstGeom prst="rect">
                            <a:avLst/>
                          </a:prstGeom>
                        </pic:spPr>
                      </pic:pic>
                    </a:graphicData>
                  </a:graphic>
                </wp:inline>
              </w:drawing>
            </w:r>
          </w:p>
        </w:tc>
      </w:tr>
      <w:tr w:rsidR="00363D62" w:rsidRPr="00892C45" w14:paraId="1611795F" w14:textId="77777777" w:rsidTr="00302C1B">
        <w:trPr>
          <w:jc w:val="center"/>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4A1CAD1F" w14:textId="77777777" w:rsidR="00363D62" w:rsidRPr="004C3AA7" w:rsidRDefault="00363D62" w:rsidP="00302C1B">
            <w:pPr>
              <w:pStyle w:val="Tabletext"/>
              <w:rPr>
                <w:b w:val="0"/>
                <w:bCs/>
              </w:rPr>
            </w:pPr>
            <w:r>
              <w:rPr>
                <w:b w:val="0"/>
              </w:rPr>
              <w:t xml:space="preserve">Bassinet </w:t>
            </w:r>
          </w:p>
        </w:tc>
        <w:tc>
          <w:tcPr>
            <w:tcW w:w="2780"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492A5734" w14:textId="77777777" w:rsidR="00363D62" w:rsidRPr="00892C45"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inline distT="0" distB="0" distL="0" distR="0" wp14:anchorId="42143166" wp14:editId="00CCD594">
                  <wp:extent cx="1448554" cy="1289190"/>
                  <wp:effectExtent l="0" t="0" r="0" b="6350"/>
                  <wp:docPr id="7" name="Picture 7"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lt=&quo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65302" cy="1304096"/>
                          </a:xfrm>
                          <a:prstGeom prst="rect">
                            <a:avLst/>
                          </a:prstGeom>
                        </pic:spPr>
                      </pic:pic>
                    </a:graphicData>
                  </a:graphic>
                </wp:inline>
              </w:drawing>
            </w:r>
          </w:p>
        </w:tc>
        <w:tc>
          <w:tcPr>
            <w:tcW w:w="437" w:type="dxa"/>
            <w:vMerge/>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D5D6D2" w:themeFill="background2"/>
            <w:vAlign w:val="center"/>
          </w:tcPr>
          <w:p w14:paraId="786030AA"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1975"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1D37F49A"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t>Folding cot</w:t>
            </w:r>
          </w:p>
        </w:tc>
        <w:tc>
          <w:tcPr>
            <w:tcW w:w="2413"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06AF81C1"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inline distT="0" distB="0" distL="0" distR="0" wp14:anchorId="7C0D63C1" wp14:editId="1C3F9E92">
                  <wp:extent cx="1452083" cy="1286540"/>
                  <wp:effectExtent l="0" t="0" r="0" b="8890"/>
                  <wp:docPr id="15" name="Picture 15"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lt=&quo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57266" cy="1291132"/>
                          </a:xfrm>
                          <a:prstGeom prst="rect">
                            <a:avLst/>
                          </a:prstGeom>
                        </pic:spPr>
                      </pic:pic>
                    </a:graphicData>
                  </a:graphic>
                </wp:inline>
              </w:drawing>
            </w:r>
          </w:p>
        </w:tc>
      </w:tr>
      <w:tr w:rsidR="00363D62" w:rsidRPr="00892C45" w14:paraId="5681969B" w14:textId="77777777" w:rsidTr="00302C1B">
        <w:trPr>
          <w:gridAfter w:val="2"/>
          <w:wAfter w:w="4388" w:type="dxa"/>
          <w:jc w:val="center"/>
        </w:trPr>
        <w:tc>
          <w:tcPr>
            <w:cnfStyle w:val="001000000000" w:firstRow="0" w:lastRow="0" w:firstColumn="1" w:lastColumn="0" w:oddVBand="0" w:evenVBand="0" w:oddHBand="0" w:evenHBand="0" w:firstRowFirstColumn="0" w:firstRowLastColumn="0" w:lastRowFirstColumn="0" w:lastRowLastColumn="0"/>
            <w:tcW w:w="1421" w:type="dxa"/>
            <w:tcBorders>
              <w:top w:val="single" w:sz="4" w:space="0" w:color="D9D9D9" w:themeColor="background1" w:themeShade="D9"/>
              <w:left w:val="single" w:sz="4" w:space="0" w:color="BFBFBF" w:themeColor="background1" w:themeShade="BF"/>
              <w:bottom w:val="single" w:sz="4" w:space="0" w:color="D9D9D9" w:themeColor="background1" w:themeShade="D9"/>
            </w:tcBorders>
            <w:vAlign w:val="center"/>
          </w:tcPr>
          <w:p w14:paraId="3769E417" w14:textId="77777777" w:rsidR="00363D62" w:rsidRPr="005158C9" w:rsidRDefault="00363D62" w:rsidP="00302C1B">
            <w:pPr>
              <w:pStyle w:val="Tabletext"/>
              <w:rPr>
                <w:b w:val="0"/>
              </w:rPr>
            </w:pPr>
            <w:r>
              <w:rPr>
                <w:b w:val="0"/>
              </w:rPr>
              <w:t>Household cot</w:t>
            </w:r>
          </w:p>
        </w:tc>
        <w:tc>
          <w:tcPr>
            <w:tcW w:w="2780" w:type="dxa"/>
            <w:tcBorders>
              <w:top w:val="single" w:sz="4" w:space="0" w:color="D9D9D9" w:themeColor="background1" w:themeShade="D9"/>
              <w:bottom w:val="single" w:sz="4" w:space="0" w:color="D9D9D9" w:themeColor="background1" w:themeShade="D9"/>
              <w:right w:val="single" w:sz="4" w:space="0" w:color="BFBFBF" w:themeColor="background1" w:themeShade="BF"/>
            </w:tcBorders>
            <w:vAlign w:val="center"/>
          </w:tcPr>
          <w:p w14:paraId="74601122"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r>
              <w:rPr>
                <w:noProof/>
                <w:lang w:eastAsia="en-AU"/>
              </w:rPr>
              <w:drawing>
                <wp:anchor distT="0" distB="0" distL="114300" distR="114300" simplePos="0" relativeHeight="251662336" behindDoc="0" locked="0" layoutInCell="1" allowOverlap="1" wp14:anchorId="57AAAF89" wp14:editId="38B181A7">
                  <wp:simplePos x="0" y="0"/>
                  <wp:positionH relativeFrom="column">
                    <wp:posOffset>105410</wp:posOffset>
                  </wp:positionH>
                  <wp:positionV relativeFrom="paragraph">
                    <wp:posOffset>120015</wp:posOffset>
                  </wp:positionV>
                  <wp:extent cx="1444625" cy="1280160"/>
                  <wp:effectExtent l="0" t="0" r="3175" b="0"/>
                  <wp:wrapNone/>
                  <wp:docPr id="9" name="Picture 9" descr="alt=&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lt=&quo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4625" cy="1280160"/>
                          </a:xfrm>
                          <a:prstGeom prst="rect">
                            <a:avLst/>
                          </a:prstGeom>
                        </pic:spPr>
                      </pic:pic>
                    </a:graphicData>
                  </a:graphic>
                  <wp14:sizeRelH relativeFrom="margin">
                    <wp14:pctWidth>0</wp14:pctWidth>
                  </wp14:sizeRelH>
                  <wp14:sizeRelV relativeFrom="margin">
                    <wp14:pctHeight>0</wp14:pctHeight>
                  </wp14:sizeRelV>
                </wp:anchor>
              </w:drawing>
            </w:r>
          </w:p>
          <w:p w14:paraId="247E29D5"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17179A30"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7F82D3B0"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5900063D"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70FC4360"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p w14:paraId="18B1A553" w14:textId="77777777" w:rsidR="00363D62"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rPr>
            </w:pPr>
          </w:p>
        </w:tc>
        <w:tc>
          <w:tcPr>
            <w:tcW w:w="437" w:type="dxa"/>
            <w:vMerge/>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D5D6D2" w:themeFill="background2"/>
            <w:vAlign w:val="center"/>
          </w:tcPr>
          <w:p w14:paraId="722026E8" w14:textId="77777777" w:rsidR="00363D62" w:rsidRPr="004629AF" w:rsidRDefault="00363D62" w:rsidP="00302C1B">
            <w:pPr>
              <w:pStyle w:val="Tabletext"/>
              <w:cnfStyle w:val="000000000000" w:firstRow="0" w:lastRow="0" w:firstColumn="0" w:lastColumn="0" w:oddVBand="0" w:evenVBand="0" w:oddHBand="0" w:evenHBand="0" w:firstRowFirstColumn="0" w:firstRowLastColumn="0" w:lastRowFirstColumn="0" w:lastRowLastColumn="0"/>
              <w:rPr>
                <w:noProof/>
                <w:highlight w:val="yellow"/>
              </w:rPr>
            </w:pPr>
          </w:p>
        </w:tc>
      </w:tr>
      <w:bookmarkEnd w:id="8"/>
    </w:tbl>
    <w:p w14:paraId="4451EB70" w14:textId="77777777" w:rsidR="00363D62" w:rsidRDefault="00363D62" w:rsidP="0087596A">
      <w:pPr>
        <w:pStyle w:val="Numbered1"/>
        <w:numPr>
          <w:ilvl w:val="0"/>
          <w:numId w:val="0"/>
        </w:numPr>
        <w:ind w:left="360" w:hanging="360"/>
        <w:sectPr w:rsidR="00363D62" w:rsidSect="00AF441D">
          <w:pgSz w:w="11906" w:h="16838"/>
          <w:pgMar w:top="1276" w:right="1440" w:bottom="1440" w:left="1440" w:header="709" w:footer="709" w:gutter="0"/>
          <w:pgNumType w:fmt="lowerRoman"/>
          <w:cols w:space="708"/>
          <w:docGrid w:linePitch="360"/>
        </w:sectPr>
      </w:pPr>
    </w:p>
    <w:p w14:paraId="10F2B2F6" w14:textId="53AA38CD" w:rsidR="00B511B8" w:rsidRDefault="00C67BDB" w:rsidP="0087596A">
      <w:pPr>
        <w:pStyle w:val="Numbered1"/>
        <w:numPr>
          <w:ilvl w:val="0"/>
          <w:numId w:val="0"/>
        </w:numPr>
        <w:ind w:left="360" w:hanging="360"/>
      </w:pPr>
      <w:bookmarkStart w:id="9" w:name="_Toc110959451"/>
      <w:r>
        <w:t>Executive summary</w:t>
      </w:r>
      <w:bookmarkEnd w:id="9"/>
      <w:r w:rsidR="00B511B8">
        <w:t xml:space="preserve"> </w:t>
      </w:r>
    </w:p>
    <w:p w14:paraId="6982467E" w14:textId="50298910" w:rsidR="00C323CB" w:rsidRPr="00CD4793" w:rsidRDefault="00874BFC" w:rsidP="00C323CB">
      <w:r>
        <w:t>Implementing strategies to pre</w:t>
      </w:r>
      <w:r w:rsidR="00FF5A62">
        <w:t>v</w:t>
      </w:r>
      <w:r>
        <w:t>ent injuries and deaths to infants caused by inclined products that can be used for sleep is a</w:t>
      </w:r>
      <w:r w:rsidR="00FF5A62">
        <w:t xml:space="preserve">n ACCC </w:t>
      </w:r>
      <w:hyperlink r:id="rId23" w:history="1">
        <w:r w:rsidR="00F8679C" w:rsidRPr="009F61C6">
          <w:rPr>
            <w:rStyle w:val="Hyperlink"/>
          </w:rPr>
          <w:t>Product Safety Priority</w:t>
        </w:r>
      </w:hyperlink>
      <w:r w:rsidR="00F8679C">
        <w:t xml:space="preserve"> f</w:t>
      </w:r>
      <w:r w:rsidR="00FF5A62">
        <w:t xml:space="preserve">or </w:t>
      </w:r>
      <w:r>
        <w:t>2022-23.</w:t>
      </w:r>
      <w:r w:rsidR="00C323CB" w:rsidRPr="00C323CB">
        <w:t xml:space="preserve"> </w:t>
      </w:r>
      <w:r w:rsidR="00C323CB" w:rsidRPr="00A115D9">
        <w:t>The</w:t>
      </w:r>
      <w:r w:rsidR="00C323CB">
        <w:t>se</w:t>
      </w:r>
      <w:r w:rsidR="00C323CB" w:rsidRPr="00A115D9">
        <w:t xml:space="preserve"> products may </w:t>
      </w:r>
      <w:r w:rsidR="00707F71">
        <w:t>include bouncers and rockers.</w:t>
      </w:r>
    </w:p>
    <w:p w14:paraId="108E5E3A" w14:textId="7D2ECFE8" w:rsidR="00CD4793" w:rsidRPr="004F5DA7" w:rsidRDefault="00757167" w:rsidP="00C323CB">
      <w:r w:rsidRPr="004F5DA7">
        <w:t xml:space="preserve">In 2019 the </w:t>
      </w:r>
      <w:r w:rsidR="004F5DA7" w:rsidRPr="004F5DA7">
        <w:t xml:space="preserve">United States Consumer Product Safety Commission (US-CPSC) </w:t>
      </w:r>
      <w:r w:rsidRPr="004F5DA7">
        <w:t>reported 1,108 incidents and 73 fatalities from January 2005 to June 2019 in the United States associated with the use of Inclined Sleep Products.</w:t>
      </w:r>
      <w:r w:rsidR="00403D1B">
        <w:rPr>
          <w:rStyle w:val="FootnoteReference"/>
        </w:rPr>
        <w:footnoteReference w:id="4"/>
      </w:r>
      <w:r w:rsidRPr="004F5DA7">
        <w:t xml:space="preserve"> Following this, the US</w:t>
      </w:r>
      <w:r w:rsidR="00765830">
        <w:t>-</w:t>
      </w:r>
      <w:r w:rsidRPr="004F5DA7">
        <w:t xml:space="preserve">CPSC commissioned a study by biometrics </w:t>
      </w:r>
      <w:r w:rsidRPr="00363D62">
        <w:t xml:space="preserve">expert Erin Mannen </w:t>
      </w:r>
      <w:r w:rsidRPr="00363D62">
        <w:rPr>
          <w:rFonts w:cs="Arial"/>
        </w:rPr>
        <w:t>PhD</w:t>
      </w:r>
      <w:r w:rsidR="004F5DA7" w:rsidRPr="00363D62">
        <w:rPr>
          <w:rFonts w:cs="Arial"/>
        </w:rPr>
        <w:t xml:space="preserve"> (the Mannen Report) </w:t>
      </w:r>
      <w:r w:rsidRPr="00363D62">
        <w:rPr>
          <w:rFonts w:cs="Arial"/>
        </w:rPr>
        <w:t xml:space="preserve">that conducted testing and evaluated the design of </w:t>
      </w:r>
      <w:r w:rsidR="000D55D1" w:rsidRPr="00363D62">
        <w:rPr>
          <w:rFonts w:cs="Arial"/>
        </w:rPr>
        <w:t>I</w:t>
      </w:r>
      <w:r w:rsidRPr="00363D62">
        <w:rPr>
          <w:rFonts w:cs="Arial"/>
        </w:rPr>
        <w:t xml:space="preserve">nclined </w:t>
      </w:r>
      <w:r w:rsidR="000D55D1" w:rsidRPr="00363D62">
        <w:rPr>
          <w:rFonts w:cs="Arial"/>
        </w:rPr>
        <w:t>Sleep P</w:t>
      </w:r>
      <w:r w:rsidRPr="00363D62">
        <w:rPr>
          <w:rFonts w:cs="Arial"/>
        </w:rPr>
        <w:t>roducts.</w:t>
      </w:r>
      <w:r w:rsidRPr="004F5DA7">
        <w:rPr>
          <w:rFonts w:cs="Arial"/>
        </w:rPr>
        <w:t xml:space="preserve"> </w:t>
      </w:r>
      <w:r w:rsidR="004F5DA7" w:rsidRPr="004F5DA7">
        <w:rPr>
          <w:rFonts w:cs="Arial"/>
        </w:rPr>
        <w:t xml:space="preserve">The Mannen Report concluded that </w:t>
      </w:r>
      <w:r w:rsidR="00F31007" w:rsidRPr="004F5DA7">
        <w:rPr>
          <w:rFonts w:cs="Arial"/>
        </w:rPr>
        <w:t>placing an infant</w:t>
      </w:r>
      <w:r w:rsidR="000D55D1">
        <w:rPr>
          <w:rFonts w:cs="Arial"/>
        </w:rPr>
        <w:t xml:space="preserve"> to sleep</w:t>
      </w:r>
      <w:r w:rsidR="00F31007" w:rsidRPr="004F5DA7">
        <w:rPr>
          <w:rFonts w:cs="Arial"/>
        </w:rPr>
        <w:t xml:space="preserve"> on an inclined surface</w:t>
      </w:r>
      <w:r w:rsidR="00874942" w:rsidRPr="004F5DA7">
        <w:rPr>
          <w:rFonts w:cs="Arial"/>
        </w:rPr>
        <w:t xml:space="preserve"> </w:t>
      </w:r>
      <w:r w:rsidR="00EF623B">
        <w:rPr>
          <w:rFonts w:cs="Arial"/>
        </w:rPr>
        <w:t>may cause suffocation or asphyxiation and ultimately, infant fatalities</w:t>
      </w:r>
      <w:r w:rsidR="00470E5B" w:rsidRPr="004F5DA7">
        <w:rPr>
          <w:rFonts w:cs="Arial"/>
        </w:rPr>
        <w:t>.</w:t>
      </w:r>
      <w:r w:rsidR="001C21BA" w:rsidRPr="004F5DA7">
        <w:rPr>
          <w:rFonts w:cs="Arial"/>
        </w:rPr>
        <w:t xml:space="preserve"> The </w:t>
      </w:r>
      <w:r w:rsidR="005A1E22">
        <w:rPr>
          <w:rFonts w:cs="Arial"/>
        </w:rPr>
        <w:t>Mannen R</w:t>
      </w:r>
      <w:r w:rsidR="005658E4" w:rsidRPr="004F5DA7">
        <w:rPr>
          <w:rFonts w:cs="Arial"/>
        </w:rPr>
        <w:t>ep</w:t>
      </w:r>
      <w:r w:rsidR="00A0779D" w:rsidRPr="004F5DA7">
        <w:rPr>
          <w:rFonts w:cs="Arial"/>
        </w:rPr>
        <w:t xml:space="preserve">ort also noted </w:t>
      </w:r>
      <w:r w:rsidR="005A1E22">
        <w:rPr>
          <w:rFonts w:cs="Arial"/>
        </w:rPr>
        <w:t xml:space="preserve">that </w:t>
      </w:r>
      <w:r w:rsidR="00D434CF" w:rsidRPr="004F5DA7">
        <w:rPr>
          <w:rFonts w:cs="Arial"/>
        </w:rPr>
        <w:t>other design features</w:t>
      </w:r>
      <w:r w:rsidR="00EF623B">
        <w:rPr>
          <w:rFonts w:cs="Arial"/>
        </w:rPr>
        <w:t xml:space="preserve"> of sleep products</w:t>
      </w:r>
      <w:r w:rsidR="00D434CF" w:rsidRPr="004F5DA7">
        <w:rPr>
          <w:rFonts w:cs="Arial"/>
        </w:rPr>
        <w:t xml:space="preserve"> may pose a </w:t>
      </w:r>
      <w:r w:rsidR="00EF623B">
        <w:rPr>
          <w:rFonts w:cs="Arial"/>
        </w:rPr>
        <w:t xml:space="preserve">similar </w:t>
      </w:r>
      <w:r w:rsidR="00D434CF" w:rsidRPr="004F5DA7">
        <w:rPr>
          <w:rFonts w:cs="Arial"/>
        </w:rPr>
        <w:t xml:space="preserve">risk </w:t>
      </w:r>
      <w:r w:rsidR="00470E5B" w:rsidRPr="004F5DA7">
        <w:rPr>
          <w:rFonts w:cs="Arial"/>
        </w:rPr>
        <w:t>such as</w:t>
      </w:r>
      <w:r w:rsidR="00A0779D" w:rsidRPr="004F5DA7">
        <w:rPr>
          <w:rFonts w:cs="Arial"/>
        </w:rPr>
        <w:t xml:space="preserve"> </w:t>
      </w:r>
      <w:r w:rsidR="00D434CF" w:rsidRPr="004F5DA7">
        <w:rPr>
          <w:rFonts w:cs="Arial"/>
        </w:rPr>
        <w:t>curvature, rigidity</w:t>
      </w:r>
      <w:r w:rsidR="006E5F5B">
        <w:rPr>
          <w:rFonts w:cs="Arial"/>
        </w:rPr>
        <w:t>,</w:t>
      </w:r>
      <w:r w:rsidR="00D434CF" w:rsidRPr="004F5DA7">
        <w:rPr>
          <w:rFonts w:cs="Arial"/>
        </w:rPr>
        <w:t xml:space="preserve"> the material of a product</w:t>
      </w:r>
      <w:r w:rsidR="006E5F5B">
        <w:rPr>
          <w:rFonts w:cs="Arial"/>
        </w:rPr>
        <w:t>, width and side height</w:t>
      </w:r>
      <w:r w:rsidR="00D434CF" w:rsidRPr="004F5DA7">
        <w:rPr>
          <w:rFonts w:cs="Arial"/>
        </w:rPr>
        <w:t>.</w:t>
      </w:r>
      <w:r w:rsidR="00EF623B">
        <w:rPr>
          <w:rFonts w:cs="Arial"/>
        </w:rPr>
        <w:t xml:space="preserve"> This is consistent with longstanding public health advice to place infant</w:t>
      </w:r>
      <w:r w:rsidR="004C3798">
        <w:rPr>
          <w:rFonts w:cs="Arial"/>
        </w:rPr>
        <w:t>s</w:t>
      </w:r>
      <w:r w:rsidR="00EF623B">
        <w:rPr>
          <w:rFonts w:cs="Arial"/>
        </w:rPr>
        <w:t xml:space="preserve"> to sleep </w:t>
      </w:r>
      <w:r w:rsidR="00AB518E">
        <w:t>on their backs on a firm, flat surface.</w:t>
      </w:r>
      <w:r w:rsidR="00B13C78">
        <w:rPr>
          <w:rStyle w:val="FootnoteReference"/>
        </w:rPr>
        <w:footnoteReference w:id="5"/>
      </w:r>
      <w:r w:rsidR="00AB518E">
        <w:t xml:space="preserve"> </w:t>
      </w:r>
    </w:p>
    <w:p w14:paraId="398AB8A5" w14:textId="0E06D2B5" w:rsidR="00C646E6" w:rsidRDefault="00514FD9" w:rsidP="004F5DA7">
      <w:r>
        <w:t>I</w:t>
      </w:r>
      <w:r w:rsidR="00C646E6">
        <w:t xml:space="preserve">nfants may inadvertently fall asleep </w:t>
      </w:r>
      <w:r w:rsidR="008B06C0">
        <w:t xml:space="preserve">in products not intended for sleep. </w:t>
      </w:r>
      <w:r w:rsidR="00470E5B">
        <w:t xml:space="preserve">This includes </w:t>
      </w:r>
      <w:r w:rsidR="00C646E6">
        <w:t>products</w:t>
      </w:r>
      <w:r w:rsidR="00765830">
        <w:t xml:space="preserve"> that</w:t>
      </w:r>
      <w:r w:rsidR="00C646E6">
        <w:t xml:space="preserve"> may be purposely or unintentionally used to soothe or settle before sleep.</w:t>
      </w:r>
      <w:r w:rsidR="00A0779D">
        <w:t xml:space="preserve"> For this reason</w:t>
      </w:r>
      <w:r w:rsidR="00C323CB">
        <w:t>,</w:t>
      </w:r>
      <w:r w:rsidR="00A0779D">
        <w:t xml:space="preserve"> the ACCC is concerned about any inclined product that may create a sleep environment. </w:t>
      </w:r>
    </w:p>
    <w:p w14:paraId="5E10947A" w14:textId="58878B6F" w:rsidR="006E5F5B" w:rsidRPr="006E5F5B" w:rsidRDefault="00327169" w:rsidP="006E5F5B">
      <w:r>
        <w:t>In July 2021, t</w:t>
      </w:r>
      <w:r w:rsidR="00F8679C" w:rsidRPr="00F8679C">
        <w:t xml:space="preserve">he ACCC published an </w:t>
      </w:r>
      <w:hyperlink r:id="rId24" w:history="1">
        <w:r w:rsidR="00F8679C" w:rsidRPr="00470E5B">
          <w:rPr>
            <w:rStyle w:val="Hyperlink"/>
          </w:rPr>
          <w:t>Issues Paper</w:t>
        </w:r>
      </w:hyperlink>
      <w:r w:rsidR="00F8679C" w:rsidRPr="00F8679C">
        <w:t xml:space="preserve"> seeking stakeholder feedback on risks associated </w:t>
      </w:r>
      <w:r w:rsidR="00F8679C" w:rsidRPr="00363D62">
        <w:t>with Inclined Sleep</w:t>
      </w:r>
      <w:r w:rsidR="00425CB8">
        <w:t xml:space="preserve"> Products</w:t>
      </w:r>
      <w:r w:rsidR="00F8679C" w:rsidRPr="00363D62">
        <w:t xml:space="preserve"> and </w:t>
      </w:r>
      <w:r w:rsidR="00A0779D" w:rsidRPr="00363D62">
        <w:t xml:space="preserve">Inclined </w:t>
      </w:r>
      <w:r w:rsidR="00F8679C" w:rsidRPr="00363D62">
        <w:t>Non-Sleep Products and possible</w:t>
      </w:r>
      <w:r w:rsidR="00F8679C" w:rsidRPr="00F8679C">
        <w:t xml:space="preserve"> options to address those risks. </w:t>
      </w:r>
      <w:r w:rsidR="006E5F5B" w:rsidRPr="006E5F5B">
        <w:t>The majority of stakeholders were in favour of at least one form of regulatory intervention</w:t>
      </w:r>
      <w:r w:rsidR="00AB518E">
        <w:t xml:space="preserve"> to address risks associated with </w:t>
      </w:r>
      <w:r w:rsidR="00425CB8" w:rsidRPr="00363D62">
        <w:t>Inclined Sleep</w:t>
      </w:r>
      <w:r w:rsidR="00425CB8">
        <w:t xml:space="preserve"> Products</w:t>
      </w:r>
      <w:r w:rsidR="00425CB8" w:rsidRPr="00363D62">
        <w:t xml:space="preserve"> and Inclined Non-Sleep Products</w:t>
      </w:r>
      <w:r w:rsidR="00AB518E">
        <w:t>, such as a</w:t>
      </w:r>
      <w:r w:rsidR="0047293C">
        <w:t>n</w:t>
      </w:r>
      <w:r w:rsidR="00AB518E">
        <w:t xml:space="preserve"> </w:t>
      </w:r>
      <w:r w:rsidR="0047293C">
        <w:t>interim</w:t>
      </w:r>
      <w:r w:rsidR="0047293C" w:rsidRPr="006E5F5B">
        <w:t xml:space="preserve"> </w:t>
      </w:r>
      <w:r w:rsidR="006E5F5B" w:rsidRPr="006E5F5B">
        <w:t>or permanent ban, a mandatory information</w:t>
      </w:r>
      <w:r w:rsidR="00AB518E">
        <w:t xml:space="preserve"> standard</w:t>
      </w:r>
      <w:r w:rsidR="006E5F5B" w:rsidRPr="006E5F5B">
        <w:t xml:space="preserve"> or</w:t>
      </w:r>
      <w:r w:rsidR="00D2459C">
        <w:t xml:space="preserve"> a</w:t>
      </w:r>
      <w:r w:rsidR="006E5F5B" w:rsidRPr="006E5F5B">
        <w:t xml:space="preserve"> safety standard. </w:t>
      </w:r>
    </w:p>
    <w:p w14:paraId="51E37307" w14:textId="6833AAB7" w:rsidR="00A0779D" w:rsidRPr="00C30610" w:rsidRDefault="00495068" w:rsidP="004F5DA7">
      <w:r>
        <w:t xml:space="preserve">Following this, the ACCC procured </w:t>
      </w:r>
      <w:r w:rsidR="00327169">
        <w:t>2</w:t>
      </w:r>
      <w:r>
        <w:t xml:space="preserve"> expert reports </w:t>
      </w:r>
      <w:r w:rsidR="004E578E">
        <w:t>from</w:t>
      </w:r>
      <w:r w:rsidR="005841DB">
        <w:t xml:space="preserve"> </w:t>
      </w:r>
      <w:r w:rsidR="00901B2E">
        <w:t>Dr Tom Whyte</w:t>
      </w:r>
      <w:r w:rsidR="00FE2FE2">
        <w:t>,</w:t>
      </w:r>
      <w:r w:rsidR="004E578E">
        <w:t xml:space="preserve"> </w:t>
      </w:r>
      <w:r>
        <w:t>a biomechanical engineer and</w:t>
      </w:r>
      <w:r w:rsidR="00FE2FE2">
        <w:t xml:space="preserve"> </w:t>
      </w:r>
      <w:r w:rsidR="00901B2E">
        <w:t>Professor Rosemary Horne</w:t>
      </w:r>
      <w:r w:rsidR="00FE2FE2">
        <w:t>,</w:t>
      </w:r>
      <w:r>
        <w:t xml:space="preserve"> a paediatrician</w:t>
      </w:r>
      <w:r w:rsidR="005D64A3">
        <w:t xml:space="preserve"> (the Expert Reports)</w:t>
      </w:r>
      <w:r w:rsidR="00C06D79">
        <w:t xml:space="preserve">, who were </w:t>
      </w:r>
      <w:r>
        <w:t>asked to comment on the risks identified in the Mannen Report</w:t>
      </w:r>
      <w:r w:rsidR="00F14245">
        <w:t xml:space="preserve">. The </w:t>
      </w:r>
      <w:r w:rsidR="006151E8">
        <w:t>Expert Reports</w:t>
      </w:r>
      <w:r w:rsidR="00F14245">
        <w:t xml:space="preserve"> confirmed </w:t>
      </w:r>
      <w:r w:rsidR="004E578E">
        <w:t xml:space="preserve">curvature, rigidity and </w:t>
      </w:r>
      <w:r w:rsidR="008B06C0">
        <w:t xml:space="preserve">the </w:t>
      </w:r>
      <w:r w:rsidR="004E578E">
        <w:t>material used</w:t>
      </w:r>
      <w:r w:rsidR="00F14245">
        <w:t xml:space="preserve"> pose a risk </w:t>
      </w:r>
      <w:r w:rsidR="00AB518E">
        <w:t xml:space="preserve">to infants </w:t>
      </w:r>
      <w:r w:rsidR="00F14245">
        <w:t xml:space="preserve">and </w:t>
      </w:r>
      <w:r w:rsidR="00F14245" w:rsidRPr="00C30610">
        <w:t>warrant consideration</w:t>
      </w:r>
      <w:r w:rsidR="00AB518E">
        <w:t xml:space="preserve"> in addition to incline</w:t>
      </w:r>
      <w:r w:rsidR="00F14245" w:rsidRPr="00C30610">
        <w:t>.</w:t>
      </w:r>
      <w:r w:rsidR="00A0779D">
        <w:t xml:space="preserve"> As a result</w:t>
      </w:r>
      <w:r w:rsidR="006E5F5B">
        <w:t>,</w:t>
      </w:r>
      <w:r w:rsidR="00A0779D">
        <w:t xml:space="preserve"> the ACCC decided to expand this consultation to</w:t>
      </w:r>
      <w:r w:rsidR="0009320E">
        <w:t xml:space="preserve"> all Infant Sleep Products to</w:t>
      </w:r>
      <w:r w:rsidR="00A0779D">
        <w:t xml:space="preserve"> consider</w:t>
      </w:r>
      <w:r w:rsidR="0009320E">
        <w:t xml:space="preserve"> the</w:t>
      </w:r>
      <w:r w:rsidR="00A0779D">
        <w:t xml:space="preserve"> broader risks associated with infant sleep. </w:t>
      </w:r>
    </w:p>
    <w:p w14:paraId="6C480D38" w14:textId="43DD7A4D" w:rsidR="005D1CAC" w:rsidRDefault="005D1CAC" w:rsidP="004F5DA7">
      <w:r>
        <w:t>Currently there are no</w:t>
      </w:r>
      <w:r w:rsidR="008B06C0">
        <w:t xml:space="preserve"> Australian</w:t>
      </w:r>
      <w:r>
        <w:t xml:space="preserve"> mandatory standards that </w:t>
      </w:r>
      <w:r w:rsidR="005875C8">
        <w:t>address</w:t>
      </w:r>
      <w:r>
        <w:t xml:space="preserve"> </w:t>
      </w:r>
      <w:r w:rsidR="005875C8">
        <w:t xml:space="preserve">the risks associated with incline, curvature, rigidity and material used. There are </w:t>
      </w:r>
      <w:r w:rsidR="005875C8" w:rsidRPr="00C30610">
        <w:t>mandatory safety standard</w:t>
      </w:r>
      <w:r w:rsidR="005875C8">
        <w:t>s</w:t>
      </w:r>
      <w:r w:rsidR="005875C8" w:rsidRPr="00C30610">
        <w:t xml:space="preserve"> for household cots and folding </w:t>
      </w:r>
      <w:r w:rsidR="005875C8">
        <w:t xml:space="preserve">(portable) </w:t>
      </w:r>
      <w:r w:rsidR="005875C8" w:rsidRPr="00C30610">
        <w:t>cots. However, neither of these standards capture</w:t>
      </w:r>
      <w:r w:rsidR="005875C8">
        <w:t xml:space="preserve"> </w:t>
      </w:r>
      <w:r w:rsidR="00AB518E">
        <w:t xml:space="preserve">all known risks, and they do not cover </w:t>
      </w:r>
      <w:r w:rsidR="005875C8">
        <w:t xml:space="preserve">all </w:t>
      </w:r>
      <w:r w:rsidR="00F46C6C">
        <w:t xml:space="preserve">current and emerging </w:t>
      </w:r>
      <w:r w:rsidR="00AB518E">
        <w:t>Infant Sleep Products</w:t>
      </w:r>
      <w:r w:rsidR="005875C8">
        <w:t xml:space="preserve"> such as</w:t>
      </w:r>
      <w:r w:rsidR="005875C8" w:rsidRPr="00C30610">
        <w:t xml:space="preserve"> bassinets</w:t>
      </w:r>
      <w:r w:rsidR="005875C8">
        <w:t xml:space="preserve"> or bedside sleepers. </w:t>
      </w:r>
      <w:r w:rsidR="00F46C6C">
        <w:t xml:space="preserve">As a result, this Consultation Paper will consider whether a holistic standard for all Infant Sleep Products is required to address </w:t>
      </w:r>
      <w:r w:rsidR="002520F2">
        <w:t xml:space="preserve">this </w:t>
      </w:r>
      <w:r w:rsidR="00F46C6C">
        <w:t xml:space="preserve">regulatory gap.  </w:t>
      </w:r>
    </w:p>
    <w:p w14:paraId="5E104440" w14:textId="4522C075" w:rsidR="00F31007" w:rsidRDefault="003F39B8" w:rsidP="004F5DA7">
      <w:r w:rsidRPr="00C30610">
        <w:t>Whi</w:t>
      </w:r>
      <w:r w:rsidR="000B4114">
        <w:t>le</w:t>
      </w:r>
      <w:r w:rsidRPr="00C30610">
        <w:t xml:space="preserve"> </w:t>
      </w:r>
      <w:r w:rsidR="00F31007" w:rsidRPr="00C30610">
        <w:t xml:space="preserve">some types of </w:t>
      </w:r>
      <w:r w:rsidR="00606AF9" w:rsidRPr="00C30610">
        <w:t>I</w:t>
      </w:r>
      <w:r w:rsidR="00F31007" w:rsidRPr="00C30610">
        <w:t xml:space="preserve">nclined </w:t>
      </w:r>
      <w:r w:rsidRPr="00C30610">
        <w:t xml:space="preserve">Sleep </w:t>
      </w:r>
      <w:r w:rsidR="00425CB8">
        <w:t xml:space="preserve">Products </w:t>
      </w:r>
      <w:r w:rsidRPr="00C30610">
        <w:t xml:space="preserve">and </w:t>
      </w:r>
      <w:r w:rsidR="008B06C0">
        <w:t xml:space="preserve">Inclined </w:t>
      </w:r>
      <w:r w:rsidRPr="00C30610">
        <w:t xml:space="preserve">Non-Sleep </w:t>
      </w:r>
      <w:r w:rsidR="00606AF9" w:rsidRPr="00C30610">
        <w:t>P</w:t>
      </w:r>
      <w:r w:rsidR="00F31007" w:rsidRPr="00C30610">
        <w:t xml:space="preserve">roducts are regulated in </w:t>
      </w:r>
      <w:r w:rsidR="002520F2">
        <w:t>other</w:t>
      </w:r>
      <w:r w:rsidR="002520F2" w:rsidRPr="00C30610">
        <w:t xml:space="preserve"> </w:t>
      </w:r>
      <w:r w:rsidR="00F31007" w:rsidRPr="00C30610">
        <w:t xml:space="preserve">jurisdictions, the scope of these standards </w:t>
      </w:r>
      <w:r w:rsidR="00A05767" w:rsidRPr="00C30610">
        <w:t>differ</w:t>
      </w:r>
      <w:r w:rsidR="00292194">
        <w:t xml:space="preserve"> and do not cover all known risks</w:t>
      </w:r>
      <w:r w:rsidR="00A05767">
        <w:t xml:space="preserve"> which m</w:t>
      </w:r>
      <w:r w:rsidR="00C30610" w:rsidRPr="00C30610">
        <w:t>ak</w:t>
      </w:r>
      <w:r w:rsidR="00A05767">
        <w:t>es</w:t>
      </w:r>
      <w:r w:rsidR="00C30610" w:rsidRPr="00C30610">
        <w:t xml:space="preserve"> it </w:t>
      </w:r>
      <w:r w:rsidR="00292194" w:rsidRPr="00C30610">
        <w:t>impractical</w:t>
      </w:r>
      <w:r w:rsidR="00C30610" w:rsidRPr="00C30610">
        <w:t xml:space="preserve"> to adopt </w:t>
      </w:r>
      <w:r w:rsidR="00292194">
        <w:t>any one</w:t>
      </w:r>
      <w:r w:rsidR="00292194" w:rsidRPr="00C30610">
        <w:t xml:space="preserve"> </w:t>
      </w:r>
      <w:r w:rsidR="00F31007" w:rsidRPr="00C30610">
        <w:t xml:space="preserve">existing international approach. </w:t>
      </w:r>
    </w:p>
    <w:p w14:paraId="78E065AC" w14:textId="0ECF27B2" w:rsidR="00D2459C" w:rsidRDefault="00660088" w:rsidP="00285057">
      <w:r>
        <w:t>T</w:t>
      </w:r>
      <w:r w:rsidR="00C30610">
        <w:t>o address the known risks associated with Infant Sleep Products</w:t>
      </w:r>
      <w:r w:rsidR="00A05767">
        <w:t xml:space="preserve">, the ACCC is seeking feedback on the likely effectiveness and cost of </w:t>
      </w:r>
      <w:r w:rsidR="008B06C0">
        <w:t xml:space="preserve">the following </w:t>
      </w:r>
      <w:r w:rsidR="00A05767">
        <w:t xml:space="preserve">regulatory and non-regulatory options. </w:t>
      </w:r>
    </w:p>
    <w:p w14:paraId="3C3288AB" w14:textId="77777777" w:rsidR="00AB42BF" w:rsidRPr="003F39B8" w:rsidRDefault="00AB42BF" w:rsidP="00AB42BF">
      <w:pPr>
        <w:pStyle w:val="NoSpacing"/>
      </w:pPr>
    </w:p>
    <w:tbl>
      <w:tblPr>
        <w:tblStyle w:val="TableGrid"/>
        <w:tblW w:w="0" w:type="auto"/>
        <w:tblLook w:val="0480" w:firstRow="0" w:lastRow="0" w:firstColumn="1" w:lastColumn="0" w:noHBand="0" w:noVBand="1"/>
      </w:tblPr>
      <w:tblGrid>
        <w:gridCol w:w="1560"/>
        <w:gridCol w:w="7466"/>
      </w:tblGrid>
      <w:tr w:rsidR="00913B86" w:rsidRPr="008D0AA5" w14:paraId="7AB25D02"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419AD9F1" w14:textId="77777777" w:rsidR="00913B86" w:rsidRPr="00DF6A58" w:rsidRDefault="00913B86" w:rsidP="004A7094">
            <w:pPr>
              <w:pStyle w:val="Tabletext"/>
              <w:rPr>
                <w:sz w:val="22"/>
              </w:rPr>
            </w:pPr>
            <w:bookmarkStart w:id="10" w:name="_Hlk111023371"/>
            <w:r w:rsidRPr="008D0AA5">
              <w:t>Option 1:</w:t>
            </w:r>
          </w:p>
        </w:tc>
        <w:tc>
          <w:tcPr>
            <w:tcW w:w="7466" w:type="dxa"/>
          </w:tcPr>
          <w:p w14:paraId="6CA7C15F" w14:textId="77777777" w:rsidR="00913B86" w:rsidRPr="00DF6A58" w:rsidRDefault="00913B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8D0AA5">
              <w:t xml:space="preserve">Take no action </w:t>
            </w:r>
          </w:p>
        </w:tc>
      </w:tr>
      <w:tr w:rsidR="00913B86" w:rsidRPr="008D0AA5" w14:paraId="16FC06DC"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27A70D8A" w14:textId="77777777" w:rsidR="00913B86" w:rsidRPr="00DF6A58" w:rsidRDefault="00913B86" w:rsidP="004A7094">
            <w:pPr>
              <w:pStyle w:val="Tabletext"/>
              <w:rPr>
                <w:sz w:val="22"/>
              </w:rPr>
            </w:pPr>
            <w:r w:rsidRPr="008D0AA5">
              <w:t>Option 2:</w:t>
            </w:r>
          </w:p>
        </w:tc>
        <w:tc>
          <w:tcPr>
            <w:tcW w:w="7466" w:type="dxa"/>
          </w:tcPr>
          <w:p w14:paraId="4EBF2BB1" w14:textId="08E6F7C8" w:rsidR="00913B86" w:rsidRPr="00DF6A58" w:rsidRDefault="002520F2" w:rsidP="004A7094">
            <w:pPr>
              <w:pStyle w:val="Tabletext"/>
              <w:cnfStyle w:val="000000000000" w:firstRow="0" w:lastRow="0" w:firstColumn="0" w:lastColumn="0" w:oddVBand="0" w:evenVBand="0" w:oddHBand="0" w:evenHBand="0" w:firstRowFirstColumn="0" w:firstRowLastColumn="0" w:lastRowFirstColumn="0" w:lastRowLastColumn="0"/>
              <w:rPr>
                <w:sz w:val="22"/>
              </w:rPr>
            </w:pPr>
            <w:r>
              <w:t>A</w:t>
            </w:r>
            <w:r w:rsidR="008B792D" w:rsidRPr="008D0AA5">
              <w:t xml:space="preserve"> safe sleep </w:t>
            </w:r>
            <w:r w:rsidR="007306E0" w:rsidRPr="008D0AA5">
              <w:t>e</w:t>
            </w:r>
            <w:r w:rsidR="00913B86" w:rsidRPr="008D0AA5">
              <w:t>ducation campaign</w:t>
            </w:r>
          </w:p>
        </w:tc>
      </w:tr>
      <w:tr w:rsidR="00913B86" w:rsidRPr="008D0AA5" w14:paraId="76CD9C2F"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5D9FEC6E" w14:textId="77777777" w:rsidR="00913B86" w:rsidRPr="00DF6A58" w:rsidRDefault="00913B86" w:rsidP="004A7094">
            <w:pPr>
              <w:pStyle w:val="Tabletext"/>
              <w:rPr>
                <w:sz w:val="22"/>
              </w:rPr>
            </w:pPr>
            <w:r w:rsidRPr="008D0AA5">
              <w:t>Option 3:</w:t>
            </w:r>
          </w:p>
        </w:tc>
        <w:tc>
          <w:tcPr>
            <w:tcW w:w="7466" w:type="dxa"/>
          </w:tcPr>
          <w:p w14:paraId="5B3E0EE0" w14:textId="0A78FE27" w:rsidR="00913B86" w:rsidRPr="00DF6A58" w:rsidRDefault="00913B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8D0AA5">
              <w:t>Mandatory information standard focusing on</w:t>
            </w:r>
            <w:r w:rsidR="00721F1A" w:rsidRPr="008D0AA5">
              <w:t xml:space="preserve"> the inclined risk in</w:t>
            </w:r>
            <w:r w:rsidRPr="008D0AA5">
              <w:t xml:space="preserve"> Inclined Sleep</w:t>
            </w:r>
            <w:r w:rsidR="00721F1A" w:rsidRPr="008D0AA5">
              <w:t xml:space="preserve"> Products</w:t>
            </w:r>
            <w:r w:rsidRPr="008D0AA5">
              <w:t xml:space="preserve"> and </w:t>
            </w:r>
            <w:r w:rsidR="007306E0" w:rsidRPr="008D0AA5">
              <w:t xml:space="preserve">Inclined </w:t>
            </w:r>
            <w:r w:rsidRPr="008D0AA5">
              <w:t>Non-Sleep Products</w:t>
            </w:r>
            <w:r w:rsidR="00ED18F6" w:rsidRPr="008D0AA5">
              <w:t>,</w:t>
            </w:r>
            <w:r w:rsidRPr="008D0AA5">
              <w:t xml:space="preserve"> plus </w:t>
            </w:r>
            <w:r w:rsidR="00721F1A" w:rsidRPr="008D0AA5">
              <w:t>an education campaign</w:t>
            </w:r>
          </w:p>
        </w:tc>
      </w:tr>
      <w:tr w:rsidR="00913B86" w:rsidRPr="008D0AA5" w14:paraId="6CCF4269"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48EDBE18" w14:textId="77777777" w:rsidR="00913B86" w:rsidRPr="00DF6A58" w:rsidRDefault="00913B86" w:rsidP="004A7094">
            <w:pPr>
              <w:pStyle w:val="Tabletext"/>
              <w:rPr>
                <w:sz w:val="22"/>
              </w:rPr>
            </w:pPr>
            <w:r w:rsidRPr="008D0AA5">
              <w:t>Option 4:</w:t>
            </w:r>
          </w:p>
        </w:tc>
        <w:tc>
          <w:tcPr>
            <w:tcW w:w="7466" w:type="dxa"/>
          </w:tcPr>
          <w:p w14:paraId="63A284D8" w14:textId="174BC950" w:rsidR="00913B86" w:rsidRPr="00DF6A58" w:rsidRDefault="005B0023"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8D0AA5">
              <w:t>Mandatory safety standard focusing on the inclined risk, with a prescribed maximum incline angle of 7</w:t>
            </w:r>
            <w:r w:rsidR="00F36A45">
              <w:t xml:space="preserve"> </w:t>
            </w:r>
            <w:r w:rsidRPr="008D0AA5">
              <w:t xml:space="preserve">degrees for Infant Sleep Products, plus a mandatory information standard focusing on the inclined risk in Inclined Sleep Products and Inclined Non-Sleep Products </w:t>
            </w:r>
            <w:r w:rsidR="002520F2">
              <w:t>and</w:t>
            </w:r>
            <w:r w:rsidR="002520F2" w:rsidRPr="008D0AA5">
              <w:t xml:space="preserve"> </w:t>
            </w:r>
            <w:r w:rsidRPr="008D0AA5">
              <w:t>an education campaign</w:t>
            </w:r>
          </w:p>
        </w:tc>
      </w:tr>
      <w:tr w:rsidR="00913B86" w:rsidRPr="008D0AA5" w14:paraId="7B49DBEF"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66339E38" w14:textId="77777777" w:rsidR="00913B86" w:rsidRPr="00DF6A58" w:rsidRDefault="00913B86" w:rsidP="004A7094">
            <w:pPr>
              <w:pStyle w:val="Tabletext"/>
              <w:rPr>
                <w:sz w:val="22"/>
              </w:rPr>
            </w:pPr>
            <w:r w:rsidRPr="008D0AA5">
              <w:t>Option 5:</w:t>
            </w:r>
          </w:p>
        </w:tc>
        <w:tc>
          <w:tcPr>
            <w:tcW w:w="7466" w:type="dxa"/>
          </w:tcPr>
          <w:p w14:paraId="56E71CD4" w14:textId="6EF00C45" w:rsidR="00051A55" w:rsidRPr="00DF6A58" w:rsidRDefault="00051A55"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8D0AA5">
              <w:t>Mandatory information standard focusing on all Infant Sleep Products</w:t>
            </w:r>
            <w:r w:rsidR="0020154E">
              <w:t xml:space="preserve"> and Inclined Non-Sleep Products</w:t>
            </w:r>
            <w:r w:rsidR="002520F2">
              <w:t>,</w:t>
            </w:r>
            <w:r w:rsidRPr="008D0AA5">
              <w:t xml:space="preserve"> plus an education campaign</w:t>
            </w:r>
          </w:p>
        </w:tc>
      </w:tr>
      <w:tr w:rsidR="00913B86" w:rsidRPr="008D0AA5" w14:paraId="0CDDAC8E"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5B8767BE" w14:textId="0C2FABA8" w:rsidR="00913B86" w:rsidRPr="00DF6A58" w:rsidRDefault="00913B86" w:rsidP="004A7094">
            <w:pPr>
              <w:pStyle w:val="Tabletext"/>
              <w:rPr>
                <w:sz w:val="22"/>
              </w:rPr>
            </w:pPr>
            <w:r w:rsidRPr="008D0AA5">
              <w:t>Option 6</w:t>
            </w:r>
            <w:r w:rsidR="008B06C0" w:rsidRPr="008D0AA5">
              <w:t xml:space="preserve"> </w:t>
            </w:r>
          </w:p>
        </w:tc>
        <w:tc>
          <w:tcPr>
            <w:tcW w:w="7466" w:type="dxa"/>
          </w:tcPr>
          <w:p w14:paraId="4B9777D9" w14:textId="62FD184F" w:rsidR="00913B86" w:rsidRPr="00DF6A58" w:rsidRDefault="00913B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8D0AA5">
              <w:t xml:space="preserve">Mandatory safety standard focusing on all Infant Sleep Products, including general requirements for all </w:t>
            </w:r>
            <w:r w:rsidR="00C1112E" w:rsidRPr="008D0AA5">
              <w:t>Infant Sleep P</w:t>
            </w:r>
            <w:r w:rsidRPr="008D0AA5">
              <w:t xml:space="preserve">roducts and </w:t>
            </w:r>
            <w:r w:rsidR="00D22B88" w:rsidRPr="008D0AA5">
              <w:t xml:space="preserve">additional </w:t>
            </w:r>
            <w:r w:rsidRPr="008D0AA5">
              <w:t>specific requirements for discrete product categories</w:t>
            </w:r>
            <w:r w:rsidR="00ED18F6" w:rsidRPr="008D0AA5">
              <w:t xml:space="preserve"> (such as household and folding cots), plus</w:t>
            </w:r>
            <w:r w:rsidR="00051A55" w:rsidRPr="008D0AA5">
              <w:t xml:space="preserve"> a mandatory information standard focusing on all Infant Sleep Products </w:t>
            </w:r>
            <w:r w:rsidR="0020154E">
              <w:t>and Inclined Non-Sleep Products, plus</w:t>
            </w:r>
            <w:r w:rsidR="00051A55" w:rsidRPr="008D0AA5">
              <w:t xml:space="preserve"> an education campaign </w:t>
            </w:r>
          </w:p>
        </w:tc>
      </w:tr>
      <w:tr w:rsidR="005848C7" w:rsidRPr="008D0AA5" w14:paraId="21016908" w14:textId="77777777" w:rsidTr="00302C1B">
        <w:tc>
          <w:tcPr>
            <w:cnfStyle w:val="001000000000" w:firstRow="0" w:lastRow="0" w:firstColumn="1" w:lastColumn="0" w:oddVBand="0" w:evenVBand="0" w:oddHBand="0" w:evenHBand="0" w:firstRowFirstColumn="0" w:firstRowLastColumn="0" w:lastRowFirstColumn="0" w:lastRowLastColumn="0"/>
            <w:tcW w:w="1560" w:type="dxa"/>
          </w:tcPr>
          <w:p w14:paraId="2CFFE0C5" w14:textId="43EC8126" w:rsidR="005848C7" w:rsidRPr="00DF6A58" w:rsidRDefault="005848C7" w:rsidP="004A7094">
            <w:pPr>
              <w:pStyle w:val="Tabletext"/>
              <w:rPr>
                <w:sz w:val="22"/>
              </w:rPr>
            </w:pPr>
            <w:r w:rsidRPr="008D0AA5">
              <w:t>Option 7</w:t>
            </w:r>
            <w:r w:rsidR="002845E0">
              <w:t xml:space="preserve"> </w:t>
            </w:r>
            <w:r w:rsidR="002845E0" w:rsidRPr="008D0AA5">
              <w:t>(preferred)</w:t>
            </w:r>
            <w:r w:rsidR="008B06C0" w:rsidRPr="008D0AA5">
              <w:t>:</w:t>
            </w:r>
          </w:p>
        </w:tc>
        <w:tc>
          <w:tcPr>
            <w:tcW w:w="7466" w:type="dxa"/>
          </w:tcPr>
          <w:p w14:paraId="6F5EC03A" w14:textId="515EA978" w:rsidR="005848C7" w:rsidRPr="00DF6A58" w:rsidRDefault="009236CE" w:rsidP="004A7094">
            <w:pPr>
              <w:pStyle w:val="Tabletext"/>
              <w:cnfStyle w:val="000000000000" w:firstRow="0" w:lastRow="0" w:firstColumn="0" w:lastColumn="0" w:oddVBand="0" w:evenVBand="0" w:oddHBand="0" w:evenHBand="0" w:firstRowFirstColumn="0" w:firstRowLastColumn="0" w:lastRowFirstColumn="0" w:lastRowLastColumn="0"/>
              <w:rPr>
                <w:sz w:val="22"/>
              </w:rPr>
            </w:pPr>
            <w:r>
              <w:t>In the short term,</w:t>
            </w:r>
            <w:r w:rsidR="00E16A85" w:rsidRPr="008D0AA5">
              <w:t xml:space="preserve"> </w:t>
            </w:r>
            <w:r w:rsidR="0009219C" w:rsidRPr="008D0AA5">
              <w:t xml:space="preserve">implement </w:t>
            </w:r>
            <w:r w:rsidR="00E16A85" w:rsidRPr="008D0AA5">
              <w:t xml:space="preserve">a </w:t>
            </w:r>
            <w:r w:rsidR="002062F6" w:rsidRPr="008D0AA5">
              <w:t>permanent ban</w:t>
            </w:r>
            <w:r w:rsidR="00A4063B" w:rsidRPr="008D0AA5">
              <w:t xml:space="preserve"> </w:t>
            </w:r>
            <w:r w:rsidR="00D22B88" w:rsidRPr="008D0AA5">
              <w:t>on</w:t>
            </w:r>
            <w:r w:rsidR="002062F6" w:rsidRPr="008D0AA5">
              <w:t xml:space="preserve"> the s</w:t>
            </w:r>
            <w:r w:rsidR="00752E27" w:rsidRPr="008D0AA5">
              <w:t>upply</w:t>
            </w:r>
            <w:r w:rsidR="002062F6" w:rsidRPr="008D0AA5">
              <w:t xml:space="preserve"> of Inclined Sleep Products with an incline greater than 7</w:t>
            </w:r>
            <w:r w:rsidR="00F36A45">
              <w:t xml:space="preserve"> </w:t>
            </w:r>
            <w:r w:rsidR="002062F6" w:rsidRPr="008D0AA5">
              <w:t>degrees</w:t>
            </w:r>
            <w:r w:rsidR="002520F2">
              <w:t>,</w:t>
            </w:r>
            <w:r>
              <w:t xml:space="preserve"> plus Option 6</w:t>
            </w:r>
          </w:p>
        </w:tc>
      </w:tr>
      <w:bookmarkEnd w:id="10"/>
    </w:tbl>
    <w:p w14:paraId="6F438C1E" w14:textId="77777777" w:rsidR="00E163FE" w:rsidRDefault="00E163FE" w:rsidP="00E163FE">
      <w:pPr>
        <w:pStyle w:val="NoSpacing"/>
      </w:pPr>
    </w:p>
    <w:p w14:paraId="220AA919" w14:textId="6660A961" w:rsidR="00FB1AA2" w:rsidRDefault="00F840EA" w:rsidP="00FC218E">
      <w:pPr>
        <w:pStyle w:val="Bulletpoint"/>
        <w:numPr>
          <w:ilvl w:val="0"/>
          <w:numId w:val="0"/>
        </w:numPr>
      </w:pPr>
      <w:r>
        <w:t>The ACCC’s preliminary view is</w:t>
      </w:r>
      <w:r w:rsidR="00D30D87">
        <w:t xml:space="preserve"> that</w:t>
      </w:r>
      <w:r>
        <w:t xml:space="preserve"> Option </w:t>
      </w:r>
      <w:r w:rsidR="00F7236F">
        <w:t>7</w:t>
      </w:r>
      <w:r w:rsidR="00581B5F">
        <w:t xml:space="preserve"> </w:t>
      </w:r>
      <w:r w:rsidR="00EE6D17">
        <w:t xml:space="preserve">will </w:t>
      </w:r>
      <w:r w:rsidR="00B37BFD">
        <w:t>be the most effective in</w:t>
      </w:r>
      <w:r>
        <w:t xml:space="preserve"> prevent</w:t>
      </w:r>
      <w:r w:rsidR="00B37BFD">
        <w:t>ing</w:t>
      </w:r>
      <w:r>
        <w:t xml:space="preserve"> </w:t>
      </w:r>
      <w:r w:rsidR="00291769">
        <w:t xml:space="preserve">the </w:t>
      </w:r>
      <w:r w:rsidR="00B37BFD">
        <w:t>risk of injury and death</w:t>
      </w:r>
      <w:r w:rsidR="00FE51D2">
        <w:t xml:space="preserve"> of infants</w:t>
      </w:r>
      <w:r w:rsidR="00D30D87">
        <w:t xml:space="preserve"> </w:t>
      </w:r>
      <w:r>
        <w:t>because</w:t>
      </w:r>
      <w:r w:rsidR="00285057">
        <w:t xml:space="preserve"> it</w:t>
      </w:r>
      <w:r w:rsidR="00E06284">
        <w:t xml:space="preserve"> </w:t>
      </w:r>
      <w:r w:rsidR="008B06C0">
        <w:t>will</w:t>
      </w:r>
      <w:r w:rsidR="00F7236F" w:rsidRPr="00F7236F">
        <w:t xml:space="preserve"> </w:t>
      </w:r>
      <w:r w:rsidR="00F7236F">
        <w:t>permanently ban the supply</w:t>
      </w:r>
      <w:r w:rsidR="00F7236F" w:rsidRPr="00664529">
        <w:t xml:space="preserve"> of</w:t>
      </w:r>
      <w:r w:rsidR="00F7236F">
        <w:t xml:space="preserve"> the highest-risk</w:t>
      </w:r>
      <w:r w:rsidR="00F7236F" w:rsidRPr="00664529">
        <w:t xml:space="preserve"> </w:t>
      </w:r>
      <w:r w:rsidR="00F7236F">
        <w:t>Inclined</w:t>
      </w:r>
      <w:r w:rsidR="00F7236F" w:rsidRPr="00664529">
        <w:t xml:space="preserve"> </w:t>
      </w:r>
      <w:r w:rsidR="00F7236F">
        <w:t>S</w:t>
      </w:r>
      <w:r w:rsidR="00F7236F" w:rsidRPr="00664529">
        <w:t xml:space="preserve">leep </w:t>
      </w:r>
      <w:r w:rsidR="00085975">
        <w:t>P</w:t>
      </w:r>
      <w:r w:rsidR="00F7236F" w:rsidRPr="00664529">
        <w:t>roducts</w:t>
      </w:r>
      <w:r w:rsidR="00F7236F">
        <w:t xml:space="preserve"> in the Australian market in the </w:t>
      </w:r>
      <w:r w:rsidR="002520F2">
        <w:t>short</w:t>
      </w:r>
      <w:r w:rsidR="00F7236F">
        <w:t xml:space="preserve"> term while</w:t>
      </w:r>
      <w:r w:rsidR="00FC218E">
        <w:t xml:space="preserve"> a</w:t>
      </w:r>
      <w:r w:rsidR="00F7236F">
        <w:t xml:space="preserve"> holistic information </w:t>
      </w:r>
      <w:r w:rsidR="00FC218E">
        <w:t xml:space="preserve">standard </w:t>
      </w:r>
      <w:r w:rsidR="00F7236F">
        <w:t xml:space="preserve">and </w:t>
      </w:r>
      <w:r w:rsidR="002520F2">
        <w:t>safety</w:t>
      </w:r>
      <w:r w:rsidR="00F7236F">
        <w:t xml:space="preserve"> standard</w:t>
      </w:r>
      <w:r w:rsidR="00FC218E">
        <w:t xml:space="preserve"> for all Infant Sleep Products</w:t>
      </w:r>
      <w:r w:rsidR="00F7236F">
        <w:t xml:space="preserve"> are developed</w:t>
      </w:r>
      <w:r w:rsidR="00FB1AA2">
        <w:t>, which would:</w:t>
      </w:r>
      <w:r w:rsidR="00F7236F">
        <w:t xml:space="preserve"> </w:t>
      </w:r>
    </w:p>
    <w:p w14:paraId="01EFACDB" w14:textId="5A036F5E" w:rsidR="00861B45" w:rsidRPr="00644A13" w:rsidRDefault="00644A13" w:rsidP="00FB1AA2">
      <w:pPr>
        <w:pStyle w:val="Bulletpoint"/>
      </w:pPr>
      <w:r w:rsidRPr="00644A13">
        <w:t>i</w:t>
      </w:r>
      <w:r w:rsidR="00861B45" w:rsidRPr="00644A13">
        <w:t xml:space="preserve">ntroduce testing and design requirements </w:t>
      </w:r>
      <w:r w:rsidR="00E06284" w:rsidRPr="00644A13">
        <w:t xml:space="preserve">for </w:t>
      </w:r>
      <w:r w:rsidR="00ED18F6">
        <w:t>the risks associated with incline, curvature, rigidity and material used, which are currently unregulated</w:t>
      </w:r>
      <w:r w:rsidR="00E06284" w:rsidRPr="00644A13">
        <w:t xml:space="preserve"> </w:t>
      </w:r>
    </w:p>
    <w:p w14:paraId="2F60B77A" w14:textId="378E32E1" w:rsidR="00EE7490" w:rsidRPr="00644A13" w:rsidRDefault="00644A13" w:rsidP="00EE7490">
      <w:pPr>
        <w:pStyle w:val="Bulletpoint"/>
      </w:pPr>
      <w:r w:rsidRPr="00644A13">
        <w:t>i</w:t>
      </w:r>
      <w:r w:rsidR="00E06284" w:rsidRPr="00644A13">
        <w:t>nclude safety information and warnings so consumers are</w:t>
      </w:r>
      <w:r w:rsidR="00FE51D2" w:rsidRPr="00644A13">
        <w:t xml:space="preserve"> </w:t>
      </w:r>
      <w:r w:rsidR="00B741FF">
        <w:t xml:space="preserve">better informed of infant safe sleep practices and related risks </w:t>
      </w:r>
    </w:p>
    <w:p w14:paraId="5A01E234" w14:textId="0691379C" w:rsidR="00EE7490" w:rsidRDefault="00B166FA" w:rsidP="004C19E0">
      <w:pPr>
        <w:pStyle w:val="Bulletpoint"/>
      </w:pPr>
      <w:r>
        <w:t xml:space="preserve">minimise the likelihood of infants being placed </w:t>
      </w:r>
      <w:r w:rsidR="00644A13" w:rsidRPr="00644A13">
        <w:t>in</w:t>
      </w:r>
      <w:r w:rsidR="00E06284" w:rsidRPr="00644A13">
        <w:t xml:space="preserve"> unsafe sleep</w:t>
      </w:r>
      <w:r w:rsidR="00644A13" w:rsidRPr="00644A13">
        <w:t>ing environments</w:t>
      </w:r>
      <w:r w:rsidR="008B06C0">
        <w:t xml:space="preserve"> </w:t>
      </w:r>
    </w:p>
    <w:p w14:paraId="48AF5E5A" w14:textId="4DF7AF4D" w:rsidR="00882CDE" w:rsidRDefault="00EE7490" w:rsidP="00882CDE">
      <w:pPr>
        <w:pStyle w:val="Bulletpoint"/>
      </w:pPr>
      <w:r>
        <w:t xml:space="preserve">complement existing educative resources such as Red Nose and the ACCC’s Your First Steps </w:t>
      </w:r>
      <w:hyperlink r:id="rId25" w:history="1">
        <w:r w:rsidR="00066649" w:rsidRPr="0037225B">
          <w:rPr>
            <w:rStyle w:val="Hyperlink"/>
          </w:rPr>
          <w:t>website</w:t>
        </w:r>
      </w:hyperlink>
      <w:r w:rsidR="00066649">
        <w:t xml:space="preserve"> </w:t>
      </w:r>
      <w:r w:rsidR="00882CDE">
        <w:t>via a</w:t>
      </w:r>
      <w:r>
        <w:t xml:space="preserve"> targeted</w:t>
      </w:r>
      <w:r w:rsidR="00882CDE">
        <w:t xml:space="preserve"> </w:t>
      </w:r>
      <w:r w:rsidR="00F626BE">
        <w:t xml:space="preserve">education </w:t>
      </w:r>
      <w:r w:rsidR="00882CDE">
        <w:t>campaign focusing on safe sleep</w:t>
      </w:r>
      <w:r w:rsidR="00644A13" w:rsidRPr="00644A13">
        <w:t>.</w:t>
      </w:r>
      <w:r w:rsidR="00B37BFD" w:rsidRPr="00644A13">
        <w:t xml:space="preserve"> </w:t>
      </w:r>
    </w:p>
    <w:p w14:paraId="21FAF772" w14:textId="149705B6" w:rsidR="00303931" w:rsidRDefault="00882CDE" w:rsidP="00882CDE">
      <w:pPr>
        <w:pStyle w:val="Bulletpoint"/>
        <w:numPr>
          <w:ilvl w:val="0"/>
          <w:numId w:val="0"/>
        </w:numPr>
      </w:pPr>
      <w:r>
        <w:t xml:space="preserve">This Consultation Paper is also seeking stakeholder feedback on the </w:t>
      </w:r>
      <w:r w:rsidR="003E687C">
        <w:t xml:space="preserve">existing </w:t>
      </w:r>
      <w:r>
        <w:t>mandatory safety standards for household</w:t>
      </w:r>
      <w:r w:rsidR="009236CE">
        <w:t xml:space="preserve"> cots</w:t>
      </w:r>
      <w:r>
        <w:t xml:space="preserve"> and folding cots</w:t>
      </w:r>
      <w:r w:rsidR="00E37186">
        <w:t xml:space="preserve">. As the ACCC’s preferred option </w:t>
      </w:r>
      <w:r w:rsidR="005434DF">
        <w:t xml:space="preserve">includes </w:t>
      </w:r>
      <w:r w:rsidR="00E37186">
        <w:t>develop</w:t>
      </w:r>
      <w:r w:rsidR="005434DF">
        <w:t>ing</w:t>
      </w:r>
      <w:r w:rsidR="00E37186">
        <w:t xml:space="preserve"> a </w:t>
      </w:r>
      <w:r w:rsidR="00D3517C">
        <w:t>holistic safety standard capturing</w:t>
      </w:r>
      <w:r w:rsidR="006D7923">
        <w:t xml:space="preserve"> all</w:t>
      </w:r>
      <w:r w:rsidR="00D3517C">
        <w:t xml:space="preserve"> Infant Sleep Products, it is relevant and appropriate to consult on the efficacy and scope of the</w:t>
      </w:r>
      <w:r w:rsidR="00884EB6">
        <w:t>se existing standards.</w:t>
      </w:r>
      <w:r w:rsidR="00D3517C">
        <w:t xml:space="preserve"> </w:t>
      </w:r>
      <w:r w:rsidR="006D7923">
        <w:t xml:space="preserve">This is consistent with the ACCC’s role in periodically reviewing and updating safety standards. </w:t>
      </w:r>
      <w:r w:rsidR="00303931">
        <w:t>It is envisaged that updates to these standards would occur in conjunction with the outcomes of this Consultation Paper</w:t>
      </w:r>
      <w:r w:rsidR="00FC218E">
        <w:t xml:space="preserve"> </w:t>
      </w:r>
      <w:r w:rsidR="00303931">
        <w:t xml:space="preserve">and if a holistic safety standard is developed, would be incorporated into that standard. </w:t>
      </w:r>
    </w:p>
    <w:p w14:paraId="37B645AD" w14:textId="77777777" w:rsidR="00E163FE" w:rsidRDefault="00E163FE" w:rsidP="00882CDE">
      <w:pPr>
        <w:pStyle w:val="Bulletpoint"/>
        <w:numPr>
          <w:ilvl w:val="0"/>
          <w:numId w:val="0"/>
        </w:numPr>
      </w:pPr>
    </w:p>
    <w:p w14:paraId="022FFDD0" w14:textId="77777777" w:rsidR="00E163FE" w:rsidRDefault="00E163FE" w:rsidP="00882CDE">
      <w:pPr>
        <w:pStyle w:val="Bulletpoint"/>
        <w:numPr>
          <w:ilvl w:val="0"/>
          <w:numId w:val="0"/>
        </w:numPr>
      </w:pPr>
    </w:p>
    <w:p w14:paraId="67244712" w14:textId="77777777" w:rsidR="00E163FE" w:rsidRDefault="00E163FE" w:rsidP="00882CDE">
      <w:pPr>
        <w:pStyle w:val="Bulletpoint"/>
        <w:numPr>
          <w:ilvl w:val="0"/>
          <w:numId w:val="0"/>
        </w:numPr>
      </w:pPr>
    </w:p>
    <w:p w14:paraId="7DF93CAB" w14:textId="77777777" w:rsidR="00E163FE" w:rsidRDefault="00E163FE" w:rsidP="00882CDE">
      <w:pPr>
        <w:pStyle w:val="Bulletpoint"/>
        <w:numPr>
          <w:ilvl w:val="0"/>
          <w:numId w:val="0"/>
        </w:numPr>
      </w:pPr>
    </w:p>
    <w:p w14:paraId="461DF329" w14:textId="75C7684D" w:rsidR="00C4676D" w:rsidRDefault="008109BE" w:rsidP="00882CDE">
      <w:pPr>
        <w:pStyle w:val="Bulletpoint"/>
        <w:numPr>
          <w:ilvl w:val="0"/>
          <w:numId w:val="0"/>
        </w:numPr>
      </w:pPr>
      <w:r>
        <w:t xml:space="preserve">The </w:t>
      </w:r>
      <w:r w:rsidR="00B82A28">
        <w:t>options for consideration</w:t>
      </w:r>
      <w:r w:rsidR="006D7923">
        <w:t xml:space="preserve"> in relation to </w:t>
      </w:r>
      <w:r w:rsidR="00303931">
        <w:t xml:space="preserve">the </w:t>
      </w:r>
      <w:r w:rsidR="00FC218E">
        <w:t>H</w:t>
      </w:r>
      <w:r w:rsidR="00303931">
        <w:t>ousehold</w:t>
      </w:r>
      <w:r w:rsidR="00FC218E">
        <w:t xml:space="preserve"> Cots Mandatory Standard </w:t>
      </w:r>
      <w:r w:rsidR="00303931">
        <w:t>and</w:t>
      </w:r>
      <w:r w:rsidR="00894F33">
        <w:t xml:space="preserve"> separately the</w:t>
      </w:r>
      <w:r w:rsidR="00303931">
        <w:t xml:space="preserve"> </w:t>
      </w:r>
      <w:r w:rsidR="00894F33">
        <w:t>F</w:t>
      </w:r>
      <w:r w:rsidR="00303931">
        <w:t xml:space="preserve">olding </w:t>
      </w:r>
      <w:r w:rsidR="00894F33">
        <w:t>C</w:t>
      </w:r>
      <w:r w:rsidR="00303931">
        <w:t xml:space="preserve">ots </w:t>
      </w:r>
      <w:r w:rsidR="00894F33">
        <w:t>Mandatory S</w:t>
      </w:r>
      <w:r w:rsidR="006D7923">
        <w:t>tandard</w:t>
      </w:r>
      <w:r w:rsidR="00B82A28">
        <w:t xml:space="preserve"> are:</w:t>
      </w:r>
    </w:p>
    <w:p w14:paraId="2E20EBC6" w14:textId="77777777" w:rsidR="00157CE7" w:rsidRDefault="00157CE7" w:rsidP="00157CE7">
      <w:pPr>
        <w:pStyle w:val="NoSpacing"/>
      </w:pPr>
    </w:p>
    <w:tbl>
      <w:tblPr>
        <w:tblStyle w:val="TableGrid"/>
        <w:tblW w:w="0" w:type="auto"/>
        <w:tblLook w:val="04A0" w:firstRow="1" w:lastRow="0" w:firstColumn="1" w:lastColumn="0" w:noHBand="0" w:noVBand="1"/>
      </w:tblPr>
      <w:tblGrid>
        <w:gridCol w:w="2727"/>
        <w:gridCol w:w="6299"/>
      </w:tblGrid>
      <w:tr w:rsidR="006D7923" w:rsidRPr="00E65675" w14:paraId="2EC497DE" w14:textId="77777777" w:rsidTr="00302C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7" w:type="dxa"/>
          </w:tcPr>
          <w:p w14:paraId="0BE1A499" w14:textId="5B51E3AA" w:rsidR="006D7923" w:rsidRPr="00157CE7" w:rsidRDefault="006D7923" w:rsidP="004A7094">
            <w:pPr>
              <w:pStyle w:val="Tabletext"/>
              <w:rPr>
                <w:sz w:val="22"/>
              </w:rPr>
            </w:pPr>
            <w:r w:rsidRPr="00E65675">
              <w:t>Options</w:t>
            </w:r>
          </w:p>
        </w:tc>
        <w:tc>
          <w:tcPr>
            <w:tcW w:w="6299" w:type="dxa"/>
          </w:tcPr>
          <w:p w14:paraId="45F6F93E" w14:textId="5FA6986E" w:rsidR="006D7923" w:rsidRPr="009236CE" w:rsidRDefault="006D7923" w:rsidP="004A7094">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E65675">
              <w:t>Household Cots Mandatory Standard</w:t>
            </w:r>
            <w:r w:rsidR="009236CE">
              <w:t xml:space="preserve"> and </w:t>
            </w:r>
            <w:r w:rsidRPr="00E65675">
              <w:t>Folding Cots Mandatory Standard</w:t>
            </w:r>
          </w:p>
        </w:tc>
      </w:tr>
      <w:tr w:rsidR="00B82A28" w:rsidRPr="00E65675" w14:paraId="59859E5C" w14:textId="77777777" w:rsidTr="00302C1B">
        <w:tc>
          <w:tcPr>
            <w:cnfStyle w:val="001000000000" w:firstRow="0" w:lastRow="0" w:firstColumn="1" w:lastColumn="0" w:oddVBand="0" w:evenVBand="0" w:oddHBand="0" w:evenHBand="0" w:firstRowFirstColumn="0" w:firstRowLastColumn="0" w:lastRowFirstColumn="0" w:lastRowLastColumn="0"/>
            <w:tcW w:w="2727" w:type="dxa"/>
          </w:tcPr>
          <w:p w14:paraId="09E49271" w14:textId="18197A6B" w:rsidR="00B82A28" w:rsidRPr="00157CE7" w:rsidRDefault="00B82A28" w:rsidP="004A7094">
            <w:pPr>
              <w:pStyle w:val="Tabletext"/>
              <w:rPr>
                <w:sz w:val="22"/>
              </w:rPr>
            </w:pPr>
            <w:r w:rsidRPr="00E65675">
              <w:t xml:space="preserve">Option </w:t>
            </w:r>
            <w:r w:rsidR="00303931">
              <w:t xml:space="preserve">H1 and F1 </w:t>
            </w:r>
          </w:p>
        </w:tc>
        <w:tc>
          <w:tcPr>
            <w:tcW w:w="6299" w:type="dxa"/>
          </w:tcPr>
          <w:p w14:paraId="534D5A14" w14:textId="0DD43A4B" w:rsidR="00B82A28" w:rsidRPr="00157CE7" w:rsidRDefault="00332EC3"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E65675">
              <w:t>No change to the existing standards</w:t>
            </w:r>
          </w:p>
        </w:tc>
      </w:tr>
      <w:tr w:rsidR="00363E86" w:rsidRPr="00E65675" w14:paraId="25538F64" w14:textId="77777777" w:rsidTr="00302C1B">
        <w:tc>
          <w:tcPr>
            <w:cnfStyle w:val="001000000000" w:firstRow="0" w:lastRow="0" w:firstColumn="1" w:lastColumn="0" w:oddVBand="0" w:evenVBand="0" w:oddHBand="0" w:evenHBand="0" w:firstRowFirstColumn="0" w:firstRowLastColumn="0" w:lastRowFirstColumn="0" w:lastRowLastColumn="0"/>
            <w:tcW w:w="2727" w:type="dxa"/>
          </w:tcPr>
          <w:p w14:paraId="4B4BBE92" w14:textId="36A42776" w:rsidR="00363E86" w:rsidRPr="00157CE7" w:rsidRDefault="00363E86" w:rsidP="004A7094">
            <w:pPr>
              <w:pStyle w:val="Tabletext"/>
              <w:rPr>
                <w:sz w:val="22"/>
              </w:rPr>
            </w:pPr>
            <w:r w:rsidRPr="00E65675">
              <w:t xml:space="preserve">Option </w:t>
            </w:r>
            <w:r w:rsidR="00303931">
              <w:t xml:space="preserve">H2 and F2 </w:t>
            </w:r>
          </w:p>
        </w:tc>
        <w:tc>
          <w:tcPr>
            <w:tcW w:w="6299" w:type="dxa"/>
          </w:tcPr>
          <w:p w14:paraId="3C3701F9" w14:textId="5A9178E3" w:rsidR="00363E86" w:rsidRPr="00157CE7" w:rsidRDefault="00363E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E65675">
              <w:t>Amend by adopting sections of the most recent respective Voluntary Standard</w:t>
            </w:r>
          </w:p>
        </w:tc>
      </w:tr>
      <w:tr w:rsidR="00363E86" w:rsidRPr="00E65675" w14:paraId="4A5815FC" w14:textId="77777777" w:rsidTr="00302C1B">
        <w:tc>
          <w:tcPr>
            <w:cnfStyle w:val="001000000000" w:firstRow="0" w:lastRow="0" w:firstColumn="1" w:lastColumn="0" w:oddVBand="0" w:evenVBand="0" w:oddHBand="0" w:evenHBand="0" w:firstRowFirstColumn="0" w:firstRowLastColumn="0" w:lastRowFirstColumn="0" w:lastRowLastColumn="0"/>
            <w:tcW w:w="2727" w:type="dxa"/>
          </w:tcPr>
          <w:p w14:paraId="6AF81FF8" w14:textId="1E745E3E" w:rsidR="00363E86" w:rsidRPr="00157CE7" w:rsidRDefault="00363E86" w:rsidP="004A7094">
            <w:pPr>
              <w:pStyle w:val="Tabletext"/>
              <w:rPr>
                <w:sz w:val="22"/>
              </w:rPr>
            </w:pPr>
            <w:r w:rsidRPr="00E65675">
              <w:t>Option</w:t>
            </w:r>
            <w:r w:rsidR="00303931">
              <w:t xml:space="preserve"> H3 and F3</w:t>
            </w:r>
            <w:r w:rsidRPr="00E65675">
              <w:t xml:space="preserve"> </w:t>
            </w:r>
          </w:p>
        </w:tc>
        <w:tc>
          <w:tcPr>
            <w:tcW w:w="6299" w:type="dxa"/>
          </w:tcPr>
          <w:p w14:paraId="42B58FBD" w14:textId="41B13254" w:rsidR="00363E86" w:rsidRPr="00157CE7" w:rsidRDefault="00363E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E65675">
              <w:t>Amend by adopting the entirety of the most recent respective Voluntary Standard</w:t>
            </w:r>
          </w:p>
        </w:tc>
      </w:tr>
      <w:tr w:rsidR="00363E86" w:rsidRPr="00E65675" w14:paraId="76260F59" w14:textId="77777777" w:rsidTr="00302C1B">
        <w:tc>
          <w:tcPr>
            <w:cnfStyle w:val="001000000000" w:firstRow="0" w:lastRow="0" w:firstColumn="1" w:lastColumn="0" w:oddVBand="0" w:evenVBand="0" w:oddHBand="0" w:evenHBand="0" w:firstRowFirstColumn="0" w:firstRowLastColumn="0" w:lastRowFirstColumn="0" w:lastRowLastColumn="0"/>
            <w:tcW w:w="2727" w:type="dxa"/>
          </w:tcPr>
          <w:p w14:paraId="3658A6F3" w14:textId="7CE99125" w:rsidR="00363E86" w:rsidRPr="00157CE7" w:rsidRDefault="00363E86" w:rsidP="004A7094">
            <w:pPr>
              <w:pStyle w:val="Tabletext"/>
              <w:rPr>
                <w:sz w:val="22"/>
              </w:rPr>
            </w:pPr>
            <w:r w:rsidRPr="00E65675">
              <w:t xml:space="preserve">Option </w:t>
            </w:r>
            <w:r w:rsidR="00303931">
              <w:t xml:space="preserve">H4 and F4 </w:t>
            </w:r>
            <w:r w:rsidR="006C129E" w:rsidRPr="00E65675">
              <w:t>(preferred)</w:t>
            </w:r>
          </w:p>
        </w:tc>
        <w:tc>
          <w:tcPr>
            <w:tcW w:w="6299" w:type="dxa"/>
          </w:tcPr>
          <w:p w14:paraId="0FD84043" w14:textId="3BE3460E" w:rsidR="00363E86" w:rsidRPr="00157CE7" w:rsidRDefault="00363E86" w:rsidP="004A7094">
            <w:pPr>
              <w:pStyle w:val="Tabletext"/>
              <w:cnfStyle w:val="000000000000" w:firstRow="0" w:lastRow="0" w:firstColumn="0" w:lastColumn="0" w:oddVBand="0" w:evenVBand="0" w:oddHBand="0" w:evenHBand="0" w:firstRowFirstColumn="0" w:firstRowLastColumn="0" w:lastRowFirstColumn="0" w:lastRowLastColumn="0"/>
              <w:rPr>
                <w:sz w:val="22"/>
              </w:rPr>
            </w:pPr>
            <w:r w:rsidRPr="00E65675">
              <w:t>Amend by adopting sections of the most recent respective Voluntary Standard</w:t>
            </w:r>
            <w:r w:rsidR="008F0D7E">
              <w:t>s</w:t>
            </w:r>
            <w:r w:rsidRPr="00E65675">
              <w:t xml:space="preserve"> and allowing compliance with trusted international standards </w:t>
            </w:r>
          </w:p>
        </w:tc>
      </w:tr>
    </w:tbl>
    <w:p w14:paraId="1D8B4F0C" w14:textId="2221B88D" w:rsidR="00861B45" w:rsidRDefault="00861B45" w:rsidP="00E65675">
      <w:pPr>
        <w:pStyle w:val="Bulletpoint"/>
        <w:numPr>
          <w:ilvl w:val="0"/>
          <w:numId w:val="0"/>
        </w:numPr>
      </w:pPr>
      <w:r w:rsidRPr="00AA1990">
        <w:t xml:space="preserve">The ACCC will consider stakeholder responses to this </w:t>
      </w:r>
      <w:r>
        <w:t>C</w:t>
      </w:r>
      <w:r w:rsidRPr="00AA1990">
        <w:t xml:space="preserve">onsultation </w:t>
      </w:r>
      <w:r>
        <w:t>P</w:t>
      </w:r>
      <w:r w:rsidRPr="00AA1990">
        <w:t>aper to inform the development of a</w:t>
      </w:r>
      <w:r>
        <w:t xml:space="preserve"> recommendation to the Minister</w:t>
      </w:r>
      <w:r w:rsidR="005F36D1">
        <w:t>.</w:t>
      </w:r>
      <w:r>
        <w:t xml:space="preserve"> </w:t>
      </w:r>
    </w:p>
    <w:p w14:paraId="02B1B698" w14:textId="77777777" w:rsidR="00176E42" w:rsidRDefault="00176E42" w:rsidP="00E65675">
      <w:pPr>
        <w:pStyle w:val="Bulletpoint"/>
        <w:numPr>
          <w:ilvl w:val="0"/>
          <w:numId w:val="0"/>
        </w:numPr>
      </w:pPr>
    </w:p>
    <w:p w14:paraId="51B824C3" w14:textId="15C78242" w:rsidR="00992B31" w:rsidRDefault="0014295F" w:rsidP="00176E42">
      <w:pPr>
        <w:pStyle w:val="TableHeading"/>
      </w:pPr>
      <w:r w:rsidRPr="0014295F">
        <w:t xml:space="preserve">Table </w:t>
      </w:r>
      <w:r w:rsidR="00371667">
        <w:t>2</w:t>
      </w:r>
      <w:r>
        <w:t>: Overview of Options</w:t>
      </w:r>
    </w:p>
    <w:tbl>
      <w:tblPr>
        <w:tblStyle w:val="TableGrid"/>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2816"/>
        <w:gridCol w:w="885"/>
        <w:gridCol w:w="885"/>
        <w:gridCol w:w="884"/>
        <w:gridCol w:w="884"/>
        <w:gridCol w:w="884"/>
        <w:gridCol w:w="884"/>
        <w:gridCol w:w="884"/>
      </w:tblGrid>
      <w:tr w:rsidR="00616619" w:rsidRPr="00E65675" w14:paraId="7CC1A6D3" w14:textId="48CD5653" w:rsidTr="00424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965010" w14:textId="4BDC7C9A" w:rsidR="00C87CA3" w:rsidRPr="00DF6A58" w:rsidRDefault="00C87CA3" w:rsidP="00176E42">
            <w:pPr>
              <w:pStyle w:val="Tabletext"/>
              <w:rPr>
                <w:b w:val="0"/>
                <w:sz w:val="22"/>
              </w:rPr>
            </w:pPr>
            <w:r w:rsidRPr="009B0F82">
              <w:t>Response to risks</w:t>
            </w:r>
          </w:p>
        </w:tc>
        <w:tc>
          <w:tcPr>
            <w:tcW w:w="0" w:type="auto"/>
          </w:tcPr>
          <w:p w14:paraId="5C8A7EEE" w14:textId="2879C0E8" w:rsidR="00C87CA3" w:rsidRPr="00DF6A58" w:rsidRDefault="00C87CA3" w:rsidP="00176E42">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1</w:t>
            </w:r>
          </w:p>
        </w:tc>
        <w:tc>
          <w:tcPr>
            <w:tcW w:w="0" w:type="auto"/>
          </w:tcPr>
          <w:p w14:paraId="483459E3" w14:textId="773DBC06" w:rsidR="00C87CA3" w:rsidRPr="00DF6A58" w:rsidRDefault="00C87CA3" w:rsidP="0038072F">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2</w:t>
            </w:r>
          </w:p>
        </w:tc>
        <w:tc>
          <w:tcPr>
            <w:tcW w:w="0" w:type="auto"/>
          </w:tcPr>
          <w:p w14:paraId="1B6922BF" w14:textId="77EC7B9F" w:rsidR="00C87CA3" w:rsidRPr="00DF6A58" w:rsidRDefault="00C87CA3">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3</w:t>
            </w:r>
          </w:p>
        </w:tc>
        <w:tc>
          <w:tcPr>
            <w:tcW w:w="0" w:type="auto"/>
          </w:tcPr>
          <w:p w14:paraId="2B66C597" w14:textId="7351B032" w:rsidR="00C87CA3" w:rsidRPr="00DF6A58" w:rsidRDefault="00C87CA3">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4</w:t>
            </w:r>
          </w:p>
        </w:tc>
        <w:tc>
          <w:tcPr>
            <w:tcW w:w="0" w:type="auto"/>
          </w:tcPr>
          <w:p w14:paraId="20B70148" w14:textId="25B00558" w:rsidR="00C87CA3" w:rsidRPr="00DF6A58" w:rsidRDefault="00C87CA3">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5</w:t>
            </w:r>
          </w:p>
        </w:tc>
        <w:tc>
          <w:tcPr>
            <w:tcW w:w="0" w:type="auto"/>
          </w:tcPr>
          <w:p w14:paraId="27B8EF50" w14:textId="13D6CBAA" w:rsidR="00C87CA3" w:rsidRPr="00DF6A58" w:rsidRDefault="00C87CA3">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6</w:t>
            </w:r>
          </w:p>
        </w:tc>
        <w:tc>
          <w:tcPr>
            <w:tcW w:w="0" w:type="auto"/>
          </w:tcPr>
          <w:p w14:paraId="555299CC" w14:textId="3E7FD2F8" w:rsidR="00C87CA3" w:rsidRPr="00DF6A58" w:rsidRDefault="00C87CA3">
            <w:pPr>
              <w:pStyle w:val="Tabletext"/>
              <w:cnfStyle w:val="100000000000" w:firstRow="1" w:lastRow="0" w:firstColumn="0" w:lastColumn="0" w:oddVBand="0" w:evenVBand="0" w:oddHBand="0" w:evenHBand="0" w:firstRowFirstColumn="0" w:firstRowLastColumn="0" w:lastRowFirstColumn="0" w:lastRowLastColumn="0"/>
              <w:rPr>
                <w:b w:val="0"/>
                <w:sz w:val="22"/>
              </w:rPr>
            </w:pPr>
            <w:r w:rsidRPr="009B0F82">
              <w:t>Option 7</w:t>
            </w:r>
          </w:p>
        </w:tc>
      </w:tr>
      <w:tr w:rsidR="007D2E07" w:rsidRPr="00DF6A58" w14:paraId="69B47925" w14:textId="2FDB727C" w:rsidTr="00424D25">
        <w:trPr>
          <w:trHeight w:val="763"/>
        </w:trPr>
        <w:tc>
          <w:tcPr>
            <w:cnfStyle w:val="001000000000" w:firstRow="0" w:lastRow="0" w:firstColumn="1" w:lastColumn="0" w:oddVBand="0" w:evenVBand="0" w:oddHBand="0" w:evenHBand="0" w:firstRowFirstColumn="0" w:firstRowLastColumn="0" w:lastRowFirstColumn="0" w:lastRowLastColumn="0"/>
            <w:tcW w:w="0" w:type="auto"/>
          </w:tcPr>
          <w:p w14:paraId="2C29F9E5" w14:textId="20AF8448" w:rsidR="00C87CA3" w:rsidRPr="00DF6A58" w:rsidRDefault="00C87CA3" w:rsidP="00176E42">
            <w:pPr>
              <w:pStyle w:val="Tabletext"/>
              <w:rPr>
                <w:b w:val="0"/>
                <w:bCs/>
              </w:rPr>
            </w:pPr>
            <w:r w:rsidRPr="00DF6A58">
              <w:rPr>
                <w:b w:val="0"/>
                <w:bCs/>
              </w:rPr>
              <w:t>Education campaign</w:t>
            </w:r>
          </w:p>
        </w:tc>
        <w:tc>
          <w:tcPr>
            <w:tcW w:w="0" w:type="auto"/>
            <w:shd w:val="clear" w:color="auto" w:fill="EBB3B3"/>
          </w:tcPr>
          <w:p w14:paraId="616488CD" w14:textId="2E0A5126" w:rsidR="00C87CA3" w:rsidRPr="00DF6A58" w:rsidRDefault="00C87CA3" w:rsidP="00176E42">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BAE4BB"/>
          </w:tcPr>
          <w:p w14:paraId="68E10CAB" w14:textId="6170E5E2" w:rsidR="00C87CA3" w:rsidRPr="00DF6A58" w:rsidRDefault="00C87CA3" w:rsidP="0038072F">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1CAFE10D" w14:textId="22A5F918"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22597CE7" w14:textId="5F310F8D"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5E1960D7" w14:textId="29A87D52"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0EA4F76B" w14:textId="0887EB22"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0CCD6EC3" w14:textId="75469552"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r>
      <w:tr w:rsidR="007D2E07" w:rsidRPr="00E65675" w14:paraId="3AE3768C" w14:textId="1F39CC1B" w:rsidTr="00424D25">
        <w:trPr>
          <w:trHeight w:val="1086"/>
        </w:trPr>
        <w:tc>
          <w:tcPr>
            <w:cnfStyle w:val="001000000000" w:firstRow="0" w:lastRow="0" w:firstColumn="1" w:lastColumn="0" w:oddVBand="0" w:evenVBand="0" w:oddHBand="0" w:evenHBand="0" w:firstRowFirstColumn="0" w:firstRowLastColumn="0" w:lastRowFirstColumn="0" w:lastRowLastColumn="0"/>
            <w:tcW w:w="0" w:type="auto"/>
          </w:tcPr>
          <w:p w14:paraId="4B985FE6" w14:textId="441F513E" w:rsidR="00C87CA3" w:rsidRPr="00DF6A58" w:rsidRDefault="00C87CA3" w:rsidP="00176E42">
            <w:pPr>
              <w:pStyle w:val="Tabletext"/>
              <w:rPr>
                <w:b w:val="0"/>
                <w:bCs/>
              </w:rPr>
            </w:pPr>
            <w:r w:rsidRPr="00DF6A58">
              <w:rPr>
                <w:b w:val="0"/>
                <w:bCs/>
              </w:rPr>
              <w:t xml:space="preserve">Mandatory information standard on the inclined risk </w:t>
            </w:r>
          </w:p>
        </w:tc>
        <w:tc>
          <w:tcPr>
            <w:tcW w:w="0" w:type="auto"/>
            <w:shd w:val="clear" w:color="auto" w:fill="EBB3B3"/>
          </w:tcPr>
          <w:p w14:paraId="2FA3E421" w14:textId="43634B2B" w:rsidR="00C87CA3" w:rsidRPr="00DF6A58" w:rsidRDefault="00C87CA3" w:rsidP="00176E42">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t>x</w:t>
            </w:r>
          </w:p>
        </w:tc>
        <w:tc>
          <w:tcPr>
            <w:tcW w:w="0" w:type="auto"/>
            <w:shd w:val="clear" w:color="auto" w:fill="EBB3B3"/>
          </w:tcPr>
          <w:p w14:paraId="3D739D35" w14:textId="79A638DD" w:rsidR="00C87CA3" w:rsidRPr="00DF6A58" w:rsidRDefault="00C87CA3" w:rsidP="0038072F">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t>x</w:t>
            </w:r>
          </w:p>
        </w:tc>
        <w:tc>
          <w:tcPr>
            <w:tcW w:w="0" w:type="auto"/>
            <w:shd w:val="clear" w:color="auto" w:fill="BAE4BB"/>
          </w:tcPr>
          <w:p w14:paraId="1762BE37" w14:textId="550C184B"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sym w:font="Wingdings" w:char="F0FC"/>
            </w:r>
          </w:p>
        </w:tc>
        <w:tc>
          <w:tcPr>
            <w:tcW w:w="0" w:type="auto"/>
            <w:shd w:val="clear" w:color="auto" w:fill="BAE4BB"/>
          </w:tcPr>
          <w:p w14:paraId="42281427" w14:textId="239C4337"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sym w:font="Wingdings" w:char="F0FC"/>
            </w:r>
          </w:p>
        </w:tc>
        <w:tc>
          <w:tcPr>
            <w:tcW w:w="0" w:type="auto"/>
            <w:shd w:val="clear" w:color="auto" w:fill="EBB3B3"/>
          </w:tcPr>
          <w:p w14:paraId="169A03A6" w14:textId="62590C1E"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t>x</w:t>
            </w:r>
          </w:p>
        </w:tc>
        <w:tc>
          <w:tcPr>
            <w:tcW w:w="0" w:type="auto"/>
            <w:shd w:val="clear" w:color="auto" w:fill="EBB3B3"/>
          </w:tcPr>
          <w:p w14:paraId="2D8AA4DD" w14:textId="6DCB02A4"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t>x</w:t>
            </w:r>
          </w:p>
        </w:tc>
        <w:tc>
          <w:tcPr>
            <w:tcW w:w="0" w:type="auto"/>
            <w:shd w:val="clear" w:color="auto" w:fill="EBB3B3"/>
          </w:tcPr>
          <w:p w14:paraId="7C0B0D06" w14:textId="1A43344A" w:rsidR="00C87CA3" w:rsidRPr="00DF6A58" w:rsidRDefault="002E728C">
            <w:pPr>
              <w:pStyle w:val="Tabletext"/>
              <w:cnfStyle w:val="000000000000" w:firstRow="0" w:lastRow="0" w:firstColumn="0" w:lastColumn="0" w:oddVBand="0" w:evenVBand="0" w:oddHBand="0" w:evenHBand="0" w:firstRowFirstColumn="0" w:firstRowLastColumn="0" w:lastRowFirstColumn="0" w:lastRowLastColumn="0"/>
              <w:rPr>
                <w:sz w:val="22"/>
              </w:rPr>
            </w:pPr>
            <w:r w:rsidRPr="00DF6A58">
              <w:rPr>
                <w:sz w:val="22"/>
              </w:rPr>
              <w:t>x</w:t>
            </w:r>
          </w:p>
        </w:tc>
      </w:tr>
      <w:tr w:rsidR="007D2E07" w:rsidRPr="00DF6A58" w14:paraId="7086B761" w14:textId="7EDF5C13" w:rsidTr="00424D25">
        <w:tc>
          <w:tcPr>
            <w:cnfStyle w:val="001000000000" w:firstRow="0" w:lastRow="0" w:firstColumn="1" w:lastColumn="0" w:oddVBand="0" w:evenVBand="0" w:oddHBand="0" w:evenHBand="0" w:firstRowFirstColumn="0" w:firstRowLastColumn="0" w:lastRowFirstColumn="0" w:lastRowLastColumn="0"/>
            <w:tcW w:w="0" w:type="auto"/>
          </w:tcPr>
          <w:p w14:paraId="43479E8B" w14:textId="55AE95B3" w:rsidR="00C87CA3" w:rsidRPr="00DF6A58" w:rsidRDefault="00C87CA3" w:rsidP="00176E42">
            <w:pPr>
              <w:pStyle w:val="Tabletext"/>
              <w:rPr>
                <w:b w:val="0"/>
                <w:bCs/>
              </w:rPr>
            </w:pPr>
            <w:r w:rsidRPr="00DF6A58">
              <w:rPr>
                <w:b w:val="0"/>
                <w:bCs/>
              </w:rPr>
              <w:t>Mandatory information standard focusing on all Infant Sleep Products</w:t>
            </w:r>
          </w:p>
          <w:p w14:paraId="2D9A117D" w14:textId="25B1E3E6" w:rsidR="00C87CA3" w:rsidRPr="00DF6A58" w:rsidRDefault="00C87CA3" w:rsidP="00176E42">
            <w:pPr>
              <w:pStyle w:val="Tabletext"/>
              <w:rPr>
                <w:b w:val="0"/>
                <w:bCs/>
              </w:rPr>
            </w:pPr>
          </w:p>
        </w:tc>
        <w:tc>
          <w:tcPr>
            <w:tcW w:w="0" w:type="auto"/>
            <w:shd w:val="clear" w:color="auto" w:fill="EBB3B3"/>
          </w:tcPr>
          <w:p w14:paraId="0A9DBDD5" w14:textId="46EBB209" w:rsidR="00C87CA3" w:rsidRPr="00DF6A58" w:rsidRDefault="00C87CA3" w:rsidP="0038072F">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60884A8D" w14:textId="07C9096E"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67A0E993" w14:textId="079F3057"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232D8AE4" w14:textId="176E759B"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BAE4BB"/>
          </w:tcPr>
          <w:p w14:paraId="2536022E" w14:textId="0BC2B834"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23FE5EC7" w14:textId="40B4E480"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411EF280" w14:textId="2B733C5C"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r>
      <w:tr w:rsidR="007D2E07" w:rsidRPr="00DF6A58" w14:paraId="15E020BB" w14:textId="210F2BFC" w:rsidTr="00424D25">
        <w:trPr>
          <w:trHeight w:val="1730"/>
        </w:trPr>
        <w:tc>
          <w:tcPr>
            <w:cnfStyle w:val="001000000000" w:firstRow="0" w:lastRow="0" w:firstColumn="1" w:lastColumn="0" w:oddVBand="0" w:evenVBand="0" w:oddHBand="0" w:evenHBand="0" w:firstRowFirstColumn="0" w:firstRowLastColumn="0" w:lastRowFirstColumn="0" w:lastRowLastColumn="0"/>
            <w:tcW w:w="0" w:type="auto"/>
          </w:tcPr>
          <w:p w14:paraId="7B360231" w14:textId="3DCBEE03" w:rsidR="00C87CA3" w:rsidRPr="00DF6A58" w:rsidRDefault="00C87CA3" w:rsidP="00176E42">
            <w:pPr>
              <w:pStyle w:val="Tabletext"/>
              <w:rPr>
                <w:b w:val="0"/>
                <w:bCs/>
              </w:rPr>
            </w:pPr>
            <w:r w:rsidRPr="00DF6A58">
              <w:rPr>
                <w:b w:val="0"/>
                <w:bCs/>
              </w:rPr>
              <w:t>Mandatory safety standard focusing only on the inclined risk, with a prescribed maximum incline angle of 7 degrees for Infant Sleep Products</w:t>
            </w:r>
          </w:p>
          <w:p w14:paraId="61FEF8AD" w14:textId="28178EDE" w:rsidR="00C87CA3" w:rsidRPr="00DF6A58" w:rsidRDefault="00C87CA3" w:rsidP="00176E42">
            <w:pPr>
              <w:pStyle w:val="Tabletext"/>
              <w:rPr>
                <w:b w:val="0"/>
                <w:bCs/>
              </w:rPr>
            </w:pPr>
          </w:p>
        </w:tc>
        <w:tc>
          <w:tcPr>
            <w:tcW w:w="0" w:type="auto"/>
            <w:shd w:val="clear" w:color="auto" w:fill="EBB3B3"/>
          </w:tcPr>
          <w:p w14:paraId="0D96EDD3" w14:textId="20EB90A4" w:rsidR="00C87CA3" w:rsidRPr="00DF6A58" w:rsidRDefault="00C87CA3" w:rsidP="0038072F">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722E7D7C" w14:textId="338CF891"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7C90E2F9" w14:textId="2D9D138F"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BAE4BB"/>
          </w:tcPr>
          <w:p w14:paraId="5D605E12" w14:textId="7D50BD6B"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EBB3B3"/>
          </w:tcPr>
          <w:p w14:paraId="5505BCDE" w14:textId="47D0C9C9"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582B72CE" w14:textId="59C448E5"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40DF8E63" w14:textId="1772901B" w:rsidR="00C87CA3" w:rsidRPr="00DF6A58" w:rsidRDefault="002E728C">
            <w:pPr>
              <w:pStyle w:val="Tabletext"/>
              <w:cnfStyle w:val="000000000000" w:firstRow="0" w:lastRow="0" w:firstColumn="0" w:lastColumn="0" w:oddVBand="0" w:evenVBand="0" w:oddHBand="0" w:evenHBand="0" w:firstRowFirstColumn="0" w:firstRowLastColumn="0" w:lastRowFirstColumn="0" w:lastRowLastColumn="0"/>
            </w:pPr>
            <w:r w:rsidRPr="00DF6A58">
              <w:t>x</w:t>
            </w:r>
          </w:p>
        </w:tc>
      </w:tr>
      <w:tr w:rsidR="007D2E07" w:rsidRPr="00DF6A58" w14:paraId="54F8347B" w14:textId="7D68890F" w:rsidTr="00424D25">
        <w:trPr>
          <w:trHeight w:val="1114"/>
        </w:trPr>
        <w:tc>
          <w:tcPr>
            <w:cnfStyle w:val="001000000000" w:firstRow="0" w:lastRow="0" w:firstColumn="1" w:lastColumn="0" w:oddVBand="0" w:evenVBand="0" w:oddHBand="0" w:evenHBand="0" w:firstRowFirstColumn="0" w:firstRowLastColumn="0" w:lastRowFirstColumn="0" w:lastRowLastColumn="0"/>
            <w:tcW w:w="0" w:type="auto"/>
          </w:tcPr>
          <w:p w14:paraId="52545BE2" w14:textId="38BFDE51" w:rsidR="00C87CA3" w:rsidRPr="00DF6A58" w:rsidRDefault="00C87CA3" w:rsidP="00176E42">
            <w:pPr>
              <w:pStyle w:val="Tabletext"/>
              <w:rPr>
                <w:b w:val="0"/>
                <w:bCs/>
              </w:rPr>
            </w:pPr>
            <w:r w:rsidRPr="00DF6A58">
              <w:rPr>
                <w:b w:val="0"/>
                <w:bCs/>
              </w:rPr>
              <w:t>Mandatory safety standard focusing on all Infant Sleep Products</w:t>
            </w:r>
          </w:p>
        </w:tc>
        <w:tc>
          <w:tcPr>
            <w:tcW w:w="0" w:type="auto"/>
            <w:shd w:val="clear" w:color="auto" w:fill="EBB3B3"/>
          </w:tcPr>
          <w:p w14:paraId="0955BE8D" w14:textId="7D085E9E" w:rsidR="00C87CA3" w:rsidRPr="00DF6A58" w:rsidRDefault="00C87CA3" w:rsidP="00176E42">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397BEBB5" w14:textId="63AF519B" w:rsidR="00C87CA3" w:rsidRPr="00DF6A58" w:rsidRDefault="00C87CA3" w:rsidP="0038072F">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620E5957" w14:textId="760C2FCA"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5B864F99" w14:textId="261DDBA7"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4AA87720" w14:textId="6F65F7E5"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BAE4BB"/>
          </w:tcPr>
          <w:p w14:paraId="3BEED899" w14:textId="05DF5158"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c>
          <w:tcPr>
            <w:tcW w:w="0" w:type="auto"/>
            <w:shd w:val="clear" w:color="auto" w:fill="BAE4BB"/>
          </w:tcPr>
          <w:p w14:paraId="7D6B6330" w14:textId="378B7DDE" w:rsidR="00C87CA3" w:rsidRPr="00DF6A58" w:rsidRDefault="00C87CA3">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r>
      <w:tr w:rsidR="00424D25" w:rsidRPr="00DF6A58" w14:paraId="4E524417" w14:textId="10E0220F" w:rsidTr="00424D25">
        <w:trPr>
          <w:trHeight w:val="1114"/>
        </w:trPr>
        <w:tc>
          <w:tcPr>
            <w:cnfStyle w:val="001000000000" w:firstRow="0" w:lastRow="0" w:firstColumn="1" w:lastColumn="0" w:oddVBand="0" w:evenVBand="0" w:oddHBand="0" w:evenHBand="0" w:firstRowFirstColumn="0" w:firstRowLastColumn="0" w:lastRowFirstColumn="0" w:lastRowLastColumn="0"/>
            <w:tcW w:w="0" w:type="auto"/>
          </w:tcPr>
          <w:p w14:paraId="4A3DBD19" w14:textId="0FCA6E76" w:rsidR="00F34255" w:rsidRPr="00DF6A58" w:rsidRDefault="002062F6" w:rsidP="00176E42">
            <w:pPr>
              <w:pStyle w:val="Tabletext"/>
              <w:rPr>
                <w:b w:val="0"/>
                <w:bCs/>
              </w:rPr>
            </w:pPr>
            <w:r w:rsidRPr="00DF6A58">
              <w:rPr>
                <w:b w:val="0"/>
                <w:bCs/>
              </w:rPr>
              <w:t>Permanent ban preventing the s</w:t>
            </w:r>
            <w:r w:rsidR="007D2E07" w:rsidRPr="00DF6A58">
              <w:rPr>
                <w:b w:val="0"/>
                <w:bCs/>
              </w:rPr>
              <w:t>upply</w:t>
            </w:r>
            <w:r w:rsidRPr="00DF6A58">
              <w:rPr>
                <w:b w:val="0"/>
                <w:bCs/>
              </w:rPr>
              <w:t xml:space="preserve"> of Inclined Sleep Products with an incline greater than 7</w:t>
            </w:r>
            <w:r w:rsidR="00F36A45">
              <w:rPr>
                <w:b w:val="0"/>
                <w:bCs/>
              </w:rPr>
              <w:t xml:space="preserve"> </w:t>
            </w:r>
            <w:r w:rsidRPr="00DF6A58">
              <w:rPr>
                <w:b w:val="0"/>
                <w:bCs/>
              </w:rPr>
              <w:t>degrees</w:t>
            </w:r>
          </w:p>
        </w:tc>
        <w:tc>
          <w:tcPr>
            <w:tcW w:w="0" w:type="auto"/>
            <w:shd w:val="clear" w:color="auto" w:fill="EBB3B3"/>
          </w:tcPr>
          <w:p w14:paraId="3D8C3E2D" w14:textId="78636E10" w:rsidR="00F34255" w:rsidRPr="00DF6A58" w:rsidRDefault="00F34255" w:rsidP="00176E42">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483A12DF" w14:textId="37422306" w:rsidR="00F34255" w:rsidRPr="00DF6A58" w:rsidRDefault="00F34255" w:rsidP="0038072F">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76F2DCA2" w14:textId="4EA11D5B" w:rsidR="00F34255" w:rsidRPr="00DF6A58" w:rsidRDefault="00F34255">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5E073B12" w14:textId="368BFE4B" w:rsidR="00F34255" w:rsidRPr="00DF6A58" w:rsidRDefault="00F34255">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044B816B" w14:textId="356EB4E4" w:rsidR="00F34255" w:rsidRPr="00DF6A58" w:rsidRDefault="00F34255">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EBB3B3"/>
          </w:tcPr>
          <w:p w14:paraId="56720412" w14:textId="6F82C6B9" w:rsidR="00F34255" w:rsidRPr="00DF6A58" w:rsidRDefault="00F34255">
            <w:pPr>
              <w:pStyle w:val="Tabletext"/>
              <w:cnfStyle w:val="000000000000" w:firstRow="0" w:lastRow="0" w:firstColumn="0" w:lastColumn="0" w:oddVBand="0" w:evenVBand="0" w:oddHBand="0" w:evenHBand="0" w:firstRowFirstColumn="0" w:firstRowLastColumn="0" w:lastRowFirstColumn="0" w:lastRowLastColumn="0"/>
            </w:pPr>
            <w:r w:rsidRPr="00DF6A58">
              <w:t>x</w:t>
            </w:r>
          </w:p>
        </w:tc>
        <w:tc>
          <w:tcPr>
            <w:tcW w:w="0" w:type="auto"/>
            <w:shd w:val="clear" w:color="auto" w:fill="BAE4BB"/>
          </w:tcPr>
          <w:p w14:paraId="4630845A" w14:textId="56B24A7B" w:rsidR="00F34255" w:rsidRPr="00DF6A58" w:rsidRDefault="00F34255">
            <w:pPr>
              <w:pStyle w:val="Tabletext"/>
              <w:cnfStyle w:val="000000000000" w:firstRow="0" w:lastRow="0" w:firstColumn="0" w:lastColumn="0" w:oddVBand="0" w:evenVBand="0" w:oddHBand="0" w:evenHBand="0" w:firstRowFirstColumn="0" w:firstRowLastColumn="0" w:lastRowFirstColumn="0" w:lastRowLastColumn="0"/>
            </w:pPr>
            <w:r w:rsidRPr="00DF6A58">
              <w:sym w:font="Wingdings" w:char="F0FC"/>
            </w:r>
          </w:p>
        </w:tc>
      </w:tr>
    </w:tbl>
    <w:p w14:paraId="14605BA9" w14:textId="54A9DD66" w:rsidR="006151E8" w:rsidRPr="006151E8" w:rsidRDefault="006151E8" w:rsidP="006151E8">
      <w:pPr>
        <w:sectPr w:rsidR="006151E8" w:rsidRPr="006151E8" w:rsidSect="00176E42">
          <w:pgSz w:w="11906" w:h="16838"/>
          <w:pgMar w:top="1276" w:right="1440" w:bottom="1440" w:left="1440" w:header="709" w:footer="709" w:gutter="0"/>
          <w:pgNumType w:fmt="lowerRoman" w:start="9"/>
          <w:cols w:space="708"/>
          <w:docGrid w:linePitch="360"/>
        </w:sectPr>
      </w:pPr>
    </w:p>
    <w:p w14:paraId="5E67A3C5" w14:textId="668B9858" w:rsidR="00223C69" w:rsidRDefault="00223C69" w:rsidP="00223C69">
      <w:pPr>
        <w:pStyle w:val="Numbered1"/>
      </w:pPr>
      <w:bookmarkStart w:id="11" w:name="_Toc110959452"/>
      <w:r>
        <w:t>What is the problem we are trying to solve?</w:t>
      </w:r>
      <w:bookmarkEnd w:id="11"/>
    </w:p>
    <w:p w14:paraId="4F49C75D" w14:textId="77777777" w:rsidR="00223C69" w:rsidRDefault="00223C69" w:rsidP="00223C69">
      <w:pPr>
        <w:pStyle w:val="Numbered11"/>
      </w:pPr>
      <w:bookmarkStart w:id="12" w:name="_Toc110959453"/>
      <w:r>
        <w:t>Risks associated with inclined products</w:t>
      </w:r>
      <w:bookmarkEnd w:id="12"/>
    </w:p>
    <w:p w14:paraId="5C7210F4" w14:textId="7D8C51C0" w:rsidR="00223C69" w:rsidRPr="00BF135A" w:rsidRDefault="00223C69" w:rsidP="00223C69">
      <w:pPr>
        <w:pStyle w:val="NormalWeb"/>
        <w:spacing w:before="120" w:beforeAutospacing="0" w:after="0" w:afterAutospacing="0"/>
        <w:rPr>
          <w:rFonts w:ascii="Arial" w:hAnsi="Arial" w:cs="Arial"/>
          <w:sz w:val="22"/>
          <w:szCs w:val="22"/>
        </w:rPr>
      </w:pPr>
      <w:r w:rsidRPr="00BF135A">
        <w:rPr>
          <w:rFonts w:ascii="Arial" w:eastAsiaTheme="minorHAnsi" w:hAnsi="Arial"/>
          <w:sz w:val="22"/>
          <w:szCs w:val="22"/>
          <w:lang w:eastAsia="en-US"/>
        </w:rPr>
        <w:t xml:space="preserve">As outlined in the </w:t>
      </w:r>
      <w:hyperlink r:id="rId26" w:history="1">
        <w:r w:rsidRPr="00BF135A">
          <w:rPr>
            <w:rFonts w:ascii="Arial" w:eastAsiaTheme="minorHAnsi" w:hAnsi="Arial"/>
            <w:sz w:val="22"/>
            <w:szCs w:val="22"/>
            <w:lang w:eastAsia="en-US"/>
          </w:rPr>
          <w:t>Issues Paper</w:t>
        </w:r>
      </w:hyperlink>
      <w:r w:rsidRPr="00BF135A">
        <w:rPr>
          <w:rFonts w:ascii="Arial" w:eastAsiaTheme="minorHAnsi" w:hAnsi="Arial"/>
          <w:sz w:val="22"/>
          <w:szCs w:val="22"/>
          <w:lang w:eastAsia="en-US"/>
        </w:rPr>
        <w:t>, the Mannen Report found infant fatalities in Inclined Sleep Products are likely due to</w:t>
      </w:r>
      <w:r w:rsidRPr="00BF135A">
        <w:rPr>
          <w:rFonts w:ascii="Arial" w:hAnsi="Arial" w:cs="Arial"/>
          <w:sz w:val="22"/>
          <w:szCs w:val="22"/>
        </w:rPr>
        <w:t>:</w:t>
      </w:r>
      <w:r w:rsidRPr="00BF135A">
        <w:rPr>
          <w:rStyle w:val="FootnoteReference"/>
          <w:rFonts w:ascii="Arial" w:hAnsi="Arial" w:cs="Arial"/>
          <w:sz w:val="22"/>
          <w:szCs w:val="22"/>
        </w:rPr>
        <w:footnoteReference w:id="6"/>
      </w:r>
    </w:p>
    <w:p w14:paraId="1F013623" w14:textId="77777777" w:rsidR="00223C69" w:rsidRPr="003D6B47" w:rsidRDefault="00223C69" w:rsidP="008B24FD">
      <w:pPr>
        <w:pStyle w:val="Listalphabet"/>
      </w:pPr>
      <w:r w:rsidRPr="00BF135A">
        <w:rPr>
          <w:rFonts w:cs="Arial"/>
        </w:rPr>
        <w:t>Suffocation, where the mouth and</w:t>
      </w:r>
      <w:r w:rsidRPr="003D6B47">
        <w:t xml:space="preserve"> nose are covered by an external factor blocking the infant’s airway. </w:t>
      </w:r>
      <w:r>
        <w:t xml:space="preserve">Specifically, </w:t>
      </w:r>
      <w:r w:rsidRPr="003D6B47">
        <w:t>when infants roll onto their side or stomach,</w:t>
      </w:r>
      <w:r>
        <w:t xml:space="preserve"> </w:t>
      </w:r>
      <w:r w:rsidRPr="003D6B47">
        <w:t>the fabric or padding of the side or base of the product</w:t>
      </w:r>
      <w:r>
        <w:t xml:space="preserve"> can</w:t>
      </w:r>
      <w:r w:rsidRPr="003D6B47">
        <w:t xml:space="preserve"> caus</w:t>
      </w:r>
      <w:r>
        <w:t>e</w:t>
      </w:r>
      <w:r w:rsidRPr="003D6B47">
        <w:t xml:space="preserve"> their airways to be blocked.</w:t>
      </w:r>
    </w:p>
    <w:p w14:paraId="0C8699DC" w14:textId="77777777" w:rsidR="00223C69" w:rsidRPr="003D6B47" w:rsidRDefault="00223C69" w:rsidP="008B24FD">
      <w:pPr>
        <w:pStyle w:val="Listalphabet"/>
      </w:pPr>
      <w:r w:rsidRPr="003D6B47">
        <w:t>Positional asphyxiation, where infants remain in a face-up position and:</w:t>
      </w:r>
    </w:p>
    <w:p w14:paraId="22C948CB" w14:textId="34212E1A" w:rsidR="00223C69" w:rsidRPr="003D6B47" w:rsidRDefault="00765830" w:rsidP="00223C69">
      <w:pPr>
        <w:numPr>
          <w:ilvl w:val="1"/>
          <w:numId w:val="29"/>
        </w:numPr>
        <w:tabs>
          <w:tab w:val="left" w:pos="340"/>
        </w:tabs>
        <w:spacing w:before="120"/>
        <w:ind w:left="1077"/>
        <w:rPr>
          <w:rFonts w:cs="Times New Roman"/>
        </w:rPr>
      </w:pPr>
      <w:r>
        <w:rPr>
          <w:rFonts w:cs="Times New Roman"/>
        </w:rPr>
        <w:t>t</w:t>
      </w:r>
      <w:r w:rsidR="00223C69" w:rsidRPr="003D6B47">
        <w:rPr>
          <w:rFonts w:cs="Times New Roman"/>
        </w:rPr>
        <w:t>he incline of the product causes the infant’s head to fall forward during sleep, pressing the chin down towards the chest (chin to chest position), blocking the airway and reducing oxygen flow over time</w:t>
      </w:r>
      <w:r w:rsidR="00DA390F">
        <w:rPr>
          <w:rFonts w:cs="Times New Roman"/>
        </w:rPr>
        <w:t>.</w:t>
      </w:r>
    </w:p>
    <w:p w14:paraId="1EFA4C3F" w14:textId="6873CC05" w:rsidR="00223C69" w:rsidRPr="003D6B47" w:rsidRDefault="00765830" w:rsidP="00223C69">
      <w:pPr>
        <w:numPr>
          <w:ilvl w:val="1"/>
          <w:numId w:val="29"/>
        </w:numPr>
        <w:tabs>
          <w:tab w:val="left" w:pos="340"/>
        </w:tabs>
        <w:spacing w:before="120"/>
        <w:ind w:left="1077"/>
        <w:rPr>
          <w:rFonts w:cs="Times New Roman"/>
        </w:rPr>
      </w:pPr>
      <w:r>
        <w:rPr>
          <w:rFonts w:cs="Times New Roman"/>
        </w:rPr>
        <w:t>t</w:t>
      </w:r>
      <w:r w:rsidR="00223C69" w:rsidRPr="003D6B47">
        <w:rPr>
          <w:rFonts w:cs="Times New Roman"/>
        </w:rPr>
        <w:t>he infant’s face has partial or near contact with the side of the product, restricting airflow and reduced oxygen, leading to carbon dioxide rebreathing.</w:t>
      </w:r>
    </w:p>
    <w:p w14:paraId="4D61BF2F" w14:textId="2A125093" w:rsidR="005F4619" w:rsidRDefault="00223C69" w:rsidP="00223C69">
      <w:pPr>
        <w:rPr>
          <w:rFonts w:cs="Times New Roman"/>
        </w:rPr>
      </w:pPr>
      <w:r w:rsidRPr="00163D94">
        <w:rPr>
          <w:rFonts w:cs="Times New Roman"/>
        </w:rPr>
        <w:t xml:space="preserve">The Mannen Report concluded </w:t>
      </w:r>
      <w:r>
        <w:rPr>
          <w:rFonts w:cs="Times New Roman"/>
        </w:rPr>
        <w:t>p</w:t>
      </w:r>
      <w:r w:rsidRPr="00163D94">
        <w:rPr>
          <w:rFonts w:cs="Times New Roman"/>
        </w:rPr>
        <w:t>roducts with an incline angle of 10 degrees or less are likely safe for infant sleep and products with an incline of 20 degrees or greater are not safe for sleep.</w:t>
      </w:r>
      <w:r>
        <w:rPr>
          <w:rFonts w:cs="Times New Roman"/>
        </w:rPr>
        <w:t xml:space="preserve"> </w:t>
      </w:r>
    </w:p>
    <w:p w14:paraId="341917CA" w14:textId="77777777" w:rsidR="00303346" w:rsidRDefault="004E4170" w:rsidP="008F1AB0">
      <w:bookmarkStart w:id="13" w:name="_Hlk107412575"/>
      <w:r>
        <w:t>The E</w:t>
      </w:r>
      <w:r w:rsidR="005D64A3">
        <w:t xml:space="preserve">xpert </w:t>
      </w:r>
      <w:r>
        <w:t>Reports</w:t>
      </w:r>
      <w:r w:rsidR="005D64A3">
        <w:t xml:space="preserve"> and submissions to the Issues Paper reiterated established safe sleep advice that </w:t>
      </w:r>
      <w:r w:rsidR="00197CDD" w:rsidRPr="00912F79">
        <w:t>a firm, flat sleep surface is safest for infants</w:t>
      </w:r>
      <w:r w:rsidR="00197CDD">
        <w:t xml:space="preserve">. </w:t>
      </w:r>
    </w:p>
    <w:p w14:paraId="6F2B6031" w14:textId="2B90851C" w:rsidR="00197CDD" w:rsidRPr="003C0639" w:rsidRDefault="004E4170" w:rsidP="008F1AB0">
      <w:r>
        <w:t xml:space="preserve">The </w:t>
      </w:r>
      <w:r w:rsidR="00F42136">
        <w:t xml:space="preserve">ACCC is also aware </w:t>
      </w:r>
      <w:r w:rsidR="00232A07">
        <w:t xml:space="preserve">that </w:t>
      </w:r>
      <w:r w:rsidR="00F42136">
        <w:t xml:space="preserve">a 1995 Australian study </w:t>
      </w:r>
      <w:r w:rsidR="00E71E5C">
        <w:t>which tested the side to side (horizontal) incline of infant products.</w:t>
      </w:r>
      <w:r w:rsidR="00F57036">
        <w:rPr>
          <w:rStyle w:val="FootnoteReference"/>
        </w:rPr>
        <w:footnoteReference w:id="7"/>
      </w:r>
      <w:r w:rsidR="005143EA">
        <w:t xml:space="preserve"> That study found that infants tested on a 5 and 7 degree angle were able to breath</w:t>
      </w:r>
      <w:r w:rsidR="00455FEC">
        <w:t>e</w:t>
      </w:r>
      <w:r w:rsidR="005143EA">
        <w:t xml:space="preserve">. </w:t>
      </w:r>
      <w:r w:rsidR="00F57036">
        <w:t>One of the Expert Reports noted that this may indicate a 7</w:t>
      </w:r>
      <w:r w:rsidR="00F36A45">
        <w:t xml:space="preserve"> </w:t>
      </w:r>
      <w:r w:rsidR="00F57036">
        <w:t>degree incline is appropriate, given the dynamic nature of infant sleep. It is also relevant to note that New Zealand have imposed a 7</w:t>
      </w:r>
      <w:r w:rsidR="00F36A45">
        <w:t xml:space="preserve"> </w:t>
      </w:r>
      <w:r w:rsidR="00F57036">
        <w:t>degree incline limit for all Infant Sleep Products.</w:t>
      </w:r>
      <w:r w:rsidR="00E71E5C">
        <w:t xml:space="preserve"> </w:t>
      </w:r>
    </w:p>
    <w:bookmarkEnd w:id="13"/>
    <w:p w14:paraId="6E161F0D" w14:textId="2F90F3B3" w:rsidR="00197CDD" w:rsidRDefault="00197CDD" w:rsidP="004E4170">
      <w:r w:rsidRPr="00D63399">
        <w:t>Imposing a zero-degree limit</w:t>
      </w:r>
      <w:r w:rsidRPr="0035167C">
        <w:t xml:space="preserve"> is impractical</w:t>
      </w:r>
      <w:r w:rsidR="004E3313" w:rsidRPr="0035167C">
        <w:t xml:space="preserve"> from both a regulatory and industry perspective</w:t>
      </w:r>
      <w:r w:rsidR="004B430C">
        <w:t>,</w:t>
      </w:r>
      <w:r w:rsidR="004E3313" w:rsidRPr="0035167C">
        <w:t xml:space="preserve"> as </w:t>
      </w:r>
      <w:r w:rsidR="005F4619">
        <w:t>it</w:t>
      </w:r>
      <w:r w:rsidRPr="00D63399">
        <w:t xml:space="preserve"> could capture unintended products</w:t>
      </w:r>
      <w:r w:rsidR="008F1AB0">
        <w:t xml:space="preserve">, </w:t>
      </w:r>
      <w:r w:rsidR="005F4619">
        <w:t>does</w:t>
      </w:r>
      <w:r w:rsidR="00AE433C">
        <w:t xml:space="preserve"> not</w:t>
      </w:r>
      <w:r w:rsidR="005F4619">
        <w:t xml:space="preserve"> allow for</w:t>
      </w:r>
      <w:r w:rsidR="008F1AB0">
        <w:t xml:space="preserve"> manufacturing</w:t>
      </w:r>
      <w:r w:rsidR="005F4619">
        <w:t xml:space="preserve"> variation</w:t>
      </w:r>
      <w:r w:rsidR="00D10661">
        <w:t>s</w:t>
      </w:r>
      <w:r w:rsidR="005F4619">
        <w:t xml:space="preserve"> </w:t>
      </w:r>
      <w:r w:rsidR="008F1AB0">
        <w:t>and may be difficult to test accurately</w:t>
      </w:r>
      <w:bookmarkStart w:id="14" w:name="_Hlk107412561"/>
      <w:r w:rsidR="008F1AB0">
        <w:t xml:space="preserve">. </w:t>
      </w:r>
      <w:bookmarkEnd w:id="14"/>
    </w:p>
    <w:p w14:paraId="4902B3C7" w14:textId="2537E31A" w:rsidR="00223C69" w:rsidRDefault="00223C69" w:rsidP="00223C69">
      <w:pPr>
        <w:pStyle w:val="Numbered11"/>
      </w:pPr>
      <w:bookmarkStart w:id="15" w:name="_Toc110959454"/>
      <w:r>
        <w:t xml:space="preserve">Additional </w:t>
      </w:r>
      <w:r w:rsidR="008559A0">
        <w:t>r</w:t>
      </w:r>
      <w:r>
        <w:t>isks associated with Infant Sleep Products</w:t>
      </w:r>
      <w:bookmarkEnd w:id="15"/>
    </w:p>
    <w:p w14:paraId="79AFD721" w14:textId="6B5DA484" w:rsidR="00197CDD" w:rsidRPr="00D76860" w:rsidRDefault="00133EEA" w:rsidP="00197CDD">
      <w:pPr>
        <w:rPr>
          <w:rFonts w:cs="Times New Roman"/>
        </w:rPr>
      </w:pPr>
      <w:r>
        <w:rPr>
          <w:rFonts w:cs="Times New Roman"/>
        </w:rPr>
        <w:t>As stated above, i</w:t>
      </w:r>
      <w:r w:rsidR="00197CDD">
        <w:rPr>
          <w:rFonts w:cs="Times New Roman"/>
        </w:rPr>
        <w:t>n addition</w:t>
      </w:r>
      <w:r w:rsidR="00D72F79">
        <w:rPr>
          <w:rFonts w:cs="Times New Roman"/>
        </w:rPr>
        <w:t xml:space="preserve"> to incline</w:t>
      </w:r>
      <w:r w:rsidR="00197CDD">
        <w:rPr>
          <w:rFonts w:cs="Times New Roman"/>
        </w:rPr>
        <w:t xml:space="preserve">, the Mannen Report made other </w:t>
      </w:r>
      <w:r w:rsidR="00C87F62">
        <w:rPr>
          <w:rFonts w:cs="Times New Roman"/>
        </w:rPr>
        <w:t xml:space="preserve">recommendations </w:t>
      </w:r>
      <w:r w:rsidR="00197CDD">
        <w:rPr>
          <w:rFonts w:cs="Times New Roman"/>
        </w:rPr>
        <w:t xml:space="preserve">that are relevant to the safety of </w:t>
      </w:r>
      <w:r w:rsidR="00F42136">
        <w:rPr>
          <w:rFonts w:cs="Times New Roman"/>
        </w:rPr>
        <w:t>Infant Sleep Products</w:t>
      </w:r>
      <w:r>
        <w:rPr>
          <w:rFonts w:cs="Times New Roman"/>
        </w:rPr>
        <w:t>.</w:t>
      </w:r>
      <w:r w:rsidR="00197CDD">
        <w:rPr>
          <w:rStyle w:val="FootnoteReference"/>
          <w:rFonts w:cs="Times New Roman"/>
        </w:rPr>
        <w:footnoteReference w:id="8"/>
      </w:r>
      <w:r>
        <w:rPr>
          <w:rFonts w:cs="Times New Roman"/>
        </w:rPr>
        <w:t xml:space="preserve"> These are discussed below, along with </w:t>
      </w:r>
      <w:r w:rsidR="00AF6571">
        <w:rPr>
          <w:rFonts w:cs="Times New Roman"/>
        </w:rPr>
        <w:t>the Expert Reports</w:t>
      </w:r>
      <w:r w:rsidR="003803E5">
        <w:rPr>
          <w:rFonts w:cs="Times New Roman"/>
        </w:rPr>
        <w:t>. T</w:t>
      </w:r>
      <w:r>
        <w:rPr>
          <w:rFonts w:cs="Times New Roman"/>
        </w:rPr>
        <w:t xml:space="preserve">he ACCC’s </w:t>
      </w:r>
      <w:r w:rsidR="00562CA1">
        <w:rPr>
          <w:rFonts w:cs="Times New Roman"/>
        </w:rPr>
        <w:t xml:space="preserve">approach to these risks </w:t>
      </w:r>
      <w:r w:rsidR="003803E5">
        <w:rPr>
          <w:rFonts w:cs="Times New Roman"/>
        </w:rPr>
        <w:t>is detailed in Option 6.</w:t>
      </w:r>
    </w:p>
    <w:p w14:paraId="1CE5989F" w14:textId="52A1C96D" w:rsidR="00133EEA" w:rsidRDefault="00223C69" w:rsidP="00223C69">
      <w:pPr>
        <w:pStyle w:val="Bulletpoint"/>
      </w:pPr>
      <w:r w:rsidRPr="00E92216">
        <w:rPr>
          <w:i/>
          <w:iCs/>
        </w:rPr>
        <w:t>Curvature</w:t>
      </w:r>
      <w:r w:rsidRPr="006F39D4">
        <w:t xml:space="preserve"> –</w:t>
      </w:r>
      <w:r w:rsidRPr="00E64400">
        <w:t xml:space="preserve"> </w:t>
      </w:r>
      <w:r w:rsidR="00133EEA">
        <w:t xml:space="preserve">the Mannen Report stated there should be no curvature in the back (seat portion) </w:t>
      </w:r>
      <w:r w:rsidR="009E55A4">
        <w:t xml:space="preserve">of a product </w:t>
      </w:r>
      <w:r w:rsidR="00133EEA">
        <w:t>as it i</w:t>
      </w:r>
      <w:r w:rsidR="00133EEA" w:rsidRPr="00467359">
        <w:t xml:space="preserve">ncreases the suffocation </w:t>
      </w:r>
      <w:r w:rsidR="00133EEA">
        <w:t xml:space="preserve">and rebreathing </w:t>
      </w:r>
      <w:r w:rsidR="00133EEA" w:rsidRPr="00467359">
        <w:t>risk</w:t>
      </w:r>
      <w:r w:rsidR="00133EEA">
        <w:t xml:space="preserve"> when infants roll because their faces are covered by the product. </w:t>
      </w:r>
    </w:p>
    <w:p w14:paraId="10BD96F6" w14:textId="6E6F7589" w:rsidR="00223C69" w:rsidRDefault="003A2E24" w:rsidP="00AF6571">
      <w:pPr>
        <w:pStyle w:val="Bulletpoint"/>
        <w:numPr>
          <w:ilvl w:val="0"/>
          <w:numId w:val="0"/>
        </w:numPr>
        <w:ind w:left="360"/>
      </w:pPr>
      <w:r>
        <w:t>The Expert Reports</w:t>
      </w:r>
      <w:r w:rsidR="00223C69" w:rsidRPr="009C5E45">
        <w:t xml:space="preserve"> agreed curvature of a sleep surface p</w:t>
      </w:r>
      <w:r w:rsidR="00223C69">
        <w:t>oses a</w:t>
      </w:r>
      <w:r w:rsidR="00223C69" w:rsidRPr="009C5E45">
        <w:t xml:space="preserve"> risk and creates an unsafe sleep environment</w:t>
      </w:r>
      <w:r w:rsidR="00133EEA">
        <w:t xml:space="preserve">. </w:t>
      </w:r>
      <w:r w:rsidR="00223C69" w:rsidRPr="009C5E45">
        <w:t xml:space="preserve"> </w:t>
      </w:r>
    </w:p>
    <w:p w14:paraId="01EA5BC3" w14:textId="627D4F95" w:rsidR="00133EEA" w:rsidRDefault="00223C69" w:rsidP="0090547F">
      <w:pPr>
        <w:pStyle w:val="Bulletpoint"/>
      </w:pPr>
      <w:r w:rsidRPr="00E92216">
        <w:rPr>
          <w:i/>
          <w:iCs/>
        </w:rPr>
        <w:t>Rigidity</w:t>
      </w:r>
      <w:r w:rsidRPr="006F39D4">
        <w:t xml:space="preserve"> </w:t>
      </w:r>
      <w:r>
        <w:t xml:space="preserve">– </w:t>
      </w:r>
      <w:r w:rsidR="00133EEA">
        <w:t xml:space="preserve">the Mannen Report </w:t>
      </w:r>
      <w:r w:rsidR="009E55A4">
        <w:t xml:space="preserve">recommended that </w:t>
      </w:r>
      <w:r w:rsidR="00133EEA">
        <w:t>there should be minimum rigidity of the sleep surface to prevent suffocation. The lack of rigidity of the lying surface</w:t>
      </w:r>
      <w:r w:rsidR="00133EEA" w:rsidRPr="008979B2">
        <w:t xml:space="preserve"> </w:t>
      </w:r>
      <w:r w:rsidR="00133EEA">
        <w:t xml:space="preserve">and added padding of Inclined Sleep Products could prevent infants from self-correcting if they roll, especially when infants are unlikely to have enough strength to lift their heads to breathe.  </w:t>
      </w:r>
    </w:p>
    <w:p w14:paraId="27E5CBEB" w14:textId="181EF183" w:rsidR="00223C69" w:rsidRDefault="00F42136" w:rsidP="00873E5C">
      <w:pPr>
        <w:pStyle w:val="Bulletpoint"/>
        <w:numPr>
          <w:ilvl w:val="0"/>
          <w:numId w:val="0"/>
        </w:numPr>
        <w:ind w:left="360"/>
      </w:pPr>
      <w:r>
        <w:t>The</w:t>
      </w:r>
      <w:r w:rsidR="003A2E24">
        <w:t xml:space="preserve"> Expert Reports</w:t>
      </w:r>
      <w:r w:rsidR="00223C69">
        <w:t xml:space="preserve"> noted</w:t>
      </w:r>
      <w:r w:rsidR="00C90AD0">
        <w:t xml:space="preserve"> a lack of</w:t>
      </w:r>
      <w:r w:rsidR="00A35661">
        <w:t xml:space="preserve"> rigidity</w:t>
      </w:r>
      <w:r w:rsidR="00223C69">
        <w:t xml:space="preserve"> poses a risk because soft surfaces will not maintain their shape, conforming to the shape of the infant’s head which increases the chance of suffocation and carbon dioxide rebreathing.  </w:t>
      </w:r>
    </w:p>
    <w:p w14:paraId="202578C0" w14:textId="0FFB30A2" w:rsidR="002A554A" w:rsidRPr="00E64400" w:rsidRDefault="00223C69" w:rsidP="002A554A">
      <w:pPr>
        <w:pStyle w:val="Bulletpoint"/>
      </w:pPr>
      <w:r w:rsidRPr="006F39D4">
        <w:rPr>
          <w:i/>
          <w:iCs/>
        </w:rPr>
        <w:t>Material</w:t>
      </w:r>
      <w:r>
        <w:t xml:space="preserve"> – </w:t>
      </w:r>
      <w:r w:rsidR="002A554A">
        <w:t>the Mannen Report stated t</w:t>
      </w:r>
      <w:r w:rsidR="002A554A" w:rsidRPr="00E64400">
        <w:t xml:space="preserve">he material used </w:t>
      </w:r>
      <w:r w:rsidR="002A554A">
        <w:t xml:space="preserve">in </w:t>
      </w:r>
      <w:r w:rsidR="0049061E">
        <w:t>I</w:t>
      </w:r>
      <w:r w:rsidR="002A554A">
        <w:t xml:space="preserve">nfant </w:t>
      </w:r>
      <w:r w:rsidR="0049061E">
        <w:t>S</w:t>
      </w:r>
      <w:r w:rsidR="002A554A">
        <w:t xml:space="preserve">leep </w:t>
      </w:r>
      <w:r w:rsidR="0049061E">
        <w:t>P</w:t>
      </w:r>
      <w:r w:rsidR="002A554A">
        <w:t xml:space="preserve">roducts </w:t>
      </w:r>
      <w:r w:rsidR="002A554A" w:rsidRPr="00E64400">
        <w:t xml:space="preserve">should allow airflow to prevent carbon dioxide rebreathing. </w:t>
      </w:r>
    </w:p>
    <w:p w14:paraId="35CCBCE1" w14:textId="553CCC22" w:rsidR="00223C69" w:rsidRDefault="00F42136" w:rsidP="008D3D4A">
      <w:pPr>
        <w:pStyle w:val="Bulletpoint"/>
        <w:numPr>
          <w:ilvl w:val="0"/>
          <w:numId w:val="0"/>
        </w:numPr>
        <w:ind w:left="360"/>
      </w:pPr>
      <w:r>
        <w:t xml:space="preserve">The </w:t>
      </w:r>
      <w:r w:rsidR="002742F2">
        <w:t>Expert Reports</w:t>
      </w:r>
      <w:r w:rsidR="00223C69">
        <w:t xml:space="preserve"> agreed t</w:t>
      </w:r>
      <w:r w:rsidR="00223C69" w:rsidRPr="0012401B">
        <w:t>he material of the product can influence the risk of suffocation and carbon</w:t>
      </w:r>
      <w:r w:rsidR="00223C69">
        <w:t xml:space="preserve"> </w:t>
      </w:r>
      <w:r w:rsidR="00223C69" w:rsidRPr="0012401B">
        <w:t>dioxide rebreathing. Thin single-layer mesh materials appear to have the lowest risk whilst thick, soft padding has higher rebreathing potential</w:t>
      </w:r>
      <w:r w:rsidR="00223C69">
        <w:t>.</w:t>
      </w:r>
      <w:r w:rsidR="00223C69">
        <w:rPr>
          <w:rStyle w:val="FootnoteReference"/>
        </w:rPr>
        <w:footnoteReference w:id="9"/>
      </w:r>
    </w:p>
    <w:p w14:paraId="79EBBB99" w14:textId="263A43D8" w:rsidR="002A554A" w:rsidRPr="00AB252A" w:rsidRDefault="00223C69" w:rsidP="0090547F">
      <w:pPr>
        <w:pStyle w:val="Bulletpoint"/>
      </w:pPr>
      <w:r w:rsidRPr="00682134">
        <w:rPr>
          <w:i/>
          <w:iCs/>
        </w:rPr>
        <w:t>Width and height of sides</w:t>
      </w:r>
      <w:r>
        <w:t xml:space="preserve"> – </w:t>
      </w:r>
      <w:r w:rsidR="002A554A">
        <w:t>the Mannen Report noted a</w:t>
      </w:r>
      <w:r w:rsidR="002A554A" w:rsidRPr="00AB252A">
        <w:t xml:space="preserve"> minimum</w:t>
      </w:r>
      <w:r w:rsidR="002A554A">
        <w:t xml:space="preserve"> product</w:t>
      </w:r>
      <w:r w:rsidR="002A554A" w:rsidRPr="00AB252A">
        <w:t xml:space="preserve"> width may prevent infants from rolling, but other factors such as rigidity, c</w:t>
      </w:r>
      <w:r w:rsidR="00CA1868">
        <w:t>urvature</w:t>
      </w:r>
      <w:r w:rsidR="002A554A" w:rsidRPr="00AB252A">
        <w:t xml:space="preserve"> and incline limit likely reduce the horizontal space needed for infants to roll</w:t>
      </w:r>
      <w:r w:rsidR="002A554A">
        <w:t>. Additionally, t</w:t>
      </w:r>
      <w:r w:rsidR="002A554A" w:rsidRPr="00AB252A">
        <w:t xml:space="preserve">he height of the sides may affect infant safety, but further </w:t>
      </w:r>
      <w:r w:rsidR="002A554A">
        <w:t>research</w:t>
      </w:r>
      <w:r w:rsidR="002A554A" w:rsidRPr="00AB252A">
        <w:t xml:space="preserve"> is required to define a minimum safe height</w:t>
      </w:r>
      <w:r w:rsidR="00A421F7">
        <w:t xml:space="preserve"> and width</w:t>
      </w:r>
      <w:r w:rsidR="002A554A" w:rsidRPr="00AB252A">
        <w:t>.</w:t>
      </w:r>
    </w:p>
    <w:p w14:paraId="3E869EDC" w14:textId="151AD2F8" w:rsidR="003D0257" w:rsidRDefault="00F42136" w:rsidP="0080064D">
      <w:pPr>
        <w:pStyle w:val="Bulletpoint"/>
        <w:numPr>
          <w:ilvl w:val="0"/>
          <w:numId w:val="0"/>
        </w:numPr>
        <w:ind w:left="360"/>
      </w:pPr>
      <w:r>
        <w:t>The</w:t>
      </w:r>
      <w:r w:rsidRPr="00682134">
        <w:t xml:space="preserve"> </w:t>
      </w:r>
      <w:r>
        <w:t>E</w:t>
      </w:r>
      <w:r w:rsidR="00223C69" w:rsidRPr="00682134">
        <w:t>xpert</w:t>
      </w:r>
      <w:r>
        <w:t xml:space="preserve"> Reports</w:t>
      </w:r>
      <w:r w:rsidR="00223C69" w:rsidRPr="00682134">
        <w:t xml:space="preserve"> considered there </w:t>
      </w:r>
      <w:r w:rsidR="002A554A">
        <w:t>to be</w:t>
      </w:r>
      <w:r w:rsidR="002A554A" w:rsidRPr="00682134">
        <w:t xml:space="preserve"> </w:t>
      </w:r>
      <w:r w:rsidR="00223C69" w:rsidRPr="00682134">
        <w:t xml:space="preserve">insufficient scientific evidence to suggest the width of a product or </w:t>
      </w:r>
      <w:r w:rsidR="00223C69">
        <w:t>side</w:t>
      </w:r>
      <w:r w:rsidR="00223C69" w:rsidRPr="00682134">
        <w:t xml:space="preserve"> height pose a significant risk on their own.</w:t>
      </w:r>
      <w:r w:rsidR="00223C69">
        <w:t xml:space="preserve"> </w:t>
      </w:r>
    </w:p>
    <w:p w14:paraId="77F6F794" w14:textId="3AF4B276" w:rsidR="00223C69" w:rsidRDefault="00223C69" w:rsidP="00873E5C">
      <w:pPr>
        <w:pStyle w:val="Bulletpoint"/>
        <w:numPr>
          <w:ilvl w:val="0"/>
          <w:numId w:val="71"/>
        </w:numPr>
        <w:ind w:left="360"/>
      </w:pPr>
      <w:r w:rsidRPr="0003371B">
        <w:rPr>
          <w:i/>
          <w:iCs/>
        </w:rPr>
        <w:t xml:space="preserve">Supervision </w:t>
      </w:r>
      <w:r>
        <w:t>– B</w:t>
      </w:r>
      <w:r w:rsidRPr="0012401B">
        <w:t xml:space="preserve">oth experts highlight </w:t>
      </w:r>
      <w:r>
        <w:t xml:space="preserve">the need for </w:t>
      </w:r>
      <w:r w:rsidRPr="0012401B">
        <w:t xml:space="preserve">adult supervision </w:t>
      </w:r>
      <w:r>
        <w:t>of</w:t>
      </w:r>
      <w:r w:rsidRPr="0012401B">
        <w:t xml:space="preserve"> infants placed in </w:t>
      </w:r>
      <w:r>
        <w:t>i</w:t>
      </w:r>
      <w:r w:rsidRPr="0012401B">
        <w:t xml:space="preserve">nclined </w:t>
      </w:r>
      <w:r>
        <w:t>p</w:t>
      </w:r>
      <w:r w:rsidRPr="0012401B">
        <w:t>roducts</w:t>
      </w:r>
      <w:r>
        <w:t xml:space="preserve">, noting infant fatalities can occur in short timeframes for infants both sleeping and awake.  </w:t>
      </w:r>
    </w:p>
    <w:p w14:paraId="26AC258F" w14:textId="3CF6C11E" w:rsidR="00363E86" w:rsidRPr="00363E86" w:rsidRDefault="00223C69" w:rsidP="00C4676D">
      <w:pPr>
        <w:pStyle w:val="Bulletpoint"/>
        <w:ind w:left="340"/>
      </w:pPr>
      <w:r w:rsidRPr="00140CDF">
        <w:rPr>
          <w:i/>
          <w:iCs/>
        </w:rPr>
        <w:t xml:space="preserve">Restraints </w:t>
      </w:r>
      <w:r>
        <w:t>– Previous infant fatalities and</w:t>
      </w:r>
      <w:r w:rsidR="00F265CD">
        <w:t xml:space="preserve"> stakeholder submissions suggest</w:t>
      </w:r>
      <w:r>
        <w:t xml:space="preserve"> restraints</w:t>
      </w:r>
      <w:r w:rsidR="00F265CD">
        <w:t xml:space="preserve"> are</w:t>
      </w:r>
      <w:r>
        <w:t xml:space="preserve"> hazardous.</w:t>
      </w:r>
      <w:r w:rsidR="00F265CD">
        <w:rPr>
          <w:rStyle w:val="FootnoteReference"/>
        </w:rPr>
        <w:footnoteReference w:id="10"/>
      </w:r>
      <w:r>
        <w:t xml:space="preserve">  </w:t>
      </w:r>
    </w:p>
    <w:p w14:paraId="7F2395AA" w14:textId="02A2A18A" w:rsidR="00223C69" w:rsidRPr="00183449" w:rsidRDefault="00223C69" w:rsidP="00223C69">
      <w:pPr>
        <w:pStyle w:val="Numbered111"/>
      </w:pPr>
      <w:bookmarkStart w:id="16" w:name="_Toc106349126"/>
      <w:bookmarkStart w:id="17" w:name="_Toc106637663"/>
      <w:bookmarkStart w:id="18" w:name="_Toc106802881"/>
      <w:bookmarkStart w:id="19" w:name="_Toc107326629"/>
      <w:bookmarkStart w:id="20" w:name="_Toc107582433"/>
      <w:bookmarkStart w:id="21" w:name="_Toc108538301"/>
      <w:bookmarkStart w:id="22" w:name="_Toc109039343"/>
      <w:bookmarkStart w:id="23" w:name="_Toc110871611"/>
      <w:bookmarkStart w:id="24" w:name="_Toc110959455"/>
      <w:r>
        <w:t>R</w:t>
      </w:r>
      <w:r w:rsidRPr="00183449">
        <w:t xml:space="preserve">isks </w:t>
      </w:r>
      <w:r w:rsidR="00626BFB">
        <w:t xml:space="preserve">of </w:t>
      </w:r>
      <w:r>
        <w:t xml:space="preserve">sleep </w:t>
      </w:r>
      <w:bookmarkEnd w:id="16"/>
      <w:bookmarkEnd w:id="17"/>
      <w:bookmarkEnd w:id="18"/>
      <w:bookmarkEnd w:id="19"/>
      <w:r w:rsidR="00626BFB">
        <w:t>practices</w:t>
      </w:r>
      <w:bookmarkEnd w:id="20"/>
      <w:bookmarkEnd w:id="21"/>
      <w:bookmarkEnd w:id="22"/>
      <w:bookmarkEnd w:id="23"/>
      <w:bookmarkEnd w:id="24"/>
      <w:r w:rsidR="00626BFB">
        <w:t xml:space="preserve"> </w:t>
      </w:r>
    </w:p>
    <w:p w14:paraId="690A2035" w14:textId="3559C5F9" w:rsidR="00B72D8D" w:rsidRDefault="00B72D8D" w:rsidP="00223C69">
      <w:pPr>
        <w:spacing w:after="240"/>
      </w:pPr>
      <w:r>
        <w:t>The ACCC is aware that infants may sleep on many products that are not intended for sleep. For this reason</w:t>
      </w:r>
      <w:r w:rsidR="00873E5C">
        <w:t>,</w:t>
      </w:r>
      <w:r>
        <w:t xml:space="preserve"> we have included </w:t>
      </w:r>
      <w:r w:rsidR="00662A9D">
        <w:t>Inclined</w:t>
      </w:r>
      <w:r>
        <w:t xml:space="preserve"> Non-Sleep Products in this Consultation Paper</w:t>
      </w:r>
      <w:r w:rsidR="009D7B3F">
        <w:t>.</w:t>
      </w:r>
      <w:r w:rsidR="0087542C">
        <w:t xml:space="preserve"> </w:t>
      </w:r>
      <w:r>
        <w:t xml:space="preserve"> </w:t>
      </w:r>
      <w:r w:rsidR="00F84F2A">
        <w:t xml:space="preserve">The risks described above </w:t>
      </w:r>
      <w:r w:rsidR="00F84F2A" w:rsidRPr="003F61C7">
        <w:t xml:space="preserve">in </w:t>
      </w:r>
      <w:r w:rsidR="003F61C7" w:rsidRPr="003F61C7">
        <w:t>P</w:t>
      </w:r>
      <w:r w:rsidR="00F84F2A" w:rsidRPr="003F61C7">
        <w:t>art</w:t>
      </w:r>
      <w:r w:rsidR="003F61C7">
        <w:t>s</w:t>
      </w:r>
      <w:r w:rsidR="00F84F2A" w:rsidRPr="003F61C7">
        <w:t xml:space="preserve"> 1.1 and 1.2</w:t>
      </w:r>
      <w:r w:rsidR="00F84F2A">
        <w:t xml:space="preserve"> apply equally to </w:t>
      </w:r>
      <w:r w:rsidR="003123C3">
        <w:t>these products</w:t>
      </w:r>
      <w:r w:rsidR="00F84F2A">
        <w:t xml:space="preserve">. </w:t>
      </w:r>
    </w:p>
    <w:p w14:paraId="189AF187" w14:textId="34177E80" w:rsidR="009B214B" w:rsidRDefault="009B214B" w:rsidP="00223C69">
      <w:pPr>
        <w:spacing w:after="240"/>
      </w:pPr>
      <w:r>
        <w:t xml:space="preserve">The ACCC is </w:t>
      </w:r>
      <w:r w:rsidR="00F84F2A">
        <w:t xml:space="preserve">also </w:t>
      </w:r>
      <w:r>
        <w:t xml:space="preserve">aware </w:t>
      </w:r>
      <w:r w:rsidR="00406F8C">
        <w:t>loose items such as</w:t>
      </w:r>
      <w:r>
        <w:t xml:space="preserve"> </w:t>
      </w:r>
      <w:r w:rsidR="00137F96">
        <w:t>soft</w:t>
      </w:r>
      <w:r w:rsidR="004F5DA7">
        <w:t xml:space="preserve"> </w:t>
      </w:r>
      <w:r>
        <w:t xml:space="preserve">toys pose a risk when placed with an infant for sleep. </w:t>
      </w:r>
      <w:r w:rsidR="001F7740">
        <w:t>Public health advice recommends all potential dangers are removed from the infant’s sleep environment, including loose items such as blankets or soft toys.</w:t>
      </w:r>
      <w:r w:rsidR="001F7740">
        <w:rPr>
          <w:rStyle w:val="FootnoteReference"/>
        </w:rPr>
        <w:footnoteReference w:id="11"/>
      </w:r>
      <w:r w:rsidR="00176061">
        <w:t xml:space="preserve"> </w:t>
      </w:r>
      <w:r w:rsidR="00626BFB">
        <w:t>T</w:t>
      </w:r>
      <w:r>
        <w:t xml:space="preserve">hese products are not subject to this Consultation Paper because the risks relate to safe sleeping practices </w:t>
      </w:r>
      <w:r w:rsidR="00274872">
        <w:t xml:space="preserve">rather than </w:t>
      </w:r>
      <w:r>
        <w:t>the product design</w:t>
      </w:r>
      <w:r w:rsidR="00A421F7">
        <w:t>, but would be covered in the education campaign proposed in Option 2</w:t>
      </w:r>
      <w:r>
        <w:t xml:space="preserve">. </w:t>
      </w:r>
    </w:p>
    <w:p w14:paraId="3436F50A" w14:textId="215463BB" w:rsidR="00223C69" w:rsidRDefault="00223C69" w:rsidP="00DC57C5">
      <w:pPr>
        <w:pStyle w:val="Numbered111"/>
        <w:keepNext/>
        <w:ind w:left="1225" w:hanging="1225"/>
      </w:pPr>
      <w:bookmarkStart w:id="25" w:name="_Toc105574811"/>
      <w:bookmarkStart w:id="26" w:name="_Toc105747295"/>
      <w:bookmarkStart w:id="27" w:name="_Toc106349127"/>
      <w:bookmarkStart w:id="28" w:name="_Toc106637664"/>
      <w:bookmarkStart w:id="29" w:name="_Toc106802882"/>
      <w:bookmarkStart w:id="30" w:name="_Toc107326630"/>
      <w:bookmarkStart w:id="31" w:name="_Toc107582434"/>
      <w:bookmarkStart w:id="32" w:name="_Toc108538302"/>
      <w:bookmarkStart w:id="33" w:name="_Toc109039344"/>
      <w:bookmarkStart w:id="34" w:name="_Toc110871612"/>
      <w:bookmarkStart w:id="35" w:name="_Toc110959456"/>
      <w:r>
        <w:t xml:space="preserve">Household </w:t>
      </w:r>
      <w:r w:rsidR="007423FA">
        <w:t>C</w:t>
      </w:r>
      <w:r>
        <w:t xml:space="preserve">ots </w:t>
      </w:r>
      <w:bookmarkEnd w:id="25"/>
      <w:bookmarkEnd w:id="26"/>
      <w:bookmarkEnd w:id="27"/>
      <w:r w:rsidR="00B35115">
        <w:t xml:space="preserve">and </w:t>
      </w:r>
      <w:r w:rsidR="007423FA">
        <w:t>F</w:t>
      </w:r>
      <w:r w:rsidR="00B35115">
        <w:t xml:space="preserve">olding </w:t>
      </w:r>
      <w:r w:rsidR="007423FA">
        <w:t>C</w:t>
      </w:r>
      <w:r w:rsidR="00B35115">
        <w:t xml:space="preserve">ots </w:t>
      </w:r>
      <w:r w:rsidR="007423FA">
        <w:t>S</w:t>
      </w:r>
      <w:r w:rsidR="00B35115">
        <w:t>tandard</w:t>
      </w:r>
      <w:bookmarkEnd w:id="28"/>
      <w:r w:rsidR="00D26674">
        <w:t>s</w:t>
      </w:r>
      <w:bookmarkEnd w:id="29"/>
      <w:bookmarkEnd w:id="30"/>
      <w:bookmarkEnd w:id="31"/>
      <w:bookmarkEnd w:id="32"/>
      <w:bookmarkEnd w:id="33"/>
      <w:bookmarkEnd w:id="34"/>
      <w:bookmarkEnd w:id="35"/>
    </w:p>
    <w:p w14:paraId="009F017A" w14:textId="491D83C5" w:rsidR="00C4676D" w:rsidRDefault="00FE2FE2" w:rsidP="00B35115">
      <w:r>
        <w:t>The</w:t>
      </w:r>
      <w:r w:rsidR="00C4676D">
        <w:t xml:space="preserve"> risks posed by household cots and folding cots are</w:t>
      </w:r>
      <w:r w:rsidR="00452960">
        <w:t xml:space="preserve"> inherently</w:t>
      </w:r>
      <w:r w:rsidR="00C4676D">
        <w:t xml:space="preserve"> linked to Infant Sleep Products and a safe sleep environment. </w:t>
      </w:r>
    </w:p>
    <w:p w14:paraId="6A8D686A" w14:textId="76C385A2" w:rsidR="00223C69" w:rsidRDefault="00985A40" w:rsidP="00B35115">
      <w:r>
        <w:t>As stated above, household cots and folding cots are both covered by mandatory safety standards</w:t>
      </w:r>
      <w:r w:rsidR="00702BB4">
        <w:t>;</w:t>
      </w:r>
      <w:r w:rsidR="00176061">
        <w:t xml:space="preserve"> </w:t>
      </w:r>
      <w:r w:rsidR="00B35115">
        <w:t>the</w:t>
      </w:r>
      <w:r w:rsidR="00674F2C">
        <w:t xml:space="preserve"> </w:t>
      </w:r>
      <w:hyperlink r:id="rId27" w:history="1">
        <w:r w:rsidR="00674F2C" w:rsidRPr="00A87DC5">
          <w:rPr>
            <w:rStyle w:val="Hyperlink"/>
          </w:rPr>
          <w:t>mandatory standard</w:t>
        </w:r>
      </w:hyperlink>
      <w:r w:rsidR="00674F2C">
        <w:rPr>
          <w:rStyle w:val="Hyperlink"/>
        </w:rPr>
        <w:t xml:space="preserve"> for Household Cot</w:t>
      </w:r>
      <w:r w:rsidR="001C3288">
        <w:rPr>
          <w:rStyle w:val="Hyperlink"/>
        </w:rPr>
        <w:t>s</w:t>
      </w:r>
      <w:r>
        <w:rPr>
          <w:rStyle w:val="Hyperlink"/>
          <w:color w:val="auto"/>
          <w:u w:val="none"/>
        </w:rPr>
        <w:t xml:space="preserve"> </w:t>
      </w:r>
      <w:r w:rsidR="00674F2C" w:rsidRPr="00674F2C">
        <w:rPr>
          <w:rStyle w:val="Hyperlink"/>
          <w:color w:val="auto"/>
          <w:u w:val="none"/>
        </w:rPr>
        <w:t>(</w:t>
      </w:r>
      <w:r w:rsidR="00674F2C">
        <w:rPr>
          <w:i/>
          <w:iCs/>
        </w:rPr>
        <w:t>C</w:t>
      </w:r>
      <w:r w:rsidR="00674F2C" w:rsidRPr="001F18DA">
        <w:rPr>
          <w:i/>
          <w:iCs/>
        </w:rPr>
        <w:t>onsumer Product Safety Standard: Children’s Household Cots</w:t>
      </w:r>
      <w:r w:rsidR="001C3288">
        <w:rPr>
          <w:i/>
          <w:iCs/>
        </w:rPr>
        <w:t xml:space="preserve"> 2005</w:t>
      </w:r>
      <w:r w:rsidR="00674F2C">
        <w:t>) (</w:t>
      </w:r>
      <w:r w:rsidR="00674F2C" w:rsidRPr="001C3288">
        <w:t>Household Cots</w:t>
      </w:r>
      <w:r w:rsidR="00BE5BFA">
        <w:t xml:space="preserve"> Mandatory</w:t>
      </w:r>
      <w:r w:rsidR="00674F2C" w:rsidRPr="001C3288">
        <w:t xml:space="preserve"> Standard)</w:t>
      </w:r>
      <w:r w:rsidR="00B35115">
        <w:t xml:space="preserve"> and</w:t>
      </w:r>
      <w:r w:rsidR="00674F2C">
        <w:t xml:space="preserve"> the </w:t>
      </w:r>
      <w:hyperlink r:id="rId28" w:history="1">
        <w:r w:rsidR="00674F2C">
          <w:rPr>
            <w:rStyle w:val="Hyperlink"/>
          </w:rPr>
          <w:t>mandatory standard</w:t>
        </w:r>
      </w:hyperlink>
      <w:r w:rsidR="00674F2C">
        <w:rPr>
          <w:rStyle w:val="Hyperlink"/>
        </w:rPr>
        <w:t xml:space="preserve"> for Folding Cots</w:t>
      </w:r>
      <w:r w:rsidR="00674F2C">
        <w:t xml:space="preserve"> (</w:t>
      </w:r>
      <w:r w:rsidR="00674F2C" w:rsidRPr="001F18DA">
        <w:rPr>
          <w:i/>
          <w:iCs/>
        </w:rPr>
        <w:t>Consumer Product Safety Standard</w:t>
      </w:r>
      <w:r w:rsidR="00674F2C">
        <w:rPr>
          <w:i/>
          <w:iCs/>
        </w:rPr>
        <w:t xml:space="preserve"> for</w:t>
      </w:r>
      <w:r w:rsidR="00674F2C" w:rsidRPr="001F18DA">
        <w:rPr>
          <w:i/>
          <w:iCs/>
        </w:rPr>
        <w:t xml:space="preserve"> Children’s </w:t>
      </w:r>
      <w:r w:rsidR="00674F2C">
        <w:rPr>
          <w:i/>
          <w:iCs/>
        </w:rPr>
        <w:t xml:space="preserve">Portable </w:t>
      </w:r>
      <w:r w:rsidR="00674F2C" w:rsidRPr="00062133">
        <w:rPr>
          <w:i/>
          <w:iCs/>
        </w:rPr>
        <w:t>Folding Cots</w:t>
      </w:r>
      <w:r w:rsidR="001C3288">
        <w:rPr>
          <w:i/>
          <w:iCs/>
        </w:rPr>
        <w:t xml:space="preserve"> 2008</w:t>
      </w:r>
      <w:r w:rsidR="00674F2C">
        <w:t>) (</w:t>
      </w:r>
      <w:r w:rsidR="00674F2C" w:rsidRPr="001C3288">
        <w:t>Folding Cots</w:t>
      </w:r>
      <w:r w:rsidR="00BE5BFA">
        <w:t xml:space="preserve"> Mandatory</w:t>
      </w:r>
      <w:r w:rsidR="00674F2C" w:rsidRPr="001C3288">
        <w:t xml:space="preserve"> Standard</w:t>
      </w:r>
      <w:r w:rsidR="00674F2C">
        <w:t>)</w:t>
      </w:r>
      <w:r w:rsidR="00996913">
        <w:t>. These standards</w:t>
      </w:r>
      <w:r w:rsidR="00B35115">
        <w:t xml:space="preserve"> were introduced to reduce the risk of injuries associated with the products, including: </w:t>
      </w:r>
    </w:p>
    <w:p w14:paraId="4DEBA64A" w14:textId="7C513552" w:rsidR="00223C69" w:rsidRDefault="00223C69" w:rsidP="00223C69">
      <w:pPr>
        <w:pStyle w:val="Bulletpoint"/>
      </w:pPr>
      <w:r>
        <w:t xml:space="preserve">the </w:t>
      </w:r>
      <w:r w:rsidRPr="00D157A8">
        <w:t>risk of head</w:t>
      </w:r>
      <w:r w:rsidR="00985A40">
        <w:t xml:space="preserve">, </w:t>
      </w:r>
      <w:r w:rsidRPr="00D157A8">
        <w:t xml:space="preserve">neck </w:t>
      </w:r>
      <w:r w:rsidR="00985A40">
        <w:t>or</w:t>
      </w:r>
      <w:r w:rsidR="00985A40" w:rsidRPr="00D157A8">
        <w:t xml:space="preserve"> </w:t>
      </w:r>
      <w:r w:rsidRPr="00D157A8">
        <w:t>limb entrapment</w:t>
      </w:r>
      <w:r>
        <w:t xml:space="preserve">, </w:t>
      </w:r>
      <w:r w:rsidRPr="00D157A8">
        <w:t>by regulating gap sizes</w:t>
      </w:r>
    </w:p>
    <w:p w14:paraId="3AF0418B" w14:textId="52779555" w:rsidR="00B35115" w:rsidRDefault="00B35115" w:rsidP="00B35115">
      <w:pPr>
        <w:pStyle w:val="Bulletpoint"/>
      </w:pPr>
      <w:r w:rsidRPr="009D4964">
        <w:t xml:space="preserve">the risk </w:t>
      </w:r>
      <w:r>
        <w:t>of</w:t>
      </w:r>
      <w:r w:rsidRPr="009D4964">
        <w:t xml:space="preserve"> entrapment in folding and locking mechanism</w:t>
      </w:r>
      <w:r w:rsidR="003D2B2A">
        <w:t>s</w:t>
      </w:r>
      <w:r w:rsidR="00985A40">
        <w:t xml:space="preserve"> </w:t>
      </w:r>
    </w:p>
    <w:p w14:paraId="22EDF349" w14:textId="40529110" w:rsidR="00B35115" w:rsidRDefault="00B35115" w:rsidP="00B35115">
      <w:pPr>
        <w:pStyle w:val="Bulletpoint"/>
      </w:pPr>
      <w:r w:rsidRPr="009D4964">
        <w:t xml:space="preserve">the risk of entrapment and suffocation </w:t>
      </w:r>
      <w:r w:rsidR="003D2B2A">
        <w:t>from</w:t>
      </w:r>
      <w:r w:rsidRPr="009D4964">
        <w:t xml:space="preserve"> mattresses</w:t>
      </w:r>
      <w:r w:rsidR="003D2B2A">
        <w:t>,</w:t>
      </w:r>
      <w:r w:rsidRPr="009D4964">
        <w:t xml:space="preserve"> </w:t>
      </w:r>
      <w:r w:rsidR="003D2B2A">
        <w:t xml:space="preserve">by </w:t>
      </w:r>
      <w:r w:rsidRPr="009D4964">
        <w:t>requir</w:t>
      </w:r>
      <w:r w:rsidR="003D2B2A">
        <w:t>ing them</w:t>
      </w:r>
      <w:r w:rsidRPr="009D4964">
        <w:t xml:space="preserve"> to </w:t>
      </w:r>
      <w:r w:rsidR="0061050C">
        <w:t>neatly fit the base of the cot</w:t>
      </w:r>
    </w:p>
    <w:p w14:paraId="2144CE7A" w14:textId="18A88A5E" w:rsidR="00B35115" w:rsidRDefault="00223C69" w:rsidP="00223C69">
      <w:pPr>
        <w:pStyle w:val="Bulletpoint"/>
      </w:pPr>
      <w:r>
        <w:t>the</w:t>
      </w:r>
      <w:r w:rsidRPr="00D157A8">
        <w:t xml:space="preserve"> risk of strangulation </w:t>
      </w:r>
      <w:r w:rsidR="0061050C">
        <w:t>caused by</w:t>
      </w:r>
      <w:r w:rsidRPr="00D157A8">
        <w:t xml:space="preserve"> infant clothing being caught</w:t>
      </w:r>
      <w:r>
        <w:t xml:space="preserve">, </w:t>
      </w:r>
      <w:r w:rsidRPr="00D157A8">
        <w:t xml:space="preserve">by </w:t>
      </w:r>
      <w:r w:rsidR="0061050C">
        <w:t>prohibiting</w:t>
      </w:r>
      <w:r w:rsidR="0061050C" w:rsidRPr="00D157A8">
        <w:t xml:space="preserve"> </w:t>
      </w:r>
      <w:r w:rsidRPr="00D157A8">
        <w:t>protrusions and snag points</w:t>
      </w:r>
      <w:r w:rsidR="003D2B2A">
        <w:t xml:space="preserve"> </w:t>
      </w:r>
    </w:p>
    <w:p w14:paraId="02758C3A" w14:textId="5E26291B" w:rsidR="00223C69" w:rsidRDefault="00223C69" w:rsidP="00223C69">
      <w:pPr>
        <w:pStyle w:val="Bulletpoint"/>
      </w:pPr>
      <w:r w:rsidRPr="00D157A8">
        <w:t>the</w:t>
      </w:r>
      <w:r w:rsidR="00B35115">
        <w:t xml:space="preserve"> risk </w:t>
      </w:r>
      <w:r w:rsidRPr="00D157A8">
        <w:t>of falls by removing</w:t>
      </w:r>
      <w:r>
        <w:t xml:space="preserve"> the possibility of</w:t>
      </w:r>
      <w:r w:rsidRPr="00D157A8">
        <w:t xml:space="preserve"> footholds and establishing minimum </w:t>
      </w:r>
      <w:r w:rsidR="0061050C">
        <w:t xml:space="preserve">side </w:t>
      </w:r>
      <w:r w:rsidRPr="00D157A8">
        <w:t>height requirements</w:t>
      </w:r>
      <w:r>
        <w:t>.</w:t>
      </w:r>
    </w:p>
    <w:p w14:paraId="72914530" w14:textId="500CBBE5" w:rsidR="00223C69" w:rsidRDefault="00B35115" w:rsidP="003D2B2A">
      <w:r>
        <w:t>The</w:t>
      </w:r>
      <w:r w:rsidR="003D2B2A">
        <w:t xml:space="preserve"> </w:t>
      </w:r>
      <w:r w:rsidR="003D2B2A" w:rsidRPr="00844B77">
        <w:t>Household Cots</w:t>
      </w:r>
      <w:r w:rsidR="00BE5BFA">
        <w:t xml:space="preserve"> Mandatory</w:t>
      </w:r>
      <w:r w:rsidR="003D2B2A" w:rsidRPr="00844B77">
        <w:t xml:space="preserve"> Standard</w:t>
      </w:r>
      <w:r w:rsidR="003D2B2A">
        <w:t xml:space="preserve"> and Folding Cots</w:t>
      </w:r>
      <w:r w:rsidR="00BE5BFA">
        <w:t xml:space="preserve"> Mandatory</w:t>
      </w:r>
      <w:r w:rsidR="003D2B2A">
        <w:t xml:space="preserve"> Standard</w:t>
      </w:r>
      <w:r>
        <w:t xml:space="preserve"> have</w:t>
      </w:r>
      <w:r w:rsidRPr="00A733CF">
        <w:t xml:space="preserve"> minimum safety requirements for construction, design, performance labelling</w:t>
      </w:r>
      <w:r w:rsidR="0061050C">
        <w:t xml:space="preserve"> and include mandatory </w:t>
      </w:r>
      <w:r w:rsidR="00223C69" w:rsidRPr="009D4964">
        <w:t xml:space="preserve">safety warnings and </w:t>
      </w:r>
      <w:r w:rsidR="0061050C">
        <w:t xml:space="preserve">labelling about safe use. </w:t>
      </w:r>
      <w:r w:rsidR="0061050C" w:rsidRPr="009D4964">
        <w:t xml:space="preserve"> </w:t>
      </w:r>
    </w:p>
    <w:p w14:paraId="094867F0" w14:textId="4E00B02C" w:rsidR="00223C69" w:rsidRPr="00082CB9" w:rsidRDefault="0061050C" w:rsidP="00223C69">
      <w:pPr>
        <w:pStyle w:val="Numbered11"/>
      </w:pPr>
      <w:bookmarkStart w:id="36" w:name="_Toc110959457"/>
      <w:r>
        <w:t>Australian</w:t>
      </w:r>
      <w:r w:rsidR="00223C69">
        <w:t xml:space="preserve"> infant fatalities</w:t>
      </w:r>
      <w:bookmarkEnd w:id="36"/>
    </w:p>
    <w:p w14:paraId="39C82ACB" w14:textId="77777777" w:rsidR="00223C69" w:rsidRDefault="00223C69" w:rsidP="00223C69">
      <w:pPr>
        <w:pStyle w:val="Bulletpoint"/>
        <w:numPr>
          <w:ilvl w:val="0"/>
          <w:numId w:val="0"/>
        </w:numPr>
      </w:pPr>
      <w:r>
        <w:t>In Australia, incident d</w:t>
      </w:r>
      <w:r w:rsidRPr="006D5651">
        <w:t xml:space="preserve">ata relating to </w:t>
      </w:r>
      <w:r>
        <w:t>infant products</w:t>
      </w:r>
      <w:r w:rsidRPr="006D5651">
        <w:t xml:space="preserve"> </w:t>
      </w:r>
      <w:r>
        <w:t>is</w:t>
      </w:r>
      <w:r w:rsidRPr="006D5651">
        <w:t xml:space="preserve"> difficult to obtain due to a number of factors, including</w:t>
      </w:r>
      <w:r>
        <w:t>:</w:t>
      </w:r>
    </w:p>
    <w:p w14:paraId="4F1E87F6" w14:textId="77777777" w:rsidR="00223C69" w:rsidRPr="0084211D" w:rsidRDefault="00223C69" w:rsidP="00223C69">
      <w:pPr>
        <w:pStyle w:val="Bulletpoint"/>
      </w:pPr>
      <w:r w:rsidRPr="00341DC1">
        <w:t xml:space="preserve">the </w:t>
      </w:r>
      <w:r w:rsidRPr="0084211D">
        <w:t>absence of an Australian national injury database</w:t>
      </w:r>
    </w:p>
    <w:p w14:paraId="6152B684" w14:textId="2E96CD0A" w:rsidR="00223C69" w:rsidRPr="0084211D" w:rsidRDefault="00223C69" w:rsidP="00223C69">
      <w:pPr>
        <w:pStyle w:val="Bulletpoint"/>
      </w:pPr>
      <w:r w:rsidRPr="0084211D">
        <w:t>infant fatalities usually cannot be conclusively attributed to</w:t>
      </w:r>
      <w:r w:rsidR="00B8410C">
        <w:t xml:space="preserve"> a certain</w:t>
      </w:r>
      <w:r w:rsidRPr="0084211D">
        <w:t xml:space="preserve"> product due to difficulties in interpreting the cause of death</w:t>
      </w:r>
    </w:p>
    <w:p w14:paraId="7CDBCBB0" w14:textId="11195B54" w:rsidR="0067279A" w:rsidRDefault="00274872" w:rsidP="0067279A">
      <w:pPr>
        <w:pStyle w:val="Bulletpoint"/>
      </w:pPr>
      <w:r>
        <w:t>n</w:t>
      </w:r>
      <w:r w:rsidR="00223C69" w:rsidRPr="0084211D">
        <w:t>ear-miss</w:t>
      </w:r>
      <w:r w:rsidR="00223C69" w:rsidRPr="006D5651">
        <w:t xml:space="preserve"> </w:t>
      </w:r>
      <w:r w:rsidR="00223C69">
        <w:t>incidents</w:t>
      </w:r>
      <w:r w:rsidR="00003927">
        <w:t xml:space="preserve"> and fatalities</w:t>
      </w:r>
      <w:r w:rsidR="00223C69">
        <w:t xml:space="preserve"> are generally not reported because </w:t>
      </w:r>
      <w:r w:rsidR="003D2B2A">
        <w:t xml:space="preserve">they do not </w:t>
      </w:r>
      <w:r w:rsidR="00223C69" w:rsidRPr="006D5651">
        <w:t>mee</w:t>
      </w:r>
      <w:r w:rsidR="00223C69">
        <w:t>t</w:t>
      </w:r>
      <w:r w:rsidR="00223C69" w:rsidRPr="006D5651">
        <w:t xml:space="preserve"> the threshold for </w:t>
      </w:r>
      <w:hyperlink r:id="rId29" w:history="1">
        <w:r w:rsidR="00223C69" w:rsidRPr="006D5651">
          <w:rPr>
            <w:rStyle w:val="Hyperlink"/>
          </w:rPr>
          <w:t>mandatory reporting to the ACCC</w:t>
        </w:r>
      </w:hyperlink>
      <w:r w:rsidR="00223C69" w:rsidRPr="006D5651">
        <w:t>.</w:t>
      </w:r>
      <w:r w:rsidR="00223C69">
        <w:t xml:space="preserve"> </w:t>
      </w:r>
    </w:p>
    <w:p w14:paraId="54B496A3" w14:textId="50799A87" w:rsidR="00AF491A" w:rsidRDefault="00AF491A" w:rsidP="0067279A">
      <w:pPr>
        <w:pStyle w:val="Bulletpoint"/>
        <w:numPr>
          <w:ilvl w:val="0"/>
          <w:numId w:val="0"/>
        </w:numPr>
      </w:pPr>
      <w:bookmarkStart w:id="37" w:name="_Hlk106353404"/>
      <w:r>
        <w:t>As a result of these limitations</w:t>
      </w:r>
      <w:r w:rsidR="007B4F4D">
        <w:t>,</w:t>
      </w:r>
      <w:r>
        <w:t xml:space="preserve"> the ACCC has developed the following method to estimate infant fatalities by Infant Sleep Products. </w:t>
      </w:r>
    </w:p>
    <w:p w14:paraId="14D2A28C" w14:textId="0497F592" w:rsidR="00223C69" w:rsidRPr="006D5651" w:rsidRDefault="0067279A" w:rsidP="0067279A">
      <w:pPr>
        <w:pStyle w:val="Bulletpoint"/>
        <w:numPr>
          <w:ilvl w:val="0"/>
          <w:numId w:val="0"/>
        </w:numPr>
      </w:pPr>
      <w:r>
        <w:t>During p</w:t>
      </w:r>
      <w:r w:rsidR="00223C69">
        <w:t xml:space="preserve">revious consultation </w:t>
      </w:r>
      <w:r>
        <w:t>about the risk of incline,</w:t>
      </w:r>
      <w:r w:rsidR="00223C69">
        <w:t xml:space="preserve"> medical stakeholders advised incidents are likely to either result in a fatality or are unlikely to be serious enough to warrant medical attention or reporting. For this reason, the focus of the incident data is on fatalities and not injuries or near-misses. </w:t>
      </w:r>
    </w:p>
    <w:p w14:paraId="573AFFCC" w14:textId="13912340" w:rsidR="002027C6" w:rsidRDefault="00EA6D61" w:rsidP="00223C69">
      <w:bookmarkStart w:id="38" w:name="_Hlk106363949"/>
      <w:bookmarkEnd w:id="37"/>
      <w:r>
        <w:t xml:space="preserve">There are a number of </w:t>
      </w:r>
      <w:r w:rsidR="0091746E">
        <w:t xml:space="preserve">indirect </w:t>
      </w:r>
      <w:r>
        <w:t xml:space="preserve">factors associated </w:t>
      </w:r>
      <w:r w:rsidRPr="00804FEE">
        <w:t xml:space="preserve">with </w:t>
      </w:r>
      <w:r w:rsidR="00375698">
        <w:t>Sudden Unexpected Deaths in Infants (</w:t>
      </w:r>
      <w:r w:rsidRPr="00804FEE">
        <w:t>SUDI</w:t>
      </w:r>
      <w:r w:rsidR="00375698">
        <w:t>)</w:t>
      </w:r>
      <w:r w:rsidRPr="00901B2E">
        <w:t xml:space="preserve"> or</w:t>
      </w:r>
      <w:r w:rsidR="00375698">
        <w:t xml:space="preserve"> Sudden Infant Death Syndrome (</w:t>
      </w:r>
      <w:r w:rsidRPr="00901B2E">
        <w:t>SIDS</w:t>
      </w:r>
      <w:r w:rsidR="00375698">
        <w:t>)</w:t>
      </w:r>
      <w:r w:rsidR="00E33BB2">
        <w:t xml:space="preserve">, such as family circumstances, sleep environment and socio-economic status. </w:t>
      </w:r>
      <w:r w:rsidR="00CB2F2E">
        <w:t xml:space="preserve">SUDI occurs </w:t>
      </w:r>
      <w:r w:rsidR="0091746E">
        <w:t xml:space="preserve">unexpectedly </w:t>
      </w:r>
      <w:r w:rsidR="00B92169">
        <w:t>with no immediately obvious cause</w:t>
      </w:r>
      <w:r w:rsidR="00850ABC">
        <w:t>, but the cause of death can be determined following investigation</w:t>
      </w:r>
      <w:r w:rsidR="00844576">
        <w:t xml:space="preserve"> (</w:t>
      </w:r>
      <w:r w:rsidR="0091746E">
        <w:t>e.g.</w:t>
      </w:r>
      <w:r w:rsidR="00844576">
        <w:t xml:space="preserve"> </w:t>
      </w:r>
      <w:r w:rsidR="00844576" w:rsidRPr="003D6B47">
        <w:t>asphyxiation</w:t>
      </w:r>
      <w:r w:rsidR="00844576">
        <w:t>)</w:t>
      </w:r>
      <w:r w:rsidR="00CB2F2E">
        <w:t xml:space="preserve">. </w:t>
      </w:r>
      <w:r w:rsidR="00E33BB2">
        <w:t>S</w:t>
      </w:r>
      <w:r w:rsidR="00522F31">
        <w:t>I</w:t>
      </w:r>
      <w:r w:rsidR="00E33BB2">
        <w:t>D</w:t>
      </w:r>
      <w:r w:rsidR="00522F31">
        <w:t>S</w:t>
      </w:r>
      <w:r w:rsidR="00CB2F2E">
        <w:t xml:space="preserve"> is a subset of SUDI </w:t>
      </w:r>
      <w:r w:rsidR="00B92169">
        <w:t>where</w:t>
      </w:r>
      <w:r w:rsidR="00E33BB2">
        <w:t xml:space="preserve"> no cause of death has been identified, meaning other health and environmental factors have been ruled out. </w:t>
      </w:r>
    </w:p>
    <w:p w14:paraId="531E358C" w14:textId="73AA8929" w:rsidR="00A12411" w:rsidRDefault="00CC15BA" w:rsidP="00300CDE">
      <w:pPr>
        <w:pStyle w:val="Bulletpoint"/>
        <w:numPr>
          <w:ilvl w:val="0"/>
          <w:numId w:val="0"/>
        </w:numPr>
      </w:pPr>
      <w:r>
        <w:t>Based on the above understanding of how fatalities occur in Infant Sleep Products, t</w:t>
      </w:r>
      <w:r w:rsidR="00AF491A">
        <w:t>he ACCC sought data relating to infant fatalities</w:t>
      </w:r>
      <w:r w:rsidR="00A12411">
        <w:t xml:space="preserve"> </w:t>
      </w:r>
      <w:r w:rsidR="00AF491A">
        <w:t>that can</w:t>
      </w:r>
      <w:r w:rsidR="00ED03AD">
        <w:t>not be attributed to any other cause</w:t>
      </w:r>
      <w:r w:rsidR="00A12411">
        <w:t xml:space="preserve"> of death</w:t>
      </w:r>
      <w:r w:rsidR="00843DF0">
        <w:t>, that occurred while sleeping in an infant products</w:t>
      </w:r>
      <w:r w:rsidR="000452F8">
        <w:t>. We have</w:t>
      </w:r>
      <w:r w:rsidR="00A12411">
        <w:t xml:space="preserve"> assumed the product is a </w:t>
      </w:r>
      <w:r w:rsidR="00A12411" w:rsidRPr="001A6AF7">
        <w:t>causative link</w:t>
      </w:r>
      <w:r w:rsidR="00A12411">
        <w:t xml:space="preserve"> for SUDI and SIDS. The ACCC acknowledges there are limitations with this approach, detailed in </w:t>
      </w:r>
      <w:r w:rsidR="00A12411" w:rsidRPr="00FB7FE7">
        <w:rPr>
          <w:b/>
          <w:bCs/>
        </w:rPr>
        <w:t>Appendix 1</w:t>
      </w:r>
      <w:r w:rsidR="00E32343">
        <w:rPr>
          <w:b/>
          <w:bCs/>
        </w:rPr>
        <w:t>.</w:t>
      </w:r>
      <w:r w:rsidR="00E32343">
        <w:t xml:space="preserve"> H</w:t>
      </w:r>
      <w:r w:rsidR="00A12411">
        <w:t>owever</w:t>
      </w:r>
      <w:r w:rsidR="00E32343">
        <w:t>,</w:t>
      </w:r>
      <w:r w:rsidR="00A12411">
        <w:t xml:space="preserve"> due to difficulties in determining the cause of death, this approach was used to provide the basis of calculating the number of fatalities that have occurred in Australia</w:t>
      </w:r>
      <w:r w:rsidR="000452F8">
        <w:t xml:space="preserve"> for Infant Sleep Products and Inclined Sleep Products. </w:t>
      </w:r>
    </w:p>
    <w:p w14:paraId="6509A8F9" w14:textId="0330CEDC" w:rsidR="00300CDE" w:rsidRDefault="00A12411" w:rsidP="00300CDE">
      <w:pPr>
        <w:pStyle w:val="Bulletpoint"/>
        <w:numPr>
          <w:ilvl w:val="0"/>
          <w:numId w:val="0"/>
        </w:numPr>
      </w:pPr>
      <w:r>
        <w:t xml:space="preserve">Based on data </w:t>
      </w:r>
      <w:r w:rsidR="000452F8">
        <w:t>collected from ACT, NSW, Vic, Qld, Tas and SA, we estimated</w:t>
      </w:r>
      <w:r w:rsidR="00300CDE">
        <w:t xml:space="preserve"> the total number of infant fatalities in Australia attributable to Infant Sleep Products and Inclined Sleep Products separately: </w:t>
      </w:r>
    </w:p>
    <w:p w14:paraId="3EA44FE5" w14:textId="29CAFC0C" w:rsidR="00300CDE" w:rsidRPr="001A6AF7" w:rsidRDefault="00417FE4" w:rsidP="00300CDE">
      <w:pPr>
        <w:pStyle w:val="Bulletpoint"/>
      </w:pPr>
      <w:r w:rsidRPr="00ED03AD">
        <w:rPr>
          <w:b/>
          <w:bCs/>
        </w:rPr>
        <w:t>0.968</w:t>
      </w:r>
      <w:r w:rsidR="00300CDE">
        <w:t xml:space="preserve"> infant </w:t>
      </w:r>
      <w:r w:rsidR="00300CDE" w:rsidRPr="001A6AF7">
        <w:t xml:space="preserve">fatalities per year for Infant Sleep Products (excluding Inclined Sleep Products), and </w:t>
      </w:r>
    </w:p>
    <w:p w14:paraId="4099CC33" w14:textId="6A44B6AC" w:rsidR="00300CDE" w:rsidRDefault="004F6E74" w:rsidP="00300CDE">
      <w:pPr>
        <w:pStyle w:val="Bulletpoint"/>
      </w:pPr>
      <w:r w:rsidRPr="00043E05">
        <w:rPr>
          <w:b/>
          <w:bCs/>
        </w:rPr>
        <w:t>1.87</w:t>
      </w:r>
      <w:r w:rsidR="00300CDE" w:rsidRPr="00043E05">
        <w:t xml:space="preserve"> infant</w:t>
      </w:r>
      <w:r w:rsidR="00300CDE" w:rsidRPr="001A6AF7">
        <w:t xml:space="preserve"> fatalities</w:t>
      </w:r>
      <w:r w:rsidR="00300CDE">
        <w:t xml:space="preserve"> per year for Inclined Sleep Products. </w:t>
      </w:r>
    </w:p>
    <w:p w14:paraId="673B895B" w14:textId="40271C30" w:rsidR="00300CDE" w:rsidRDefault="00300CDE" w:rsidP="00300CDE">
      <w:pPr>
        <w:pStyle w:val="Bulletpoint"/>
        <w:numPr>
          <w:ilvl w:val="0"/>
          <w:numId w:val="0"/>
        </w:numPr>
      </w:pPr>
      <w:r>
        <w:t>The ca</w:t>
      </w:r>
      <w:r w:rsidRPr="00417FE4">
        <w:t>lculation methods</w:t>
      </w:r>
      <w:r w:rsidR="008B074D">
        <w:t xml:space="preserve">, </w:t>
      </w:r>
      <w:r w:rsidR="00804FEE" w:rsidRPr="00417FE4">
        <w:t>limitations</w:t>
      </w:r>
      <w:r w:rsidR="008B074D">
        <w:t xml:space="preserve"> and assumptions</w:t>
      </w:r>
      <w:r w:rsidR="00804FEE" w:rsidRPr="00417FE4">
        <w:t xml:space="preserve"> associated with </w:t>
      </w:r>
      <w:r w:rsidR="00901B2E" w:rsidRPr="00417FE4">
        <w:t>our approach</w:t>
      </w:r>
      <w:r w:rsidRPr="00417FE4">
        <w:t xml:space="preserve"> are set out in </w:t>
      </w:r>
      <w:r w:rsidRPr="0037107D">
        <w:rPr>
          <w:b/>
          <w:bCs/>
        </w:rPr>
        <w:t>A</w:t>
      </w:r>
      <w:r w:rsidR="00BC6AE8" w:rsidRPr="0037107D">
        <w:rPr>
          <w:b/>
          <w:bCs/>
        </w:rPr>
        <w:t>ppendix 1</w:t>
      </w:r>
      <w:r w:rsidRPr="00417FE4">
        <w:t>,</w:t>
      </w:r>
      <w:r w:rsidRPr="00417FE4">
        <w:rPr>
          <w:b/>
          <w:bCs/>
        </w:rPr>
        <w:t xml:space="preserve"> </w:t>
      </w:r>
      <w:r w:rsidRPr="00417FE4">
        <w:t>noting</w:t>
      </w:r>
      <w:r w:rsidR="0037107D">
        <w:t xml:space="preserve"> that</w:t>
      </w:r>
      <w:r>
        <w:t xml:space="preserve"> the exact calculations have been </w:t>
      </w:r>
      <w:r w:rsidR="001E0F05">
        <w:t xml:space="preserve">omitted </w:t>
      </w:r>
      <w:r>
        <w:t xml:space="preserve">for confidentiality reasons. </w:t>
      </w:r>
    </w:p>
    <w:p w14:paraId="6C5DFAEE" w14:textId="77777777" w:rsidR="00314726" w:rsidRDefault="00C9521F" w:rsidP="00C9521F">
      <w:pPr>
        <w:pStyle w:val="Bulletpoint"/>
        <w:numPr>
          <w:ilvl w:val="0"/>
          <w:numId w:val="0"/>
        </w:numPr>
      </w:pPr>
      <w:r>
        <w:t>The calculated total fatalities per year are an estimation, noting there are many factors which contribute to an infant’s death</w:t>
      </w:r>
      <w:r w:rsidR="00B6615F">
        <w:t xml:space="preserve"> and there are limitations in the data available</w:t>
      </w:r>
      <w:r>
        <w:t xml:space="preserve">. </w:t>
      </w:r>
    </w:p>
    <w:p w14:paraId="22228361" w14:textId="4A5A6A50" w:rsidR="00B6615F" w:rsidRDefault="00B019FE" w:rsidP="00C9521F">
      <w:pPr>
        <w:pStyle w:val="Bulletpoint"/>
        <w:numPr>
          <w:ilvl w:val="0"/>
          <w:numId w:val="0"/>
        </w:numPr>
      </w:pPr>
      <w:r>
        <w:t xml:space="preserve">For the purpose of these calculations, </w:t>
      </w:r>
      <w:r w:rsidR="0009014D">
        <w:t xml:space="preserve">any </w:t>
      </w:r>
      <w:r w:rsidR="00C62C4F">
        <w:t>I</w:t>
      </w:r>
      <w:r w:rsidR="0009014D">
        <w:t xml:space="preserve">nfant </w:t>
      </w:r>
      <w:r w:rsidR="00C62C4F">
        <w:t>S</w:t>
      </w:r>
      <w:r w:rsidR="0009014D">
        <w:t>leep</w:t>
      </w:r>
      <w:r>
        <w:t xml:space="preserve"> </w:t>
      </w:r>
      <w:r w:rsidR="00C62C4F">
        <w:t>P</w:t>
      </w:r>
      <w:r>
        <w:t>roduct</w:t>
      </w:r>
      <w:r w:rsidR="0009014D">
        <w:t xml:space="preserve"> with an incline</w:t>
      </w:r>
      <w:r>
        <w:t xml:space="preserve"> </w:t>
      </w:r>
      <w:r w:rsidR="0009014D">
        <w:t xml:space="preserve">has been classified as </w:t>
      </w:r>
      <w:r>
        <w:t>a</w:t>
      </w:r>
      <w:r w:rsidR="0009014D">
        <w:t>n</w:t>
      </w:r>
      <w:r>
        <w:t xml:space="preserve"> Inclined Sleep Product</w:t>
      </w:r>
      <w:r w:rsidR="0009014D">
        <w:t xml:space="preserve">. It is not possible to access information about the </w:t>
      </w:r>
      <w:r w:rsidR="00314726">
        <w:t xml:space="preserve">exact product involved </w:t>
      </w:r>
      <w:r w:rsidR="008B074D">
        <w:t xml:space="preserve">precisely </w:t>
      </w:r>
      <w:r w:rsidR="007A1723">
        <w:t xml:space="preserve">meet </w:t>
      </w:r>
      <w:r w:rsidR="008B074D">
        <w:t xml:space="preserve">our product definitions, for example whether the </w:t>
      </w:r>
      <w:r w:rsidR="00825D41">
        <w:t xml:space="preserve">product </w:t>
      </w:r>
      <w:r w:rsidR="008B074D">
        <w:t xml:space="preserve">is </w:t>
      </w:r>
      <w:r w:rsidR="00442A85">
        <w:t>market</w:t>
      </w:r>
      <w:r w:rsidR="008B074D">
        <w:t>ed for sleep.</w:t>
      </w:r>
      <w:r w:rsidR="00442A85">
        <w:t xml:space="preserve"> </w:t>
      </w:r>
      <w:r w:rsidR="00314726">
        <w:t>As a result, there is no discrete calculation of fatalities caused by Inclined Non-Sleep Products and these may be captured within the fatalities for Inclined Sleep Products.</w:t>
      </w:r>
      <w:r w:rsidR="00442A85">
        <w:t xml:space="preserve"> </w:t>
      </w:r>
      <w:r w:rsidR="00B72D8D">
        <w:t>Additionally, I</w:t>
      </w:r>
      <w:r w:rsidR="00CB31F7">
        <w:t>nclined</w:t>
      </w:r>
      <w:r w:rsidR="00B72D8D">
        <w:t xml:space="preserve"> Non-Sleep Products are broad, making identification of related deaths difficult. </w:t>
      </w:r>
    </w:p>
    <w:p w14:paraId="5A9AF83D" w14:textId="705CD018" w:rsidR="00843DF0" w:rsidRDefault="008265B1" w:rsidP="00043E05">
      <w:pPr>
        <w:pStyle w:val="Bulletpoint"/>
        <w:numPr>
          <w:ilvl w:val="0"/>
          <w:numId w:val="0"/>
        </w:numPr>
        <w:spacing w:after="240"/>
      </w:pPr>
      <w:r>
        <w:t xml:space="preserve">For context, </w:t>
      </w:r>
      <w:r w:rsidR="00DD10F8">
        <w:t>a total of 799</w:t>
      </w:r>
      <w:r>
        <w:t xml:space="preserve"> infant fatalities</w:t>
      </w:r>
      <w:r w:rsidR="007A1723">
        <w:t xml:space="preserve"> occurred</w:t>
      </w:r>
      <w:r>
        <w:t xml:space="preserve"> in Australia</w:t>
      </w:r>
      <w:r w:rsidR="00DD10F8">
        <w:t xml:space="preserve"> in 2020</w:t>
      </w:r>
      <w:r>
        <w:t>.</w:t>
      </w:r>
      <w:r>
        <w:rPr>
          <w:rStyle w:val="FootnoteReference"/>
        </w:rPr>
        <w:footnoteReference w:id="12"/>
      </w:r>
      <w:r>
        <w:t xml:space="preserve"> </w:t>
      </w:r>
      <w:r w:rsidR="002857B6">
        <w:t xml:space="preserve">As noted </w:t>
      </w:r>
      <w:r w:rsidR="001E0F05">
        <w:t>above</w:t>
      </w:r>
      <w:r w:rsidR="00F573D2">
        <w:t>,</w:t>
      </w:r>
      <w:r w:rsidR="00CF0CE2">
        <w:t xml:space="preserve"> </w:t>
      </w:r>
      <w:r w:rsidR="00B4264A">
        <w:t>there were 73 infant fatalities in the U</w:t>
      </w:r>
      <w:r w:rsidR="00F573D2">
        <w:t xml:space="preserve">nited </w:t>
      </w:r>
      <w:r w:rsidR="00B4264A">
        <w:t>S</w:t>
      </w:r>
      <w:r w:rsidR="00F573D2">
        <w:t>tates</w:t>
      </w:r>
      <w:r w:rsidR="00B4264A">
        <w:t xml:space="preserve"> between </w:t>
      </w:r>
      <w:r w:rsidR="00F573D2" w:rsidRPr="004F5DA7">
        <w:t xml:space="preserve">January 2005 </w:t>
      </w:r>
      <w:r w:rsidR="00F573D2">
        <w:t>and</w:t>
      </w:r>
      <w:r w:rsidR="00F573D2" w:rsidRPr="004F5DA7">
        <w:t xml:space="preserve"> June 2019 </w:t>
      </w:r>
      <w:r w:rsidR="00B6615F">
        <w:t>caused by</w:t>
      </w:r>
      <w:r w:rsidR="00B4264A">
        <w:t xml:space="preserve"> </w:t>
      </w:r>
      <w:r w:rsidR="00F573D2">
        <w:t>I</w:t>
      </w:r>
      <w:r w:rsidR="00B4264A">
        <w:t xml:space="preserve">nclined </w:t>
      </w:r>
      <w:r w:rsidR="00F573D2">
        <w:t>S</w:t>
      </w:r>
      <w:r w:rsidR="00B4264A">
        <w:t xml:space="preserve">leep </w:t>
      </w:r>
      <w:r w:rsidR="00F573D2">
        <w:t>P</w:t>
      </w:r>
      <w:r w:rsidR="00B4264A">
        <w:t>roducts.</w:t>
      </w:r>
      <w:r w:rsidR="008F7696">
        <w:t xml:space="preserve"> This United States data was not used to estimate an Australia figure </w:t>
      </w:r>
      <w:r w:rsidR="00CC3032">
        <w:t xml:space="preserve">due to </w:t>
      </w:r>
      <w:r w:rsidR="008F7696">
        <w:t xml:space="preserve">the difference in products available </w:t>
      </w:r>
      <w:r w:rsidR="00CC3032">
        <w:t>in the market</w:t>
      </w:r>
      <w:r w:rsidR="00C1252D">
        <w:t>,</w:t>
      </w:r>
      <w:r w:rsidR="008F7696">
        <w:t xml:space="preserve"> </w:t>
      </w:r>
      <w:r w:rsidR="00CC3032">
        <w:t xml:space="preserve">and </w:t>
      </w:r>
      <w:r w:rsidR="00314726">
        <w:t>population,</w:t>
      </w:r>
      <w:r w:rsidR="00CC3032">
        <w:t xml:space="preserve"> </w:t>
      </w:r>
      <w:r w:rsidR="00CC3032" w:rsidRPr="00F1401A">
        <w:t>socio-economic</w:t>
      </w:r>
      <w:r w:rsidR="00CC3032">
        <w:t xml:space="preserve"> and behavioural differences. </w:t>
      </w:r>
    </w:p>
    <w:bookmarkEnd w:id="38"/>
    <w:p w14:paraId="5441E5A0" w14:textId="59319EB7" w:rsidR="007A1723" w:rsidRDefault="00223C69" w:rsidP="00B67BDB">
      <w:pPr>
        <w:pStyle w:val="TableHeading"/>
      </w:pPr>
      <w:r w:rsidRPr="0037107D">
        <w:t xml:space="preserve">Table </w:t>
      </w:r>
      <w:r w:rsidR="00F573D2">
        <w:t>3</w:t>
      </w:r>
      <w:r w:rsidRPr="0037107D">
        <w:t xml:space="preserve">: </w:t>
      </w:r>
      <w:r w:rsidRPr="00BC2FEB">
        <w:t>Summary</w:t>
      </w:r>
      <w:r w:rsidRPr="00BC6AE8">
        <w:t xml:space="preserve"> of fatalities likely attributed to Infant Sleep Products and inclined surfaces between 2001 – June 2021</w:t>
      </w:r>
      <w:r w:rsidR="00825D41">
        <w:t xml:space="preserve"> in the ACT</w:t>
      </w:r>
      <w:r w:rsidR="00825D41" w:rsidRPr="00691474">
        <w:t xml:space="preserve">, </w:t>
      </w:r>
      <w:r w:rsidR="00825D41">
        <w:t>NSW</w:t>
      </w:r>
      <w:r w:rsidR="00825D41" w:rsidRPr="00691474">
        <w:t xml:space="preserve">, </w:t>
      </w:r>
      <w:r w:rsidR="00825D41">
        <w:t>Qld</w:t>
      </w:r>
      <w:r w:rsidR="00825D41" w:rsidRPr="00691474">
        <w:t xml:space="preserve">, </w:t>
      </w:r>
      <w:r w:rsidR="00825D41">
        <w:t>SA</w:t>
      </w:r>
      <w:r w:rsidR="00825D41" w:rsidRPr="00691474">
        <w:t>, Ta</w:t>
      </w:r>
      <w:r w:rsidR="00825D41">
        <w:t>s</w:t>
      </w:r>
      <w:r w:rsidR="00825D41" w:rsidRPr="00691474">
        <w:t xml:space="preserve"> and Vic </w:t>
      </w:r>
    </w:p>
    <w:tbl>
      <w:tblPr>
        <w:tblW w:w="679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390"/>
        <w:gridCol w:w="2409"/>
      </w:tblGrid>
      <w:tr w:rsidR="00417FE4" w:rsidRPr="0032003B" w14:paraId="13D2FA0A"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27D336D4" w14:textId="77777777" w:rsidR="00417FE4" w:rsidRPr="0032003B" w:rsidRDefault="00417FE4">
            <w:pPr>
              <w:spacing w:before="0"/>
              <w:rPr>
                <w:rFonts w:eastAsia="Times New Roman" w:cs="Arial"/>
                <w:b/>
                <w:bCs/>
                <w:color w:val="000000"/>
                <w:lang w:eastAsia="en-AU"/>
              </w:rPr>
            </w:pPr>
            <w:r w:rsidRPr="0032003B">
              <w:rPr>
                <w:rFonts w:eastAsia="Times New Roman" w:cs="Arial"/>
                <w:b/>
                <w:bCs/>
                <w:color w:val="000000"/>
                <w:lang w:eastAsia="en-AU"/>
              </w:rPr>
              <w:t>Sleep surface</w:t>
            </w:r>
            <w:r w:rsidRPr="0032003B">
              <w:rPr>
                <w:rStyle w:val="FootnoteReference"/>
                <w:rFonts w:eastAsia="Times New Roman" w:cs="Arial"/>
                <w:b/>
                <w:bCs/>
                <w:color w:val="000000"/>
                <w:lang w:eastAsia="en-AU"/>
              </w:rPr>
              <w:footnoteReference w:id="13"/>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CEB240D" w14:textId="16DF6186" w:rsidR="00417FE4" w:rsidRPr="0032003B" w:rsidRDefault="00417FE4">
            <w:pPr>
              <w:spacing w:before="0"/>
              <w:jc w:val="center"/>
              <w:rPr>
                <w:rFonts w:eastAsia="Times New Roman" w:cs="Arial"/>
                <w:b/>
                <w:bCs/>
                <w:color w:val="000000"/>
                <w:lang w:eastAsia="en-AU"/>
              </w:rPr>
            </w:pPr>
            <w:r w:rsidRPr="0032003B">
              <w:rPr>
                <w:rFonts w:eastAsia="Times New Roman" w:cs="Arial"/>
                <w:b/>
                <w:bCs/>
                <w:color w:val="000000"/>
                <w:lang w:eastAsia="en-AU"/>
              </w:rPr>
              <w:t>Total fatalities</w:t>
            </w:r>
          </w:p>
        </w:tc>
      </w:tr>
      <w:tr w:rsidR="00A653A9" w:rsidRPr="0032003B" w14:paraId="59FB1FB2" w14:textId="77777777" w:rsidTr="00B67BDB">
        <w:trPr>
          <w:trHeight w:val="20"/>
          <w:jc w:val="center"/>
        </w:trPr>
        <w:tc>
          <w:tcPr>
            <w:tcW w:w="67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07F841A6" w14:textId="2A18F7CC" w:rsidR="00A653A9" w:rsidRPr="0032003B" w:rsidRDefault="00A653A9" w:rsidP="00297FAD">
            <w:pPr>
              <w:pStyle w:val="TableHeading"/>
              <w:jc w:val="center"/>
              <w:rPr>
                <w:lang w:eastAsia="en-AU"/>
              </w:rPr>
            </w:pPr>
            <w:r w:rsidRPr="0032003B">
              <w:rPr>
                <w:lang w:eastAsia="en-AU"/>
              </w:rPr>
              <w:t>Infant Sleep Products</w:t>
            </w:r>
          </w:p>
        </w:tc>
      </w:tr>
      <w:tr w:rsidR="00A653A9" w:rsidRPr="0032003B" w14:paraId="47804B00"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0023FE39" w14:textId="248A7BD2" w:rsidR="00A653A9" w:rsidRPr="0032003B" w:rsidRDefault="00A653A9" w:rsidP="00297FAD">
            <w:pPr>
              <w:pStyle w:val="Tabletext"/>
              <w:rPr>
                <w:rFonts w:eastAsia="Times New Roman" w:cs="Arial"/>
                <w:b/>
                <w:bCs/>
                <w:color w:val="000000"/>
                <w:lang w:eastAsia="en-AU"/>
              </w:rPr>
            </w:pPr>
            <w:r w:rsidRPr="0032003B">
              <w:t xml:space="preserve">Baby lounger </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C74F8" w14:textId="6FBCEDF2" w:rsidR="00A653A9" w:rsidRPr="0032003B" w:rsidRDefault="00A653A9" w:rsidP="00297FAD">
            <w:pPr>
              <w:pStyle w:val="Tabletext"/>
              <w:rPr>
                <w:rFonts w:eastAsia="Times New Roman" w:cs="Arial"/>
                <w:b/>
                <w:bCs/>
                <w:color w:val="000000"/>
                <w:lang w:eastAsia="en-AU"/>
              </w:rPr>
            </w:pPr>
            <w:r w:rsidRPr="0032003B">
              <w:t>1</w:t>
            </w:r>
          </w:p>
        </w:tc>
      </w:tr>
      <w:tr w:rsidR="0032003B" w:rsidRPr="0032003B" w14:paraId="3AB110AC"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440DF2FA" w14:textId="7E73A43A" w:rsidR="0032003B" w:rsidRPr="0032003B" w:rsidRDefault="0032003B" w:rsidP="00297FAD">
            <w:pPr>
              <w:pStyle w:val="Tabletext"/>
            </w:pPr>
            <w:r w:rsidRPr="0032003B">
              <w:t>Cot</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2F2BD2" w14:textId="357053CF" w:rsidR="0032003B" w:rsidRPr="0032003B" w:rsidRDefault="0032003B" w:rsidP="00297FAD">
            <w:pPr>
              <w:pStyle w:val="Tabletext"/>
            </w:pPr>
            <w:r w:rsidRPr="0032003B">
              <w:t>4</w:t>
            </w:r>
          </w:p>
        </w:tc>
      </w:tr>
      <w:tr w:rsidR="0032003B" w:rsidRPr="0032003B" w14:paraId="79DC541C"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6EB69E9B" w14:textId="314C0717" w:rsidR="0032003B" w:rsidRPr="0032003B" w:rsidRDefault="0032003B" w:rsidP="00297FAD">
            <w:pPr>
              <w:pStyle w:val="Tabletext"/>
            </w:pPr>
            <w:r w:rsidRPr="0032003B">
              <w:t xml:space="preserve">Folding cot </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EFA00F" w14:textId="4CB8BD7E" w:rsidR="0032003B" w:rsidRPr="0032003B" w:rsidRDefault="0032003B" w:rsidP="00297FAD">
            <w:pPr>
              <w:pStyle w:val="Tabletext"/>
            </w:pPr>
            <w:r w:rsidRPr="0032003B">
              <w:t>4</w:t>
            </w:r>
          </w:p>
        </w:tc>
      </w:tr>
      <w:tr w:rsidR="0032003B" w:rsidRPr="0032003B" w14:paraId="67AC2A04"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02987A2B" w14:textId="156D2D17" w:rsidR="0032003B" w:rsidRPr="0032003B" w:rsidRDefault="0032003B" w:rsidP="00297FAD">
            <w:pPr>
              <w:pStyle w:val="Tabletext"/>
              <w:rPr>
                <w:rFonts w:eastAsia="Times New Roman" w:cs="Arial"/>
                <w:b/>
                <w:bCs/>
                <w:color w:val="000000"/>
                <w:lang w:eastAsia="en-AU"/>
              </w:rPr>
            </w:pPr>
            <w:r w:rsidRPr="0032003B">
              <w:t>Infant bed</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936591" w14:textId="18679204" w:rsidR="0032003B" w:rsidRPr="0032003B" w:rsidRDefault="0032003B" w:rsidP="00297FAD">
            <w:pPr>
              <w:pStyle w:val="Tabletext"/>
              <w:rPr>
                <w:rFonts w:eastAsia="Times New Roman" w:cs="Arial"/>
                <w:b/>
                <w:bCs/>
                <w:color w:val="000000"/>
                <w:lang w:eastAsia="en-AU"/>
              </w:rPr>
            </w:pPr>
            <w:r w:rsidRPr="0032003B">
              <w:t>1</w:t>
            </w:r>
          </w:p>
        </w:tc>
      </w:tr>
      <w:tr w:rsidR="0032003B" w:rsidRPr="0032003B" w14:paraId="46E59BE7"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72AFB932" w14:textId="75BB136A" w:rsidR="0032003B" w:rsidRPr="0032003B" w:rsidRDefault="0032003B" w:rsidP="00297FAD">
            <w:pPr>
              <w:pStyle w:val="Tabletext"/>
              <w:rPr>
                <w:rFonts w:eastAsia="Times New Roman" w:cs="Arial"/>
                <w:b/>
                <w:bCs/>
                <w:color w:val="000000"/>
                <w:lang w:eastAsia="en-AU"/>
              </w:rPr>
            </w:pPr>
            <w:r w:rsidRPr="0032003B">
              <w:t>Inflatable bed</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60994A" w14:textId="24E4B242" w:rsidR="0032003B" w:rsidRPr="0032003B" w:rsidRDefault="0032003B" w:rsidP="00297FAD">
            <w:pPr>
              <w:pStyle w:val="Tabletext"/>
              <w:rPr>
                <w:rFonts w:eastAsia="Times New Roman" w:cs="Arial"/>
                <w:b/>
                <w:bCs/>
                <w:color w:val="000000"/>
                <w:lang w:eastAsia="en-AU"/>
              </w:rPr>
            </w:pPr>
            <w:r w:rsidRPr="0032003B">
              <w:t>1</w:t>
            </w:r>
          </w:p>
        </w:tc>
      </w:tr>
      <w:tr w:rsidR="0032003B" w:rsidRPr="0032003B" w14:paraId="19F62F9B"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3121A0F5" w14:textId="7497656A" w:rsidR="0032003B" w:rsidRPr="0032003B" w:rsidRDefault="0032003B" w:rsidP="00297FAD">
            <w:pPr>
              <w:pStyle w:val="Tabletext"/>
              <w:rPr>
                <w:rFonts w:eastAsia="Times New Roman" w:cs="Arial"/>
                <w:b/>
                <w:bCs/>
                <w:color w:val="000000"/>
                <w:lang w:eastAsia="en-AU"/>
              </w:rPr>
            </w:pPr>
            <w:r w:rsidRPr="0032003B">
              <w:t>Mattress</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289557" w14:textId="6F1A92BC" w:rsidR="0032003B" w:rsidRPr="0032003B" w:rsidRDefault="0032003B" w:rsidP="00297FAD">
            <w:pPr>
              <w:pStyle w:val="Tabletext"/>
              <w:rPr>
                <w:rFonts w:eastAsia="Times New Roman" w:cs="Arial"/>
                <w:b/>
                <w:bCs/>
                <w:color w:val="000000"/>
                <w:lang w:eastAsia="en-AU"/>
              </w:rPr>
            </w:pPr>
            <w:r w:rsidRPr="0032003B">
              <w:t>1</w:t>
            </w:r>
          </w:p>
        </w:tc>
      </w:tr>
      <w:tr w:rsidR="0032003B" w:rsidRPr="0032003B" w14:paraId="07628283" w14:textId="77777777" w:rsidTr="00B67BDB">
        <w:trPr>
          <w:trHeight w:val="20"/>
          <w:jc w:val="center"/>
        </w:trPr>
        <w:tc>
          <w:tcPr>
            <w:tcW w:w="67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47C80B6" w14:textId="7EA7484E" w:rsidR="0032003B" w:rsidRPr="0032003B" w:rsidRDefault="0032003B" w:rsidP="00297FAD">
            <w:pPr>
              <w:spacing w:before="0"/>
              <w:jc w:val="center"/>
              <w:rPr>
                <w:rFonts w:eastAsia="Times New Roman" w:cs="Arial"/>
                <w:b/>
                <w:bCs/>
                <w:color w:val="000000"/>
                <w:lang w:eastAsia="en-AU"/>
              </w:rPr>
            </w:pPr>
            <w:r w:rsidRPr="0032003B">
              <w:rPr>
                <w:rFonts w:eastAsia="Times New Roman" w:cs="Arial"/>
                <w:b/>
                <w:bCs/>
                <w:color w:val="000000"/>
                <w:lang w:eastAsia="en-AU"/>
              </w:rPr>
              <w:t>Inclined Sleep Products</w:t>
            </w:r>
          </w:p>
        </w:tc>
      </w:tr>
      <w:tr w:rsidR="0032003B" w:rsidRPr="0032003B" w14:paraId="1CA56DBB"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52C1EDEC" w14:textId="77777777" w:rsidR="0032003B" w:rsidRPr="00CE1B12" w:rsidRDefault="0032003B" w:rsidP="00CE1B12">
            <w:pPr>
              <w:pStyle w:val="Tabletext"/>
            </w:pPr>
            <w:r w:rsidRPr="00CE1B12">
              <w:t>Beanbag</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D14DE0" w14:textId="77777777" w:rsidR="0032003B" w:rsidRPr="00297FAD" w:rsidRDefault="0032003B" w:rsidP="00297FAD">
            <w:pPr>
              <w:pStyle w:val="Tabletext"/>
            </w:pPr>
            <w:r w:rsidRPr="00297FAD">
              <w:t>2</w:t>
            </w:r>
          </w:p>
        </w:tc>
      </w:tr>
      <w:tr w:rsidR="0032003B" w:rsidRPr="0032003B" w14:paraId="4870C635"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116F7362" w14:textId="77777777" w:rsidR="0032003B" w:rsidRPr="00CE1B12" w:rsidRDefault="0032003B" w:rsidP="00CE1B12">
            <w:pPr>
              <w:pStyle w:val="Tabletext"/>
            </w:pPr>
            <w:r w:rsidRPr="00CE1B12">
              <w:t>Bouncer</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AA1EE9" w14:textId="77777777" w:rsidR="0032003B" w:rsidRPr="00297FAD" w:rsidRDefault="0032003B" w:rsidP="00297FAD">
            <w:pPr>
              <w:pStyle w:val="Tabletext"/>
            </w:pPr>
            <w:r w:rsidRPr="00297FAD">
              <w:t>4</w:t>
            </w:r>
          </w:p>
        </w:tc>
      </w:tr>
      <w:tr w:rsidR="0032003B" w:rsidRPr="0032003B" w14:paraId="58286A69"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5E2AF8A9" w14:textId="77777777" w:rsidR="0032003B" w:rsidRPr="00CE1B12" w:rsidRDefault="0032003B" w:rsidP="00CE1B12">
            <w:pPr>
              <w:pStyle w:val="Tabletext"/>
            </w:pPr>
            <w:r w:rsidRPr="00CE1B12">
              <w:t>Cot elevated (tilted)</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192648E" w14:textId="77777777" w:rsidR="0032003B" w:rsidRPr="00297FAD" w:rsidRDefault="0032003B" w:rsidP="00297FAD">
            <w:pPr>
              <w:pStyle w:val="Tabletext"/>
            </w:pPr>
            <w:r w:rsidRPr="00297FAD">
              <w:t>5</w:t>
            </w:r>
          </w:p>
        </w:tc>
      </w:tr>
      <w:tr w:rsidR="0032003B" w:rsidRPr="0032003B" w14:paraId="57E5B92F"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2E5F5C72" w14:textId="77777777" w:rsidR="0032003B" w:rsidRPr="00CE1B12" w:rsidRDefault="0032003B" w:rsidP="00CE1B12">
            <w:pPr>
              <w:pStyle w:val="Tabletext"/>
            </w:pPr>
            <w:r w:rsidRPr="00CE1B12">
              <w:t>Hammock</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B6A4BAC" w14:textId="77777777" w:rsidR="0032003B" w:rsidRPr="00297FAD" w:rsidRDefault="0032003B" w:rsidP="00297FAD">
            <w:pPr>
              <w:pStyle w:val="Tabletext"/>
            </w:pPr>
            <w:r w:rsidRPr="00297FAD">
              <w:t>2</w:t>
            </w:r>
          </w:p>
        </w:tc>
      </w:tr>
      <w:tr w:rsidR="0032003B" w:rsidRPr="0032003B" w14:paraId="789638BB"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0DEDCFA5" w14:textId="77777777" w:rsidR="0032003B" w:rsidRPr="00CE1B12" w:rsidRDefault="0032003B" w:rsidP="00CE1B12">
            <w:pPr>
              <w:pStyle w:val="Tabletext"/>
            </w:pPr>
            <w:r w:rsidRPr="00CE1B12">
              <w:t>Infant swing/rocker</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743A177" w14:textId="77777777" w:rsidR="0032003B" w:rsidRPr="00297FAD" w:rsidRDefault="0032003B" w:rsidP="00297FAD">
            <w:pPr>
              <w:pStyle w:val="Tabletext"/>
            </w:pPr>
            <w:r w:rsidRPr="00297FAD">
              <w:t>9</w:t>
            </w:r>
          </w:p>
        </w:tc>
      </w:tr>
      <w:tr w:rsidR="00C371D4" w:rsidRPr="0032003B" w14:paraId="586F3277" w14:textId="77777777" w:rsidTr="00B67BDB">
        <w:trPr>
          <w:trHeight w:val="20"/>
          <w:jc w:val="center"/>
        </w:trPr>
        <w:tc>
          <w:tcPr>
            <w:tcW w:w="67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13059699" w14:textId="17E2ABA3" w:rsidR="00C371D4" w:rsidRPr="00297FAD" w:rsidRDefault="00C371D4" w:rsidP="00C371D4">
            <w:pPr>
              <w:spacing w:before="0"/>
              <w:jc w:val="center"/>
            </w:pPr>
            <w:r w:rsidRPr="00C371D4">
              <w:rPr>
                <w:rFonts w:eastAsia="Times New Roman" w:cs="Arial"/>
                <w:b/>
                <w:bCs/>
                <w:color w:val="000000"/>
                <w:lang w:eastAsia="en-AU"/>
              </w:rPr>
              <w:t xml:space="preserve">Out of scope </w:t>
            </w:r>
          </w:p>
        </w:tc>
      </w:tr>
      <w:tr w:rsidR="00C371D4" w:rsidRPr="0032003B" w14:paraId="0900D640"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07B80451" w14:textId="29197631" w:rsidR="00C371D4" w:rsidRPr="00CE1B12" w:rsidRDefault="00C371D4" w:rsidP="00C371D4">
            <w:pPr>
              <w:pStyle w:val="Tabletext"/>
            </w:pPr>
            <w:r w:rsidRPr="00CE1B12">
              <w:t>Anti-roll pillow or sleep positioner wedge</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8A4834" w14:textId="50D808F8" w:rsidR="00C371D4" w:rsidRPr="00297FAD" w:rsidRDefault="00C371D4" w:rsidP="00C371D4">
            <w:pPr>
              <w:pStyle w:val="Tabletext"/>
            </w:pPr>
            <w:r w:rsidRPr="00CE1B12">
              <w:t>14</w:t>
            </w:r>
          </w:p>
        </w:tc>
      </w:tr>
      <w:tr w:rsidR="00C371D4" w:rsidRPr="0032003B" w14:paraId="6E3DA73B"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tcPr>
          <w:p w14:paraId="317CFB8F" w14:textId="0ADD03C3" w:rsidR="00C371D4" w:rsidRPr="00CE1B12" w:rsidRDefault="00C371D4" w:rsidP="00C371D4">
            <w:pPr>
              <w:pStyle w:val="Tabletext"/>
            </w:pPr>
            <w:r w:rsidRPr="00CE1B12">
              <w:t>Propped on items (including pillows)</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CB59B8" w14:textId="5BE6185E" w:rsidR="00C371D4" w:rsidRPr="00297FAD" w:rsidRDefault="00C371D4" w:rsidP="00C371D4">
            <w:pPr>
              <w:pStyle w:val="Tabletext"/>
            </w:pPr>
            <w:r w:rsidRPr="00CE1B12">
              <w:t>112</w:t>
            </w:r>
          </w:p>
        </w:tc>
      </w:tr>
      <w:tr w:rsidR="0032003B" w:rsidRPr="0032003B" w14:paraId="6BCAF237" w14:textId="77777777" w:rsidTr="00B67BDB">
        <w:trPr>
          <w:trHeight w:val="20"/>
          <w:jc w:val="center"/>
        </w:trPr>
        <w:tc>
          <w:tcPr>
            <w:tcW w:w="43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E3CC" w:themeFill="accent6" w:themeFillTint="33"/>
            <w:noWrap/>
            <w:hideMark/>
          </w:tcPr>
          <w:p w14:paraId="219A13D5" w14:textId="77777777" w:rsidR="0032003B" w:rsidRPr="00297FAD" w:rsidRDefault="0032003B" w:rsidP="0032003B">
            <w:pPr>
              <w:pStyle w:val="Tabletext"/>
              <w:rPr>
                <w:b/>
                <w:bCs/>
                <w:sz w:val="22"/>
                <w:lang w:eastAsia="en-AU"/>
              </w:rPr>
            </w:pPr>
            <w:r w:rsidRPr="00297FAD">
              <w:rPr>
                <w:b/>
                <w:bCs/>
                <w:sz w:val="22"/>
                <w:lang w:eastAsia="en-AU"/>
              </w:rPr>
              <w:t xml:space="preserve">Total fatalities </w:t>
            </w:r>
          </w:p>
        </w:tc>
        <w:tc>
          <w:tcPr>
            <w:tcW w:w="240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E3CC" w:themeFill="accent6" w:themeFillTint="33"/>
            <w:hideMark/>
          </w:tcPr>
          <w:p w14:paraId="2EF79990" w14:textId="1624ABE2" w:rsidR="0032003B" w:rsidRPr="00297FAD" w:rsidRDefault="00C371D4" w:rsidP="0032003B">
            <w:pPr>
              <w:pStyle w:val="Tabletext"/>
              <w:rPr>
                <w:b/>
                <w:bCs/>
                <w:sz w:val="22"/>
                <w:lang w:eastAsia="en-AU"/>
              </w:rPr>
            </w:pPr>
            <w:r>
              <w:rPr>
                <w:b/>
                <w:bCs/>
                <w:sz w:val="22"/>
                <w:lang w:eastAsia="en-AU"/>
              </w:rPr>
              <w:t>160</w:t>
            </w:r>
          </w:p>
        </w:tc>
      </w:tr>
    </w:tbl>
    <w:p w14:paraId="1110E780" w14:textId="12ACFEB7" w:rsidR="00223C69" w:rsidRDefault="00C41EAF">
      <w:r>
        <w:t>There are a few things to note about this data:</w:t>
      </w:r>
    </w:p>
    <w:p w14:paraId="32893AB1" w14:textId="4017858C" w:rsidR="00C41EAF" w:rsidRDefault="00C41EAF" w:rsidP="00C41EAF">
      <w:pPr>
        <w:pStyle w:val="Bulletpoint"/>
      </w:pPr>
      <w:r>
        <w:t xml:space="preserve">A significant portion of these fatalities </w:t>
      </w:r>
      <w:r w:rsidR="00865B04">
        <w:t>are attributed to</w:t>
      </w:r>
      <w:r>
        <w:t xml:space="preserve"> anti-roll pillows</w:t>
      </w:r>
      <w:r w:rsidR="00944619">
        <w:t xml:space="preserve">, </w:t>
      </w:r>
      <w:r>
        <w:t>sleep positioners</w:t>
      </w:r>
      <w:r w:rsidR="00944619">
        <w:t xml:space="preserve"> and infants propped on items</w:t>
      </w:r>
      <w:r w:rsidR="00865B04">
        <w:t xml:space="preserve">. </w:t>
      </w:r>
      <w:r w:rsidR="00795844">
        <w:t>These</w:t>
      </w:r>
      <w:r>
        <w:t xml:space="preserve"> products </w:t>
      </w:r>
      <w:r w:rsidR="00944619">
        <w:t xml:space="preserve">and practices </w:t>
      </w:r>
      <w:r>
        <w:t>are not</w:t>
      </w:r>
      <w:r w:rsidR="00944619">
        <w:t xml:space="preserve"> </w:t>
      </w:r>
      <w:r>
        <w:t>included in the scope of this consultation</w:t>
      </w:r>
      <w:r w:rsidR="00B6615F">
        <w:t xml:space="preserve"> due to limitations in regulating sleep practices</w:t>
      </w:r>
      <w:r w:rsidR="00865B04">
        <w:t>. Therefore,</w:t>
      </w:r>
      <w:r w:rsidR="00B4264A">
        <w:t xml:space="preserve"> </w:t>
      </w:r>
      <w:r w:rsidR="00795844">
        <w:t xml:space="preserve">those figures </w:t>
      </w:r>
      <w:r w:rsidR="00B4264A">
        <w:t>were not included in the calculation of infant fatalities.</w:t>
      </w:r>
      <w:r w:rsidR="00795844">
        <w:t xml:space="preserve"> However, they </w:t>
      </w:r>
      <w:r>
        <w:t>highlight the risks associated with soft inclined surfaces</w:t>
      </w:r>
      <w:r w:rsidR="00B4264A">
        <w:t xml:space="preserve"> and </w:t>
      </w:r>
      <w:r w:rsidR="00B6615F">
        <w:t>would be addressed to some extent through an education campaign</w:t>
      </w:r>
      <w:r w:rsidR="00795844">
        <w:t xml:space="preserve"> and information standards</w:t>
      </w:r>
      <w:r w:rsidR="00B6615F">
        <w:t xml:space="preserve">. </w:t>
      </w:r>
    </w:p>
    <w:p w14:paraId="6DCD353D" w14:textId="22ED1122" w:rsidR="00944619" w:rsidRDefault="00944619" w:rsidP="00B8410C">
      <w:pPr>
        <w:pStyle w:val="Bulletpoint"/>
      </w:pPr>
      <w:r>
        <w:t xml:space="preserve">There have been a small number of fatalities associated with cots which may indicate the existing safety standards are effective. </w:t>
      </w:r>
    </w:p>
    <w:p w14:paraId="24337066" w14:textId="67DA18AA" w:rsidR="00D422D8" w:rsidRPr="00BA43B8" w:rsidRDefault="00D422D8" w:rsidP="00D422D8">
      <w:pPr>
        <w:shd w:val="clear" w:color="auto" w:fill="F2F2F2" w:themeFill="background1" w:themeFillShade="F2"/>
        <w:rPr>
          <w:b/>
          <w:bCs/>
          <w:szCs w:val="24"/>
        </w:rPr>
      </w:pPr>
      <w:r w:rsidRPr="00BA43B8">
        <w:rPr>
          <w:b/>
          <w:bCs/>
          <w:szCs w:val="24"/>
        </w:rPr>
        <w:t>Question</w:t>
      </w:r>
      <w:r>
        <w:rPr>
          <w:b/>
          <w:bCs/>
          <w:szCs w:val="24"/>
        </w:rPr>
        <w:t>s</w:t>
      </w:r>
    </w:p>
    <w:p w14:paraId="35009E90" w14:textId="7BB71B24" w:rsidR="00D422D8" w:rsidRPr="00BC2FEB" w:rsidRDefault="00BC2FEB" w:rsidP="00B8410C">
      <w:pPr>
        <w:shd w:val="clear" w:color="auto" w:fill="F2F2F2" w:themeFill="background1" w:themeFillShade="F2"/>
        <w:spacing w:after="240"/>
        <w:ind w:left="340" w:hanging="340"/>
        <w:rPr>
          <w:bCs/>
          <w:szCs w:val="24"/>
        </w:rPr>
      </w:pPr>
      <w:bookmarkStart w:id="39" w:name="_Hlk106637427"/>
      <w:r w:rsidRPr="002C2665">
        <w:rPr>
          <w:bCs/>
          <w:szCs w:val="24"/>
        </w:rPr>
        <w:t>2</w:t>
      </w:r>
      <w:r w:rsidR="00D422D8" w:rsidRPr="002C2665">
        <w:rPr>
          <w:bCs/>
          <w:szCs w:val="24"/>
        </w:rPr>
        <w:t xml:space="preserve">. </w:t>
      </w:r>
      <w:r w:rsidR="00B8410C">
        <w:rPr>
          <w:bCs/>
          <w:szCs w:val="24"/>
        </w:rPr>
        <w:tab/>
      </w:r>
      <w:r w:rsidR="00D422D8" w:rsidRPr="00BC2FEB">
        <w:rPr>
          <w:bCs/>
          <w:szCs w:val="24"/>
        </w:rPr>
        <w:t xml:space="preserve">Do you have any additional comments on the risks </w:t>
      </w:r>
      <w:r w:rsidR="00626BFB" w:rsidRPr="00BC2FEB">
        <w:rPr>
          <w:bCs/>
          <w:szCs w:val="24"/>
        </w:rPr>
        <w:t>associated with Infant Sleep Products</w:t>
      </w:r>
      <w:r w:rsidR="00D422D8" w:rsidRPr="00BC2FEB">
        <w:rPr>
          <w:bCs/>
          <w:szCs w:val="24"/>
        </w:rPr>
        <w:t>?</w:t>
      </w:r>
      <w:r w:rsidR="002F2FFC" w:rsidRPr="00BC2FEB">
        <w:rPr>
          <w:bCs/>
          <w:szCs w:val="24"/>
        </w:rPr>
        <w:t xml:space="preserve"> Please explain.</w:t>
      </w:r>
    </w:p>
    <w:p w14:paraId="11DD9E91" w14:textId="6E9C97FD" w:rsidR="007A3F64" w:rsidRDefault="00BC2FEB" w:rsidP="00795844">
      <w:pPr>
        <w:shd w:val="clear" w:color="auto" w:fill="F2F2F2" w:themeFill="background1" w:themeFillShade="F2"/>
        <w:spacing w:after="240"/>
        <w:ind w:left="340" w:hanging="340"/>
      </w:pPr>
      <w:r w:rsidRPr="00B8410C">
        <w:rPr>
          <w:bCs/>
          <w:szCs w:val="24"/>
        </w:rPr>
        <w:t>3</w:t>
      </w:r>
      <w:r w:rsidR="003565EB" w:rsidRPr="00B8410C">
        <w:rPr>
          <w:bCs/>
          <w:szCs w:val="24"/>
        </w:rPr>
        <w:t>.</w:t>
      </w:r>
      <w:r w:rsidR="003565EB" w:rsidRPr="00BC2FEB">
        <w:rPr>
          <w:bCs/>
          <w:szCs w:val="24"/>
        </w:rPr>
        <w:t xml:space="preserve"> </w:t>
      </w:r>
      <w:r w:rsidR="00B8410C">
        <w:rPr>
          <w:bCs/>
          <w:szCs w:val="24"/>
        </w:rPr>
        <w:tab/>
      </w:r>
      <w:r w:rsidR="003565EB" w:rsidRPr="00BC2FEB">
        <w:rPr>
          <w:bCs/>
          <w:szCs w:val="24"/>
        </w:rPr>
        <w:t xml:space="preserve">Do you have any data about </w:t>
      </w:r>
      <w:r w:rsidR="00795844">
        <w:rPr>
          <w:bCs/>
          <w:szCs w:val="24"/>
        </w:rPr>
        <w:t xml:space="preserve">injuries or </w:t>
      </w:r>
      <w:r w:rsidR="003565EB" w:rsidRPr="00BC2FEB">
        <w:rPr>
          <w:bCs/>
          <w:szCs w:val="24"/>
        </w:rPr>
        <w:t>fatalities caused by Infant Sleep Products</w:t>
      </w:r>
      <w:r w:rsidR="00626BFB" w:rsidRPr="00BC2FEB">
        <w:rPr>
          <w:bCs/>
          <w:szCs w:val="24"/>
        </w:rPr>
        <w:t>,</w:t>
      </w:r>
      <w:r w:rsidR="00424D25" w:rsidRPr="00BC2FEB">
        <w:rPr>
          <w:bCs/>
          <w:szCs w:val="24"/>
        </w:rPr>
        <w:t xml:space="preserve"> </w:t>
      </w:r>
      <w:r w:rsidR="003565EB" w:rsidRPr="00BC2FEB">
        <w:rPr>
          <w:bCs/>
          <w:szCs w:val="24"/>
        </w:rPr>
        <w:t>Inclined Sleep Products</w:t>
      </w:r>
      <w:r w:rsidR="003565EB">
        <w:rPr>
          <w:bCs/>
          <w:szCs w:val="24"/>
        </w:rPr>
        <w:t xml:space="preserve"> </w:t>
      </w:r>
      <w:r w:rsidR="00626BFB">
        <w:rPr>
          <w:bCs/>
          <w:szCs w:val="24"/>
        </w:rPr>
        <w:t xml:space="preserve">or </w:t>
      </w:r>
      <w:r w:rsidR="003565EB">
        <w:rPr>
          <w:bCs/>
          <w:szCs w:val="24"/>
        </w:rPr>
        <w:t>Inclined Non-Sleep Products</w:t>
      </w:r>
      <w:r w:rsidR="008F3161">
        <w:rPr>
          <w:bCs/>
          <w:szCs w:val="24"/>
        </w:rPr>
        <w:t xml:space="preserve">? If so, please provide it to the ACCC. </w:t>
      </w:r>
      <w:r w:rsidR="006F5E3D">
        <w:rPr>
          <w:bCs/>
          <w:szCs w:val="24"/>
        </w:rPr>
        <w:t xml:space="preserve"> </w:t>
      </w:r>
      <w:bookmarkEnd w:id="39"/>
    </w:p>
    <w:p w14:paraId="7B472789" w14:textId="4ADB012F" w:rsidR="00795844" w:rsidRDefault="00795844" w:rsidP="00795844">
      <w:pPr>
        <w:pStyle w:val="Numbered1"/>
      </w:pPr>
      <w:bookmarkStart w:id="40" w:name="_Toc110959458"/>
      <w:r>
        <w:t>Previous Stakeholder Consultation</w:t>
      </w:r>
      <w:bookmarkEnd w:id="40"/>
    </w:p>
    <w:p w14:paraId="7E18E395" w14:textId="510CAF66" w:rsidR="007A3F64" w:rsidRPr="0010459F" w:rsidRDefault="007A3F64" w:rsidP="007A3F64">
      <w:pPr>
        <w:pStyle w:val="Numbered11"/>
      </w:pPr>
      <w:bookmarkStart w:id="41" w:name="_Toc109039347"/>
      <w:bookmarkStart w:id="42" w:name="_Toc110959459"/>
      <w:r w:rsidRPr="0010459F">
        <w:t xml:space="preserve">Inclined </w:t>
      </w:r>
      <w:r w:rsidR="007E200D">
        <w:t>Sleep</w:t>
      </w:r>
      <w:r w:rsidR="00E22294">
        <w:t xml:space="preserve"> Products</w:t>
      </w:r>
      <w:r w:rsidR="007E200D">
        <w:t xml:space="preserve"> and</w:t>
      </w:r>
      <w:r w:rsidR="00803E63">
        <w:t xml:space="preserve"> Inclined</w:t>
      </w:r>
      <w:r w:rsidR="007E200D">
        <w:t xml:space="preserve"> Non-Sleep </w:t>
      </w:r>
      <w:r w:rsidRPr="0010459F">
        <w:t>Products</w:t>
      </w:r>
      <w:bookmarkEnd w:id="41"/>
      <w:bookmarkEnd w:id="42"/>
    </w:p>
    <w:p w14:paraId="74B61FF8" w14:textId="5AA59173" w:rsidR="007A3F64" w:rsidRDefault="007A3F64" w:rsidP="007A3F64">
      <w:r>
        <w:t xml:space="preserve">Previous consultation and responses to the </w:t>
      </w:r>
      <w:r w:rsidRPr="003D6B47">
        <w:t>Issues Paper ha</w:t>
      </w:r>
      <w:r>
        <w:t>ve</w:t>
      </w:r>
      <w:r w:rsidRPr="003D6B47">
        <w:t xml:space="preserve"> contributed to the ACCC’s consideration of this issue.</w:t>
      </w:r>
      <w:r>
        <w:t xml:space="preserve"> </w:t>
      </w:r>
      <w:r w:rsidR="00A41D30">
        <w:t>Stakeholder</w:t>
      </w:r>
      <w:r w:rsidR="00803E63">
        <w:t xml:space="preserve">s have </w:t>
      </w:r>
      <w:r>
        <w:t>expressed concerns with the risk</w:t>
      </w:r>
      <w:r w:rsidR="00F1647E">
        <w:t>s</w:t>
      </w:r>
      <w:r>
        <w:t xml:space="preserve"> associated with infants sleeping at an incline and th</w:t>
      </w:r>
      <w:r w:rsidR="00216BB0">
        <w:t xml:space="preserve">is risk </w:t>
      </w:r>
      <w:r w:rsidR="00A41D30">
        <w:t>in</w:t>
      </w:r>
      <w:r>
        <w:t xml:space="preserve"> the Australian market:</w:t>
      </w:r>
    </w:p>
    <w:p w14:paraId="09F56223" w14:textId="7B83FDC7" w:rsidR="007A3F64" w:rsidRPr="007A23C6" w:rsidRDefault="00F1647E" w:rsidP="0084211D">
      <w:pPr>
        <w:pStyle w:val="Bulletpoint"/>
      </w:pPr>
      <w:r>
        <w:t>M</w:t>
      </w:r>
      <w:r w:rsidR="007A3F64">
        <w:t xml:space="preserve">edical professionals agree </w:t>
      </w:r>
      <w:r w:rsidR="007A3F64" w:rsidRPr="007A23C6">
        <w:t>Inclined</w:t>
      </w:r>
      <w:r w:rsidR="007A23C6" w:rsidRPr="007A23C6">
        <w:t xml:space="preserve"> Sleep </w:t>
      </w:r>
      <w:r w:rsidR="004D208E">
        <w:t xml:space="preserve">Products </w:t>
      </w:r>
      <w:r w:rsidR="007A23C6" w:rsidRPr="007A23C6">
        <w:t xml:space="preserve">and </w:t>
      </w:r>
      <w:r>
        <w:t xml:space="preserve">Inclined </w:t>
      </w:r>
      <w:r w:rsidR="007A23C6" w:rsidRPr="007A23C6">
        <w:t>Non-Sleep</w:t>
      </w:r>
      <w:r w:rsidR="007A3F64" w:rsidRPr="007A23C6">
        <w:t xml:space="preserve"> Products should not be used for sleep because of the risk, noting Inclined Sleep Products contradict public health advice for infants to sleep on their backs on a firm, flat surface. </w:t>
      </w:r>
    </w:p>
    <w:p w14:paraId="25C281B4" w14:textId="26D55484" w:rsidR="007A3F64" w:rsidRDefault="007A3F64" w:rsidP="0084211D">
      <w:pPr>
        <w:pStyle w:val="Bulletpoint"/>
      </w:pPr>
      <w:r w:rsidRPr="007A23C6">
        <w:t xml:space="preserve">Industry stakeholders advised Inclined </w:t>
      </w:r>
      <w:r w:rsidR="007A23C6" w:rsidRPr="007A23C6">
        <w:t xml:space="preserve">Sleep </w:t>
      </w:r>
      <w:r w:rsidR="006B1134">
        <w:t xml:space="preserve">Products </w:t>
      </w:r>
      <w:r w:rsidR="007A23C6" w:rsidRPr="007A23C6">
        <w:t>and</w:t>
      </w:r>
      <w:r w:rsidR="00434B95">
        <w:t xml:space="preserve"> Inclined</w:t>
      </w:r>
      <w:r w:rsidR="007A23C6" w:rsidRPr="007A23C6">
        <w:t xml:space="preserve"> Non-Sleep </w:t>
      </w:r>
      <w:r w:rsidRPr="007A23C6">
        <w:t>Products</w:t>
      </w:r>
      <w:r>
        <w:t xml:space="preserve"> sold in Australia comply with the United States or European voluntary standards in the absence of an Australian Standard</w:t>
      </w:r>
      <w:r w:rsidR="009121AD">
        <w:t xml:space="preserve"> </w:t>
      </w:r>
      <w:r>
        <w:t xml:space="preserve">(see discussion of international standards below </w:t>
      </w:r>
      <w:r w:rsidR="007A23C6" w:rsidRPr="00B8410C">
        <w:t xml:space="preserve">on page </w:t>
      </w:r>
      <w:r w:rsidR="002D722C" w:rsidRPr="00B8410C">
        <w:t>8</w:t>
      </w:r>
      <w:r>
        <w:t>)</w:t>
      </w:r>
      <w:r w:rsidR="004A4007">
        <w:t>, some of which include limits on incline angle</w:t>
      </w:r>
      <w:r>
        <w:t xml:space="preserve">.    </w:t>
      </w:r>
    </w:p>
    <w:p w14:paraId="31F69794" w14:textId="1D7B4748" w:rsidR="007A3F64" w:rsidRDefault="00F1647E" w:rsidP="007A3F64">
      <w:r>
        <w:t xml:space="preserve">The ACCC received 27 submissions in response to the </w:t>
      </w:r>
      <w:hyperlink r:id="rId30" w:history="1">
        <w:r w:rsidR="007A3F64" w:rsidRPr="009F4615">
          <w:rPr>
            <w:rStyle w:val="Hyperlink"/>
          </w:rPr>
          <w:t>Issues Paper</w:t>
        </w:r>
      </w:hyperlink>
      <w:r>
        <w:rPr>
          <w:rStyle w:val="Hyperlink"/>
        </w:rPr>
        <w:t>,</w:t>
      </w:r>
      <w:r w:rsidR="007A3F64">
        <w:t xml:space="preserve"> f</w:t>
      </w:r>
      <w:r w:rsidR="00481406">
        <w:t>ro</w:t>
      </w:r>
      <w:r w:rsidR="007A3F64">
        <w:t xml:space="preserve">m a broad range of stakeholders including manufacturers, government agencies, international bodies, advocacy organisations, businesses, consumers and health professionals. </w:t>
      </w:r>
      <w:r w:rsidR="00126AA0">
        <w:t>Overall:</w:t>
      </w:r>
    </w:p>
    <w:p w14:paraId="1B27642C" w14:textId="087FB5C2" w:rsidR="007A3F64" w:rsidRDefault="007A3F64" w:rsidP="0084211D">
      <w:pPr>
        <w:pStyle w:val="Bulletpoint"/>
      </w:pPr>
      <w:r>
        <w:t xml:space="preserve">The majority of stakeholders were in favour of at least one form of regulatory intervention. </w:t>
      </w:r>
      <w:bookmarkStart w:id="43" w:name="_Hlk107412760"/>
      <w:r>
        <w:t>There was no significant stakeholder opposition to the options outlined in the Issues Paper</w:t>
      </w:r>
      <w:r w:rsidR="005770AE">
        <w:t xml:space="preserve"> being an interim</w:t>
      </w:r>
      <w:r w:rsidR="00C31983">
        <w:t xml:space="preserve"> or permanent ban, a mandatory information and/or </w:t>
      </w:r>
      <w:r w:rsidR="002D722C">
        <w:t xml:space="preserve">a </w:t>
      </w:r>
      <w:r w:rsidR="00C31983">
        <w:t>safety standard</w:t>
      </w:r>
      <w:r>
        <w:t xml:space="preserve">. </w:t>
      </w:r>
      <w:bookmarkEnd w:id="43"/>
    </w:p>
    <w:p w14:paraId="513AB20B" w14:textId="41BCDF0F" w:rsidR="007A3F64" w:rsidRDefault="00DD1103" w:rsidP="0084211D">
      <w:pPr>
        <w:pStyle w:val="Bulletpoint"/>
      </w:pPr>
      <w:bookmarkStart w:id="44" w:name="_Hlk107412795"/>
      <w:r>
        <w:t>There was a reasonable degree of consensus</w:t>
      </w:r>
      <w:r w:rsidR="00125D9A">
        <w:t xml:space="preserve"> supporting</w:t>
      </w:r>
      <w:r>
        <w:t xml:space="preserve"> </w:t>
      </w:r>
      <w:r w:rsidR="007A3F64">
        <w:t>banning Inclined Sleep</w:t>
      </w:r>
      <w:r w:rsidR="00C31983">
        <w:t xml:space="preserve"> </w:t>
      </w:r>
      <w:r w:rsidR="007A3F64">
        <w:t xml:space="preserve">Products and/or regulating </w:t>
      </w:r>
      <w:r w:rsidR="007A3F64" w:rsidRPr="00C31983">
        <w:t>Inclined</w:t>
      </w:r>
      <w:r w:rsidR="00C31983" w:rsidRPr="00C31983">
        <w:t xml:space="preserve"> Sleep </w:t>
      </w:r>
      <w:r w:rsidR="006B1134">
        <w:t xml:space="preserve">Products </w:t>
      </w:r>
      <w:r w:rsidR="00C31983" w:rsidRPr="00C31983">
        <w:t xml:space="preserve">and </w:t>
      </w:r>
      <w:r w:rsidR="00434B95">
        <w:t xml:space="preserve">Inclined </w:t>
      </w:r>
      <w:r w:rsidR="00C31983" w:rsidRPr="00C31983">
        <w:t>Non-Sleep</w:t>
      </w:r>
      <w:r w:rsidR="007A3F64" w:rsidRPr="00C31983">
        <w:t xml:space="preserve"> Products</w:t>
      </w:r>
      <w:r w:rsidR="007A3F64">
        <w:t xml:space="preserve"> by way of a mandatory safety standard.</w:t>
      </w:r>
      <w:r w:rsidR="0069369E">
        <w:t xml:space="preserve"> </w:t>
      </w:r>
      <w:r>
        <w:t>However, t</w:t>
      </w:r>
      <w:r w:rsidR="00453CEB">
        <w:t xml:space="preserve">here were differences </w:t>
      </w:r>
      <w:r w:rsidR="007E1313">
        <w:t>between</w:t>
      </w:r>
      <w:r>
        <w:t xml:space="preserve"> industry and consumer </w:t>
      </w:r>
      <w:r w:rsidR="00CB24E6">
        <w:t>groups</w:t>
      </w:r>
      <w:r w:rsidR="00453CEB">
        <w:t xml:space="preserve"> about </w:t>
      </w:r>
      <w:r w:rsidR="007E1313">
        <w:t>whether a potential regulation should apply to Inclined Sleep Products only, or to both Inclined Sleep Products and Inclined Non-Sleep Products.</w:t>
      </w:r>
      <w:r w:rsidR="00453CEB">
        <w:t xml:space="preserve"> </w:t>
      </w:r>
      <w:r w:rsidR="007A3F64">
        <w:t>Where stakeholders supported a mandatory safety standard, they did not tend to specify what design aspects should be included</w:t>
      </w:r>
      <w:bookmarkEnd w:id="44"/>
      <w:r w:rsidR="007A3F64">
        <w:t xml:space="preserve">. </w:t>
      </w:r>
    </w:p>
    <w:p w14:paraId="53CD2377" w14:textId="5F9D62EA" w:rsidR="007A3F64" w:rsidRDefault="00DE2386" w:rsidP="0084211D">
      <w:pPr>
        <w:pStyle w:val="Bulletpoint"/>
      </w:pPr>
      <w:r>
        <w:t>Several</w:t>
      </w:r>
      <w:r w:rsidR="007A3F64">
        <w:t xml:space="preserve"> stakeholders supported the use of labels/warnings against unsafe or unsupervised sleep </w:t>
      </w:r>
      <w:r w:rsidR="007A3F64" w:rsidRPr="00530A13">
        <w:t xml:space="preserve">in Inclined </w:t>
      </w:r>
      <w:r w:rsidR="00530A13" w:rsidRPr="00530A13">
        <w:t xml:space="preserve">Non-Sleep </w:t>
      </w:r>
      <w:r w:rsidR="007A3F64" w:rsidRPr="00530A13">
        <w:t>Products</w:t>
      </w:r>
      <w:r w:rsidR="007A3F64">
        <w:t>, in addition to a ban or mandatory safety standard</w:t>
      </w:r>
      <w:r w:rsidR="00530A13">
        <w:t xml:space="preserve"> for Inclined Sleep Products</w:t>
      </w:r>
      <w:r w:rsidR="007A3F64">
        <w:t>.</w:t>
      </w:r>
    </w:p>
    <w:p w14:paraId="7FD67367" w14:textId="2669A59D" w:rsidR="007A3F64" w:rsidRDefault="00CB24E6" w:rsidP="0084211D">
      <w:pPr>
        <w:pStyle w:val="Bulletpoint"/>
      </w:pPr>
      <w:r>
        <w:t xml:space="preserve">Most </w:t>
      </w:r>
      <w:r w:rsidR="007A3F64">
        <w:t xml:space="preserve">stakeholders supported </w:t>
      </w:r>
      <w:r w:rsidR="00833222">
        <w:t xml:space="preserve">increased </w:t>
      </w:r>
      <w:r w:rsidR="00C03080">
        <w:t xml:space="preserve">consumer </w:t>
      </w:r>
      <w:r w:rsidR="007A3F64">
        <w:t>education</w:t>
      </w:r>
      <w:r w:rsidR="00833222">
        <w:t>.</w:t>
      </w:r>
    </w:p>
    <w:p w14:paraId="61163B30" w14:textId="4F8C1FAE" w:rsidR="007A3F64" w:rsidRDefault="007A3F64" w:rsidP="007A3F64">
      <w:r>
        <w:t xml:space="preserve">Submissions are publicly available on the </w:t>
      </w:r>
      <w:hyperlink r:id="rId31" w:history="1">
        <w:r w:rsidRPr="005B443D">
          <w:rPr>
            <w:rStyle w:val="Hyperlink"/>
          </w:rPr>
          <w:t>ACCC Consultation Hub</w:t>
        </w:r>
      </w:hyperlink>
      <w:r>
        <w:t xml:space="preserve">. </w:t>
      </w:r>
    </w:p>
    <w:p w14:paraId="2CE99B8C" w14:textId="77777777" w:rsidR="007A3F64" w:rsidRDefault="007A3F64" w:rsidP="007A3F64">
      <w:pPr>
        <w:pStyle w:val="Numbered11"/>
      </w:pPr>
      <w:bookmarkStart w:id="45" w:name="_Toc109039348"/>
      <w:bookmarkStart w:id="46" w:name="_Toc110959460"/>
      <w:r>
        <w:t>Household cots</w:t>
      </w:r>
      <w:bookmarkEnd w:id="45"/>
      <w:bookmarkEnd w:id="46"/>
    </w:p>
    <w:p w14:paraId="29C60E3D" w14:textId="595D7EF8" w:rsidR="00A87DC5" w:rsidRDefault="00674F2C" w:rsidP="00A87DC5">
      <w:r>
        <w:t xml:space="preserve">The Household Cots </w:t>
      </w:r>
      <w:r w:rsidR="00C61272">
        <w:t xml:space="preserve">Mandatory </w:t>
      </w:r>
      <w:r>
        <w:t xml:space="preserve">Standard </w:t>
      </w:r>
      <w:r w:rsidR="001F18DA">
        <w:t>is</w:t>
      </w:r>
      <w:r w:rsidR="002A7B40">
        <w:t xml:space="preserve"> </w:t>
      </w:r>
      <w:r w:rsidR="00A87DC5" w:rsidRPr="00A87DC5">
        <w:t>based on the</w:t>
      </w:r>
      <w:r w:rsidR="00444191">
        <w:t xml:space="preserve"> 2003</w:t>
      </w:r>
      <w:r w:rsidR="00A87DC5" w:rsidRPr="00A87DC5">
        <w:t xml:space="preserve"> voluntary Australian standard for </w:t>
      </w:r>
      <w:r w:rsidR="00444191">
        <w:t>household cots</w:t>
      </w:r>
      <w:r w:rsidR="00A87DC5" w:rsidRPr="00A87DC5">
        <w:t xml:space="preserve"> (AS/NZS 2172:2003 Cots for household use - safety requirements</w:t>
      </w:r>
      <w:r w:rsidR="0037230D">
        <w:t>)</w:t>
      </w:r>
      <w:r w:rsidR="00374CB9">
        <w:t xml:space="preserve"> (</w:t>
      </w:r>
      <w:r w:rsidR="00D950C6" w:rsidRPr="002F2FFC">
        <w:t xml:space="preserve">Household Cots </w:t>
      </w:r>
      <w:r w:rsidR="00274872" w:rsidRPr="002F2FFC">
        <w:t xml:space="preserve">Voluntary </w:t>
      </w:r>
      <w:r w:rsidR="00D950C6" w:rsidRPr="002F2FFC">
        <w:t>Standard</w:t>
      </w:r>
      <w:r w:rsidR="00374CB9">
        <w:t>)</w:t>
      </w:r>
      <w:r w:rsidR="00A87DC5" w:rsidRPr="00A87DC5">
        <w:t>.</w:t>
      </w:r>
      <w:r w:rsidR="00A87DC5">
        <w:t xml:space="preserve"> </w:t>
      </w:r>
    </w:p>
    <w:p w14:paraId="7036C9C2" w14:textId="46BFDBDC" w:rsidR="00346172" w:rsidRDefault="0032121A" w:rsidP="00346172">
      <w:r>
        <w:t xml:space="preserve">However, since the establishment of the Household Cots </w:t>
      </w:r>
      <w:r w:rsidR="00BE5BFA">
        <w:t xml:space="preserve">Mandatory </w:t>
      </w:r>
      <w:r>
        <w:t>Standard in</w:t>
      </w:r>
      <w:r w:rsidR="007D6796">
        <w:t xml:space="preserve"> 2005</w:t>
      </w:r>
      <w:r>
        <w:t xml:space="preserve"> the Household Cots Voluntary Standard </w:t>
      </w:r>
      <w:r w:rsidR="00EF15F4">
        <w:t>was</w:t>
      </w:r>
      <w:r>
        <w:t xml:space="preserve"> updated i</w:t>
      </w:r>
      <w:r w:rsidR="0002410F">
        <w:t>n 2010 and 2013</w:t>
      </w:r>
      <w:r>
        <w:t xml:space="preserve">. These updates included </w:t>
      </w:r>
      <w:r w:rsidR="0002410F">
        <w:t>new</w:t>
      </w:r>
      <w:r w:rsidR="0002410F" w:rsidRPr="00346172">
        <w:t xml:space="preserve"> </w:t>
      </w:r>
      <w:r w:rsidR="00444191" w:rsidRPr="00346172">
        <w:t>test procedures for the strength and integrity of cots with drop sides and</w:t>
      </w:r>
      <w:r w:rsidR="0002410F">
        <w:t xml:space="preserve"> </w:t>
      </w:r>
      <w:r w:rsidR="00444191" w:rsidRPr="00346172">
        <w:t xml:space="preserve">requirements for mattress </w:t>
      </w:r>
      <w:r w:rsidR="00501384">
        <w:t>firmness</w:t>
      </w:r>
      <w:r w:rsidR="00444191" w:rsidRPr="00346172">
        <w:t>.</w:t>
      </w:r>
      <w:r w:rsidR="00444191">
        <w:t xml:space="preserve"> </w:t>
      </w:r>
      <w:r w:rsidR="00070EAC">
        <w:t>As</w:t>
      </w:r>
      <w:r>
        <w:t xml:space="preserve"> </w:t>
      </w:r>
      <w:r w:rsidR="00501384">
        <w:t>t</w:t>
      </w:r>
      <w:r w:rsidR="00346172" w:rsidRPr="00346172">
        <w:t>he</w:t>
      </w:r>
      <w:r w:rsidR="00A9140C">
        <w:t xml:space="preserve"> </w:t>
      </w:r>
      <w:r w:rsidR="00501384">
        <w:t>Household Cots</w:t>
      </w:r>
      <w:r w:rsidR="00BE5BFA">
        <w:t xml:space="preserve"> Mandatory</w:t>
      </w:r>
      <w:r w:rsidR="00501384">
        <w:t xml:space="preserve"> </w:t>
      </w:r>
      <w:r w:rsidR="0002410F">
        <w:t>S</w:t>
      </w:r>
      <w:r w:rsidR="00501384">
        <w:t>tandard</w:t>
      </w:r>
      <w:r w:rsidR="00F331B5">
        <w:t xml:space="preserve"> still references the 2003 </w:t>
      </w:r>
      <w:r w:rsidR="00674F2C">
        <w:t xml:space="preserve">version </w:t>
      </w:r>
      <w:r>
        <w:t>it</w:t>
      </w:r>
      <w:r w:rsidR="00F331B5">
        <w:t xml:space="preserve"> </w:t>
      </w:r>
      <w:r w:rsidR="00501384">
        <w:t>does not capture th</w:t>
      </w:r>
      <w:r w:rsidR="00F331B5">
        <w:t>ese</w:t>
      </w:r>
      <w:r w:rsidR="00501384">
        <w:t xml:space="preserve"> requirement</w:t>
      </w:r>
      <w:r w:rsidR="00F331B5">
        <w:t>s</w:t>
      </w:r>
      <w:r w:rsidR="00501384">
        <w:t xml:space="preserve">. </w:t>
      </w:r>
    </w:p>
    <w:p w14:paraId="2E75C0A9" w14:textId="3A2EE5A4" w:rsidR="001929D1" w:rsidRDefault="003A52F2" w:rsidP="00C86A4A">
      <w:pPr>
        <w:keepNext/>
      </w:pPr>
      <w:r w:rsidRPr="00011B5B">
        <w:t xml:space="preserve">Public </w:t>
      </w:r>
      <w:r w:rsidR="007A3F64" w:rsidRPr="00011B5B">
        <w:t xml:space="preserve">consultations on the Household </w:t>
      </w:r>
      <w:r w:rsidR="00011B5B">
        <w:t>C</w:t>
      </w:r>
      <w:r w:rsidR="007A3F64" w:rsidRPr="00011B5B">
        <w:t>ot</w:t>
      </w:r>
      <w:r w:rsidR="001929D1">
        <w:t>s</w:t>
      </w:r>
      <w:r w:rsidR="007A3F64" w:rsidRPr="00011B5B">
        <w:t xml:space="preserve"> </w:t>
      </w:r>
      <w:r w:rsidR="0002410F">
        <w:t xml:space="preserve">Mandatory </w:t>
      </w:r>
      <w:r w:rsidR="007A3F64" w:rsidRPr="00011B5B">
        <w:t>Standard were conducted in 2014 and 2016</w:t>
      </w:r>
      <w:r w:rsidR="001929D1">
        <w:t>:</w:t>
      </w:r>
    </w:p>
    <w:p w14:paraId="56514BDB" w14:textId="59E12BDB" w:rsidR="00062133" w:rsidRDefault="001929D1" w:rsidP="00062133">
      <w:pPr>
        <w:pStyle w:val="Bulletpoint"/>
      </w:pPr>
      <w:r>
        <w:t>In 2014</w:t>
      </w:r>
      <w:r w:rsidR="002D722C">
        <w:t>,</w:t>
      </w:r>
      <w:r>
        <w:t xml:space="preserve"> s</w:t>
      </w:r>
      <w:r w:rsidR="007A3F64" w:rsidRPr="00011B5B">
        <w:t>takeholder responses support</w:t>
      </w:r>
      <w:r w:rsidR="004C7E05">
        <w:t>ed inclusion of</w:t>
      </w:r>
      <w:r w:rsidR="007A3F64" w:rsidRPr="00011B5B">
        <w:t xml:space="preserve"> the voluntary standard for mattress </w:t>
      </w:r>
      <w:r w:rsidR="007A3F64" w:rsidRPr="00274872">
        <w:t>firmness</w:t>
      </w:r>
      <w:r w:rsidR="00274872" w:rsidRPr="00274872">
        <w:t xml:space="preserve"> (AS/NZS 8811.1:2013 Methods of testing infant products, Method 1: Sleep Surfaces – Test for firmness)</w:t>
      </w:r>
      <w:r w:rsidR="004C7E05">
        <w:t xml:space="preserve"> (</w:t>
      </w:r>
      <w:r w:rsidR="004C7E05" w:rsidRPr="007D6796">
        <w:t xml:space="preserve">Voluntary </w:t>
      </w:r>
      <w:r w:rsidR="0032121A" w:rsidRPr="007D6796">
        <w:t xml:space="preserve">Infant </w:t>
      </w:r>
      <w:r w:rsidR="004C7E05" w:rsidRPr="007D6796">
        <w:t>Mattress Standard</w:t>
      </w:r>
      <w:r w:rsidR="004C7E05">
        <w:t>), which requires mattresses to meet a minimum rigidity</w:t>
      </w:r>
      <w:r w:rsidR="000F0790">
        <w:t xml:space="preserve"> by assessing whether infant sleep surfaces exhibit excessive compression when subject to constant applied force. </w:t>
      </w:r>
      <w:r w:rsidR="004574FD">
        <w:t xml:space="preserve">This is incorporated in the 2013 version of the Household Cots Voluntary Standard. </w:t>
      </w:r>
      <w:r w:rsidR="004C7E05">
        <w:t xml:space="preserve">Stakeholders </w:t>
      </w:r>
      <w:r w:rsidR="00EE5EA1" w:rsidRPr="00EE5EA1">
        <w:t>support</w:t>
      </w:r>
      <w:r w:rsidR="00484027">
        <w:t>ed</w:t>
      </w:r>
      <w:r w:rsidR="00EE5EA1">
        <w:t xml:space="preserve"> </w:t>
      </w:r>
      <w:r w:rsidR="006F0BDB">
        <w:t>th</w:t>
      </w:r>
      <w:r w:rsidR="00062133">
        <w:t>e</w:t>
      </w:r>
      <w:r w:rsidR="0032121A">
        <w:t xml:space="preserve"> inclusion of the</w:t>
      </w:r>
      <w:r w:rsidR="00062133">
        <w:t xml:space="preserve"> Voluntary </w:t>
      </w:r>
      <w:r w:rsidR="0032121A">
        <w:t xml:space="preserve">Infant </w:t>
      </w:r>
      <w:r w:rsidR="00062133">
        <w:t>Mattress Standard</w:t>
      </w:r>
      <w:r w:rsidR="006F0BDB">
        <w:t xml:space="preserve"> </w:t>
      </w:r>
      <w:r w:rsidR="005770AE">
        <w:t xml:space="preserve">to apply to </w:t>
      </w:r>
      <w:r w:rsidR="006F0BDB">
        <w:t>all infant mattresses</w:t>
      </w:r>
      <w:r w:rsidR="00EE5EA1" w:rsidRPr="00EE5EA1">
        <w:t xml:space="preserve"> supplied </w:t>
      </w:r>
      <w:r w:rsidR="006F0BDB">
        <w:t xml:space="preserve">either </w:t>
      </w:r>
      <w:r w:rsidR="00EE5EA1" w:rsidRPr="00EE5EA1">
        <w:t>with the cot</w:t>
      </w:r>
      <w:r w:rsidR="006F0BDB">
        <w:t xml:space="preserve"> or </w:t>
      </w:r>
      <w:r w:rsidR="002A7B40">
        <w:t>mattresses supplied separately</w:t>
      </w:r>
      <w:r w:rsidR="005770AE">
        <w:t xml:space="preserve">, </w:t>
      </w:r>
      <w:r w:rsidR="00056FB8">
        <w:t>m</w:t>
      </w:r>
      <w:r w:rsidR="002A7B40">
        <w:t>attresses in folding cots and other sleep products where a mattress is included.</w:t>
      </w:r>
      <w:r w:rsidR="00F31C2B">
        <w:t xml:space="preserve"> </w:t>
      </w:r>
    </w:p>
    <w:p w14:paraId="28270866" w14:textId="61E694C7" w:rsidR="006F0BDB" w:rsidRDefault="006F0BDB" w:rsidP="00062133">
      <w:pPr>
        <w:pStyle w:val="Bulletpoint"/>
      </w:pPr>
      <w:r>
        <w:t xml:space="preserve">In 2016, stakeholder responses reinforced support for inclusion of the Voluntary </w:t>
      </w:r>
      <w:r w:rsidR="0032121A">
        <w:t xml:space="preserve">Infant </w:t>
      </w:r>
      <w:r>
        <w:t>Mattress Standard and for the Household Cots</w:t>
      </w:r>
      <w:r w:rsidR="00377596">
        <w:t xml:space="preserve"> </w:t>
      </w:r>
      <w:r w:rsidR="00BE5BFA">
        <w:t xml:space="preserve">Mandatory </w:t>
      </w:r>
      <w:r>
        <w:t xml:space="preserve">Standard to reflect the </w:t>
      </w:r>
      <w:r w:rsidR="006A0A0A">
        <w:t xml:space="preserve">current version of the </w:t>
      </w:r>
      <w:r w:rsidR="00377596">
        <w:t>voluntary standards</w:t>
      </w:r>
      <w:r w:rsidR="006A0A0A">
        <w:t xml:space="preserve">. </w:t>
      </w:r>
    </w:p>
    <w:p w14:paraId="5884A113" w14:textId="0ED2AEFB" w:rsidR="007A3F64" w:rsidRDefault="00346172" w:rsidP="007A3F64">
      <w:pPr>
        <w:rPr>
          <w:rFonts w:eastAsia="Times New Roman" w:cs="Arial"/>
        </w:rPr>
      </w:pPr>
      <w:r w:rsidRPr="00062133">
        <w:rPr>
          <w:rFonts w:eastAsia="Times New Roman" w:cs="Arial"/>
        </w:rPr>
        <w:t xml:space="preserve">However, </w:t>
      </w:r>
      <w:r w:rsidR="006F1E7A" w:rsidRPr="00062133">
        <w:rPr>
          <w:rFonts w:eastAsia="Times New Roman" w:cs="Arial"/>
        </w:rPr>
        <w:t xml:space="preserve">revisions to the Household Cots </w:t>
      </w:r>
      <w:r w:rsidR="00BE5BFA">
        <w:rPr>
          <w:rFonts w:eastAsia="Times New Roman" w:cs="Arial"/>
        </w:rPr>
        <w:t xml:space="preserve">Mandatory </w:t>
      </w:r>
      <w:r w:rsidR="006F1E7A" w:rsidRPr="00062133">
        <w:rPr>
          <w:rFonts w:eastAsia="Times New Roman" w:cs="Arial"/>
        </w:rPr>
        <w:t>Standard were delayed</w:t>
      </w:r>
      <w:r w:rsidR="002D722C">
        <w:rPr>
          <w:rFonts w:eastAsia="Times New Roman" w:cs="Arial"/>
        </w:rPr>
        <w:t>.</w:t>
      </w:r>
      <w:r w:rsidR="00070EAC">
        <w:rPr>
          <w:rFonts w:eastAsia="Times New Roman" w:cs="Arial"/>
        </w:rPr>
        <w:t xml:space="preserve"> As a result</w:t>
      </w:r>
      <w:r w:rsidR="00F315CB">
        <w:rPr>
          <w:rFonts w:eastAsia="Times New Roman" w:cs="Arial"/>
        </w:rPr>
        <w:t>,</w:t>
      </w:r>
      <w:r w:rsidR="00070EAC">
        <w:rPr>
          <w:rFonts w:eastAsia="Times New Roman" w:cs="Arial"/>
        </w:rPr>
        <w:t xml:space="preserve"> the options outlined below</w:t>
      </w:r>
      <w:r w:rsidR="005770AE">
        <w:rPr>
          <w:rFonts w:eastAsia="Times New Roman" w:cs="Arial"/>
        </w:rPr>
        <w:t xml:space="preserve"> </w:t>
      </w:r>
      <w:r w:rsidR="00126AA0">
        <w:rPr>
          <w:rFonts w:eastAsia="Times New Roman" w:cs="Arial"/>
        </w:rPr>
        <w:t>in Part 5</w:t>
      </w:r>
      <w:r w:rsidR="00070EAC">
        <w:rPr>
          <w:rFonts w:eastAsia="Times New Roman" w:cs="Arial"/>
        </w:rPr>
        <w:t xml:space="preserve"> seek to consult on updates to the Household Cots Mandatory Standard, whether that is done as part of a holistic sleep standard or as a separate process. </w:t>
      </w:r>
      <w:r w:rsidR="006F1E7A" w:rsidRPr="00062133">
        <w:rPr>
          <w:rFonts w:eastAsia="Times New Roman" w:cs="Arial"/>
        </w:rPr>
        <w:t xml:space="preserve"> </w:t>
      </w:r>
    </w:p>
    <w:p w14:paraId="4E793B7F" w14:textId="4AC2D76D" w:rsidR="007A3F64" w:rsidRPr="00F34063" w:rsidRDefault="007A3F64" w:rsidP="007A3F64">
      <w:pPr>
        <w:pStyle w:val="Numbered11"/>
      </w:pPr>
      <w:bookmarkStart w:id="47" w:name="_Toc109039349"/>
      <w:bookmarkStart w:id="48" w:name="_Toc110959461"/>
      <w:r>
        <w:t>Folding cots</w:t>
      </w:r>
      <w:bookmarkEnd w:id="47"/>
      <w:bookmarkEnd w:id="48"/>
      <w:r w:rsidR="00F31C2B">
        <w:t xml:space="preserve"> </w:t>
      </w:r>
    </w:p>
    <w:p w14:paraId="60606331" w14:textId="72EA09E6" w:rsidR="00465432" w:rsidRDefault="00674F2C" w:rsidP="00465432">
      <w:r>
        <w:t xml:space="preserve">The Folding Cots </w:t>
      </w:r>
      <w:r w:rsidR="00BE5BFA">
        <w:t xml:space="preserve">Mandatory </w:t>
      </w:r>
      <w:r>
        <w:t xml:space="preserve">Standard </w:t>
      </w:r>
      <w:r w:rsidR="00E72E21">
        <w:t>is</w:t>
      </w:r>
      <w:r w:rsidR="00465432">
        <w:t xml:space="preserve"> based on the </w:t>
      </w:r>
      <w:r w:rsidR="00E72E21">
        <w:t xml:space="preserve">1999 </w:t>
      </w:r>
      <w:r w:rsidR="00465432">
        <w:t xml:space="preserve">voluntary Australian standard for </w:t>
      </w:r>
      <w:r w:rsidR="00070EAC">
        <w:t>folding cots</w:t>
      </w:r>
      <w:r w:rsidR="00465432">
        <w:t xml:space="preserve"> (AS/NZS 2195:1999 Folding cots – Safety requirements)</w:t>
      </w:r>
      <w:r w:rsidR="00374CB9">
        <w:t xml:space="preserve"> (</w:t>
      </w:r>
      <w:r w:rsidR="00374CB9" w:rsidRPr="002F2FFC">
        <w:t xml:space="preserve">Folding Cots </w:t>
      </w:r>
      <w:r w:rsidR="00B346E3" w:rsidRPr="002F2FFC">
        <w:t xml:space="preserve">Voluntary </w:t>
      </w:r>
      <w:r w:rsidR="00374CB9" w:rsidRPr="002F2FFC">
        <w:t>Standard</w:t>
      </w:r>
      <w:r w:rsidR="00374CB9">
        <w:t>)</w:t>
      </w:r>
      <w:r w:rsidR="00E72E21">
        <w:t>.</w:t>
      </w:r>
    </w:p>
    <w:p w14:paraId="415A5487" w14:textId="4EEC0B92" w:rsidR="005A643B" w:rsidRPr="005A643B" w:rsidRDefault="00A96B0D" w:rsidP="007A3F64">
      <w:pPr>
        <w:rPr>
          <w:rFonts w:eastAsia="Times New Roman" w:cs="Arial"/>
        </w:rPr>
      </w:pPr>
      <w:r>
        <w:rPr>
          <w:rFonts w:eastAsia="Times New Roman" w:cs="Arial"/>
        </w:rPr>
        <w:t>Sin</w:t>
      </w:r>
      <w:r w:rsidR="000F0B34">
        <w:rPr>
          <w:rFonts w:eastAsia="Times New Roman" w:cs="Arial"/>
        </w:rPr>
        <w:t>c</w:t>
      </w:r>
      <w:r>
        <w:rPr>
          <w:rFonts w:eastAsia="Times New Roman" w:cs="Arial"/>
        </w:rPr>
        <w:t xml:space="preserve">e the introduction of the Folding Cots Mandatory Standard, the Folding Cots Voluntary Standard was updated in 2010 </w:t>
      </w:r>
      <w:r w:rsidR="005A643B" w:rsidRPr="005A643B">
        <w:rPr>
          <w:rFonts w:eastAsia="Times New Roman" w:cs="Arial"/>
        </w:rPr>
        <w:t>to</w:t>
      </w:r>
      <w:r w:rsidR="00924F6A" w:rsidRPr="005A643B">
        <w:rPr>
          <w:rFonts w:eastAsia="Times New Roman" w:cs="Arial"/>
        </w:rPr>
        <w:t xml:space="preserve"> include requirements for folding cots to have breathable </w:t>
      </w:r>
      <w:r w:rsidR="00A430AF">
        <w:rPr>
          <w:rFonts w:eastAsia="Times New Roman" w:cs="Arial"/>
        </w:rPr>
        <w:t>materials, including the mattress and flexible sides</w:t>
      </w:r>
      <w:r w:rsidR="00924F6A" w:rsidRPr="005A643B">
        <w:rPr>
          <w:rFonts w:eastAsia="Times New Roman" w:cs="Arial"/>
        </w:rPr>
        <w:t xml:space="preserve">. </w:t>
      </w:r>
      <w:r w:rsidR="00E72E21">
        <w:rPr>
          <w:rFonts w:eastAsia="Times New Roman" w:cs="Arial"/>
        </w:rPr>
        <w:t xml:space="preserve">However, </w:t>
      </w:r>
      <w:r>
        <w:rPr>
          <w:rFonts w:eastAsia="Times New Roman" w:cs="Arial"/>
        </w:rPr>
        <w:t>a</w:t>
      </w:r>
      <w:r>
        <w:t>s t</w:t>
      </w:r>
      <w:r w:rsidRPr="00346172">
        <w:t>he</w:t>
      </w:r>
      <w:r>
        <w:t xml:space="preserve"> Folding Cots Mandatory Standard still references the 1999 version it does not capture these requirements. </w:t>
      </w:r>
    </w:p>
    <w:p w14:paraId="47B9950B" w14:textId="77777777" w:rsidR="007A1723" w:rsidRDefault="005A643B" w:rsidP="007A1723">
      <w:pPr>
        <w:rPr>
          <w:rFonts w:eastAsia="Times New Roman" w:cs="Arial"/>
        </w:rPr>
      </w:pPr>
      <w:r w:rsidRPr="005A643B">
        <w:rPr>
          <w:rFonts w:eastAsia="Times New Roman" w:cs="Arial"/>
        </w:rPr>
        <w:t>T</w:t>
      </w:r>
      <w:r w:rsidR="00924F6A" w:rsidRPr="005A643B">
        <w:rPr>
          <w:rFonts w:eastAsia="Times New Roman" w:cs="Arial"/>
        </w:rPr>
        <w:t xml:space="preserve">here has been no public consultation on the </w:t>
      </w:r>
      <w:r w:rsidR="003D6127">
        <w:rPr>
          <w:rFonts w:eastAsia="Times New Roman" w:cs="Arial"/>
        </w:rPr>
        <w:t xml:space="preserve">Folding Cots </w:t>
      </w:r>
      <w:r w:rsidR="00A96B0D">
        <w:rPr>
          <w:rFonts w:eastAsia="Times New Roman" w:cs="Arial"/>
        </w:rPr>
        <w:t xml:space="preserve">Mandatory </w:t>
      </w:r>
      <w:r w:rsidR="003D6127">
        <w:rPr>
          <w:rFonts w:eastAsia="Times New Roman" w:cs="Arial"/>
        </w:rPr>
        <w:t>Standa</w:t>
      </w:r>
      <w:r w:rsidR="00062133">
        <w:rPr>
          <w:rFonts w:eastAsia="Times New Roman" w:cs="Arial"/>
        </w:rPr>
        <w:t>rd.</w:t>
      </w:r>
      <w:r w:rsidR="00070EAC" w:rsidRPr="00070EAC">
        <w:rPr>
          <w:rFonts w:eastAsia="Times New Roman" w:cs="Arial"/>
        </w:rPr>
        <w:t xml:space="preserve"> </w:t>
      </w:r>
      <w:r w:rsidR="00070EAC">
        <w:rPr>
          <w:rFonts w:eastAsia="Times New Roman" w:cs="Arial"/>
        </w:rPr>
        <w:t>As a result</w:t>
      </w:r>
      <w:r w:rsidR="00F315CB">
        <w:rPr>
          <w:rFonts w:eastAsia="Times New Roman" w:cs="Arial"/>
        </w:rPr>
        <w:t>,</w:t>
      </w:r>
      <w:r w:rsidR="00070EAC">
        <w:rPr>
          <w:rFonts w:eastAsia="Times New Roman" w:cs="Arial"/>
        </w:rPr>
        <w:t xml:space="preserve"> the options outlined below </w:t>
      </w:r>
      <w:r w:rsidR="00126AA0">
        <w:rPr>
          <w:rFonts w:eastAsia="Times New Roman" w:cs="Arial"/>
        </w:rPr>
        <w:t>in Part 5</w:t>
      </w:r>
      <w:r w:rsidR="005770AE">
        <w:rPr>
          <w:rFonts w:eastAsia="Times New Roman" w:cs="Arial"/>
        </w:rPr>
        <w:t xml:space="preserve"> </w:t>
      </w:r>
      <w:r w:rsidR="00070EAC">
        <w:rPr>
          <w:rFonts w:eastAsia="Times New Roman" w:cs="Arial"/>
        </w:rPr>
        <w:t xml:space="preserve">seek to consult on updates to the Folding Cots Mandatory Standard, whether that is done as part of a holistic </w:t>
      </w:r>
      <w:r w:rsidR="00126AA0">
        <w:rPr>
          <w:rFonts w:eastAsia="Times New Roman" w:cs="Arial"/>
        </w:rPr>
        <w:t xml:space="preserve">standard for Infant Sleep Products </w:t>
      </w:r>
      <w:r w:rsidR="00070EAC">
        <w:rPr>
          <w:rFonts w:eastAsia="Times New Roman" w:cs="Arial"/>
        </w:rPr>
        <w:t>or as a separate process.</w:t>
      </w:r>
      <w:bookmarkStart w:id="49" w:name="_Toc110959462"/>
    </w:p>
    <w:p w14:paraId="1B319A57" w14:textId="76F068D8" w:rsidR="004E684F" w:rsidRDefault="00A909AF" w:rsidP="00971FA1">
      <w:pPr>
        <w:pStyle w:val="Numbered1"/>
        <w:keepNext/>
        <w:ind w:left="357" w:hanging="357"/>
      </w:pPr>
      <w:r>
        <w:t>The need for government intervention</w:t>
      </w:r>
      <w:bookmarkEnd w:id="49"/>
      <w:r>
        <w:t xml:space="preserve"> </w:t>
      </w:r>
      <w:bookmarkStart w:id="50" w:name="_Hlk96068634"/>
    </w:p>
    <w:p w14:paraId="7D49B7C3" w14:textId="35E38B89" w:rsidR="002343C6" w:rsidRDefault="002343C6" w:rsidP="002343C6">
      <w:r w:rsidRPr="002343C6">
        <w:t xml:space="preserve">The Australian product safety regime does not have a general safety provision </w:t>
      </w:r>
      <w:r w:rsidR="00A430AF">
        <w:t xml:space="preserve">that </w:t>
      </w:r>
      <w:r w:rsidRPr="002343C6">
        <w:t>prohibit</w:t>
      </w:r>
      <w:r w:rsidR="005F7E29">
        <w:t>s</w:t>
      </w:r>
      <w:r w:rsidRPr="002343C6">
        <w:t xml:space="preserve"> unsafe goods being supplied or any mandatory standards which specifically capture all Infant Sleep Products.</w:t>
      </w:r>
      <w:r w:rsidR="00CB7FFB">
        <w:t xml:space="preserve"> There is currently no </w:t>
      </w:r>
      <w:r w:rsidR="00963557">
        <w:t xml:space="preserve">single </w:t>
      </w:r>
      <w:r w:rsidR="00CB7FFB">
        <w:t xml:space="preserve">Australian or international standard </w:t>
      </w:r>
      <w:r w:rsidR="00B346E3">
        <w:t>that</w:t>
      </w:r>
      <w:r w:rsidR="00CB7FFB">
        <w:t xml:space="preserve"> can be adopted to address all risks identified</w:t>
      </w:r>
      <w:r w:rsidR="0015384E">
        <w:t xml:space="preserve"> for Infant Sleep Products. </w:t>
      </w:r>
    </w:p>
    <w:p w14:paraId="1944068F" w14:textId="6B67429D" w:rsidR="001A4FDA" w:rsidRPr="00104BFE" w:rsidRDefault="00027E28" w:rsidP="00174D00">
      <w:pPr>
        <w:pStyle w:val="Numbered11"/>
      </w:pPr>
      <w:bookmarkStart w:id="51" w:name="_Toc110959463"/>
      <w:r w:rsidRPr="00104BFE">
        <w:t>Australian</w:t>
      </w:r>
      <w:r w:rsidR="00082CB9" w:rsidRPr="00104BFE">
        <w:t xml:space="preserve"> </w:t>
      </w:r>
      <w:r w:rsidRPr="00104BFE">
        <w:t>standards</w:t>
      </w:r>
      <w:bookmarkEnd w:id="51"/>
    </w:p>
    <w:p w14:paraId="2A44225F" w14:textId="097C8F2C" w:rsidR="00827238" w:rsidRDefault="00FC27C7" w:rsidP="00827238">
      <w:pPr>
        <w:tabs>
          <w:tab w:val="left" w:pos="340"/>
        </w:tabs>
        <w:spacing w:before="120"/>
      </w:pPr>
      <w:r w:rsidRPr="00A96B0D">
        <w:rPr>
          <w:b/>
          <w:bCs/>
        </w:rPr>
        <w:t xml:space="preserve">Appendix </w:t>
      </w:r>
      <w:r w:rsidR="002F2FFC">
        <w:rPr>
          <w:b/>
          <w:bCs/>
        </w:rPr>
        <w:t>2</w:t>
      </w:r>
      <w:r w:rsidR="005F7E29" w:rsidRPr="00913B86">
        <w:t xml:space="preserve"> summarises</w:t>
      </w:r>
      <w:r w:rsidR="005F7E29">
        <w:t xml:space="preserve"> key components of </w:t>
      </w:r>
      <w:r w:rsidR="005878C3">
        <w:t xml:space="preserve">the </w:t>
      </w:r>
      <w:r w:rsidR="00827238">
        <w:t>3</w:t>
      </w:r>
      <w:r w:rsidR="005878C3">
        <w:t xml:space="preserve"> </w:t>
      </w:r>
      <w:r w:rsidR="005F7E29">
        <w:t>relevant e</w:t>
      </w:r>
      <w:r w:rsidR="005F7E29" w:rsidRPr="00ED5B24">
        <w:t>xis</w:t>
      </w:r>
      <w:r w:rsidR="005F7E29">
        <w:t>t</w:t>
      </w:r>
      <w:r w:rsidR="005F7E29" w:rsidRPr="00ED5B24">
        <w:t>ing Australian</w:t>
      </w:r>
      <w:r w:rsidR="005F7E29">
        <w:t xml:space="preserve"> </w:t>
      </w:r>
      <w:r w:rsidR="005F7E29" w:rsidRPr="00ED5B24">
        <w:t>standards</w:t>
      </w:r>
      <w:r w:rsidR="005F7E29">
        <w:t xml:space="preserve">.  </w:t>
      </w:r>
    </w:p>
    <w:p w14:paraId="1115961B" w14:textId="188AD2DF" w:rsidR="00D55474" w:rsidRDefault="00D5028A" w:rsidP="0089296C">
      <w:pPr>
        <w:tabs>
          <w:tab w:val="left" w:pos="340"/>
        </w:tabs>
        <w:spacing w:before="120"/>
      </w:pPr>
      <w:r>
        <w:t xml:space="preserve">As outlined above, there are 2 relevant mandatory safety standards, being the Household Cots Mandatory Standard and the Folding Cots Mandatory Standard. </w:t>
      </w:r>
      <w:r w:rsidR="004E684F">
        <w:t xml:space="preserve">Separate to mandatory standards, suppliers can choose to </w:t>
      </w:r>
      <w:r w:rsidR="00555354">
        <w:t>also</w:t>
      </w:r>
      <w:r w:rsidR="00DE2E29">
        <w:t xml:space="preserve"> </w:t>
      </w:r>
      <w:r w:rsidR="004E684F">
        <w:t xml:space="preserve">comply with </w:t>
      </w:r>
      <w:r w:rsidR="008A1873">
        <w:t xml:space="preserve">relevant </w:t>
      </w:r>
      <w:r w:rsidR="004E684F">
        <w:t>voluntary standards.</w:t>
      </w:r>
      <w:r w:rsidR="004E684F" w:rsidRPr="006856CC">
        <w:rPr>
          <w:rFonts w:cs="Arial"/>
          <w:i/>
          <w:iCs/>
          <w:color w:val="242934"/>
        </w:rPr>
        <w:t xml:space="preserve"> </w:t>
      </w:r>
      <w:r w:rsidR="004E684F" w:rsidRPr="00D53CB1">
        <w:t>Voluntary standards are developed by non-government bodies such as </w:t>
      </w:r>
      <w:hyperlink r:id="rId32" w:history="1">
        <w:r w:rsidR="004E684F" w:rsidRPr="00D53CB1">
          <w:rPr>
            <w:rStyle w:val="Hyperlink"/>
          </w:rPr>
          <w:t>Standards Australia</w:t>
        </w:r>
      </w:hyperlink>
      <w:r w:rsidR="004E684F" w:rsidRPr="00D53CB1">
        <w:t xml:space="preserve"> </w:t>
      </w:r>
      <w:r w:rsidR="004E684F">
        <w:t>or</w:t>
      </w:r>
      <w:r w:rsidR="004E684F" w:rsidRPr="00D53CB1">
        <w:t xml:space="preserve"> the</w:t>
      </w:r>
      <w:r w:rsidR="004E684F">
        <w:t xml:space="preserve"> </w:t>
      </w:r>
      <w:hyperlink r:id="rId33" w:history="1">
        <w:r w:rsidR="004E684F" w:rsidRPr="00680858">
          <w:rPr>
            <w:rStyle w:val="Hyperlink"/>
          </w:rPr>
          <w:t>International Organization of Standardization</w:t>
        </w:r>
      </w:hyperlink>
      <w:r w:rsidR="004E684F">
        <w:t xml:space="preserve">. </w:t>
      </w:r>
      <w:r w:rsidR="00963557">
        <w:t xml:space="preserve">The only relevant Australian voluntary standard is </w:t>
      </w:r>
      <w:r w:rsidR="008C2DC5" w:rsidRPr="008C2DC5">
        <w:t>AS/NZS 4385:1996 Infant’s rocking cradles – Safety requirements</w:t>
      </w:r>
      <w:r w:rsidR="008C2DC5">
        <w:t xml:space="preserve"> w</w:t>
      </w:r>
      <w:r w:rsidR="00F77133">
        <w:t>hich is largely obsolete.</w:t>
      </w:r>
      <w:r>
        <w:t xml:space="preserve"> </w:t>
      </w:r>
    </w:p>
    <w:p w14:paraId="43E2835A" w14:textId="393C431D" w:rsidR="005F1EE0" w:rsidRDefault="00D5028A" w:rsidP="0089296C">
      <w:pPr>
        <w:tabs>
          <w:tab w:val="left" w:pos="340"/>
        </w:tabs>
        <w:spacing w:before="120"/>
      </w:pPr>
      <w:r>
        <w:t xml:space="preserve">None of these standards address the risks identified above. </w:t>
      </w:r>
      <w:r w:rsidR="00D55474">
        <w:t>There is a</w:t>
      </w:r>
      <w:r w:rsidR="00AA6DAE">
        <w:t xml:space="preserve"> regulator</w:t>
      </w:r>
      <w:r w:rsidR="00F35376">
        <w:t>y</w:t>
      </w:r>
      <w:r w:rsidR="00AA6DAE">
        <w:t xml:space="preserve"> gap </w:t>
      </w:r>
      <w:r w:rsidR="00D55474">
        <w:t xml:space="preserve">for all other </w:t>
      </w:r>
      <w:r w:rsidR="00AA6DAE">
        <w:t>Infant Sleep Products,</w:t>
      </w:r>
      <w:r w:rsidR="00D55474">
        <w:t xml:space="preserve"> including common products such as bassinets. </w:t>
      </w:r>
    </w:p>
    <w:p w14:paraId="46223A00" w14:textId="189671D3" w:rsidR="00027E28" w:rsidRDefault="0082405F" w:rsidP="00DC57C5">
      <w:pPr>
        <w:pStyle w:val="Numbered11"/>
        <w:keepNext/>
        <w:ind w:left="794" w:hanging="794"/>
      </w:pPr>
      <w:bookmarkStart w:id="52" w:name="_Toc110959464"/>
      <w:bookmarkStart w:id="53" w:name="_Hlk96068669"/>
      <w:bookmarkEnd w:id="50"/>
      <w:r>
        <w:t>Int</w:t>
      </w:r>
      <w:r w:rsidR="00027E28">
        <w:t xml:space="preserve">ernational </w:t>
      </w:r>
      <w:r w:rsidR="00BC345A">
        <w:t>standards and regulations</w:t>
      </w:r>
      <w:bookmarkEnd w:id="52"/>
    </w:p>
    <w:p w14:paraId="013B0ADC" w14:textId="3C424DE7" w:rsidR="007C3F0C" w:rsidRDefault="007C3F0C" w:rsidP="00082CB9">
      <w:pPr>
        <w:tabs>
          <w:tab w:val="left" w:pos="340"/>
        </w:tabs>
        <w:spacing w:before="120"/>
      </w:pPr>
      <w:r w:rsidRPr="00CD5289">
        <w:rPr>
          <w:b/>
          <w:bCs/>
        </w:rPr>
        <w:t xml:space="preserve">Appendix </w:t>
      </w:r>
      <w:r w:rsidR="00A96B0D" w:rsidRPr="00CD5289">
        <w:rPr>
          <w:b/>
          <w:bCs/>
        </w:rPr>
        <w:t>3</w:t>
      </w:r>
      <w:r w:rsidRPr="00913B86">
        <w:t xml:space="preserve"> summarises</w:t>
      </w:r>
      <w:r>
        <w:t xml:space="preserve"> key components of international standards and regulations that are relevant to the safety risks associated with Infant Sleep Products. </w:t>
      </w:r>
    </w:p>
    <w:p w14:paraId="4E75C4DF" w14:textId="4D272837" w:rsidR="00145E9A" w:rsidRDefault="00145E9A" w:rsidP="00082CB9">
      <w:pPr>
        <w:tabs>
          <w:tab w:val="left" w:pos="340"/>
        </w:tabs>
        <w:spacing w:before="120"/>
      </w:pPr>
      <w:r>
        <w:t xml:space="preserve">Internationally, </w:t>
      </w:r>
      <w:r w:rsidR="0094635C">
        <w:t xml:space="preserve">some </w:t>
      </w:r>
      <w:r w:rsidR="003C3D5F">
        <w:t xml:space="preserve">countries </w:t>
      </w:r>
      <w:r w:rsidR="00BC345A">
        <w:t>regulate</w:t>
      </w:r>
      <w:r w:rsidR="003C3D5F">
        <w:t xml:space="preserve"> the safety of Infant Sleep Products through general safety previsions</w:t>
      </w:r>
      <w:r w:rsidR="000A332A">
        <w:t>, others do so</w:t>
      </w:r>
      <w:r w:rsidR="00BC345A">
        <w:t xml:space="preserve"> through</w:t>
      </w:r>
      <w:r w:rsidR="003C3D5F">
        <w:t xml:space="preserve"> </w:t>
      </w:r>
      <w:r w:rsidR="007C3F0C">
        <w:t>product specific regulation</w:t>
      </w:r>
      <w:r w:rsidR="005816E8">
        <w:t>s</w:t>
      </w:r>
      <w:r w:rsidR="007C3F0C">
        <w:t xml:space="preserve">. For example: </w:t>
      </w:r>
      <w:r w:rsidR="003C3D5F">
        <w:t xml:space="preserve">  </w:t>
      </w:r>
    </w:p>
    <w:p w14:paraId="50E53C1F" w14:textId="312D69C9" w:rsidR="00E13022" w:rsidRDefault="007C3F0C" w:rsidP="0005474D">
      <w:pPr>
        <w:pStyle w:val="Bulletpoint"/>
      </w:pPr>
      <w:r w:rsidRPr="00E4658A">
        <w:t xml:space="preserve">The European Union and the United Kingdom do not have regulations </w:t>
      </w:r>
      <w:r>
        <w:t xml:space="preserve">that </w:t>
      </w:r>
      <w:r w:rsidRPr="00E4658A">
        <w:t xml:space="preserve">directly address </w:t>
      </w:r>
      <w:r>
        <w:t xml:space="preserve">Infant Sleep </w:t>
      </w:r>
      <w:r w:rsidR="00E13022">
        <w:t>Products but</w:t>
      </w:r>
      <w:r>
        <w:t xml:space="preserve"> </w:t>
      </w:r>
      <w:r w:rsidRPr="00E4658A">
        <w:t xml:space="preserve">rely on </w:t>
      </w:r>
      <w:r>
        <w:t>its</w:t>
      </w:r>
      <w:r w:rsidRPr="00E4658A">
        <w:t xml:space="preserve"> </w:t>
      </w:r>
      <w:r>
        <w:t>g</w:t>
      </w:r>
      <w:r w:rsidRPr="00E4658A">
        <w:t xml:space="preserve">eneral </w:t>
      </w:r>
      <w:r>
        <w:t>s</w:t>
      </w:r>
      <w:r w:rsidRPr="00E4658A">
        <w:t xml:space="preserve">afety </w:t>
      </w:r>
      <w:r>
        <w:t>p</w:t>
      </w:r>
      <w:r w:rsidRPr="00E4658A">
        <w:t xml:space="preserve">rovisions and voluntary standards. </w:t>
      </w:r>
      <w:r w:rsidR="00016456" w:rsidRPr="00AB1412">
        <w:t>There is a voluntary standard that address</w:t>
      </w:r>
      <w:r w:rsidR="00145F50">
        <w:t>es</w:t>
      </w:r>
      <w:r w:rsidR="00016456" w:rsidRPr="00AB1412">
        <w:t xml:space="preserve"> rigidity of mattresses for cots and cribs </w:t>
      </w:r>
      <w:r w:rsidR="000B194D">
        <w:t>including</w:t>
      </w:r>
      <w:r w:rsidR="00016456" w:rsidRPr="00AB1412">
        <w:t xml:space="preserve"> test requirements.</w:t>
      </w:r>
      <w:r w:rsidR="008E537E">
        <w:rPr>
          <w:rStyle w:val="FootnoteReference"/>
        </w:rPr>
        <w:footnoteReference w:id="14"/>
      </w:r>
      <w:r w:rsidR="00472081">
        <w:t xml:space="preserve"> Additionally,</w:t>
      </w:r>
      <w:r w:rsidR="0094539C">
        <w:t xml:space="preserve"> there is a voluntary standard </w:t>
      </w:r>
      <w:r w:rsidR="00472081">
        <w:t>for Cribs and Cradles</w:t>
      </w:r>
      <w:r w:rsidR="0094539C">
        <w:t xml:space="preserve"> that</w:t>
      </w:r>
      <w:r w:rsidR="00472081">
        <w:t xml:space="preserve"> has an incline limit</w:t>
      </w:r>
      <w:r w:rsidR="0094539C">
        <w:t xml:space="preserve"> of </w:t>
      </w:r>
      <w:r w:rsidR="00472081">
        <w:t>10 degrees.</w:t>
      </w:r>
      <w:r w:rsidR="008E537E">
        <w:rPr>
          <w:rStyle w:val="FootnoteReference"/>
        </w:rPr>
        <w:footnoteReference w:id="15"/>
      </w:r>
      <w:r w:rsidR="00016456">
        <w:t xml:space="preserve"> </w:t>
      </w:r>
      <w:r w:rsidR="00BC345A">
        <w:t>European v</w:t>
      </w:r>
      <w:r w:rsidR="00016456">
        <w:t xml:space="preserve">oluntary standards </w:t>
      </w:r>
      <w:r w:rsidRPr="00AB1412">
        <w:t xml:space="preserve">do not address curvature or material. </w:t>
      </w:r>
    </w:p>
    <w:p w14:paraId="707BE359" w14:textId="142F57A1" w:rsidR="00E13022" w:rsidRPr="00E440AD" w:rsidRDefault="00E13022" w:rsidP="001A6AF7">
      <w:pPr>
        <w:pStyle w:val="Bulletpoint"/>
      </w:pPr>
      <w:r w:rsidRPr="00E4658A">
        <w:t>Canada</w:t>
      </w:r>
      <w:r>
        <w:t xml:space="preserve">’s </w:t>
      </w:r>
      <w:r w:rsidRPr="00E13022">
        <w:rPr>
          <w:i/>
          <w:iCs/>
        </w:rPr>
        <w:t xml:space="preserve">Cribs, Cradles and Bassinets </w:t>
      </w:r>
      <w:r w:rsidR="006F7EC5">
        <w:rPr>
          <w:i/>
          <w:iCs/>
        </w:rPr>
        <w:t>R</w:t>
      </w:r>
      <w:r w:rsidRPr="00E13022">
        <w:rPr>
          <w:i/>
          <w:iCs/>
        </w:rPr>
        <w:t>egulations</w:t>
      </w:r>
      <w:r>
        <w:t xml:space="preserve"> </w:t>
      </w:r>
      <w:r w:rsidR="001D1D92">
        <w:t xml:space="preserve">(CA) </w:t>
      </w:r>
      <w:r>
        <w:t xml:space="preserve">capture all infant products that create a sleep environment and </w:t>
      </w:r>
      <w:r w:rsidRPr="00E4658A">
        <w:t>effectively ban</w:t>
      </w:r>
      <w:r>
        <w:t>s</w:t>
      </w:r>
      <w:r w:rsidRPr="00E4658A">
        <w:t xml:space="preserve"> sleep products with an incline </w:t>
      </w:r>
      <w:r w:rsidRPr="00E13022">
        <w:t xml:space="preserve">greater than 7 degrees. </w:t>
      </w:r>
      <w:r w:rsidR="000B194D">
        <w:t>These regulations</w:t>
      </w:r>
      <w:r w:rsidR="000B194D" w:rsidRPr="00E13022">
        <w:t xml:space="preserve"> </w:t>
      </w:r>
      <w:r w:rsidR="005816E8">
        <w:t xml:space="preserve">also </w:t>
      </w:r>
      <w:r w:rsidRPr="00E13022">
        <w:t>include requirements for the height of the sides of a product, stability, material used and warning labels.</w:t>
      </w:r>
      <w:r>
        <w:rPr>
          <w:rStyle w:val="FootnoteReference"/>
        </w:rPr>
        <w:footnoteReference w:id="16"/>
      </w:r>
      <w:r w:rsidR="000A332A">
        <w:t xml:space="preserve"> These regulations do not address mattress rigidity. </w:t>
      </w:r>
    </w:p>
    <w:p w14:paraId="3A3B8A15" w14:textId="1952C830" w:rsidR="00EF24CA" w:rsidRPr="00EF24CA" w:rsidRDefault="00E440AD" w:rsidP="004D0EFB">
      <w:pPr>
        <w:pStyle w:val="Bulletpoint"/>
      </w:pPr>
      <w:r>
        <w:t>The United States</w:t>
      </w:r>
      <w:r w:rsidR="0035167C">
        <w:t>’</w:t>
      </w:r>
      <w:r>
        <w:t xml:space="preserve"> </w:t>
      </w:r>
      <w:r w:rsidR="00FF1792">
        <w:t xml:space="preserve">recent </w:t>
      </w:r>
      <w:r w:rsidR="00FF1792" w:rsidRPr="00C01360">
        <w:rPr>
          <w:i/>
          <w:iCs/>
        </w:rPr>
        <w:t>Safe Sleep for Babies Act 2019</w:t>
      </w:r>
      <w:r w:rsidR="00FF1792">
        <w:rPr>
          <w:i/>
          <w:iCs/>
        </w:rPr>
        <w:t xml:space="preserve"> </w:t>
      </w:r>
      <w:r w:rsidR="00FF1792">
        <w:t>(US)</w:t>
      </w:r>
      <w:r w:rsidR="0035167C">
        <w:t xml:space="preserve"> </w:t>
      </w:r>
      <w:r w:rsidR="00FF1792">
        <w:t xml:space="preserve">requires Infant Sleep Products to </w:t>
      </w:r>
      <w:r w:rsidR="0035167C">
        <w:t>be tested to ensure the incline is less than 10 degrees</w:t>
      </w:r>
      <w:r w:rsidR="006F7EC5">
        <w:t>,</w:t>
      </w:r>
      <w:r w:rsidR="0035167C">
        <w:t xml:space="preserve"> or </w:t>
      </w:r>
      <w:r w:rsidR="00FF1792">
        <w:t>comply with one of the following pre-existing</w:t>
      </w:r>
      <w:r w:rsidR="00D63399">
        <w:t xml:space="preserve"> mandatory</w:t>
      </w:r>
      <w:r w:rsidR="00FF1792">
        <w:t xml:space="preserve"> standard</w:t>
      </w:r>
      <w:r w:rsidR="00F77133">
        <w:t>s</w:t>
      </w:r>
      <w:r w:rsidR="00FF1792">
        <w:t xml:space="preserve">: </w:t>
      </w:r>
    </w:p>
    <w:p w14:paraId="1FA5F892" w14:textId="5B1F0BB8" w:rsidR="00E440AD" w:rsidRPr="00EF24CA" w:rsidRDefault="00EF24CA" w:rsidP="00F70C33">
      <w:pPr>
        <w:numPr>
          <w:ilvl w:val="2"/>
          <w:numId w:val="30"/>
        </w:numPr>
        <w:tabs>
          <w:tab w:val="left" w:pos="340"/>
        </w:tabs>
        <w:spacing w:before="120"/>
        <w:ind w:left="1298"/>
      </w:pPr>
      <w:r>
        <w:rPr>
          <w:rFonts w:cs="Times New Roman"/>
        </w:rPr>
        <w:t>bassinets and cradles</w:t>
      </w:r>
    </w:p>
    <w:p w14:paraId="5111848F" w14:textId="0CE42060" w:rsidR="00EF24CA" w:rsidRPr="00EF24CA" w:rsidRDefault="00EF24CA" w:rsidP="00F70C33">
      <w:pPr>
        <w:numPr>
          <w:ilvl w:val="2"/>
          <w:numId w:val="30"/>
        </w:numPr>
        <w:tabs>
          <w:tab w:val="left" w:pos="340"/>
        </w:tabs>
        <w:spacing w:before="120"/>
        <w:ind w:left="1298"/>
      </w:pPr>
      <w:r>
        <w:rPr>
          <w:rFonts w:cs="Times New Roman"/>
        </w:rPr>
        <w:t>bedside sleepers</w:t>
      </w:r>
    </w:p>
    <w:p w14:paraId="26BAB262" w14:textId="668C7B6D" w:rsidR="00EF24CA" w:rsidRPr="00EF24CA" w:rsidRDefault="00EF24CA" w:rsidP="00F70C33">
      <w:pPr>
        <w:numPr>
          <w:ilvl w:val="2"/>
          <w:numId w:val="30"/>
        </w:numPr>
        <w:tabs>
          <w:tab w:val="left" w:pos="340"/>
        </w:tabs>
        <w:spacing w:before="120"/>
        <w:ind w:left="1298"/>
      </w:pPr>
      <w:r>
        <w:rPr>
          <w:rFonts w:cs="Times New Roman"/>
        </w:rPr>
        <w:t xml:space="preserve">crib mattresses </w:t>
      </w:r>
    </w:p>
    <w:p w14:paraId="366802A1" w14:textId="2434D207" w:rsidR="00EF24CA" w:rsidRPr="00EF24CA" w:rsidRDefault="00EF24CA" w:rsidP="00F70C33">
      <w:pPr>
        <w:numPr>
          <w:ilvl w:val="2"/>
          <w:numId w:val="30"/>
        </w:numPr>
        <w:tabs>
          <w:tab w:val="left" w:pos="340"/>
        </w:tabs>
        <w:spacing w:before="120"/>
        <w:ind w:left="1298"/>
      </w:pPr>
      <w:r>
        <w:rPr>
          <w:rFonts w:cs="Times New Roman"/>
        </w:rPr>
        <w:t>full-size cribs</w:t>
      </w:r>
    </w:p>
    <w:p w14:paraId="196A1004" w14:textId="229860B8" w:rsidR="00EF24CA" w:rsidRPr="00EF24CA" w:rsidRDefault="00EF24CA" w:rsidP="00F70C33">
      <w:pPr>
        <w:numPr>
          <w:ilvl w:val="2"/>
          <w:numId w:val="30"/>
        </w:numPr>
        <w:tabs>
          <w:tab w:val="left" w:pos="340"/>
        </w:tabs>
        <w:spacing w:before="120"/>
        <w:ind w:left="1298"/>
      </w:pPr>
      <w:r>
        <w:rPr>
          <w:rFonts w:cs="Times New Roman"/>
        </w:rPr>
        <w:t>non-full-size cribs.</w:t>
      </w:r>
    </w:p>
    <w:p w14:paraId="6186658D" w14:textId="49CAF190" w:rsidR="00FF1792" w:rsidRPr="00AB252A" w:rsidRDefault="00FF1792" w:rsidP="00F5553B">
      <w:pPr>
        <w:pStyle w:val="Bulletpoint"/>
        <w:numPr>
          <w:ilvl w:val="0"/>
          <w:numId w:val="0"/>
        </w:numPr>
        <w:ind w:left="360"/>
      </w:pPr>
      <w:r w:rsidRPr="00AB252A">
        <w:t xml:space="preserve">There are no requirements for </w:t>
      </w:r>
      <w:r>
        <w:t xml:space="preserve">curvature or </w:t>
      </w:r>
      <w:r w:rsidRPr="00AB252A">
        <w:t xml:space="preserve">material within any of these mandatory standards. </w:t>
      </w:r>
      <w:r>
        <w:t>However, t</w:t>
      </w:r>
      <w:r w:rsidRPr="00AB252A">
        <w:t xml:space="preserve">here </w:t>
      </w:r>
      <w:r>
        <w:t xml:space="preserve">are </w:t>
      </w:r>
      <w:r w:rsidRPr="00AB252A">
        <w:t>separate proposed mandatory</w:t>
      </w:r>
      <w:r>
        <w:t xml:space="preserve"> standards for Inclined Sleep Products and</w:t>
      </w:r>
      <w:r w:rsidRPr="00AB252A">
        <w:t xml:space="preserve"> crib mattress standard that will address </w:t>
      </w:r>
      <w:r>
        <w:t>rigidity</w:t>
      </w:r>
      <w:r w:rsidR="005D671D">
        <w:t xml:space="preserve"> which will come into effect this year</w:t>
      </w:r>
      <w:r>
        <w:t xml:space="preserve">. </w:t>
      </w:r>
    </w:p>
    <w:p w14:paraId="7D0FDB0C" w14:textId="50FA4D03" w:rsidR="00082CB9" w:rsidRPr="00854F8E" w:rsidRDefault="00082CB9" w:rsidP="001A6AF7">
      <w:pPr>
        <w:pStyle w:val="Bulletpoint"/>
      </w:pPr>
      <w:bookmarkStart w:id="54" w:name="_Hlk107412870"/>
      <w:r w:rsidRPr="008D11F5">
        <w:t>New Zealand</w:t>
      </w:r>
      <w:r w:rsidR="008D11F5">
        <w:t xml:space="preserve"> </w:t>
      </w:r>
      <w:r w:rsidR="008D11F5" w:rsidRPr="008D11F5">
        <w:t xml:space="preserve">has a permanent ban preventing the </w:t>
      </w:r>
      <w:r w:rsidR="008D11F5" w:rsidRPr="00854F8E">
        <w:t xml:space="preserve">sale of Inclined </w:t>
      </w:r>
      <w:r w:rsidR="00854F8E" w:rsidRPr="00854F8E">
        <w:t xml:space="preserve">Sleep </w:t>
      </w:r>
      <w:r w:rsidR="008D11F5" w:rsidRPr="00854F8E">
        <w:t>Products with an incline greater than 7 degrees.</w:t>
      </w:r>
      <w:r w:rsidR="00115170">
        <w:rPr>
          <w:rStyle w:val="FootnoteReference"/>
        </w:rPr>
        <w:footnoteReference w:id="17"/>
      </w:r>
      <w:r w:rsidRPr="00854F8E">
        <w:t xml:space="preserve"> </w:t>
      </w:r>
    </w:p>
    <w:p w14:paraId="2BC9DB61" w14:textId="1429383E" w:rsidR="002D0344" w:rsidRDefault="000B194D" w:rsidP="002D0344">
      <w:r>
        <w:t>These</w:t>
      </w:r>
      <w:r w:rsidR="00FE06C9">
        <w:t xml:space="preserve"> </w:t>
      </w:r>
      <w:r w:rsidR="009221BA" w:rsidRPr="00193FE8">
        <w:t xml:space="preserve">standards </w:t>
      </w:r>
      <w:r w:rsidR="002D0344">
        <w:t>do not holistically address all safety risk</w:t>
      </w:r>
      <w:r w:rsidR="000A332A">
        <w:t>s</w:t>
      </w:r>
      <w:r w:rsidR="002D0344">
        <w:t xml:space="preserve"> associated</w:t>
      </w:r>
      <w:r w:rsidR="0087542C">
        <w:t xml:space="preserve"> with</w:t>
      </w:r>
      <w:r w:rsidR="002D0344">
        <w:t xml:space="preserve"> Infant Sleep Products</w:t>
      </w:r>
      <w:r w:rsidR="007C3F0C">
        <w:t>. T</w:t>
      </w:r>
      <w:r w:rsidR="002D0344">
        <w:t xml:space="preserve">herefore, the ACCC considers adopting any </w:t>
      </w:r>
      <w:r w:rsidR="0031615F">
        <w:t xml:space="preserve">one of these </w:t>
      </w:r>
      <w:r w:rsidR="002D0344">
        <w:t xml:space="preserve">existing international </w:t>
      </w:r>
      <w:r w:rsidR="0031615F">
        <w:t xml:space="preserve">standards </w:t>
      </w:r>
      <w:r w:rsidR="002D0344">
        <w:t xml:space="preserve">would </w:t>
      </w:r>
      <w:r w:rsidR="006C2BCB">
        <w:t>not</w:t>
      </w:r>
      <w:r w:rsidR="002D0344">
        <w:t xml:space="preserve"> address the scope of </w:t>
      </w:r>
      <w:r w:rsidR="006C2BCB">
        <w:t>risks posed by</w:t>
      </w:r>
      <w:r w:rsidR="002D0344">
        <w:t xml:space="preserve"> Infant Sleep Products</w:t>
      </w:r>
      <w:r w:rsidR="006F7EC5">
        <w:t>, but any proposed regulation may be able to draw requirements from various standards.</w:t>
      </w:r>
    </w:p>
    <w:p w14:paraId="22E922EC" w14:textId="7E610D81" w:rsidR="00CF2CC3" w:rsidRPr="00C86A4A" w:rsidRDefault="008505D1" w:rsidP="00CF2CC3">
      <w:pPr>
        <w:rPr>
          <w:rFonts w:cs="Arial"/>
        </w:rPr>
      </w:pPr>
      <w:bookmarkStart w:id="55" w:name="_Hlk107413002"/>
      <w:bookmarkEnd w:id="54"/>
      <w:r w:rsidRPr="008505D1">
        <w:rPr>
          <w:rFonts w:cs="Arial"/>
        </w:rPr>
        <w:t xml:space="preserve">The ACCC will continue to consider </w:t>
      </w:r>
      <w:r w:rsidRPr="00C86A4A">
        <w:rPr>
          <w:rFonts w:cs="Arial"/>
        </w:rPr>
        <w:t>and adopt overseas standards where appropriate.</w:t>
      </w:r>
      <w:r w:rsidRPr="008505D1">
        <w:rPr>
          <w:rFonts w:cs="Arial"/>
        </w:rPr>
        <w:t xml:space="preserve"> </w:t>
      </w:r>
      <w:r w:rsidRPr="00C86A4A">
        <w:rPr>
          <w:rFonts w:cs="Arial"/>
        </w:rPr>
        <w:t>The Commonwealth Treasury</w:t>
      </w:r>
      <w:r w:rsidRPr="008505D1">
        <w:rPr>
          <w:rFonts w:cs="Arial"/>
        </w:rPr>
        <w:t xml:space="preserve"> is currently progressing a policy proposal to recognise up</w:t>
      </w:r>
      <w:r w:rsidRPr="008505D1">
        <w:rPr>
          <w:rFonts w:cs="Arial"/>
        </w:rPr>
        <w:noBreakHyphen/>
        <w:t>to</w:t>
      </w:r>
      <w:r w:rsidRPr="008505D1">
        <w:rPr>
          <w:rFonts w:cs="Arial"/>
        </w:rPr>
        <w:noBreakHyphen/>
        <w:t>date </w:t>
      </w:r>
      <w:r w:rsidR="00D47916" w:rsidRPr="001C42D6">
        <w:t>trusted overseas voluntary standards</w:t>
      </w:r>
      <w:r w:rsidRPr="008505D1">
        <w:rPr>
          <w:rFonts w:cs="Arial"/>
        </w:rPr>
        <w:t xml:space="preserve"> in Australia. In </w:t>
      </w:r>
      <w:r w:rsidRPr="00C86A4A">
        <w:rPr>
          <w:rFonts w:cs="Arial"/>
        </w:rPr>
        <w:t>December</w:t>
      </w:r>
      <w:r w:rsidRPr="008505D1">
        <w:rPr>
          <w:rFonts w:cs="Arial"/>
        </w:rPr>
        <w:t xml:space="preserve"> 2021, the </w:t>
      </w:r>
      <w:r w:rsidRPr="00C86A4A">
        <w:rPr>
          <w:rFonts w:cs="Arial"/>
        </w:rPr>
        <w:t xml:space="preserve">Commonwealth Treasury undertook </w:t>
      </w:r>
      <w:hyperlink r:id="rId34" w:history="1">
        <w:r w:rsidRPr="00C86A4A">
          <w:rPr>
            <w:rStyle w:val="Hyperlink"/>
            <w:rFonts w:cs="Arial"/>
          </w:rPr>
          <w:t>public consultation</w:t>
        </w:r>
      </w:hyperlink>
      <w:r w:rsidRPr="00C86A4A">
        <w:rPr>
          <w:rFonts w:cs="Arial"/>
        </w:rPr>
        <w:t xml:space="preserve"> on</w:t>
      </w:r>
      <w:r w:rsidRPr="008505D1">
        <w:rPr>
          <w:rFonts w:cs="Arial"/>
        </w:rPr>
        <w:t xml:space="preserve"> </w:t>
      </w:r>
      <w:r w:rsidRPr="00C86A4A">
        <w:rPr>
          <w:rFonts w:cs="Arial"/>
        </w:rPr>
        <w:t>proposed options</w:t>
      </w:r>
      <w:r w:rsidRPr="008505D1">
        <w:rPr>
          <w:rFonts w:cs="Arial"/>
        </w:rPr>
        <w:t xml:space="preserve"> to amend the </w:t>
      </w:r>
      <w:r w:rsidR="00D47916">
        <w:rPr>
          <w:rFonts w:cs="Arial"/>
        </w:rPr>
        <w:t>Australian Consumer Law (</w:t>
      </w:r>
      <w:r w:rsidRPr="008505D1">
        <w:rPr>
          <w:rFonts w:cs="Arial"/>
        </w:rPr>
        <w:t>ACL</w:t>
      </w:r>
      <w:r w:rsidR="00D47916">
        <w:rPr>
          <w:rFonts w:cs="Arial"/>
        </w:rPr>
        <w:t>)</w:t>
      </w:r>
      <w:r w:rsidRPr="008505D1">
        <w:rPr>
          <w:rFonts w:cs="Arial"/>
        </w:rPr>
        <w:t xml:space="preserve"> to allow mandatory standards to more effectively </w:t>
      </w:r>
      <w:r w:rsidRPr="00C86A4A">
        <w:rPr>
          <w:rFonts w:cs="Arial"/>
        </w:rPr>
        <w:t>recognise overseas standards, and allow compliance with the most up to date version of referenced Australian and overseas standards</w:t>
      </w:r>
      <w:r w:rsidRPr="008505D1">
        <w:rPr>
          <w:rFonts w:cs="Arial"/>
        </w:rPr>
        <w:t>.</w:t>
      </w:r>
      <w:r w:rsidRPr="008505D1">
        <w:rPr>
          <w:rStyle w:val="FootnoteReference"/>
        </w:rPr>
        <w:t xml:space="preserve"> </w:t>
      </w:r>
      <w:r>
        <w:rPr>
          <w:rStyle w:val="FootnoteReference"/>
        </w:rPr>
        <w:footnoteReference w:id="18"/>
      </w:r>
      <w:r w:rsidR="00722D4E">
        <w:t xml:space="preserve"> </w:t>
      </w:r>
      <w:bookmarkEnd w:id="53"/>
    </w:p>
    <w:p w14:paraId="1A3096C5" w14:textId="77777777" w:rsidR="00A7462B" w:rsidRDefault="00A7462B" w:rsidP="00DC57C5">
      <w:pPr>
        <w:pStyle w:val="Numbered11"/>
        <w:keepNext/>
        <w:ind w:left="794" w:hanging="794"/>
      </w:pPr>
      <w:bookmarkStart w:id="56" w:name="_Toc110959465"/>
      <w:bookmarkEnd w:id="55"/>
      <w:r>
        <w:t>What government action can do to address the problem</w:t>
      </w:r>
      <w:bookmarkEnd w:id="56"/>
    </w:p>
    <w:p w14:paraId="5514B638" w14:textId="1A8555DB" w:rsidR="00A7462B" w:rsidRDefault="00A7462B" w:rsidP="00A7462B">
      <w:r>
        <w:t xml:space="preserve">The Australian consumer product safety framework is underpinned by the ACL, </w:t>
      </w:r>
      <w:r w:rsidR="009E55BF">
        <w:t>where</w:t>
      </w:r>
      <w:r>
        <w:t xml:space="preserve"> the responsible Commonwealth Minister has regulatory options to prevent and reduce the risks associated with </w:t>
      </w:r>
      <w:r w:rsidR="00202A84">
        <w:t>consumer goods</w:t>
      </w:r>
      <w:r w:rsidR="00F7217D">
        <w:t xml:space="preserve">. </w:t>
      </w:r>
      <w:r w:rsidR="00202A84">
        <w:t>Options available to the Minister include</w:t>
      </w:r>
      <w:r>
        <w:t>:</w:t>
      </w:r>
    </w:p>
    <w:p w14:paraId="169F5418" w14:textId="7603A389" w:rsidR="00A7462B" w:rsidRPr="001A6AF7" w:rsidRDefault="00F5553B" w:rsidP="001A6AF7">
      <w:pPr>
        <w:pStyle w:val="Bulletpoint"/>
      </w:pPr>
      <w:r>
        <w:t>a</w:t>
      </w:r>
      <w:r w:rsidR="00A7462B" w:rsidRPr="007C5950">
        <w:t xml:space="preserve"> </w:t>
      </w:r>
      <w:r w:rsidR="00A7462B" w:rsidRPr="001A6AF7">
        <w:t>mandatory safety standard under section 104 of the ACL</w:t>
      </w:r>
      <w:r w:rsidR="00EB66BE" w:rsidRPr="00597766">
        <w:rPr>
          <w:rStyle w:val="FootnoteReference"/>
          <w:rFonts w:cstheme="minorBidi"/>
        </w:rPr>
        <w:footnoteReference w:id="19"/>
      </w:r>
    </w:p>
    <w:p w14:paraId="7969D6B6" w14:textId="664B803D" w:rsidR="00A7462B" w:rsidRPr="00AD130C" w:rsidRDefault="00F5553B" w:rsidP="001A6AF7">
      <w:pPr>
        <w:pStyle w:val="Bulletpoint"/>
      </w:pPr>
      <w:r>
        <w:t>a</w:t>
      </w:r>
      <w:r w:rsidR="00A7462B" w:rsidRPr="001A6AF7">
        <w:t xml:space="preserve"> mandatory</w:t>
      </w:r>
      <w:r w:rsidR="00A7462B" w:rsidRPr="00AD130C">
        <w:t xml:space="preserve"> information standard under section 134 of the ACL</w:t>
      </w:r>
      <w:r w:rsidR="00EB66BE" w:rsidRPr="00266E4F">
        <w:rPr>
          <w:rStyle w:val="FootnoteReference"/>
          <w:rFonts w:cstheme="minorBidi"/>
        </w:rPr>
        <w:footnoteReference w:id="20"/>
      </w:r>
      <w:r w:rsidR="00EB66BE" w:rsidRPr="00266E4F">
        <w:rPr>
          <w:rStyle w:val="FootnoteReference"/>
          <w:rFonts w:cstheme="minorBidi"/>
        </w:rPr>
        <w:t xml:space="preserve"> </w:t>
      </w:r>
      <w:r w:rsidR="00A7462B" w:rsidRPr="007C5950">
        <w:t xml:space="preserve"> </w:t>
      </w:r>
    </w:p>
    <w:p w14:paraId="6C5EF495" w14:textId="115C9D2A" w:rsidR="00A7462B" w:rsidRPr="001A6AF7" w:rsidRDefault="00F5553B" w:rsidP="001A6AF7">
      <w:pPr>
        <w:pStyle w:val="Bulletpoint"/>
      </w:pPr>
      <w:r>
        <w:t>i</w:t>
      </w:r>
      <w:r w:rsidR="00A7462B" w:rsidRPr="001E26A2">
        <w:t xml:space="preserve">nterim </w:t>
      </w:r>
      <w:r w:rsidR="00A7462B" w:rsidRPr="001A6AF7">
        <w:t>and permanent bans on products of a particular kind under section 109 and 114 respectively</w:t>
      </w:r>
      <w:r w:rsidR="003C5831">
        <w:rPr>
          <w:rStyle w:val="FootnoteReference"/>
        </w:rPr>
        <w:footnoteReference w:id="21"/>
      </w:r>
    </w:p>
    <w:p w14:paraId="478183BE" w14:textId="29AB6EB0" w:rsidR="007C5950" w:rsidRDefault="00F5553B" w:rsidP="001A6AF7">
      <w:pPr>
        <w:pStyle w:val="Bulletpoint"/>
      </w:pPr>
      <w:r>
        <w:t>a</w:t>
      </w:r>
      <w:r w:rsidR="007C5950" w:rsidRPr="001A6AF7">
        <w:t xml:space="preserve"> safety warning notice</w:t>
      </w:r>
      <w:r w:rsidR="00290A1E">
        <w:t xml:space="preserve"> </w:t>
      </w:r>
      <w:r w:rsidR="00DD5D7D">
        <w:t>under section 129 of the ACL</w:t>
      </w:r>
      <w:r w:rsidR="007C5950" w:rsidRPr="004C396F">
        <w:t>.</w:t>
      </w:r>
    </w:p>
    <w:p w14:paraId="134B02CE" w14:textId="77777777" w:rsidR="00A7462B" w:rsidRPr="00AA6E88" w:rsidRDefault="00A7462B" w:rsidP="00DD5D7D">
      <w:pPr>
        <w:pStyle w:val="Numbered11"/>
        <w:keepNext/>
        <w:ind w:left="794" w:hanging="794"/>
      </w:pPr>
      <w:bookmarkStart w:id="57" w:name="_Toc110959466"/>
      <w:r>
        <w:t>A</w:t>
      </w:r>
      <w:r w:rsidRPr="00AA6E88">
        <w:t>lternative</w:t>
      </w:r>
      <w:r>
        <w:t>s</w:t>
      </w:r>
      <w:r w:rsidRPr="00AA6E88">
        <w:t xml:space="preserve"> to government action</w:t>
      </w:r>
      <w:bookmarkEnd w:id="57"/>
    </w:p>
    <w:p w14:paraId="4E9E1BCB" w14:textId="608118B0" w:rsidR="00E23D60" w:rsidRDefault="007C1FA3" w:rsidP="00E23D60">
      <w:pPr>
        <w:pStyle w:val="Bulletpoint"/>
        <w:numPr>
          <w:ilvl w:val="0"/>
          <w:numId w:val="0"/>
        </w:numPr>
        <w:tabs>
          <w:tab w:val="clear" w:pos="340"/>
        </w:tabs>
      </w:pPr>
      <w:r w:rsidRPr="007C1FA3">
        <w:t xml:space="preserve">Industry self-regulation activities are the primary alternative to mandatory regulation by government. The ACCC is not aware of any broad self-regulation in relation to the risks identified </w:t>
      </w:r>
      <w:r w:rsidR="00B82537">
        <w:t>in this paper</w:t>
      </w:r>
      <w:r w:rsidRPr="007C1FA3">
        <w:t>.</w:t>
      </w:r>
      <w:r w:rsidR="00E23D60">
        <w:t xml:space="preserve"> The ACCC is aware that in June 2022 the Infant Safe Sleep Working Group, comprised of industry, medical, research and consumer advocacy representatives, released a ‘</w:t>
      </w:r>
      <w:hyperlink r:id="rId35" w:history="1">
        <w:r w:rsidR="00E23D60" w:rsidRPr="00290A1E">
          <w:rPr>
            <w:rStyle w:val="Hyperlink"/>
          </w:rPr>
          <w:t>Best practice guide for the design of safe infant sleeping environments</w:t>
        </w:r>
      </w:hyperlink>
      <w:r w:rsidR="00E23D60">
        <w:t xml:space="preserve">’ to provide industry with information on what makes infant sleep environments unsafe and highlights considerations for designing and marketing. </w:t>
      </w:r>
    </w:p>
    <w:p w14:paraId="7EEF3C80" w14:textId="5EF56287" w:rsidR="00E23D60" w:rsidRPr="00E874B7" w:rsidRDefault="00E23D60" w:rsidP="00C86A4A">
      <w:pPr>
        <w:pStyle w:val="Bulletpoint"/>
        <w:keepNext/>
        <w:numPr>
          <w:ilvl w:val="0"/>
          <w:numId w:val="0"/>
        </w:numPr>
      </w:pPr>
      <w:r>
        <w:t xml:space="preserve">Education and awareness-raising is another alternative to mandatory regulation. </w:t>
      </w:r>
      <w:r w:rsidRPr="00E874B7">
        <w:t>In Australia, safe sleeping advice and education is made available to parents and caregivers</w:t>
      </w:r>
      <w:r>
        <w:t xml:space="preserve"> </w:t>
      </w:r>
      <w:r w:rsidRPr="00E874B7">
        <w:t>via:</w:t>
      </w:r>
    </w:p>
    <w:p w14:paraId="3AF0E80C" w14:textId="77777777" w:rsidR="00E23D60" w:rsidRPr="00895122" w:rsidRDefault="00E23D60" w:rsidP="00895122">
      <w:pPr>
        <w:pStyle w:val="Bulletpoint"/>
      </w:pPr>
      <w:r w:rsidRPr="00E874B7">
        <w:t xml:space="preserve">The </w:t>
      </w:r>
      <w:r w:rsidRPr="003D305B">
        <w:t>health departments in each state and territory</w:t>
      </w:r>
      <w:r>
        <w:t xml:space="preserve"> which</w:t>
      </w:r>
      <w:r w:rsidRPr="003D305B">
        <w:t xml:space="preserve"> provide online information and resources. </w:t>
      </w:r>
      <w:r w:rsidRPr="00895122">
        <w:t>Many have safe sleeping standards or guidelines for healthcare providers to promote consistent safe sleeping practices.</w:t>
      </w:r>
      <w:r w:rsidRPr="00492B65">
        <w:rPr>
          <w:rStyle w:val="FootnoteReference"/>
        </w:rPr>
        <w:footnoteReference w:id="22"/>
      </w:r>
    </w:p>
    <w:p w14:paraId="4702DD6A" w14:textId="77777777" w:rsidR="00E23D60" w:rsidRPr="00895122" w:rsidRDefault="00E23D60" w:rsidP="00895122">
      <w:pPr>
        <w:pStyle w:val="Bulletpoint"/>
      </w:pPr>
      <w:r w:rsidRPr="00895122">
        <w:t>‘SIDS and Kids’ are not-for-profit organisations based in South Australia, Tasmania and the Northern Territory.</w:t>
      </w:r>
      <w:r w:rsidRPr="00492B65">
        <w:rPr>
          <w:vertAlign w:val="superscript"/>
        </w:rPr>
        <w:footnoteReference w:id="23"/>
      </w:r>
      <w:r w:rsidRPr="00492B65">
        <w:rPr>
          <w:vertAlign w:val="superscript"/>
        </w:rPr>
        <w:t xml:space="preserve"> </w:t>
      </w:r>
      <w:r w:rsidRPr="00895122">
        <w:t>These organisations provide state-based education programs and undertake public awareness campaigns in relation to safe sleep practices.</w:t>
      </w:r>
    </w:p>
    <w:p w14:paraId="53F5092B" w14:textId="65A314E9" w:rsidR="00E23D60" w:rsidRDefault="00E23D60" w:rsidP="00895122">
      <w:pPr>
        <w:pStyle w:val="Bulletpoint"/>
      </w:pPr>
      <w:r w:rsidRPr="00895122">
        <w:t>Red Nose Australia published</w:t>
      </w:r>
      <w:r w:rsidRPr="00166C75">
        <w:t xml:space="preserve"> safe sleep guidelines that recommend infants sleep on a flat, firm surface to reduce the risk of SIDS.</w:t>
      </w:r>
      <w:r w:rsidRPr="0083210D">
        <w:rPr>
          <w:vertAlign w:val="superscript"/>
        </w:rPr>
        <w:footnoteReference w:id="24"/>
      </w:r>
      <w:r w:rsidRPr="0083210D">
        <w:rPr>
          <w:vertAlign w:val="superscript"/>
        </w:rPr>
        <w:t xml:space="preserve"> </w:t>
      </w:r>
      <w:r w:rsidRPr="003D305B">
        <w:t xml:space="preserve">This advice is consistent even for infants experiencing </w:t>
      </w:r>
      <w:r>
        <w:t>g</w:t>
      </w:r>
      <w:r w:rsidRPr="00ED7F97">
        <w:t>astro-</w:t>
      </w:r>
      <w:r>
        <w:t>o</w:t>
      </w:r>
      <w:r w:rsidRPr="00ED7F97">
        <w:t xml:space="preserve">esphageal </w:t>
      </w:r>
      <w:r>
        <w:t>r</w:t>
      </w:r>
      <w:r w:rsidRPr="00ED7F97">
        <w:t xml:space="preserve">eflux and </w:t>
      </w:r>
      <w:r w:rsidRPr="003D305B">
        <w:t>aligns with international best practice and has been consistent</w:t>
      </w:r>
      <w:r w:rsidRPr="00325EEA">
        <w:t xml:space="preserve"> for decades.</w:t>
      </w:r>
      <w:r>
        <w:rPr>
          <w:rStyle w:val="FootnoteReference"/>
        </w:rPr>
        <w:footnoteReference w:id="25"/>
      </w:r>
    </w:p>
    <w:p w14:paraId="7A6D9268" w14:textId="782B2970" w:rsidR="00E23D60" w:rsidRDefault="00E23D60" w:rsidP="00E23D60">
      <w:pPr>
        <w:pStyle w:val="Bulletpoint"/>
        <w:numPr>
          <w:ilvl w:val="0"/>
          <w:numId w:val="0"/>
        </w:numPr>
        <w:tabs>
          <w:tab w:val="clear" w:pos="340"/>
        </w:tabs>
      </w:pPr>
      <w:r>
        <w:t>The safe sleep guidance for infants to sleep on their back on a firm, flat surface was published in the 1990s, resulting in an 85% reduction in SIDS.</w:t>
      </w:r>
      <w:r>
        <w:rPr>
          <w:vertAlign w:val="superscript"/>
        </w:rPr>
        <w:t xml:space="preserve"> </w:t>
      </w:r>
      <w:r>
        <w:t xml:space="preserve">Although these sources of information provide general advice to parents and caregivers, </w:t>
      </w:r>
      <w:r w:rsidR="00DD5D7D">
        <w:t xml:space="preserve">the ACCC continues to </w:t>
      </w:r>
      <w:r>
        <w:t xml:space="preserve">see products available </w:t>
      </w:r>
      <w:r w:rsidR="00DD5D7D">
        <w:t>i</w:t>
      </w:r>
      <w:r>
        <w:t xml:space="preserve">n the Australian market that do not comply with this advice. </w:t>
      </w:r>
    </w:p>
    <w:p w14:paraId="07D3A4AA" w14:textId="5C04980E" w:rsidR="00996C78" w:rsidRDefault="001F51FE" w:rsidP="00BE3674">
      <w:pPr>
        <w:pStyle w:val="Numbered1"/>
        <w:keepNext/>
        <w:ind w:left="357" w:hanging="357"/>
        <w:rPr>
          <w:color w:val="auto"/>
        </w:rPr>
      </w:pPr>
      <w:bookmarkStart w:id="58" w:name="_Toc110959467"/>
      <w:bookmarkStart w:id="59" w:name="_Hlk104809839"/>
      <w:r>
        <w:t>Policy o</w:t>
      </w:r>
      <w:r w:rsidR="00996C78">
        <w:t>ptions</w:t>
      </w:r>
      <w:r w:rsidR="00CB50F6">
        <w:t xml:space="preserve"> </w:t>
      </w:r>
      <w:r w:rsidR="003F27F3">
        <w:t>– Infant Sleep Products</w:t>
      </w:r>
      <w:r w:rsidR="006B3221">
        <w:t>, Inclined Sleep Products and Inclined Non-Sleep Products</w:t>
      </w:r>
      <w:bookmarkEnd w:id="58"/>
    </w:p>
    <w:p w14:paraId="0FA437C6" w14:textId="17F04265" w:rsidR="004B62B5" w:rsidRDefault="00C7451C" w:rsidP="004B62B5">
      <w:r>
        <w:t xml:space="preserve">This </w:t>
      </w:r>
      <w:r w:rsidR="00A7462B">
        <w:t>section outlines</w:t>
      </w:r>
      <w:r>
        <w:t xml:space="preserve"> the ACCC’s proposed policy options</w:t>
      </w:r>
      <w:r w:rsidR="008A100E">
        <w:t xml:space="preserve"> and the </w:t>
      </w:r>
      <w:r w:rsidR="00A7462B">
        <w:t>costs, benefits and limitations associated with each option.</w:t>
      </w:r>
      <w:r w:rsidR="00E1318E">
        <w:t xml:space="preserve"> The</w:t>
      </w:r>
      <w:r w:rsidR="003309F7">
        <w:t xml:space="preserve"> options are</w:t>
      </w:r>
      <w:r w:rsidR="003170CB">
        <w:t xml:space="preserve"> </w:t>
      </w:r>
      <w:r w:rsidR="003309F7">
        <w:t xml:space="preserve">listed in the ACCC’s view of </w:t>
      </w:r>
      <w:r w:rsidR="00E1318E">
        <w:t>least to most effective</w:t>
      </w:r>
      <w:r w:rsidR="004B62B5">
        <w:t xml:space="preserve"> to achieve the overarching objective of reducing infant fatalities related to Infant Sleep Products, Inclined Sleep Products and Inclined Non-Sleep Products.</w:t>
      </w:r>
    </w:p>
    <w:p w14:paraId="66E3871C" w14:textId="1D07882F" w:rsidR="00D54BDF" w:rsidRDefault="00D54BDF" w:rsidP="005D4DBE">
      <w:pPr>
        <w:pStyle w:val="Bulletpoint"/>
        <w:numPr>
          <w:ilvl w:val="0"/>
          <w:numId w:val="0"/>
        </w:numPr>
      </w:pPr>
      <w:r>
        <w:t>These options are based on the ACCC’s understanding</w:t>
      </w:r>
      <w:r w:rsidR="00CB514F">
        <w:t xml:space="preserve"> </w:t>
      </w:r>
      <w:r>
        <w:t xml:space="preserve">and have been formulated in response to the risks identified in the Mannen Report and the Expert Reports. </w:t>
      </w:r>
    </w:p>
    <w:p w14:paraId="6A3EEBCA" w14:textId="6C8F29AC" w:rsidR="00282F60" w:rsidRDefault="00E1318E" w:rsidP="00282F60">
      <w:pPr>
        <w:pStyle w:val="Bulletpoint"/>
        <w:numPr>
          <w:ilvl w:val="0"/>
          <w:numId w:val="0"/>
        </w:numPr>
      </w:pPr>
      <w:r>
        <w:t xml:space="preserve">The estimated costs and benefits are indicative </w:t>
      </w:r>
      <w:r w:rsidR="0033680E">
        <w:t>only and</w:t>
      </w:r>
      <w:r>
        <w:t xml:space="preserve"> the ACCC invites submissions to inform a quantitative estimate</w:t>
      </w:r>
      <w:r w:rsidR="00F7217D">
        <w:t>.</w:t>
      </w:r>
      <w:r>
        <w:t xml:space="preserve"> </w:t>
      </w:r>
      <w:r w:rsidR="006C343A">
        <w:t>In particular</w:t>
      </w:r>
      <w:r w:rsidR="00D33AD5">
        <w:t>,</w:t>
      </w:r>
      <w:r w:rsidR="006C343A">
        <w:t xml:space="preserve"> the ACCC is unable to estimate the number of products available for sale in the Australian market, which impacts the estimated cost to industry. </w:t>
      </w:r>
      <w:r w:rsidR="00282F60" w:rsidRPr="0080064D">
        <w:t>The ACCC will use responses to this Consultation Paper to inform a fulsome assessment of potential costs and impacts associated with each option, which will include predicting the efficacy of each option on reducing the number of fatalities and other long</w:t>
      </w:r>
      <w:r w:rsidR="007A1723">
        <w:t>-</w:t>
      </w:r>
      <w:r w:rsidR="00282F60" w:rsidRPr="0080064D">
        <w:t xml:space="preserve">term impacts. </w:t>
      </w:r>
    </w:p>
    <w:p w14:paraId="1E21EDB8" w14:textId="77777777" w:rsidR="00AB42BF" w:rsidRDefault="00901192" w:rsidP="00C7451C">
      <w:r>
        <w:t xml:space="preserve">Possible options relating to the Household </w:t>
      </w:r>
      <w:r w:rsidR="00F5553B">
        <w:t xml:space="preserve">Cots Mandatory Standard </w:t>
      </w:r>
      <w:r>
        <w:t>and Folding Cots</w:t>
      </w:r>
      <w:r w:rsidR="00F5553B">
        <w:t xml:space="preserve"> Mandatory</w:t>
      </w:r>
      <w:r>
        <w:t xml:space="preserve"> Standard have been included separately </w:t>
      </w:r>
      <w:r w:rsidR="00DA7A8D">
        <w:t>(see Part 5</w:t>
      </w:r>
      <w:r w:rsidR="00BC6CE6">
        <w:t xml:space="preserve"> and 6</w:t>
      </w:r>
      <w:r w:rsidR="00DA7A8D">
        <w:t xml:space="preserve">) </w:t>
      </w:r>
      <w:r w:rsidR="00F5553B">
        <w:t>as these relate to existing regulations. H</w:t>
      </w:r>
      <w:r>
        <w:t>owever</w:t>
      </w:r>
      <w:r w:rsidR="000C0336">
        <w:t>, the ACCC anticipates</w:t>
      </w:r>
      <w:r>
        <w:t xml:space="preserve"> any updates to those standards would occur in conjunction with the outcomes of this Consultation Paper. </w:t>
      </w:r>
    </w:p>
    <w:p w14:paraId="410F269E" w14:textId="11373A95" w:rsidR="00C7451C" w:rsidRDefault="00BD4553" w:rsidP="00C7451C">
      <w:r>
        <w:t>T</w:t>
      </w:r>
      <w:r w:rsidRPr="001F1074">
        <w:t>he loss of a child is one of the most extreme stressors that a person can face.</w:t>
      </w:r>
      <w:r>
        <w:t xml:space="preserve"> </w:t>
      </w:r>
      <w:r w:rsidR="00C7451C" w:rsidRPr="00AC1015">
        <w:t>There are wide</w:t>
      </w:r>
      <w:r w:rsidR="007C3D97">
        <w:t xml:space="preserve"> </w:t>
      </w:r>
      <w:r w:rsidR="00C7451C" w:rsidRPr="00AC1015">
        <w:t xml:space="preserve">ranging and </w:t>
      </w:r>
      <w:r w:rsidR="007C3D97" w:rsidRPr="00AC1015">
        <w:t>long</w:t>
      </w:r>
      <w:r w:rsidR="007C3D97">
        <w:t>-term</w:t>
      </w:r>
      <w:r w:rsidR="00C7451C" w:rsidRPr="00AC1015">
        <w:t xml:space="preserve"> </w:t>
      </w:r>
      <w:r w:rsidR="003933E1">
        <w:t xml:space="preserve">impacts </w:t>
      </w:r>
      <w:r w:rsidR="00E1318E">
        <w:t xml:space="preserve">for </w:t>
      </w:r>
      <w:r w:rsidR="00C7451C" w:rsidRPr="00AC1015">
        <w:t xml:space="preserve">families </w:t>
      </w:r>
      <w:r w:rsidR="00E1318E">
        <w:t>and broader society</w:t>
      </w:r>
      <w:r w:rsidR="00C7451C" w:rsidRPr="00AC1015">
        <w:t xml:space="preserve"> following the death of </w:t>
      </w:r>
      <w:r w:rsidR="00C7451C">
        <w:t>an infant</w:t>
      </w:r>
      <w:r>
        <w:t>.</w:t>
      </w:r>
      <w:r w:rsidR="002A6044">
        <w:t xml:space="preserve"> These </w:t>
      </w:r>
      <w:r w:rsidR="003933E1">
        <w:t>impacts</w:t>
      </w:r>
      <w:r w:rsidR="003933E1" w:rsidRPr="00AC1015">
        <w:t xml:space="preserve"> </w:t>
      </w:r>
      <w:r w:rsidR="002A6044" w:rsidRPr="00AC1015">
        <w:t xml:space="preserve">are </w:t>
      </w:r>
      <w:r w:rsidR="002A6044">
        <w:t xml:space="preserve">very </w:t>
      </w:r>
      <w:r w:rsidR="002A6044" w:rsidRPr="00AC1015">
        <w:t xml:space="preserve">important factors in considering the effect of </w:t>
      </w:r>
      <w:r w:rsidR="007C3D97">
        <w:t>the proposed options</w:t>
      </w:r>
      <w:r w:rsidR="002A6044">
        <w:t xml:space="preserve"> and are difficult to quantify</w:t>
      </w:r>
      <w:r w:rsidR="002A6044" w:rsidRPr="00AC1015">
        <w:t>.</w:t>
      </w:r>
      <w:r>
        <w:t xml:space="preserve"> </w:t>
      </w:r>
      <w:r w:rsidR="00F628CB">
        <w:t>For example, parental bereavement has been linked to an increase in mortality, physical health issues and reduced mental health.</w:t>
      </w:r>
      <w:r w:rsidR="00F628CB">
        <w:rPr>
          <w:rStyle w:val="FootnoteReference"/>
        </w:rPr>
        <w:footnoteReference w:id="26"/>
      </w:r>
      <w:r w:rsidR="00F628CB">
        <w:t xml:space="preserve"> </w:t>
      </w:r>
      <w:r w:rsidR="00AC072F">
        <w:t>Given the difficulty to quantify the costs</w:t>
      </w:r>
      <w:r w:rsidR="003933E1">
        <w:t xml:space="preserve"> of these impacts</w:t>
      </w:r>
      <w:r w:rsidR="00AC072F">
        <w:t xml:space="preserve">, </w:t>
      </w:r>
      <w:r w:rsidR="00E1318E" w:rsidRPr="00AA1990">
        <w:t xml:space="preserve">the ACCC’s analysis of </w:t>
      </w:r>
      <w:r w:rsidR="003933E1">
        <w:t xml:space="preserve">impacts and associated </w:t>
      </w:r>
      <w:r w:rsidR="00E1318E" w:rsidRPr="00AA1990">
        <w:t>cost</w:t>
      </w:r>
      <w:r w:rsidR="003933E1">
        <w:t xml:space="preserve"> estimate</w:t>
      </w:r>
      <w:r w:rsidR="00E1318E" w:rsidRPr="00AA1990">
        <w:t>s</w:t>
      </w:r>
      <w:r w:rsidR="00815416">
        <w:t xml:space="preserve"> are considered to be conservative and </w:t>
      </w:r>
      <w:r w:rsidR="004E2F5B">
        <w:t>do</w:t>
      </w:r>
      <w:r w:rsidR="00815416">
        <w:t xml:space="preserve"> not account for </w:t>
      </w:r>
      <w:r w:rsidR="00E1318E" w:rsidRPr="00AA1990">
        <w:t>qualitative considerations</w:t>
      </w:r>
      <w:r w:rsidR="00DF3E9A" w:rsidRPr="00DF3E9A">
        <w:t xml:space="preserve"> such as emotional distress and long-term psychological impacts.</w:t>
      </w:r>
    </w:p>
    <w:p w14:paraId="2B8A7725" w14:textId="5A6E68D5" w:rsidR="00917182" w:rsidRPr="00BA43B8" w:rsidRDefault="00917182" w:rsidP="00917182">
      <w:pPr>
        <w:shd w:val="clear" w:color="auto" w:fill="F2F2F2" w:themeFill="background1" w:themeFillShade="F2"/>
        <w:rPr>
          <w:b/>
          <w:bCs/>
          <w:szCs w:val="24"/>
        </w:rPr>
      </w:pPr>
      <w:r w:rsidRPr="00BA43B8">
        <w:rPr>
          <w:b/>
          <w:bCs/>
          <w:szCs w:val="24"/>
        </w:rPr>
        <w:t>Question</w:t>
      </w:r>
      <w:r>
        <w:rPr>
          <w:b/>
          <w:bCs/>
          <w:szCs w:val="24"/>
        </w:rPr>
        <w:t>s</w:t>
      </w:r>
    </w:p>
    <w:p w14:paraId="7A098634" w14:textId="1DD7AA60" w:rsidR="00917182" w:rsidRPr="00043E05" w:rsidRDefault="00917182" w:rsidP="00043E05">
      <w:pPr>
        <w:pStyle w:val="ListParagraph"/>
        <w:numPr>
          <w:ilvl w:val="0"/>
          <w:numId w:val="67"/>
        </w:numPr>
        <w:shd w:val="clear" w:color="auto" w:fill="F2F2F2" w:themeFill="background1" w:themeFillShade="F2"/>
        <w:rPr>
          <w:bCs/>
          <w:szCs w:val="24"/>
        </w:rPr>
      </w:pPr>
      <w:bookmarkStart w:id="60" w:name="_Hlk106637456"/>
      <w:r w:rsidRPr="00043E05">
        <w:rPr>
          <w:bCs/>
          <w:szCs w:val="24"/>
        </w:rPr>
        <w:t>Which of the proposed options do you prefer and why?</w:t>
      </w:r>
    </w:p>
    <w:p w14:paraId="242519EE" w14:textId="57D25E9A" w:rsidR="00917182" w:rsidRPr="00043E05" w:rsidRDefault="007B297C" w:rsidP="00043E05">
      <w:pPr>
        <w:pStyle w:val="ListParagraph"/>
        <w:numPr>
          <w:ilvl w:val="0"/>
          <w:numId w:val="67"/>
        </w:numPr>
        <w:shd w:val="clear" w:color="auto" w:fill="F2F2F2" w:themeFill="background1" w:themeFillShade="F2"/>
        <w:rPr>
          <w:bCs/>
          <w:szCs w:val="24"/>
        </w:rPr>
      </w:pPr>
      <w:r>
        <w:rPr>
          <w:bCs/>
          <w:szCs w:val="24"/>
        </w:rPr>
        <w:t xml:space="preserve">Do you think </w:t>
      </w:r>
      <w:r w:rsidR="00917182" w:rsidRPr="00043E05">
        <w:rPr>
          <w:bCs/>
          <w:szCs w:val="24"/>
        </w:rPr>
        <w:t>there any other options not included in this Consultation Paper the ACCC ought to consider and why?</w:t>
      </w:r>
    </w:p>
    <w:p w14:paraId="3EEAC4CA" w14:textId="45003B3B" w:rsidR="00917182" w:rsidRPr="00043E05" w:rsidRDefault="00917182" w:rsidP="00043E05">
      <w:pPr>
        <w:pStyle w:val="ListParagraph"/>
        <w:numPr>
          <w:ilvl w:val="0"/>
          <w:numId w:val="67"/>
        </w:numPr>
        <w:shd w:val="clear" w:color="auto" w:fill="F2F2F2" w:themeFill="background1" w:themeFillShade="F2"/>
        <w:rPr>
          <w:bCs/>
          <w:szCs w:val="24"/>
        </w:rPr>
      </w:pPr>
      <w:r w:rsidRPr="00043E05">
        <w:rPr>
          <w:bCs/>
          <w:szCs w:val="24"/>
        </w:rPr>
        <w:t>What are the likely costs to implement the requirements for each option for industry? Please outline how this would impact the price and availability of products for consumers.</w:t>
      </w:r>
    </w:p>
    <w:p w14:paraId="3EAE655F" w14:textId="532778B1" w:rsidR="007B6F7A" w:rsidRPr="00C56D9F" w:rsidRDefault="007B6F7A" w:rsidP="00043E05">
      <w:pPr>
        <w:pStyle w:val="ListParagraph"/>
        <w:numPr>
          <w:ilvl w:val="0"/>
          <w:numId w:val="67"/>
        </w:numPr>
        <w:shd w:val="clear" w:color="auto" w:fill="F2F2F2" w:themeFill="background1" w:themeFillShade="F2"/>
      </w:pPr>
      <w:r w:rsidRPr="00C56D9F">
        <w:t>How many units and product lines do you anticipate would be affected by each option?</w:t>
      </w:r>
    </w:p>
    <w:p w14:paraId="35944F1D" w14:textId="474CA163" w:rsidR="00917182" w:rsidRPr="00043E05" w:rsidRDefault="00917182" w:rsidP="00043E05">
      <w:pPr>
        <w:pStyle w:val="ListParagraph"/>
        <w:numPr>
          <w:ilvl w:val="0"/>
          <w:numId w:val="67"/>
        </w:numPr>
        <w:shd w:val="clear" w:color="auto" w:fill="F2F2F2" w:themeFill="background1" w:themeFillShade="F2"/>
        <w:rPr>
          <w:bCs/>
          <w:szCs w:val="24"/>
        </w:rPr>
      </w:pPr>
      <w:r w:rsidRPr="00043E05">
        <w:rPr>
          <w:bCs/>
          <w:szCs w:val="24"/>
        </w:rPr>
        <w:t>Where possible, please provide further information about the likely costs or impacts for each of the proposed options.</w:t>
      </w:r>
    </w:p>
    <w:p w14:paraId="746DF9D3" w14:textId="64BB41F9" w:rsidR="00D607C9" w:rsidRDefault="003309F7" w:rsidP="00BF425F">
      <w:pPr>
        <w:pStyle w:val="Numbered11"/>
      </w:pPr>
      <w:bookmarkStart w:id="61" w:name="_Toc106637678"/>
      <w:bookmarkStart w:id="62" w:name="_Toc107326642"/>
      <w:bookmarkStart w:id="63" w:name="_Toc110959468"/>
      <w:bookmarkEnd w:id="60"/>
      <w:r>
        <w:t>Option 1</w:t>
      </w:r>
      <w:r w:rsidR="00D607C9">
        <w:t>: Take no action</w:t>
      </w:r>
      <w:bookmarkEnd w:id="61"/>
      <w:bookmarkEnd w:id="62"/>
      <w:bookmarkEnd w:id="63"/>
    </w:p>
    <w:p w14:paraId="3BFE7F6D" w14:textId="6BED2FF7" w:rsidR="00D607C9" w:rsidRDefault="00424D61" w:rsidP="00F5553B">
      <w:pPr>
        <w:pBdr>
          <w:top w:val="single" w:sz="4" w:space="1" w:color="auto"/>
          <w:left w:val="single" w:sz="4" w:space="4" w:color="auto"/>
          <w:bottom w:val="single" w:sz="4" w:space="1" w:color="auto"/>
          <w:right w:val="single" w:sz="4" w:space="4" w:color="auto"/>
        </w:pBdr>
        <w:shd w:val="clear" w:color="auto" w:fill="D5D6D2" w:themeFill="background2"/>
        <w:spacing w:after="200"/>
      </w:pPr>
      <w:r w:rsidRPr="00424D61">
        <w:rPr>
          <w:b/>
          <w:bCs/>
        </w:rPr>
        <w:t>Option 1:</w:t>
      </w:r>
      <w:r>
        <w:t xml:space="preserve"> </w:t>
      </w:r>
      <w:r w:rsidR="001F0C87">
        <w:t>N</w:t>
      </w:r>
      <w:r w:rsidR="00D607C9">
        <w:t xml:space="preserve">o </w:t>
      </w:r>
      <w:r w:rsidR="00B322DB">
        <w:t>regulatory changes.</w:t>
      </w:r>
    </w:p>
    <w:p w14:paraId="704D0FDD" w14:textId="3019780D" w:rsidR="00133375" w:rsidRDefault="00133375" w:rsidP="00D607C9">
      <w:r>
        <w:t xml:space="preserve">Under the status quo, </w:t>
      </w:r>
      <w:r w:rsidR="002B1557">
        <w:t>the</w:t>
      </w:r>
      <w:r w:rsidR="00CF5CFA">
        <w:t xml:space="preserve"> risks associated with</w:t>
      </w:r>
      <w:r w:rsidR="002B1557">
        <w:t xml:space="preserve"> incline</w:t>
      </w:r>
      <w:r w:rsidR="00CF5CFA">
        <w:t>,</w:t>
      </w:r>
      <w:r w:rsidR="002B1557">
        <w:t xml:space="preserve"> </w:t>
      </w:r>
      <w:r w:rsidR="007C1FA3">
        <w:t>curvature, rigidity and material w</w:t>
      </w:r>
      <w:r w:rsidR="002B1557">
        <w:t>ould not be addressed</w:t>
      </w:r>
      <w:r w:rsidR="00453CDC">
        <w:t xml:space="preserve"> and many Infant Sleep Products would continue to be unregulated, including b</w:t>
      </w:r>
      <w:r w:rsidR="002B1557">
        <w:t>assinets.</w:t>
      </w:r>
    </w:p>
    <w:p w14:paraId="188DE96A" w14:textId="3D9901C9" w:rsidR="00133375" w:rsidRDefault="00133375" w:rsidP="00D607C9">
      <w:r>
        <w:t>Given international developments</w:t>
      </w:r>
      <w:r w:rsidR="007C1FA3">
        <w:t xml:space="preserve"> relating to </w:t>
      </w:r>
      <w:r w:rsidR="00506B3C">
        <w:t>Infant Sleep Products</w:t>
      </w:r>
      <w:r w:rsidR="007C1FA3">
        <w:t>, particularly by the U</w:t>
      </w:r>
      <w:r w:rsidR="00F70167">
        <w:t xml:space="preserve">nited </w:t>
      </w:r>
      <w:r w:rsidR="007C1FA3">
        <w:t>S</w:t>
      </w:r>
      <w:r w:rsidR="00F70167">
        <w:t>tates,</w:t>
      </w:r>
      <w:r w:rsidR="007C1FA3">
        <w:t xml:space="preserve"> </w:t>
      </w:r>
      <w:r>
        <w:t>suppliers may self-regulate by adopting voluntary</w:t>
      </w:r>
      <w:r w:rsidR="00A01F30">
        <w:t xml:space="preserve"> or international</w:t>
      </w:r>
      <w:r>
        <w:t xml:space="preserve"> standard</w:t>
      </w:r>
      <w:r w:rsidR="00A01F30">
        <w:t>s</w:t>
      </w:r>
      <w:r>
        <w:t xml:space="preserve"> that address</w:t>
      </w:r>
      <w:r w:rsidR="00A01F30">
        <w:t xml:space="preserve"> some of</w:t>
      </w:r>
      <w:r>
        <w:t xml:space="preserve"> the risk</w:t>
      </w:r>
      <w:r w:rsidR="00C542DF">
        <w:t>s</w:t>
      </w:r>
      <w:r w:rsidR="004D453B">
        <w:t xml:space="preserve"> associated with</w:t>
      </w:r>
      <w:r>
        <w:t xml:space="preserve"> Infant Sleep Products. </w:t>
      </w:r>
    </w:p>
    <w:p w14:paraId="3397E623" w14:textId="05470C25" w:rsidR="00D607C9" w:rsidRDefault="002B1557" w:rsidP="00D607C9">
      <w:pPr>
        <w:pStyle w:val="Numbered111"/>
      </w:pPr>
      <w:bookmarkStart w:id="64" w:name="_Toc105574822"/>
      <w:bookmarkStart w:id="65" w:name="_Toc105747306"/>
      <w:bookmarkStart w:id="66" w:name="_Toc106349142"/>
      <w:bookmarkStart w:id="67" w:name="_Toc106637679"/>
      <w:bookmarkStart w:id="68" w:name="_Toc106802895"/>
      <w:bookmarkStart w:id="69" w:name="_Toc107326643"/>
      <w:bookmarkStart w:id="70" w:name="_Toc107582447"/>
      <w:bookmarkStart w:id="71" w:name="_Toc108538315"/>
      <w:bookmarkStart w:id="72" w:name="_Toc109039357"/>
      <w:bookmarkStart w:id="73" w:name="_Toc110871625"/>
      <w:bookmarkStart w:id="74" w:name="_Toc110959469"/>
      <w:r>
        <w:t>Estimated c</w:t>
      </w:r>
      <w:r w:rsidR="00D607C9">
        <w:t>osts</w:t>
      </w:r>
      <w:bookmarkEnd w:id="64"/>
      <w:bookmarkEnd w:id="65"/>
      <w:bookmarkEnd w:id="66"/>
      <w:bookmarkEnd w:id="67"/>
      <w:bookmarkEnd w:id="68"/>
      <w:bookmarkEnd w:id="69"/>
      <w:bookmarkEnd w:id="70"/>
      <w:bookmarkEnd w:id="71"/>
      <w:bookmarkEnd w:id="72"/>
      <w:bookmarkEnd w:id="73"/>
      <w:bookmarkEnd w:id="74"/>
    </w:p>
    <w:p w14:paraId="048DB0C7" w14:textId="77777777" w:rsidR="00D60F80" w:rsidRDefault="008C205C" w:rsidP="00011B55">
      <w:r w:rsidRPr="008C205C">
        <w:t>No regulatory costs would be imposed on industry or consumers if the status quo is maintained.</w:t>
      </w:r>
      <w:r w:rsidR="00677C77">
        <w:t xml:space="preserve"> </w:t>
      </w:r>
      <w:r w:rsidR="004718DF">
        <w:t xml:space="preserve">However, if no government action is taken, it is estimated that </w:t>
      </w:r>
      <w:r w:rsidR="007B297C">
        <w:t>0.968 fatalities associated with Infant Sleep Products and 1.87 fatalities associated with Inclined Sleep</w:t>
      </w:r>
      <w:r w:rsidR="00D82439">
        <w:t xml:space="preserve"> Products and Inclined Non-Sleep Products</w:t>
      </w:r>
      <w:r w:rsidR="004718DF">
        <w:t xml:space="preserve"> will continue to occur each year</w:t>
      </w:r>
      <w:r w:rsidR="003933E1">
        <w:t>.</w:t>
      </w:r>
    </w:p>
    <w:p w14:paraId="2FFE797D" w14:textId="07AB8B17" w:rsidR="00D60F80" w:rsidRDefault="00606E9B" w:rsidP="00D60F80">
      <w:r>
        <w:t xml:space="preserve">According to </w:t>
      </w:r>
      <w:r w:rsidR="00CE1B12">
        <w:t>the Office of Best Practice</w:t>
      </w:r>
      <w:r w:rsidR="00004F89">
        <w:t xml:space="preserve"> Regulation Guidance Note</w:t>
      </w:r>
      <w:r>
        <w:t>, t</w:t>
      </w:r>
      <w:r w:rsidR="00D60F80" w:rsidRPr="00C13DA9">
        <w:t xml:space="preserve">he </w:t>
      </w:r>
      <w:r w:rsidR="00D60F80">
        <w:t>V</w:t>
      </w:r>
      <w:r w:rsidR="00D60F80" w:rsidRPr="00C13DA9">
        <w:t xml:space="preserve">alue of </w:t>
      </w:r>
      <w:r w:rsidR="00D60F80">
        <w:t>S</w:t>
      </w:r>
      <w:r w:rsidR="00D60F80" w:rsidRPr="00C13DA9">
        <w:t xml:space="preserve">tatistical </w:t>
      </w:r>
      <w:r w:rsidR="00D60F80">
        <w:t>L</w:t>
      </w:r>
      <w:r w:rsidR="00D60F80" w:rsidRPr="00C13DA9">
        <w:t>ife</w:t>
      </w:r>
      <w:r w:rsidR="00D60F80">
        <w:t xml:space="preserve"> (VSL)</w:t>
      </w:r>
      <w:r w:rsidR="00D60F80" w:rsidRPr="00C13DA9">
        <w:t xml:space="preserve"> is most appropriately measured by estimating how much society is willing to pay to reduce the risk of death. Based on international and Australian research a credible estimate of the value of statistical life is $5.1m in 2021 dollars</w:t>
      </w:r>
      <w:r w:rsidR="00D60F80">
        <w:t>.</w:t>
      </w:r>
      <w:r w:rsidR="00D60F80">
        <w:rPr>
          <w:rStyle w:val="FootnoteReference"/>
        </w:rPr>
        <w:footnoteReference w:id="27"/>
      </w:r>
      <w:r w:rsidR="00D60F80">
        <w:t xml:space="preserve"> The VSL figure allows for the potential monetary costs and benefits of regulatory options to be compared.</w:t>
      </w:r>
    </w:p>
    <w:p w14:paraId="7F4CBE6F" w14:textId="6E0121C7" w:rsidR="003B3004" w:rsidRDefault="003B3004" w:rsidP="00011B55">
      <w:r>
        <w:t xml:space="preserve">Using this framework, </w:t>
      </w:r>
      <w:r w:rsidR="00D60F80">
        <w:t>with no regulatory intervention</w:t>
      </w:r>
      <w:r>
        <w:t xml:space="preserve">, the </w:t>
      </w:r>
      <w:r w:rsidRPr="003C0026">
        <w:t>value of statistical live</w:t>
      </w:r>
      <w:r w:rsidR="00D60F80">
        <w:t>s</w:t>
      </w:r>
      <w:r w:rsidRPr="003C0026">
        <w:t xml:space="preserve"> lost </w:t>
      </w:r>
      <w:r w:rsidR="00D60F80">
        <w:t>is</w:t>
      </w:r>
      <w:r w:rsidRPr="003C0026">
        <w:t xml:space="preserve"> estimated as $14.47 million per year</w:t>
      </w:r>
      <w:r w:rsidRPr="00133FDC">
        <w:t>.</w:t>
      </w:r>
    </w:p>
    <w:p w14:paraId="5DC58AB2" w14:textId="5D995F22" w:rsidR="004718DF" w:rsidRDefault="00512637" w:rsidP="00512637">
      <w:pPr>
        <w:pStyle w:val="Tabletitle"/>
      </w:pPr>
      <w:r w:rsidRPr="00913B86">
        <w:t xml:space="preserve">Table </w:t>
      </w:r>
      <w:r w:rsidR="00013FEC">
        <w:t>4</w:t>
      </w:r>
      <w:r w:rsidRPr="00913B86">
        <w:t xml:space="preserve">: </w:t>
      </w:r>
      <w:r w:rsidR="00743F33" w:rsidRPr="00913B86">
        <w:t>Estimated costs</w:t>
      </w:r>
      <w:r w:rsidRPr="00913B86">
        <w:t xml:space="preserve"> of </w:t>
      </w:r>
      <w:r w:rsidR="00087898" w:rsidRPr="00913B86">
        <w:t>no action</w:t>
      </w:r>
    </w:p>
    <w:tbl>
      <w:tblPr>
        <w:tblStyle w:val="TableGrid"/>
        <w:tblW w:w="0" w:type="auto"/>
        <w:tblLook w:val="0400" w:firstRow="0" w:lastRow="0" w:firstColumn="0" w:lastColumn="0" w:noHBand="0" w:noVBand="1"/>
      </w:tblPr>
      <w:tblGrid>
        <w:gridCol w:w="4513"/>
        <w:gridCol w:w="4513"/>
      </w:tblGrid>
      <w:tr w:rsidR="00C542DF" w:rsidRPr="004718DF" w14:paraId="0EB9F56B" w14:textId="77777777" w:rsidTr="004718DF">
        <w:tc>
          <w:tcPr>
            <w:tcW w:w="4513" w:type="dxa"/>
          </w:tcPr>
          <w:p w14:paraId="4D5EEE67" w14:textId="4F709A3E" w:rsidR="00C542DF" w:rsidRPr="004718DF" w:rsidRDefault="00C542DF" w:rsidP="00720CDB">
            <w:pPr>
              <w:pStyle w:val="Tabletext"/>
            </w:pPr>
            <w:r w:rsidRPr="004718DF">
              <w:t>Value of Statistical Life (VSL)</w:t>
            </w:r>
          </w:p>
        </w:tc>
        <w:tc>
          <w:tcPr>
            <w:tcW w:w="4513" w:type="dxa"/>
          </w:tcPr>
          <w:p w14:paraId="4DECC121" w14:textId="4D3F80DC" w:rsidR="00C542DF" w:rsidRPr="004718DF" w:rsidRDefault="001E26A2" w:rsidP="00720CDB">
            <w:pPr>
              <w:pStyle w:val="Tabletext"/>
            </w:pPr>
            <w:r w:rsidRPr="004718DF">
              <w:t>$5.1 million (</w:t>
            </w:r>
            <w:r>
              <w:t>2021 dollars)</w:t>
            </w:r>
          </w:p>
        </w:tc>
      </w:tr>
      <w:tr w:rsidR="00512637" w:rsidRPr="001E26A2" w14:paraId="60E1CE5A" w14:textId="77777777" w:rsidTr="004718DF">
        <w:tc>
          <w:tcPr>
            <w:tcW w:w="4513" w:type="dxa"/>
          </w:tcPr>
          <w:p w14:paraId="224A3645" w14:textId="187038F3" w:rsidR="00512637" w:rsidRDefault="00512637" w:rsidP="00720CDB">
            <w:pPr>
              <w:pStyle w:val="Tabletext"/>
            </w:pPr>
            <w:r>
              <w:t>Estimated deaths associated with Infant Sleep Products per year</w:t>
            </w:r>
          </w:p>
        </w:tc>
        <w:tc>
          <w:tcPr>
            <w:tcW w:w="4513" w:type="dxa"/>
          </w:tcPr>
          <w:p w14:paraId="021E613E" w14:textId="7A5047EC" w:rsidR="00512637" w:rsidRDefault="00097817" w:rsidP="00720CDB">
            <w:pPr>
              <w:pStyle w:val="Tabletext"/>
            </w:pPr>
            <w:r>
              <w:t>0.968</w:t>
            </w:r>
            <w:r w:rsidR="00093205">
              <w:t xml:space="preserve"> fatalities</w:t>
            </w:r>
          </w:p>
          <w:p w14:paraId="1410BAFA" w14:textId="42067B69" w:rsidR="00093205" w:rsidRPr="00093205" w:rsidRDefault="00093205" w:rsidP="00720CDB">
            <w:pPr>
              <w:pStyle w:val="Tabletext"/>
              <w:rPr>
                <w:b/>
                <w:bCs/>
              </w:rPr>
            </w:pPr>
          </w:p>
        </w:tc>
      </w:tr>
      <w:tr w:rsidR="00DA0712" w:rsidRPr="001E26A2" w14:paraId="1BC13E36" w14:textId="77777777" w:rsidTr="004718DF">
        <w:tc>
          <w:tcPr>
            <w:tcW w:w="4513" w:type="dxa"/>
          </w:tcPr>
          <w:p w14:paraId="3A097382" w14:textId="704CE6DA" w:rsidR="00DA0712" w:rsidRPr="00097817" w:rsidRDefault="00DA0712" w:rsidP="00720CDB">
            <w:pPr>
              <w:pStyle w:val="Tabletext"/>
            </w:pPr>
            <w:r w:rsidRPr="00097817">
              <w:t>Estimated deaths associated with Inclined Sleep</w:t>
            </w:r>
            <w:r w:rsidR="00D82439">
              <w:t xml:space="preserve"> Products</w:t>
            </w:r>
            <w:r w:rsidRPr="00097817">
              <w:t xml:space="preserve"> and </w:t>
            </w:r>
            <w:r w:rsidR="00434B95" w:rsidRPr="00097817">
              <w:t xml:space="preserve">Inclined </w:t>
            </w:r>
            <w:r w:rsidRPr="00097817">
              <w:t>Non-Sleep Products per year</w:t>
            </w:r>
          </w:p>
        </w:tc>
        <w:tc>
          <w:tcPr>
            <w:tcW w:w="4513" w:type="dxa"/>
          </w:tcPr>
          <w:p w14:paraId="17A122D0" w14:textId="682E73C9" w:rsidR="00DA0712" w:rsidRPr="00097817" w:rsidRDefault="00097817" w:rsidP="00720CDB">
            <w:pPr>
              <w:pStyle w:val="Tabletext"/>
            </w:pPr>
            <w:r w:rsidRPr="00097817">
              <w:t>1.87 fatalities</w:t>
            </w:r>
            <w:r w:rsidR="00DA0712" w:rsidRPr="00097817">
              <w:t xml:space="preserve"> </w:t>
            </w:r>
          </w:p>
        </w:tc>
      </w:tr>
      <w:tr w:rsidR="00093205" w:rsidRPr="001E26A2" w14:paraId="77D1C2DD" w14:textId="77777777" w:rsidTr="00F81A2A">
        <w:tc>
          <w:tcPr>
            <w:tcW w:w="0" w:type="dxa"/>
          </w:tcPr>
          <w:p w14:paraId="162485CB" w14:textId="72B19F89" w:rsidR="00093205" w:rsidRDefault="00093205" w:rsidP="00720CDB">
            <w:pPr>
              <w:pStyle w:val="Tabletext"/>
            </w:pPr>
            <w:r>
              <w:t>Total</w:t>
            </w:r>
          </w:p>
        </w:tc>
        <w:tc>
          <w:tcPr>
            <w:tcW w:w="0" w:type="dxa"/>
            <w:shd w:val="clear" w:color="auto" w:fill="FFE3CC" w:themeFill="accent6" w:themeFillTint="33"/>
          </w:tcPr>
          <w:p w14:paraId="122D8847" w14:textId="5FB1DFD0" w:rsidR="00093205" w:rsidRDefault="00093205" w:rsidP="00720CDB">
            <w:pPr>
              <w:pStyle w:val="Tabletext"/>
            </w:pPr>
            <w:r w:rsidRPr="00093205">
              <w:rPr>
                <w:b/>
                <w:bCs/>
              </w:rPr>
              <w:t>$</w:t>
            </w:r>
            <w:r w:rsidR="00097817">
              <w:rPr>
                <w:b/>
                <w:bCs/>
              </w:rPr>
              <w:t>14.47</w:t>
            </w:r>
            <w:r w:rsidRPr="00093205">
              <w:rPr>
                <w:b/>
                <w:bCs/>
              </w:rPr>
              <w:t xml:space="preserve"> million per year</w:t>
            </w:r>
          </w:p>
        </w:tc>
      </w:tr>
    </w:tbl>
    <w:p w14:paraId="247F81E0" w14:textId="32C005F8" w:rsidR="008D6CD4" w:rsidRDefault="008D6CD4" w:rsidP="00DF26FB">
      <w:pPr>
        <w:pStyle w:val="Numbered11"/>
      </w:pPr>
      <w:bookmarkStart w:id="75" w:name="_Toc106637680"/>
      <w:bookmarkStart w:id="76" w:name="_Toc107326644"/>
      <w:bookmarkStart w:id="77" w:name="_Toc110959470"/>
      <w:r>
        <w:t xml:space="preserve">Option </w:t>
      </w:r>
      <w:r w:rsidR="000875B8">
        <w:t>2</w:t>
      </w:r>
      <w:r>
        <w:t>: Education campaign</w:t>
      </w:r>
      <w:bookmarkEnd w:id="75"/>
      <w:bookmarkEnd w:id="76"/>
      <w:bookmarkEnd w:id="77"/>
    </w:p>
    <w:p w14:paraId="6D15E526" w14:textId="13F0D2A0" w:rsidR="00113AFC" w:rsidRDefault="00424D61" w:rsidP="00357A52">
      <w:pPr>
        <w:pStyle w:val="Bulletpoint"/>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424D61">
        <w:rPr>
          <w:b/>
          <w:bCs/>
        </w:rPr>
        <w:t xml:space="preserve">Option </w:t>
      </w:r>
      <w:r w:rsidR="000875B8">
        <w:rPr>
          <w:b/>
          <w:bCs/>
        </w:rPr>
        <w:t>2</w:t>
      </w:r>
      <w:r w:rsidRPr="00424D61">
        <w:rPr>
          <w:b/>
          <w:bCs/>
        </w:rPr>
        <w:t>:</w:t>
      </w:r>
      <w:r>
        <w:t xml:space="preserve"> </w:t>
      </w:r>
      <w:r w:rsidR="008D6CD4">
        <w:t>Implement a</w:t>
      </w:r>
      <w:r w:rsidR="00113AFC">
        <w:t xml:space="preserve"> safe sleep consumer</w:t>
      </w:r>
      <w:r w:rsidR="008D6CD4">
        <w:t xml:space="preserve"> </w:t>
      </w:r>
      <w:r w:rsidR="008D6CD4" w:rsidRPr="00113AFC">
        <w:t>education campaign</w:t>
      </w:r>
      <w:r w:rsidR="00113AFC">
        <w:t xml:space="preserve"> </w:t>
      </w:r>
    </w:p>
    <w:p w14:paraId="1C86C13D" w14:textId="6F3CE5D9" w:rsidR="00D93A96" w:rsidRDefault="00710702" w:rsidP="008D6CD4">
      <w:pPr>
        <w:pStyle w:val="Bulletpoint"/>
        <w:numPr>
          <w:ilvl w:val="0"/>
          <w:numId w:val="0"/>
        </w:numPr>
      </w:pPr>
      <w:r>
        <w:t>A safe sleep consumer education campaign</w:t>
      </w:r>
      <w:r w:rsidR="00113AFC">
        <w:t xml:space="preserve"> would seek</w:t>
      </w:r>
      <w:r w:rsidR="008D6CD4">
        <w:t xml:space="preserve"> to ensure that new parents</w:t>
      </w:r>
      <w:r w:rsidR="00301EBD">
        <w:t xml:space="preserve"> and </w:t>
      </w:r>
      <w:r w:rsidR="008D6CD4">
        <w:t>caregivers are aware of the</w:t>
      </w:r>
      <w:r w:rsidR="00113AFC">
        <w:t xml:space="preserve"> </w:t>
      </w:r>
      <w:r>
        <w:t>various</w:t>
      </w:r>
      <w:r w:rsidR="00113AFC">
        <w:t xml:space="preserve"> risks</w:t>
      </w:r>
      <w:r w:rsidR="00D93A96">
        <w:t xml:space="preserve"> associated with infant sleep</w:t>
      </w:r>
      <w:r w:rsidR="00113AFC">
        <w:t>, including those posed by incline</w:t>
      </w:r>
      <w:r w:rsidR="00C3794F">
        <w:t>,</w:t>
      </w:r>
      <w:r w:rsidR="00113AFC">
        <w:t xml:space="preserve"> </w:t>
      </w:r>
      <w:r w:rsidR="00E6198E">
        <w:t xml:space="preserve">curvature, rigidity and material used </w:t>
      </w:r>
      <w:r w:rsidR="00113AFC">
        <w:t xml:space="preserve">and would </w:t>
      </w:r>
      <w:r w:rsidR="008D6CD4">
        <w:t>outline risk mitigation strategies.</w:t>
      </w:r>
      <w:r w:rsidR="00113AFC">
        <w:t xml:space="preserve"> </w:t>
      </w:r>
      <w:r w:rsidR="00D93A96">
        <w:t>An education campaign would</w:t>
      </w:r>
      <w:r w:rsidR="00941158">
        <w:t xml:space="preserve"> respond to the risks by</w:t>
      </w:r>
      <w:r w:rsidR="00D02981">
        <w:t xml:space="preserve"> target</w:t>
      </w:r>
      <w:r w:rsidR="00941158">
        <w:t>ing</w:t>
      </w:r>
      <w:r w:rsidR="00D02981">
        <w:t xml:space="preserve"> </w:t>
      </w:r>
      <w:r w:rsidR="005628DF">
        <w:t xml:space="preserve">first time parents through </w:t>
      </w:r>
      <w:r w:rsidR="00D02981">
        <w:t>online platforms</w:t>
      </w:r>
      <w:r w:rsidR="005628DF">
        <w:t>,</w:t>
      </w:r>
      <w:r w:rsidR="00D02981">
        <w:t xml:space="preserve"> social media and </w:t>
      </w:r>
      <w:r w:rsidR="005628DF">
        <w:t>information provided at hospitals and by key infant safety stakeholders</w:t>
      </w:r>
      <w:r w:rsidR="00D02981">
        <w:t>.</w:t>
      </w:r>
      <w:r w:rsidR="00941158">
        <w:t xml:space="preserve"> The ACCC notes this </w:t>
      </w:r>
      <w:r w:rsidR="000C0336">
        <w:t>o</w:t>
      </w:r>
      <w:r w:rsidR="00941158">
        <w:t xml:space="preserve">ption would not remove or address the design risks inherent in Infant Sleep Products or Inclined Sleep Products and </w:t>
      </w:r>
      <w:r w:rsidR="00D82439">
        <w:t>Inclined Non-</w:t>
      </w:r>
      <w:r w:rsidR="00941158">
        <w:t>Sleep Products.</w:t>
      </w:r>
      <w:r w:rsidR="00D02981">
        <w:t xml:space="preserve"> </w:t>
      </w:r>
      <w:r w:rsidR="00941158">
        <w:t>However, s</w:t>
      </w:r>
      <w:r w:rsidR="00D02981">
        <w:t>uch a campaign would</w:t>
      </w:r>
      <w:r w:rsidR="00D93A96">
        <w:t xml:space="preserve"> </w:t>
      </w:r>
      <w:r w:rsidR="00FD5B32">
        <w:t xml:space="preserve">further </w:t>
      </w:r>
      <w:r w:rsidR="00D02981">
        <w:t>publicise</w:t>
      </w:r>
      <w:r w:rsidR="008D0EAE">
        <w:t xml:space="preserve"> existing</w:t>
      </w:r>
      <w:r w:rsidR="00D93A96">
        <w:t xml:space="preserve"> public health advice regarding infant safe sleep</w:t>
      </w:r>
      <w:r w:rsidR="00C13DA9">
        <w:t>, including to refrain from placing any objects such as soft toys or blankets in the sleep environment</w:t>
      </w:r>
      <w:r w:rsidR="00D93A96">
        <w:t>.</w:t>
      </w:r>
      <w:r w:rsidR="0026777E">
        <w:t xml:space="preserve"> </w:t>
      </w:r>
    </w:p>
    <w:p w14:paraId="5374A7CD" w14:textId="1E2FE981" w:rsidR="004A6DA7" w:rsidRDefault="00D82439" w:rsidP="008D6CD4">
      <w:pPr>
        <w:pStyle w:val="Bulletpoint"/>
        <w:numPr>
          <w:ilvl w:val="0"/>
          <w:numId w:val="0"/>
        </w:numPr>
      </w:pPr>
      <w:r>
        <w:t>Most stakeholders who responded to the Issues Paper supported a</w:t>
      </w:r>
      <w:r w:rsidR="00B27122">
        <w:t xml:space="preserve"> </w:t>
      </w:r>
      <w:r w:rsidR="004A6DA7" w:rsidRPr="004A6DA7">
        <w:t>consumer education campaign</w:t>
      </w:r>
      <w:r w:rsidR="00F670AB">
        <w:t>.</w:t>
      </w:r>
    </w:p>
    <w:p w14:paraId="27F410B1" w14:textId="7D5E250B" w:rsidR="00C82679" w:rsidRDefault="00C82679" w:rsidP="008D6CD4">
      <w:pPr>
        <w:pStyle w:val="Bulletpoint"/>
        <w:numPr>
          <w:ilvl w:val="0"/>
          <w:numId w:val="0"/>
        </w:numPr>
      </w:pPr>
      <w:r w:rsidRPr="00F66BD5">
        <w:t>The ACCC envisions a safe sleep consumer education campaign would complement, rather than duplicate, existing measures, such as Red Nose and the ACCC’s Your First Steps web</w:t>
      </w:r>
      <w:r w:rsidR="00066649" w:rsidRPr="00F66BD5">
        <w:t>site</w:t>
      </w:r>
      <w:r w:rsidRPr="00F66BD5">
        <w:t>.</w:t>
      </w:r>
    </w:p>
    <w:p w14:paraId="276E3F6A" w14:textId="6AEBC551" w:rsidR="008D6CD4" w:rsidRDefault="008D6CD4" w:rsidP="008D6CD4">
      <w:pPr>
        <w:pStyle w:val="Numbered111"/>
      </w:pPr>
      <w:bookmarkStart w:id="78" w:name="_Toc105574824"/>
      <w:bookmarkStart w:id="79" w:name="_Toc105747308"/>
      <w:bookmarkStart w:id="80" w:name="_Toc106349144"/>
      <w:bookmarkStart w:id="81" w:name="_Toc106637681"/>
      <w:bookmarkStart w:id="82" w:name="_Toc106802897"/>
      <w:bookmarkStart w:id="83" w:name="_Toc107326645"/>
      <w:bookmarkStart w:id="84" w:name="_Toc107582449"/>
      <w:bookmarkStart w:id="85" w:name="_Toc108538317"/>
      <w:bookmarkStart w:id="86" w:name="_Toc109039359"/>
      <w:bookmarkStart w:id="87" w:name="_Toc110871627"/>
      <w:bookmarkStart w:id="88" w:name="_Toc110959471"/>
      <w:r>
        <w:t>Benefits and limitations</w:t>
      </w:r>
      <w:bookmarkEnd w:id="78"/>
      <w:bookmarkEnd w:id="79"/>
      <w:bookmarkEnd w:id="80"/>
      <w:bookmarkEnd w:id="81"/>
      <w:bookmarkEnd w:id="82"/>
      <w:bookmarkEnd w:id="83"/>
      <w:bookmarkEnd w:id="84"/>
      <w:bookmarkEnd w:id="85"/>
      <w:bookmarkEnd w:id="86"/>
      <w:bookmarkEnd w:id="87"/>
      <w:bookmarkEnd w:id="88"/>
    </w:p>
    <w:p w14:paraId="6E15FCBD" w14:textId="0C571015" w:rsidR="004D453B" w:rsidRDefault="008C00BC" w:rsidP="007B2A0E">
      <w:r>
        <w:t xml:space="preserve">The ACCC considers the benefits and limitations </w:t>
      </w:r>
      <w:r w:rsidR="00087898">
        <w:t xml:space="preserve">of a safe sleep consumer education campaign </w:t>
      </w:r>
      <w:r w:rsidR="00F70167">
        <w:t>are</w:t>
      </w:r>
      <w:r>
        <w:t>:</w:t>
      </w:r>
    </w:p>
    <w:p w14:paraId="0310AE47" w14:textId="77777777" w:rsidR="007B2A0E" w:rsidRDefault="007B2A0E" w:rsidP="00A11534">
      <w:pPr>
        <w:pStyle w:val="NoSpacing"/>
      </w:pPr>
    </w:p>
    <w:tbl>
      <w:tblPr>
        <w:tblStyle w:val="TableGrid"/>
        <w:tblW w:w="5000" w:type="pct"/>
        <w:tblLook w:val="0420" w:firstRow="1" w:lastRow="0" w:firstColumn="0" w:lastColumn="0" w:noHBand="0" w:noVBand="1"/>
      </w:tblPr>
      <w:tblGrid>
        <w:gridCol w:w="4396"/>
        <w:gridCol w:w="4630"/>
      </w:tblGrid>
      <w:tr w:rsidR="008C00BC" w14:paraId="784FACC8" w14:textId="77777777" w:rsidTr="00E330EC">
        <w:trPr>
          <w:cnfStyle w:val="100000000000" w:firstRow="1" w:lastRow="0" w:firstColumn="0" w:lastColumn="0" w:oddVBand="0" w:evenVBand="0" w:oddHBand="0" w:evenHBand="0" w:firstRowFirstColumn="0" w:firstRowLastColumn="0" w:lastRowFirstColumn="0" w:lastRowLastColumn="0"/>
          <w:tblHeader/>
        </w:trPr>
        <w:tc>
          <w:tcPr>
            <w:tcW w:w="2435" w:type="pct"/>
          </w:tcPr>
          <w:p w14:paraId="171C8ADD" w14:textId="77777777" w:rsidR="008C00BC" w:rsidRDefault="008C00BC" w:rsidP="00302C1B">
            <w:r>
              <w:t>Benefit</w:t>
            </w:r>
          </w:p>
        </w:tc>
        <w:tc>
          <w:tcPr>
            <w:tcW w:w="2565" w:type="pct"/>
          </w:tcPr>
          <w:p w14:paraId="3D08090B" w14:textId="77777777" w:rsidR="008C00BC" w:rsidRDefault="008C00BC" w:rsidP="00302C1B">
            <w:r>
              <w:t>Limitation</w:t>
            </w:r>
          </w:p>
        </w:tc>
      </w:tr>
      <w:tr w:rsidR="008C00BC" w14:paraId="373C7370" w14:textId="77777777" w:rsidTr="00302C1B">
        <w:tc>
          <w:tcPr>
            <w:tcW w:w="2435" w:type="pct"/>
          </w:tcPr>
          <w:p w14:paraId="299CE4B1" w14:textId="0496839D" w:rsidR="0007719E" w:rsidRDefault="000C0336" w:rsidP="00302C1B">
            <w:pPr>
              <w:pStyle w:val="Bulletpoint"/>
            </w:pPr>
            <w:r>
              <w:t>E</w:t>
            </w:r>
            <w:r w:rsidR="00285C68">
              <w:t xml:space="preserve">ducate parents and caregivers on safe sleep guidance, including at the </w:t>
            </w:r>
            <w:r w:rsidR="0007719E">
              <w:t>antenatal stage.</w:t>
            </w:r>
          </w:p>
          <w:p w14:paraId="6045E71C" w14:textId="6B44D587" w:rsidR="008C00BC" w:rsidRDefault="000C0336" w:rsidP="00302C1B">
            <w:pPr>
              <w:pStyle w:val="Bulletpoint"/>
            </w:pPr>
            <w:r>
              <w:t>B</w:t>
            </w:r>
            <w:r w:rsidR="008F429C" w:rsidRPr="008F429C">
              <w:t>enefits to public health and safety, with increased awareness of sa</w:t>
            </w:r>
            <w:r w:rsidR="00311720">
              <w:t>f</w:t>
            </w:r>
            <w:r w:rsidR="008F429C" w:rsidRPr="008F429C">
              <w:t>e sleep principles.</w:t>
            </w:r>
          </w:p>
          <w:p w14:paraId="4AC0847E" w14:textId="29811F77" w:rsidR="00F670AB" w:rsidRPr="00F670AB" w:rsidRDefault="00F670AB" w:rsidP="00F670AB">
            <w:pPr>
              <w:pStyle w:val="Bulletpoint"/>
            </w:pPr>
            <w:r>
              <w:t>E</w:t>
            </w:r>
            <w:r w:rsidRPr="008F429C">
              <w:t xml:space="preserve">ncourage behavioural change so that infants would be placed </w:t>
            </w:r>
            <w:r>
              <w:t xml:space="preserve">on their backs to </w:t>
            </w:r>
            <w:r w:rsidRPr="008F429C">
              <w:t>sleep on a firm, flat sleep surface</w:t>
            </w:r>
            <w:r>
              <w:t xml:space="preserve"> in accordance with</w:t>
            </w:r>
            <w:r w:rsidRPr="008F429C">
              <w:t xml:space="preserve"> long</w:t>
            </w:r>
            <w:r>
              <w:t>-</w:t>
            </w:r>
            <w:r w:rsidRPr="008F429C">
              <w:t>standing health advice.</w:t>
            </w:r>
          </w:p>
          <w:p w14:paraId="4B9DB741" w14:textId="34505A34" w:rsidR="008F429C" w:rsidRPr="008F429C" w:rsidRDefault="000C0336" w:rsidP="00302C1B">
            <w:pPr>
              <w:pStyle w:val="Bulletpoint"/>
            </w:pPr>
            <w:r>
              <w:t>E</w:t>
            </w:r>
            <w:r w:rsidR="008F429C" w:rsidRPr="008F429C">
              <w:t xml:space="preserve">ncourage caregivers to refrain from using </w:t>
            </w:r>
            <w:r w:rsidR="00B27122">
              <w:t xml:space="preserve">unsafe Infant Sleep Products. </w:t>
            </w:r>
            <w:r w:rsidR="008F429C" w:rsidRPr="008F429C">
              <w:t xml:space="preserve"> </w:t>
            </w:r>
          </w:p>
          <w:p w14:paraId="2E48C25C" w14:textId="7907EED7" w:rsidR="00311720" w:rsidRPr="00460590" w:rsidRDefault="000C0336" w:rsidP="00460590">
            <w:pPr>
              <w:pStyle w:val="Bulletpoint"/>
            </w:pPr>
            <w:r>
              <w:t>E</w:t>
            </w:r>
            <w:r w:rsidR="005628DF" w:rsidRPr="008F429C">
              <w:t xml:space="preserve">ncourage behavioural change so that </w:t>
            </w:r>
            <w:r w:rsidR="00895122">
              <w:t xml:space="preserve">foreign objects </w:t>
            </w:r>
            <w:r w:rsidR="00F670AB">
              <w:t>and</w:t>
            </w:r>
            <w:r w:rsidR="00895122">
              <w:t xml:space="preserve"> accessories are not placed in infants’ sleep environments.</w:t>
            </w:r>
          </w:p>
        </w:tc>
        <w:tc>
          <w:tcPr>
            <w:tcW w:w="2565" w:type="pct"/>
          </w:tcPr>
          <w:p w14:paraId="659DAAF5" w14:textId="0E4ABBCF" w:rsidR="008F429C" w:rsidRPr="008F429C" w:rsidRDefault="000C0336" w:rsidP="00302C1B">
            <w:pPr>
              <w:pStyle w:val="Bulletpoint"/>
            </w:pPr>
            <w:r>
              <w:t>P</w:t>
            </w:r>
            <w:r w:rsidR="008F429C" w:rsidRPr="008F429C">
              <w:t xml:space="preserve">roduct safety best practice </w:t>
            </w:r>
            <w:r w:rsidR="00285C68">
              <w:t xml:space="preserve">is that </w:t>
            </w:r>
            <w:r w:rsidR="00D02981">
              <w:t xml:space="preserve">product safety ought to be in </w:t>
            </w:r>
            <w:r w:rsidR="00285C68">
              <w:t xml:space="preserve">manufacturers’ </w:t>
            </w:r>
            <w:r w:rsidR="00D02981">
              <w:t xml:space="preserve">minds during the design stage </w:t>
            </w:r>
            <w:r w:rsidR="0085208A">
              <w:t>to</w:t>
            </w:r>
            <w:r w:rsidR="008F429C" w:rsidRPr="008F429C">
              <w:t xml:space="preserve"> identify </w:t>
            </w:r>
            <w:r w:rsidR="00013FEC">
              <w:t>and</w:t>
            </w:r>
            <w:r w:rsidR="00D025D8" w:rsidRPr="008F429C">
              <w:t xml:space="preserve"> </w:t>
            </w:r>
            <w:r w:rsidR="008F429C" w:rsidRPr="008F429C">
              <w:t>eliminate any hazards caused by products which are associated with injuries</w:t>
            </w:r>
            <w:r w:rsidR="00A11534">
              <w:t>.</w:t>
            </w:r>
            <w:r w:rsidR="008F429C" w:rsidRPr="008F429C">
              <w:rPr>
                <w:rStyle w:val="FootnoteReference"/>
              </w:rPr>
              <w:footnoteReference w:id="28"/>
            </w:r>
            <w:r w:rsidR="00285C68">
              <w:t xml:space="preserve"> </w:t>
            </w:r>
            <w:r w:rsidR="00A11534">
              <w:t>A</w:t>
            </w:r>
            <w:r w:rsidR="00285C68">
              <w:t>n education campaign would not necessarily achieve this outcome as it would be consumer focused.</w:t>
            </w:r>
            <w:r w:rsidR="008F429C" w:rsidRPr="008F429C">
              <w:t xml:space="preserve">  </w:t>
            </w:r>
          </w:p>
          <w:p w14:paraId="5A16C97C" w14:textId="3CA64DD0" w:rsidR="008C00BC" w:rsidRPr="00100F4F" w:rsidRDefault="000C0336" w:rsidP="00100F4F">
            <w:pPr>
              <w:pStyle w:val="Bulletpoint"/>
            </w:pPr>
            <w:r>
              <w:t>Ed</w:t>
            </w:r>
            <w:r w:rsidR="008F429C" w:rsidRPr="008F429C">
              <w:t>ucation alone may not be sufficiently effective to create a lasting impact that mitigates against the known risk</w:t>
            </w:r>
            <w:r w:rsidR="00D02981">
              <w:t>s</w:t>
            </w:r>
            <w:r w:rsidR="008F429C" w:rsidRPr="008F429C">
              <w:t xml:space="preserve"> </w:t>
            </w:r>
            <w:r w:rsidR="00A11534">
              <w:t>that</w:t>
            </w:r>
            <w:r w:rsidR="008F429C" w:rsidRPr="008F429C">
              <w:t xml:space="preserve"> are not currently addressed in the Australian product safety framework.</w:t>
            </w:r>
          </w:p>
        </w:tc>
      </w:tr>
    </w:tbl>
    <w:p w14:paraId="13D54A7E" w14:textId="3A895BF5" w:rsidR="007008C8" w:rsidRPr="00C562C7" w:rsidRDefault="007008C8" w:rsidP="007008C8">
      <w:pPr>
        <w:pStyle w:val="Numbered111"/>
      </w:pPr>
      <w:bookmarkStart w:id="89" w:name="_Toc105574825"/>
      <w:bookmarkStart w:id="90" w:name="_Toc105747309"/>
      <w:bookmarkStart w:id="91" w:name="_Toc106349145"/>
      <w:bookmarkStart w:id="92" w:name="_Toc106637682"/>
      <w:bookmarkStart w:id="93" w:name="_Toc106802898"/>
      <w:bookmarkStart w:id="94" w:name="_Toc107326646"/>
      <w:bookmarkStart w:id="95" w:name="_Toc107582450"/>
      <w:bookmarkStart w:id="96" w:name="_Toc108538318"/>
      <w:bookmarkStart w:id="97" w:name="_Toc109039360"/>
      <w:bookmarkStart w:id="98" w:name="_Toc110871628"/>
      <w:bookmarkStart w:id="99" w:name="_Toc110959472"/>
      <w:r>
        <w:t>Estimated costs</w:t>
      </w:r>
      <w:bookmarkEnd w:id="89"/>
      <w:bookmarkEnd w:id="90"/>
      <w:bookmarkEnd w:id="91"/>
      <w:bookmarkEnd w:id="92"/>
      <w:bookmarkEnd w:id="93"/>
      <w:bookmarkEnd w:id="94"/>
      <w:bookmarkEnd w:id="95"/>
      <w:bookmarkEnd w:id="96"/>
      <w:bookmarkEnd w:id="97"/>
      <w:bookmarkEnd w:id="98"/>
      <w:bookmarkEnd w:id="99"/>
    </w:p>
    <w:p w14:paraId="78977CF1" w14:textId="0FEFC5DA" w:rsidR="007008C8" w:rsidRDefault="0051441C" w:rsidP="007008C8">
      <w:r>
        <w:t xml:space="preserve">Option </w:t>
      </w:r>
      <w:r w:rsidR="000875B8">
        <w:t>2</w:t>
      </w:r>
      <w:r>
        <w:t xml:space="preserve"> would impose n</w:t>
      </w:r>
      <w:r w:rsidR="007008C8">
        <w:t xml:space="preserve">o costs on industry or consumers. </w:t>
      </w:r>
    </w:p>
    <w:p w14:paraId="66A11A17" w14:textId="77777777" w:rsidR="007008C8" w:rsidRDefault="007008C8" w:rsidP="007008C8">
      <w:r>
        <w:t xml:space="preserve">The ACCC considers an education campaign would need to be widespread to generate awareness of safe sleep messaging and anticipates an education campaign would involve additional costs to government, estimated to be </w:t>
      </w:r>
      <w:r w:rsidRPr="004D453B">
        <w:t>$200,000.</w:t>
      </w:r>
      <w:r w:rsidRPr="004D453B">
        <w:rPr>
          <w:rStyle w:val="FootnoteReference"/>
        </w:rPr>
        <w:footnoteReference w:id="29"/>
      </w:r>
    </w:p>
    <w:p w14:paraId="35DF9C20" w14:textId="156E175B" w:rsidR="00F54AF4" w:rsidRDefault="00576113" w:rsidP="00F54AF4">
      <w:r>
        <w:t xml:space="preserve">The ACCC considers an </w:t>
      </w:r>
      <w:r w:rsidR="00301EBD">
        <w:t>education campaign</w:t>
      </w:r>
      <w:r>
        <w:t xml:space="preserve"> would be an effective supplement to the regulatory options outline</w:t>
      </w:r>
      <w:r w:rsidR="00F670AB">
        <w:t>d</w:t>
      </w:r>
      <w:r>
        <w:t xml:space="preserve"> below. In isolation, i</w:t>
      </w:r>
      <w:r w:rsidR="007008C8">
        <w:t xml:space="preserve">t is unclear </w:t>
      </w:r>
      <w:r w:rsidR="007B2A0E">
        <w:t>what</w:t>
      </w:r>
      <w:r w:rsidR="007008C8">
        <w:t xml:space="preserve"> impact an education campaign would</w:t>
      </w:r>
      <w:r w:rsidR="007B2A0E">
        <w:t xml:space="preserve"> achieve to reduce the</w:t>
      </w:r>
      <w:r w:rsidR="007008C8" w:rsidRPr="0085208A">
        <w:t xml:space="preserve"> </w:t>
      </w:r>
      <w:r w:rsidR="00F81A2A" w:rsidRPr="00852390">
        <w:t>$</w:t>
      </w:r>
      <w:r w:rsidR="00097817" w:rsidRPr="00852390">
        <w:t>14.47</w:t>
      </w:r>
      <w:r w:rsidR="00F81A2A" w:rsidRPr="00852390">
        <w:t xml:space="preserve"> million per year</w:t>
      </w:r>
      <w:r w:rsidR="00F81A2A" w:rsidRPr="00097817">
        <w:rPr>
          <w:i/>
          <w:iCs/>
        </w:rPr>
        <w:t xml:space="preserve"> </w:t>
      </w:r>
      <w:r w:rsidR="00D02981" w:rsidRPr="00097817">
        <w:t xml:space="preserve">estimated </w:t>
      </w:r>
      <w:r w:rsidR="007008C8" w:rsidRPr="00097817">
        <w:t>cost of fatalities</w:t>
      </w:r>
      <w:r w:rsidR="004F46B0" w:rsidRPr="00097817">
        <w:t xml:space="preserve"> associated with Infant Sleep Products</w:t>
      </w:r>
      <w:r w:rsidR="00F81A2A" w:rsidRPr="00097817">
        <w:t>.</w:t>
      </w:r>
      <w:r w:rsidR="008D0EAE" w:rsidRPr="00097817">
        <w:t xml:space="preserve"> This is particularly the case</w:t>
      </w:r>
      <w:r w:rsidR="008D0EAE">
        <w:t xml:space="preserve"> where safe sleep guidance already exists</w:t>
      </w:r>
      <w:r w:rsidR="00C82679">
        <w:t xml:space="preserve"> </w:t>
      </w:r>
      <w:r w:rsidR="008D0EAE">
        <w:t xml:space="preserve">and does not prevent these products from being sold and does not reach all new parents. </w:t>
      </w:r>
    </w:p>
    <w:p w14:paraId="61E0B0C4" w14:textId="20897ABF" w:rsidR="008C00BC" w:rsidRPr="009876E5" w:rsidRDefault="008C00BC" w:rsidP="008C00BC">
      <w:pPr>
        <w:pStyle w:val="Numbered11"/>
      </w:pPr>
      <w:bookmarkStart w:id="100" w:name="_Toc106637683"/>
      <w:bookmarkStart w:id="101" w:name="_Toc107326647"/>
      <w:bookmarkStart w:id="102" w:name="_Toc110959473"/>
      <w:r w:rsidRPr="009876E5">
        <w:t xml:space="preserve">Option </w:t>
      </w:r>
      <w:r w:rsidR="000875B8">
        <w:t>3</w:t>
      </w:r>
      <w:r w:rsidRPr="009876E5">
        <w:t xml:space="preserve">: Mandatory information standard </w:t>
      </w:r>
      <w:r w:rsidR="00AA67D5">
        <w:t>–</w:t>
      </w:r>
      <w:r w:rsidR="004A7045">
        <w:t xml:space="preserve"> </w:t>
      </w:r>
      <w:bookmarkEnd w:id="100"/>
      <w:r w:rsidR="00AA67D5">
        <w:t>Inclined Sleep Products</w:t>
      </w:r>
      <w:r w:rsidR="002D07AB">
        <w:t xml:space="preserve"> and Inclined Non-Sleep Products</w:t>
      </w:r>
      <w:bookmarkEnd w:id="101"/>
      <w:r w:rsidR="00031947">
        <w:t xml:space="preserve">, plus </w:t>
      </w:r>
      <w:r w:rsidR="00AE090B">
        <w:t xml:space="preserve">an </w:t>
      </w:r>
      <w:r w:rsidR="00031947">
        <w:t>education campaign</w:t>
      </w:r>
      <w:bookmarkEnd w:id="102"/>
    </w:p>
    <w:p w14:paraId="5D3C7DD8" w14:textId="26CE2803" w:rsidR="006C35DC" w:rsidRDefault="00424D61" w:rsidP="00424D61">
      <w:pPr>
        <w:pStyle w:val="Bulletpoint"/>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sidRPr="00424D61">
        <w:rPr>
          <w:b/>
          <w:bCs/>
        </w:rPr>
        <w:t xml:space="preserve">Option </w:t>
      </w:r>
      <w:r w:rsidR="000875B8">
        <w:rPr>
          <w:b/>
          <w:bCs/>
        </w:rPr>
        <w:t>3</w:t>
      </w:r>
      <w:r w:rsidRPr="00424D61">
        <w:rPr>
          <w:b/>
          <w:bCs/>
        </w:rPr>
        <w:t>:</w:t>
      </w:r>
      <w:r>
        <w:t xml:space="preserve"> </w:t>
      </w:r>
      <w:r w:rsidR="00123EDC">
        <w:t xml:space="preserve">In addition to </w:t>
      </w:r>
      <w:r w:rsidR="00A11534">
        <w:t>an education campaign</w:t>
      </w:r>
      <w:r w:rsidR="00505FEE">
        <w:t xml:space="preserve"> (Option 2)</w:t>
      </w:r>
      <w:r w:rsidR="00A11534">
        <w:t>,</w:t>
      </w:r>
      <w:r w:rsidR="00123EDC">
        <w:t xml:space="preserve"> i</w:t>
      </w:r>
      <w:r w:rsidR="00123EDC" w:rsidRPr="00BA1E2B">
        <w:t>ntroduce a mandatory information standard</w:t>
      </w:r>
      <w:r w:rsidR="00123EDC">
        <w:t>, focusing only on the incline risk</w:t>
      </w:r>
      <w:r w:rsidR="006C35DC">
        <w:t xml:space="preserve"> in </w:t>
      </w:r>
      <w:r w:rsidR="002728E0">
        <w:t>Inclined Sleep</w:t>
      </w:r>
      <w:r w:rsidR="002D07AB">
        <w:t xml:space="preserve"> Products</w:t>
      </w:r>
      <w:r w:rsidR="006C35DC">
        <w:t xml:space="preserve"> and Inclined Non-Sleep Products</w:t>
      </w:r>
      <w:r w:rsidR="00123EDC">
        <w:t>,</w:t>
      </w:r>
      <w:r w:rsidR="006C35DC">
        <w:t xml:space="preserve"> that requires</w:t>
      </w:r>
      <w:r w:rsidR="003F3F77">
        <w:t xml:space="preserve"> </w:t>
      </w:r>
      <w:r w:rsidR="006C35DC">
        <w:t xml:space="preserve">safety warnings and information advising against using </w:t>
      </w:r>
      <w:r w:rsidR="00E76C5F">
        <w:t>these products</w:t>
      </w:r>
      <w:r w:rsidR="006C35DC">
        <w:t xml:space="preserve"> for infant sleep:</w:t>
      </w:r>
    </w:p>
    <w:p w14:paraId="078AD85F" w14:textId="749B618A" w:rsidR="00D04E4C" w:rsidRDefault="00D04E4C" w:rsidP="00424D61">
      <w:pPr>
        <w:pStyle w:val="Bulletpoint"/>
        <w:pBdr>
          <w:top w:val="single" w:sz="4" w:space="1" w:color="auto"/>
          <w:left w:val="single" w:sz="4" w:space="4" w:color="auto"/>
          <w:bottom w:val="single" w:sz="4" w:space="1" w:color="auto"/>
          <w:right w:val="single" w:sz="4" w:space="4" w:color="auto"/>
        </w:pBdr>
        <w:shd w:val="clear" w:color="auto" w:fill="D5D6D2" w:themeFill="background2"/>
      </w:pPr>
      <w:r w:rsidRPr="001127DE">
        <w:t>in</w:t>
      </w:r>
      <w:r>
        <w:t xml:space="preserve"> </w:t>
      </w:r>
      <w:r w:rsidRPr="001127DE">
        <w:t>instructions</w:t>
      </w:r>
      <w:r>
        <w:t xml:space="preserve"> for use provided with the product </w:t>
      </w:r>
    </w:p>
    <w:p w14:paraId="255FC0A9" w14:textId="28FD9730" w:rsidR="006C35DC" w:rsidRDefault="006C35DC" w:rsidP="00424D61">
      <w:pPr>
        <w:pStyle w:val="Bulletpoint"/>
        <w:pBdr>
          <w:top w:val="single" w:sz="4" w:space="1" w:color="auto"/>
          <w:left w:val="single" w:sz="4" w:space="4" w:color="auto"/>
          <w:bottom w:val="single" w:sz="4" w:space="1" w:color="auto"/>
          <w:right w:val="single" w:sz="4" w:space="4" w:color="auto"/>
        </w:pBdr>
        <w:shd w:val="clear" w:color="auto" w:fill="D5D6D2" w:themeFill="background2"/>
      </w:pPr>
      <w:r w:rsidRPr="001127DE">
        <w:t xml:space="preserve">on a permanently affixed product label and </w:t>
      </w:r>
    </w:p>
    <w:p w14:paraId="5724C561" w14:textId="65DA1484" w:rsidR="007E5933" w:rsidRDefault="0037443D" w:rsidP="00424D61">
      <w:pPr>
        <w:pStyle w:val="Bulletpoint"/>
        <w:pBdr>
          <w:top w:val="single" w:sz="4" w:space="1" w:color="auto"/>
          <w:left w:val="single" w:sz="4" w:space="4" w:color="auto"/>
          <w:bottom w:val="single" w:sz="4" w:space="1" w:color="auto"/>
          <w:right w:val="single" w:sz="4" w:space="4" w:color="auto"/>
        </w:pBdr>
        <w:shd w:val="clear" w:color="auto" w:fill="D5D6D2" w:themeFill="background2"/>
      </w:pPr>
      <w:r>
        <w:t>on packaging containing the product</w:t>
      </w:r>
      <w:r w:rsidR="00DA0712">
        <w:t xml:space="preserve"> at the point of sale, including where</w:t>
      </w:r>
      <w:r w:rsidR="00D93A96">
        <w:t xml:space="preserve"> </w:t>
      </w:r>
      <w:r w:rsidR="006C35DC" w:rsidRPr="001127DE">
        <w:t>supplied online</w:t>
      </w:r>
      <w:r w:rsidR="00DA0712">
        <w:t>.</w:t>
      </w:r>
    </w:p>
    <w:p w14:paraId="66DDC560" w14:textId="109212B6" w:rsidR="00A11534" w:rsidRDefault="00A11534" w:rsidP="003F7A01">
      <w:bookmarkStart w:id="103" w:name="_Toc105050999"/>
      <w:bookmarkStart w:id="104" w:name="_Toc105574827"/>
      <w:bookmarkStart w:id="105" w:name="_Toc105747311"/>
      <w:r>
        <w:t xml:space="preserve">Option </w:t>
      </w:r>
      <w:r w:rsidR="000875B8">
        <w:t>3</w:t>
      </w:r>
      <w:r>
        <w:t xml:space="preserve"> is confined to addressing the incline risk </w:t>
      </w:r>
      <w:r w:rsidR="0037443D">
        <w:t xml:space="preserve">present </w:t>
      </w:r>
      <w:r>
        <w:t xml:space="preserve">in Inclined Sleep </w:t>
      </w:r>
      <w:r w:rsidR="002D07AB">
        <w:t xml:space="preserve">Products </w:t>
      </w:r>
      <w:r>
        <w:t>and Inclined Non-Sleep Products</w:t>
      </w:r>
      <w:r w:rsidR="00B40C13">
        <w:t xml:space="preserve"> and</w:t>
      </w:r>
      <w:r w:rsidR="00737C4E">
        <w:t xml:space="preserve"> it would not address the other risks identified above.</w:t>
      </w:r>
    </w:p>
    <w:p w14:paraId="675E6479" w14:textId="4F4CF1CA" w:rsidR="00E76C5F" w:rsidRDefault="00BC5052" w:rsidP="003F7A01">
      <w:r>
        <w:t>Although there are some warning label requirements in international standards, they seek to address suffocation risk generally</w:t>
      </w:r>
      <w:r w:rsidR="00074D41">
        <w:rPr>
          <w:rStyle w:val="FootnoteReference"/>
        </w:rPr>
        <w:footnoteReference w:id="30"/>
      </w:r>
      <w:r>
        <w:t xml:space="preserve"> or to address the need for supervision</w:t>
      </w:r>
      <w:r w:rsidR="002D07AB">
        <w:t>.</w:t>
      </w:r>
      <w:r w:rsidR="00074D41">
        <w:rPr>
          <w:rStyle w:val="FootnoteReference"/>
        </w:rPr>
        <w:footnoteReference w:id="31"/>
      </w:r>
      <w:r>
        <w:t xml:space="preserve"> </w:t>
      </w:r>
      <w:r w:rsidR="006811ED">
        <w:t>As such, the ACCC proposes the following information be required</w:t>
      </w:r>
      <w:bookmarkEnd w:id="103"/>
      <w:bookmarkEnd w:id="104"/>
      <w:bookmarkEnd w:id="105"/>
      <w:r w:rsidR="00964215">
        <w:t>:</w:t>
      </w:r>
    </w:p>
    <w:p w14:paraId="557E1229" w14:textId="77777777" w:rsidR="00A11534" w:rsidRDefault="00A11534" w:rsidP="00A11534">
      <w:pPr>
        <w:pStyle w:val="NoSpacing"/>
      </w:pPr>
    </w:p>
    <w:tbl>
      <w:tblPr>
        <w:tblStyle w:val="TableGrid"/>
        <w:tblW w:w="5261" w:type="pct"/>
        <w:jc w:val="center"/>
        <w:tblLook w:val="0420" w:firstRow="1" w:lastRow="0" w:firstColumn="0" w:lastColumn="0" w:noHBand="0" w:noVBand="1"/>
      </w:tblPr>
      <w:tblGrid>
        <w:gridCol w:w="2409"/>
        <w:gridCol w:w="3546"/>
        <w:gridCol w:w="3542"/>
      </w:tblGrid>
      <w:tr w:rsidR="00964215" w:rsidRPr="006904CF" w14:paraId="5944DF44" w14:textId="77777777" w:rsidTr="00E330EC">
        <w:trPr>
          <w:cnfStyle w:val="100000000000" w:firstRow="1" w:lastRow="0" w:firstColumn="0" w:lastColumn="0" w:oddVBand="0" w:evenVBand="0" w:oddHBand="0" w:evenHBand="0" w:firstRowFirstColumn="0" w:firstRowLastColumn="0" w:lastRowFirstColumn="0" w:lastRowLastColumn="0"/>
          <w:tblHeader/>
          <w:jc w:val="center"/>
        </w:trPr>
        <w:tc>
          <w:tcPr>
            <w:tcW w:w="1268" w:type="pct"/>
          </w:tcPr>
          <w:p w14:paraId="02196BA6" w14:textId="4CC8E479" w:rsidR="00964215" w:rsidRPr="006904CF" w:rsidRDefault="006904CF" w:rsidP="006904CF">
            <w:pPr>
              <w:pStyle w:val="TableHeading"/>
              <w:rPr>
                <w:b/>
              </w:rPr>
            </w:pPr>
            <w:r w:rsidRPr="006904CF">
              <w:rPr>
                <w:b/>
              </w:rPr>
              <w:t>Requirement</w:t>
            </w:r>
          </w:p>
        </w:tc>
        <w:tc>
          <w:tcPr>
            <w:tcW w:w="1867" w:type="pct"/>
          </w:tcPr>
          <w:p w14:paraId="28F0E650" w14:textId="2AC31799" w:rsidR="00964215" w:rsidRPr="006904CF" w:rsidRDefault="00964215" w:rsidP="006904CF">
            <w:pPr>
              <w:pStyle w:val="TableHeading"/>
              <w:rPr>
                <w:b/>
              </w:rPr>
            </w:pPr>
            <w:r w:rsidRPr="006904CF">
              <w:rPr>
                <w:b/>
              </w:rPr>
              <w:t>Inclined Non-Sleep Product</w:t>
            </w:r>
          </w:p>
        </w:tc>
        <w:tc>
          <w:tcPr>
            <w:tcW w:w="1866" w:type="pct"/>
          </w:tcPr>
          <w:p w14:paraId="3CC05312" w14:textId="6B4AB6BE" w:rsidR="00964215" w:rsidRPr="006904CF" w:rsidRDefault="00964215" w:rsidP="006904CF">
            <w:pPr>
              <w:pStyle w:val="TableHeading"/>
              <w:rPr>
                <w:b/>
              </w:rPr>
            </w:pPr>
            <w:r w:rsidRPr="006904CF">
              <w:rPr>
                <w:b/>
              </w:rPr>
              <w:t>Inclined Sleep Product</w:t>
            </w:r>
          </w:p>
        </w:tc>
      </w:tr>
      <w:tr w:rsidR="00964215" w14:paraId="0190C022" w14:textId="77777777" w:rsidTr="00054E69">
        <w:trPr>
          <w:jc w:val="center"/>
        </w:trPr>
        <w:tc>
          <w:tcPr>
            <w:tcW w:w="1268" w:type="pct"/>
          </w:tcPr>
          <w:p w14:paraId="0A348C5A" w14:textId="570FAA8D" w:rsidR="00964215" w:rsidRPr="00A30359" w:rsidRDefault="00964215" w:rsidP="00964215">
            <w:r w:rsidRPr="00D04E4C">
              <w:rPr>
                <w:b/>
                <w:bCs/>
              </w:rPr>
              <w:t>Instructions</w:t>
            </w:r>
            <w:r>
              <w:t xml:space="preserve">: </w:t>
            </w:r>
          </w:p>
        </w:tc>
        <w:tc>
          <w:tcPr>
            <w:tcW w:w="1867" w:type="pct"/>
          </w:tcPr>
          <w:p w14:paraId="62F71FD9" w14:textId="77777777" w:rsidR="00964215" w:rsidRDefault="00964215" w:rsidP="00964215">
            <w:pPr>
              <w:pStyle w:val="Bulletpoint"/>
            </w:pPr>
            <w:r>
              <w:t>warning infant should be placed on their back</w:t>
            </w:r>
          </w:p>
          <w:p w14:paraId="3D8DB6BA" w14:textId="4EE4791A" w:rsidR="00964215" w:rsidRDefault="00964215" w:rsidP="00964215">
            <w:pPr>
              <w:pStyle w:val="Bulletpoint"/>
            </w:pPr>
            <w:r>
              <w:t xml:space="preserve">warning against </w:t>
            </w:r>
            <w:r w:rsidR="00737C4E">
              <w:t xml:space="preserve">use </w:t>
            </w:r>
            <w:r>
              <w:t>for sleep</w:t>
            </w:r>
          </w:p>
          <w:p w14:paraId="1CF9128B" w14:textId="2847AF28" w:rsidR="00964215" w:rsidRPr="00371667" w:rsidRDefault="00964215" w:rsidP="00371667">
            <w:pPr>
              <w:pStyle w:val="Bulletpoint"/>
            </w:pPr>
            <w:r>
              <w:t>warnings against unsupervised use</w:t>
            </w:r>
          </w:p>
        </w:tc>
        <w:tc>
          <w:tcPr>
            <w:tcW w:w="1866" w:type="pct"/>
          </w:tcPr>
          <w:p w14:paraId="540C4939" w14:textId="77777777" w:rsidR="00964215" w:rsidRDefault="00964215" w:rsidP="00964215">
            <w:pPr>
              <w:pStyle w:val="Bulletpoint"/>
            </w:pPr>
            <w:r>
              <w:t>warning infant should be placed on their back</w:t>
            </w:r>
          </w:p>
          <w:p w14:paraId="1A491AAB" w14:textId="76438608" w:rsidR="00A82A66" w:rsidRPr="00964215" w:rsidRDefault="0073673F" w:rsidP="00964215">
            <w:pPr>
              <w:pStyle w:val="Bulletpoint"/>
            </w:pPr>
            <w:r>
              <w:t>infant</w:t>
            </w:r>
            <w:r w:rsidR="00B523F7">
              <w:t>s</w:t>
            </w:r>
            <w:r w:rsidR="00A82A66">
              <w:t xml:space="preserve"> have died sleeping on an inclined angle</w:t>
            </w:r>
          </w:p>
        </w:tc>
      </w:tr>
      <w:tr w:rsidR="00964215" w14:paraId="7F50EE0A" w14:textId="77777777" w:rsidTr="00054E69">
        <w:trPr>
          <w:jc w:val="center"/>
        </w:trPr>
        <w:tc>
          <w:tcPr>
            <w:tcW w:w="1268" w:type="pct"/>
          </w:tcPr>
          <w:p w14:paraId="4BA5682C" w14:textId="73A4CC83" w:rsidR="00964215" w:rsidRPr="003F6DAB" w:rsidRDefault="00964215" w:rsidP="00964215">
            <w:pPr>
              <w:pStyle w:val="Bulletpoint"/>
              <w:numPr>
                <w:ilvl w:val="0"/>
                <w:numId w:val="0"/>
              </w:numPr>
            </w:pPr>
            <w:r w:rsidRPr="003F6DAB">
              <w:rPr>
                <w:b/>
                <w:bCs/>
              </w:rPr>
              <w:t>Product Label</w:t>
            </w:r>
            <w:r w:rsidRPr="00964215">
              <w:t xml:space="preserve">: </w:t>
            </w:r>
            <w:r>
              <w:t>obvious, durable and permanently affixed to the product</w:t>
            </w:r>
          </w:p>
        </w:tc>
        <w:tc>
          <w:tcPr>
            <w:tcW w:w="1867" w:type="pct"/>
          </w:tcPr>
          <w:p w14:paraId="616B863E" w14:textId="2E06C1FF" w:rsidR="00964215" w:rsidRDefault="00964215" w:rsidP="00964215">
            <w:pPr>
              <w:pStyle w:val="Bulletpoint"/>
            </w:pPr>
            <w:r>
              <w:t xml:space="preserve">warning against </w:t>
            </w:r>
            <w:r w:rsidR="00737C4E">
              <w:t xml:space="preserve">use </w:t>
            </w:r>
            <w:r>
              <w:t>for sleep</w:t>
            </w:r>
          </w:p>
          <w:p w14:paraId="42361BDB" w14:textId="7509D3EF" w:rsidR="00964215" w:rsidRPr="00A30359" w:rsidRDefault="00964215" w:rsidP="00964215">
            <w:pPr>
              <w:pStyle w:val="Bulletpoint"/>
              <w:rPr>
                <w:sz w:val="22"/>
              </w:rPr>
            </w:pPr>
            <w:r>
              <w:t>warnings against unsupervised use</w:t>
            </w:r>
          </w:p>
        </w:tc>
        <w:tc>
          <w:tcPr>
            <w:tcW w:w="1866" w:type="pct"/>
          </w:tcPr>
          <w:p w14:paraId="4EB0A8CB" w14:textId="77777777" w:rsidR="00964215" w:rsidRDefault="00964215" w:rsidP="00964215">
            <w:pPr>
              <w:pStyle w:val="Bulletpoint"/>
            </w:pPr>
            <w:r>
              <w:t>warning infant should be placed on their back</w:t>
            </w:r>
          </w:p>
          <w:p w14:paraId="30D76678" w14:textId="1779D114" w:rsidR="00A82A66" w:rsidRPr="00964215" w:rsidRDefault="0073673F" w:rsidP="00964215">
            <w:pPr>
              <w:pStyle w:val="Bulletpoint"/>
            </w:pPr>
            <w:r>
              <w:t>infant</w:t>
            </w:r>
            <w:r w:rsidR="00B523F7">
              <w:t>s</w:t>
            </w:r>
            <w:r w:rsidR="00A82A66">
              <w:t xml:space="preserve"> have died sleeping on an inclined angle</w:t>
            </w:r>
          </w:p>
        </w:tc>
      </w:tr>
      <w:tr w:rsidR="00964215" w14:paraId="75996569" w14:textId="77777777" w:rsidTr="00054E69">
        <w:trPr>
          <w:jc w:val="center"/>
        </w:trPr>
        <w:tc>
          <w:tcPr>
            <w:tcW w:w="1268" w:type="pct"/>
          </w:tcPr>
          <w:p w14:paraId="612204CD" w14:textId="353139CF" w:rsidR="00964215" w:rsidRPr="00BE22B9" w:rsidRDefault="00964215" w:rsidP="00964215">
            <w:pPr>
              <w:pStyle w:val="Bulletpoint"/>
              <w:numPr>
                <w:ilvl w:val="0"/>
                <w:numId w:val="0"/>
              </w:numPr>
              <w:rPr>
                <w:b/>
                <w:bCs/>
              </w:rPr>
            </w:pPr>
            <w:r w:rsidRPr="00BE22B9">
              <w:rPr>
                <w:b/>
                <w:bCs/>
              </w:rPr>
              <w:t xml:space="preserve">Packaging/point of sale </w:t>
            </w:r>
          </w:p>
        </w:tc>
        <w:tc>
          <w:tcPr>
            <w:tcW w:w="1867" w:type="pct"/>
          </w:tcPr>
          <w:p w14:paraId="5EEFFFE5" w14:textId="77777777" w:rsidR="00964215" w:rsidRDefault="00964215" w:rsidP="00964215">
            <w:pPr>
              <w:pStyle w:val="Bulletpoint"/>
            </w:pPr>
            <w:r>
              <w:t>warning against using for sleep</w:t>
            </w:r>
          </w:p>
          <w:p w14:paraId="711F16F1" w14:textId="3838E5C9" w:rsidR="00964215" w:rsidRDefault="00964215" w:rsidP="00964215">
            <w:pPr>
              <w:pStyle w:val="Bulletpoint"/>
            </w:pPr>
            <w:r>
              <w:t>warnings against unsupervised use</w:t>
            </w:r>
          </w:p>
        </w:tc>
        <w:tc>
          <w:tcPr>
            <w:tcW w:w="1866" w:type="pct"/>
          </w:tcPr>
          <w:p w14:paraId="6CFE84C5" w14:textId="77777777" w:rsidR="00964215" w:rsidRDefault="00964215" w:rsidP="00964215">
            <w:pPr>
              <w:pStyle w:val="Bulletpoint"/>
            </w:pPr>
            <w:r>
              <w:t>warning infant should be placed on their back</w:t>
            </w:r>
          </w:p>
          <w:p w14:paraId="50C02006" w14:textId="37569C98" w:rsidR="00A82A66" w:rsidRDefault="0073673F" w:rsidP="00964215">
            <w:pPr>
              <w:pStyle w:val="Bulletpoint"/>
            </w:pPr>
            <w:r>
              <w:t>infant</w:t>
            </w:r>
            <w:r w:rsidR="00B523F7">
              <w:t>s</w:t>
            </w:r>
            <w:r w:rsidR="00A82A66">
              <w:t xml:space="preserve"> have died sleeping on an inclined angle</w:t>
            </w:r>
          </w:p>
        </w:tc>
      </w:tr>
    </w:tbl>
    <w:p w14:paraId="5845176C" w14:textId="61E4DA91" w:rsidR="00DA0712" w:rsidRDefault="00DA0712" w:rsidP="00DA0712">
      <w:r w:rsidRPr="008D461B">
        <w:t>In 2018 the ACCC commissioned a review of the research relating to the Efficacy of Warning Labels.</w:t>
      </w:r>
      <w:r w:rsidRPr="008D461B">
        <w:rPr>
          <w:vertAlign w:val="superscript"/>
        </w:rPr>
        <w:footnoteReference w:id="32"/>
      </w:r>
      <w:r w:rsidRPr="008D461B">
        <w:t xml:space="preserve"> The review confirmed that warning labels can be effective in highlighting hazards to consumers</w:t>
      </w:r>
      <w:r>
        <w:t xml:space="preserve"> and</w:t>
      </w:r>
      <w:r w:rsidRPr="008D461B">
        <w:t xml:space="preserve"> noted that symbols and text should be provided together to limit the confusion or misinterpretation the display of symbols alone may provide. </w:t>
      </w:r>
    </w:p>
    <w:p w14:paraId="11D8C75F" w14:textId="7F5872D5" w:rsidR="00DA0712" w:rsidRDefault="00DA0712" w:rsidP="003F7A01">
      <w:r w:rsidRPr="00BE22B9">
        <w:t xml:space="preserve">An example warning label to be on </w:t>
      </w:r>
      <w:r w:rsidR="006A2433">
        <w:t>an Inclined Non-Sleep P</w:t>
      </w:r>
      <w:r w:rsidRPr="00BE22B9">
        <w:t>roduct</w:t>
      </w:r>
      <w:r w:rsidR="00BE22B9" w:rsidRPr="00BE22B9">
        <w:t xml:space="preserve"> </w:t>
      </w:r>
      <w:r w:rsidRPr="00BE22B9">
        <w:t>is mocked up below:</w:t>
      </w:r>
    </w:p>
    <w:p w14:paraId="3F49E31B" w14:textId="28284494" w:rsidR="004D453B" w:rsidRDefault="00A82A66" w:rsidP="00DA0712">
      <w:pPr>
        <w:pStyle w:val="NoSpacing"/>
      </w:pPr>
      <w:r>
        <w:rPr>
          <w:noProof/>
          <w:lang w:eastAsia="en-AU"/>
        </w:rPr>
        <mc:AlternateContent>
          <mc:Choice Requires="wps">
            <w:drawing>
              <wp:anchor distT="45720" distB="45720" distL="114300" distR="114300" simplePos="0" relativeHeight="251659264" behindDoc="0" locked="0" layoutInCell="1" allowOverlap="1" wp14:anchorId="221889CC" wp14:editId="1893AE3F">
                <wp:simplePos x="0" y="0"/>
                <wp:positionH relativeFrom="margin">
                  <wp:align>center</wp:align>
                </wp:positionH>
                <wp:positionV relativeFrom="paragraph">
                  <wp:posOffset>270510</wp:posOffset>
                </wp:positionV>
                <wp:extent cx="2466975" cy="2295525"/>
                <wp:effectExtent l="0" t="0" r="28575" b="2857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295525"/>
                        </a:xfrm>
                        <a:prstGeom prst="rect">
                          <a:avLst/>
                        </a:prstGeom>
                        <a:solidFill>
                          <a:srgbClr val="FFFFFF"/>
                        </a:solidFill>
                        <a:ln w="9525">
                          <a:solidFill>
                            <a:srgbClr val="000000"/>
                          </a:solidFill>
                          <a:miter lim="800000"/>
                          <a:headEnd/>
                          <a:tailEnd/>
                        </a:ln>
                      </wps:spPr>
                      <wps:txbx>
                        <w:txbxContent>
                          <w:p w14:paraId="722BC425" w14:textId="77777777" w:rsidR="00D57591" w:rsidRDefault="00D57591" w:rsidP="00DA0712">
                            <w:pPr>
                              <w:spacing w:before="120"/>
                              <w:jc w:val="center"/>
                              <w:rPr>
                                <w:b/>
                                <w:bCs/>
                                <w:sz w:val="18"/>
                                <w:szCs w:val="18"/>
                              </w:rPr>
                            </w:pPr>
                            <w:r>
                              <w:rPr>
                                <w:noProof/>
                                <w:lang w:eastAsia="en-AU"/>
                              </w:rPr>
                              <w:drawing>
                                <wp:inline distT="0" distB="0" distL="0" distR="0" wp14:anchorId="29FFCDED" wp14:editId="558BD3DD">
                                  <wp:extent cx="2082800" cy="62156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089819" cy="623664"/>
                                          </a:xfrm>
                                          <a:prstGeom prst="rect">
                                            <a:avLst/>
                                          </a:prstGeom>
                                        </pic:spPr>
                                      </pic:pic>
                                    </a:graphicData>
                                  </a:graphic>
                                </wp:inline>
                              </w:drawing>
                            </w:r>
                          </w:p>
                          <w:p w14:paraId="1410A160" w14:textId="3F5C9B0F" w:rsidR="00D57591" w:rsidRPr="007B2A0E" w:rsidRDefault="00D57591" w:rsidP="00DA0712">
                            <w:pPr>
                              <w:spacing w:before="120"/>
                              <w:rPr>
                                <w:b/>
                                <w:bCs/>
                                <w:sz w:val="20"/>
                                <w:szCs w:val="20"/>
                              </w:rPr>
                            </w:pPr>
                            <w:r w:rsidRPr="007B2A0E">
                              <w:rPr>
                                <w:b/>
                                <w:bCs/>
                                <w:sz w:val="20"/>
                                <w:szCs w:val="20"/>
                              </w:rPr>
                              <w:t>Infants have DIED sleeping on inclined surfaces. This is NOT a sleeping device.</w:t>
                            </w:r>
                          </w:p>
                          <w:p w14:paraId="22769A78" w14:textId="0F1E468E" w:rsidR="00D57591" w:rsidRPr="007B2A0E" w:rsidRDefault="00D57591" w:rsidP="00DA0712">
                            <w:pPr>
                              <w:pStyle w:val="ListParagraph"/>
                              <w:numPr>
                                <w:ilvl w:val="0"/>
                                <w:numId w:val="31"/>
                              </w:numPr>
                              <w:rPr>
                                <w:b/>
                                <w:bCs/>
                                <w:sz w:val="20"/>
                                <w:szCs w:val="20"/>
                              </w:rPr>
                            </w:pPr>
                            <w:r w:rsidRPr="007B2A0E">
                              <w:rPr>
                                <w:b/>
                                <w:bCs/>
                                <w:sz w:val="20"/>
                                <w:szCs w:val="20"/>
                              </w:rPr>
                              <w:t xml:space="preserve">NEVER let </w:t>
                            </w:r>
                            <w:r>
                              <w:rPr>
                                <w:b/>
                                <w:bCs/>
                                <w:sz w:val="20"/>
                                <w:szCs w:val="20"/>
                              </w:rPr>
                              <w:t xml:space="preserve">an </w:t>
                            </w:r>
                            <w:r w:rsidRPr="007B2A0E">
                              <w:rPr>
                                <w:b/>
                                <w:bCs/>
                                <w:sz w:val="20"/>
                                <w:szCs w:val="20"/>
                              </w:rPr>
                              <w:t xml:space="preserve">infant fall asleep in </w:t>
                            </w:r>
                            <w:r>
                              <w:rPr>
                                <w:b/>
                                <w:bCs/>
                                <w:sz w:val="20"/>
                                <w:szCs w:val="20"/>
                              </w:rPr>
                              <w:t xml:space="preserve">this </w:t>
                            </w:r>
                            <w:r w:rsidRPr="007B2A0E">
                              <w:rPr>
                                <w:b/>
                                <w:bCs/>
                                <w:sz w:val="20"/>
                                <w:szCs w:val="20"/>
                              </w:rPr>
                              <w:t>product.</w:t>
                            </w:r>
                          </w:p>
                          <w:p w14:paraId="3B10B9CC" w14:textId="7D5585AF" w:rsidR="00D57591" w:rsidRPr="007B2A0E" w:rsidRDefault="00D57591" w:rsidP="00DA0712">
                            <w:pPr>
                              <w:pStyle w:val="ListParagraph"/>
                              <w:numPr>
                                <w:ilvl w:val="0"/>
                                <w:numId w:val="31"/>
                              </w:numPr>
                              <w:rPr>
                                <w:b/>
                                <w:bCs/>
                                <w:sz w:val="20"/>
                                <w:szCs w:val="20"/>
                              </w:rPr>
                            </w:pPr>
                            <w:r w:rsidRPr="007B2A0E">
                              <w:rPr>
                                <w:b/>
                                <w:bCs/>
                                <w:sz w:val="20"/>
                                <w:szCs w:val="20"/>
                              </w:rPr>
                              <w:t>ALWAYS keep infant within A</w:t>
                            </w:r>
                            <w:r>
                              <w:rPr>
                                <w:b/>
                                <w:bCs/>
                                <w:sz w:val="20"/>
                                <w:szCs w:val="20"/>
                              </w:rPr>
                              <w:t>D</w:t>
                            </w:r>
                            <w:r w:rsidRPr="007B2A0E">
                              <w:rPr>
                                <w:b/>
                                <w:bCs/>
                                <w:sz w:val="20"/>
                                <w:szCs w:val="20"/>
                              </w:rPr>
                              <w:t>ULT caregiver view while in product.</w:t>
                            </w:r>
                          </w:p>
                          <w:p w14:paraId="0BB49689" w14:textId="476E6695" w:rsidR="00D57591" w:rsidRPr="007B2A0E" w:rsidRDefault="00D57591" w:rsidP="00BE22B9">
                            <w:pPr>
                              <w:pStyle w:val="ListParagraph"/>
                              <w:numPr>
                                <w:ilvl w:val="0"/>
                                <w:numId w:val="0"/>
                              </w:numPr>
                              <w:ind w:left="360"/>
                              <w:rPr>
                                <w:b/>
                                <w:bCs/>
                                <w:sz w:val="20"/>
                                <w:szCs w:val="20"/>
                                <w:lang w:val="en-G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21889CC" id="_x0000_t202" coordsize="21600,21600" o:spt="202" path="m,l,21600r21600,l21600,xe">
                <v:stroke joinstyle="miter"/>
                <v:path gradientshapeok="t" o:connecttype="rect"/>
              </v:shapetype>
              <v:shape id="Text Box 2" o:spid="_x0000_s1026" type="#_x0000_t202" style="position:absolute;margin-left:0;margin-top:21.3pt;width:194.25pt;height:180.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">
                <v:textbox>
                  <w:txbxContent>
                    <w:p w14:paraId="722BC425" w14:textId="77777777" w:rsidR="00D57591" w:rsidRDefault="00D57591" w:rsidP="00DA0712">
                      <w:pPr>
                        <w:spacing w:before="120"/>
                        <w:jc w:val="center"/>
                        <w:rPr>
                          <w:b/>
                          <w:bCs/>
                          <w:sz w:val="18"/>
                          <w:szCs w:val="18"/>
                        </w:rPr>
                      </w:pPr>
                      <w:r>
                        <w:rPr>
                          <w:noProof/>
                          <w:lang w:eastAsia="en-AU"/>
                        </w:rPr>
                        <w:drawing>
                          <wp:inline distT="0" distB="0" distL="0" distR="0" wp14:anchorId="29FFCDED" wp14:editId="558BD3DD">
                            <wp:extent cx="2082800" cy="62156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089819" cy="623664"/>
                                    </a:xfrm>
                                    <a:prstGeom prst="rect">
                                      <a:avLst/>
                                    </a:prstGeom>
                                  </pic:spPr>
                                </pic:pic>
                              </a:graphicData>
                            </a:graphic>
                          </wp:inline>
                        </w:drawing>
                      </w:r>
                    </w:p>
                    <w:p w14:paraId="1410A160" w14:textId="3F5C9B0F" w:rsidR="00D57591" w:rsidRPr="007B2A0E" w:rsidRDefault="00D57591" w:rsidP="00DA0712">
                      <w:pPr>
                        <w:spacing w:before="120"/>
                        <w:rPr>
                          <w:b/>
                          <w:bCs/>
                          <w:sz w:val="20"/>
                          <w:szCs w:val="20"/>
                        </w:rPr>
                      </w:pPr>
                      <w:r w:rsidRPr="007B2A0E">
                        <w:rPr>
                          <w:b/>
                          <w:bCs/>
                          <w:sz w:val="20"/>
                          <w:szCs w:val="20"/>
                        </w:rPr>
                        <w:t>Infants have DIED sleeping on inclined surfaces. This is NOT a sleeping device.</w:t>
                      </w:r>
                    </w:p>
                    <w:p w14:paraId="22769A78" w14:textId="0F1E468E" w:rsidR="00D57591" w:rsidRPr="007B2A0E" w:rsidRDefault="00D57591" w:rsidP="00DA0712">
                      <w:pPr>
                        <w:pStyle w:val="ListParagraph"/>
                        <w:numPr>
                          <w:ilvl w:val="0"/>
                          <w:numId w:val="31"/>
                        </w:numPr>
                        <w:rPr>
                          <w:b/>
                          <w:bCs/>
                          <w:sz w:val="20"/>
                          <w:szCs w:val="20"/>
                        </w:rPr>
                      </w:pPr>
                      <w:r w:rsidRPr="007B2A0E">
                        <w:rPr>
                          <w:b/>
                          <w:bCs/>
                          <w:sz w:val="20"/>
                          <w:szCs w:val="20"/>
                        </w:rPr>
                        <w:t xml:space="preserve">NEVER let </w:t>
                      </w:r>
                      <w:r>
                        <w:rPr>
                          <w:b/>
                          <w:bCs/>
                          <w:sz w:val="20"/>
                          <w:szCs w:val="20"/>
                        </w:rPr>
                        <w:t xml:space="preserve">an </w:t>
                      </w:r>
                      <w:r w:rsidRPr="007B2A0E">
                        <w:rPr>
                          <w:b/>
                          <w:bCs/>
                          <w:sz w:val="20"/>
                          <w:szCs w:val="20"/>
                        </w:rPr>
                        <w:t xml:space="preserve">infant fall asleep in </w:t>
                      </w:r>
                      <w:r>
                        <w:rPr>
                          <w:b/>
                          <w:bCs/>
                          <w:sz w:val="20"/>
                          <w:szCs w:val="20"/>
                        </w:rPr>
                        <w:t xml:space="preserve">this </w:t>
                      </w:r>
                      <w:r w:rsidRPr="007B2A0E">
                        <w:rPr>
                          <w:b/>
                          <w:bCs/>
                          <w:sz w:val="20"/>
                          <w:szCs w:val="20"/>
                        </w:rPr>
                        <w:t>product.</w:t>
                      </w:r>
                    </w:p>
                    <w:p w14:paraId="3B10B9CC" w14:textId="7D5585AF" w:rsidR="00D57591" w:rsidRPr="007B2A0E" w:rsidRDefault="00D57591" w:rsidP="00DA0712">
                      <w:pPr>
                        <w:pStyle w:val="ListParagraph"/>
                        <w:numPr>
                          <w:ilvl w:val="0"/>
                          <w:numId w:val="31"/>
                        </w:numPr>
                        <w:rPr>
                          <w:b/>
                          <w:bCs/>
                          <w:sz w:val="20"/>
                          <w:szCs w:val="20"/>
                        </w:rPr>
                      </w:pPr>
                      <w:r w:rsidRPr="007B2A0E">
                        <w:rPr>
                          <w:b/>
                          <w:bCs/>
                          <w:sz w:val="20"/>
                          <w:szCs w:val="20"/>
                        </w:rPr>
                        <w:t>ALWAYS keep infant within A</w:t>
                      </w:r>
                      <w:r>
                        <w:rPr>
                          <w:b/>
                          <w:bCs/>
                          <w:sz w:val="20"/>
                          <w:szCs w:val="20"/>
                        </w:rPr>
                        <w:t>D</w:t>
                      </w:r>
                      <w:r w:rsidRPr="007B2A0E">
                        <w:rPr>
                          <w:b/>
                          <w:bCs/>
                          <w:sz w:val="20"/>
                          <w:szCs w:val="20"/>
                        </w:rPr>
                        <w:t>ULT caregiver view while in product.</w:t>
                      </w:r>
                    </w:p>
                    <w:p w14:paraId="0BB49689" w14:textId="476E6695" w:rsidR="00D57591" w:rsidRPr="007B2A0E" w:rsidRDefault="00D57591" w:rsidP="00BE22B9">
                      <w:pPr>
                        <w:pStyle w:val="ListParagraph"/>
                        <w:numPr>
                          <w:ilvl w:val="0"/>
                          <w:numId w:val="0"/>
                        </w:numPr>
                        <w:ind w:left="360"/>
                        <w:rPr>
                          <w:b/>
                          <w:bCs/>
                          <w:sz w:val="20"/>
                          <w:szCs w:val="20"/>
                          <w:lang w:val="en-GB"/>
                        </w:rPr>
                      </w:pPr>
                    </w:p>
                  </w:txbxContent>
                </v:textbox>
                <w10:wrap type="topAndBottom" anchorx="margin"/>
              </v:shape>
            </w:pict>
          </mc:Fallback>
        </mc:AlternateContent>
      </w:r>
    </w:p>
    <w:p w14:paraId="49C7C49F" w14:textId="5381ED5E" w:rsidR="00123EDC" w:rsidRDefault="00123EDC" w:rsidP="00123EDC">
      <w:pPr>
        <w:pStyle w:val="Numbered111"/>
      </w:pPr>
      <w:bookmarkStart w:id="106" w:name="_Toc105574828"/>
      <w:bookmarkStart w:id="107" w:name="_Toc105747312"/>
      <w:bookmarkStart w:id="108" w:name="_Toc106349148"/>
      <w:bookmarkStart w:id="109" w:name="_Toc106637684"/>
      <w:bookmarkStart w:id="110" w:name="_Toc106802900"/>
      <w:bookmarkStart w:id="111" w:name="_Toc107326648"/>
      <w:bookmarkStart w:id="112" w:name="_Toc107582452"/>
      <w:bookmarkStart w:id="113" w:name="_Toc108538320"/>
      <w:bookmarkStart w:id="114" w:name="_Toc109039362"/>
      <w:bookmarkStart w:id="115" w:name="_Toc110871630"/>
      <w:bookmarkStart w:id="116" w:name="_Toc110959474"/>
      <w:r>
        <w:t>Benefits</w:t>
      </w:r>
      <w:r w:rsidR="00345947">
        <w:t xml:space="preserve"> and limitations</w:t>
      </w:r>
      <w:bookmarkEnd w:id="106"/>
      <w:bookmarkEnd w:id="107"/>
      <w:bookmarkEnd w:id="108"/>
      <w:bookmarkEnd w:id="109"/>
      <w:bookmarkEnd w:id="110"/>
      <w:bookmarkEnd w:id="111"/>
      <w:bookmarkEnd w:id="112"/>
      <w:bookmarkEnd w:id="113"/>
      <w:bookmarkEnd w:id="114"/>
      <w:bookmarkEnd w:id="115"/>
      <w:bookmarkEnd w:id="116"/>
    </w:p>
    <w:p w14:paraId="23C1060C" w14:textId="63EA7646" w:rsidR="004515F7" w:rsidRDefault="00827A6A" w:rsidP="004515F7">
      <w:r>
        <w:t>T</w:t>
      </w:r>
      <w:r w:rsidR="0070740D">
        <w:t>he benefits and limitations</w:t>
      </w:r>
      <w:r w:rsidR="00D02981">
        <w:t xml:space="preserve"> of Option </w:t>
      </w:r>
      <w:r w:rsidR="000875B8">
        <w:t>3</w:t>
      </w:r>
      <w:r w:rsidR="0070740D">
        <w:t xml:space="preserve"> </w:t>
      </w:r>
      <w:r>
        <w:t xml:space="preserve">are outlined </w:t>
      </w:r>
      <w:r w:rsidR="007B2A0E">
        <w:t>below:</w:t>
      </w:r>
    </w:p>
    <w:p w14:paraId="66594177" w14:textId="77777777" w:rsidR="007B2A0E" w:rsidRDefault="007B2A0E" w:rsidP="00A11534">
      <w:pPr>
        <w:pStyle w:val="NoSpacing"/>
      </w:pPr>
    </w:p>
    <w:tbl>
      <w:tblPr>
        <w:tblStyle w:val="TableGrid"/>
        <w:tblW w:w="0" w:type="auto"/>
        <w:tblLook w:val="0420" w:firstRow="1" w:lastRow="0" w:firstColumn="0" w:lastColumn="0" w:noHBand="0" w:noVBand="1"/>
      </w:tblPr>
      <w:tblGrid>
        <w:gridCol w:w="4253"/>
        <w:gridCol w:w="4773"/>
      </w:tblGrid>
      <w:tr w:rsidR="0037443D" w14:paraId="60FEDFEE" w14:textId="77777777" w:rsidTr="00E330EC">
        <w:trPr>
          <w:cnfStyle w:val="100000000000" w:firstRow="1" w:lastRow="0" w:firstColumn="0" w:lastColumn="0" w:oddVBand="0" w:evenVBand="0" w:oddHBand="0" w:evenHBand="0" w:firstRowFirstColumn="0" w:firstRowLastColumn="0" w:lastRowFirstColumn="0" w:lastRowLastColumn="0"/>
          <w:tblHeader/>
        </w:trPr>
        <w:tc>
          <w:tcPr>
            <w:tcW w:w="4253" w:type="dxa"/>
          </w:tcPr>
          <w:p w14:paraId="42FDA0C0" w14:textId="12283429" w:rsidR="00F81A2A" w:rsidRPr="006904CF" w:rsidRDefault="00F81A2A" w:rsidP="006904CF">
            <w:pPr>
              <w:pStyle w:val="TableHeading"/>
              <w:rPr>
                <w:b/>
                <w:bCs/>
              </w:rPr>
            </w:pPr>
            <w:r w:rsidRPr="006904CF">
              <w:rPr>
                <w:b/>
                <w:bCs/>
              </w:rPr>
              <w:t>Benefit</w:t>
            </w:r>
          </w:p>
        </w:tc>
        <w:tc>
          <w:tcPr>
            <w:tcW w:w="4773" w:type="dxa"/>
          </w:tcPr>
          <w:p w14:paraId="170CCC1B" w14:textId="524C13D5" w:rsidR="00F81A2A" w:rsidRPr="006904CF" w:rsidRDefault="00F81A2A" w:rsidP="006904CF">
            <w:pPr>
              <w:pStyle w:val="TableHeading"/>
              <w:rPr>
                <w:b/>
                <w:bCs/>
              </w:rPr>
            </w:pPr>
            <w:r w:rsidRPr="006904CF">
              <w:rPr>
                <w:b/>
                <w:bCs/>
              </w:rPr>
              <w:t>Limitation</w:t>
            </w:r>
          </w:p>
        </w:tc>
      </w:tr>
      <w:tr w:rsidR="0037443D" w14:paraId="4247048E" w14:textId="77777777" w:rsidTr="0037443D">
        <w:tc>
          <w:tcPr>
            <w:tcW w:w="4253" w:type="dxa"/>
          </w:tcPr>
          <w:p w14:paraId="13FCCE21" w14:textId="7F0CD0A7" w:rsidR="00F81A2A" w:rsidRDefault="00054E69" w:rsidP="00D02981">
            <w:pPr>
              <w:pStyle w:val="Bulletpoint"/>
            </w:pPr>
            <w:r>
              <w:t>C</w:t>
            </w:r>
            <w:r w:rsidR="00F81A2A">
              <w:t>onsisten</w:t>
            </w:r>
            <w:r w:rsidR="000113AA">
              <w:t>t</w:t>
            </w:r>
            <w:r w:rsidR="00F81A2A">
              <w:t xml:space="preserve"> with medical and</w:t>
            </w:r>
            <w:r w:rsidR="00F81A2A" w:rsidRPr="008F429C">
              <w:t xml:space="preserve"> public health </w:t>
            </w:r>
            <w:r w:rsidR="00F81A2A">
              <w:t>advice relating to</w:t>
            </w:r>
            <w:r w:rsidR="00F81A2A" w:rsidRPr="008F429C">
              <w:t xml:space="preserve"> sa</w:t>
            </w:r>
            <w:r w:rsidR="00F81A2A">
              <w:t>f</w:t>
            </w:r>
            <w:r w:rsidR="00F81A2A" w:rsidRPr="008F429C">
              <w:t>e sleep p</w:t>
            </w:r>
            <w:r w:rsidR="00DA0712">
              <w:t>ractices</w:t>
            </w:r>
            <w:r w:rsidR="00F81A2A">
              <w:t>.</w:t>
            </w:r>
          </w:p>
          <w:p w14:paraId="5E46CF3E" w14:textId="20C93360" w:rsidR="0007719E" w:rsidRDefault="00054E69" w:rsidP="00D02981">
            <w:pPr>
              <w:pStyle w:val="Bulletpoint"/>
            </w:pPr>
            <w:r>
              <w:t>E</w:t>
            </w:r>
            <w:r w:rsidR="0007719E">
              <w:t>nsure</w:t>
            </w:r>
            <w:r w:rsidR="00DA0712">
              <w:t>s</w:t>
            </w:r>
            <w:r w:rsidR="0007719E">
              <w:t xml:space="preserve"> health and medical advice is provided to consumers when making purchasing decisions</w:t>
            </w:r>
            <w:r w:rsidR="000113AA">
              <w:t xml:space="preserve">. </w:t>
            </w:r>
          </w:p>
          <w:p w14:paraId="66300232" w14:textId="7B55D7EB" w:rsidR="0037443D" w:rsidRPr="00D02981" w:rsidRDefault="00054E69" w:rsidP="0037443D">
            <w:pPr>
              <w:pStyle w:val="Bulletpoint"/>
            </w:pPr>
            <w:r>
              <w:t>E</w:t>
            </w:r>
            <w:r w:rsidR="00EC5131">
              <w:t>ncourage behavioural change by</w:t>
            </w:r>
            <w:r w:rsidR="0037443D" w:rsidRPr="00D02981">
              <w:t xml:space="preserve"> informing consumers of the risks associated with infants sleeping in an inclined position.</w:t>
            </w:r>
          </w:p>
          <w:p w14:paraId="5AD13811" w14:textId="7A5855A2" w:rsidR="0037443D" w:rsidRPr="00FF3792" w:rsidRDefault="00054E69" w:rsidP="0037443D">
            <w:pPr>
              <w:pStyle w:val="Bulletpoint"/>
            </w:pPr>
            <w:r>
              <w:t>A</w:t>
            </w:r>
            <w:r w:rsidR="0037443D" w:rsidRPr="00FF3792">
              <w:t>ct</w:t>
            </w:r>
            <w:r w:rsidR="00DA0712">
              <w:t>s</w:t>
            </w:r>
            <w:r w:rsidR="0037443D" w:rsidRPr="00FF3792">
              <w:t xml:space="preserve"> as an immediate, affirmative call to action by stating </w:t>
            </w:r>
            <w:r w:rsidR="00CC2E4E">
              <w:t xml:space="preserve">safety advice </w:t>
            </w:r>
            <w:r w:rsidR="00DA0712">
              <w:t>at the point of sale</w:t>
            </w:r>
            <w:r w:rsidR="0037443D">
              <w:t>.</w:t>
            </w:r>
          </w:p>
          <w:p w14:paraId="2760C057" w14:textId="29DA2A27" w:rsidR="0037443D" w:rsidRDefault="00054E69" w:rsidP="0037443D">
            <w:pPr>
              <w:pStyle w:val="Bulletpoint"/>
            </w:pPr>
            <w:r>
              <w:t>C</w:t>
            </w:r>
            <w:r w:rsidR="0037443D">
              <w:t>ounteract</w:t>
            </w:r>
            <w:r w:rsidR="00CC2E4E">
              <w:t>s</w:t>
            </w:r>
            <w:r w:rsidR="0037443D">
              <w:t xml:space="preserve"> </w:t>
            </w:r>
            <w:r w:rsidR="0037443D" w:rsidRPr="00626A06">
              <w:t>marketing of bouncers, rockers and swings where there are claims of calming</w:t>
            </w:r>
            <w:r w:rsidR="006C343A">
              <w:t xml:space="preserve">, </w:t>
            </w:r>
            <w:r w:rsidR="0037443D" w:rsidRPr="00626A06">
              <w:t>soothing</w:t>
            </w:r>
            <w:r w:rsidR="006C343A">
              <w:t xml:space="preserve"> or sleep</w:t>
            </w:r>
            <w:r w:rsidR="0037443D" w:rsidRPr="00626A06">
              <w:t>.</w:t>
            </w:r>
          </w:p>
          <w:p w14:paraId="2C0CBC8D" w14:textId="4D9A20E8" w:rsidR="0037443D" w:rsidRPr="00D02981" w:rsidRDefault="00054E69" w:rsidP="0037443D">
            <w:pPr>
              <w:pStyle w:val="Bulletpoint"/>
            </w:pPr>
            <w:r>
              <w:t>U</w:t>
            </w:r>
            <w:r w:rsidR="0037443D">
              <w:t xml:space="preserve">sing a durable label will ensure it </w:t>
            </w:r>
            <w:r w:rsidR="0037443D" w:rsidRPr="006A661C">
              <w:t>last</w:t>
            </w:r>
            <w:r w:rsidR="0037443D">
              <w:t>s for</w:t>
            </w:r>
            <w:r w:rsidR="0037443D" w:rsidRPr="006A661C">
              <w:t xml:space="preserve"> the lifetime of the product</w:t>
            </w:r>
            <w:r w:rsidR="0037443D">
              <w:t xml:space="preserve"> which </w:t>
            </w:r>
            <w:r w:rsidR="0037443D" w:rsidRPr="006A661C">
              <w:t xml:space="preserve">will enable the safety messaging to </w:t>
            </w:r>
            <w:r w:rsidR="0037443D">
              <w:t xml:space="preserve">eventually </w:t>
            </w:r>
            <w:r w:rsidR="0037443D" w:rsidRPr="006A661C">
              <w:t>flow through to second-hand products</w:t>
            </w:r>
            <w:r w:rsidR="0037443D">
              <w:t>.</w:t>
            </w:r>
          </w:p>
        </w:tc>
        <w:tc>
          <w:tcPr>
            <w:tcW w:w="4773" w:type="dxa"/>
          </w:tcPr>
          <w:p w14:paraId="15786BC5" w14:textId="2757BBB3" w:rsidR="00F81A2A" w:rsidRDefault="00054E69" w:rsidP="0037443D">
            <w:pPr>
              <w:pStyle w:val="Bulletpoint"/>
            </w:pPr>
            <w:r>
              <w:t>W</w:t>
            </w:r>
            <w:r w:rsidR="00F81A2A">
              <w:t>ould not prevent the highest risk products from being supplied.</w:t>
            </w:r>
          </w:p>
          <w:p w14:paraId="7FAA45DC" w14:textId="273082BD" w:rsidR="0037443D" w:rsidRPr="00D02981" w:rsidRDefault="00054E69" w:rsidP="0037443D">
            <w:pPr>
              <w:pStyle w:val="Bulletpoint"/>
            </w:pPr>
            <w:r>
              <w:t>E</w:t>
            </w:r>
            <w:r w:rsidR="0037443D">
              <w:t>xisting products and those manufactured during the transition period may become second-hand products, which are unlikely to contain the original instructions or packaging, such that second or third owners will</w:t>
            </w:r>
            <w:r w:rsidR="00CC2E4E">
              <w:t xml:space="preserve"> not</w:t>
            </w:r>
            <w:r w:rsidR="0037443D">
              <w:t xml:space="preserve"> be aware of the warnings or safe use information.  </w:t>
            </w:r>
          </w:p>
        </w:tc>
      </w:tr>
    </w:tbl>
    <w:p w14:paraId="54DB1294" w14:textId="18FAE448" w:rsidR="00123EDC" w:rsidRDefault="004D1272" w:rsidP="00123EDC">
      <w:pPr>
        <w:pStyle w:val="Numbered111"/>
      </w:pPr>
      <w:bookmarkStart w:id="117" w:name="_Toc105574829"/>
      <w:bookmarkStart w:id="118" w:name="_Toc105747313"/>
      <w:bookmarkStart w:id="119" w:name="_Toc106349149"/>
      <w:bookmarkStart w:id="120" w:name="_Toc106637685"/>
      <w:bookmarkStart w:id="121" w:name="_Toc106802901"/>
      <w:bookmarkStart w:id="122" w:name="_Toc107326649"/>
      <w:bookmarkStart w:id="123" w:name="_Toc107582453"/>
      <w:bookmarkStart w:id="124" w:name="_Toc108538321"/>
      <w:bookmarkStart w:id="125" w:name="_Toc109039363"/>
      <w:bookmarkStart w:id="126" w:name="_Toc110871631"/>
      <w:bookmarkStart w:id="127" w:name="_Toc110959475"/>
      <w:r>
        <w:t>Estimated c</w:t>
      </w:r>
      <w:r w:rsidR="00123EDC">
        <w:t>osts</w:t>
      </w:r>
      <w:bookmarkEnd w:id="117"/>
      <w:bookmarkEnd w:id="118"/>
      <w:bookmarkEnd w:id="119"/>
      <w:bookmarkEnd w:id="120"/>
      <w:bookmarkEnd w:id="121"/>
      <w:bookmarkEnd w:id="122"/>
      <w:bookmarkEnd w:id="123"/>
      <w:bookmarkEnd w:id="124"/>
      <w:bookmarkEnd w:id="125"/>
      <w:bookmarkEnd w:id="126"/>
      <w:bookmarkEnd w:id="127"/>
    </w:p>
    <w:p w14:paraId="4A6212F2" w14:textId="13EFFF54" w:rsidR="00CE6C89" w:rsidRDefault="00710702" w:rsidP="000B19B7">
      <w:r>
        <w:t xml:space="preserve">Industry would face costs relating to </w:t>
      </w:r>
      <w:r w:rsidR="00123EDC">
        <w:t>product warnings, packaging changes and instruction manual changes</w:t>
      </w:r>
      <w:r>
        <w:t>.</w:t>
      </w:r>
      <w:r w:rsidR="006C343A">
        <w:t xml:space="preserve"> I</w:t>
      </w:r>
      <w:r w:rsidR="0063458A">
        <w:t>nitial estimates</w:t>
      </w:r>
      <w:r w:rsidR="006C343A">
        <w:t xml:space="preserve"> based on previous ACCC experience</w:t>
      </w:r>
      <w:r w:rsidR="0063458A">
        <w:t xml:space="preserve"> indicate</w:t>
      </w:r>
      <w:r w:rsidR="006C343A">
        <w:t>s</w:t>
      </w:r>
      <w:r w:rsidR="0063458A">
        <w:t xml:space="preserve"> compliance costs </w:t>
      </w:r>
      <w:r w:rsidR="00827A6A">
        <w:t>are</w:t>
      </w:r>
      <w:r w:rsidR="0063458A">
        <w:t>:</w:t>
      </w:r>
    </w:p>
    <w:p w14:paraId="33900245" w14:textId="77777777" w:rsidR="000B19B7" w:rsidRDefault="000B19B7" w:rsidP="00DA0712">
      <w:pPr>
        <w:pStyle w:val="NoSpacing"/>
      </w:pPr>
    </w:p>
    <w:tbl>
      <w:tblPr>
        <w:tblStyle w:val="TableGrid"/>
        <w:tblW w:w="0" w:type="auto"/>
        <w:tblLook w:val="0400" w:firstRow="0" w:lastRow="0" w:firstColumn="0" w:lastColumn="0" w:noHBand="0" w:noVBand="1"/>
      </w:tblPr>
      <w:tblGrid>
        <w:gridCol w:w="5245"/>
        <w:gridCol w:w="3781"/>
      </w:tblGrid>
      <w:tr w:rsidR="0063458A" w14:paraId="0052F232" w14:textId="77777777" w:rsidTr="009A46B3">
        <w:tc>
          <w:tcPr>
            <w:tcW w:w="5245" w:type="dxa"/>
          </w:tcPr>
          <w:p w14:paraId="1AC193E2" w14:textId="1C98DF82" w:rsidR="0063458A" w:rsidRPr="00127864" w:rsidRDefault="0063458A" w:rsidP="00361E2D">
            <w:pPr>
              <w:pStyle w:val="Tabletext"/>
            </w:pPr>
            <w:r w:rsidRPr="00127864">
              <w:t>Cost of product warning label</w:t>
            </w:r>
          </w:p>
        </w:tc>
        <w:tc>
          <w:tcPr>
            <w:tcW w:w="3781" w:type="dxa"/>
          </w:tcPr>
          <w:p w14:paraId="0F530E29" w14:textId="14FCB065" w:rsidR="0063458A" w:rsidRPr="00127864" w:rsidRDefault="0063458A" w:rsidP="00361E2D">
            <w:pPr>
              <w:pStyle w:val="Tabletext"/>
            </w:pPr>
            <w:r w:rsidRPr="00127864">
              <w:t>$0.20 - $1.00 per unit</w:t>
            </w:r>
          </w:p>
        </w:tc>
      </w:tr>
      <w:tr w:rsidR="0063458A" w14:paraId="3687242D" w14:textId="77777777" w:rsidTr="009A46B3">
        <w:tc>
          <w:tcPr>
            <w:tcW w:w="5245" w:type="dxa"/>
          </w:tcPr>
          <w:p w14:paraId="09221D97" w14:textId="0EE76DEE" w:rsidR="0063458A" w:rsidRPr="00127864" w:rsidRDefault="0063458A" w:rsidP="00361E2D">
            <w:pPr>
              <w:pStyle w:val="Tabletext"/>
            </w:pPr>
            <w:r w:rsidRPr="00127864">
              <w:t>Cost to include warnings on product packaging</w:t>
            </w:r>
          </w:p>
        </w:tc>
        <w:tc>
          <w:tcPr>
            <w:tcW w:w="3781" w:type="dxa"/>
          </w:tcPr>
          <w:p w14:paraId="7CD5F0E3" w14:textId="69EE72A6" w:rsidR="0063458A" w:rsidRPr="00127864" w:rsidRDefault="0063458A" w:rsidP="00361E2D">
            <w:pPr>
              <w:pStyle w:val="Tabletext"/>
            </w:pPr>
            <w:r w:rsidRPr="00127864">
              <w:t>$0.05 per unit</w:t>
            </w:r>
          </w:p>
        </w:tc>
      </w:tr>
      <w:tr w:rsidR="0063458A" w14:paraId="40D578C3" w14:textId="77777777" w:rsidTr="009A46B3">
        <w:tc>
          <w:tcPr>
            <w:tcW w:w="5245" w:type="dxa"/>
          </w:tcPr>
          <w:p w14:paraId="28801D28" w14:textId="5DCF9FA3" w:rsidR="0063458A" w:rsidRPr="00127864" w:rsidRDefault="0063458A" w:rsidP="00361E2D">
            <w:pPr>
              <w:pStyle w:val="Tabletext"/>
            </w:pPr>
            <w:r w:rsidRPr="00127864">
              <w:t>Cost to include warnings in the instruction manual</w:t>
            </w:r>
          </w:p>
        </w:tc>
        <w:tc>
          <w:tcPr>
            <w:tcW w:w="3781" w:type="dxa"/>
          </w:tcPr>
          <w:p w14:paraId="55EB5980" w14:textId="12792207" w:rsidR="0063458A" w:rsidRPr="00127864" w:rsidRDefault="0063458A" w:rsidP="00361E2D">
            <w:pPr>
              <w:pStyle w:val="Tabletext"/>
            </w:pPr>
            <w:r w:rsidRPr="00127864">
              <w:t>$0.05 per unit</w:t>
            </w:r>
          </w:p>
        </w:tc>
      </w:tr>
      <w:tr w:rsidR="0063458A" w:rsidRPr="00F81A2A" w14:paraId="111E0AFE" w14:textId="77777777" w:rsidTr="009A46B3">
        <w:tc>
          <w:tcPr>
            <w:tcW w:w="5245" w:type="dxa"/>
          </w:tcPr>
          <w:p w14:paraId="7F47B793" w14:textId="43E7E2C1" w:rsidR="0063458A" w:rsidRPr="00F81A2A" w:rsidRDefault="0063458A" w:rsidP="00361E2D">
            <w:pPr>
              <w:pStyle w:val="Tabletext"/>
            </w:pPr>
            <w:r w:rsidRPr="00F81A2A">
              <w:t>Total estimated costs</w:t>
            </w:r>
          </w:p>
        </w:tc>
        <w:tc>
          <w:tcPr>
            <w:tcW w:w="3781" w:type="dxa"/>
            <w:shd w:val="clear" w:color="auto" w:fill="F8DABA"/>
          </w:tcPr>
          <w:p w14:paraId="7D5A6D3F" w14:textId="6F89E1C8" w:rsidR="0063458A" w:rsidRPr="00F81A2A" w:rsidRDefault="0063458A" w:rsidP="00361E2D">
            <w:pPr>
              <w:pStyle w:val="Tabletext"/>
            </w:pPr>
            <w:r w:rsidRPr="00F81A2A">
              <w:t>$0.30 - $1.10 per unit</w:t>
            </w:r>
          </w:p>
        </w:tc>
      </w:tr>
    </w:tbl>
    <w:p w14:paraId="5A6F25C1" w14:textId="7C254D31" w:rsidR="00827A6A" w:rsidRDefault="00DA0712" w:rsidP="00F81A2A">
      <w:r>
        <w:t xml:space="preserve">The ACCC considers that Option </w:t>
      </w:r>
      <w:r w:rsidR="000875B8">
        <w:t>3</w:t>
      </w:r>
      <w:r>
        <w:t xml:space="preserve"> would have an impact on reducing the estimated cost of </w:t>
      </w:r>
      <w:r w:rsidR="00BB1759">
        <w:t>$14.47 million</w:t>
      </w:r>
      <w:r w:rsidR="004F46B0">
        <w:t xml:space="preserve"> per year </w:t>
      </w:r>
      <w:r w:rsidR="004F46B0" w:rsidRPr="00BB1759">
        <w:t xml:space="preserve">associated with </w:t>
      </w:r>
      <w:r w:rsidR="002B068E" w:rsidRPr="00BB1759">
        <w:t>Infant Sleep Products</w:t>
      </w:r>
      <w:r w:rsidR="004F46B0" w:rsidRPr="00BB1759">
        <w:t>.</w:t>
      </w:r>
      <w:r w:rsidRPr="00BB1759">
        <w:t xml:space="preserve"> </w:t>
      </w:r>
      <w:r w:rsidR="00183979">
        <w:t>However</w:t>
      </w:r>
      <w:r w:rsidR="00C040B2">
        <w:t>,</w:t>
      </w:r>
      <w:r w:rsidR="00183979">
        <w:t xml:space="preserve"> it is difficult to estimate the </w:t>
      </w:r>
      <w:r w:rsidR="00817486">
        <w:t xml:space="preserve">exact impact due to </w:t>
      </w:r>
      <w:r w:rsidR="00D77E77">
        <w:t xml:space="preserve">a number of </w:t>
      </w:r>
      <w:r w:rsidR="00817486">
        <w:t>uncertainties</w:t>
      </w:r>
      <w:r w:rsidR="00D77E77">
        <w:t>, including</w:t>
      </w:r>
      <w:r w:rsidR="00817486">
        <w:t xml:space="preserve"> around the number of products on the market</w:t>
      </w:r>
      <w:r w:rsidR="00FC612A">
        <w:t xml:space="preserve"> (this applies equally to all options considered below).</w:t>
      </w:r>
    </w:p>
    <w:p w14:paraId="606576EC" w14:textId="77777777" w:rsidR="00917182" w:rsidRPr="00BB1759" w:rsidRDefault="00917182" w:rsidP="00917182">
      <w:pPr>
        <w:shd w:val="clear" w:color="auto" w:fill="F2F2F2" w:themeFill="background1" w:themeFillShade="F2"/>
        <w:rPr>
          <w:b/>
          <w:bCs/>
          <w:szCs w:val="24"/>
        </w:rPr>
      </w:pPr>
      <w:r w:rsidRPr="00BB1759">
        <w:rPr>
          <w:b/>
          <w:bCs/>
          <w:szCs w:val="24"/>
        </w:rPr>
        <w:t>Question</w:t>
      </w:r>
    </w:p>
    <w:p w14:paraId="2F90351F" w14:textId="0E49522F" w:rsidR="00917182" w:rsidRPr="00BB1759" w:rsidRDefault="00C56D9F" w:rsidP="00054E69">
      <w:pPr>
        <w:shd w:val="clear" w:color="auto" w:fill="F2F2F2" w:themeFill="background1" w:themeFillShade="F2"/>
        <w:ind w:left="340" w:hanging="340"/>
        <w:rPr>
          <w:bCs/>
          <w:szCs w:val="24"/>
        </w:rPr>
      </w:pPr>
      <w:bookmarkStart w:id="128" w:name="_Hlk106637473"/>
      <w:r w:rsidRPr="00BB1759">
        <w:rPr>
          <w:bCs/>
          <w:szCs w:val="24"/>
        </w:rPr>
        <w:t>9</w:t>
      </w:r>
      <w:r w:rsidR="00917182" w:rsidRPr="00BB1759">
        <w:rPr>
          <w:bCs/>
          <w:szCs w:val="24"/>
        </w:rPr>
        <w:t xml:space="preserve">. </w:t>
      </w:r>
      <w:r w:rsidR="00054E69" w:rsidRPr="00BB1759">
        <w:rPr>
          <w:bCs/>
          <w:szCs w:val="24"/>
        </w:rPr>
        <w:tab/>
      </w:r>
      <w:r w:rsidR="00917182" w:rsidRPr="00BB1759">
        <w:rPr>
          <w:bCs/>
          <w:szCs w:val="24"/>
        </w:rPr>
        <w:t xml:space="preserve">Do you suggest any additional warnings be included in the </w:t>
      </w:r>
      <w:r w:rsidR="007450B4">
        <w:rPr>
          <w:bCs/>
          <w:szCs w:val="24"/>
        </w:rPr>
        <w:t>information standard</w:t>
      </w:r>
      <w:r w:rsidR="00917182" w:rsidRPr="00BB1759">
        <w:rPr>
          <w:bCs/>
          <w:szCs w:val="24"/>
        </w:rPr>
        <w:t xml:space="preserve"> for Inclined Sleep</w:t>
      </w:r>
      <w:r w:rsidR="000E5ABA">
        <w:rPr>
          <w:bCs/>
          <w:szCs w:val="24"/>
        </w:rPr>
        <w:t xml:space="preserve"> Products</w:t>
      </w:r>
      <w:r w:rsidR="00917182" w:rsidRPr="00BB1759">
        <w:rPr>
          <w:bCs/>
          <w:szCs w:val="24"/>
        </w:rPr>
        <w:t xml:space="preserve"> and </w:t>
      </w:r>
      <w:r w:rsidR="00434B95" w:rsidRPr="00BB1759">
        <w:rPr>
          <w:bCs/>
          <w:szCs w:val="24"/>
        </w:rPr>
        <w:t xml:space="preserve">Inclined </w:t>
      </w:r>
      <w:r w:rsidR="00917182" w:rsidRPr="00BB1759">
        <w:rPr>
          <w:bCs/>
          <w:szCs w:val="24"/>
        </w:rPr>
        <w:t>Non-Sleep Products? Please explain.</w:t>
      </w:r>
    </w:p>
    <w:p w14:paraId="77432868" w14:textId="0ACFE6F7" w:rsidR="000B19B7" w:rsidRPr="00BB1759" w:rsidRDefault="000B19B7" w:rsidP="000B19B7">
      <w:pPr>
        <w:pStyle w:val="Numbered11"/>
      </w:pPr>
      <w:bookmarkStart w:id="129" w:name="_Toc106637686"/>
      <w:bookmarkStart w:id="130" w:name="_Toc107326650"/>
      <w:bookmarkStart w:id="131" w:name="_Toc110959476"/>
      <w:bookmarkEnd w:id="128"/>
      <w:r w:rsidRPr="00BB1759">
        <w:t xml:space="preserve">Option </w:t>
      </w:r>
      <w:r w:rsidR="000875B8" w:rsidRPr="00BB1759">
        <w:t>4</w:t>
      </w:r>
      <w:r w:rsidRPr="00BB1759">
        <w:t xml:space="preserve">: Mandatory safety standard </w:t>
      </w:r>
      <w:bookmarkEnd w:id="129"/>
      <w:r w:rsidR="00AA67D5" w:rsidRPr="00BB1759">
        <w:t xml:space="preserve">– Inclined </w:t>
      </w:r>
      <w:r w:rsidR="0031025F" w:rsidRPr="00BB1759">
        <w:t>Risk</w:t>
      </w:r>
      <w:bookmarkEnd w:id="130"/>
      <w:r w:rsidR="00031947">
        <w:t xml:space="preserve">, plus </w:t>
      </w:r>
      <w:r w:rsidR="00AE090B">
        <w:t xml:space="preserve">a </w:t>
      </w:r>
      <w:r w:rsidR="00031947">
        <w:t>mandatory information standard focusing on incline and</w:t>
      </w:r>
      <w:r w:rsidR="00AE090B">
        <w:t xml:space="preserve"> an</w:t>
      </w:r>
      <w:r w:rsidR="00031947">
        <w:t xml:space="preserve"> education campaign</w:t>
      </w:r>
      <w:bookmarkEnd w:id="131"/>
    </w:p>
    <w:p w14:paraId="66720734" w14:textId="37058C3D" w:rsidR="000B19B7" w:rsidRPr="00BB1759" w:rsidRDefault="000B19B7" w:rsidP="000B19B7">
      <w:pPr>
        <w:pBdr>
          <w:top w:val="single" w:sz="4" w:space="1" w:color="auto"/>
          <w:left w:val="single" w:sz="4" w:space="4" w:color="auto"/>
          <w:bottom w:val="single" w:sz="4" w:space="1" w:color="auto"/>
          <w:right w:val="single" w:sz="4" w:space="4" w:color="auto"/>
        </w:pBdr>
        <w:shd w:val="clear" w:color="auto" w:fill="D5D6D2" w:themeFill="background2"/>
        <w:rPr>
          <w:b/>
          <w:bCs/>
        </w:rPr>
      </w:pPr>
      <w:r w:rsidRPr="00BB1759">
        <w:rPr>
          <w:b/>
          <w:bCs/>
        </w:rPr>
        <w:t xml:space="preserve">Option </w:t>
      </w:r>
      <w:r w:rsidR="000875B8" w:rsidRPr="00BB1759">
        <w:rPr>
          <w:b/>
          <w:bCs/>
        </w:rPr>
        <w:t>4</w:t>
      </w:r>
      <w:r w:rsidRPr="00BB1759">
        <w:t xml:space="preserve">: In addition to </w:t>
      </w:r>
      <w:r w:rsidR="00D33AD5" w:rsidRPr="00BB1759">
        <w:t>an education campaign and a mandatory information standard</w:t>
      </w:r>
      <w:r w:rsidRPr="00BB1759">
        <w:t xml:space="preserve"> </w:t>
      </w:r>
      <w:r w:rsidR="00D33AD5" w:rsidRPr="00BB1759">
        <w:t>focusing on the incline risk in Inclined Sleep Products and Inclined Non-Sleep Products</w:t>
      </w:r>
      <w:r w:rsidR="00505FEE">
        <w:t xml:space="preserve"> (Option 2 and 3)</w:t>
      </w:r>
      <w:r w:rsidRPr="00BB1759">
        <w:t>, introduce a mandatory safety standard focusing on Inclined Sleep</w:t>
      </w:r>
      <w:r w:rsidR="00AA4802" w:rsidRPr="00BB1759">
        <w:t xml:space="preserve"> Products</w:t>
      </w:r>
      <w:r w:rsidRPr="00BB1759">
        <w:t xml:space="preserve">, with a prescribed maximum incline angle of 7 degrees. </w:t>
      </w:r>
    </w:p>
    <w:p w14:paraId="2E2926BF" w14:textId="7BC03F0E" w:rsidR="00604755" w:rsidRPr="00BB1759" w:rsidRDefault="000B19B7" w:rsidP="000B19B7">
      <w:pPr>
        <w:pStyle w:val="Bulletpoint"/>
        <w:numPr>
          <w:ilvl w:val="0"/>
          <w:numId w:val="0"/>
        </w:numPr>
      </w:pPr>
      <w:r w:rsidRPr="00BB1759">
        <w:t xml:space="preserve">The proposed mandatory safety standard would address the incline angle of Inclined Sleep Products but would not encompass other design features like curvature, rigidity or materials used. The mandatory standard would </w:t>
      </w:r>
      <w:r w:rsidR="00604755" w:rsidRPr="00BB1759">
        <w:t xml:space="preserve">include the following requirements: </w:t>
      </w:r>
    </w:p>
    <w:p w14:paraId="193FFBD7" w14:textId="1AFCF0D8" w:rsidR="00604755" w:rsidRPr="00F57036" w:rsidRDefault="00604755" w:rsidP="004D5D79">
      <w:pPr>
        <w:pStyle w:val="Listalphabet"/>
        <w:numPr>
          <w:ilvl w:val="0"/>
          <w:numId w:val="73"/>
        </w:numPr>
        <w:rPr>
          <w:rFonts w:cs="Arial"/>
        </w:rPr>
      </w:pPr>
      <w:r w:rsidRPr="00BB1759">
        <w:t xml:space="preserve">Inclined </w:t>
      </w:r>
      <w:r w:rsidRPr="00E71E5C">
        <w:rPr>
          <w:rFonts w:cs="Arial"/>
        </w:rPr>
        <w:t xml:space="preserve">Sleep Products have an incline limit no greater than 7 degrees, and </w:t>
      </w:r>
    </w:p>
    <w:p w14:paraId="74B05DBD" w14:textId="7486AA57" w:rsidR="00604755" w:rsidRPr="00BB1759" w:rsidRDefault="00604755" w:rsidP="004D5D79">
      <w:pPr>
        <w:pStyle w:val="Listalphabet"/>
      </w:pPr>
      <w:r w:rsidRPr="00A12411">
        <w:rPr>
          <w:rFonts w:cs="Arial"/>
        </w:rPr>
        <w:t>Inclined</w:t>
      </w:r>
      <w:r w:rsidRPr="00BB1759">
        <w:t xml:space="preserve"> Sleep Products be required to be tested to ensure compliance with a</w:t>
      </w:r>
      <w:r w:rsidR="00C96C44" w:rsidRPr="00BB1759">
        <w:t>n</w:t>
      </w:r>
      <w:r w:rsidRPr="00BB1759">
        <w:t xml:space="preserve"> incline test procedure. </w:t>
      </w:r>
    </w:p>
    <w:p w14:paraId="5CFA44D7" w14:textId="2163CB4E" w:rsidR="000B19B7" w:rsidRPr="00BB1759" w:rsidRDefault="000B19B7" w:rsidP="000B19B7">
      <w:pPr>
        <w:pStyle w:val="Bulletpoint"/>
        <w:numPr>
          <w:ilvl w:val="0"/>
          <w:numId w:val="0"/>
        </w:numPr>
      </w:pPr>
      <w:r w:rsidRPr="00BB1759">
        <w:t xml:space="preserve">Inclined Non-Sleep Products would not be captured by the mandatory safety standard. However, they would need to comply with content and form of warnings and other safety information specified in Option </w:t>
      </w:r>
      <w:r w:rsidR="000875B8" w:rsidRPr="00BB1759">
        <w:t>3</w:t>
      </w:r>
      <w:r w:rsidRPr="00BB1759">
        <w:t>.</w:t>
      </w:r>
    </w:p>
    <w:p w14:paraId="082FDDC7" w14:textId="77777777" w:rsidR="000B19B7" w:rsidRPr="00BB1759" w:rsidRDefault="000B19B7" w:rsidP="000B19B7">
      <w:pPr>
        <w:pStyle w:val="Numbered111"/>
      </w:pPr>
      <w:bookmarkStart w:id="132" w:name="_Toc105574832"/>
      <w:bookmarkStart w:id="133" w:name="_Toc105747319"/>
      <w:bookmarkStart w:id="134" w:name="_Toc106349154"/>
      <w:bookmarkStart w:id="135" w:name="_Toc106637687"/>
      <w:bookmarkStart w:id="136" w:name="_Toc106802903"/>
      <w:bookmarkStart w:id="137" w:name="_Toc107326651"/>
      <w:bookmarkStart w:id="138" w:name="_Toc107582455"/>
      <w:bookmarkStart w:id="139" w:name="_Toc108538323"/>
      <w:bookmarkStart w:id="140" w:name="_Toc109039365"/>
      <w:bookmarkStart w:id="141" w:name="_Toc110871633"/>
      <w:bookmarkStart w:id="142" w:name="_Toc110959477"/>
      <w:r w:rsidRPr="00BB1759">
        <w:t>Benefits and limitations</w:t>
      </w:r>
      <w:bookmarkEnd w:id="132"/>
      <w:bookmarkEnd w:id="133"/>
      <w:bookmarkEnd w:id="134"/>
      <w:bookmarkEnd w:id="135"/>
      <w:bookmarkEnd w:id="136"/>
      <w:bookmarkEnd w:id="137"/>
      <w:bookmarkEnd w:id="138"/>
      <w:bookmarkEnd w:id="139"/>
      <w:bookmarkEnd w:id="140"/>
      <w:bookmarkEnd w:id="141"/>
      <w:bookmarkEnd w:id="142"/>
    </w:p>
    <w:p w14:paraId="2F5BBD76" w14:textId="49AD9ADC" w:rsidR="000B19B7" w:rsidRPr="00BB1759" w:rsidRDefault="000B19B7" w:rsidP="000B19B7">
      <w:pPr>
        <w:pStyle w:val="Tabletitle"/>
        <w:rPr>
          <w:b w:val="0"/>
          <w:bCs/>
        </w:rPr>
      </w:pPr>
      <w:r w:rsidRPr="00BB1759">
        <w:rPr>
          <w:b w:val="0"/>
          <w:bCs/>
        </w:rPr>
        <w:t xml:space="preserve">In addition to </w:t>
      </w:r>
      <w:r w:rsidR="00604755" w:rsidRPr="00BB1759">
        <w:rPr>
          <w:b w:val="0"/>
          <w:bCs/>
        </w:rPr>
        <w:t>the benefits outlined in Option</w:t>
      </w:r>
      <w:r w:rsidR="00054E69" w:rsidRPr="00BB1759">
        <w:rPr>
          <w:b w:val="0"/>
          <w:bCs/>
        </w:rPr>
        <w:t>s</w:t>
      </w:r>
      <w:r w:rsidR="00604755" w:rsidRPr="00BB1759">
        <w:rPr>
          <w:b w:val="0"/>
          <w:bCs/>
        </w:rPr>
        <w:t xml:space="preserve"> 2 and 3</w:t>
      </w:r>
      <w:r w:rsidR="006502A2" w:rsidRPr="00BB1759">
        <w:rPr>
          <w:b w:val="0"/>
          <w:bCs/>
        </w:rPr>
        <w:t xml:space="preserve">, </w:t>
      </w:r>
      <w:r w:rsidR="00E23C3A" w:rsidRPr="00BB1759">
        <w:rPr>
          <w:b w:val="0"/>
          <w:bCs/>
        </w:rPr>
        <w:t xml:space="preserve">the ACCC considers </w:t>
      </w:r>
      <w:r w:rsidR="006502A2" w:rsidRPr="00BB1759">
        <w:rPr>
          <w:b w:val="0"/>
          <w:bCs/>
        </w:rPr>
        <w:t xml:space="preserve">Option </w:t>
      </w:r>
      <w:r w:rsidR="000875B8" w:rsidRPr="00BB1759">
        <w:rPr>
          <w:b w:val="0"/>
          <w:bCs/>
        </w:rPr>
        <w:t>4</w:t>
      </w:r>
      <w:r w:rsidR="006502A2" w:rsidRPr="00BB1759">
        <w:rPr>
          <w:b w:val="0"/>
          <w:bCs/>
        </w:rPr>
        <w:t xml:space="preserve"> has the following benefits and limitations</w:t>
      </w:r>
      <w:r w:rsidRPr="00BB1759">
        <w:rPr>
          <w:b w:val="0"/>
          <w:bCs/>
        </w:rPr>
        <w:t xml:space="preserve">: </w:t>
      </w:r>
    </w:p>
    <w:tbl>
      <w:tblPr>
        <w:tblStyle w:val="TableGrid"/>
        <w:tblW w:w="5000" w:type="pct"/>
        <w:tblLook w:val="0420" w:firstRow="1" w:lastRow="0" w:firstColumn="0" w:lastColumn="0" w:noHBand="0" w:noVBand="1"/>
      </w:tblPr>
      <w:tblGrid>
        <w:gridCol w:w="4396"/>
        <w:gridCol w:w="4630"/>
      </w:tblGrid>
      <w:tr w:rsidR="000B19B7" w:rsidRPr="00BB1759" w14:paraId="2B04CEC3" w14:textId="77777777" w:rsidTr="00165995">
        <w:trPr>
          <w:cnfStyle w:val="100000000000" w:firstRow="1" w:lastRow="0" w:firstColumn="0" w:lastColumn="0" w:oddVBand="0" w:evenVBand="0" w:oddHBand="0" w:evenHBand="0" w:firstRowFirstColumn="0" w:firstRowLastColumn="0" w:lastRowFirstColumn="0" w:lastRowLastColumn="0"/>
          <w:tblHeader/>
        </w:trPr>
        <w:tc>
          <w:tcPr>
            <w:tcW w:w="2435" w:type="pct"/>
          </w:tcPr>
          <w:p w14:paraId="6D802B1C" w14:textId="77777777" w:rsidR="000B19B7" w:rsidRPr="00BB1759" w:rsidRDefault="000B19B7" w:rsidP="006904CF">
            <w:pPr>
              <w:pStyle w:val="TableHeading"/>
              <w:rPr>
                <w:b/>
                <w:bCs/>
              </w:rPr>
            </w:pPr>
            <w:r w:rsidRPr="00BB1759">
              <w:rPr>
                <w:b/>
                <w:bCs/>
              </w:rPr>
              <w:t>Benefit</w:t>
            </w:r>
          </w:p>
        </w:tc>
        <w:tc>
          <w:tcPr>
            <w:tcW w:w="2565" w:type="pct"/>
          </w:tcPr>
          <w:p w14:paraId="6902C9CE" w14:textId="77777777" w:rsidR="000B19B7" w:rsidRPr="00BB1759" w:rsidRDefault="000B19B7" w:rsidP="006904CF">
            <w:pPr>
              <w:pStyle w:val="TableHeading"/>
              <w:rPr>
                <w:b/>
                <w:bCs/>
              </w:rPr>
            </w:pPr>
            <w:r w:rsidRPr="00BB1759">
              <w:rPr>
                <w:b/>
                <w:bCs/>
              </w:rPr>
              <w:t>Limitation</w:t>
            </w:r>
          </w:p>
        </w:tc>
      </w:tr>
      <w:tr w:rsidR="000B19B7" w:rsidRPr="00BB1759" w14:paraId="6DFA9AB9" w14:textId="77777777" w:rsidTr="00302C1B">
        <w:tc>
          <w:tcPr>
            <w:tcW w:w="2435" w:type="pct"/>
          </w:tcPr>
          <w:p w14:paraId="727CCA08" w14:textId="2DE27E10" w:rsidR="000B19B7" w:rsidRPr="00BB1759" w:rsidRDefault="00054E69" w:rsidP="00302C1B">
            <w:pPr>
              <w:pStyle w:val="Bulletpoint"/>
            </w:pPr>
            <w:r w:rsidRPr="00BB1759">
              <w:t>T</w:t>
            </w:r>
            <w:r w:rsidR="000B19B7" w:rsidRPr="00BB1759">
              <w:t xml:space="preserve">he combined and multi-faceted </w:t>
            </w:r>
            <w:r w:rsidR="00C929F9" w:rsidRPr="00BB1759">
              <w:t xml:space="preserve">approach involving education, information requirements and design requirements </w:t>
            </w:r>
            <w:r w:rsidR="000B19B7" w:rsidRPr="00BB1759">
              <w:t xml:space="preserve">is likely to prevent infant </w:t>
            </w:r>
            <w:r w:rsidR="00CB514F">
              <w:t>fatalitie</w:t>
            </w:r>
            <w:r w:rsidR="00CB514F" w:rsidRPr="00BB1759">
              <w:t xml:space="preserve">s </w:t>
            </w:r>
            <w:r w:rsidR="00C929F9" w:rsidRPr="00BB1759">
              <w:t>caused by Inclined Sleep Products</w:t>
            </w:r>
            <w:r w:rsidR="000B19B7" w:rsidRPr="00BB1759">
              <w:t>.</w:t>
            </w:r>
          </w:p>
          <w:p w14:paraId="6BBD02D2" w14:textId="6CC16BDC" w:rsidR="000B19B7" w:rsidRPr="00BB1759" w:rsidRDefault="00054E69" w:rsidP="00302C1B">
            <w:pPr>
              <w:pStyle w:val="Bulletpoint"/>
            </w:pPr>
            <w:r w:rsidRPr="00BB1759">
              <w:t>L</w:t>
            </w:r>
            <w:r w:rsidR="000B19B7" w:rsidRPr="00BB1759">
              <w:t>imiting the angle of Infant Sleep Products is consistent with international approaches in the Canada and New Zealand, which would reduce regulatory burden.</w:t>
            </w:r>
          </w:p>
          <w:p w14:paraId="385F81C7" w14:textId="11DCE4A7" w:rsidR="00C929F9" w:rsidRPr="00BB1759" w:rsidRDefault="00054E69" w:rsidP="00302C1B">
            <w:pPr>
              <w:pStyle w:val="Bulletpoint"/>
            </w:pPr>
            <w:r w:rsidRPr="00BB1759">
              <w:t>D</w:t>
            </w:r>
            <w:r w:rsidR="00C929F9" w:rsidRPr="00BB1759">
              <w:t>oes not impose significant additional design requirements on industry.</w:t>
            </w:r>
          </w:p>
        </w:tc>
        <w:tc>
          <w:tcPr>
            <w:tcW w:w="2565" w:type="pct"/>
          </w:tcPr>
          <w:p w14:paraId="43028649" w14:textId="4A1553E0" w:rsidR="000B19B7" w:rsidRPr="00BB1759" w:rsidRDefault="000B19B7" w:rsidP="00302C1B">
            <w:pPr>
              <w:pStyle w:val="Bulletpoint"/>
            </w:pPr>
            <w:r w:rsidRPr="00BB1759">
              <w:t>Inclined Non-Sleep Products would remain available (though with additional information and warnings)</w:t>
            </w:r>
            <w:r w:rsidR="00C929F9" w:rsidRPr="00BB1759">
              <w:t xml:space="preserve"> and therefore may be used for sleep</w:t>
            </w:r>
            <w:r w:rsidRPr="00BB1759">
              <w:t xml:space="preserve">. </w:t>
            </w:r>
          </w:p>
          <w:p w14:paraId="2F3FA64C" w14:textId="75FB815B" w:rsidR="00D33AD5" w:rsidRPr="00BB1759" w:rsidRDefault="00054E69" w:rsidP="00302C1B">
            <w:pPr>
              <w:pStyle w:val="Bulletpoint"/>
            </w:pPr>
            <w:r w:rsidRPr="00BB1759">
              <w:t>S</w:t>
            </w:r>
            <w:r w:rsidR="00D33AD5" w:rsidRPr="00BB1759">
              <w:t>uppliers of Inclined Sleep Products may opt to alter the wording in the marketing of their product</w:t>
            </w:r>
            <w:r w:rsidR="00DA7A8D" w:rsidRPr="00BB1759">
              <w:t>, by</w:t>
            </w:r>
            <w:r w:rsidR="00D33AD5" w:rsidRPr="00BB1759">
              <w:t xml:space="preserve"> remov</w:t>
            </w:r>
            <w:r w:rsidR="00DA7A8D" w:rsidRPr="00BB1759">
              <w:t>ing</w:t>
            </w:r>
            <w:r w:rsidR="00D33AD5" w:rsidRPr="00BB1759">
              <w:t xml:space="preserve"> reference</w:t>
            </w:r>
            <w:r w:rsidR="00DA7A8D" w:rsidRPr="00BB1759">
              <w:t>s</w:t>
            </w:r>
            <w:r w:rsidR="00D33AD5" w:rsidRPr="00BB1759">
              <w:t xml:space="preserve"> to soothe or settle</w:t>
            </w:r>
            <w:r w:rsidR="00DA7A8D" w:rsidRPr="00BB1759">
              <w:t>,</w:t>
            </w:r>
            <w:r w:rsidR="00D33AD5" w:rsidRPr="00BB1759">
              <w:t xml:space="preserve"> such that this requirement may not apply</w:t>
            </w:r>
            <w:r w:rsidR="00534E00">
              <w:t xml:space="preserve"> where</w:t>
            </w:r>
            <w:r w:rsidR="005C130A">
              <w:t xml:space="preserve"> the product would then fall into the definition of an Inclined Non-Sleep Product)</w:t>
            </w:r>
            <w:r w:rsidR="00B523F7" w:rsidRPr="00BB1759">
              <w:t>.</w:t>
            </w:r>
            <w:r w:rsidR="00DA7A8D" w:rsidRPr="00BB1759">
              <w:t xml:space="preserve"> </w:t>
            </w:r>
          </w:p>
          <w:p w14:paraId="52E673F0" w14:textId="30458DF9" w:rsidR="000B19B7" w:rsidRPr="00BB1759" w:rsidRDefault="00054E69" w:rsidP="00302C1B">
            <w:pPr>
              <w:pStyle w:val="Bulletpoint"/>
            </w:pPr>
            <w:r w:rsidRPr="00BB1759">
              <w:t>O</w:t>
            </w:r>
            <w:r w:rsidR="000B19B7" w:rsidRPr="00BB1759">
              <w:t xml:space="preserve">ther known sleep risks would not be addressed. </w:t>
            </w:r>
          </w:p>
        </w:tc>
      </w:tr>
    </w:tbl>
    <w:p w14:paraId="420E918F" w14:textId="73E97CA3" w:rsidR="000B19B7" w:rsidRPr="00BB1759" w:rsidRDefault="000B19B7" w:rsidP="000B19B7">
      <w:pPr>
        <w:pStyle w:val="Numbered111"/>
      </w:pPr>
      <w:bookmarkStart w:id="143" w:name="_Toc105574833"/>
      <w:bookmarkStart w:id="144" w:name="_Toc105747320"/>
      <w:bookmarkStart w:id="145" w:name="_Toc106349155"/>
      <w:bookmarkStart w:id="146" w:name="_Toc106637688"/>
      <w:bookmarkStart w:id="147" w:name="_Toc106802904"/>
      <w:bookmarkStart w:id="148" w:name="_Toc107326652"/>
      <w:bookmarkStart w:id="149" w:name="_Toc107582456"/>
      <w:bookmarkStart w:id="150" w:name="_Toc108538324"/>
      <w:bookmarkStart w:id="151" w:name="_Toc109039366"/>
      <w:bookmarkStart w:id="152" w:name="_Toc110871634"/>
      <w:bookmarkStart w:id="153" w:name="_Toc110959478"/>
      <w:r w:rsidRPr="00BB1759">
        <w:t>Estimated costs</w:t>
      </w:r>
      <w:bookmarkEnd w:id="143"/>
      <w:bookmarkEnd w:id="144"/>
      <w:bookmarkEnd w:id="145"/>
      <w:bookmarkEnd w:id="146"/>
      <w:bookmarkEnd w:id="147"/>
      <w:bookmarkEnd w:id="148"/>
      <w:bookmarkEnd w:id="149"/>
      <w:bookmarkEnd w:id="150"/>
      <w:bookmarkEnd w:id="151"/>
      <w:bookmarkEnd w:id="152"/>
      <w:bookmarkEnd w:id="153"/>
    </w:p>
    <w:p w14:paraId="5B5DB2C7" w14:textId="393A1D5A" w:rsidR="000B19B7" w:rsidRPr="00BB1759" w:rsidRDefault="000B19B7" w:rsidP="000B19B7">
      <w:r w:rsidRPr="00BB1759">
        <w:t xml:space="preserve">Under Option </w:t>
      </w:r>
      <w:r w:rsidR="000875B8" w:rsidRPr="00BB1759">
        <w:t>4</w:t>
      </w:r>
      <w:r w:rsidRPr="00BB1759">
        <w:t>, it is likely that certain products would require design changes</w:t>
      </w:r>
      <w:r w:rsidR="00C929F9" w:rsidRPr="00BB1759">
        <w:t xml:space="preserve"> (though less than Option </w:t>
      </w:r>
      <w:r w:rsidR="00DE6AE7">
        <w:t>7</w:t>
      </w:r>
      <w:r w:rsidR="00C929F9" w:rsidRPr="00BB1759">
        <w:t>)</w:t>
      </w:r>
      <w:r w:rsidRPr="00BB1759">
        <w:t>. The ACCC considers this may impact a small proportion of the market but notes it is difficult to quantify the number of products this would affect</w:t>
      </w:r>
      <w:r w:rsidR="00901192" w:rsidRPr="00BB1759">
        <w:t xml:space="preserve"> as</w:t>
      </w:r>
      <w:r w:rsidRPr="00BB1759">
        <w:t xml:space="preserve"> suppliers may opt to alter the wording in the marketing of their product to </w:t>
      </w:r>
      <w:r w:rsidR="00986BD3" w:rsidRPr="00BB1759">
        <w:t>ensure this requirement does not apply.</w:t>
      </w:r>
      <w:r w:rsidRPr="00BB1759">
        <w:t xml:space="preserve"> </w:t>
      </w:r>
      <w:r w:rsidR="00C3621D">
        <w:t xml:space="preserve">Based on </w:t>
      </w:r>
      <w:r w:rsidR="00102D44">
        <w:t xml:space="preserve">the </w:t>
      </w:r>
      <w:r w:rsidR="00C3621D">
        <w:t>ACCC</w:t>
      </w:r>
      <w:r w:rsidR="00102D44">
        <w:t>’s</w:t>
      </w:r>
      <w:r w:rsidR="00AA6CE4">
        <w:t xml:space="preserve"> experience</w:t>
      </w:r>
      <w:r w:rsidR="00102D44">
        <w:t>,</w:t>
      </w:r>
      <w:r w:rsidR="00C3621D">
        <w:t xml:space="preserve"> we estimate these costs to be:</w:t>
      </w:r>
    </w:p>
    <w:p w14:paraId="34A05A7B" w14:textId="14F989BE" w:rsidR="000B19B7" w:rsidRPr="00BB1759" w:rsidRDefault="000B19B7" w:rsidP="009B56DB">
      <w:pPr>
        <w:pStyle w:val="NoSpacing"/>
      </w:pPr>
    </w:p>
    <w:tbl>
      <w:tblPr>
        <w:tblStyle w:val="TableGrid"/>
        <w:tblW w:w="0" w:type="auto"/>
        <w:tblLook w:val="0400" w:firstRow="0" w:lastRow="0" w:firstColumn="0" w:lastColumn="0" w:noHBand="0" w:noVBand="1"/>
      </w:tblPr>
      <w:tblGrid>
        <w:gridCol w:w="4820"/>
        <w:gridCol w:w="4206"/>
      </w:tblGrid>
      <w:tr w:rsidR="000B19B7" w:rsidRPr="00BB1759" w14:paraId="75E9A606" w14:textId="77777777" w:rsidTr="006502A2">
        <w:tc>
          <w:tcPr>
            <w:tcW w:w="4820" w:type="dxa"/>
          </w:tcPr>
          <w:p w14:paraId="06BBE087" w14:textId="77777777" w:rsidR="000B19B7" w:rsidRPr="00BB1759" w:rsidRDefault="000B19B7" w:rsidP="00361E2D">
            <w:pPr>
              <w:pStyle w:val="Tabletext"/>
            </w:pPr>
            <w:r w:rsidRPr="00BB1759">
              <w:t>Cost of design change</w:t>
            </w:r>
          </w:p>
        </w:tc>
        <w:tc>
          <w:tcPr>
            <w:tcW w:w="4206" w:type="dxa"/>
          </w:tcPr>
          <w:p w14:paraId="70A1453A" w14:textId="460B1A53" w:rsidR="000B19B7" w:rsidRPr="00BB1759" w:rsidRDefault="000B19B7" w:rsidP="00361E2D">
            <w:pPr>
              <w:pStyle w:val="Tabletext"/>
            </w:pPr>
            <w:r w:rsidRPr="00BB1759">
              <w:t>$155,833 per product line</w:t>
            </w:r>
          </w:p>
        </w:tc>
      </w:tr>
      <w:tr w:rsidR="000B19B7" w:rsidRPr="00BB1759" w14:paraId="2C644E2E" w14:textId="77777777" w:rsidTr="006502A2">
        <w:tc>
          <w:tcPr>
            <w:tcW w:w="4820" w:type="dxa"/>
          </w:tcPr>
          <w:p w14:paraId="1F931A02" w14:textId="77777777" w:rsidR="000B19B7" w:rsidRPr="00BB1759" w:rsidRDefault="000B19B7" w:rsidP="00361E2D">
            <w:pPr>
              <w:pStyle w:val="Tabletext"/>
            </w:pPr>
            <w:r w:rsidRPr="00BB1759">
              <w:t>Cost of testing</w:t>
            </w:r>
          </w:p>
        </w:tc>
        <w:tc>
          <w:tcPr>
            <w:tcW w:w="4206" w:type="dxa"/>
          </w:tcPr>
          <w:p w14:paraId="695992DE" w14:textId="32FDC343" w:rsidR="000B19B7" w:rsidRPr="00BB1759" w:rsidRDefault="000B19B7" w:rsidP="00361E2D">
            <w:pPr>
              <w:pStyle w:val="Tabletext"/>
            </w:pPr>
            <w:r w:rsidRPr="00BB1759">
              <w:t>$2,640 per product line</w:t>
            </w:r>
          </w:p>
        </w:tc>
      </w:tr>
      <w:tr w:rsidR="000B19B7" w:rsidRPr="00BB1759" w14:paraId="29BC4409" w14:textId="77777777" w:rsidTr="006502A2">
        <w:tc>
          <w:tcPr>
            <w:tcW w:w="4820" w:type="dxa"/>
          </w:tcPr>
          <w:p w14:paraId="1F17F409" w14:textId="77777777" w:rsidR="000B19B7" w:rsidRPr="00BB1759" w:rsidRDefault="000B19B7" w:rsidP="00361E2D">
            <w:pPr>
              <w:pStyle w:val="Tabletext"/>
            </w:pPr>
            <w:r w:rsidRPr="00BB1759">
              <w:t>Total estimated costs</w:t>
            </w:r>
          </w:p>
        </w:tc>
        <w:tc>
          <w:tcPr>
            <w:tcW w:w="4206" w:type="dxa"/>
            <w:shd w:val="clear" w:color="auto" w:fill="FFE3CC" w:themeFill="accent6" w:themeFillTint="33"/>
          </w:tcPr>
          <w:p w14:paraId="74F9AF05" w14:textId="77777777" w:rsidR="000B19B7" w:rsidRPr="00BB1759" w:rsidRDefault="000B19B7" w:rsidP="00361E2D">
            <w:pPr>
              <w:pStyle w:val="Tabletext"/>
            </w:pPr>
            <w:r w:rsidRPr="00BB1759">
              <w:t>$158,473 per product line</w:t>
            </w:r>
          </w:p>
        </w:tc>
      </w:tr>
    </w:tbl>
    <w:p w14:paraId="6F253B0B" w14:textId="3407CCB3" w:rsidR="00DA7A8D" w:rsidRPr="00BB1759" w:rsidRDefault="000B19B7" w:rsidP="00AC4F32">
      <w:r w:rsidRPr="00BB1759">
        <w:t xml:space="preserve">The total estimated costs for Option </w:t>
      </w:r>
      <w:r w:rsidR="000875B8" w:rsidRPr="00BB1759">
        <w:t>4</w:t>
      </w:r>
      <w:r w:rsidRPr="00BB1759">
        <w:t xml:space="preserve"> are in addition to the compliance costs to suppliers</w:t>
      </w:r>
      <w:r w:rsidR="00986BD3" w:rsidRPr="00BB1759">
        <w:t xml:space="preserve"> identified in Option 3, being $0.30</w:t>
      </w:r>
      <w:r w:rsidR="00534E00">
        <w:t xml:space="preserve"> </w:t>
      </w:r>
      <w:r w:rsidR="00986BD3" w:rsidRPr="00BB1759">
        <w:t>-</w:t>
      </w:r>
      <w:r w:rsidR="00534E00">
        <w:t xml:space="preserve"> </w:t>
      </w:r>
      <w:r w:rsidR="00986BD3" w:rsidRPr="00BB1759">
        <w:t xml:space="preserve">$1.10 per unit. </w:t>
      </w:r>
    </w:p>
    <w:p w14:paraId="4B7D8409" w14:textId="6DD117AC" w:rsidR="000B19B7" w:rsidRDefault="000B19B7" w:rsidP="00AC4F32">
      <w:r w:rsidRPr="00BB1759">
        <w:t xml:space="preserve">The ACCC </w:t>
      </w:r>
      <w:r w:rsidR="00986BD3" w:rsidRPr="00BB1759">
        <w:t>notes that the cost may be less</w:t>
      </w:r>
      <w:r w:rsidR="00C3621D">
        <w:t>, or not applicable,</w:t>
      </w:r>
      <w:r w:rsidR="00986BD3" w:rsidRPr="00BB1759">
        <w:t xml:space="preserve"> </w:t>
      </w:r>
      <w:r w:rsidRPr="00BB1759">
        <w:t xml:space="preserve">for suppliers who are already supplying products that comply with existing regulations worldwide. </w:t>
      </w:r>
    </w:p>
    <w:p w14:paraId="0FD7F76A" w14:textId="45BD1270" w:rsidR="00BA6DE2" w:rsidRPr="00B523F7" w:rsidRDefault="00BA6DE2" w:rsidP="00BE3674">
      <w:pPr>
        <w:keepNext/>
        <w:shd w:val="clear" w:color="auto" w:fill="F2F2F2" w:themeFill="background1" w:themeFillShade="F2"/>
        <w:rPr>
          <w:b/>
          <w:bCs/>
        </w:rPr>
      </w:pPr>
      <w:r w:rsidRPr="00BB1759">
        <w:rPr>
          <w:b/>
          <w:bCs/>
        </w:rPr>
        <w:t>Question</w:t>
      </w:r>
    </w:p>
    <w:p w14:paraId="7175CCAB" w14:textId="58271133" w:rsidR="00917182" w:rsidRPr="00BA6DE2" w:rsidRDefault="00BA6DE2" w:rsidP="00043E05">
      <w:pPr>
        <w:pStyle w:val="ListParagraph"/>
        <w:numPr>
          <w:ilvl w:val="0"/>
          <w:numId w:val="69"/>
        </w:numPr>
        <w:shd w:val="clear" w:color="auto" w:fill="F2F2F2" w:themeFill="background1" w:themeFillShade="F2"/>
      </w:pPr>
      <w:bookmarkStart w:id="154" w:name="_Hlk106637480"/>
      <w:r w:rsidRPr="00C56D9F">
        <w:t>Are</w:t>
      </w:r>
      <w:r w:rsidRPr="00BA6DE2">
        <w:t xml:space="preserve"> you aware of any relevant testing methods or testing facilities to measure the incline angle</w:t>
      </w:r>
      <w:r w:rsidR="000E5ABA">
        <w:t xml:space="preserve"> of </w:t>
      </w:r>
      <w:r w:rsidR="000E5ABA" w:rsidRPr="00BB1759">
        <w:rPr>
          <w:bCs/>
          <w:szCs w:val="24"/>
        </w:rPr>
        <w:t>Inclined Sleep</w:t>
      </w:r>
      <w:r w:rsidR="000E5ABA">
        <w:rPr>
          <w:bCs/>
          <w:szCs w:val="24"/>
        </w:rPr>
        <w:t xml:space="preserve"> Products</w:t>
      </w:r>
      <w:r w:rsidR="000E5ABA" w:rsidRPr="00BB1759">
        <w:rPr>
          <w:bCs/>
          <w:szCs w:val="24"/>
        </w:rPr>
        <w:t xml:space="preserve"> and Inclined Non-Sleep Products</w:t>
      </w:r>
      <w:r w:rsidRPr="00BA6DE2">
        <w:t>? Provide details.</w:t>
      </w:r>
    </w:p>
    <w:p w14:paraId="43E23681" w14:textId="77777777" w:rsidR="00F36A45" w:rsidRDefault="00F36A45" w:rsidP="00F36A45">
      <w:pPr>
        <w:pStyle w:val="Numbered11"/>
        <w:numPr>
          <w:ilvl w:val="0"/>
          <w:numId w:val="0"/>
        </w:numPr>
        <w:ind w:left="792" w:hanging="792"/>
      </w:pPr>
      <w:bookmarkStart w:id="155" w:name="_Toc106637689"/>
      <w:bookmarkStart w:id="156" w:name="_Toc107326653"/>
      <w:bookmarkStart w:id="157" w:name="_Toc110959479"/>
      <w:bookmarkEnd w:id="154"/>
    </w:p>
    <w:p w14:paraId="616E50FD" w14:textId="13F89E6B" w:rsidR="00462687" w:rsidRDefault="00462687" w:rsidP="00DF26FB">
      <w:pPr>
        <w:pStyle w:val="Numbered11"/>
      </w:pPr>
      <w:r>
        <w:t xml:space="preserve">Option </w:t>
      </w:r>
      <w:r w:rsidR="000875B8">
        <w:t>5</w:t>
      </w:r>
      <w:r>
        <w:t xml:space="preserve">: </w:t>
      </w:r>
      <w:r w:rsidRPr="009876E5">
        <w:t xml:space="preserve">Mandatory information </w:t>
      </w:r>
      <w:r w:rsidR="007B6F7A">
        <w:t xml:space="preserve">standard – </w:t>
      </w:r>
      <w:r w:rsidR="00D51D51">
        <w:t>Infant Sleep Products</w:t>
      </w:r>
      <w:bookmarkEnd w:id="155"/>
      <w:bookmarkEnd w:id="156"/>
      <w:r w:rsidR="00031947">
        <w:t>, plus</w:t>
      </w:r>
      <w:r w:rsidR="00AE090B">
        <w:t xml:space="preserve"> an</w:t>
      </w:r>
      <w:r w:rsidR="00031947">
        <w:t xml:space="preserve"> education campaign</w:t>
      </w:r>
      <w:bookmarkEnd w:id="157"/>
    </w:p>
    <w:p w14:paraId="143A0F5E" w14:textId="394554A4" w:rsidR="00D51D51" w:rsidRDefault="00424D61" w:rsidP="00424D61">
      <w:pPr>
        <w:pStyle w:val="Bulletpoint"/>
        <w:numPr>
          <w:ilvl w:val="0"/>
          <w:numId w:val="0"/>
        </w:numPr>
        <w:pBdr>
          <w:top w:val="single" w:sz="4" w:space="1" w:color="auto"/>
          <w:left w:val="single" w:sz="4" w:space="4" w:color="auto"/>
          <w:bottom w:val="single" w:sz="4" w:space="1" w:color="auto"/>
          <w:right w:val="single" w:sz="4" w:space="4" w:color="auto"/>
        </w:pBdr>
        <w:shd w:val="clear" w:color="auto" w:fill="D5D6D2" w:themeFill="background2"/>
      </w:pPr>
      <w:r>
        <w:rPr>
          <w:b/>
          <w:bCs/>
        </w:rPr>
        <w:t xml:space="preserve">Option </w:t>
      </w:r>
      <w:r w:rsidR="00A621F4">
        <w:rPr>
          <w:b/>
          <w:bCs/>
        </w:rPr>
        <w:t>5</w:t>
      </w:r>
      <w:r>
        <w:rPr>
          <w:b/>
          <w:bCs/>
        </w:rPr>
        <w:t xml:space="preserve">: </w:t>
      </w:r>
      <w:r w:rsidR="00D51D51">
        <w:t>In addition to</w:t>
      </w:r>
      <w:r w:rsidR="00380513">
        <w:t xml:space="preserve"> an education campaign</w:t>
      </w:r>
      <w:r w:rsidR="00505FEE">
        <w:t xml:space="preserve"> (Option 2)</w:t>
      </w:r>
      <w:r w:rsidR="00D51D51">
        <w:t>, i</w:t>
      </w:r>
      <w:r w:rsidR="00D51D51" w:rsidRPr="00BA1E2B">
        <w:t xml:space="preserve">ntroduce </w:t>
      </w:r>
      <w:bookmarkStart w:id="158" w:name="_Hlk107297522"/>
      <w:r w:rsidR="00D51D51" w:rsidRPr="00BA1E2B">
        <w:t>a</w:t>
      </w:r>
      <w:r w:rsidR="00AA67D5">
        <w:t xml:space="preserve"> holistic</w:t>
      </w:r>
      <w:r w:rsidR="00D51D51" w:rsidRPr="00BA1E2B">
        <w:t xml:space="preserve"> mandatory information standard</w:t>
      </w:r>
      <w:r w:rsidR="00D51D51">
        <w:t>, focusing on</w:t>
      </w:r>
      <w:r w:rsidR="002D07AB">
        <w:t xml:space="preserve"> all</w:t>
      </w:r>
      <w:r w:rsidR="00D51D51">
        <w:t xml:space="preserve"> Infant Sleep Products </w:t>
      </w:r>
      <w:bookmarkEnd w:id="158"/>
      <w:r w:rsidR="0031025F">
        <w:t>(including Inclined Sleep Products</w:t>
      </w:r>
      <w:r w:rsidR="00013FEC">
        <w:t>)</w:t>
      </w:r>
      <w:r w:rsidR="0031025F">
        <w:t xml:space="preserve"> and Inclined Non-Sleep Products </w:t>
      </w:r>
      <w:r w:rsidR="00D51D51">
        <w:t xml:space="preserve">that requires safety warnings and information </w:t>
      </w:r>
      <w:r w:rsidR="00266685">
        <w:t>reiterating safe sleep advice:</w:t>
      </w:r>
      <w:r w:rsidR="006502A2">
        <w:t xml:space="preserve"> </w:t>
      </w:r>
    </w:p>
    <w:p w14:paraId="6B9C5DBF" w14:textId="77777777" w:rsidR="00BE22B9" w:rsidRDefault="00BE22B9" w:rsidP="00A621F4">
      <w:pPr>
        <w:pStyle w:val="Bulletpoint"/>
        <w:pBdr>
          <w:top w:val="single" w:sz="4" w:space="1" w:color="auto"/>
          <w:left w:val="single" w:sz="4" w:space="4" w:color="auto"/>
          <w:bottom w:val="single" w:sz="4" w:space="1" w:color="auto"/>
          <w:right w:val="single" w:sz="4" w:space="4" w:color="auto"/>
        </w:pBdr>
        <w:shd w:val="clear" w:color="auto" w:fill="D5D6D2" w:themeFill="background2"/>
      </w:pPr>
      <w:r w:rsidRPr="001127DE">
        <w:t>in</w:t>
      </w:r>
      <w:r>
        <w:t xml:space="preserve"> </w:t>
      </w:r>
      <w:r w:rsidRPr="001127DE">
        <w:t>instructions</w:t>
      </w:r>
      <w:r>
        <w:t xml:space="preserve"> for use provided with the product</w:t>
      </w:r>
      <w:r w:rsidRPr="001127DE">
        <w:t xml:space="preserve"> </w:t>
      </w:r>
    </w:p>
    <w:p w14:paraId="294A40B7" w14:textId="725469D0" w:rsidR="00A621F4" w:rsidRDefault="00A621F4" w:rsidP="00BE22B9">
      <w:pPr>
        <w:pStyle w:val="Bulletpoint"/>
        <w:pBdr>
          <w:top w:val="single" w:sz="4" w:space="1" w:color="auto"/>
          <w:left w:val="single" w:sz="4" w:space="4" w:color="auto"/>
          <w:bottom w:val="single" w:sz="4" w:space="1" w:color="auto"/>
          <w:right w:val="single" w:sz="4" w:space="4" w:color="auto"/>
        </w:pBdr>
        <w:shd w:val="clear" w:color="auto" w:fill="D5D6D2" w:themeFill="background2"/>
      </w:pPr>
      <w:r w:rsidRPr="001127DE">
        <w:t xml:space="preserve">on a permanently affixed product label and </w:t>
      </w:r>
    </w:p>
    <w:p w14:paraId="20A16966" w14:textId="77777777" w:rsidR="00A621F4" w:rsidRDefault="00A621F4" w:rsidP="00A621F4">
      <w:pPr>
        <w:pStyle w:val="Bulletpoint"/>
        <w:pBdr>
          <w:top w:val="single" w:sz="4" w:space="1" w:color="auto"/>
          <w:left w:val="single" w:sz="4" w:space="4" w:color="auto"/>
          <w:bottom w:val="single" w:sz="4" w:space="1" w:color="auto"/>
          <w:right w:val="single" w:sz="4" w:space="4" w:color="auto"/>
        </w:pBdr>
        <w:shd w:val="clear" w:color="auto" w:fill="D5D6D2" w:themeFill="background2"/>
      </w:pPr>
      <w:r>
        <w:t xml:space="preserve">on packaging containing the product at the point of sale, including where </w:t>
      </w:r>
      <w:r w:rsidRPr="001127DE">
        <w:t>supplied online</w:t>
      </w:r>
      <w:r>
        <w:t>.</w:t>
      </w:r>
    </w:p>
    <w:p w14:paraId="1C5C5A63" w14:textId="332711CD" w:rsidR="00266685" w:rsidRDefault="006502A2" w:rsidP="00A621F4">
      <w:r>
        <w:t xml:space="preserve">The ACCC proposes the following warning messages are required to be </w:t>
      </w:r>
      <w:r w:rsidR="00070665">
        <w:t>obvious</w:t>
      </w:r>
      <w:r>
        <w:t xml:space="preserve">, durable and permanently </w:t>
      </w:r>
      <w:r w:rsidR="00070665">
        <w:t>affixed to</w:t>
      </w:r>
      <w:r>
        <w:t xml:space="preserve"> the product</w:t>
      </w:r>
      <w:r w:rsidR="00C3621D">
        <w:t xml:space="preserve">, noting the Inclined Non-Sleep </w:t>
      </w:r>
      <w:r w:rsidR="00013FEC">
        <w:t xml:space="preserve">Products </w:t>
      </w:r>
      <w:r w:rsidR="00C3621D">
        <w:t xml:space="preserve">requirements mirror Option 3. </w:t>
      </w:r>
    </w:p>
    <w:p w14:paraId="113B8265" w14:textId="2364392B" w:rsidR="00A621F4" w:rsidRDefault="00A621F4" w:rsidP="009B56DB">
      <w:pPr>
        <w:pStyle w:val="NoSpacing"/>
      </w:pPr>
    </w:p>
    <w:tbl>
      <w:tblPr>
        <w:tblStyle w:val="TableGrid"/>
        <w:tblW w:w="5001" w:type="pct"/>
        <w:jc w:val="center"/>
        <w:tblLook w:val="0420" w:firstRow="1" w:lastRow="0" w:firstColumn="0" w:lastColumn="0" w:noHBand="0" w:noVBand="1"/>
      </w:tblPr>
      <w:tblGrid>
        <w:gridCol w:w="2256"/>
        <w:gridCol w:w="3386"/>
        <w:gridCol w:w="3386"/>
      </w:tblGrid>
      <w:tr w:rsidR="00C3621D" w14:paraId="6FF8BF2B" w14:textId="7B9A3D6D" w:rsidTr="00165995">
        <w:trPr>
          <w:cnfStyle w:val="100000000000" w:firstRow="1" w:lastRow="0" w:firstColumn="0" w:lastColumn="0" w:oddVBand="0" w:evenVBand="0" w:oddHBand="0" w:evenHBand="0" w:firstRowFirstColumn="0" w:firstRowLastColumn="0" w:lastRowFirstColumn="0" w:lastRowLastColumn="0"/>
          <w:tblHeader/>
          <w:jc w:val="center"/>
        </w:trPr>
        <w:tc>
          <w:tcPr>
            <w:tcW w:w="1249" w:type="pct"/>
          </w:tcPr>
          <w:p w14:paraId="1C36A9FB" w14:textId="51FB69D0" w:rsidR="00C3621D" w:rsidRPr="006904CF" w:rsidRDefault="00C3621D" w:rsidP="00C3621D">
            <w:pPr>
              <w:pStyle w:val="TableHeading"/>
              <w:rPr>
                <w:b/>
                <w:bCs/>
              </w:rPr>
            </w:pPr>
            <w:r>
              <w:rPr>
                <w:b/>
                <w:bCs/>
              </w:rPr>
              <w:t>Requirement</w:t>
            </w:r>
          </w:p>
        </w:tc>
        <w:tc>
          <w:tcPr>
            <w:tcW w:w="1875" w:type="pct"/>
          </w:tcPr>
          <w:p w14:paraId="7823D580" w14:textId="78081A12" w:rsidR="00C3621D" w:rsidRPr="006904CF" w:rsidRDefault="00C3621D" w:rsidP="00C3621D">
            <w:pPr>
              <w:pStyle w:val="TableHeading"/>
              <w:rPr>
                <w:b/>
                <w:bCs/>
              </w:rPr>
            </w:pPr>
            <w:r w:rsidRPr="006904CF">
              <w:rPr>
                <w:b/>
                <w:bCs/>
              </w:rPr>
              <w:t>Infant Sleep Product</w:t>
            </w:r>
            <w:r>
              <w:rPr>
                <w:b/>
                <w:bCs/>
              </w:rPr>
              <w:t xml:space="preserve"> (incl</w:t>
            </w:r>
            <w:r w:rsidR="00852390">
              <w:rPr>
                <w:b/>
                <w:bCs/>
              </w:rPr>
              <w:t>uding</w:t>
            </w:r>
            <w:r>
              <w:rPr>
                <w:b/>
                <w:bCs/>
              </w:rPr>
              <w:t xml:space="preserve"> Inclined Sleep Products)</w:t>
            </w:r>
          </w:p>
        </w:tc>
        <w:tc>
          <w:tcPr>
            <w:tcW w:w="1875" w:type="pct"/>
          </w:tcPr>
          <w:p w14:paraId="3EB9DEDE" w14:textId="7098419C" w:rsidR="00C3621D" w:rsidRPr="006904CF" w:rsidRDefault="00C3621D" w:rsidP="00C3621D">
            <w:pPr>
              <w:pStyle w:val="TableHeading"/>
              <w:rPr>
                <w:bCs/>
              </w:rPr>
            </w:pPr>
            <w:r w:rsidRPr="006904CF">
              <w:rPr>
                <w:b/>
              </w:rPr>
              <w:t>Inclined Non-Sleep Product</w:t>
            </w:r>
            <w:r>
              <w:rPr>
                <w:b/>
              </w:rPr>
              <w:t xml:space="preserve"> </w:t>
            </w:r>
          </w:p>
        </w:tc>
      </w:tr>
      <w:tr w:rsidR="00C3621D" w14:paraId="1D3008FC" w14:textId="3A2797BD" w:rsidTr="00C3621D">
        <w:trPr>
          <w:jc w:val="center"/>
        </w:trPr>
        <w:tc>
          <w:tcPr>
            <w:tcW w:w="1249" w:type="pct"/>
          </w:tcPr>
          <w:p w14:paraId="34CAD5F3" w14:textId="77777777" w:rsidR="00C3621D" w:rsidRPr="00A30359" w:rsidRDefault="00C3621D" w:rsidP="00C3621D">
            <w:r w:rsidRPr="00D04E4C">
              <w:rPr>
                <w:b/>
                <w:bCs/>
              </w:rPr>
              <w:t>Instructions</w:t>
            </w:r>
            <w:r>
              <w:t xml:space="preserve">: </w:t>
            </w:r>
          </w:p>
        </w:tc>
        <w:tc>
          <w:tcPr>
            <w:tcW w:w="1875" w:type="pct"/>
          </w:tcPr>
          <w:p w14:paraId="647E9288" w14:textId="77777777" w:rsidR="00C3621D" w:rsidRDefault="00C3621D" w:rsidP="00C3621D">
            <w:pPr>
              <w:pStyle w:val="Bulletpoint"/>
            </w:pPr>
            <w:r>
              <w:t>warning infant should be placed on their back</w:t>
            </w:r>
          </w:p>
          <w:p w14:paraId="4D827AAC" w14:textId="77777777" w:rsidR="00C3621D" w:rsidRPr="00481324" w:rsidRDefault="00C3621D" w:rsidP="00C3621D">
            <w:pPr>
              <w:pStyle w:val="Bulletpoint"/>
              <w:rPr>
                <w:sz w:val="22"/>
              </w:rPr>
            </w:pPr>
            <w:r>
              <w:t>warning infant should be placed to sleep on a firm, flat surface</w:t>
            </w:r>
          </w:p>
          <w:p w14:paraId="0B7232E7" w14:textId="0D03C39A" w:rsidR="00C3621D" w:rsidRPr="00A30359" w:rsidRDefault="00C3621D" w:rsidP="00C3621D">
            <w:pPr>
              <w:pStyle w:val="Bulletpoint"/>
            </w:pPr>
            <w:r>
              <w:t>warning not to put objects or accessories in an infant’s sleep environment (including cot bumpers, soft toys, blankets)</w:t>
            </w:r>
          </w:p>
        </w:tc>
        <w:tc>
          <w:tcPr>
            <w:tcW w:w="1875" w:type="pct"/>
          </w:tcPr>
          <w:p w14:paraId="397081AF" w14:textId="77777777" w:rsidR="00C3621D" w:rsidRDefault="00C3621D" w:rsidP="00C3621D">
            <w:pPr>
              <w:pStyle w:val="Bulletpoint"/>
            </w:pPr>
            <w:r>
              <w:t>warning infant should be placed on their back</w:t>
            </w:r>
          </w:p>
          <w:p w14:paraId="2C2BED91" w14:textId="77777777" w:rsidR="00C3621D" w:rsidRDefault="00C3621D" w:rsidP="00C3621D">
            <w:pPr>
              <w:pStyle w:val="Bulletpoint"/>
            </w:pPr>
            <w:r>
              <w:t>warning against use for sleep</w:t>
            </w:r>
          </w:p>
          <w:p w14:paraId="6FB66F3C" w14:textId="5F4F3A9A" w:rsidR="00C3621D" w:rsidRPr="00371667" w:rsidRDefault="00C3621D" w:rsidP="00371667">
            <w:pPr>
              <w:pStyle w:val="Bulletpoint"/>
            </w:pPr>
            <w:r>
              <w:t>warnings against unsupervised use</w:t>
            </w:r>
          </w:p>
        </w:tc>
      </w:tr>
      <w:tr w:rsidR="00C3621D" w14:paraId="4D6244C4" w14:textId="22D7238B" w:rsidTr="00C3621D">
        <w:trPr>
          <w:jc w:val="center"/>
        </w:trPr>
        <w:tc>
          <w:tcPr>
            <w:tcW w:w="1249" w:type="pct"/>
          </w:tcPr>
          <w:p w14:paraId="56D561DE" w14:textId="77777777" w:rsidR="00C3621D" w:rsidRPr="003F6DAB" w:rsidRDefault="00C3621D" w:rsidP="00C3621D">
            <w:pPr>
              <w:pStyle w:val="Bulletpoint"/>
              <w:numPr>
                <w:ilvl w:val="0"/>
                <w:numId w:val="0"/>
              </w:numPr>
            </w:pPr>
            <w:r w:rsidRPr="003F6DAB">
              <w:rPr>
                <w:b/>
                <w:bCs/>
              </w:rPr>
              <w:t>Product Label</w:t>
            </w:r>
            <w:r w:rsidRPr="00964215">
              <w:t xml:space="preserve">: </w:t>
            </w:r>
            <w:r>
              <w:t>obvious, durable and permanently affixed to the product</w:t>
            </w:r>
          </w:p>
        </w:tc>
        <w:tc>
          <w:tcPr>
            <w:tcW w:w="1875" w:type="pct"/>
          </w:tcPr>
          <w:p w14:paraId="1596730B" w14:textId="77777777" w:rsidR="00C3621D" w:rsidRDefault="00C3621D" w:rsidP="00C3621D">
            <w:pPr>
              <w:pStyle w:val="Bulletpoint"/>
            </w:pPr>
            <w:r>
              <w:t>warning infant should be placed on their back</w:t>
            </w:r>
          </w:p>
          <w:p w14:paraId="6C714E6D" w14:textId="32B07CEE" w:rsidR="00C3621D" w:rsidRPr="00C3621D" w:rsidRDefault="00C3621D" w:rsidP="00C3621D">
            <w:pPr>
              <w:pStyle w:val="Bulletpoint"/>
            </w:pPr>
            <w:r>
              <w:t>warning infant can suffocate from inclined and curved features</w:t>
            </w:r>
          </w:p>
        </w:tc>
        <w:tc>
          <w:tcPr>
            <w:tcW w:w="1875" w:type="pct"/>
          </w:tcPr>
          <w:p w14:paraId="144E4338" w14:textId="77777777" w:rsidR="00C3621D" w:rsidRDefault="00C3621D" w:rsidP="00C3621D">
            <w:pPr>
              <w:pStyle w:val="Bulletpoint"/>
            </w:pPr>
            <w:r>
              <w:t>warning against use for sleep</w:t>
            </w:r>
          </w:p>
          <w:p w14:paraId="681FF619" w14:textId="197570B2" w:rsidR="00C3621D" w:rsidRDefault="00C3621D" w:rsidP="00C3621D">
            <w:pPr>
              <w:pStyle w:val="Bulletpoint"/>
            </w:pPr>
            <w:r>
              <w:t>warnings against unsupervised use</w:t>
            </w:r>
          </w:p>
        </w:tc>
      </w:tr>
      <w:tr w:rsidR="00C3621D" w14:paraId="57E82A8F" w14:textId="40E8DD10" w:rsidTr="00C3621D">
        <w:trPr>
          <w:jc w:val="center"/>
        </w:trPr>
        <w:tc>
          <w:tcPr>
            <w:tcW w:w="1249" w:type="pct"/>
          </w:tcPr>
          <w:p w14:paraId="4DF503BF" w14:textId="77777777" w:rsidR="00C3621D" w:rsidRPr="00BE22B9" w:rsidRDefault="00C3621D" w:rsidP="00C3621D">
            <w:pPr>
              <w:pStyle w:val="Bulletpoint"/>
              <w:numPr>
                <w:ilvl w:val="0"/>
                <w:numId w:val="0"/>
              </w:numPr>
              <w:rPr>
                <w:b/>
                <w:bCs/>
              </w:rPr>
            </w:pPr>
            <w:r w:rsidRPr="00BE22B9">
              <w:rPr>
                <w:b/>
                <w:bCs/>
              </w:rPr>
              <w:t xml:space="preserve">Packaging/point of sale </w:t>
            </w:r>
          </w:p>
        </w:tc>
        <w:tc>
          <w:tcPr>
            <w:tcW w:w="1875" w:type="pct"/>
          </w:tcPr>
          <w:p w14:paraId="0A404479" w14:textId="77777777" w:rsidR="00C3621D" w:rsidRDefault="00C3621D" w:rsidP="00C3621D">
            <w:pPr>
              <w:pStyle w:val="Bulletpoint"/>
            </w:pPr>
            <w:r>
              <w:t>warning infant should be placed on their back</w:t>
            </w:r>
          </w:p>
          <w:p w14:paraId="75B01E61" w14:textId="5E8F8B4E" w:rsidR="00C3621D" w:rsidRPr="00014ECF" w:rsidRDefault="00C3621D" w:rsidP="00C3621D">
            <w:pPr>
              <w:pStyle w:val="Bulletpoint"/>
            </w:pPr>
            <w:r>
              <w:t>warning not to put objects or accessories in an infant’s sleep environment (including cot bumpers, soft toys, blankets)</w:t>
            </w:r>
          </w:p>
        </w:tc>
        <w:tc>
          <w:tcPr>
            <w:tcW w:w="1875" w:type="pct"/>
          </w:tcPr>
          <w:p w14:paraId="49711CBA" w14:textId="77777777" w:rsidR="00C3621D" w:rsidRDefault="00C3621D" w:rsidP="00C3621D">
            <w:pPr>
              <w:pStyle w:val="Bulletpoint"/>
            </w:pPr>
            <w:r>
              <w:t>warning against using for sleep</w:t>
            </w:r>
          </w:p>
          <w:p w14:paraId="4B5523B5" w14:textId="1367F107" w:rsidR="00C3621D" w:rsidRDefault="00C3621D" w:rsidP="00C3621D">
            <w:pPr>
              <w:pStyle w:val="Bulletpoint"/>
            </w:pPr>
            <w:r>
              <w:t>warnings against unsupervised use</w:t>
            </w:r>
          </w:p>
        </w:tc>
      </w:tr>
    </w:tbl>
    <w:p w14:paraId="028BAEAA" w14:textId="459C4A59" w:rsidR="00266685" w:rsidRDefault="00626A06" w:rsidP="00626A06">
      <w:pPr>
        <w:pStyle w:val="Numbered111"/>
      </w:pPr>
      <w:bookmarkStart w:id="159" w:name="_Toc105747316"/>
      <w:bookmarkStart w:id="160" w:name="_Toc106349151"/>
      <w:bookmarkStart w:id="161" w:name="_Toc106637690"/>
      <w:bookmarkStart w:id="162" w:name="_Toc106802906"/>
      <w:bookmarkStart w:id="163" w:name="_Toc107326654"/>
      <w:bookmarkStart w:id="164" w:name="_Toc107582458"/>
      <w:bookmarkStart w:id="165" w:name="_Toc108538326"/>
      <w:bookmarkStart w:id="166" w:name="_Toc109039368"/>
      <w:bookmarkStart w:id="167" w:name="_Toc110871636"/>
      <w:bookmarkStart w:id="168" w:name="_Toc110959480"/>
      <w:r>
        <w:t>Benefits and limitations</w:t>
      </w:r>
      <w:bookmarkEnd w:id="159"/>
      <w:bookmarkEnd w:id="160"/>
      <w:bookmarkEnd w:id="161"/>
      <w:bookmarkEnd w:id="162"/>
      <w:bookmarkEnd w:id="163"/>
      <w:bookmarkEnd w:id="164"/>
      <w:bookmarkEnd w:id="165"/>
      <w:bookmarkEnd w:id="166"/>
      <w:bookmarkEnd w:id="167"/>
      <w:bookmarkEnd w:id="168"/>
    </w:p>
    <w:p w14:paraId="28E718E2" w14:textId="56DDC303" w:rsidR="00626A06" w:rsidRDefault="00895122" w:rsidP="00626A06">
      <w:r>
        <w:t xml:space="preserve">Further to the </w:t>
      </w:r>
      <w:r w:rsidR="00626A06">
        <w:t>benefits and limitations of Option</w:t>
      </w:r>
      <w:r>
        <w:t xml:space="preserve"> </w:t>
      </w:r>
      <w:r w:rsidR="00A91D01">
        <w:t>3</w:t>
      </w:r>
      <w:r>
        <w:t xml:space="preserve">, Option </w:t>
      </w:r>
      <w:r w:rsidR="00AB36D8">
        <w:t>5</w:t>
      </w:r>
      <w:r>
        <w:t xml:space="preserve"> wou</w:t>
      </w:r>
      <w:r w:rsidR="00626A06">
        <w:t>ld</w:t>
      </w:r>
      <w:r>
        <w:t xml:space="preserve"> provide the additional benefit of </w:t>
      </w:r>
      <w:r w:rsidRPr="00895122">
        <w:t>bolster</w:t>
      </w:r>
      <w:r w:rsidR="00483A46">
        <w:t>ing</w:t>
      </w:r>
      <w:r w:rsidRPr="00895122">
        <w:t xml:space="preserve"> the long-standing public health messaging</w:t>
      </w:r>
      <w:r>
        <w:t>, including</w:t>
      </w:r>
      <w:r w:rsidRPr="00895122">
        <w:t xml:space="preserve"> </w:t>
      </w:r>
      <w:r>
        <w:t xml:space="preserve">warning </w:t>
      </w:r>
      <w:r w:rsidRPr="00895122">
        <w:t>that objects or accessories should not be placed in an infant’s sleep environment.</w:t>
      </w:r>
    </w:p>
    <w:p w14:paraId="06752C58" w14:textId="2A56EB17" w:rsidR="00895122" w:rsidRDefault="00895122" w:rsidP="00895122">
      <w:pPr>
        <w:pStyle w:val="Numbered111"/>
      </w:pPr>
      <w:bookmarkStart w:id="169" w:name="_Toc105747317"/>
      <w:bookmarkStart w:id="170" w:name="_Toc106349152"/>
      <w:bookmarkStart w:id="171" w:name="_Toc106637691"/>
      <w:bookmarkStart w:id="172" w:name="_Toc106802907"/>
      <w:bookmarkStart w:id="173" w:name="_Toc107326655"/>
      <w:bookmarkStart w:id="174" w:name="_Toc107582459"/>
      <w:bookmarkStart w:id="175" w:name="_Toc108538327"/>
      <w:bookmarkStart w:id="176" w:name="_Toc109039369"/>
      <w:bookmarkStart w:id="177" w:name="_Toc110871637"/>
      <w:bookmarkStart w:id="178" w:name="_Toc110959481"/>
      <w:r>
        <w:t>Estimated costs</w:t>
      </w:r>
      <w:bookmarkEnd w:id="169"/>
      <w:bookmarkEnd w:id="170"/>
      <w:bookmarkEnd w:id="171"/>
      <w:bookmarkEnd w:id="172"/>
      <w:bookmarkEnd w:id="173"/>
      <w:bookmarkEnd w:id="174"/>
      <w:bookmarkEnd w:id="175"/>
      <w:bookmarkEnd w:id="176"/>
      <w:bookmarkEnd w:id="177"/>
      <w:bookmarkEnd w:id="178"/>
    </w:p>
    <w:p w14:paraId="638590F8" w14:textId="6821EB9F" w:rsidR="00895122" w:rsidRDefault="00895122" w:rsidP="00895122">
      <w:r>
        <w:t xml:space="preserve">The ACCC notes the estimated costs of Option </w:t>
      </w:r>
      <w:r w:rsidR="00AB36D8">
        <w:t>5</w:t>
      </w:r>
      <w:r>
        <w:t xml:space="preserve"> would mirror those outlined in Option </w:t>
      </w:r>
      <w:r w:rsidR="00D05B68">
        <w:t>3</w:t>
      </w:r>
      <w:r>
        <w:t>. However, given this option applies to the broad category of Infant Sleep Products, additional product lines would be impacted.</w:t>
      </w:r>
      <w:r w:rsidR="0073673F">
        <w:t xml:space="preserve"> The total</w:t>
      </w:r>
      <w:r w:rsidR="00097817">
        <w:t xml:space="preserve"> estimated</w:t>
      </w:r>
      <w:r w:rsidR="0073673F">
        <w:t xml:space="preserve"> cost from </w:t>
      </w:r>
      <w:r w:rsidR="00097817">
        <w:t>O</w:t>
      </w:r>
      <w:r w:rsidR="0073673F">
        <w:t xml:space="preserve">ption </w:t>
      </w:r>
      <w:r w:rsidR="00D05B68">
        <w:t>3</w:t>
      </w:r>
      <w:r w:rsidR="0073673F">
        <w:t xml:space="preserve"> is </w:t>
      </w:r>
      <w:r w:rsidR="00D05B68" w:rsidRPr="00F81A2A">
        <w:t>$0.30 - $1.10 per unit</w:t>
      </w:r>
      <w:r w:rsidR="00097817">
        <w:t>.</w:t>
      </w:r>
    </w:p>
    <w:p w14:paraId="1151B4F8" w14:textId="77777777" w:rsidR="00917182" w:rsidRPr="00C56D9F" w:rsidRDefault="00917182" w:rsidP="00917182">
      <w:pPr>
        <w:shd w:val="clear" w:color="auto" w:fill="F2F2F2" w:themeFill="background1" w:themeFillShade="F2"/>
        <w:rPr>
          <w:b/>
          <w:bCs/>
          <w:szCs w:val="24"/>
        </w:rPr>
      </w:pPr>
      <w:r w:rsidRPr="00C56D9F">
        <w:rPr>
          <w:b/>
          <w:bCs/>
          <w:szCs w:val="24"/>
        </w:rPr>
        <w:t>Question</w:t>
      </w:r>
    </w:p>
    <w:p w14:paraId="06984193" w14:textId="7F1A3E1C" w:rsidR="00917182" w:rsidRPr="00660088" w:rsidRDefault="00C56D9F" w:rsidP="007565EE">
      <w:pPr>
        <w:shd w:val="clear" w:color="auto" w:fill="F2F2F2" w:themeFill="background1" w:themeFillShade="F2"/>
        <w:ind w:left="340" w:hanging="340"/>
        <w:rPr>
          <w:bCs/>
          <w:szCs w:val="24"/>
        </w:rPr>
      </w:pPr>
      <w:bookmarkStart w:id="179" w:name="_Hlk106637487"/>
      <w:r w:rsidRPr="00B523F7">
        <w:rPr>
          <w:bCs/>
          <w:szCs w:val="24"/>
        </w:rPr>
        <w:t>11</w:t>
      </w:r>
      <w:r w:rsidR="00917182" w:rsidRPr="00B523F7">
        <w:rPr>
          <w:bCs/>
          <w:szCs w:val="24"/>
        </w:rPr>
        <w:t xml:space="preserve">. </w:t>
      </w:r>
      <w:r w:rsidR="00917182" w:rsidRPr="00C56D9F">
        <w:rPr>
          <w:bCs/>
          <w:szCs w:val="24"/>
        </w:rPr>
        <w:t xml:space="preserve">Do you suggest any additional warnings be included in the </w:t>
      </w:r>
      <w:r w:rsidR="00380924" w:rsidRPr="00C56D9F">
        <w:rPr>
          <w:bCs/>
          <w:szCs w:val="24"/>
        </w:rPr>
        <w:t>information standard</w:t>
      </w:r>
      <w:r w:rsidR="00917182" w:rsidRPr="00C56D9F">
        <w:rPr>
          <w:bCs/>
          <w:szCs w:val="24"/>
        </w:rPr>
        <w:t xml:space="preserve"> for Infant Sleep</w:t>
      </w:r>
      <w:r w:rsidR="00917182">
        <w:rPr>
          <w:bCs/>
          <w:szCs w:val="24"/>
        </w:rPr>
        <w:t xml:space="preserve"> Products? Please explain.</w:t>
      </w:r>
    </w:p>
    <w:p w14:paraId="03B2BFFE" w14:textId="3EE9F8CA" w:rsidR="00F67480" w:rsidRDefault="00F67480" w:rsidP="00971FA1">
      <w:pPr>
        <w:pStyle w:val="Numbered11"/>
        <w:keepNext/>
        <w:ind w:left="794" w:hanging="794"/>
      </w:pPr>
      <w:bookmarkStart w:id="180" w:name="_Toc106637692"/>
      <w:bookmarkStart w:id="181" w:name="_Toc107326656"/>
      <w:bookmarkStart w:id="182" w:name="_Toc110959482"/>
      <w:bookmarkEnd w:id="179"/>
      <w:r w:rsidRPr="002D5F47">
        <w:t xml:space="preserve">Option </w:t>
      </w:r>
      <w:r w:rsidR="00A91D01">
        <w:t>6</w:t>
      </w:r>
      <w:r w:rsidR="004E5D96">
        <w:t>:</w:t>
      </w:r>
      <w:r w:rsidR="004E5D96" w:rsidRPr="004E5D96">
        <w:t xml:space="preserve"> Mandatory safety standard </w:t>
      </w:r>
      <w:r w:rsidR="007B6F7A">
        <w:t xml:space="preserve">– </w:t>
      </w:r>
      <w:r w:rsidR="004E5D96">
        <w:t>Infant</w:t>
      </w:r>
      <w:r w:rsidR="004E5D96" w:rsidRPr="004E5D96">
        <w:t xml:space="preserve"> Sleep </w:t>
      </w:r>
      <w:r w:rsidR="004E5D96">
        <w:t>Products</w:t>
      </w:r>
      <w:bookmarkEnd w:id="180"/>
      <w:bookmarkEnd w:id="181"/>
      <w:r w:rsidR="00031947">
        <w:t xml:space="preserve">, plus </w:t>
      </w:r>
      <w:r w:rsidR="00AE090B">
        <w:t xml:space="preserve">a </w:t>
      </w:r>
      <w:r w:rsidR="00031947">
        <w:t xml:space="preserve">holistic mandatory information standard and </w:t>
      </w:r>
      <w:r w:rsidR="00AE090B">
        <w:t xml:space="preserve">an </w:t>
      </w:r>
      <w:r w:rsidR="00031947">
        <w:t>education campaign</w:t>
      </w:r>
      <w:bookmarkEnd w:id="182"/>
    </w:p>
    <w:p w14:paraId="2BC883D8" w14:textId="4B1593C3" w:rsidR="00483A46" w:rsidRPr="006127F7" w:rsidRDefault="00483A46" w:rsidP="00492B65">
      <w:pPr>
        <w:pBdr>
          <w:top w:val="single" w:sz="4" w:space="1" w:color="auto"/>
          <w:left w:val="single" w:sz="4" w:space="4" w:color="auto"/>
          <w:bottom w:val="single" w:sz="4" w:space="1" w:color="auto"/>
          <w:right w:val="single" w:sz="4" w:space="4" w:color="auto"/>
        </w:pBdr>
        <w:shd w:val="clear" w:color="auto" w:fill="D5D6D2" w:themeFill="background2"/>
        <w:rPr>
          <w:b/>
        </w:rPr>
      </w:pPr>
      <w:bookmarkStart w:id="183" w:name="_Hlk107413299"/>
      <w:r w:rsidRPr="00186E64">
        <w:rPr>
          <w:b/>
          <w:bCs/>
        </w:rPr>
        <w:t xml:space="preserve">Option </w:t>
      </w:r>
      <w:r w:rsidR="00A91D01">
        <w:rPr>
          <w:b/>
          <w:bCs/>
        </w:rPr>
        <w:t>6</w:t>
      </w:r>
      <w:r>
        <w:t xml:space="preserve">: In addition to </w:t>
      </w:r>
      <w:r w:rsidR="00380513">
        <w:t>an education campaign an</w:t>
      </w:r>
      <w:r w:rsidR="00C82679">
        <w:t>d</w:t>
      </w:r>
      <w:r w:rsidR="0031025F">
        <w:t xml:space="preserve"> a</w:t>
      </w:r>
      <w:r w:rsidR="00380513" w:rsidRPr="00380513">
        <w:t xml:space="preserve"> holistic mandatory information standard on all Infant Sleep Products</w:t>
      </w:r>
      <w:r w:rsidR="00505FEE">
        <w:t xml:space="preserve"> (Option</w:t>
      </w:r>
      <w:r w:rsidR="00004681">
        <w:t>s</w:t>
      </w:r>
      <w:r w:rsidR="00505FEE">
        <w:t xml:space="preserve"> 2 and 5)</w:t>
      </w:r>
      <w:r w:rsidR="00380513">
        <w:t>,</w:t>
      </w:r>
      <w:r w:rsidR="00380513" w:rsidRPr="00380513">
        <w:t xml:space="preserve"> </w:t>
      </w:r>
      <w:r>
        <w:t>introduce a</w:t>
      </w:r>
      <w:r w:rsidR="00ED6DC8">
        <w:t xml:space="preserve"> holistic</w:t>
      </w:r>
      <w:r>
        <w:t xml:space="preserve"> mandatory safety standard </w:t>
      </w:r>
      <w:r w:rsidR="00ED6DC8">
        <w:t>covering</w:t>
      </w:r>
      <w:r>
        <w:t xml:space="preserve"> all Infant Sleep Products</w:t>
      </w:r>
      <w:r w:rsidR="003941D0">
        <w:t xml:space="preserve"> and Inclined Non-Sleep Products</w:t>
      </w:r>
      <w:r>
        <w:t xml:space="preserve">, including general requirements for all products and </w:t>
      </w:r>
      <w:r w:rsidR="00FD0E0E">
        <w:t xml:space="preserve">additional </w:t>
      </w:r>
      <w:r>
        <w:t xml:space="preserve">specific requirements for discrete product categories. </w:t>
      </w:r>
    </w:p>
    <w:bookmarkEnd w:id="183"/>
    <w:p w14:paraId="348B9CD9" w14:textId="0F259A86" w:rsidR="002D5F47" w:rsidRDefault="002D5F47" w:rsidP="002D5F47">
      <w:r>
        <w:t xml:space="preserve">The proposed mandatory safety standard would </w:t>
      </w:r>
      <w:r w:rsidR="00483A46">
        <w:t xml:space="preserve">incorporate </w:t>
      </w:r>
      <w:r w:rsidR="00306722">
        <w:t xml:space="preserve">overarching </w:t>
      </w:r>
      <w:r w:rsidR="00483A46">
        <w:t>design requirements</w:t>
      </w:r>
      <w:r w:rsidR="00306722">
        <w:t>, which would apply to all Infant Sleep Products</w:t>
      </w:r>
      <w:r w:rsidR="00483A46">
        <w:t xml:space="preserve"> </w:t>
      </w:r>
      <w:r w:rsidR="005D2FD3">
        <w:t>and include additional product</w:t>
      </w:r>
      <w:r w:rsidR="000E5ABA">
        <w:t>-</w:t>
      </w:r>
      <w:r w:rsidR="005D2FD3">
        <w:t>specific</w:t>
      </w:r>
      <w:r w:rsidR="00483A46">
        <w:t xml:space="preserve"> requirements</w:t>
      </w:r>
      <w:r w:rsidR="005D2FD3">
        <w:t xml:space="preserve">, for example by annexing the </w:t>
      </w:r>
      <w:r w:rsidR="009B56DB">
        <w:t xml:space="preserve">Household Cots </w:t>
      </w:r>
      <w:r w:rsidR="007B6F7A">
        <w:t xml:space="preserve">Mandatory </w:t>
      </w:r>
      <w:r w:rsidR="009B56DB">
        <w:t>Standard and Folding Cots</w:t>
      </w:r>
      <w:r w:rsidR="002F7E7A">
        <w:t xml:space="preserve"> Mandatory</w:t>
      </w:r>
      <w:r w:rsidR="009B56DB">
        <w:t xml:space="preserve"> Standard. </w:t>
      </w:r>
      <w:r w:rsidR="00014ECF">
        <w:t xml:space="preserve">This would seek to include any feedback on </w:t>
      </w:r>
      <w:r w:rsidR="00045D38">
        <w:t>the household and folding cots</w:t>
      </w:r>
      <w:r w:rsidR="0031025F">
        <w:t xml:space="preserve"> mandatory standards</w:t>
      </w:r>
      <w:r w:rsidR="008C3E05">
        <w:t xml:space="preserve"> (see Part</w:t>
      </w:r>
      <w:r w:rsidR="002D2774">
        <w:t>s</w:t>
      </w:r>
      <w:r w:rsidR="008C3E05">
        <w:t xml:space="preserve"> 5</w:t>
      </w:r>
      <w:r w:rsidR="00505FEE">
        <w:t xml:space="preserve"> and 6</w:t>
      </w:r>
      <w:r w:rsidR="008C3E05">
        <w:t>)</w:t>
      </w:r>
      <w:r w:rsidR="00014ECF">
        <w:t>.</w:t>
      </w:r>
    </w:p>
    <w:p w14:paraId="256C8AD3" w14:textId="28C49F29" w:rsidR="00C4336B" w:rsidRDefault="00C4336B" w:rsidP="002D5F47">
      <w:r w:rsidRPr="00F81A2A">
        <w:t xml:space="preserve">This </w:t>
      </w:r>
      <w:r w:rsidR="005D2FD3">
        <w:t xml:space="preserve">option </w:t>
      </w:r>
      <w:r w:rsidRPr="00F81A2A">
        <w:t xml:space="preserve">addresses all </w:t>
      </w:r>
      <w:r w:rsidR="005D2FD3">
        <w:t xml:space="preserve">known </w:t>
      </w:r>
      <w:r w:rsidRPr="00F81A2A">
        <w:t>design risks</w:t>
      </w:r>
      <w:r w:rsidR="00821751">
        <w:t xml:space="preserve"> outlined </w:t>
      </w:r>
      <w:r w:rsidR="00D77E77">
        <w:t xml:space="preserve">above in </w:t>
      </w:r>
      <w:r w:rsidR="003F61C7" w:rsidRPr="003F61C7">
        <w:t>P</w:t>
      </w:r>
      <w:r w:rsidR="00D77E77" w:rsidRPr="003F61C7">
        <w:t>art</w:t>
      </w:r>
      <w:r w:rsidR="003F61C7" w:rsidRPr="003F61C7">
        <w:t>s</w:t>
      </w:r>
      <w:r w:rsidR="00D77E77" w:rsidRPr="003F61C7">
        <w:t xml:space="preserve"> 1.1 and</w:t>
      </w:r>
      <w:r w:rsidR="00821751" w:rsidRPr="003F61C7">
        <w:t xml:space="preserve"> 1.2</w:t>
      </w:r>
      <w:r w:rsidRPr="00F81A2A">
        <w:t>, including incline, curvature, rigidity and material used</w:t>
      </w:r>
      <w:r w:rsidR="009B56DB">
        <w:t>, in addition to risks inherent in cots such as entrapments,</w:t>
      </w:r>
      <w:r w:rsidRPr="00F81A2A">
        <w:t xml:space="preserve"> and ensures the design of Infant Sleep Products aligns with</w:t>
      </w:r>
      <w:r>
        <w:t xml:space="preserve"> </w:t>
      </w:r>
      <w:r w:rsidR="0007719E">
        <w:t>long-standing health advice.</w:t>
      </w:r>
      <w:r w:rsidR="00821751">
        <w:t xml:space="preserve"> Based on the Expert Report, the ACCC does not suggest regulation</w:t>
      </w:r>
      <w:r w:rsidR="0087465C">
        <w:t xml:space="preserve"> of</w:t>
      </w:r>
      <w:r w:rsidR="00821751">
        <w:t xml:space="preserve"> width or side height. </w:t>
      </w:r>
      <w:r w:rsidR="00821751" w:rsidRPr="00682134">
        <w:t xml:space="preserve"> </w:t>
      </w:r>
      <w:r w:rsidR="00821751">
        <w:t xml:space="preserve"> </w:t>
      </w:r>
    </w:p>
    <w:p w14:paraId="4B5DDCEB" w14:textId="356B1E0D" w:rsidR="002D5F47" w:rsidRPr="003F4B7B" w:rsidRDefault="002D5F47" w:rsidP="002D5F47">
      <w:r w:rsidRPr="003F4B7B">
        <w:t xml:space="preserve">The ACCC </w:t>
      </w:r>
      <w:r w:rsidR="00B378E5">
        <w:t>suggests</w:t>
      </w:r>
      <w:r w:rsidR="00B378E5" w:rsidRPr="003F4B7B">
        <w:t xml:space="preserve"> </w:t>
      </w:r>
      <w:r w:rsidR="00730743" w:rsidRPr="003F4B7B">
        <w:t xml:space="preserve">this </w:t>
      </w:r>
      <w:r w:rsidR="00B378E5">
        <w:t>holistic</w:t>
      </w:r>
      <w:r w:rsidR="00B378E5" w:rsidRPr="003F4B7B">
        <w:t xml:space="preserve"> </w:t>
      </w:r>
      <w:r w:rsidR="00730743" w:rsidRPr="003F4B7B">
        <w:t xml:space="preserve">mandatory standard for </w:t>
      </w:r>
      <w:r w:rsidR="0064062E" w:rsidRPr="003F4B7B">
        <w:t>Infant Sleep Products</w:t>
      </w:r>
      <w:r w:rsidR="00730743" w:rsidRPr="003F4B7B">
        <w:t xml:space="preserve"> would apply to</w:t>
      </w:r>
      <w:r w:rsidR="0064062E" w:rsidRPr="003F4B7B">
        <w:t xml:space="preserve"> </w:t>
      </w:r>
      <w:r w:rsidR="007F633F" w:rsidRPr="003F4B7B">
        <w:t xml:space="preserve">the following products insofar as they are designed, </w:t>
      </w:r>
      <w:r w:rsidR="00483A46" w:rsidRPr="003F4B7B">
        <w:t xml:space="preserve">intended, marketed or contain any representation that </w:t>
      </w:r>
      <w:r w:rsidR="001953BD">
        <w:t>they are</w:t>
      </w:r>
      <w:r w:rsidR="00483A46" w:rsidRPr="003F4B7B">
        <w:t xml:space="preserve"> suitable for an infant to sleep in</w:t>
      </w:r>
      <w:r w:rsidR="007F633F" w:rsidRPr="003F4B7B">
        <w:t xml:space="preserve"> </w:t>
      </w:r>
      <w:r w:rsidR="0064062E" w:rsidRPr="003F4B7B">
        <w:t>(not intended to be exhaustive)</w:t>
      </w:r>
      <w:r w:rsidR="00730743" w:rsidRPr="003F4B7B">
        <w:t>:</w:t>
      </w:r>
    </w:p>
    <w:p w14:paraId="4D17B03E" w14:textId="77777777" w:rsidR="00A21BED" w:rsidRPr="003F4B7B" w:rsidRDefault="00730743" w:rsidP="00F12B3A">
      <w:pPr>
        <w:pStyle w:val="Bulletpoint"/>
      </w:pPr>
      <w:r w:rsidRPr="003F4B7B">
        <w:t xml:space="preserve">Household cots </w:t>
      </w:r>
    </w:p>
    <w:p w14:paraId="583D6276" w14:textId="2105504A" w:rsidR="00730743" w:rsidRPr="00F12B3A" w:rsidRDefault="002B57E0" w:rsidP="00F12B3A">
      <w:pPr>
        <w:pStyle w:val="Bulletpoint"/>
      </w:pPr>
      <w:r w:rsidRPr="00F12B3A">
        <w:t>F</w:t>
      </w:r>
      <w:r w:rsidR="00730743" w:rsidRPr="00F12B3A">
        <w:t>olding cots</w:t>
      </w:r>
    </w:p>
    <w:p w14:paraId="7F5869D3" w14:textId="20D37AC2" w:rsidR="00730743" w:rsidRPr="00F12B3A" w:rsidRDefault="00730743" w:rsidP="00F12B3A">
      <w:pPr>
        <w:pStyle w:val="Bulletpoint"/>
      </w:pPr>
      <w:r w:rsidRPr="00F12B3A">
        <w:t xml:space="preserve">Bassinets and </w:t>
      </w:r>
      <w:r w:rsidR="00436521">
        <w:t>m</w:t>
      </w:r>
      <w:r w:rsidRPr="00F12B3A">
        <w:t>oses baskets</w:t>
      </w:r>
    </w:p>
    <w:p w14:paraId="738FB7DD" w14:textId="0C952CC8" w:rsidR="00730743" w:rsidRPr="00F12B3A" w:rsidRDefault="00730743" w:rsidP="00F12B3A">
      <w:pPr>
        <w:pStyle w:val="Bulletpoint"/>
      </w:pPr>
      <w:r w:rsidRPr="00F12B3A">
        <w:t>Loungers, co-sleepers and bedside sleepers</w:t>
      </w:r>
    </w:p>
    <w:p w14:paraId="51E3A895" w14:textId="08194D6B" w:rsidR="00730743" w:rsidRPr="00F12B3A" w:rsidRDefault="00730743" w:rsidP="00F12B3A">
      <w:pPr>
        <w:pStyle w:val="Bulletpoint"/>
      </w:pPr>
      <w:r w:rsidRPr="00F12B3A">
        <w:t>Inclined sleepers</w:t>
      </w:r>
    </w:p>
    <w:p w14:paraId="4DBBAD07" w14:textId="02D7DFFA" w:rsidR="00730743" w:rsidRPr="00F12B3A" w:rsidRDefault="00730743" w:rsidP="00F12B3A">
      <w:pPr>
        <w:pStyle w:val="Bulletpoint"/>
      </w:pPr>
      <w:r w:rsidRPr="00F12B3A">
        <w:t>Bouncers, reclined cradles and rockers (if marketed for sleep)</w:t>
      </w:r>
    </w:p>
    <w:p w14:paraId="2EB82475" w14:textId="2CCDBF6B" w:rsidR="00730743" w:rsidRPr="00F12B3A" w:rsidRDefault="00730743" w:rsidP="00F12B3A">
      <w:pPr>
        <w:pStyle w:val="Bulletpoint"/>
      </w:pPr>
      <w:r w:rsidRPr="00F12B3A">
        <w:t>Infant swings</w:t>
      </w:r>
      <w:r w:rsidR="007565EE">
        <w:t>.</w:t>
      </w:r>
    </w:p>
    <w:p w14:paraId="0944B800" w14:textId="23781037" w:rsidR="00730743" w:rsidRDefault="00866EBD" w:rsidP="00866EBD">
      <w:pPr>
        <w:pStyle w:val="Bulletpoint"/>
        <w:numPr>
          <w:ilvl w:val="0"/>
          <w:numId w:val="0"/>
        </w:numPr>
      </w:pPr>
      <w:r>
        <w:t>However, the proposed mandatory safety standard would not apply to infant product accessories.</w:t>
      </w:r>
    </w:p>
    <w:p w14:paraId="5DFD53C5" w14:textId="2A504443" w:rsidR="003F4B7B" w:rsidRDefault="001953BD" w:rsidP="00866EBD">
      <w:pPr>
        <w:pStyle w:val="Bulletpoint"/>
        <w:numPr>
          <w:ilvl w:val="0"/>
          <w:numId w:val="0"/>
        </w:numPr>
      </w:pPr>
      <w:r>
        <w:t>The proposed</w:t>
      </w:r>
      <w:r w:rsidR="0089799A">
        <w:t xml:space="preserve"> holistic</w:t>
      </w:r>
      <w:r w:rsidR="00CE67E5">
        <w:t xml:space="preserve"> safety</w:t>
      </w:r>
      <w:r w:rsidR="0089799A">
        <w:t xml:space="preserve"> standard for Infant Sleep Products</w:t>
      </w:r>
      <w:r>
        <w:t xml:space="preserve"> would function in a similar manner to Canada’s </w:t>
      </w:r>
      <w:hyperlink r:id="rId46" w:history="1">
        <w:r w:rsidRPr="002F7E7A">
          <w:rPr>
            <w:rStyle w:val="Hyperlink"/>
            <w:i/>
            <w:iCs/>
          </w:rPr>
          <w:t>Cribs, Cradles &amp; Bassinets</w:t>
        </w:r>
        <w:r w:rsidR="00C4336B" w:rsidRPr="002F7E7A">
          <w:rPr>
            <w:rStyle w:val="Hyperlink"/>
            <w:i/>
            <w:iCs/>
          </w:rPr>
          <w:t xml:space="preserve"> regulations</w:t>
        </w:r>
      </w:hyperlink>
      <w:r>
        <w:t xml:space="preserve"> which </w:t>
      </w:r>
      <w:r w:rsidR="0089799A">
        <w:t>include</w:t>
      </w:r>
      <w:r w:rsidR="00B378E5">
        <w:t>s</w:t>
      </w:r>
      <w:r w:rsidR="0089799A">
        <w:t xml:space="preserve"> overarching general requirements</w:t>
      </w:r>
      <w:r w:rsidR="00C4336B">
        <w:t>, followed by product-specific design and safety requirements</w:t>
      </w:r>
      <w:r>
        <w:t xml:space="preserve">. </w:t>
      </w:r>
    </w:p>
    <w:p w14:paraId="7DFC6902" w14:textId="223FC800" w:rsidR="00945162" w:rsidRDefault="00945162" w:rsidP="00866EBD">
      <w:pPr>
        <w:pStyle w:val="Bulletpoint"/>
        <w:numPr>
          <w:ilvl w:val="0"/>
          <w:numId w:val="0"/>
        </w:numPr>
      </w:pPr>
      <w:r>
        <w:t xml:space="preserve">In practice, </w:t>
      </w:r>
      <w:r w:rsidR="00E437A0">
        <w:t xml:space="preserve">the ACCC envisions </w:t>
      </w:r>
      <w:r w:rsidR="000C0EA0">
        <w:t>O</w:t>
      </w:r>
      <w:r w:rsidR="00E437A0">
        <w:t xml:space="preserve">ption </w:t>
      </w:r>
      <w:r w:rsidR="00483A46">
        <w:t>6</w:t>
      </w:r>
      <w:r w:rsidR="006B51BC">
        <w:t xml:space="preserve"> </w:t>
      </w:r>
      <w:r w:rsidR="00E437A0">
        <w:t xml:space="preserve">would include </w:t>
      </w:r>
      <w:r w:rsidR="005F5AD3">
        <w:t xml:space="preserve">the following </w:t>
      </w:r>
      <w:r w:rsidR="00E437A0">
        <w:rPr>
          <w:b/>
          <w:bCs/>
        </w:rPr>
        <w:t>general requirements</w:t>
      </w:r>
      <w:r w:rsidR="00E437A0">
        <w:t xml:space="preserve"> for </w:t>
      </w:r>
      <w:r w:rsidR="00E437A0">
        <w:rPr>
          <w:b/>
          <w:bCs/>
        </w:rPr>
        <w:t xml:space="preserve">all </w:t>
      </w:r>
      <w:r w:rsidR="005F5AD3">
        <w:rPr>
          <w:b/>
          <w:bCs/>
        </w:rPr>
        <w:t>I</w:t>
      </w:r>
      <w:r w:rsidR="00E437A0">
        <w:rPr>
          <w:b/>
          <w:bCs/>
        </w:rPr>
        <w:t xml:space="preserve">nfant </w:t>
      </w:r>
      <w:r w:rsidR="005F5AD3">
        <w:rPr>
          <w:b/>
          <w:bCs/>
        </w:rPr>
        <w:t>S</w:t>
      </w:r>
      <w:r w:rsidR="00E437A0">
        <w:rPr>
          <w:b/>
          <w:bCs/>
        </w:rPr>
        <w:t xml:space="preserve">leep </w:t>
      </w:r>
      <w:r w:rsidR="005F5AD3">
        <w:rPr>
          <w:b/>
          <w:bCs/>
        </w:rPr>
        <w:t>P</w:t>
      </w:r>
      <w:r w:rsidR="00E437A0">
        <w:rPr>
          <w:b/>
          <w:bCs/>
        </w:rPr>
        <w:t>roducts</w:t>
      </w:r>
      <w:r w:rsidR="00E437A0">
        <w:t>:</w:t>
      </w:r>
    </w:p>
    <w:p w14:paraId="16EF0C37" w14:textId="2DBECBF6" w:rsidR="005F5AD3" w:rsidRPr="002F7E7A" w:rsidRDefault="005F5AD3" w:rsidP="002F7E7A">
      <w:pPr>
        <w:pStyle w:val="Bulletpoint"/>
      </w:pPr>
      <w:r w:rsidRPr="002F7E7A">
        <w:t>no incline greater than 7 degrees</w:t>
      </w:r>
    </w:p>
    <w:p w14:paraId="6BB44AAE" w14:textId="77777777" w:rsidR="005F5AD3" w:rsidRPr="002F7E7A" w:rsidRDefault="005F5AD3" w:rsidP="002F7E7A">
      <w:pPr>
        <w:pStyle w:val="Bulletpoint"/>
      </w:pPr>
      <w:r w:rsidRPr="002F7E7A">
        <w:t>no curvature (i.e. a flat sleeping surface)</w:t>
      </w:r>
    </w:p>
    <w:p w14:paraId="7EA1F7F5" w14:textId="1CC8CAC6" w:rsidR="005F5AD3" w:rsidRPr="002F7E7A" w:rsidRDefault="005F5AD3" w:rsidP="002F7E7A">
      <w:pPr>
        <w:pStyle w:val="Bulletpoint"/>
      </w:pPr>
      <w:r w:rsidRPr="002F7E7A">
        <w:t>the product be made of breathable fabric that meets testing requirements</w:t>
      </w:r>
    </w:p>
    <w:p w14:paraId="26B270DC" w14:textId="4F490083" w:rsidR="005F5AD3" w:rsidRPr="002F7E7A" w:rsidRDefault="005F5AD3" w:rsidP="002F7E7A">
      <w:pPr>
        <w:pStyle w:val="Bulletpoint"/>
      </w:pPr>
      <w:r w:rsidRPr="002F7E7A">
        <w:t xml:space="preserve">minimum tests for </w:t>
      </w:r>
      <w:r w:rsidR="00690C9F">
        <w:t>rigidity (firmness)</w:t>
      </w:r>
      <w:r w:rsidR="00690C9F" w:rsidRPr="002F7E7A">
        <w:t xml:space="preserve"> </w:t>
      </w:r>
      <w:r w:rsidRPr="002F7E7A">
        <w:t>of the sleeping surface</w:t>
      </w:r>
    </w:p>
    <w:p w14:paraId="26A06F55" w14:textId="7225890A" w:rsidR="005F5AD3" w:rsidRPr="002F7E7A" w:rsidRDefault="005F5AD3" w:rsidP="002F7E7A">
      <w:pPr>
        <w:pStyle w:val="Bulletpoint"/>
      </w:pPr>
      <w:r w:rsidRPr="002F7E7A">
        <w:t>mattress requirements, including dimensions, rigidity and no gaps between the mattress and the base or sides of the product</w:t>
      </w:r>
    </w:p>
    <w:p w14:paraId="73DBC753" w14:textId="77777777" w:rsidR="005F5AD3" w:rsidRPr="002F7E7A" w:rsidRDefault="005F5AD3" w:rsidP="002F7E7A">
      <w:pPr>
        <w:pStyle w:val="Bulletpoint"/>
      </w:pPr>
      <w:r w:rsidRPr="002F7E7A">
        <w:t>be strong enough to support an infant (static strength)</w:t>
      </w:r>
    </w:p>
    <w:p w14:paraId="517AA4E0" w14:textId="7DBD08A4" w:rsidR="005F5AD3" w:rsidRPr="002F7E7A" w:rsidRDefault="005F5AD3" w:rsidP="002F7E7A">
      <w:pPr>
        <w:pStyle w:val="Bulletpoint"/>
      </w:pPr>
      <w:r w:rsidRPr="002F7E7A">
        <w:t xml:space="preserve">meet </w:t>
      </w:r>
      <w:r w:rsidR="00014ECF">
        <w:t>quality</w:t>
      </w:r>
      <w:r w:rsidR="00016381">
        <w:t xml:space="preserve"> component</w:t>
      </w:r>
      <w:r w:rsidRPr="002F7E7A">
        <w:t xml:space="preserve"> requirements (e.g. metal components must be corrosion-resistant and wood must be free from splinters)</w:t>
      </w:r>
    </w:p>
    <w:p w14:paraId="113D0655" w14:textId="6C354076" w:rsidR="005F5AD3" w:rsidRPr="002F7E7A" w:rsidRDefault="005F5AD3" w:rsidP="002F7E7A">
      <w:pPr>
        <w:pStyle w:val="Bulletpoint"/>
      </w:pPr>
      <w:r w:rsidRPr="002F7E7A">
        <w:t>meet toxicology requirements</w:t>
      </w:r>
    </w:p>
    <w:p w14:paraId="647145FB" w14:textId="344E7A58" w:rsidR="00F81A2A" w:rsidRDefault="005F5AD3" w:rsidP="002F7E7A">
      <w:pPr>
        <w:pStyle w:val="Bulletpoint"/>
      </w:pPr>
      <w:r w:rsidRPr="002F7E7A">
        <w:t>not have</w:t>
      </w:r>
      <w:r w:rsidRPr="00C4336B">
        <w:t xml:space="preserve"> a restraint system.</w:t>
      </w:r>
    </w:p>
    <w:p w14:paraId="1D415437" w14:textId="77777777" w:rsidR="00291315" w:rsidRDefault="007565EE" w:rsidP="00291315">
      <w:r>
        <w:t>T</w:t>
      </w:r>
      <w:r w:rsidR="00045D38">
        <w:t>hese requirements would sit alongside product-specific requirements</w:t>
      </w:r>
      <w:r w:rsidR="000E1FF9">
        <w:t xml:space="preserve"> and include a hierarchy mechanism that </w:t>
      </w:r>
      <w:r w:rsidR="003F3D90">
        <w:t>prioritises the general requirements.</w:t>
      </w:r>
      <w:bookmarkStart w:id="184" w:name="_Toc105574836"/>
      <w:bookmarkStart w:id="185" w:name="_Toc105747322"/>
      <w:bookmarkStart w:id="186" w:name="_Toc106349157"/>
      <w:bookmarkStart w:id="187" w:name="_Toc106637693"/>
      <w:bookmarkStart w:id="188" w:name="_Toc106802909"/>
      <w:bookmarkStart w:id="189" w:name="_Toc107326657"/>
      <w:bookmarkStart w:id="190" w:name="_Toc107582461"/>
      <w:bookmarkStart w:id="191" w:name="_Toc108538329"/>
      <w:bookmarkStart w:id="192" w:name="_Toc109039371"/>
      <w:bookmarkStart w:id="193" w:name="_Toc110871639"/>
      <w:bookmarkStart w:id="194" w:name="_Toc110959483"/>
      <w:r w:rsidR="00D33A11">
        <w:t xml:space="preserve"> </w:t>
      </w:r>
    </w:p>
    <w:p w14:paraId="30BC746F" w14:textId="0E0A0F95" w:rsidR="0065438B" w:rsidRDefault="00F41EB2" w:rsidP="00291315">
      <w:pPr>
        <w:pStyle w:val="Numbered111"/>
      </w:pPr>
      <w:r>
        <w:t>Benefits and limitations</w:t>
      </w:r>
      <w:bookmarkEnd w:id="184"/>
      <w:bookmarkEnd w:id="185"/>
      <w:bookmarkEnd w:id="186"/>
      <w:bookmarkEnd w:id="187"/>
      <w:bookmarkEnd w:id="188"/>
      <w:bookmarkEnd w:id="189"/>
      <w:bookmarkEnd w:id="190"/>
      <w:bookmarkEnd w:id="191"/>
      <w:bookmarkEnd w:id="192"/>
      <w:bookmarkEnd w:id="193"/>
      <w:bookmarkEnd w:id="194"/>
    </w:p>
    <w:p w14:paraId="2309C1E6" w14:textId="65EF6126" w:rsidR="009F4092" w:rsidRDefault="000C0EA0" w:rsidP="00291315">
      <w:r>
        <w:t xml:space="preserve">In addition to </w:t>
      </w:r>
      <w:r w:rsidR="00436521">
        <w:t>those in</w:t>
      </w:r>
      <w:r>
        <w:t xml:space="preserve"> Option</w:t>
      </w:r>
      <w:r w:rsidR="007565EE">
        <w:t xml:space="preserve"> </w:t>
      </w:r>
      <w:r w:rsidR="00CE67E5">
        <w:t>2</w:t>
      </w:r>
      <w:r w:rsidR="008C3E05">
        <w:t xml:space="preserve"> and Option</w:t>
      </w:r>
      <w:r>
        <w:t xml:space="preserve"> </w:t>
      </w:r>
      <w:r w:rsidR="00A91D01">
        <w:t>5</w:t>
      </w:r>
      <w:r>
        <w:t xml:space="preserve">, </w:t>
      </w:r>
      <w:r w:rsidR="007565EE">
        <w:t xml:space="preserve">Option 6 has the </w:t>
      </w:r>
      <w:r w:rsidR="00436521">
        <w:t>following benefits and limitations</w:t>
      </w:r>
      <w:r w:rsidR="002A05F9">
        <w:t>:</w:t>
      </w:r>
    </w:p>
    <w:p w14:paraId="20307EEA" w14:textId="77777777" w:rsidR="009B56DB" w:rsidRDefault="009B56DB" w:rsidP="009B56DB">
      <w:pPr>
        <w:pStyle w:val="NoSpacing"/>
      </w:pPr>
    </w:p>
    <w:tbl>
      <w:tblPr>
        <w:tblStyle w:val="TableGrid"/>
        <w:tblW w:w="0" w:type="auto"/>
        <w:tblLook w:val="0420" w:firstRow="1" w:lastRow="0" w:firstColumn="0" w:lastColumn="0" w:noHBand="0" w:noVBand="1"/>
      </w:tblPr>
      <w:tblGrid>
        <w:gridCol w:w="4678"/>
        <w:gridCol w:w="4348"/>
      </w:tblGrid>
      <w:tr w:rsidR="000C0EA0" w:rsidRPr="007272EE" w14:paraId="260C7567" w14:textId="77777777" w:rsidTr="00165995">
        <w:trPr>
          <w:cnfStyle w:val="100000000000" w:firstRow="1" w:lastRow="0" w:firstColumn="0" w:lastColumn="0" w:oddVBand="0" w:evenVBand="0" w:oddHBand="0" w:evenHBand="0" w:firstRowFirstColumn="0" w:firstRowLastColumn="0" w:lastRowFirstColumn="0" w:lastRowLastColumn="0"/>
          <w:tblHeader/>
        </w:trPr>
        <w:tc>
          <w:tcPr>
            <w:tcW w:w="4678" w:type="dxa"/>
          </w:tcPr>
          <w:p w14:paraId="5F7F250F" w14:textId="33E37735" w:rsidR="000C0EA0" w:rsidRPr="007272EE" w:rsidRDefault="000C0EA0" w:rsidP="007272EE">
            <w:pPr>
              <w:pStyle w:val="TableHeading"/>
              <w:rPr>
                <w:b/>
                <w:bCs/>
              </w:rPr>
            </w:pPr>
            <w:r w:rsidRPr="007272EE">
              <w:rPr>
                <w:b/>
                <w:bCs/>
              </w:rPr>
              <w:t>Benefit</w:t>
            </w:r>
          </w:p>
        </w:tc>
        <w:tc>
          <w:tcPr>
            <w:tcW w:w="4348" w:type="dxa"/>
          </w:tcPr>
          <w:p w14:paraId="2BBDA916" w14:textId="6A853B40" w:rsidR="000C0EA0" w:rsidRPr="007272EE" w:rsidRDefault="000C0EA0" w:rsidP="007272EE">
            <w:pPr>
              <w:pStyle w:val="TableHeading"/>
              <w:rPr>
                <w:b/>
                <w:bCs/>
              </w:rPr>
            </w:pPr>
            <w:r w:rsidRPr="007272EE">
              <w:rPr>
                <w:b/>
                <w:bCs/>
              </w:rPr>
              <w:t>Limitation</w:t>
            </w:r>
          </w:p>
        </w:tc>
      </w:tr>
      <w:tr w:rsidR="000C0EA0" w14:paraId="1B2FBFC6" w14:textId="77777777" w:rsidTr="00703E1E">
        <w:tc>
          <w:tcPr>
            <w:tcW w:w="4678" w:type="dxa"/>
          </w:tcPr>
          <w:p w14:paraId="7D88F25D" w14:textId="7FFA9D20" w:rsidR="00F5520C" w:rsidRDefault="007565EE" w:rsidP="009B56DB">
            <w:pPr>
              <w:pStyle w:val="Bulletpoint"/>
            </w:pPr>
            <w:r>
              <w:t>A</w:t>
            </w:r>
            <w:r w:rsidR="00F5520C">
              <w:t xml:space="preserve">ll Infant Sleep Products would be designed to be safe for infant sleep, reducing infant </w:t>
            </w:r>
            <w:r w:rsidR="00CB514F">
              <w:t>fatalities</w:t>
            </w:r>
            <w:r w:rsidR="00F5520C">
              <w:t>.</w:t>
            </w:r>
          </w:p>
          <w:p w14:paraId="19DD7D73" w14:textId="759CDB0B" w:rsidR="00EC4A96" w:rsidRPr="009B56DB" w:rsidRDefault="007565EE" w:rsidP="009B56DB">
            <w:pPr>
              <w:pStyle w:val="Bulletpoint"/>
            </w:pPr>
            <w:r>
              <w:t>A</w:t>
            </w:r>
            <w:r w:rsidR="00765755" w:rsidRPr="009B56DB">
              <w:t xml:space="preserve">ll </w:t>
            </w:r>
            <w:r w:rsidR="009B56DB">
              <w:t xml:space="preserve">Infant Sleep Products </w:t>
            </w:r>
            <w:r w:rsidR="00EC4A96" w:rsidRPr="009B56DB">
              <w:t>would be subject to the standard, preventing any regulatory gaps.</w:t>
            </w:r>
          </w:p>
          <w:p w14:paraId="487749E4" w14:textId="2588C6CC" w:rsidR="0007719E" w:rsidRPr="00CB169E" w:rsidRDefault="007565EE" w:rsidP="002A05F9">
            <w:pPr>
              <w:pStyle w:val="Bulletpoint"/>
            </w:pPr>
            <w:r>
              <w:t>R</w:t>
            </w:r>
            <w:r w:rsidR="0007719E">
              <w:t>eflects international developments</w:t>
            </w:r>
            <w:r w:rsidR="009B56DB">
              <w:t xml:space="preserve"> relating to the incline risk</w:t>
            </w:r>
            <w:r w:rsidR="0007719E">
              <w:t>.</w:t>
            </w:r>
          </w:p>
          <w:p w14:paraId="3999DAE5" w14:textId="1303EF28" w:rsidR="00EC4A96" w:rsidRPr="00CB169E" w:rsidRDefault="007565EE" w:rsidP="00AA59AE">
            <w:pPr>
              <w:pStyle w:val="Bulletpoint"/>
            </w:pPr>
            <w:r>
              <w:t>C</w:t>
            </w:r>
            <w:r w:rsidR="00E705CC">
              <w:t>onsistent with</w:t>
            </w:r>
            <w:r w:rsidR="00EC4A96" w:rsidRPr="00CB169E">
              <w:t xml:space="preserve"> long</w:t>
            </w:r>
            <w:r w:rsidR="009B56DB">
              <w:t>-</w:t>
            </w:r>
            <w:r w:rsidR="00EC4A96" w:rsidRPr="00CB169E">
              <w:t>standing public health and medical advice that infants ought to sleep on a firm, flat sleep surface.</w:t>
            </w:r>
          </w:p>
          <w:p w14:paraId="5D35BA74" w14:textId="619623D0" w:rsidR="00EC4A96" w:rsidRPr="00CB169E" w:rsidRDefault="007565EE" w:rsidP="002A05F9">
            <w:pPr>
              <w:pStyle w:val="Bulletpoint"/>
            </w:pPr>
            <w:r>
              <w:t>T</w:t>
            </w:r>
            <w:r w:rsidR="00EC4A96" w:rsidRPr="00CB169E">
              <w:t>he standard will capture any emerging Infant Sleep Products entering the market.</w:t>
            </w:r>
          </w:p>
          <w:p w14:paraId="4700C40A" w14:textId="239A352F" w:rsidR="00CB169E" w:rsidRPr="00CB169E" w:rsidRDefault="007565EE" w:rsidP="002A05F9">
            <w:pPr>
              <w:pStyle w:val="Bulletpoint"/>
            </w:pPr>
            <w:r>
              <w:t>F</w:t>
            </w:r>
            <w:r w:rsidR="00E705CC">
              <w:t xml:space="preserve">ills the existing gap between known risks and standards. </w:t>
            </w:r>
          </w:p>
        </w:tc>
        <w:tc>
          <w:tcPr>
            <w:tcW w:w="4348" w:type="dxa"/>
          </w:tcPr>
          <w:p w14:paraId="0DE56A9D" w14:textId="461464DC" w:rsidR="000C0EA0" w:rsidRDefault="007565EE" w:rsidP="00EC4A96">
            <w:pPr>
              <w:pStyle w:val="Bulletpoint"/>
            </w:pPr>
            <w:r>
              <w:t>A</w:t>
            </w:r>
            <w:r w:rsidR="00AA59AE">
              <w:t xml:space="preserve"> holistic standard would increase the regulatory burden and costs placed on industry</w:t>
            </w:r>
            <w:r w:rsidR="00690C9F">
              <w:t>, including capturing products not previously regulated</w:t>
            </w:r>
            <w:r w:rsidR="00AA59AE">
              <w:t>.</w:t>
            </w:r>
          </w:p>
          <w:p w14:paraId="036D8263" w14:textId="582B57A8" w:rsidR="00E705CC" w:rsidRDefault="007565EE" w:rsidP="00EC4A96">
            <w:pPr>
              <w:pStyle w:val="Bulletpoint"/>
            </w:pPr>
            <w:r>
              <w:t>T</w:t>
            </w:r>
            <w:r w:rsidR="009B56DB">
              <w:t>here may be some</w:t>
            </w:r>
            <w:r w:rsidR="00C1441A">
              <w:t xml:space="preserve"> resistance from</w:t>
            </w:r>
            <w:r w:rsidR="009B56DB">
              <w:t xml:space="preserve"> manufacturers</w:t>
            </w:r>
            <w:r w:rsidR="00C1441A">
              <w:t xml:space="preserve"> to comply </w:t>
            </w:r>
            <w:r w:rsidR="009B56DB">
              <w:t xml:space="preserve">with Australian requirements given it is a smaller market. </w:t>
            </w:r>
          </w:p>
        </w:tc>
      </w:tr>
    </w:tbl>
    <w:p w14:paraId="43B35DF8" w14:textId="4E89ED26" w:rsidR="00AA59AE" w:rsidRDefault="004D1272" w:rsidP="00AA59AE">
      <w:pPr>
        <w:pStyle w:val="Numbered111"/>
      </w:pPr>
      <w:bookmarkStart w:id="195" w:name="_Toc105574837"/>
      <w:bookmarkStart w:id="196" w:name="_Toc105747323"/>
      <w:bookmarkStart w:id="197" w:name="_Toc106349158"/>
      <w:bookmarkStart w:id="198" w:name="_Toc106637694"/>
      <w:bookmarkStart w:id="199" w:name="_Toc106802910"/>
      <w:bookmarkStart w:id="200" w:name="_Toc107326658"/>
      <w:bookmarkStart w:id="201" w:name="_Toc107582462"/>
      <w:bookmarkStart w:id="202" w:name="_Toc108538330"/>
      <w:bookmarkStart w:id="203" w:name="_Toc109039372"/>
      <w:bookmarkStart w:id="204" w:name="_Toc110871640"/>
      <w:bookmarkStart w:id="205" w:name="_Toc110959484"/>
      <w:r>
        <w:t>Estimated c</w:t>
      </w:r>
      <w:r w:rsidR="00AA59AE">
        <w:t>osts</w:t>
      </w:r>
      <w:bookmarkEnd w:id="195"/>
      <w:bookmarkEnd w:id="196"/>
      <w:bookmarkEnd w:id="197"/>
      <w:bookmarkEnd w:id="198"/>
      <w:bookmarkEnd w:id="199"/>
      <w:bookmarkEnd w:id="200"/>
      <w:bookmarkEnd w:id="201"/>
      <w:bookmarkEnd w:id="202"/>
      <w:bookmarkEnd w:id="203"/>
      <w:bookmarkEnd w:id="204"/>
      <w:bookmarkEnd w:id="205"/>
    </w:p>
    <w:p w14:paraId="49E42A06" w14:textId="278FD3C6" w:rsidR="000C0EA0" w:rsidRDefault="00CB169E" w:rsidP="00F41EB2">
      <w:r>
        <w:t xml:space="preserve">As Option </w:t>
      </w:r>
      <w:r w:rsidR="00A91D01">
        <w:t>6</w:t>
      </w:r>
      <w:r>
        <w:t xml:space="preserve"> captures Infant Sleep Products in their entirety, industry would face a greater </w:t>
      </w:r>
      <w:r w:rsidR="00127864">
        <w:t xml:space="preserve">compliance </w:t>
      </w:r>
      <w:r>
        <w:t xml:space="preserve">cost than that outlined </w:t>
      </w:r>
      <w:r w:rsidR="009F4092">
        <w:t xml:space="preserve">in Option </w:t>
      </w:r>
      <w:r w:rsidR="00A91D01">
        <w:t>4</w:t>
      </w:r>
      <w:r>
        <w:t xml:space="preserve"> as </w:t>
      </w:r>
      <w:r w:rsidR="00127864">
        <w:t xml:space="preserve">additional </w:t>
      </w:r>
      <w:r w:rsidR="0061671B">
        <w:t>product lines would be required to comply with the mandatory requirements.</w:t>
      </w:r>
      <w:r w:rsidR="00A33D76">
        <w:t xml:space="preserve"> However, the estimate per product line would be consistent with the costs outline</w:t>
      </w:r>
      <w:r w:rsidR="00FF1E43">
        <w:t>d</w:t>
      </w:r>
      <w:r w:rsidR="00A33D76">
        <w:t xml:space="preserve"> above, being:</w:t>
      </w:r>
    </w:p>
    <w:p w14:paraId="6E752594" w14:textId="4F96762D" w:rsidR="00A33D76" w:rsidRDefault="00A33D76" w:rsidP="00454ED9">
      <w:pPr>
        <w:pStyle w:val="Bulletpoint"/>
      </w:pPr>
      <w:r>
        <w:t>For design changes and testing</w:t>
      </w:r>
      <w:r w:rsidR="002F7E7A">
        <w:t xml:space="preserve"> – </w:t>
      </w:r>
      <w:r>
        <w:t xml:space="preserve">$158,473 per product line </w:t>
      </w:r>
    </w:p>
    <w:p w14:paraId="6BCC7B77" w14:textId="50DC93B8" w:rsidR="005D4DBE" w:rsidRDefault="00A33D76" w:rsidP="0087465C">
      <w:pPr>
        <w:pStyle w:val="Bulletpoint"/>
      </w:pPr>
      <w:r>
        <w:t>For warning label requirements</w:t>
      </w:r>
      <w:r w:rsidR="008E53E4">
        <w:t xml:space="preserve"> –</w:t>
      </w:r>
      <w:r>
        <w:t xml:space="preserve"> </w:t>
      </w:r>
      <w:r w:rsidRPr="00A33D76">
        <w:t xml:space="preserve">$0.30 - $1.10 per </w:t>
      </w:r>
      <w:r>
        <w:t xml:space="preserve">unit. </w:t>
      </w:r>
    </w:p>
    <w:p w14:paraId="4F226E9E" w14:textId="10CE217B" w:rsidR="00703E1E" w:rsidRPr="00703E1E" w:rsidRDefault="00703E1E" w:rsidP="00703E1E">
      <w:pPr>
        <w:shd w:val="clear" w:color="auto" w:fill="F2F2F2" w:themeFill="background1" w:themeFillShade="F2"/>
        <w:ind w:left="680" w:hanging="680"/>
        <w:rPr>
          <w:b/>
          <w:bCs/>
        </w:rPr>
      </w:pPr>
      <w:bookmarkStart w:id="206" w:name="_Hlk106637495"/>
      <w:r>
        <w:rPr>
          <w:b/>
          <w:bCs/>
        </w:rPr>
        <w:t>Questions</w:t>
      </w:r>
    </w:p>
    <w:p w14:paraId="1C30EBF1" w14:textId="6ED271A0" w:rsidR="00703E1E" w:rsidRDefault="00703E1E" w:rsidP="00703E1E">
      <w:pPr>
        <w:shd w:val="clear" w:color="auto" w:fill="F2F2F2" w:themeFill="background1" w:themeFillShade="F2"/>
        <w:ind w:left="340" w:hanging="340"/>
      </w:pPr>
      <w:r>
        <w:t xml:space="preserve">12. How should </w:t>
      </w:r>
      <w:r w:rsidRPr="00703E1E">
        <w:t>Option 6 deal with any inconsistency between the general requirements</w:t>
      </w:r>
      <w:r>
        <w:t xml:space="preserve"> and specific requirements for Infant Sleep Products?</w:t>
      </w:r>
    </w:p>
    <w:p w14:paraId="6C4F7BAB" w14:textId="6D9C318F" w:rsidR="00971FA1" w:rsidRPr="00971FA1" w:rsidRDefault="00C56D9F" w:rsidP="00E330EC">
      <w:pPr>
        <w:shd w:val="clear" w:color="auto" w:fill="F2F2F2" w:themeFill="background1" w:themeFillShade="F2"/>
        <w:ind w:left="340" w:hanging="340"/>
      </w:pPr>
      <w:r>
        <w:t>13</w:t>
      </w:r>
      <w:r w:rsidR="008C3E05">
        <w:t>. Are there other general or product specific requirements that should be included in a holistic sleep standard</w:t>
      </w:r>
      <w:r w:rsidR="00690C9F">
        <w:t xml:space="preserve"> in addition to household and folding cots</w:t>
      </w:r>
      <w:r w:rsidR="008C3E05">
        <w:t xml:space="preserve">? </w:t>
      </w:r>
      <w:bookmarkStart w:id="207" w:name="_Toc110959485"/>
      <w:bookmarkStart w:id="208" w:name="_Toc106637695"/>
      <w:bookmarkEnd w:id="206"/>
    </w:p>
    <w:p w14:paraId="05ED74CB" w14:textId="5338C2B8" w:rsidR="00CB279E" w:rsidRDefault="00CB279E" w:rsidP="00971FA1">
      <w:pPr>
        <w:pStyle w:val="Numbered11"/>
        <w:keepNext/>
        <w:ind w:left="794" w:hanging="794"/>
      </w:pPr>
      <w:r>
        <w:t>Option 7: Permanent ban – Inclined Sleep Products</w:t>
      </w:r>
      <w:r w:rsidR="00031947">
        <w:t xml:space="preserve">, plus </w:t>
      </w:r>
      <w:r w:rsidR="00AE090B">
        <w:t xml:space="preserve">a </w:t>
      </w:r>
      <w:r w:rsidR="00031947">
        <w:t xml:space="preserve">holistic mandatory safety standard on Infant Sleep Products, </w:t>
      </w:r>
      <w:r w:rsidR="00C420B2">
        <w:t xml:space="preserve">a </w:t>
      </w:r>
      <w:r w:rsidR="00031947">
        <w:t xml:space="preserve">holistic mandatory information standard on Infant Sleep Products and </w:t>
      </w:r>
      <w:r w:rsidR="00C420B2">
        <w:t xml:space="preserve">an </w:t>
      </w:r>
      <w:r w:rsidR="00031947">
        <w:t>education campaign</w:t>
      </w:r>
      <w:bookmarkEnd w:id="207"/>
    </w:p>
    <w:p w14:paraId="5ADB81F5" w14:textId="67A11733" w:rsidR="00740FF8" w:rsidRDefault="009B046C" w:rsidP="00740FF8">
      <w:pPr>
        <w:pBdr>
          <w:top w:val="single" w:sz="4" w:space="1" w:color="auto"/>
          <w:left w:val="single" w:sz="4" w:space="4" w:color="auto"/>
          <w:bottom w:val="single" w:sz="4" w:space="1" w:color="auto"/>
          <w:right w:val="single" w:sz="4" w:space="4" w:color="auto"/>
        </w:pBdr>
        <w:shd w:val="clear" w:color="auto" w:fill="D5D6D2" w:themeFill="background2"/>
        <w:spacing w:after="200"/>
      </w:pPr>
      <w:r w:rsidRPr="00B523F7">
        <w:rPr>
          <w:b/>
          <w:bCs/>
        </w:rPr>
        <w:t xml:space="preserve">Option </w:t>
      </w:r>
      <w:r w:rsidR="005018D2" w:rsidRPr="00B523F7">
        <w:rPr>
          <w:b/>
          <w:bCs/>
        </w:rPr>
        <w:t>7</w:t>
      </w:r>
      <w:r w:rsidR="00D22590">
        <w:rPr>
          <w:b/>
          <w:bCs/>
        </w:rPr>
        <w:t xml:space="preserve"> (preferred)</w:t>
      </w:r>
      <w:r w:rsidRPr="00B523F7">
        <w:rPr>
          <w:b/>
          <w:bCs/>
        </w:rPr>
        <w:t>:</w:t>
      </w:r>
      <w:r w:rsidRPr="009B046C">
        <w:t xml:space="preserve"> </w:t>
      </w:r>
      <w:r w:rsidR="00703E1E">
        <w:t xml:space="preserve">In addition to </w:t>
      </w:r>
      <w:r w:rsidR="00703E1E" w:rsidRPr="00703E1E">
        <w:t>an education campaign, a holistic mandatory information standard and a holistic mandatory safety standard covering all Infant Sleep Products</w:t>
      </w:r>
      <w:r w:rsidR="006C64F3">
        <w:t xml:space="preserve"> (Options 2, 5 and 6)</w:t>
      </w:r>
      <w:r w:rsidR="00703E1E">
        <w:t>, implement a</w:t>
      </w:r>
      <w:r w:rsidR="005018D2" w:rsidRPr="008D11F5">
        <w:t xml:space="preserve"> permanent ban preventing the </w:t>
      </w:r>
      <w:r w:rsidR="005018D2" w:rsidRPr="00854F8E">
        <w:t>s</w:t>
      </w:r>
      <w:r w:rsidR="00125D9A">
        <w:t>upply</w:t>
      </w:r>
      <w:r w:rsidR="005018D2" w:rsidRPr="00854F8E">
        <w:t xml:space="preserve"> of Inclined Sleep Products with an incline greater than 7 degrees</w:t>
      </w:r>
      <w:r w:rsidR="00C12D4A">
        <w:t>.</w:t>
      </w:r>
    </w:p>
    <w:p w14:paraId="0692992E" w14:textId="064793DE" w:rsidR="00D22590" w:rsidRDefault="00522402" w:rsidP="00740FF8">
      <w:pPr>
        <w:pStyle w:val="Bulletpoint"/>
        <w:numPr>
          <w:ilvl w:val="0"/>
          <w:numId w:val="0"/>
        </w:numPr>
      </w:pPr>
      <w:r>
        <w:t>T</w:t>
      </w:r>
      <w:r w:rsidR="00740FF8">
        <w:t>he proposed permanent ban</w:t>
      </w:r>
      <w:r w:rsidR="00C831AA">
        <w:t xml:space="preserve"> </w:t>
      </w:r>
      <w:r w:rsidR="00817486">
        <w:t xml:space="preserve">may </w:t>
      </w:r>
      <w:r w:rsidR="006C64F3">
        <w:t xml:space="preserve">be implemented quicker than the mandatory information </w:t>
      </w:r>
      <w:r w:rsidR="00566329">
        <w:t xml:space="preserve">or safety standard and </w:t>
      </w:r>
      <w:r w:rsidR="00101507">
        <w:t xml:space="preserve">would </w:t>
      </w:r>
      <w:r w:rsidR="00740FF8" w:rsidRPr="008D11F5">
        <w:t xml:space="preserve">prevent the </w:t>
      </w:r>
      <w:r w:rsidR="00740FF8" w:rsidRPr="00854F8E">
        <w:t>s</w:t>
      </w:r>
      <w:r>
        <w:t>upply</w:t>
      </w:r>
      <w:r w:rsidR="00740FF8" w:rsidRPr="00854F8E">
        <w:t xml:space="preserve"> of Inclined Sleep Products with an incline greater than 7 degrees</w:t>
      </w:r>
      <w:r w:rsidR="00740FF8">
        <w:t xml:space="preserve"> </w:t>
      </w:r>
      <w:r w:rsidR="00892C3D">
        <w:t xml:space="preserve">in </w:t>
      </w:r>
      <w:r w:rsidR="00A4063B">
        <w:t>Australia</w:t>
      </w:r>
      <w:r w:rsidR="00040101">
        <w:t>.</w:t>
      </w:r>
      <w:r w:rsidR="00222287">
        <w:t xml:space="preserve"> </w:t>
      </w:r>
      <w:r w:rsidR="00507D35">
        <w:t>The ACCC will consider whether this option would enable getting unsafe products off the market quicker than Option 6.</w:t>
      </w:r>
    </w:p>
    <w:p w14:paraId="2560DF6D" w14:textId="6C97F667" w:rsidR="00101507" w:rsidRDefault="00D22590" w:rsidP="00740FF8">
      <w:pPr>
        <w:pStyle w:val="Bulletpoint"/>
        <w:numPr>
          <w:ilvl w:val="0"/>
          <w:numId w:val="0"/>
        </w:numPr>
      </w:pPr>
      <w:r>
        <w:t xml:space="preserve">This is the </w:t>
      </w:r>
      <w:r w:rsidR="005116A3">
        <w:t>ACCC</w:t>
      </w:r>
      <w:r w:rsidR="00CA677D">
        <w:t>’s preferred option</w:t>
      </w:r>
      <w:r>
        <w:t>, because it would permanently ban the supply</w:t>
      </w:r>
      <w:r w:rsidRPr="00664529">
        <w:t xml:space="preserve"> of</w:t>
      </w:r>
      <w:r>
        <w:t xml:space="preserve"> the highest-risk</w:t>
      </w:r>
      <w:r w:rsidRPr="00664529">
        <w:t xml:space="preserve"> </w:t>
      </w:r>
      <w:r>
        <w:t>Inclined</w:t>
      </w:r>
      <w:r w:rsidRPr="00664529">
        <w:t xml:space="preserve"> </w:t>
      </w:r>
      <w:r>
        <w:t>S</w:t>
      </w:r>
      <w:r w:rsidRPr="00664529">
        <w:t xml:space="preserve">leep </w:t>
      </w:r>
      <w:r w:rsidR="00FF1E43">
        <w:t>P</w:t>
      </w:r>
      <w:r w:rsidRPr="00664529">
        <w:t>roducts</w:t>
      </w:r>
      <w:r>
        <w:t xml:space="preserve"> in the Australian market in the </w:t>
      </w:r>
      <w:r w:rsidR="00566329">
        <w:t>short</w:t>
      </w:r>
      <w:r>
        <w:t xml:space="preserve"> term while holistic Infant Sleep Products information and </w:t>
      </w:r>
      <w:r w:rsidR="00566329">
        <w:t>safety</w:t>
      </w:r>
      <w:r>
        <w:t xml:space="preserve"> standards are developed.</w:t>
      </w:r>
    </w:p>
    <w:p w14:paraId="204D0C1F" w14:textId="77777777" w:rsidR="00E57D62" w:rsidRDefault="00101507" w:rsidP="00E57D62">
      <w:r>
        <w:t>The ACCC considers a permanent ban more suitable than an interim ban</w:t>
      </w:r>
      <w:r w:rsidR="00546F06">
        <w:t xml:space="preserve"> </w:t>
      </w:r>
      <w:r w:rsidR="000430CC">
        <w:t xml:space="preserve">as it is proportionate to the well-established risks. </w:t>
      </w:r>
      <w:bookmarkStart w:id="209" w:name="_Toc107582464"/>
      <w:bookmarkStart w:id="210" w:name="_Toc108538332"/>
      <w:bookmarkStart w:id="211" w:name="_Toc109039374"/>
      <w:bookmarkStart w:id="212" w:name="_Toc110871642"/>
    </w:p>
    <w:p w14:paraId="37CCC859" w14:textId="30BA3A8F" w:rsidR="00F17615" w:rsidRPr="00D04413" w:rsidRDefault="00B12109" w:rsidP="00E57D62">
      <w:pPr>
        <w:pStyle w:val="Numbered111"/>
      </w:pPr>
      <w:bookmarkStart w:id="213" w:name="_Toc110959486"/>
      <w:r>
        <w:t>Benefits and limitations</w:t>
      </w:r>
      <w:bookmarkEnd w:id="209"/>
      <w:bookmarkEnd w:id="210"/>
      <w:bookmarkEnd w:id="211"/>
      <w:bookmarkEnd w:id="212"/>
      <w:bookmarkEnd w:id="213"/>
    </w:p>
    <w:p w14:paraId="2D5835C6" w14:textId="42C9B626" w:rsidR="00BB2060" w:rsidRPr="00D04413" w:rsidRDefault="00740FF8" w:rsidP="00CF4D71">
      <w:pPr>
        <w:keepNext/>
        <w:spacing w:after="240"/>
      </w:pPr>
      <w:r w:rsidRPr="00D04413">
        <w:t>In addition to those outlined in Option</w:t>
      </w:r>
      <w:r w:rsidR="00DC3113" w:rsidRPr="00D04413">
        <w:t xml:space="preserve"> 3, Option</w:t>
      </w:r>
      <w:r w:rsidRPr="00D04413">
        <w:t xml:space="preserve"> 5</w:t>
      </w:r>
      <w:r w:rsidR="00DC3113" w:rsidRPr="00D04413">
        <w:t>,</w:t>
      </w:r>
      <w:r w:rsidR="00401A0B" w:rsidRPr="008265B1">
        <w:t xml:space="preserve"> and Option 6</w:t>
      </w:r>
      <w:r w:rsidRPr="008265B1">
        <w:t xml:space="preserve">, the ACCC considers the following represent the benefits and limitations of Option </w:t>
      </w:r>
      <w:r w:rsidR="00401A0B" w:rsidRPr="008265B1">
        <w:t>7</w:t>
      </w:r>
      <w:r w:rsidRPr="0030502E">
        <w:t>:</w:t>
      </w:r>
    </w:p>
    <w:tbl>
      <w:tblPr>
        <w:tblStyle w:val="TableGrid"/>
        <w:tblW w:w="0" w:type="auto"/>
        <w:tblLook w:val="0420" w:firstRow="1" w:lastRow="0" w:firstColumn="0" w:lastColumn="0" w:noHBand="0" w:noVBand="1"/>
      </w:tblPr>
      <w:tblGrid>
        <w:gridCol w:w="4513"/>
        <w:gridCol w:w="4513"/>
      </w:tblGrid>
      <w:tr w:rsidR="00740FF8" w:rsidRPr="00394AD4" w14:paraId="47DF6213" w14:textId="77777777" w:rsidTr="00BB2060">
        <w:trPr>
          <w:cnfStyle w:val="100000000000" w:firstRow="1" w:lastRow="0" w:firstColumn="0" w:lastColumn="0" w:oddVBand="0" w:evenVBand="0" w:oddHBand="0" w:evenHBand="0" w:firstRowFirstColumn="0" w:firstRowLastColumn="0" w:lastRowFirstColumn="0" w:lastRowLastColumn="0"/>
          <w:cantSplit/>
        </w:trPr>
        <w:tc>
          <w:tcPr>
            <w:tcW w:w="4513" w:type="dxa"/>
          </w:tcPr>
          <w:p w14:paraId="5ABB4209" w14:textId="77777777" w:rsidR="00740FF8" w:rsidRPr="00394AD4" w:rsidRDefault="00740FF8" w:rsidP="00302C1B">
            <w:pPr>
              <w:pStyle w:val="TableHeading"/>
              <w:rPr>
                <w:b/>
              </w:rPr>
            </w:pPr>
            <w:r w:rsidRPr="00394AD4">
              <w:rPr>
                <w:b/>
              </w:rPr>
              <w:t>Benefit</w:t>
            </w:r>
          </w:p>
        </w:tc>
        <w:tc>
          <w:tcPr>
            <w:tcW w:w="4513" w:type="dxa"/>
          </w:tcPr>
          <w:p w14:paraId="5CE13C9E" w14:textId="77777777" w:rsidR="00740FF8" w:rsidRPr="00394AD4" w:rsidRDefault="00740FF8" w:rsidP="00302C1B">
            <w:pPr>
              <w:pStyle w:val="TableHeading"/>
              <w:rPr>
                <w:b/>
              </w:rPr>
            </w:pPr>
            <w:r w:rsidRPr="00394AD4">
              <w:rPr>
                <w:b/>
              </w:rPr>
              <w:t>Limitation</w:t>
            </w:r>
          </w:p>
        </w:tc>
      </w:tr>
      <w:tr w:rsidR="00740FF8" w14:paraId="2F7A7D47" w14:textId="77777777" w:rsidTr="00BB2060">
        <w:trPr>
          <w:cantSplit/>
        </w:trPr>
        <w:tc>
          <w:tcPr>
            <w:tcW w:w="4513" w:type="dxa"/>
          </w:tcPr>
          <w:p w14:paraId="6D0C1B30" w14:textId="02B76770" w:rsidR="00740FF8" w:rsidRPr="00D04413" w:rsidRDefault="001361A0" w:rsidP="00302C1B">
            <w:pPr>
              <w:pStyle w:val="Bulletpoint"/>
            </w:pPr>
            <w:r>
              <w:t>A</w:t>
            </w:r>
            <w:r w:rsidR="00C404A3" w:rsidRPr="00D04413">
              <w:t xml:space="preserve"> permanent ban</w:t>
            </w:r>
            <w:r w:rsidR="00740FF8" w:rsidRPr="00D04413">
              <w:t xml:space="preserve"> </w:t>
            </w:r>
            <w:r w:rsidR="00507D35">
              <w:t xml:space="preserve">may enable addressing </w:t>
            </w:r>
            <w:r w:rsidR="00EA2160" w:rsidRPr="00D04413">
              <w:t xml:space="preserve">the highest-risk products </w:t>
            </w:r>
            <w:r w:rsidR="00507D35">
              <w:t>quicker</w:t>
            </w:r>
            <w:r w:rsidR="00EA2160" w:rsidRPr="00D04413">
              <w:t xml:space="preserve">. </w:t>
            </w:r>
          </w:p>
          <w:p w14:paraId="310157C9" w14:textId="2CB0086D" w:rsidR="00C2070C" w:rsidRPr="0080651F" w:rsidRDefault="001361A0" w:rsidP="0080651F">
            <w:pPr>
              <w:pStyle w:val="Bulletpoint"/>
            </w:pPr>
            <w:r>
              <w:t>T</w:t>
            </w:r>
            <w:r w:rsidR="00EA2160" w:rsidRPr="00D04413">
              <w:t xml:space="preserve">he permanent ban could be adapted from New Zealand’s </w:t>
            </w:r>
            <w:r w:rsidR="00EA2160" w:rsidRPr="0080651F">
              <w:rPr>
                <w:i/>
                <w:iCs/>
              </w:rPr>
              <w:t>Unsafe Goods (Inclined Infant Sleep Products) Indefinite Prohibition Notice 2022</w:t>
            </w:r>
            <w:r w:rsidR="008C3E05">
              <w:t xml:space="preserve">, aiding </w:t>
            </w:r>
            <w:r w:rsidR="007770FA">
              <w:t>trans</w:t>
            </w:r>
            <w:r w:rsidR="008C3E05">
              <w:t>-Tasman trade</w:t>
            </w:r>
            <w:r w:rsidR="00EA2160" w:rsidRPr="00D04413">
              <w:t>.</w:t>
            </w:r>
          </w:p>
        </w:tc>
        <w:tc>
          <w:tcPr>
            <w:tcW w:w="4513" w:type="dxa"/>
          </w:tcPr>
          <w:p w14:paraId="04A1DBB4" w14:textId="1518BA27" w:rsidR="00740FF8" w:rsidRDefault="001361A0" w:rsidP="00302C1B">
            <w:pPr>
              <w:pStyle w:val="Bulletpoint"/>
            </w:pPr>
            <w:r>
              <w:t>T</w:t>
            </w:r>
            <w:r w:rsidR="00CB0BFB" w:rsidRPr="00D04413">
              <w:t>he ACCC would need to consider and plan for the practical implications of enforcing the ban whilst progressing any other regulatory or non-regulatory options.</w:t>
            </w:r>
          </w:p>
          <w:p w14:paraId="55DA4D23" w14:textId="77777777" w:rsidR="00C404A3" w:rsidRDefault="00566329" w:rsidP="0080651F">
            <w:pPr>
              <w:pStyle w:val="Bulletpoint"/>
            </w:pPr>
            <w:r>
              <w:t xml:space="preserve">Impact on industry due to being unable to supply existing stock when the ban is introduced. </w:t>
            </w:r>
          </w:p>
          <w:p w14:paraId="203BC17C" w14:textId="6780813C" w:rsidR="00222287" w:rsidRPr="0080651F" w:rsidRDefault="00222287" w:rsidP="0080651F">
            <w:pPr>
              <w:pStyle w:val="Bulletpoint"/>
            </w:pPr>
            <w:r>
              <w:t xml:space="preserve">The efficacy of the ban would be </w:t>
            </w:r>
            <w:r w:rsidR="0037001B">
              <w:t>diluted by suppliers implementing marketing changes</w:t>
            </w:r>
            <w:r w:rsidR="00102D44">
              <w:t xml:space="preserve"> to Inclined Sleep Products.</w:t>
            </w:r>
          </w:p>
        </w:tc>
      </w:tr>
    </w:tbl>
    <w:p w14:paraId="0924CE5C" w14:textId="4FF85E9F" w:rsidR="00740FF8" w:rsidRDefault="00740FF8" w:rsidP="00740FF8">
      <w:pPr>
        <w:pStyle w:val="Numbered111"/>
      </w:pPr>
      <w:bookmarkStart w:id="214" w:name="_Toc107582465"/>
      <w:bookmarkStart w:id="215" w:name="_Toc108538333"/>
      <w:bookmarkStart w:id="216" w:name="_Toc109039375"/>
      <w:bookmarkStart w:id="217" w:name="_Toc110871643"/>
      <w:bookmarkStart w:id="218" w:name="_Toc110959487"/>
      <w:r>
        <w:t>Estimated costs</w:t>
      </w:r>
      <w:bookmarkEnd w:id="214"/>
      <w:bookmarkEnd w:id="215"/>
      <w:bookmarkEnd w:id="216"/>
      <w:bookmarkEnd w:id="217"/>
      <w:bookmarkEnd w:id="218"/>
    </w:p>
    <w:p w14:paraId="7BE74058" w14:textId="5E79D09E" w:rsidR="00740FF8" w:rsidRDefault="00740FF8" w:rsidP="008012B4">
      <w:r>
        <w:t xml:space="preserve">As Option </w:t>
      </w:r>
      <w:r w:rsidR="00401A0B">
        <w:t xml:space="preserve">7 </w:t>
      </w:r>
      <w:r>
        <w:t xml:space="preserve">captures Infant Sleep Products in their entirety, industry would </w:t>
      </w:r>
      <w:r w:rsidR="00401A0B">
        <w:t xml:space="preserve">likely </w:t>
      </w:r>
      <w:r>
        <w:t xml:space="preserve">face a </w:t>
      </w:r>
      <w:r w:rsidR="00401A0B">
        <w:t>similar</w:t>
      </w:r>
      <w:r>
        <w:t xml:space="preserve"> compliance cost </w:t>
      </w:r>
      <w:r w:rsidR="00401A0B">
        <w:t>to</w:t>
      </w:r>
      <w:r>
        <w:t xml:space="preserve"> that outlined in Option </w:t>
      </w:r>
      <w:r w:rsidR="00401A0B">
        <w:t>6</w:t>
      </w:r>
      <w:r w:rsidR="008C3E05">
        <w:t xml:space="preserve"> being:</w:t>
      </w:r>
    </w:p>
    <w:p w14:paraId="2094CCA7" w14:textId="77777777" w:rsidR="001361A0" w:rsidRDefault="001361A0" w:rsidP="001361A0">
      <w:pPr>
        <w:pStyle w:val="Bulletpoint"/>
      </w:pPr>
      <w:r>
        <w:t xml:space="preserve">For design changes and testing – $158,473 per product line </w:t>
      </w:r>
    </w:p>
    <w:p w14:paraId="077BE775" w14:textId="7ADF290E" w:rsidR="001361A0" w:rsidRDefault="001361A0" w:rsidP="001361A0">
      <w:pPr>
        <w:pStyle w:val="Bulletpoint"/>
      </w:pPr>
      <w:r>
        <w:t xml:space="preserve">For warning label requirements – </w:t>
      </w:r>
      <w:r w:rsidRPr="00A33D76">
        <w:t xml:space="preserve">$0.30 - $1.10 per </w:t>
      </w:r>
      <w:r>
        <w:t xml:space="preserve">unit. </w:t>
      </w:r>
    </w:p>
    <w:p w14:paraId="00381F92" w14:textId="0F44924C" w:rsidR="00566329" w:rsidRDefault="00566329" w:rsidP="0080651F">
      <w:pPr>
        <w:pStyle w:val="Bulletpoint"/>
        <w:numPr>
          <w:ilvl w:val="0"/>
          <w:numId w:val="0"/>
        </w:numPr>
      </w:pPr>
      <w:r>
        <w:t xml:space="preserve">There may also be additional costs associated with disposing of existing unsold stock when the ban is introduced. </w:t>
      </w:r>
    </w:p>
    <w:p w14:paraId="3BBC07FD" w14:textId="78400EBE" w:rsidR="00C2070C" w:rsidRPr="001361A0" w:rsidRDefault="00C2070C" w:rsidP="007770FA">
      <w:pPr>
        <w:pStyle w:val="Bulletpoint"/>
        <w:numPr>
          <w:ilvl w:val="0"/>
          <w:numId w:val="0"/>
        </w:numPr>
        <w:rPr>
          <w:b/>
          <w:bCs/>
        </w:rPr>
      </w:pPr>
      <w:r w:rsidRPr="001361A0">
        <w:rPr>
          <w:b/>
          <w:bCs/>
        </w:rPr>
        <w:t>Questions</w:t>
      </w:r>
    </w:p>
    <w:p w14:paraId="5FA1F367" w14:textId="6D47E6FB" w:rsidR="0036545B" w:rsidRDefault="00C56D9F" w:rsidP="001361A0">
      <w:pPr>
        <w:shd w:val="clear" w:color="auto" w:fill="F2F2F2" w:themeFill="background1" w:themeFillShade="F2"/>
        <w:ind w:left="340" w:hanging="340"/>
      </w:pPr>
      <w:r w:rsidRPr="001361A0">
        <w:t>1</w:t>
      </w:r>
      <w:r w:rsidR="00495034">
        <w:t>4.</w:t>
      </w:r>
      <w:r w:rsidR="006803D3" w:rsidRPr="001361A0">
        <w:t xml:space="preserve"> </w:t>
      </w:r>
      <w:r w:rsidR="00E2629B" w:rsidRPr="001361A0">
        <w:t>Would you prefer a permanent ban on</w:t>
      </w:r>
      <w:r w:rsidR="006803D3" w:rsidRPr="001361A0">
        <w:t xml:space="preserve"> Inclined Sleep Products with an incline angle of greater than 7 degrees </w:t>
      </w:r>
      <w:r w:rsidR="00E2629B" w:rsidRPr="001361A0">
        <w:t>to continue once the proposed mandatory standards in Option 7 came into force, or that such products be</w:t>
      </w:r>
      <w:r w:rsidR="006803D3" w:rsidRPr="001361A0">
        <w:t xml:space="preserve"> incorporated into</w:t>
      </w:r>
      <w:r w:rsidR="00E2629B" w:rsidRPr="001361A0">
        <w:t xml:space="preserve"> such</w:t>
      </w:r>
      <w:r w:rsidR="006803D3" w:rsidRPr="001361A0">
        <w:t xml:space="preserve"> mandatory standards</w:t>
      </w:r>
      <w:r w:rsidR="00E2629B" w:rsidRPr="001361A0">
        <w:t xml:space="preserve"> and the ban revoked? Please explain.</w:t>
      </w:r>
      <w:r w:rsidR="006803D3">
        <w:t xml:space="preserve"> </w:t>
      </w:r>
    </w:p>
    <w:p w14:paraId="67DB6445" w14:textId="7A751E32" w:rsidR="00C666EF" w:rsidRDefault="003F27F3" w:rsidP="00BE3674">
      <w:pPr>
        <w:pStyle w:val="Numbered1"/>
        <w:keepNext/>
        <w:ind w:left="357" w:hanging="357"/>
      </w:pPr>
      <w:bookmarkStart w:id="219" w:name="_Hlk108537564"/>
      <w:bookmarkStart w:id="220" w:name="_Toc110959488"/>
      <w:bookmarkStart w:id="221" w:name="_Hlk109032484"/>
      <w:r>
        <w:t>Policy options – Household Cots</w:t>
      </w:r>
      <w:bookmarkEnd w:id="219"/>
      <w:bookmarkEnd w:id="220"/>
    </w:p>
    <w:p w14:paraId="11CEDC4A" w14:textId="1A86F41D" w:rsidR="003F27F3" w:rsidRDefault="003F27F3" w:rsidP="003F27F3">
      <w:r>
        <w:t>As previously noted, the Household Cots Mandatory</w:t>
      </w:r>
      <w:r w:rsidR="00495034">
        <w:t xml:space="preserve"> Standard </w:t>
      </w:r>
      <w:r w:rsidR="006A7E81">
        <w:t>is</w:t>
      </w:r>
      <w:r w:rsidR="006B3221">
        <w:t xml:space="preserve"> </w:t>
      </w:r>
      <w:r w:rsidR="004328F1">
        <w:t>related</w:t>
      </w:r>
      <w:r w:rsidR="006B3221">
        <w:t xml:space="preserve"> to the risks outlined in the Consultation Paper as </w:t>
      </w:r>
      <w:r w:rsidR="00495034">
        <w:t>household cot</w:t>
      </w:r>
      <w:r w:rsidR="006B3221">
        <w:t xml:space="preserve"> relate to an infant’s sleep environment</w:t>
      </w:r>
      <w:r w:rsidR="004328F1">
        <w:t xml:space="preserve"> and are</w:t>
      </w:r>
      <w:r w:rsidR="00495034">
        <w:t xml:space="preserve"> </w:t>
      </w:r>
      <w:r w:rsidR="004328F1">
        <w:t>Infant Sleep Product</w:t>
      </w:r>
      <w:r w:rsidR="00EC470C">
        <w:t>s</w:t>
      </w:r>
      <w:r w:rsidR="006B3221">
        <w:t>.</w:t>
      </w:r>
      <w:r w:rsidR="00C06583">
        <w:t xml:space="preserve"> The purpose of this section is to ensure that the Household Cots Mandatory Standard is relevant, effective and </w:t>
      </w:r>
      <w:r w:rsidR="001C42D6">
        <w:t>up to date</w:t>
      </w:r>
      <w:r w:rsidR="00C06583">
        <w:t>.</w:t>
      </w:r>
    </w:p>
    <w:p w14:paraId="21F6EE77" w14:textId="08711769" w:rsidR="00F315CB" w:rsidRDefault="00F315CB" w:rsidP="00F315CB">
      <w:r>
        <w:t xml:space="preserve">The options </w:t>
      </w:r>
      <w:r w:rsidR="00495034">
        <w:t>for</w:t>
      </w:r>
      <w:r>
        <w:t xml:space="preserve"> Household Cots </w:t>
      </w:r>
      <w:r w:rsidRPr="001361A0">
        <w:t xml:space="preserve">are similarly listed in the ACCC’s view of least to most effective and are accompanied by </w:t>
      </w:r>
      <w:r w:rsidR="00940C9B">
        <w:t>consideration of</w:t>
      </w:r>
      <w:r w:rsidR="00AD7968">
        <w:t xml:space="preserve"> the benefits, limitations and costs of each option.</w:t>
      </w:r>
      <w:r w:rsidR="009E2423">
        <w:t xml:space="preserve"> </w:t>
      </w:r>
      <w:r w:rsidR="00AB5713">
        <w:t>The costs for each option are based on industry estimates.</w:t>
      </w:r>
    </w:p>
    <w:p w14:paraId="6DDECE84" w14:textId="66C45E19" w:rsidR="00AD7968" w:rsidRDefault="003F3D90" w:rsidP="00AD7968">
      <w:r>
        <w:t xml:space="preserve">These are in addition to, or in isolation of Options 1 to </w:t>
      </w:r>
      <w:r w:rsidR="003F1C76">
        <w:t>7</w:t>
      </w:r>
      <w:r>
        <w:t xml:space="preserve">. </w:t>
      </w:r>
      <w:r w:rsidR="00AD7968">
        <w:t xml:space="preserve">As stated above, updates made in response to this feedback will be progressed in conjunction with any recommendation made to the Minister </w:t>
      </w:r>
      <w:r w:rsidR="00AE6F96">
        <w:t>as a result</w:t>
      </w:r>
      <w:r w:rsidR="00AD7968">
        <w:t xml:space="preserve"> of this Consultation Paper. </w:t>
      </w:r>
    </w:p>
    <w:p w14:paraId="56021E87" w14:textId="165ADD32" w:rsidR="00796AB0" w:rsidRDefault="00FE77F6" w:rsidP="00215DD1">
      <w:pPr>
        <w:pStyle w:val="Numbered11"/>
      </w:pPr>
      <w:bookmarkStart w:id="222" w:name="_Toc106802912"/>
      <w:bookmarkStart w:id="223" w:name="_Toc107326661"/>
      <w:bookmarkStart w:id="224" w:name="_Toc107582467"/>
      <w:bookmarkStart w:id="225" w:name="_Toc108538335"/>
      <w:bookmarkStart w:id="226" w:name="_Toc109039377"/>
      <w:bookmarkStart w:id="227" w:name="_Toc110871645"/>
      <w:bookmarkStart w:id="228" w:name="_Toc110959489"/>
      <w:bookmarkEnd w:id="208"/>
      <w:r>
        <w:t xml:space="preserve">Option </w:t>
      </w:r>
      <w:r w:rsidR="002E6C3C">
        <w:t>H1</w:t>
      </w:r>
      <w:r>
        <w:t xml:space="preserve"> – </w:t>
      </w:r>
      <w:r w:rsidR="0031096E">
        <w:t>Maintain the Household Cots</w:t>
      </w:r>
      <w:r w:rsidR="00F24154">
        <w:t xml:space="preserve"> Mandatory</w:t>
      </w:r>
      <w:r w:rsidR="0031096E">
        <w:t xml:space="preserve"> Standard</w:t>
      </w:r>
      <w:bookmarkEnd w:id="222"/>
      <w:bookmarkEnd w:id="223"/>
      <w:bookmarkEnd w:id="224"/>
      <w:bookmarkEnd w:id="225"/>
      <w:r w:rsidR="002E6C3C">
        <w:t xml:space="preserve"> with no changes</w:t>
      </w:r>
      <w:bookmarkEnd w:id="226"/>
      <w:bookmarkEnd w:id="227"/>
      <w:bookmarkEnd w:id="228"/>
    </w:p>
    <w:p w14:paraId="6689B5B3" w14:textId="132AABB2" w:rsidR="004928A8" w:rsidRDefault="004928A8" w:rsidP="004928A8">
      <w:pPr>
        <w:pBdr>
          <w:top w:val="single" w:sz="4" w:space="1" w:color="auto"/>
          <w:left w:val="single" w:sz="4" w:space="4" w:color="auto"/>
          <w:bottom w:val="single" w:sz="4" w:space="1" w:color="auto"/>
          <w:right w:val="single" w:sz="4" w:space="4" w:color="auto"/>
        </w:pBdr>
        <w:shd w:val="clear" w:color="auto" w:fill="D5D6D2" w:themeFill="background2"/>
        <w:spacing w:after="200"/>
      </w:pPr>
      <w:bookmarkStart w:id="229" w:name="_Hlk107314590"/>
      <w:r w:rsidRPr="00424D61">
        <w:rPr>
          <w:b/>
          <w:bCs/>
        </w:rPr>
        <w:t xml:space="preserve">Option </w:t>
      </w:r>
      <w:r w:rsidR="002E6C3C">
        <w:rPr>
          <w:b/>
          <w:bCs/>
        </w:rPr>
        <w:t>H1</w:t>
      </w:r>
      <w:r w:rsidRPr="00844834">
        <w:t>:</w:t>
      </w:r>
      <w:r>
        <w:t xml:space="preserve"> No changes</w:t>
      </w:r>
      <w:r w:rsidR="004328F1">
        <w:t xml:space="preserve"> to the existing standards</w:t>
      </w:r>
    </w:p>
    <w:bookmarkEnd w:id="229"/>
    <w:p w14:paraId="04860DB5" w14:textId="7A8C2CDE" w:rsidR="002831E2" w:rsidRDefault="0031096E" w:rsidP="002831E2">
      <w:r>
        <w:t xml:space="preserve">The Household Cots </w:t>
      </w:r>
      <w:r w:rsidR="003941D0">
        <w:t xml:space="preserve">Mandatory </w:t>
      </w:r>
      <w:r>
        <w:t>Standard woul</w:t>
      </w:r>
      <w:r w:rsidR="002831E2">
        <w:t xml:space="preserve">d remain in its present form and reference sections of the </w:t>
      </w:r>
      <w:r w:rsidR="002831E2" w:rsidRPr="008F0197">
        <w:t>2003 Household Cots Voluntary Standard</w:t>
      </w:r>
      <w:r w:rsidR="002831E2">
        <w:t>.</w:t>
      </w:r>
    </w:p>
    <w:p w14:paraId="31058FF1" w14:textId="77777777" w:rsidR="00940C9B" w:rsidRDefault="00940C9B" w:rsidP="00F72A11">
      <w:pPr>
        <w:pStyle w:val="NoSpacing"/>
      </w:pPr>
    </w:p>
    <w:tbl>
      <w:tblPr>
        <w:tblStyle w:val="TableGrid"/>
        <w:tblW w:w="0" w:type="auto"/>
        <w:tblLook w:val="0420" w:firstRow="1" w:lastRow="0" w:firstColumn="0" w:lastColumn="0" w:noHBand="0" w:noVBand="1"/>
      </w:tblPr>
      <w:tblGrid>
        <w:gridCol w:w="4678"/>
        <w:gridCol w:w="4348"/>
      </w:tblGrid>
      <w:tr w:rsidR="00940C9B" w:rsidRPr="007272EE" w14:paraId="46CBD143" w14:textId="77777777" w:rsidTr="00165995">
        <w:trPr>
          <w:cnfStyle w:val="100000000000" w:firstRow="1" w:lastRow="0" w:firstColumn="0" w:lastColumn="0" w:oddVBand="0" w:evenVBand="0" w:oddHBand="0" w:evenHBand="0" w:firstRowFirstColumn="0" w:firstRowLastColumn="0" w:lastRowFirstColumn="0" w:lastRowLastColumn="0"/>
          <w:tblHeader/>
        </w:trPr>
        <w:tc>
          <w:tcPr>
            <w:tcW w:w="4678" w:type="dxa"/>
          </w:tcPr>
          <w:p w14:paraId="2EA28669" w14:textId="77777777" w:rsidR="00940C9B" w:rsidRPr="007272EE" w:rsidRDefault="00940C9B" w:rsidP="00302C1B">
            <w:pPr>
              <w:pStyle w:val="TableHeading"/>
              <w:rPr>
                <w:b/>
                <w:bCs/>
              </w:rPr>
            </w:pPr>
            <w:r w:rsidRPr="007272EE">
              <w:rPr>
                <w:b/>
                <w:bCs/>
              </w:rPr>
              <w:t>Benefit</w:t>
            </w:r>
          </w:p>
        </w:tc>
        <w:tc>
          <w:tcPr>
            <w:tcW w:w="4348" w:type="dxa"/>
          </w:tcPr>
          <w:p w14:paraId="2C0B4110" w14:textId="77777777" w:rsidR="00940C9B" w:rsidRPr="007272EE" w:rsidRDefault="00940C9B" w:rsidP="00302C1B">
            <w:pPr>
              <w:pStyle w:val="TableHeading"/>
              <w:rPr>
                <w:b/>
                <w:bCs/>
              </w:rPr>
            </w:pPr>
            <w:r w:rsidRPr="007272EE">
              <w:rPr>
                <w:b/>
                <w:bCs/>
              </w:rPr>
              <w:t>Limitation</w:t>
            </w:r>
          </w:p>
        </w:tc>
      </w:tr>
      <w:tr w:rsidR="00940C9B" w14:paraId="2B0A4A41" w14:textId="77777777" w:rsidTr="00302C1B">
        <w:tc>
          <w:tcPr>
            <w:tcW w:w="4678" w:type="dxa"/>
          </w:tcPr>
          <w:p w14:paraId="541F9804" w14:textId="44C831FC" w:rsidR="00940C9B" w:rsidRDefault="00940C9B" w:rsidP="00940C9B">
            <w:pPr>
              <w:pStyle w:val="Bulletpoint"/>
            </w:pPr>
            <w:r>
              <w:t>T</w:t>
            </w:r>
            <w:r w:rsidRPr="0070541D">
              <w:t xml:space="preserve">he </w:t>
            </w:r>
            <w:r>
              <w:t xml:space="preserve">Household Cot Mandatory Standard </w:t>
            </w:r>
            <w:r w:rsidRPr="0070541D">
              <w:t>would continue to operate effectively</w:t>
            </w:r>
            <w:r w:rsidR="00692452">
              <w:t>.</w:t>
            </w:r>
          </w:p>
          <w:p w14:paraId="5B742D13" w14:textId="0F04C362" w:rsidR="00940C9B" w:rsidRPr="00CB169E" w:rsidRDefault="00940C9B" w:rsidP="00940C9B">
            <w:pPr>
              <w:pStyle w:val="Bulletpoint"/>
            </w:pPr>
            <w:r>
              <w:t>There would be no change to industry burden or increased cost to industry</w:t>
            </w:r>
            <w:r w:rsidR="00692452">
              <w:t>.</w:t>
            </w:r>
          </w:p>
        </w:tc>
        <w:tc>
          <w:tcPr>
            <w:tcW w:w="4348" w:type="dxa"/>
          </w:tcPr>
          <w:p w14:paraId="0659EB46" w14:textId="5ECFA9B4" w:rsidR="00940C9B" w:rsidRDefault="00940C9B" w:rsidP="00940C9B">
            <w:pPr>
              <w:pStyle w:val="Bulletpoint"/>
            </w:pPr>
            <w:r>
              <w:t>Emerging hazards associated with the respective products would not be addressed, particularly:</w:t>
            </w:r>
          </w:p>
          <w:p w14:paraId="42A39992" w14:textId="77777777" w:rsidR="00940C9B" w:rsidRDefault="00940C9B" w:rsidP="00940C9B">
            <w:pPr>
              <w:pStyle w:val="Bulletpoint"/>
              <w:numPr>
                <w:ilvl w:val="1"/>
                <w:numId w:val="2"/>
              </w:numPr>
            </w:pPr>
            <w:r>
              <w:t xml:space="preserve">drop side strength and integrity </w:t>
            </w:r>
          </w:p>
          <w:p w14:paraId="19475846" w14:textId="77777777" w:rsidR="00940C9B" w:rsidRDefault="00940C9B" w:rsidP="00940C9B">
            <w:pPr>
              <w:pStyle w:val="Bulletpoint"/>
              <w:numPr>
                <w:ilvl w:val="1"/>
                <w:numId w:val="2"/>
              </w:numPr>
            </w:pPr>
            <w:r>
              <w:t>mattress firmness</w:t>
            </w:r>
          </w:p>
          <w:p w14:paraId="6E54172F" w14:textId="6F5C8372" w:rsidR="008F0F26" w:rsidRPr="00692452" w:rsidRDefault="00940C9B" w:rsidP="00692452">
            <w:pPr>
              <w:pStyle w:val="Bulletpoint"/>
            </w:pPr>
            <w:r>
              <w:t>Industry may be confused by whether to comply with the most recent voluntary standard</w:t>
            </w:r>
            <w:r w:rsidR="00692452">
              <w:t>.</w:t>
            </w:r>
          </w:p>
        </w:tc>
      </w:tr>
    </w:tbl>
    <w:p w14:paraId="422B0876" w14:textId="196FC443" w:rsidR="002E316C" w:rsidRDefault="002E316C" w:rsidP="002E316C">
      <w:pPr>
        <w:pStyle w:val="Numbered111"/>
      </w:pPr>
      <w:bookmarkStart w:id="230" w:name="_Toc110959490"/>
      <w:bookmarkStart w:id="231" w:name="_Toc109039378"/>
      <w:bookmarkStart w:id="232" w:name="_Toc110871646"/>
      <w:r>
        <w:t>Estimated costs</w:t>
      </w:r>
      <w:bookmarkEnd w:id="230"/>
    </w:p>
    <w:p w14:paraId="382E7FDA" w14:textId="6A078744" w:rsidR="002E316C" w:rsidRDefault="002E316C" w:rsidP="007770FA">
      <w:r>
        <w:t xml:space="preserve">There would be no additional cost to industry, with testing costs estimated to be approximately $3,300 per product line under the current Household Cots Mandatory Standard. </w:t>
      </w:r>
    </w:p>
    <w:p w14:paraId="2F743DB3" w14:textId="1C9EFB43" w:rsidR="002E316C" w:rsidRPr="002E316C" w:rsidRDefault="002E316C" w:rsidP="007770FA">
      <w:r>
        <w:t xml:space="preserve">There would be no change to infant </w:t>
      </w:r>
      <w:r w:rsidR="00CB514F">
        <w:t>fatalitie</w:t>
      </w:r>
      <w:r>
        <w:t>s or injuries associated with household cots.</w:t>
      </w:r>
    </w:p>
    <w:p w14:paraId="4FDE1F0C" w14:textId="426F4807" w:rsidR="00CE74EE" w:rsidRDefault="00CE74EE" w:rsidP="00CE74EE">
      <w:pPr>
        <w:pStyle w:val="Numbered11"/>
      </w:pPr>
      <w:bookmarkStart w:id="233" w:name="_Toc110959491"/>
      <w:r>
        <w:t>Option H2 – Amend the Household Cots Mandatory Standard by adopting sections of the most recent Household Cots Voluntary Standard</w:t>
      </w:r>
      <w:bookmarkEnd w:id="231"/>
      <w:bookmarkEnd w:id="232"/>
      <w:bookmarkEnd w:id="233"/>
    </w:p>
    <w:p w14:paraId="1759FD6F" w14:textId="77777777" w:rsidR="00CE74EE" w:rsidRDefault="00CE74EE" w:rsidP="00CE74EE">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Pr>
          <w:b/>
          <w:bCs/>
        </w:rPr>
        <w:t>Option H2</w:t>
      </w:r>
      <w:r w:rsidRPr="00215DD1">
        <w:t>:</w:t>
      </w:r>
      <w:r>
        <w:rPr>
          <w:b/>
          <w:bCs/>
        </w:rPr>
        <w:t xml:space="preserve"> </w:t>
      </w:r>
      <w:r w:rsidRPr="00C62723">
        <w:t>Amend the Household Cots Mandatory Standard by adopting sections of the most recent Household Cots Voluntary Standard</w:t>
      </w:r>
      <w:r>
        <w:t>.</w:t>
      </w:r>
    </w:p>
    <w:p w14:paraId="725C3847" w14:textId="77777777" w:rsidR="00CE74EE" w:rsidRDefault="00CE74EE" w:rsidP="00CE74EE">
      <w:pPr>
        <w:pStyle w:val="Bulletpoint"/>
        <w:numPr>
          <w:ilvl w:val="0"/>
          <w:numId w:val="0"/>
        </w:numPr>
      </w:pPr>
      <w:r>
        <w:t>This would involve updating the Household Cots Mandatory Standard to reflect certain sections in the most recent version of the Household Cots Voluntary Standard (</w:t>
      </w:r>
      <w:r>
        <w:rPr>
          <w:rFonts w:cs="Arial"/>
        </w:rPr>
        <w:t>AS/NZS 2172:2013</w:t>
      </w:r>
      <w:r>
        <w:t>). Key changes may incorporate:</w:t>
      </w:r>
    </w:p>
    <w:p w14:paraId="56E7FB65" w14:textId="77777777" w:rsidR="00CE74EE" w:rsidRDefault="00CE74EE" w:rsidP="00CE74EE">
      <w:pPr>
        <w:pStyle w:val="Bulletpoint"/>
      </w:pPr>
      <w:r>
        <w:t>more rigorous and structured mechanical tests for drop sides (sections 9.3-9.11 of AS/NZS 2172:2013, excluding 9.9 and 9.10)</w:t>
      </w:r>
    </w:p>
    <w:p w14:paraId="1CA4386C" w14:textId="77777777" w:rsidR="00CE74EE" w:rsidRDefault="00CE74EE" w:rsidP="00CE74EE">
      <w:pPr>
        <w:pStyle w:val="Bulletpoint"/>
      </w:pPr>
      <w:r>
        <w:t>the Voluntary Infant Mattress Firmness Standard (section 9.12 and AS/NZS 8811.1 of AS/NZS 2172:2013).</w:t>
      </w:r>
    </w:p>
    <w:p w14:paraId="63153BD5" w14:textId="77777777" w:rsidR="00CE74EE" w:rsidRDefault="00CE74EE" w:rsidP="00CE74EE">
      <w:pPr>
        <w:pStyle w:val="NoSpacing"/>
      </w:pPr>
    </w:p>
    <w:tbl>
      <w:tblPr>
        <w:tblStyle w:val="TableGrid"/>
        <w:tblW w:w="0" w:type="auto"/>
        <w:tblLook w:val="0420" w:firstRow="1" w:lastRow="0" w:firstColumn="0" w:lastColumn="0" w:noHBand="0" w:noVBand="1"/>
      </w:tblPr>
      <w:tblGrid>
        <w:gridCol w:w="4678"/>
        <w:gridCol w:w="4348"/>
      </w:tblGrid>
      <w:tr w:rsidR="00CE74EE" w:rsidRPr="007272EE" w14:paraId="78F04431"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40A547D9" w14:textId="77777777" w:rsidR="00CE74EE" w:rsidRPr="007272EE" w:rsidRDefault="00CE74EE" w:rsidP="00302C1B">
            <w:pPr>
              <w:pStyle w:val="TableHeading"/>
              <w:rPr>
                <w:b/>
                <w:bCs/>
              </w:rPr>
            </w:pPr>
            <w:r w:rsidRPr="007272EE">
              <w:rPr>
                <w:b/>
                <w:bCs/>
              </w:rPr>
              <w:t>Benefit</w:t>
            </w:r>
          </w:p>
        </w:tc>
        <w:tc>
          <w:tcPr>
            <w:tcW w:w="4348" w:type="dxa"/>
          </w:tcPr>
          <w:p w14:paraId="1FC23822" w14:textId="77777777" w:rsidR="00CE74EE" w:rsidRPr="007272EE" w:rsidRDefault="00CE74EE" w:rsidP="00302C1B">
            <w:pPr>
              <w:pStyle w:val="TableHeading"/>
              <w:rPr>
                <w:b/>
                <w:bCs/>
              </w:rPr>
            </w:pPr>
            <w:r w:rsidRPr="007272EE">
              <w:rPr>
                <w:b/>
                <w:bCs/>
              </w:rPr>
              <w:t>Limitation</w:t>
            </w:r>
          </w:p>
        </w:tc>
      </w:tr>
      <w:tr w:rsidR="00CE74EE" w14:paraId="65CCB969" w14:textId="77777777" w:rsidTr="00302C1B">
        <w:tc>
          <w:tcPr>
            <w:tcW w:w="4678" w:type="dxa"/>
          </w:tcPr>
          <w:p w14:paraId="347515D2" w14:textId="77777777" w:rsidR="00CE74EE" w:rsidRPr="00692452" w:rsidRDefault="00CE74EE" w:rsidP="00302C1B">
            <w:pPr>
              <w:pStyle w:val="Bulletpoint"/>
            </w:pPr>
            <w:r w:rsidRPr="00692452">
              <w:t>Other known risks, such as drop sides and mattress firmness are addressed.</w:t>
            </w:r>
          </w:p>
          <w:p w14:paraId="0AD2E33F" w14:textId="77777777" w:rsidR="00CE74EE" w:rsidRPr="00692452" w:rsidRDefault="00CE74EE" w:rsidP="00CE74EE">
            <w:pPr>
              <w:pStyle w:val="Bulletpoint"/>
              <w:ind w:left="340" w:hanging="340"/>
            </w:pPr>
            <w:r w:rsidRPr="00692452">
              <w:t>Better alignment with the current voluntary standard would provide practical clarification of what is required under the Australian standard regime.</w:t>
            </w:r>
          </w:p>
          <w:p w14:paraId="5764A613" w14:textId="77777777" w:rsidR="00CE74EE" w:rsidRPr="00692452" w:rsidRDefault="00CE74EE" w:rsidP="00CE74EE">
            <w:pPr>
              <w:pStyle w:val="Bulletpoint"/>
              <w:ind w:left="340" w:hanging="340"/>
            </w:pPr>
            <w:r w:rsidRPr="00692452">
              <w:t>Enhanced minimum safety requirements.</w:t>
            </w:r>
          </w:p>
        </w:tc>
        <w:tc>
          <w:tcPr>
            <w:tcW w:w="4348" w:type="dxa"/>
          </w:tcPr>
          <w:p w14:paraId="4B441DF7" w14:textId="77777777" w:rsidR="00CE74EE" w:rsidRDefault="00CE74EE" w:rsidP="00CE74EE">
            <w:pPr>
              <w:pStyle w:val="Bulletpoint"/>
              <w:ind w:left="340" w:hanging="340"/>
            </w:pPr>
            <w:r>
              <w:t>Some suppliers will face increased testing costs.</w:t>
            </w:r>
          </w:p>
          <w:p w14:paraId="0F3E5843" w14:textId="77777777" w:rsidR="00CE74EE" w:rsidRDefault="00CE74EE" w:rsidP="00CE74EE">
            <w:pPr>
              <w:pStyle w:val="Bulletpoint"/>
              <w:ind w:left="340" w:hanging="340"/>
            </w:pPr>
            <w:r>
              <w:t>This option does not enable suppliers to easily comply with international standards.</w:t>
            </w:r>
          </w:p>
        </w:tc>
      </w:tr>
    </w:tbl>
    <w:p w14:paraId="6B0DE7ED" w14:textId="65F9298B" w:rsidR="002E316C" w:rsidRDefault="002E316C" w:rsidP="002E316C">
      <w:pPr>
        <w:pStyle w:val="Numbered111"/>
      </w:pPr>
      <w:bookmarkStart w:id="234" w:name="_Toc110959492"/>
      <w:bookmarkStart w:id="235" w:name="_Toc109039379"/>
      <w:bookmarkStart w:id="236" w:name="_Toc110871647"/>
      <w:r>
        <w:t>Estimated costs</w:t>
      </w:r>
      <w:bookmarkEnd w:id="234"/>
    </w:p>
    <w:p w14:paraId="59B7979C" w14:textId="452C73F5" w:rsidR="002E316C" w:rsidRDefault="002E316C" w:rsidP="007770FA">
      <w:r w:rsidRPr="00692452">
        <w:t xml:space="preserve">Testing costs </w:t>
      </w:r>
      <w:r>
        <w:t xml:space="preserve">against specific sections of the most recent Household Cots Voluntary Standard are </w:t>
      </w:r>
      <w:r w:rsidRPr="00692452">
        <w:t>estimated to be $3,</w:t>
      </w:r>
      <w:r>
        <w:t>63</w:t>
      </w:r>
      <w:r w:rsidRPr="00692452">
        <w:t>0 - $3,</w:t>
      </w:r>
      <w:r>
        <w:t>96</w:t>
      </w:r>
      <w:r w:rsidRPr="00692452">
        <w:t>0 per product line</w:t>
      </w:r>
      <w:r>
        <w:t>, meaning a $360-$660 increase in the cost of testing</w:t>
      </w:r>
      <w:r w:rsidRPr="00692452">
        <w:t>.</w:t>
      </w:r>
      <w:r>
        <w:t xml:space="preserve"> </w:t>
      </w:r>
      <w:r w:rsidR="005D40FA">
        <w:t>E</w:t>
      </w:r>
      <w:r>
        <w:t xml:space="preserve">xisting suppliers would be required to have their products retested. </w:t>
      </w:r>
    </w:p>
    <w:p w14:paraId="22BB9583" w14:textId="734017E8" w:rsidR="002E316C" w:rsidRPr="002E316C" w:rsidRDefault="002E316C" w:rsidP="007770FA">
      <w:r>
        <w:t>There would be enhanced minimum safety requirements for household cots, reducing the likeliness of associated injuries.</w:t>
      </w:r>
    </w:p>
    <w:p w14:paraId="4BCA7B9F" w14:textId="3DDD3A2F" w:rsidR="00EC09D2" w:rsidRDefault="00EC09D2" w:rsidP="00EC09D2">
      <w:pPr>
        <w:pStyle w:val="Numbered11"/>
      </w:pPr>
      <w:bookmarkStart w:id="237" w:name="_Toc110959493"/>
      <w:r>
        <w:t>Option H3</w:t>
      </w:r>
      <w:r w:rsidR="0013183E">
        <w:t xml:space="preserve"> </w:t>
      </w:r>
      <w:r>
        <w:t>– A</w:t>
      </w:r>
      <w:r w:rsidRPr="00877780">
        <w:t xml:space="preserve">mend </w:t>
      </w:r>
      <w:r>
        <w:t xml:space="preserve">the Household Cots Mandatory Standard </w:t>
      </w:r>
      <w:r w:rsidRPr="00877780">
        <w:t>by adopting the entirety of the most recent Household Cots Voluntary Standard</w:t>
      </w:r>
      <w:bookmarkEnd w:id="235"/>
      <w:bookmarkEnd w:id="236"/>
      <w:bookmarkEnd w:id="237"/>
    </w:p>
    <w:p w14:paraId="31F558A1" w14:textId="77777777" w:rsidR="00EC09D2" w:rsidRDefault="00EC09D2" w:rsidP="00EC09D2">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sidRPr="00215DD1">
        <w:rPr>
          <w:b/>
          <w:bCs/>
        </w:rPr>
        <w:t xml:space="preserve">Option </w:t>
      </w:r>
      <w:r>
        <w:rPr>
          <w:b/>
          <w:bCs/>
        </w:rPr>
        <w:t>H3</w:t>
      </w:r>
      <w:r>
        <w:t>: A</w:t>
      </w:r>
      <w:r w:rsidRPr="00877780">
        <w:t xml:space="preserve">mend </w:t>
      </w:r>
      <w:r>
        <w:t xml:space="preserve">the Household Cots Mandatory Standard </w:t>
      </w:r>
      <w:r w:rsidRPr="00877780">
        <w:t>by adopting the entirety of the most recent Household Cots Voluntary Standard</w:t>
      </w:r>
      <w:r>
        <w:t>.</w:t>
      </w:r>
    </w:p>
    <w:p w14:paraId="2C55F879" w14:textId="77777777" w:rsidR="00EC09D2" w:rsidRDefault="00EC09D2" w:rsidP="00EC09D2">
      <w:r>
        <w:t>This would mean that suppliers would need to comply with all sections of the most recent Household Cots Voluntary standard, including the below sections not currently mandated relating to:</w:t>
      </w:r>
    </w:p>
    <w:p w14:paraId="792A0794" w14:textId="77777777" w:rsidR="00EC09D2" w:rsidRDefault="00EC09D2" w:rsidP="00EC09D2">
      <w:pPr>
        <w:pStyle w:val="Bulletpoint"/>
      </w:pPr>
      <w:r>
        <w:t>Materials (section 4)</w:t>
      </w:r>
    </w:p>
    <w:p w14:paraId="5C71BFDC" w14:textId="77777777" w:rsidR="00EC09D2" w:rsidRDefault="00EC09D2" w:rsidP="00EC09D2">
      <w:pPr>
        <w:pStyle w:val="Bulletpoint"/>
      </w:pPr>
      <w:r>
        <w:t>Toys included with the cot (section 7)</w:t>
      </w:r>
    </w:p>
    <w:p w14:paraId="12DA47F2" w14:textId="77777777" w:rsidR="00EC09D2" w:rsidRDefault="00EC09D2" w:rsidP="00EC09D2">
      <w:pPr>
        <w:pStyle w:val="Bulletpoint"/>
      </w:pPr>
      <w:r>
        <w:t>Transfers (section 8)</w:t>
      </w:r>
    </w:p>
    <w:p w14:paraId="5B06CD67" w14:textId="77777777" w:rsidR="00EC09D2" w:rsidRDefault="00EC09D2" w:rsidP="00EC09D2">
      <w:pPr>
        <w:pStyle w:val="Bulletpoint"/>
      </w:pPr>
      <w:r>
        <w:t>Finger entrapment (section 9.2 (c))</w:t>
      </w:r>
    </w:p>
    <w:p w14:paraId="2F02D4FE" w14:textId="77777777" w:rsidR="00EC09D2" w:rsidRDefault="00EC09D2" w:rsidP="00EC09D2">
      <w:pPr>
        <w:pStyle w:val="Bulletpoint"/>
      </w:pPr>
      <w:r>
        <w:t>Torque test (section 9.9)</w:t>
      </w:r>
    </w:p>
    <w:p w14:paraId="1AB1CF52" w14:textId="77777777" w:rsidR="00EC09D2" w:rsidRDefault="00EC09D2" w:rsidP="00EC09D2">
      <w:pPr>
        <w:pStyle w:val="Bulletpoint"/>
      </w:pPr>
      <w:r>
        <w:t>Tension test (section 9.10)</w:t>
      </w:r>
    </w:p>
    <w:p w14:paraId="326B355C" w14:textId="6EA2433F" w:rsidR="00EC09D2" w:rsidRDefault="00EC09D2" w:rsidP="00EC09D2">
      <w:pPr>
        <w:pStyle w:val="Bulletpoint"/>
      </w:pPr>
      <w:r>
        <w:t>Plastic packaging (section 10)</w:t>
      </w:r>
      <w:r w:rsidR="003941D0">
        <w:t>.</w:t>
      </w:r>
    </w:p>
    <w:p w14:paraId="55EAE994" w14:textId="33C8F923" w:rsidR="00EC09D2" w:rsidRDefault="00EC09D2" w:rsidP="00F36A45">
      <w:pPr>
        <w:pStyle w:val="Bulletpoint"/>
        <w:numPr>
          <w:ilvl w:val="0"/>
          <w:numId w:val="0"/>
        </w:numPr>
      </w:pPr>
    </w:p>
    <w:p w14:paraId="400A8743" w14:textId="6EF3DD1E" w:rsidR="00F36A45" w:rsidRDefault="00F36A45" w:rsidP="00F36A45">
      <w:pPr>
        <w:pStyle w:val="Bulletpoint"/>
        <w:numPr>
          <w:ilvl w:val="0"/>
          <w:numId w:val="0"/>
        </w:numPr>
      </w:pPr>
    </w:p>
    <w:p w14:paraId="1C76C88E" w14:textId="77777777" w:rsidR="00F36A45" w:rsidRDefault="00F36A45" w:rsidP="00F36A45">
      <w:pPr>
        <w:pStyle w:val="Bulletpoint"/>
        <w:numPr>
          <w:ilvl w:val="0"/>
          <w:numId w:val="0"/>
        </w:numPr>
      </w:pPr>
    </w:p>
    <w:tbl>
      <w:tblPr>
        <w:tblStyle w:val="TableGrid"/>
        <w:tblW w:w="0" w:type="auto"/>
        <w:tblLook w:val="0420" w:firstRow="1" w:lastRow="0" w:firstColumn="0" w:lastColumn="0" w:noHBand="0" w:noVBand="1"/>
      </w:tblPr>
      <w:tblGrid>
        <w:gridCol w:w="4678"/>
        <w:gridCol w:w="4348"/>
      </w:tblGrid>
      <w:tr w:rsidR="00EC09D2" w:rsidRPr="007272EE" w14:paraId="377B474E"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300FC6D5" w14:textId="77777777" w:rsidR="00EC09D2" w:rsidRPr="007272EE" w:rsidRDefault="00EC09D2" w:rsidP="00302C1B">
            <w:pPr>
              <w:pStyle w:val="TableHeading"/>
              <w:rPr>
                <w:b/>
                <w:bCs/>
              </w:rPr>
            </w:pPr>
            <w:r w:rsidRPr="007272EE">
              <w:rPr>
                <w:b/>
                <w:bCs/>
              </w:rPr>
              <w:t>Benefit</w:t>
            </w:r>
          </w:p>
        </w:tc>
        <w:tc>
          <w:tcPr>
            <w:tcW w:w="4348" w:type="dxa"/>
          </w:tcPr>
          <w:p w14:paraId="684B9AB7" w14:textId="77777777" w:rsidR="00EC09D2" w:rsidRPr="007272EE" w:rsidRDefault="00EC09D2" w:rsidP="00302C1B">
            <w:pPr>
              <w:pStyle w:val="TableHeading"/>
              <w:rPr>
                <w:b/>
                <w:bCs/>
              </w:rPr>
            </w:pPr>
            <w:r w:rsidRPr="007272EE">
              <w:rPr>
                <w:b/>
                <w:bCs/>
              </w:rPr>
              <w:t>Limitation</w:t>
            </w:r>
          </w:p>
        </w:tc>
      </w:tr>
      <w:tr w:rsidR="00EC09D2" w14:paraId="616B9635" w14:textId="77777777" w:rsidTr="00302C1B">
        <w:tc>
          <w:tcPr>
            <w:tcW w:w="4678" w:type="dxa"/>
          </w:tcPr>
          <w:p w14:paraId="0F6B5999" w14:textId="59687B24" w:rsidR="00EC09D2" w:rsidRDefault="00EC09D2" w:rsidP="00302C1B">
            <w:pPr>
              <w:pStyle w:val="Bulletpoint"/>
            </w:pPr>
            <w:r>
              <w:t xml:space="preserve">Other known risks such as </w:t>
            </w:r>
            <w:r w:rsidR="0013183E">
              <w:t xml:space="preserve">drop sides and </w:t>
            </w:r>
            <w:r>
              <w:t>mattress firmness are addressed.</w:t>
            </w:r>
          </w:p>
          <w:p w14:paraId="24590964" w14:textId="77777777" w:rsidR="00EC09D2" w:rsidRPr="00CB169E" w:rsidRDefault="00EC09D2" w:rsidP="00302C1B">
            <w:pPr>
              <w:pStyle w:val="Bulletpoint"/>
            </w:pPr>
            <w:r>
              <w:t>Provides more clarity to suppliers about what is required under the Australian standard regime.</w:t>
            </w:r>
          </w:p>
        </w:tc>
        <w:tc>
          <w:tcPr>
            <w:tcW w:w="4348" w:type="dxa"/>
          </w:tcPr>
          <w:p w14:paraId="06CA0DC2" w14:textId="77777777" w:rsidR="00EC09D2" w:rsidRDefault="00EC09D2" w:rsidP="00302C1B">
            <w:pPr>
              <w:pStyle w:val="Bulletpoint"/>
            </w:pPr>
            <w:r>
              <w:t>Some suppliers will f</w:t>
            </w:r>
            <w:r w:rsidRPr="00A355BC">
              <w:t>ace increased testing costs</w:t>
            </w:r>
            <w:r>
              <w:t>.</w:t>
            </w:r>
          </w:p>
          <w:p w14:paraId="7D4DCC8F" w14:textId="77777777" w:rsidR="00EC09D2" w:rsidRDefault="00EC09D2" w:rsidP="00302C1B">
            <w:pPr>
              <w:pStyle w:val="Bulletpoint"/>
            </w:pPr>
            <w:r>
              <w:t>This option does</w:t>
            </w:r>
            <w:r w:rsidRPr="00746AFA">
              <w:t xml:space="preserve"> not enable suppliers to easily comply with international standards</w:t>
            </w:r>
            <w:r>
              <w:t>.</w:t>
            </w:r>
          </w:p>
          <w:p w14:paraId="4584032B" w14:textId="77777777" w:rsidR="0013183E" w:rsidRDefault="0013183E" w:rsidP="00302C1B">
            <w:pPr>
              <w:pStyle w:val="Bulletpoint"/>
            </w:pPr>
            <w:r>
              <w:t>At the time the Mandatory Household Cots Standard was developed, these sections were deemed not to address critical minimum safety requirements.</w:t>
            </w:r>
          </w:p>
          <w:p w14:paraId="107E8972" w14:textId="4D608770" w:rsidR="0013183E" w:rsidRPr="002E6EB8" w:rsidRDefault="0013183E" w:rsidP="00302C1B">
            <w:pPr>
              <w:pStyle w:val="Bulletpoint"/>
            </w:pPr>
            <w:r>
              <w:t>Some sections may become outdated if the Voluntary Standard for Household Cots is updated in future.</w:t>
            </w:r>
          </w:p>
        </w:tc>
      </w:tr>
    </w:tbl>
    <w:p w14:paraId="51FA4A25" w14:textId="26DC06ED" w:rsidR="005D40FA" w:rsidRDefault="005D40FA" w:rsidP="005D40FA">
      <w:pPr>
        <w:pStyle w:val="Numbered111"/>
      </w:pPr>
      <w:bookmarkStart w:id="238" w:name="_Toc110959494"/>
      <w:bookmarkStart w:id="239" w:name="_Toc109039380"/>
      <w:bookmarkStart w:id="240" w:name="_Toc110871648"/>
      <w:r>
        <w:t>Estimated costs</w:t>
      </w:r>
      <w:bookmarkEnd w:id="238"/>
    </w:p>
    <w:p w14:paraId="5BB3252D" w14:textId="3F9ABAE9" w:rsidR="005D40FA" w:rsidRDefault="005D40FA" w:rsidP="007770FA">
      <w:r w:rsidRPr="00692452">
        <w:t xml:space="preserve">Testing costs </w:t>
      </w:r>
      <w:r>
        <w:t xml:space="preserve">against the entirety of the Household Cots Voluntary Standard are </w:t>
      </w:r>
      <w:r w:rsidRPr="00692452">
        <w:t>estimated to be $</w:t>
      </w:r>
      <w:r>
        <w:t>3,850</w:t>
      </w:r>
      <w:r w:rsidRPr="00692452">
        <w:t xml:space="preserve"> per product line</w:t>
      </w:r>
      <w:r>
        <w:t>, meaning a $550 increase in the cost of testing</w:t>
      </w:r>
      <w:r w:rsidRPr="00692452">
        <w:t>.</w:t>
      </w:r>
    </w:p>
    <w:p w14:paraId="62026F03" w14:textId="02A60F8F" w:rsidR="005D40FA" w:rsidRPr="007770FA" w:rsidRDefault="005D40FA" w:rsidP="007770FA">
      <w:pPr>
        <w:rPr>
          <w:b/>
        </w:rPr>
      </w:pPr>
      <w:r>
        <w:t>There would be enhanced minimum safety requirements for household cots, reducing the likeliness of associated injuries.</w:t>
      </w:r>
    </w:p>
    <w:p w14:paraId="5D7743CC" w14:textId="7010DCFA" w:rsidR="00EC09D2" w:rsidRPr="00120F59" w:rsidRDefault="00EC09D2" w:rsidP="00EC09D2">
      <w:pPr>
        <w:pStyle w:val="Numbered11"/>
      </w:pPr>
      <w:bookmarkStart w:id="241" w:name="_Toc110959495"/>
      <w:r>
        <w:t>Option H4 – Amend the Household Cots Mandatory Standard by adopting sections of the most recent Household Cots Voluntary Standard and trusted international standards</w:t>
      </w:r>
      <w:bookmarkEnd w:id="239"/>
      <w:bookmarkEnd w:id="240"/>
      <w:bookmarkEnd w:id="241"/>
      <w:r>
        <w:t xml:space="preserve"> </w:t>
      </w:r>
    </w:p>
    <w:p w14:paraId="4370C3B3" w14:textId="77777777" w:rsidR="00EC09D2" w:rsidRDefault="00EC09D2" w:rsidP="00EC09D2">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sidRPr="00215DD1">
        <w:rPr>
          <w:b/>
          <w:bCs/>
        </w:rPr>
        <w:t xml:space="preserve">Option </w:t>
      </w:r>
      <w:r>
        <w:rPr>
          <w:b/>
          <w:bCs/>
        </w:rPr>
        <w:t>H4 (preferred)</w:t>
      </w:r>
      <w:r>
        <w:t>: Amend the Household Cots Mandatory Standard by adopting sections of the most recent Household Cots Voluntary Standard and trusted international standards.</w:t>
      </w:r>
    </w:p>
    <w:p w14:paraId="581074A8" w14:textId="19D4315D" w:rsidR="00EC09D2" w:rsidRDefault="00EC09D2" w:rsidP="00EC09D2">
      <w:r w:rsidRPr="00367FCF">
        <w:t xml:space="preserve">The Household Cots Mandatory Standard would be updated to reflect sections in the most recent version </w:t>
      </w:r>
      <w:r>
        <w:t xml:space="preserve">(2013 version) </w:t>
      </w:r>
      <w:r w:rsidRPr="00367FCF">
        <w:t>of the</w:t>
      </w:r>
      <w:r>
        <w:t xml:space="preserve"> </w:t>
      </w:r>
      <w:r w:rsidRPr="00367FCF">
        <w:t xml:space="preserve">Household Cots Voluntary Standard as outlined in </w:t>
      </w:r>
      <w:r w:rsidRPr="0013183E">
        <w:t xml:space="preserve">Option </w:t>
      </w:r>
      <w:r w:rsidR="0013183E" w:rsidRPr="0013183E">
        <w:t>H2</w:t>
      </w:r>
      <w:r w:rsidRPr="00367FCF">
        <w:t xml:space="preserve"> and </w:t>
      </w:r>
      <w:r w:rsidR="00E341C2">
        <w:t xml:space="preserve">would </w:t>
      </w:r>
      <w:r>
        <w:t xml:space="preserve">also </w:t>
      </w:r>
      <w:r w:rsidRPr="00367FCF">
        <w:t>allow suppliers to comply with requirements contained</w:t>
      </w:r>
      <w:r>
        <w:t xml:space="preserve"> in</w:t>
      </w:r>
      <w:r w:rsidRPr="00367FCF">
        <w:t xml:space="preserve"> </w:t>
      </w:r>
      <w:r w:rsidR="00082A99">
        <w:t>2</w:t>
      </w:r>
      <w:r w:rsidRPr="00367FCF">
        <w:t xml:space="preserve"> recognised international standards</w:t>
      </w:r>
      <w:r>
        <w:t xml:space="preserve"> outlined below</w:t>
      </w:r>
      <w:r w:rsidRPr="00367FCF">
        <w:t>, where they are comparable and provide a similar or better level of safety</w:t>
      </w:r>
      <w:r>
        <w:t>:</w:t>
      </w:r>
    </w:p>
    <w:p w14:paraId="0A582794" w14:textId="77777777" w:rsidR="00EC09D2" w:rsidRPr="005A4391" w:rsidRDefault="00EC09D2" w:rsidP="00EC09D2">
      <w:pPr>
        <w:pStyle w:val="Bulletpoint"/>
        <w:rPr>
          <w:rFonts w:cs="Arial"/>
        </w:rPr>
      </w:pPr>
      <w:r w:rsidRPr="005A4391">
        <w:rPr>
          <w:rFonts w:cs="Arial"/>
        </w:rPr>
        <w:t>European Standard (BS EN 716-1:2017 Furniture. Children's cots and folding cots for domestic use)</w:t>
      </w:r>
    </w:p>
    <w:p w14:paraId="72F3045F" w14:textId="1C261A56" w:rsidR="00EC09D2" w:rsidRDefault="00EC09D2" w:rsidP="00EC09D2">
      <w:pPr>
        <w:pStyle w:val="Bulletpoint"/>
      </w:pPr>
      <w:r w:rsidRPr="005A4391">
        <w:t>U</w:t>
      </w:r>
      <w:r w:rsidR="003941D0">
        <w:t>nited States</w:t>
      </w:r>
      <w:r w:rsidRPr="005A4391">
        <w:t xml:space="preserve"> Standard (ASTM F1169-19 Safety Standard for Full-Size Baby Cribs)</w:t>
      </w:r>
      <w:r>
        <w:t xml:space="preserve"> f</w:t>
      </w:r>
      <w:r w:rsidRPr="005A4391">
        <w:t>or cots with moveable or adjustable sides but not drop side cots.</w:t>
      </w:r>
    </w:p>
    <w:p w14:paraId="7CCD118E" w14:textId="77777777" w:rsidR="00E330EC" w:rsidRDefault="00E330EC" w:rsidP="00E330EC">
      <w:pPr>
        <w:pStyle w:val="NoSpacing"/>
      </w:pPr>
    </w:p>
    <w:tbl>
      <w:tblPr>
        <w:tblStyle w:val="TableGrid"/>
        <w:tblW w:w="0" w:type="auto"/>
        <w:tblLook w:val="0420" w:firstRow="1" w:lastRow="0" w:firstColumn="0" w:lastColumn="0" w:noHBand="0" w:noVBand="1"/>
      </w:tblPr>
      <w:tblGrid>
        <w:gridCol w:w="4678"/>
        <w:gridCol w:w="4348"/>
      </w:tblGrid>
      <w:tr w:rsidR="00EC09D2" w:rsidRPr="007272EE" w14:paraId="6FBF3354"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2413811C" w14:textId="77777777" w:rsidR="00EC09D2" w:rsidRPr="007272EE" w:rsidRDefault="00EC09D2" w:rsidP="00302C1B">
            <w:pPr>
              <w:pStyle w:val="TableHeading"/>
              <w:rPr>
                <w:b/>
                <w:bCs/>
              </w:rPr>
            </w:pPr>
            <w:r w:rsidRPr="007272EE">
              <w:rPr>
                <w:b/>
                <w:bCs/>
              </w:rPr>
              <w:t>Benefit</w:t>
            </w:r>
          </w:p>
        </w:tc>
        <w:tc>
          <w:tcPr>
            <w:tcW w:w="4348" w:type="dxa"/>
          </w:tcPr>
          <w:p w14:paraId="1B4CE378" w14:textId="77777777" w:rsidR="00EC09D2" w:rsidRPr="007272EE" w:rsidRDefault="00EC09D2" w:rsidP="00302C1B">
            <w:pPr>
              <w:pStyle w:val="TableHeading"/>
              <w:rPr>
                <w:b/>
                <w:bCs/>
              </w:rPr>
            </w:pPr>
            <w:r w:rsidRPr="007272EE">
              <w:rPr>
                <w:b/>
                <w:bCs/>
              </w:rPr>
              <w:t>Limitation</w:t>
            </w:r>
          </w:p>
        </w:tc>
      </w:tr>
      <w:tr w:rsidR="0013183E" w14:paraId="1A9AAD2E" w14:textId="77777777" w:rsidTr="00302C1B">
        <w:tc>
          <w:tcPr>
            <w:tcW w:w="4678" w:type="dxa"/>
          </w:tcPr>
          <w:p w14:paraId="772F8C77" w14:textId="77777777" w:rsidR="0013183E" w:rsidRDefault="0013183E" w:rsidP="0013183E">
            <w:pPr>
              <w:pStyle w:val="Bulletpoint"/>
            </w:pPr>
            <w:r>
              <w:t>Other known risks such as drop sides and mattress firmness are addressed.</w:t>
            </w:r>
          </w:p>
          <w:p w14:paraId="40A07084" w14:textId="25B0B7AF" w:rsidR="0013183E" w:rsidRPr="0013183E" w:rsidRDefault="0013183E" w:rsidP="0013183E">
            <w:pPr>
              <w:pStyle w:val="Bulletpoint"/>
            </w:pPr>
            <w:r>
              <w:t>A</w:t>
            </w:r>
            <w:r w:rsidRPr="0013183E">
              <w:t>lignment with the current voluntary standard would provide practical clarification of what is required under the Australian standard regime</w:t>
            </w:r>
            <w:r>
              <w:t>.</w:t>
            </w:r>
          </w:p>
          <w:p w14:paraId="3221F1BB" w14:textId="31BD95B8" w:rsidR="0013183E" w:rsidRPr="00CB169E" w:rsidRDefault="0013183E" w:rsidP="0013183E">
            <w:pPr>
              <w:pStyle w:val="Bulletpoint"/>
            </w:pPr>
            <w:r>
              <w:t>S</w:t>
            </w:r>
            <w:r w:rsidRPr="0013183E">
              <w:t xml:space="preserve">uppliers would have the option to comply with either the Australian voluntary standard or </w:t>
            </w:r>
            <w:r w:rsidR="00082A99">
              <w:t>2</w:t>
            </w:r>
            <w:r w:rsidRPr="0013183E">
              <w:t xml:space="preserve"> trusted international standards, reducing regulatory burden and cost</w:t>
            </w:r>
          </w:p>
        </w:tc>
        <w:tc>
          <w:tcPr>
            <w:tcW w:w="4348" w:type="dxa"/>
          </w:tcPr>
          <w:p w14:paraId="555CBE22" w14:textId="77A249AA" w:rsidR="0013183E" w:rsidRPr="0013183E" w:rsidRDefault="0013183E" w:rsidP="0013183E">
            <w:pPr>
              <w:pStyle w:val="Bulletpoint"/>
            </w:pPr>
            <w:r>
              <w:t>T</w:t>
            </w:r>
            <w:r w:rsidRPr="0013183E">
              <w:t xml:space="preserve">here are some slight differences in the requirements of each international standard which may result in industry confusion </w:t>
            </w:r>
          </w:p>
          <w:p w14:paraId="23C012B7" w14:textId="62798758" w:rsidR="0013183E" w:rsidRPr="002E6EB8" w:rsidRDefault="0013183E" w:rsidP="0013183E">
            <w:pPr>
              <w:pStyle w:val="Bulletpoint"/>
            </w:pPr>
            <w:r>
              <w:t>This option is</w:t>
            </w:r>
            <w:r w:rsidRPr="0013183E">
              <w:t xml:space="preserve"> difficult for regulator or consumer to test compliance</w:t>
            </w:r>
            <w:r>
              <w:t>.</w:t>
            </w:r>
          </w:p>
        </w:tc>
      </w:tr>
    </w:tbl>
    <w:p w14:paraId="621DEE63" w14:textId="11A7672B" w:rsidR="005D40FA" w:rsidRDefault="005D40FA" w:rsidP="005D40FA">
      <w:pPr>
        <w:pStyle w:val="Numbered111"/>
      </w:pPr>
      <w:bookmarkStart w:id="242" w:name="_Toc110959496"/>
      <w:r>
        <w:t>Estimated costs</w:t>
      </w:r>
      <w:bookmarkEnd w:id="242"/>
    </w:p>
    <w:p w14:paraId="277ED0D2" w14:textId="363EDAB7" w:rsidR="005D40FA" w:rsidRDefault="005D40FA" w:rsidP="007770FA">
      <w:pPr>
        <w:pStyle w:val="Bulletpoint"/>
        <w:numPr>
          <w:ilvl w:val="0"/>
          <w:numId w:val="0"/>
        </w:numPr>
      </w:pPr>
      <w:r w:rsidRPr="00692452">
        <w:t xml:space="preserve">Testing costs </w:t>
      </w:r>
      <w:r>
        <w:t xml:space="preserve">against certain sections of the Household Cots Voluntary Standard and trusted international standards are </w:t>
      </w:r>
      <w:r w:rsidRPr="00692452">
        <w:t>estimated to be $3,</w:t>
      </w:r>
      <w:r>
        <w:t>63</w:t>
      </w:r>
      <w:r w:rsidRPr="00692452">
        <w:t>0 - $3,</w:t>
      </w:r>
      <w:r>
        <w:t>96</w:t>
      </w:r>
      <w:r w:rsidRPr="00692452">
        <w:t>0 per product line</w:t>
      </w:r>
      <w:r>
        <w:t>, meaning a $360-$660 increase in the cost of testing</w:t>
      </w:r>
      <w:r w:rsidRPr="00692452">
        <w:t>.</w:t>
      </w:r>
      <w:r>
        <w:t xml:space="preserve"> Existing suppliers would be required to have their products retested. </w:t>
      </w:r>
    </w:p>
    <w:p w14:paraId="4C1810EB" w14:textId="471DBEE9" w:rsidR="005D40FA" w:rsidRPr="005D40FA" w:rsidRDefault="005D40FA" w:rsidP="007770FA">
      <w:r>
        <w:t>There would be enhanced minimum safety requirements for household cots, reducing the likeliness of associated injuries.</w:t>
      </w:r>
    </w:p>
    <w:p w14:paraId="611ECF95" w14:textId="7C8A564E" w:rsidR="00EC09D2" w:rsidRDefault="00EC09D2" w:rsidP="00EC09D2">
      <w:pPr>
        <w:shd w:val="clear" w:color="auto" w:fill="F2F2F2" w:themeFill="background1" w:themeFillShade="F2"/>
      </w:pPr>
      <w:r>
        <w:rPr>
          <w:b/>
          <w:bCs/>
        </w:rPr>
        <w:t xml:space="preserve">Questions </w:t>
      </w:r>
      <w:r w:rsidRPr="00446F3E">
        <w:t xml:space="preserve"> </w:t>
      </w:r>
    </w:p>
    <w:p w14:paraId="760E75CC" w14:textId="09AF43E3" w:rsidR="00EC09D2" w:rsidRDefault="00EC09D2" w:rsidP="00EC09D2">
      <w:pPr>
        <w:shd w:val="clear" w:color="auto" w:fill="F2F2F2" w:themeFill="background1" w:themeFillShade="F2"/>
      </w:pPr>
      <w:r>
        <w:t xml:space="preserve">15. Which </w:t>
      </w:r>
      <w:r w:rsidRPr="001361A0">
        <w:t xml:space="preserve">of the proposed </w:t>
      </w:r>
      <w:r w:rsidR="007450B4">
        <w:t>o</w:t>
      </w:r>
      <w:r w:rsidRPr="001361A0">
        <w:t>ptions do you prefer and why?</w:t>
      </w:r>
    </w:p>
    <w:p w14:paraId="23C9F7D1" w14:textId="77777777" w:rsidR="00EC09D2" w:rsidRDefault="00EC09D2" w:rsidP="00EC09D2">
      <w:pPr>
        <w:shd w:val="clear" w:color="auto" w:fill="F2F2F2" w:themeFill="background1" w:themeFillShade="F2"/>
        <w:ind w:left="340" w:hanging="340"/>
      </w:pPr>
      <w:r>
        <w:t xml:space="preserve">16. </w:t>
      </w:r>
      <w:r w:rsidRPr="001361A0">
        <w:t xml:space="preserve">Are there additional safety issues that should be incorporated into </w:t>
      </w:r>
      <w:r w:rsidRPr="009C14C4">
        <w:t>the Household Cots Mandatory Standard</w:t>
      </w:r>
      <w:r w:rsidRPr="001361A0">
        <w:t>? Please explain</w:t>
      </w:r>
      <w:r>
        <w:t>.</w:t>
      </w:r>
    </w:p>
    <w:p w14:paraId="1634C533" w14:textId="77777777" w:rsidR="00EC09D2" w:rsidRDefault="00EC09D2" w:rsidP="00EC09D2">
      <w:pPr>
        <w:shd w:val="clear" w:color="auto" w:fill="F2F2F2" w:themeFill="background1" w:themeFillShade="F2"/>
        <w:ind w:left="340" w:hanging="340"/>
      </w:pPr>
      <w:r>
        <w:t xml:space="preserve">17. Are there additional costs of compliance with these options? Are the estimated costs accurate? Please explain. </w:t>
      </w:r>
    </w:p>
    <w:p w14:paraId="017DF8D1" w14:textId="77777777" w:rsidR="00EC09D2" w:rsidRPr="001C7D2D" w:rsidRDefault="00EC09D2" w:rsidP="00EC09D2">
      <w:pPr>
        <w:shd w:val="clear" w:color="auto" w:fill="F2F2F2" w:themeFill="background1" w:themeFillShade="F2"/>
        <w:ind w:left="340" w:hanging="340"/>
      </w:pPr>
      <w:r>
        <w:t xml:space="preserve">18. Do you already comply with a related international standard? If so, which one and why. </w:t>
      </w:r>
    </w:p>
    <w:p w14:paraId="58BF21BF" w14:textId="77777777" w:rsidR="00EC09D2" w:rsidRPr="00446F3E" w:rsidRDefault="00EC09D2" w:rsidP="00EC09D2">
      <w:pPr>
        <w:shd w:val="clear" w:color="auto" w:fill="F2F2F2" w:themeFill="background1" w:themeFillShade="F2"/>
        <w:ind w:left="340" w:hanging="340"/>
      </w:pPr>
      <w:r w:rsidRPr="00446F3E">
        <w:t>1</w:t>
      </w:r>
      <w:r>
        <w:t xml:space="preserve">9. Please provide any data or information you have on the effectiveness of the </w:t>
      </w:r>
      <w:r w:rsidRPr="009C14C4">
        <w:t>Household Cots Mandatory Standard</w:t>
      </w:r>
      <w:r>
        <w:t>.</w:t>
      </w:r>
      <w:r w:rsidRPr="009C14C4">
        <w:t xml:space="preserve"> </w:t>
      </w:r>
    </w:p>
    <w:p w14:paraId="377E8297" w14:textId="77777777" w:rsidR="00EC09D2" w:rsidRPr="00675F0D" w:rsidRDefault="00EC09D2" w:rsidP="00EC09D2">
      <w:pPr>
        <w:pStyle w:val="Numbered1"/>
      </w:pPr>
      <w:bookmarkStart w:id="243" w:name="_Toc110959497"/>
      <w:r w:rsidRPr="00675F0D">
        <w:t xml:space="preserve">Policy options – </w:t>
      </w:r>
      <w:r>
        <w:t>Folding</w:t>
      </w:r>
      <w:r w:rsidRPr="00675F0D">
        <w:t xml:space="preserve"> Cots</w:t>
      </w:r>
      <w:bookmarkEnd w:id="243"/>
    </w:p>
    <w:p w14:paraId="527989E0" w14:textId="7FC11B63" w:rsidR="00B7230C" w:rsidRDefault="00B7230C" w:rsidP="002C5F6D">
      <w:bookmarkStart w:id="244" w:name="_Toc109039382"/>
      <w:r>
        <w:t>Similarly, the Folding Cots Mandatory Standard is related to the risks outlined in the Consultation Paper as folding cots relate to an infant’s sleep environment and are Infant Sleep Products.</w:t>
      </w:r>
      <w:r w:rsidR="00C06583">
        <w:t xml:space="preserve"> The purpose of this section is to ensure that the Folding Cots Mandatory Standard is relevant, effective and up</w:t>
      </w:r>
      <w:r w:rsidR="001C42D6">
        <w:t xml:space="preserve"> </w:t>
      </w:r>
      <w:r w:rsidR="00C06583">
        <w:t>to</w:t>
      </w:r>
      <w:r w:rsidR="001C42D6">
        <w:t xml:space="preserve"> </w:t>
      </w:r>
      <w:r w:rsidR="00C06583">
        <w:t>date.</w:t>
      </w:r>
    </w:p>
    <w:p w14:paraId="1BAB468C" w14:textId="738B3D7D" w:rsidR="00B7230C" w:rsidRDefault="00B7230C" w:rsidP="002C5F6D">
      <w:r>
        <w:t xml:space="preserve">The options for </w:t>
      </w:r>
      <w:r w:rsidR="00E81F51">
        <w:t>Folding</w:t>
      </w:r>
      <w:r>
        <w:t xml:space="preserve"> Cots </w:t>
      </w:r>
      <w:r w:rsidRPr="001361A0">
        <w:t xml:space="preserve">are similarly listed in the ACCC’s view of least to most effective and are accompanied by </w:t>
      </w:r>
      <w:r>
        <w:t xml:space="preserve">consideration of the benefits, limitations and costs of each option. </w:t>
      </w:r>
      <w:r w:rsidR="00AB5713">
        <w:t>The costs for each option are based on industry estimates.</w:t>
      </w:r>
    </w:p>
    <w:p w14:paraId="14BE191E" w14:textId="77777777" w:rsidR="00B7230C" w:rsidRDefault="00B7230C" w:rsidP="002C5F6D">
      <w:r>
        <w:t xml:space="preserve">These are in addition to, or in isolation of Options 1 to 7. As stated above, updates made in response to this feedback will be progressed in conjunction with any recommendation made to the Minister as a result of this Consultation Paper. </w:t>
      </w:r>
    </w:p>
    <w:p w14:paraId="0B64B6DF" w14:textId="308A5A2C" w:rsidR="00EC09D2" w:rsidRPr="00472CF7" w:rsidRDefault="00EC09D2" w:rsidP="00EC09D2">
      <w:pPr>
        <w:pStyle w:val="Numbered11"/>
      </w:pPr>
      <w:bookmarkStart w:id="245" w:name="_Toc110871650"/>
      <w:bookmarkStart w:id="246" w:name="_Toc110959498"/>
      <w:r w:rsidRPr="00472CF7">
        <w:t xml:space="preserve">Option </w:t>
      </w:r>
      <w:r>
        <w:t>F1</w:t>
      </w:r>
      <w:r w:rsidRPr="00472CF7">
        <w:t xml:space="preserve"> – Maintain the Folding Cots Mandatory Standard</w:t>
      </w:r>
      <w:r>
        <w:t xml:space="preserve"> with no change</w:t>
      </w:r>
      <w:bookmarkEnd w:id="244"/>
      <w:bookmarkEnd w:id="245"/>
      <w:bookmarkEnd w:id="246"/>
    </w:p>
    <w:p w14:paraId="31C83E96" w14:textId="77777777" w:rsidR="00EC09D2" w:rsidRDefault="00EC09D2" w:rsidP="00EC09D2">
      <w:pPr>
        <w:pBdr>
          <w:top w:val="single" w:sz="4" w:space="1" w:color="auto"/>
          <w:left w:val="single" w:sz="4" w:space="4" w:color="auto"/>
          <w:bottom w:val="single" w:sz="4" w:space="1" w:color="auto"/>
          <w:right w:val="single" w:sz="4" w:space="4" w:color="auto"/>
        </w:pBdr>
        <w:shd w:val="clear" w:color="auto" w:fill="D5D6D2" w:themeFill="background2"/>
        <w:spacing w:after="200"/>
      </w:pPr>
      <w:r w:rsidRPr="00424D61">
        <w:rPr>
          <w:b/>
          <w:bCs/>
        </w:rPr>
        <w:t xml:space="preserve">Option </w:t>
      </w:r>
      <w:r>
        <w:rPr>
          <w:b/>
          <w:bCs/>
        </w:rPr>
        <w:t>F1</w:t>
      </w:r>
      <w:r w:rsidRPr="00215DD1">
        <w:t>:</w:t>
      </w:r>
      <w:r w:rsidRPr="00C62723">
        <w:t xml:space="preserve"> </w:t>
      </w:r>
      <w:r>
        <w:t>No change to the existing standard</w:t>
      </w:r>
    </w:p>
    <w:p w14:paraId="07F4EF77" w14:textId="1AD14B6E" w:rsidR="002C5F6D" w:rsidRDefault="00EC09D2" w:rsidP="00EC09D2">
      <w:r>
        <w:t xml:space="preserve">The Folding Cots </w:t>
      </w:r>
      <w:r w:rsidR="0089100C">
        <w:t xml:space="preserve">Mandatory </w:t>
      </w:r>
      <w:r>
        <w:t>Standard would remain in its present form and reference sections of the 1999 Folding</w:t>
      </w:r>
      <w:r w:rsidRPr="008F0197">
        <w:t xml:space="preserve"> Cots Voluntary Standard</w:t>
      </w:r>
      <w:r>
        <w:t>.</w:t>
      </w:r>
    </w:p>
    <w:p w14:paraId="143CAD7E" w14:textId="77777777" w:rsidR="00E53D9B" w:rsidRDefault="00E53D9B" w:rsidP="00E53D9B">
      <w:pPr>
        <w:pStyle w:val="NoSpacing"/>
      </w:pPr>
    </w:p>
    <w:tbl>
      <w:tblPr>
        <w:tblStyle w:val="TableGrid"/>
        <w:tblW w:w="0" w:type="auto"/>
        <w:tblLook w:val="0420" w:firstRow="1" w:lastRow="0" w:firstColumn="0" w:lastColumn="0" w:noHBand="0" w:noVBand="1"/>
      </w:tblPr>
      <w:tblGrid>
        <w:gridCol w:w="4678"/>
        <w:gridCol w:w="4348"/>
      </w:tblGrid>
      <w:tr w:rsidR="00EC09D2" w:rsidRPr="007272EE" w14:paraId="14DB8A15" w14:textId="77777777" w:rsidTr="00E330EC">
        <w:trPr>
          <w:cnfStyle w:val="100000000000" w:firstRow="1" w:lastRow="0" w:firstColumn="0" w:lastColumn="0" w:oddVBand="0" w:evenVBand="0" w:oddHBand="0" w:evenHBand="0" w:firstRowFirstColumn="0" w:firstRowLastColumn="0" w:lastRowFirstColumn="0" w:lastRowLastColumn="0"/>
          <w:tblHeader/>
        </w:trPr>
        <w:tc>
          <w:tcPr>
            <w:tcW w:w="4678" w:type="dxa"/>
          </w:tcPr>
          <w:p w14:paraId="62AAE8F5" w14:textId="77777777" w:rsidR="00EC09D2" w:rsidRPr="007272EE" w:rsidRDefault="00EC09D2" w:rsidP="00302C1B">
            <w:pPr>
              <w:pStyle w:val="TableHeading"/>
              <w:rPr>
                <w:b/>
                <w:bCs/>
              </w:rPr>
            </w:pPr>
            <w:r w:rsidRPr="007272EE">
              <w:rPr>
                <w:b/>
                <w:bCs/>
              </w:rPr>
              <w:t>Benefit</w:t>
            </w:r>
          </w:p>
        </w:tc>
        <w:tc>
          <w:tcPr>
            <w:tcW w:w="4348" w:type="dxa"/>
          </w:tcPr>
          <w:p w14:paraId="51B7D7B8" w14:textId="77777777" w:rsidR="00EC09D2" w:rsidRPr="007272EE" w:rsidRDefault="00EC09D2" w:rsidP="00302C1B">
            <w:pPr>
              <w:pStyle w:val="TableHeading"/>
              <w:rPr>
                <w:b/>
                <w:bCs/>
              </w:rPr>
            </w:pPr>
            <w:r w:rsidRPr="007272EE">
              <w:rPr>
                <w:b/>
                <w:bCs/>
              </w:rPr>
              <w:t>Limitation</w:t>
            </w:r>
          </w:p>
        </w:tc>
      </w:tr>
      <w:tr w:rsidR="00EC09D2" w14:paraId="0F46ED4E" w14:textId="77777777" w:rsidTr="00302C1B">
        <w:tc>
          <w:tcPr>
            <w:tcW w:w="4678" w:type="dxa"/>
          </w:tcPr>
          <w:p w14:paraId="454D121C" w14:textId="5548183F" w:rsidR="00EC09D2" w:rsidRDefault="00EC09D2" w:rsidP="00302C1B">
            <w:pPr>
              <w:pStyle w:val="Bulletpoint"/>
            </w:pPr>
            <w:r>
              <w:t>T</w:t>
            </w:r>
            <w:r w:rsidRPr="0070541D">
              <w:t xml:space="preserve">he </w:t>
            </w:r>
            <w:r>
              <w:t xml:space="preserve">Folding Cots Mandatory Standard </w:t>
            </w:r>
            <w:r w:rsidRPr="0070541D">
              <w:t>would continue to operate effectively</w:t>
            </w:r>
            <w:r w:rsidR="0013183E">
              <w:t>.</w:t>
            </w:r>
          </w:p>
          <w:p w14:paraId="38BC84C7" w14:textId="49D70340" w:rsidR="00EC09D2" w:rsidRPr="00CB169E" w:rsidRDefault="00EC09D2" w:rsidP="00302C1B">
            <w:pPr>
              <w:pStyle w:val="Bulletpoint"/>
            </w:pPr>
            <w:r>
              <w:t>There would be no change to industry burden or increased cost to industry</w:t>
            </w:r>
            <w:r w:rsidR="0013183E">
              <w:t>.</w:t>
            </w:r>
          </w:p>
        </w:tc>
        <w:tc>
          <w:tcPr>
            <w:tcW w:w="4348" w:type="dxa"/>
          </w:tcPr>
          <w:p w14:paraId="333EA082" w14:textId="77777777" w:rsidR="00EC09D2" w:rsidRDefault="00EC09D2" w:rsidP="00302C1B">
            <w:pPr>
              <w:pStyle w:val="Bulletpoint"/>
            </w:pPr>
            <w:r>
              <w:t>Emerging hazards associated with the respective products would not be addressed, particularly:</w:t>
            </w:r>
          </w:p>
          <w:p w14:paraId="35FA6E88" w14:textId="61CB4227" w:rsidR="00E53D9B" w:rsidRDefault="00E53D9B" w:rsidP="00302C1B">
            <w:pPr>
              <w:pStyle w:val="Bulletpoint"/>
              <w:numPr>
                <w:ilvl w:val="1"/>
                <w:numId w:val="2"/>
              </w:numPr>
            </w:pPr>
            <w:r>
              <w:t>material breathability.</w:t>
            </w:r>
          </w:p>
          <w:p w14:paraId="68047D47" w14:textId="77777777" w:rsidR="00EC09D2" w:rsidRPr="002E6EB8" w:rsidRDefault="00EC09D2" w:rsidP="00302C1B">
            <w:pPr>
              <w:pStyle w:val="Bulletpoint"/>
            </w:pPr>
            <w:r>
              <w:t>Industry may be confused by whether to comply with the most recent voluntary standard.</w:t>
            </w:r>
          </w:p>
        </w:tc>
      </w:tr>
    </w:tbl>
    <w:p w14:paraId="63FFD068" w14:textId="09F7D623" w:rsidR="00121FE6" w:rsidRDefault="00121FE6" w:rsidP="00121FE6">
      <w:pPr>
        <w:pStyle w:val="Numbered111"/>
      </w:pPr>
      <w:bookmarkStart w:id="247" w:name="_Toc110959499"/>
      <w:bookmarkStart w:id="248" w:name="_Toc109039383"/>
      <w:bookmarkStart w:id="249" w:name="_Toc110871651"/>
      <w:r>
        <w:t>Estimated costs</w:t>
      </w:r>
      <w:bookmarkEnd w:id="247"/>
    </w:p>
    <w:p w14:paraId="0ECC6DC1" w14:textId="30BF1E72" w:rsidR="00121FE6" w:rsidRPr="002C5F6D" w:rsidRDefault="00121FE6" w:rsidP="007770FA">
      <w:r w:rsidRPr="00AB5713">
        <w:t>There would be no additional cost to industry</w:t>
      </w:r>
      <w:r>
        <w:t xml:space="preserve"> if there was no change to the Folding Cots Mandatory Standard</w:t>
      </w:r>
      <w:r w:rsidRPr="00AB5713">
        <w:t>, with testing costs</w:t>
      </w:r>
      <w:r>
        <w:t xml:space="preserve"> currently</w:t>
      </w:r>
      <w:r w:rsidRPr="00AB5713">
        <w:t xml:space="preserve"> estimated to be approximately $3,740</w:t>
      </w:r>
      <w:r>
        <w:t>.</w:t>
      </w:r>
    </w:p>
    <w:p w14:paraId="03DEA687" w14:textId="2EB21066" w:rsidR="00121FE6" w:rsidRPr="00121FE6" w:rsidRDefault="00121FE6" w:rsidP="007770FA">
      <w:r w:rsidRPr="002C5F6D">
        <w:t>Th</w:t>
      </w:r>
      <w:r>
        <w:t xml:space="preserve">ere would be no change to infant </w:t>
      </w:r>
      <w:r w:rsidR="00CB514F">
        <w:t>fatalitie</w:t>
      </w:r>
      <w:r>
        <w:t>s or injuries associated with folding cots.</w:t>
      </w:r>
    </w:p>
    <w:p w14:paraId="432CA6CC" w14:textId="692C4FD7" w:rsidR="00EC09D2" w:rsidRPr="00803812" w:rsidRDefault="00EC09D2" w:rsidP="00EC09D2">
      <w:pPr>
        <w:pStyle w:val="Numbered11"/>
      </w:pPr>
      <w:bookmarkStart w:id="250" w:name="_Toc110959500"/>
      <w:r w:rsidRPr="00215DD1">
        <w:t xml:space="preserve">Option </w:t>
      </w:r>
      <w:r>
        <w:t>F2</w:t>
      </w:r>
      <w:r w:rsidRPr="00215DD1">
        <w:t xml:space="preserve"> – </w:t>
      </w:r>
      <w:r w:rsidRPr="00803812">
        <w:t>Amend the Folding Cots Mandatory Standard by adopting sections of the most recent Folding Cots Voluntary Standard</w:t>
      </w:r>
      <w:bookmarkEnd w:id="248"/>
      <w:bookmarkEnd w:id="249"/>
      <w:bookmarkEnd w:id="250"/>
    </w:p>
    <w:p w14:paraId="2307B3A8" w14:textId="77777777" w:rsidR="00EC09D2" w:rsidRDefault="00EC09D2" w:rsidP="00EC09D2">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Pr>
          <w:b/>
          <w:bCs/>
        </w:rPr>
        <w:t>Option F2</w:t>
      </w:r>
      <w:r w:rsidRPr="00DB3B87">
        <w:t>:</w:t>
      </w:r>
      <w:r>
        <w:rPr>
          <w:b/>
          <w:bCs/>
        </w:rPr>
        <w:t xml:space="preserve"> </w:t>
      </w:r>
      <w:r w:rsidRPr="00C62723">
        <w:t xml:space="preserve">Amend the </w:t>
      </w:r>
      <w:r>
        <w:t>Folding</w:t>
      </w:r>
      <w:r w:rsidRPr="00C62723">
        <w:t xml:space="preserve"> Cots Mandatory Standard by adopting sections of the most recent </w:t>
      </w:r>
      <w:r>
        <w:t>Folding</w:t>
      </w:r>
      <w:r w:rsidRPr="00C62723">
        <w:t xml:space="preserve"> Cots Voluntary Standard</w:t>
      </w:r>
      <w:r>
        <w:t>.</w:t>
      </w:r>
    </w:p>
    <w:p w14:paraId="7983FBCF" w14:textId="405DA9BA" w:rsidR="00EC09D2" w:rsidRDefault="00EC09D2" w:rsidP="00EC09D2">
      <w:r>
        <w:t>This would involve updating the Folding Cots</w:t>
      </w:r>
      <w:r w:rsidR="0089100C">
        <w:t xml:space="preserve"> Mandatory</w:t>
      </w:r>
      <w:r>
        <w:t xml:space="preserve"> Standard to reflect certain sections in the most recent version of the Folding Cots Voluntary Standard (AS/NZS 2195:2010). For example, changes may incorporate:</w:t>
      </w:r>
    </w:p>
    <w:p w14:paraId="576034DA" w14:textId="77777777" w:rsidR="00EC09D2" w:rsidRPr="00F523BE" w:rsidRDefault="00EC09D2" w:rsidP="00EC09D2">
      <w:pPr>
        <w:pStyle w:val="Bulletpoint"/>
      </w:pPr>
      <w:r w:rsidRPr="00F523BE">
        <w:t>requirements for breathable material within the cot (section 8.2)</w:t>
      </w:r>
    </w:p>
    <w:p w14:paraId="20D86464" w14:textId="77777777" w:rsidR="00EC09D2" w:rsidRPr="00F523BE" w:rsidRDefault="00EC09D2" w:rsidP="00EC09D2">
      <w:pPr>
        <w:pStyle w:val="Bulletpoint"/>
      </w:pPr>
      <w:r w:rsidRPr="00F523BE">
        <w:t>addressing any inconsistencies between the mandatory and voluntary standards including issues around detachable bassinets</w:t>
      </w:r>
    </w:p>
    <w:p w14:paraId="289017F6" w14:textId="77777777" w:rsidR="00EC09D2" w:rsidRDefault="00EC09D2" w:rsidP="00EC09D2">
      <w:pPr>
        <w:pStyle w:val="Bulletpoint"/>
      </w:pPr>
      <w:r w:rsidRPr="00F523BE">
        <w:t>clarity about</w:t>
      </w:r>
      <w:r>
        <w:t xml:space="preserve"> the types of products captured by the standard.</w:t>
      </w:r>
    </w:p>
    <w:p w14:paraId="3AF404B8" w14:textId="77777777" w:rsidR="00EC09D2" w:rsidRDefault="00EC09D2" w:rsidP="00EC09D2">
      <w:pPr>
        <w:pStyle w:val="Bulletpoint"/>
        <w:numPr>
          <w:ilvl w:val="0"/>
          <w:numId w:val="0"/>
        </w:numPr>
        <w:ind w:left="360"/>
      </w:pPr>
    </w:p>
    <w:tbl>
      <w:tblPr>
        <w:tblStyle w:val="TableGrid"/>
        <w:tblW w:w="0" w:type="auto"/>
        <w:tblLook w:val="0420" w:firstRow="1" w:lastRow="0" w:firstColumn="0" w:lastColumn="0" w:noHBand="0" w:noVBand="1"/>
      </w:tblPr>
      <w:tblGrid>
        <w:gridCol w:w="4678"/>
        <w:gridCol w:w="4348"/>
      </w:tblGrid>
      <w:tr w:rsidR="00E53D9B" w:rsidRPr="007272EE" w14:paraId="74CBDEB3"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1B31BC0D" w14:textId="77777777" w:rsidR="00E53D9B" w:rsidRPr="007272EE" w:rsidRDefault="00E53D9B" w:rsidP="00302C1B">
            <w:pPr>
              <w:pStyle w:val="TableHeading"/>
              <w:rPr>
                <w:b/>
                <w:bCs/>
              </w:rPr>
            </w:pPr>
            <w:r w:rsidRPr="007272EE">
              <w:rPr>
                <w:b/>
                <w:bCs/>
              </w:rPr>
              <w:t>Benefit</w:t>
            </w:r>
          </w:p>
        </w:tc>
        <w:tc>
          <w:tcPr>
            <w:tcW w:w="4348" w:type="dxa"/>
          </w:tcPr>
          <w:p w14:paraId="5E08059A" w14:textId="77777777" w:rsidR="00E53D9B" w:rsidRPr="007272EE" w:rsidRDefault="00E53D9B" w:rsidP="00302C1B">
            <w:pPr>
              <w:pStyle w:val="TableHeading"/>
              <w:rPr>
                <w:b/>
                <w:bCs/>
              </w:rPr>
            </w:pPr>
            <w:r w:rsidRPr="007272EE">
              <w:rPr>
                <w:b/>
                <w:bCs/>
              </w:rPr>
              <w:t>Limitation</w:t>
            </w:r>
          </w:p>
        </w:tc>
      </w:tr>
      <w:tr w:rsidR="00E53D9B" w14:paraId="39B39B8B" w14:textId="77777777" w:rsidTr="00302C1B">
        <w:tc>
          <w:tcPr>
            <w:tcW w:w="4678" w:type="dxa"/>
          </w:tcPr>
          <w:p w14:paraId="4C2B7F99" w14:textId="5F46A60A" w:rsidR="00E53D9B" w:rsidRPr="00692452" w:rsidRDefault="00E53D9B" w:rsidP="00302C1B">
            <w:pPr>
              <w:pStyle w:val="Bulletpoint"/>
            </w:pPr>
            <w:r w:rsidRPr="00692452">
              <w:t xml:space="preserve">Other known risks, such as </w:t>
            </w:r>
            <w:r w:rsidR="00CE03C9">
              <w:t>breathable material</w:t>
            </w:r>
            <w:r w:rsidRPr="00692452">
              <w:t xml:space="preserve"> are addressed.</w:t>
            </w:r>
          </w:p>
          <w:p w14:paraId="3BCAF31D" w14:textId="77777777" w:rsidR="00E53D9B" w:rsidRPr="00692452" w:rsidRDefault="00E53D9B" w:rsidP="00302C1B">
            <w:pPr>
              <w:pStyle w:val="Bulletpoint"/>
              <w:ind w:left="340" w:hanging="340"/>
            </w:pPr>
            <w:r w:rsidRPr="00692452">
              <w:t>Better alignment with the current voluntary standard would provide practical clarification of what is required under the Australian standard regime.</w:t>
            </w:r>
          </w:p>
          <w:p w14:paraId="73DD73E7" w14:textId="77777777" w:rsidR="00E53D9B" w:rsidRPr="00692452" w:rsidRDefault="00E53D9B" w:rsidP="00302C1B">
            <w:pPr>
              <w:pStyle w:val="Bulletpoint"/>
              <w:ind w:left="340" w:hanging="340"/>
            </w:pPr>
            <w:r w:rsidRPr="00692452">
              <w:t>Enhanced minimum safety requirements.</w:t>
            </w:r>
          </w:p>
        </w:tc>
        <w:tc>
          <w:tcPr>
            <w:tcW w:w="4348" w:type="dxa"/>
          </w:tcPr>
          <w:p w14:paraId="11B452FE" w14:textId="77777777" w:rsidR="00E53D9B" w:rsidRDefault="00E53D9B" w:rsidP="00302C1B">
            <w:pPr>
              <w:pStyle w:val="Bulletpoint"/>
              <w:ind w:left="340" w:hanging="340"/>
            </w:pPr>
            <w:r>
              <w:t>Some suppliers will face increased testing costs.</w:t>
            </w:r>
          </w:p>
          <w:p w14:paraId="4DE0874E" w14:textId="77777777" w:rsidR="00E53D9B" w:rsidRDefault="00E53D9B" w:rsidP="00302C1B">
            <w:pPr>
              <w:pStyle w:val="Bulletpoint"/>
              <w:ind w:left="340" w:hanging="340"/>
            </w:pPr>
            <w:r>
              <w:t>This option does not enable suppliers to easily comply with international standards.</w:t>
            </w:r>
          </w:p>
        </w:tc>
      </w:tr>
    </w:tbl>
    <w:p w14:paraId="286B475D" w14:textId="08A624D0" w:rsidR="00121FE6" w:rsidRDefault="00121FE6" w:rsidP="00121FE6">
      <w:pPr>
        <w:pStyle w:val="Numbered111"/>
      </w:pPr>
      <w:bookmarkStart w:id="251" w:name="_Toc110959501"/>
      <w:bookmarkStart w:id="252" w:name="_Toc109039384"/>
      <w:bookmarkStart w:id="253" w:name="_Toc110871652"/>
      <w:r>
        <w:t>Estimated costs</w:t>
      </w:r>
      <w:bookmarkEnd w:id="251"/>
    </w:p>
    <w:p w14:paraId="4947F9C3" w14:textId="4A047E87" w:rsidR="00121FE6" w:rsidRDefault="00121FE6" w:rsidP="007770FA">
      <w:r w:rsidRPr="00692452">
        <w:t xml:space="preserve">Testing costs </w:t>
      </w:r>
      <w:r>
        <w:t xml:space="preserve">against specific sections of the most recent Folding Cots Voluntary Standard are </w:t>
      </w:r>
      <w:r w:rsidRPr="00692452">
        <w:t>estimated to be $</w:t>
      </w:r>
      <w:r>
        <w:t>4,114</w:t>
      </w:r>
      <w:r w:rsidRPr="00692452">
        <w:t xml:space="preserve"> - $</w:t>
      </w:r>
      <w:r>
        <w:t>4,598</w:t>
      </w:r>
      <w:r w:rsidRPr="00692452">
        <w:t xml:space="preserve"> per product line</w:t>
      </w:r>
      <w:r>
        <w:t>, meaning a $314-$858 increase in the cost of testing</w:t>
      </w:r>
      <w:r w:rsidRPr="00692452">
        <w:t>.</w:t>
      </w:r>
      <w:r>
        <w:t xml:space="preserve"> Existing suppliers would be required to have their products retested.</w:t>
      </w:r>
    </w:p>
    <w:p w14:paraId="68DF0458" w14:textId="04B47A04" w:rsidR="00121FE6" w:rsidRDefault="00121FE6" w:rsidP="007770FA">
      <w:r w:rsidRPr="00C31091">
        <w:t xml:space="preserve">There would be enhanced minimum safety requirements for </w:t>
      </w:r>
      <w:r>
        <w:t>folding</w:t>
      </w:r>
      <w:r w:rsidRPr="00C31091">
        <w:t xml:space="preserve"> cots, reducing the likeliness of associated injuries.</w:t>
      </w:r>
    </w:p>
    <w:p w14:paraId="1AB9A5FA" w14:textId="349FE5B0" w:rsidR="00CF4D71" w:rsidRDefault="00CF4D71" w:rsidP="007770FA"/>
    <w:p w14:paraId="753B708B" w14:textId="77777777" w:rsidR="00CF4D71" w:rsidRPr="00121FE6" w:rsidRDefault="00CF4D71" w:rsidP="007770FA"/>
    <w:p w14:paraId="67D040EF" w14:textId="2EFFDA6D" w:rsidR="00EC09D2" w:rsidRPr="00F523BE" w:rsidRDefault="00EC09D2" w:rsidP="00E53D9B">
      <w:pPr>
        <w:pStyle w:val="Numbered11"/>
        <w:rPr>
          <w:sz w:val="22"/>
        </w:rPr>
      </w:pPr>
      <w:bookmarkStart w:id="254" w:name="_Toc110959502"/>
      <w:r w:rsidRPr="00F523BE">
        <w:t xml:space="preserve">Option </w:t>
      </w:r>
      <w:r>
        <w:t>F3</w:t>
      </w:r>
      <w:r w:rsidRPr="00F523BE">
        <w:t xml:space="preserve"> </w:t>
      </w:r>
      <w:r w:rsidRPr="00472CF7">
        <w:rPr>
          <w:color w:val="auto"/>
        </w:rPr>
        <w:t>–</w:t>
      </w:r>
      <w:r>
        <w:rPr>
          <w:color w:val="auto"/>
        </w:rPr>
        <w:t xml:space="preserve"> </w:t>
      </w:r>
      <w:r w:rsidRPr="00F523BE">
        <w:t>Amend the Folding Cots Mandatory Standard by Adopting the entirety of the most recent Folding Cots Voluntary Standard</w:t>
      </w:r>
      <w:bookmarkEnd w:id="252"/>
      <w:bookmarkEnd w:id="253"/>
      <w:bookmarkEnd w:id="254"/>
    </w:p>
    <w:p w14:paraId="3B58075D" w14:textId="77777777" w:rsidR="00EC09D2" w:rsidRDefault="00EC09D2" w:rsidP="00EC09D2">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sidRPr="00DB3B87">
        <w:rPr>
          <w:b/>
          <w:bCs/>
        </w:rPr>
        <w:t xml:space="preserve">Option </w:t>
      </w:r>
      <w:r>
        <w:rPr>
          <w:b/>
          <w:bCs/>
        </w:rPr>
        <w:t>F3</w:t>
      </w:r>
      <w:r>
        <w:t>: A</w:t>
      </w:r>
      <w:r w:rsidRPr="00877780">
        <w:t xml:space="preserve">mend </w:t>
      </w:r>
      <w:r>
        <w:t xml:space="preserve">the Folding Cots Mandatory Standard </w:t>
      </w:r>
      <w:r w:rsidRPr="00877780">
        <w:t xml:space="preserve">by adopting the entirety of the most recent </w:t>
      </w:r>
      <w:r>
        <w:t>Folding</w:t>
      </w:r>
      <w:r w:rsidRPr="00877780">
        <w:t xml:space="preserve"> Cots Voluntary Standard</w:t>
      </w:r>
      <w:r>
        <w:t>.</w:t>
      </w:r>
    </w:p>
    <w:p w14:paraId="3B1F3BE6" w14:textId="77777777" w:rsidR="00EC09D2" w:rsidRDefault="00EC09D2" w:rsidP="00EC09D2">
      <w:r>
        <w:t>Suppliers would need to comply with all sections of the most recent 2010 Folding Cots Voluntary Standard, including those not currently mandated including clauses relating to:</w:t>
      </w:r>
    </w:p>
    <w:p w14:paraId="3849BA7A" w14:textId="77777777" w:rsidR="00EC09D2" w:rsidRDefault="00EC09D2" w:rsidP="00EC09D2">
      <w:pPr>
        <w:pStyle w:val="Bulletpoint"/>
      </w:pPr>
      <w:r>
        <w:t>Timber folding cots (section 5)</w:t>
      </w:r>
    </w:p>
    <w:p w14:paraId="7F839E94" w14:textId="77777777" w:rsidR="00EC09D2" w:rsidRDefault="00EC09D2" w:rsidP="00EC09D2">
      <w:pPr>
        <w:pStyle w:val="Bulletpoint"/>
      </w:pPr>
      <w:r>
        <w:t>Materials (section 6)</w:t>
      </w:r>
    </w:p>
    <w:p w14:paraId="77677FCF" w14:textId="77777777" w:rsidR="00EC09D2" w:rsidRDefault="00EC09D2" w:rsidP="00EC09D2">
      <w:pPr>
        <w:pStyle w:val="Bulletpoint"/>
      </w:pPr>
      <w:r>
        <w:t>Construction and assembly (section 7)</w:t>
      </w:r>
    </w:p>
    <w:p w14:paraId="589F25B4" w14:textId="77777777" w:rsidR="00EC09D2" w:rsidRDefault="00EC09D2" w:rsidP="00EC09D2">
      <w:pPr>
        <w:pStyle w:val="Bulletpoint"/>
      </w:pPr>
      <w:r>
        <w:t>Breathability (section 8.2)</w:t>
      </w:r>
    </w:p>
    <w:p w14:paraId="6C764DD1" w14:textId="77777777" w:rsidR="00EC09D2" w:rsidRDefault="00EC09D2" w:rsidP="00EC09D2">
      <w:pPr>
        <w:pStyle w:val="Bulletpoint"/>
      </w:pPr>
      <w:r>
        <w:t>Folding mechanism design (section 8.4.2)</w:t>
      </w:r>
    </w:p>
    <w:p w14:paraId="11944C8E" w14:textId="77777777" w:rsidR="00EC09D2" w:rsidRDefault="00EC09D2" w:rsidP="00EC09D2">
      <w:pPr>
        <w:pStyle w:val="Bulletpoint"/>
      </w:pPr>
      <w:r>
        <w:t>Castors or wheels (section 8.6)</w:t>
      </w:r>
    </w:p>
    <w:p w14:paraId="0149A05B" w14:textId="77777777" w:rsidR="00EC09D2" w:rsidRDefault="00EC09D2" w:rsidP="00EC09D2">
      <w:pPr>
        <w:pStyle w:val="Bulletpoint"/>
      </w:pPr>
      <w:r>
        <w:t>Protrusions and gaps (section 8.7)</w:t>
      </w:r>
    </w:p>
    <w:p w14:paraId="00998274" w14:textId="77777777" w:rsidR="00EC09D2" w:rsidRDefault="00EC09D2" w:rsidP="00EC09D2">
      <w:pPr>
        <w:pStyle w:val="Bulletpoint"/>
      </w:pPr>
      <w:r>
        <w:t>Sharp edges and points (section 8.8)</w:t>
      </w:r>
    </w:p>
    <w:p w14:paraId="1C2E42E2" w14:textId="77777777" w:rsidR="00EC09D2" w:rsidRDefault="00EC09D2" w:rsidP="00EC09D2">
      <w:pPr>
        <w:pStyle w:val="Bulletpoint"/>
      </w:pPr>
      <w:r>
        <w:t>Textile mesh and strength (section 8.9)</w:t>
      </w:r>
    </w:p>
    <w:p w14:paraId="35C8938E" w14:textId="77777777" w:rsidR="00EC09D2" w:rsidRDefault="00EC09D2" w:rsidP="00EC09D2">
      <w:pPr>
        <w:pStyle w:val="Bulletpoint"/>
      </w:pPr>
      <w:r>
        <w:t>Accessories (section 8.10)</w:t>
      </w:r>
    </w:p>
    <w:p w14:paraId="6AD189A9" w14:textId="77777777" w:rsidR="00EC09D2" w:rsidRDefault="00EC09D2" w:rsidP="00EC09D2">
      <w:pPr>
        <w:pStyle w:val="Bulletpoint"/>
      </w:pPr>
      <w:r>
        <w:t>Bassinets, change tables and mosquito nets (sections 8.11, 8.12 and 8.13)</w:t>
      </w:r>
    </w:p>
    <w:p w14:paraId="039AFD1A" w14:textId="77777777" w:rsidR="00EC09D2" w:rsidRDefault="00EC09D2" w:rsidP="00EC09D2">
      <w:pPr>
        <w:pStyle w:val="Bulletpoint"/>
      </w:pPr>
      <w:r>
        <w:t>Labels or transfers (section 9)</w:t>
      </w:r>
    </w:p>
    <w:p w14:paraId="6BEC86B7" w14:textId="77777777" w:rsidR="00EC09D2" w:rsidRDefault="00EC09D2" w:rsidP="00EC09D2">
      <w:pPr>
        <w:pStyle w:val="Bulletpoint"/>
      </w:pPr>
      <w:r>
        <w:t>Entrapment hazards (section 10.2)</w:t>
      </w:r>
    </w:p>
    <w:p w14:paraId="6BF90421" w14:textId="77777777" w:rsidR="00EC09D2" w:rsidRDefault="00EC09D2" w:rsidP="00EC09D2">
      <w:pPr>
        <w:pStyle w:val="Bulletpoint"/>
      </w:pPr>
      <w:r>
        <w:t>Tests (sections 10.3, 10.4, 10.6-10.12, 10.15-10.21)</w:t>
      </w:r>
    </w:p>
    <w:p w14:paraId="4B204453" w14:textId="77777777" w:rsidR="00EC09D2" w:rsidRDefault="00EC09D2" w:rsidP="00EC09D2">
      <w:pPr>
        <w:pStyle w:val="Bulletpoint"/>
      </w:pPr>
      <w:r>
        <w:t>Plastic packaging (section 11)</w:t>
      </w:r>
    </w:p>
    <w:p w14:paraId="2FE9F201" w14:textId="77777777" w:rsidR="00EC09D2" w:rsidRDefault="00EC09D2" w:rsidP="00EC09D2">
      <w:pPr>
        <w:pStyle w:val="Bulletpoint"/>
      </w:pPr>
      <w:r>
        <w:t>Informative labelling (section 12)</w:t>
      </w:r>
    </w:p>
    <w:p w14:paraId="3CF5DFA3" w14:textId="64450FB9" w:rsidR="00EC09D2" w:rsidRDefault="00EC09D2" w:rsidP="00EC09D2">
      <w:pPr>
        <w:pStyle w:val="Bulletpoint"/>
      </w:pPr>
      <w:r>
        <w:t>Marking (section 13)</w:t>
      </w:r>
      <w:r w:rsidR="0089100C">
        <w:t>.</w:t>
      </w:r>
    </w:p>
    <w:p w14:paraId="4940241D" w14:textId="77777777" w:rsidR="00CE03C9" w:rsidRDefault="00CE03C9" w:rsidP="00CE03C9">
      <w:pPr>
        <w:pStyle w:val="NoSpacing"/>
      </w:pPr>
    </w:p>
    <w:tbl>
      <w:tblPr>
        <w:tblStyle w:val="TableGrid"/>
        <w:tblW w:w="0" w:type="auto"/>
        <w:tblLook w:val="0420" w:firstRow="1" w:lastRow="0" w:firstColumn="0" w:lastColumn="0" w:noHBand="0" w:noVBand="1"/>
      </w:tblPr>
      <w:tblGrid>
        <w:gridCol w:w="4678"/>
        <w:gridCol w:w="4348"/>
      </w:tblGrid>
      <w:tr w:rsidR="00CE03C9" w:rsidRPr="007272EE" w14:paraId="1491DACD"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7DF1F5C4" w14:textId="77777777" w:rsidR="00CE03C9" w:rsidRPr="007272EE" w:rsidRDefault="00CE03C9" w:rsidP="00302C1B">
            <w:pPr>
              <w:pStyle w:val="TableHeading"/>
              <w:rPr>
                <w:b/>
                <w:bCs/>
              </w:rPr>
            </w:pPr>
            <w:r w:rsidRPr="007272EE">
              <w:rPr>
                <w:b/>
                <w:bCs/>
              </w:rPr>
              <w:t>Benefit</w:t>
            </w:r>
          </w:p>
        </w:tc>
        <w:tc>
          <w:tcPr>
            <w:tcW w:w="4348" w:type="dxa"/>
          </w:tcPr>
          <w:p w14:paraId="466E67D3" w14:textId="77777777" w:rsidR="00CE03C9" w:rsidRPr="007272EE" w:rsidRDefault="00CE03C9" w:rsidP="00302C1B">
            <w:pPr>
              <w:pStyle w:val="TableHeading"/>
              <w:rPr>
                <w:b/>
                <w:bCs/>
              </w:rPr>
            </w:pPr>
            <w:r w:rsidRPr="007272EE">
              <w:rPr>
                <w:b/>
                <w:bCs/>
              </w:rPr>
              <w:t>Limitation</w:t>
            </w:r>
          </w:p>
        </w:tc>
      </w:tr>
      <w:tr w:rsidR="00CE03C9" w14:paraId="79015DA9" w14:textId="77777777" w:rsidTr="00302C1B">
        <w:tc>
          <w:tcPr>
            <w:tcW w:w="4678" w:type="dxa"/>
          </w:tcPr>
          <w:p w14:paraId="3A83B973" w14:textId="77777777" w:rsidR="00CE03C9" w:rsidRDefault="00CE03C9" w:rsidP="00302C1B">
            <w:pPr>
              <w:pStyle w:val="Bulletpoint"/>
            </w:pPr>
            <w:r>
              <w:t>Other known risks such as drop sides and mattress firmness are addressed.</w:t>
            </w:r>
          </w:p>
          <w:p w14:paraId="2FAFD07A" w14:textId="77777777" w:rsidR="00CE03C9" w:rsidRDefault="00CE03C9" w:rsidP="00302C1B">
            <w:pPr>
              <w:pStyle w:val="Bulletpoint"/>
            </w:pPr>
            <w:r>
              <w:t>Provides more clarity to suppliers about what is required under the Australian standard regime.</w:t>
            </w:r>
          </w:p>
          <w:p w14:paraId="6A6E357C" w14:textId="4E881561" w:rsidR="00AB5713" w:rsidRPr="00CB169E" w:rsidRDefault="00AB5713" w:rsidP="00302C1B">
            <w:pPr>
              <w:pStyle w:val="Bulletpoint"/>
            </w:pPr>
            <w:r>
              <w:t>Enhanced minimum safety requirements.</w:t>
            </w:r>
          </w:p>
        </w:tc>
        <w:tc>
          <w:tcPr>
            <w:tcW w:w="4348" w:type="dxa"/>
          </w:tcPr>
          <w:p w14:paraId="2106C58B" w14:textId="77777777" w:rsidR="00CE03C9" w:rsidRDefault="00CE03C9" w:rsidP="00302C1B">
            <w:pPr>
              <w:pStyle w:val="Bulletpoint"/>
            </w:pPr>
            <w:r>
              <w:t>Some suppliers will f</w:t>
            </w:r>
            <w:r w:rsidRPr="00A355BC">
              <w:t>ace increased testing costs</w:t>
            </w:r>
            <w:r>
              <w:t>.</w:t>
            </w:r>
          </w:p>
          <w:p w14:paraId="1BD523C4" w14:textId="77777777" w:rsidR="00CE03C9" w:rsidRDefault="00CE03C9" w:rsidP="00302C1B">
            <w:pPr>
              <w:pStyle w:val="Bulletpoint"/>
            </w:pPr>
            <w:r>
              <w:t>This option does</w:t>
            </w:r>
            <w:r w:rsidRPr="00746AFA">
              <w:t xml:space="preserve"> not enable suppliers to easily comply with international standards</w:t>
            </w:r>
            <w:r>
              <w:t>.</w:t>
            </w:r>
          </w:p>
          <w:p w14:paraId="5AC9C781" w14:textId="4D3CBE6E" w:rsidR="00CE03C9" w:rsidRDefault="00CE03C9" w:rsidP="00302C1B">
            <w:pPr>
              <w:pStyle w:val="Bulletpoint"/>
            </w:pPr>
            <w:r>
              <w:t xml:space="preserve">At the time the Mandatory Folding Cots </w:t>
            </w:r>
            <w:r w:rsidR="0089100C">
              <w:t xml:space="preserve">Mandatory </w:t>
            </w:r>
            <w:r>
              <w:t>Standard was developed, these sections were deemed not to address critical minimum safety requirements.</w:t>
            </w:r>
          </w:p>
          <w:p w14:paraId="09F78DA3" w14:textId="485B54A7" w:rsidR="00CE03C9" w:rsidRPr="002E6EB8" w:rsidRDefault="00CE03C9" w:rsidP="00302C1B">
            <w:pPr>
              <w:pStyle w:val="Bulletpoint"/>
            </w:pPr>
            <w:r>
              <w:t>Some sections may become outdated if the Voluntary Standard for Folding Cots is updated in future.</w:t>
            </w:r>
          </w:p>
        </w:tc>
      </w:tr>
    </w:tbl>
    <w:p w14:paraId="0ED3BD9F" w14:textId="77777777" w:rsidR="00CF4D71" w:rsidRDefault="00CF4D71" w:rsidP="00CF4D71">
      <w:pPr>
        <w:pStyle w:val="Numbered111"/>
        <w:numPr>
          <w:ilvl w:val="0"/>
          <w:numId w:val="0"/>
        </w:numPr>
        <w:ind w:left="1224"/>
      </w:pPr>
      <w:bookmarkStart w:id="255" w:name="_Toc110959503"/>
      <w:bookmarkStart w:id="256" w:name="_Toc109039385"/>
      <w:bookmarkStart w:id="257" w:name="_Toc110871653"/>
    </w:p>
    <w:p w14:paraId="5B309CB9" w14:textId="77777777" w:rsidR="00CF4D71" w:rsidRDefault="00CF4D71" w:rsidP="00CF4D71">
      <w:pPr>
        <w:pStyle w:val="Numbered111"/>
        <w:numPr>
          <w:ilvl w:val="0"/>
          <w:numId w:val="0"/>
        </w:numPr>
        <w:ind w:left="1224"/>
      </w:pPr>
    </w:p>
    <w:p w14:paraId="5058DA88" w14:textId="6C1E22F9" w:rsidR="00121FE6" w:rsidRDefault="00121FE6" w:rsidP="00121FE6">
      <w:pPr>
        <w:pStyle w:val="Numbered111"/>
      </w:pPr>
      <w:r>
        <w:t>Estimated costs</w:t>
      </w:r>
      <w:bookmarkEnd w:id="255"/>
    </w:p>
    <w:p w14:paraId="2710B4FF" w14:textId="05A8A51A" w:rsidR="00121FE6" w:rsidRDefault="00121FE6" w:rsidP="007770FA">
      <w:r w:rsidRPr="00692452">
        <w:t xml:space="preserve">Testing costs </w:t>
      </w:r>
      <w:r>
        <w:t xml:space="preserve">against the entirety of the most recent Folding Cots Voluntary Standard are </w:t>
      </w:r>
      <w:r w:rsidRPr="00692452">
        <w:t>estimated to be $</w:t>
      </w:r>
      <w:r>
        <w:t>4,400</w:t>
      </w:r>
      <w:r w:rsidRPr="00692452">
        <w:t xml:space="preserve"> per product line</w:t>
      </w:r>
      <w:r>
        <w:t>, meaning a $660 increase in the cost of testing</w:t>
      </w:r>
      <w:r w:rsidRPr="00692452">
        <w:t>.</w:t>
      </w:r>
      <w:r>
        <w:t xml:space="preserve"> Existing suppliers would be required to have their products retested.</w:t>
      </w:r>
    </w:p>
    <w:p w14:paraId="1FF38845" w14:textId="46FC6A36" w:rsidR="00121FE6" w:rsidRPr="00121FE6" w:rsidRDefault="00121FE6" w:rsidP="007770FA">
      <w:r w:rsidRPr="00C31091">
        <w:t xml:space="preserve">There would be enhanced minimum safety requirements for </w:t>
      </w:r>
      <w:r>
        <w:t>folding</w:t>
      </w:r>
      <w:r w:rsidRPr="00C31091">
        <w:t xml:space="preserve"> cots, reducing the likeliness of associated injuries.</w:t>
      </w:r>
    </w:p>
    <w:p w14:paraId="0282EC1B" w14:textId="2976DF14" w:rsidR="00EC09D2" w:rsidRDefault="00EC09D2" w:rsidP="00EC09D2">
      <w:pPr>
        <w:pStyle w:val="Numbered11"/>
      </w:pPr>
      <w:bookmarkStart w:id="258" w:name="_Toc110959504"/>
      <w:r>
        <w:t xml:space="preserve">Option F4 </w:t>
      </w:r>
      <w:r w:rsidRPr="00472CF7">
        <w:rPr>
          <w:color w:val="auto"/>
        </w:rPr>
        <w:t>–</w:t>
      </w:r>
      <w:r>
        <w:rPr>
          <w:color w:val="auto"/>
        </w:rPr>
        <w:t xml:space="preserve"> </w:t>
      </w:r>
      <w:r>
        <w:t>Amend the Folding Cots Mandatory Standard by adopting sections of the most recent Folding Cots Voluntary Standard and trusted international standards</w:t>
      </w:r>
      <w:bookmarkEnd w:id="256"/>
      <w:bookmarkEnd w:id="257"/>
      <w:bookmarkEnd w:id="258"/>
      <w:r>
        <w:t xml:space="preserve"> </w:t>
      </w:r>
    </w:p>
    <w:p w14:paraId="73A88639" w14:textId="77777777" w:rsidR="00EC09D2" w:rsidRDefault="00EC09D2" w:rsidP="00EC09D2">
      <w:pPr>
        <w:pStyle w:val="Listalphabet"/>
        <w:numPr>
          <w:ilvl w:val="0"/>
          <w:numId w:val="0"/>
        </w:numPr>
        <w:pBdr>
          <w:top w:val="single" w:sz="4" w:space="1" w:color="auto"/>
          <w:left w:val="single" w:sz="4" w:space="1" w:color="auto"/>
          <w:bottom w:val="single" w:sz="4" w:space="1" w:color="auto"/>
          <w:right w:val="single" w:sz="4" w:space="1" w:color="auto"/>
        </w:pBdr>
        <w:shd w:val="clear" w:color="auto" w:fill="D5D6D2" w:themeFill="background2"/>
      </w:pPr>
      <w:r w:rsidRPr="00DB3B87">
        <w:rPr>
          <w:b/>
          <w:bCs/>
        </w:rPr>
        <w:t xml:space="preserve">Option </w:t>
      </w:r>
      <w:r>
        <w:rPr>
          <w:b/>
          <w:bCs/>
        </w:rPr>
        <w:t>F4 (preferred)</w:t>
      </w:r>
      <w:r>
        <w:t>: Amend the Folding Cots Mandatory Standard by adopting sections of the most recent Folding Cots Voluntary Standard and trusted international standards.</w:t>
      </w:r>
    </w:p>
    <w:p w14:paraId="23321E50" w14:textId="3FF3F520" w:rsidR="00EC09D2" w:rsidRDefault="00EC09D2" w:rsidP="00EC09D2">
      <w:r w:rsidRPr="00367FCF">
        <w:t xml:space="preserve">The </w:t>
      </w:r>
      <w:r>
        <w:t>Folding</w:t>
      </w:r>
      <w:r w:rsidRPr="00367FCF">
        <w:t xml:space="preserve"> Cots Mandatory Standard would be updated to reflect sections in</w:t>
      </w:r>
      <w:r>
        <w:t xml:space="preserve"> the most recent (2010 version) of the Folding</w:t>
      </w:r>
      <w:r w:rsidRPr="00367FCF">
        <w:t xml:space="preserve"> Cots Voluntary Standard</w:t>
      </w:r>
      <w:r>
        <w:t xml:space="preserve"> as outlined </w:t>
      </w:r>
      <w:r w:rsidRPr="008866FF">
        <w:t xml:space="preserve">in Option </w:t>
      </w:r>
      <w:r w:rsidR="008866FF" w:rsidRPr="008866FF">
        <w:t>F2</w:t>
      </w:r>
      <w:r w:rsidRPr="008866FF">
        <w:t xml:space="preserve"> and</w:t>
      </w:r>
      <w:r>
        <w:t xml:space="preserve"> </w:t>
      </w:r>
      <w:r w:rsidR="00E341C2">
        <w:t xml:space="preserve">would </w:t>
      </w:r>
      <w:r w:rsidRPr="009C14C4">
        <w:t xml:space="preserve">also allow suppliers to comply with requirements contained in </w:t>
      </w:r>
      <w:r w:rsidR="00082A99">
        <w:t>2</w:t>
      </w:r>
      <w:r w:rsidRPr="009C14C4">
        <w:t xml:space="preserve"> recognised international standards outlined below, where they are comparable and provide a similar or better level of safety:</w:t>
      </w:r>
    </w:p>
    <w:p w14:paraId="54C1B94E" w14:textId="77777777" w:rsidR="00EC09D2" w:rsidRPr="005A4391" w:rsidRDefault="00EC09D2" w:rsidP="00EC09D2">
      <w:pPr>
        <w:pStyle w:val="Bulletpoint"/>
        <w:rPr>
          <w:rFonts w:cs="Arial"/>
        </w:rPr>
      </w:pPr>
      <w:r w:rsidRPr="005A4391">
        <w:rPr>
          <w:rFonts w:cs="Arial"/>
        </w:rPr>
        <w:t>European Standard (BS EN 716-1:2017 Furniture. Children's cots and folding cots for domestic use)</w:t>
      </w:r>
    </w:p>
    <w:p w14:paraId="26EEC1CD" w14:textId="0987BC99" w:rsidR="00EC09D2" w:rsidRPr="005C78D1" w:rsidRDefault="00EC09D2" w:rsidP="00EC09D2">
      <w:pPr>
        <w:pStyle w:val="Bulletpoint"/>
        <w:rPr>
          <w:rFonts w:cstheme="minorBidi"/>
        </w:rPr>
      </w:pPr>
      <w:r>
        <w:rPr>
          <w:rFonts w:cs="Arial"/>
        </w:rPr>
        <w:t>U</w:t>
      </w:r>
      <w:r w:rsidR="0089100C">
        <w:rPr>
          <w:rFonts w:cs="Arial"/>
        </w:rPr>
        <w:t xml:space="preserve">nited </w:t>
      </w:r>
      <w:r>
        <w:rPr>
          <w:rFonts w:cs="Arial"/>
        </w:rPr>
        <w:t>S</w:t>
      </w:r>
      <w:r w:rsidR="0089100C">
        <w:rPr>
          <w:rFonts w:cs="Arial"/>
        </w:rPr>
        <w:t>tates</w:t>
      </w:r>
      <w:r>
        <w:rPr>
          <w:rFonts w:cs="Arial"/>
        </w:rPr>
        <w:t xml:space="preserve"> Standard (ASTM F406-19</w:t>
      </w:r>
      <w:r w:rsidRPr="00DB4EF4">
        <w:t xml:space="preserve"> </w:t>
      </w:r>
      <w:r>
        <w:t xml:space="preserve">Safety </w:t>
      </w:r>
      <w:r>
        <w:rPr>
          <w:rFonts w:cs="Arial"/>
        </w:rPr>
        <w:t>S</w:t>
      </w:r>
      <w:r w:rsidRPr="00DB4EF4">
        <w:rPr>
          <w:rFonts w:cs="Arial"/>
        </w:rPr>
        <w:t xml:space="preserve">tandard for </w:t>
      </w:r>
      <w:r>
        <w:rPr>
          <w:rFonts w:cs="Arial"/>
        </w:rPr>
        <w:t>P</w:t>
      </w:r>
      <w:r w:rsidRPr="00DB4EF4">
        <w:rPr>
          <w:rFonts w:cs="Arial"/>
        </w:rPr>
        <w:t xml:space="preserve">lay </w:t>
      </w:r>
      <w:r>
        <w:rPr>
          <w:rFonts w:cs="Arial"/>
        </w:rPr>
        <w:t>Y</w:t>
      </w:r>
      <w:r w:rsidRPr="00DB4EF4">
        <w:rPr>
          <w:rFonts w:cs="Arial"/>
        </w:rPr>
        <w:t>ards</w:t>
      </w:r>
      <w:r>
        <w:rPr>
          <w:rFonts w:cs="Arial"/>
        </w:rPr>
        <w:t>).</w:t>
      </w:r>
    </w:p>
    <w:p w14:paraId="308D8E7F" w14:textId="77777777" w:rsidR="00EC09D2" w:rsidRPr="005C78D1" w:rsidRDefault="00EC09D2" w:rsidP="008866FF">
      <w:pPr>
        <w:pStyle w:val="NoSpacing"/>
      </w:pPr>
    </w:p>
    <w:tbl>
      <w:tblPr>
        <w:tblStyle w:val="TableGrid"/>
        <w:tblW w:w="0" w:type="auto"/>
        <w:tblLook w:val="0420" w:firstRow="1" w:lastRow="0" w:firstColumn="0" w:lastColumn="0" w:noHBand="0" w:noVBand="1"/>
      </w:tblPr>
      <w:tblGrid>
        <w:gridCol w:w="4678"/>
        <w:gridCol w:w="4348"/>
      </w:tblGrid>
      <w:tr w:rsidR="008866FF" w:rsidRPr="007272EE" w14:paraId="3FA07C75" w14:textId="77777777" w:rsidTr="00302C1B">
        <w:trPr>
          <w:cnfStyle w:val="100000000000" w:firstRow="1" w:lastRow="0" w:firstColumn="0" w:lastColumn="0" w:oddVBand="0" w:evenVBand="0" w:oddHBand="0" w:evenHBand="0" w:firstRowFirstColumn="0" w:firstRowLastColumn="0" w:lastRowFirstColumn="0" w:lastRowLastColumn="0"/>
        </w:trPr>
        <w:tc>
          <w:tcPr>
            <w:tcW w:w="4678" w:type="dxa"/>
          </w:tcPr>
          <w:p w14:paraId="49AA6913" w14:textId="77777777" w:rsidR="008866FF" w:rsidRPr="007272EE" w:rsidRDefault="008866FF" w:rsidP="00302C1B">
            <w:pPr>
              <w:pStyle w:val="TableHeading"/>
              <w:rPr>
                <w:b/>
                <w:bCs/>
              </w:rPr>
            </w:pPr>
            <w:r w:rsidRPr="007272EE">
              <w:rPr>
                <w:b/>
                <w:bCs/>
              </w:rPr>
              <w:t>Benefit</w:t>
            </w:r>
          </w:p>
        </w:tc>
        <w:tc>
          <w:tcPr>
            <w:tcW w:w="4348" w:type="dxa"/>
          </w:tcPr>
          <w:p w14:paraId="298DCA8E" w14:textId="77777777" w:rsidR="008866FF" w:rsidRPr="007272EE" w:rsidRDefault="008866FF" w:rsidP="00302C1B">
            <w:pPr>
              <w:pStyle w:val="TableHeading"/>
              <w:rPr>
                <w:b/>
                <w:bCs/>
              </w:rPr>
            </w:pPr>
            <w:r w:rsidRPr="007272EE">
              <w:rPr>
                <w:b/>
                <w:bCs/>
              </w:rPr>
              <w:t>Limitation</w:t>
            </w:r>
          </w:p>
        </w:tc>
      </w:tr>
      <w:tr w:rsidR="008866FF" w14:paraId="28A6096B" w14:textId="77777777" w:rsidTr="00302C1B">
        <w:tc>
          <w:tcPr>
            <w:tcW w:w="4678" w:type="dxa"/>
          </w:tcPr>
          <w:p w14:paraId="0AD36A4D" w14:textId="02003051" w:rsidR="008866FF" w:rsidRDefault="008866FF" w:rsidP="00302C1B">
            <w:pPr>
              <w:pStyle w:val="Bulletpoint"/>
            </w:pPr>
            <w:r>
              <w:t>Other known risks such as material breathability are addressed.</w:t>
            </w:r>
          </w:p>
          <w:p w14:paraId="6BA1BE9F" w14:textId="77777777" w:rsidR="008866FF" w:rsidRPr="0013183E" w:rsidRDefault="008866FF" w:rsidP="00302C1B">
            <w:pPr>
              <w:pStyle w:val="Bulletpoint"/>
            </w:pPr>
            <w:r>
              <w:t>A</w:t>
            </w:r>
            <w:r w:rsidRPr="0013183E">
              <w:t>lignment with the current voluntary standard would provide practical clarification of what is required under the Australian standard regime</w:t>
            </w:r>
            <w:r>
              <w:t>.</w:t>
            </w:r>
          </w:p>
          <w:p w14:paraId="0989ADE9" w14:textId="7D4C1C70" w:rsidR="008866FF" w:rsidRDefault="008866FF" w:rsidP="00302C1B">
            <w:pPr>
              <w:pStyle w:val="Bulletpoint"/>
            </w:pPr>
            <w:r>
              <w:t>S</w:t>
            </w:r>
            <w:r w:rsidRPr="0013183E">
              <w:t xml:space="preserve">uppliers would have the option to comply with either the Australian voluntary standard or </w:t>
            </w:r>
            <w:r w:rsidR="00082A99">
              <w:t>2</w:t>
            </w:r>
            <w:r w:rsidRPr="0013183E">
              <w:t xml:space="preserve"> trusted international standards, reducing regulatory burden and cost</w:t>
            </w:r>
            <w:r>
              <w:t>.</w:t>
            </w:r>
          </w:p>
          <w:p w14:paraId="371AD1DF" w14:textId="01E18164" w:rsidR="00AB5713" w:rsidRPr="00CB169E" w:rsidRDefault="00AB5713" w:rsidP="00302C1B">
            <w:pPr>
              <w:pStyle w:val="Bulletpoint"/>
            </w:pPr>
            <w:r>
              <w:t>Enhanced minimum safety requirements.</w:t>
            </w:r>
          </w:p>
        </w:tc>
        <w:tc>
          <w:tcPr>
            <w:tcW w:w="4348" w:type="dxa"/>
          </w:tcPr>
          <w:p w14:paraId="1AF23872" w14:textId="77777777" w:rsidR="008866FF" w:rsidRPr="0013183E" w:rsidRDefault="008866FF" w:rsidP="00302C1B">
            <w:pPr>
              <w:pStyle w:val="Bulletpoint"/>
            </w:pPr>
            <w:r>
              <w:t>T</w:t>
            </w:r>
            <w:r w:rsidRPr="0013183E">
              <w:t xml:space="preserve">here are some slight differences in the requirements of each international standard which may result in industry confusion </w:t>
            </w:r>
          </w:p>
          <w:p w14:paraId="596C3E7C" w14:textId="77777777" w:rsidR="008866FF" w:rsidRPr="002E6EB8" w:rsidRDefault="008866FF" w:rsidP="00302C1B">
            <w:pPr>
              <w:pStyle w:val="Bulletpoint"/>
            </w:pPr>
            <w:r>
              <w:t>This option is</w:t>
            </w:r>
            <w:r w:rsidRPr="0013183E">
              <w:t xml:space="preserve"> difficult for regulator or consumer to test compliance</w:t>
            </w:r>
            <w:r>
              <w:t>.</w:t>
            </w:r>
          </w:p>
        </w:tc>
      </w:tr>
    </w:tbl>
    <w:p w14:paraId="77327B2F" w14:textId="4146FAA1" w:rsidR="00121FE6" w:rsidRDefault="00255566" w:rsidP="00255566">
      <w:pPr>
        <w:pStyle w:val="Numbered111"/>
      </w:pPr>
      <w:bookmarkStart w:id="259" w:name="_Toc110959505"/>
      <w:r>
        <w:t>Estimated costs</w:t>
      </w:r>
      <w:bookmarkEnd w:id="259"/>
    </w:p>
    <w:p w14:paraId="1A176016" w14:textId="08639B12" w:rsidR="00255566" w:rsidRDefault="00255566" w:rsidP="007770FA">
      <w:r w:rsidRPr="00692452">
        <w:t xml:space="preserve">Testing costs </w:t>
      </w:r>
      <w:r>
        <w:t xml:space="preserve">against certain sections of the Folding Cots Voluntary Standard and trusted international standards are </w:t>
      </w:r>
      <w:r w:rsidRPr="00692452">
        <w:t>estimated to be $</w:t>
      </w:r>
      <w:r>
        <w:t>4,114</w:t>
      </w:r>
      <w:r w:rsidRPr="00692452">
        <w:t xml:space="preserve"> - $</w:t>
      </w:r>
      <w:r>
        <w:t>4,598</w:t>
      </w:r>
      <w:r w:rsidRPr="00692452">
        <w:t xml:space="preserve"> per product line</w:t>
      </w:r>
      <w:r>
        <w:t>, meaning a $314-$858 increase in the cost of testing</w:t>
      </w:r>
      <w:r w:rsidRPr="00692452">
        <w:t>.</w:t>
      </w:r>
      <w:r>
        <w:t xml:space="preserve"> Existing suppliers would be required to have their products retested.</w:t>
      </w:r>
    </w:p>
    <w:p w14:paraId="2A657D57" w14:textId="7A6654A2" w:rsidR="00255566" w:rsidRPr="007770FA" w:rsidRDefault="00255566" w:rsidP="007770FA">
      <w:r w:rsidRPr="00C31091">
        <w:t xml:space="preserve">There would be enhanced minimum safety requirements for </w:t>
      </w:r>
      <w:r>
        <w:t>folding</w:t>
      </w:r>
      <w:r w:rsidRPr="00C31091">
        <w:t xml:space="preserve"> cots, reducing the likeliness of associated injuries.</w:t>
      </w:r>
    </w:p>
    <w:p w14:paraId="72813E7E" w14:textId="31D29889" w:rsidR="00D6440B" w:rsidRDefault="005F1A13" w:rsidP="00D6440B">
      <w:pPr>
        <w:shd w:val="clear" w:color="auto" w:fill="F2F2F2" w:themeFill="background1" w:themeFillShade="F2"/>
        <w:spacing w:before="0"/>
        <w:rPr>
          <w:b/>
          <w:bCs/>
        </w:rPr>
      </w:pPr>
      <w:r w:rsidRPr="008C5100">
        <w:rPr>
          <w:b/>
          <w:bCs/>
        </w:rPr>
        <w:t>Questions</w:t>
      </w:r>
    </w:p>
    <w:p w14:paraId="446F58D8" w14:textId="5DEB0D6D" w:rsidR="00F034BF" w:rsidRDefault="002233B2" w:rsidP="00F034BF">
      <w:pPr>
        <w:shd w:val="clear" w:color="auto" w:fill="F2F2F2" w:themeFill="background1" w:themeFillShade="F2"/>
      </w:pPr>
      <w:r>
        <w:t>20</w:t>
      </w:r>
      <w:r w:rsidR="00F034BF">
        <w:t xml:space="preserve">. Which </w:t>
      </w:r>
      <w:r w:rsidR="00F034BF" w:rsidRPr="001361A0">
        <w:t xml:space="preserve">of the proposed </w:t>
      </w:r>
      <w:r w:rsidR="007450B4">
        <w:t>o</w:t>
      </w:r>
      <w:r w:rsidR="00F034BF" w:rsidRPr="001361A0">
        <w:t>ptions do you prefer and why?</w:t>
      </w:r>
    </w:p>
    <w:p w14:paraId="7EB020CB" w14:textId="27DB59B7" w:rsidR="00F034BF" w:rsidRDefault="00F034BF" w:rsidP="00F034BF">
      <w:pPr>
        <w:shd w:val="clear" w:color="auto" w:fill="F2F2F2" w:themeFill="background1" w:themeFillShade="F2"/>
        <w:ind w:left="340" w:hanging="340"/>
      </w:pPr>
      <w:r>
        <w:t>2</w:t>
      </w:r>
      <w:r w:rsidR="002233B2">
        <w:t>1</w:t>
      </w:r>
      <w:r>
        <w:t xml:space="preserve">. </w:t>
      </w:r>
      <w:r w:rsidRPr="001361A0">
        <w:t xml:space="preserve">Are there additional safety issues that should be incorporated into </w:t>
      </w:r>
      <w:r w:rsidRPr="009C14C4">
        <w:t xml:space="preserve">the </w:t>
      </w:r>
      <w:r>
        <w:t>Folding</w:t>
      </w:r>
      <w:r w:rsidRPr="009C14C4">
        <w:t xml:space="preserve"> Cots Mandatory Standard</w:t>
      </w:r>
      <w:r w:rsidRPr="001361A0">
        <w:t>? Please explain</w:t>
      </w:r>
      <w:r>
        <w:t>.</w:t>
      </w:r>
    </w:p>
    <w:p w14:paraId="027817C4" w14:textId="12B784CB" w:rsidR="004D012B" w:rsidRDefault="002233B2" w:rsidP="004D012B">
      <w:pPr>
        <w:shd w:val="clear" w:color="auto" w:fill="F2F2F2" w:themeFill="background1" w:themeFillShade="F2"/>
        <w:ind w:left="340" w:hanging="340"/>
      </w:pPr>
      <w:r>
        <w:t xml:space="preserve">22. </w:t>
      </w:r>
      <w:r w:rsidR="004D012B">
        <w:t xml:space="preserve">Are there additional costs of compliance with these options? Are the estimated costs accurate? Please explain. </w:t>
      </w:r>
    </w:p>
    <w:p w14:paraId="54346D4E" w14:textId="755DBD8D" w:rsidR="004D012B" w:rsidRDefault="002233B2" w:rsidP="004D012B">
      <w:pPr>
        <w:shd w:val="clear" w:color="auto" w:fill="F2F2F2" w:themeFill="background1" w:themeFillShade="F2"/>
        <w:ind w:left="340" w:hanging="340"/>
      </w:pPr>
      <w:r>
        <w:t xml:space="preserve">23. </w:t>
      </w:r>
      <w:r w:rsidR="004D012B">
        <w:t xml:space="preserve">Do you already comply with a related international standard? If so, which one and why. </w:t>
      </w:r>
    </w:p>
    <w:p w14:paraId="283DBE97" w14:textId="0C5CE0D7" w:rsidR="003901CE" w:rsidRPr="001C7D2D" w:rsidRDefault="003901CE" w:rsidP="004D012B">
      <w:pPr>
        <w:shd w:val="clear" w:color="auto" w:fill="F2F2F2" w:themeFill="background1" w:themeFillShade="F2"/>
        <w:ind w:left="340" w:hanging="340"/>
      </w:pPr>
      <w:r>
        <w:t>24. A</w:t>
      </w:r>
      <w:r w:rsidRPr="003901CE">
        <w:t xml:space="preserve">re there definitional issues with what products the </w:t>
      </w:r>
      <w:r>
        <w:t>Folding</w:t>
      </w:r>
      <w:r w:rsidRPr="009C14C4">
        <w:t xml:space="preserve"> Cots Mandatory Standard</w:t>
      </w:r>
      <w:r w:rsidRPr="003901CE">
        <w:t xml:space="preserve"> captures and what products it does not? </w:t>
      </w:r>
      <w:r>
        <w:t>Please explain and outline any clarification required.</w:t>
      </w:r>
    </w:p>
    <w:p w14:paraId="22F65DC5" w14:textId="19C28DB6" w:rsidR="005F1A13" w:rsidRPr="00F034BF" w:rsidRDefault="00F034BF" w:rsidP="00F034BF">
      <w:pPr>
        <w:shd w:val="clear" w:color="auto" w:fill="F2F2F2" w:themeFill="background1" w:themeFillShade="F2"/>
        <w:ind w:left="340" w:hanging="340"/>
      </w:pPr>
      <w:r>
        <w:t>2</w:t>
      </w:r>
      <w:r w:rsidR="003901CE">
        <w:t>5</w:t>
      </w:r>
      <w:r>
        <w:t>. Please provide any data or information you have on the effectiveness of the Folding</w:t>
      </w:r>
      <w:r w:rsidRPr="009C14C4">
        <w:t xml:space="preserve"> Cots Mandatory Standard</w:t>
      </w:r>
      <w:r>
        <w:t>.</w:t>
      </w:r>
      <w:r w:rsidRPr="009C14C4">
        <w:t xml:space="preserve"> </w:t>
      </w:r>
    </w:p>
    <w:p w14:paraId="0F3D86F9" w14:textId="20E3FE66" w:rsidR="00417EB4" w:rsidRDefault="00417EB4" w:rsidP="00417EB4">
      <w:pPr>
        <w:pStyle w:val="Numbered1"/>
      </w:pPr>
      <w:bookmarkStart w:id="260" w:name="_Toc110959506"/>
      <w:bookmarkEnd w:id="221"/>
      <w:r>
        <w:t>Recommended approach</w:t>
      </w:r>
      <w:bookmarkEnd w:id="260"/>
    </w:p>
    <w:p w14:paraId="54EA4248" w14:textId="01208C8D" w:rsidR="000F1CBC" w:rsidRDefault="000F1CBC" w:rsidP="00D3081C">
      <w:pPr>
        <w:pStyle w:val="Numbered11"/>
      </w:pPr>
      <w:bookmarkStart w:id="261" w:name="_Toc105747325"/>
      <w:bookmarkStart w:id="262" w:name="_Toc109039387"/>
      <w:bookmarkStart w:id="263" w:name="_Toc110871655"/>
      <w:bookmarkStart w:id="264" w:name="_Toc110959507"/>
      <w:r>
        <w:t xml:space="preserve">Preliminary </w:t>
      </w:r>
      <w:r w:rsidR="00417EB4">
        <w:t>p</w:t>
      </w:r>
      <w:r>
        <w:t>osition</w:t>
      </w:r>
      <w:bookmarkEnd w:id="261"/>
      <w:bookmarkEnd w:id="262"/>
      <w:bookmarkEnd w:id="263"/>
      <w:bookmarkEnd w:id="264"/>
    </w:p>
    <w:p w14:paraId="2E1DE23B" w14:textId="31719E7B" w:rsidR="002330DE" w:rsidRDefault="00417EB4" w:rsidP="00417EB4">
      <w:r w:rsidRPr="0007719E">
        <w:t>T</w:t>
      </w:r>
      <w:r w:rsidR="000F1CBC" w:rsidRPr="0007719E">
        <w:t>he ACC</w:t>
      </w:r>
      <w:r w:rsidR="0007719E" w:rsidRPr="0007719E">
        <w:t xml:space="preserve">C’s preferred intervention is </w:t>
      </w:r>
      <w:r w:rsidR="0007719E" w:rsidRPr="00F034BF">
        <w:t>O</w:t>
      </w:r>
      <w:r w:rsidR="000F1CBC" w:rsidRPr="00F034BF">
        <w:t xml:space="preserve">ption </w:t>
      </w:r>
      <w:r w:rsidR="002330DE">
        <w:t xml:space="preserve">7 </w:t>
      </w:r>
      <w:r w:rsidRPr="00F034BF">
        <w:t xml:space="preserve">as </w:t>
      </w:r>
      <w:r w:rsidR="0007719E" w:rsidRPr="00F034BF">
        <w:t xml:space="preserve">it </w:t>
      </w:r>
      <w:r w:rsidR="002330DE">
        <w:t>would</w:t>
      </w:r>
      <w:r w:rsidR="002330DE" w:rsidRPr="00F7236F">
        <w:t xml:space="preserve"> </w:t>
      </w:r>
      <w:r w:rsidR="002330DE">
        <w:t>permanently ban the supply</w:t>
      </w:r>
      <w:r w:rsidR="002330DE" w:rsidRPr="00664529">
        <w:t xml:space="preserve"> of</w:t>
      </w:r>
      <w:r w:rsidR="002330DE">
        <w:t xml:space="preserve"> the highest-risk</w:t>
      </w:r>
      <w:r w:rsidR="002330DE" w:rsidRPr="00664529">
        <w:t xml:space="preserve"> </w:t>
      </w:r>
      <w:r w:rsidR="002330DE">
        <w:t>Inclined</w:t>
      </w:r>
      <w:r w:rsidR="002330DE" w:rsidRPr="00664529">
        <w:t xml:space="preserve"> </w:t>
      </w:r>
      <w:r w:rsidR="002330DE">
        <w:t>S</w:t>
      </w:r>
      <w:r w:rsidR="002330DE" w:rsidRPr="00664529">
        <w:t xml:space="preserve">leep </w:t>
      </w:r>
      <w:r w:rsidR="00AE6F96">
        <w:t>P</w:t>
      </w:r>
      <w:r w:rsidR="002330DE" w:rsidRPr="00664529">
        <w:t>roducts</w:t>
      </w:r>
      <w:r w:rsidR="002330DE">
        <w:t xml:space="preserve"> in the Australian market while </w:t>
      </w:r>
      <w:r w:rsidR="006853F4">
        <w:t xml:space="preserve">a </w:t>
      </w:r>
      <w:r w:rsidR="002330DE">
        <w:t>holistic information</w:t>
      </w:r>
      <w:r w:rsidR="006853F4">
        <w:t xml:space="preserve"> standard</w:t>
      </w:r>
      <w:r w:rsidR="002330DE">
        <w:t xml:space="preserve"> and </w:t>
      </w:r>
      <w:r w:rsidR="006853F4">
        <w:t xml:space="preserve">a holistic </w:t>
      </w:r>
      <w:r w:rsidR="00704252">
        <w:t>safety</w:t>
      </w:r>
      <w:r w:rsidR="002330DE">
        <w:t xml:space="preserve"> standard are developed</w:t>
      </w:r>
      <w:r w:rsidR="006853F4">
        <w:t xml:space="preserve"> for Infant Sleep Products</w:t>
      </w:r>
      <w:r w:rsidR="002330DE">
        <w:t xml:space="preserve">. </w:t>
      </w:r>
    </w:p>
    <w:p w14:paraId="70066BC3" w14:textId="698EBB50" w:rsidR="00417EB4" w:rsidRPr="0007719E" w:rsidRDefault="002330DE" w:rsidP="00417EB4">
      <w:r>
        <w:t xml:space="preserve">The ACCC considers </w:t>
      </w:r>
      <w:r w:rsidR="006853F4">
        <w:t xml:space="preserve">a </w:t>
      </w:r>
      <w:r>
        <w:t>holistic information</w:t>
      </w:r>
      <w:r w:rsidR="006853F4">
        <w:t xml:space="preserve"> standard</w:t>
      </w:r>
      <w:r>
        <w:t xml:space="preserve"> and</w:t>
      </w:r>
      <w:r w:rsidR="006853F4">
        <w:t xml:space="preserve"> a holistic</w:t>
      </w:r>
      <w:r>
        <w:t xml:space="preserve"> </w:t>
      </w:r>
      <w:r w:rsidR="00704252">
        <w:t>safety</w:t>
      </w:r>
      <w:r>
        <w:t xml:space="preserve"> standard would be</w:t>
      </w:r>
      <w:r w:rsidRPr="00F034BF">
        <w:t xml:space="preserve"> </w:t>
      </w:r>
      <w:r w:rsidR="00417EB4" w:rsidRPr="00F034BF">
        <w:t>the</w:t>
      </w:r>
      <w:r w:rsidR="00417EB4" w:rsidRPr="0007719E">
        <w:t xml:space="preserve"> most effective metho</w:t>
      </w:r>
      <w:r w:rsidR="00D3081C" w:rsidRPr="0007719E">
        <w:t>d</w:t>
      </w:r>
      <w:r w:rsidR="00417EB4" w:rsidRPr="0007719E">
        <w:t xml:space="preserve"> to reduce infant fatalities associated with known </w:t>
      </w:r>
      <w:r w:rsidR="00AA23BE" w:rsidRPr="0007719E">
        <w:t xml:space="preserve">risks </w:t>
      </w:r>
      <w:r w:rsidR="003B0C60">
        <w:t>of</w:t>
      </w:r>
      <w:r w:rsidR="00417EB4" w:rsidRPr="0007719E">
        <w:t xml:space="preserve"> Infant Sleep Products</w:t>
      </w:r>
      <w:r w:rsidR="008D00CE" w:rsidRPr="0007719E">
        <w:t xml:space="preserve">. </w:t>
      </w:r>
      <w:r w:rsidR="0007719E" w:rsidRPr="0007719E">
        <w:t>In particular,</w:t>
      </w:r>
      <w:r w:rsidR="0007719E">
        <w:t xml:space="preserve"> </w:t>
      </w:r>
      <w:r w:rsidR="00D561CB">
        <w:t xml:space="preserve">this </w:t>
      </w:r>
      <w:r>
        <w:t xml:space="preserve">would: </w:t>
      </w:r>
    </w:p>
    <w:p w14:paraId="3BEB4A14" w14:textId="35A0FF9A" w:rsidR="0007719E" w:rsidRDefault="0007719E" w:rsidP="0007719E">
      <w:pPr>
        <w:pStyle w:val="Bulletpoint"/>
      </w:pPr>
      <w:r w:rsidRPr="00644A13">
        <w:t xml:space="preserve">introduce testing and design requirements for risks associated with Inclined Sleep Products, </w:t>
      </w:r>
      <w:r w:rsidR="00BD736C">
        <w:t xml:space="preserve">which are currently unregulated </w:t>
      </w:r>
      <w:r w:rsidRPr="00644A13">
        <w:t xml:space="preserve"> </w:t>
      </w:r>
    </w:p>
    <w:p w14:paraId="35CC78FC" w14:textId="7C7A798E" w:rsidR="0007719E" w:rsidRPr="00644A13" w:rsidRDefault="0007719E" w:rsidP="0007719E">
      <w:pPr>
        <w:pStyle w:val="Bulletpoint"/>
      </w:pPr>
      <w:r>
        <w:t>capture all Infant Sleep Products to ensure the design of Infant Sleep Products reflects public health advice and addresses the risks posed by incline, curvature, rigidity and material used</w:t>
      </w:r>
    </w:p>
    <w:p w14:paraId="4C85C5D2" w14:textId="0603F389" w:rsidR="0007719E" w:rsidRDefault="0007719E" w:rsidP="0007719E">
      <w:pPr>
        <w:pStyle w:val="Bulletpoint"/>
      </w:pPr>
      <w:r w:rsidRPr="00644A13">
        <w:t>include safety information and warnings so consumers are well-informed and understand the risks.</w:t>
      </w:r>
    </w:p>
    <w:p w14:paraId="08817D96" w14:textId="6337FCF4" w:rsidR="00DB3169" w:rsidRPr="00644A13" w:rsidRDefault="00704252" w:rsidP="00DB3169">
      <w:pPr>
        <w:pStyle w:val="Bulletpoint"/>
        <w:numPr>
          <w:ilvl w:val="0"/>
          <w:numId w:val="0"/>
        </w:numPr>
      </w:pPr>
      <w:r>
        <w:t xml:space="preserve">In addition to Option 7, the ACCC’s preferred option is to adopt Option H4 and F4 to </w:t>
      </w:r>
      <w:r w:rsidR="00DB3169">
        <w:t xml:space="preserve">incorporate </w:t>
      </w:r>
      <w:r>
        <w:t xml:space="preserve">the most relevant changes to the </w:t>
      </w:r>
      <w:r w:rsidR="00DB3169">
        <w:t>Household Cots Mandatory Standard and the Folding Cots Mandatory Standard</w:t>
      </w:r>
      <w:r>
        <w:t xml:space="preserve"> and enable compliance with trusted international standards</w:t>
      </w:r>
      <w:r w:rsidR="00DB3169">
        <w:t>.</w:t>
      </w:r>
      <w:r w:rsidR="001430EA">
        <w:t xml:space="preserve"> </w:t>
      </w:r>
      <w:r>
        <w:t xml:space="preserve">This would </w:t>
      </w:r>
      <w:r w:rsidR="001430EA">
        <w:t xml:space="preserve">address emerging risks and allow for flexibility by permitting compliance with international standards. </w:t>
      </w:r>
      <w:r w:rsidR="00332EC3">
        <w:t xml:space="preserve">This is consistent with the ACL reforms identified above </w:t>
      </w:r>
      <w:r w:rsidR="00332EC3" w:rsidRPr="00B35D66">
        <w:t>in</w:t>
      </w:r>
      <w:r w:rsidR="00024D54" w:rsidRPr="00B35D66">
        <w:t xml:space="preserve"> 3.2.</w:t>
      </w:r>
      <w:r w:rsidR="00332EC3">
        <w:t xml:space="preserve"> </w:t>
      </w:r>
    </w:p>
    <w:p w14:paraId="5004654B" w14:textId="3454F450" w:rsidR="003C3C7C" w:rsidRDefault="003C3C7C" w:rsidP="00D3081C">
      <w:pPr>
        <w:pStyle w:val="Numbered11"/>
      </w:pPr>
      <w:bookmarkStart w:id="265" w:name="_Toc105747326"/>
      <w:bookmarkStart w:id="266" w:name="_Toc109039388"/>
      <w:bookmarkStart w:id="267" w:name="_Toc110871656"/>
      <w:bookmarkStart w:id="268" w:name="_Toc110959508"/>
      <w:r w:rsidRPr="003C3C7C">
        <w:t>Transition period</w:t>
      </w:r>
      <w:bookmarkEnd w:id="265"/>
      <w:bookmarkEnd w:id="266"/>
      <w:bookmarkEnd w:id="267"/>
      <w:bookmarkEnd w:id="268"/>
    </w:p>
    <w:p w14:paraId="33812725" w14:textId="05F413C5" w:rsidR="00181068" w:rsidRDefault="00181068" w:rsidP="00181068">
      <w:r>
        <w:t>A transition period allows industry time to comply with new requirements, including implementing changes to design</w:t>
      </w:r>
      <w:r w:rsidR="006853F4">
        <w:t xml:space="preserve"> and</w:t>
      </w:r>
      <w:r>
        <w:t xml:space="preserve"> packaging and to undertake testing. </w:t>
      </w:r>
      <w:r w:rsidRPr="00673285">
        <w:t>A transition period does not preclude parties from adopting the requirements early.</w:t>
      </w:r>
    </w:p>
    <w:p w14:paraId="7C356F26" w14:textId="7AF33B70" w:rsidR="002C5069" w:rsidRDefault="0067488B" w:rsidP="0067488B">
      <w:r>
        <w:t>The ACCC considers any new mandatory standard</w:t>
      </w:r>
      <w:r w:rsidR="002C5069">
        <w:t xml:space="preserve"> would have a transition period, from the date of commencement, of:</w:t>
      </w:r>
    </w:p>
    <w:p w14:paraId="0A9DD496" w14:textId="76113413" w:rsidR="002C5069" w:rsidRDefault="0067488B" w:rsidP="00F12B3A">
      <w:pPr>
        <w:pStyle w:val="Bulletpoint"/>
      </w:pPr>
      <w:r>
        <w:t xml:space="preserve">a 12-month transition </w:t>
      </w:r>
      <w:r w:rsidRPr="002C5069">
        <w:t>period</w:t>
      </w:r>
      <w:r w:rsidR="002C5069" w:rsidRPr="002C5069">
        <w:t xml:space="preserve"> for</w:t>
      </w:r>
      <w:r w:rsidR="002C5069">
        <w:t xml:space="preserve"> a</w:t>
      </w:r>
      <w:r w:rsidR="008E53E4">
        <w:t xml:space="preserve"> </w:t>
      </w:r>
      <w:r w:rsidR="002C5069">
        <w:t>mandatory information standard</w:t>
      </w:r>
      <w:r w:rsidR="00B51CCD">
        <w:t xml:space="preserve">, and </w:t>
      </w:r>
    </w:p>
    <w:p w14:paraId="620D5879" w14:textId="0B42E7D7" w:rsidR="002C5069" w:rsidRDefault="002C5069" w:rsidP="00F12B3A">
      <w:pPr>
        <w:pStyle w:val="Bulletpoint"/>
      </w:pPr>
      <w:r>
        <w:t>a</w:t>
      </w:r>
      <w:r w:rsidR="004D453B">
        <w:t>n</w:t>
      </w:r>
      <w:r>
        <w:t xml:space="preserve"> 18-month transition period for </w:t>
      </w:r>
      <w:r w:rsidR="006E7C70">
        <w:t>new design requirements in a</w:t>
      </w:r>
      <w:r>
        <w:t xml:space="preserve"> mandatory safety standard.  </w:t>
      </w:r>
    </w:p>
    <w:p w14:paraId="1648C73E" w14:textId="6B6B7A29" w:rsidR="0067488B" w:rsidRDefault="00594AB1" w:rsidP="00594AB1">
      <w:r>
        <w:t xml:space="preserve">We anticipate </w:t>
      </w:r>
      <w:r w:rsidR="00181068">
        <w:t xml:space="preserve">these transition periods </w:t>
      </w:r>
      <w:r w:rsidR="0067488B">
        <w:t xml:space="preserve">provide </w:t>
      </w:r>
      <w:r>
        <w:t xml:space="preserve">reasonable </w:t>
      </w:r>
      <w:r w:rsidR="0067488B">
        <w:t>time for industry to exit</w:t>
      </w:r>
      <w:r w:rsidR="00181068">
        <w:t xml:space="preserve"> </w:t>
      </w:r>
      <w:r w:rsidR="0067488B">
        <w:t>stock</w:t>
      </w:r>
      <w:r w:rsidR="00181068">
        <w:t xml:space="preserve"> that may not comply</w:t>
      </w:r>
      <w:r w:rsidR="0067488B">
        <w:t xml:space="preserve"> </w:t>
      </w:r>
      <w:r w:rsidR="00181068">
        <w:t>and</w:t>
      </w:r>
      <w:r w:rsidR="0067488B">
        <w:t xml:space="preserve"> source new stock</w:t>
      </w:r>
      <w:r w:rsidR="00B51CCD">
        <w:t xml:space="preserve"> (excluding any stock captured by a ban)</w:t>
      </w:r>
      <w:r>
        <w:t>.</w:t>
      </w:r>
      <w:r w:rsidR="0067488B">
        <w:t xml:space="preserve"> </w:t>
      </w:r>
    </w:p>
    <w:p w14:paraId="5090CD9D" w14:textId="18F560DD" w:rsidR="002C5069" w:rsidRPr="002C5069" w:rsidRDefault="002C5069" w:rsidP="002C5069">
      <w:pPr>
        <w:shd w:val="clear" w:color="auto" w:fill="F2F2F2" w:themeFill="background1" w:themeFillShade="F2"/>
        <w:rPr>
          <w:b/>
          <w:bCs/>
        </w:rPr>
      </w:pPr>
      <w:r w:rsidRPr="002C5069">
        <w:rPr>
          <w:b/>
          <w:bCs/>
        </w:rPr>
        <w:t>Question</w:t>
      </w:r>
    </w:p>
    <w:p w14:paraId="4A30B63D" w14:textId="1E864C99" w:rsidR="00F034BF" w:rsidRPr="00F034BF" w:rsidRDefault="00F034BF" w:rsidP="002233B2">
      <w:pPr>
        <w:shd w:val="clear" w:color="auto" w:fill="F2F2F2" w:themeFill="background1" w:themeFillShade="F2"/>
        <w:spacing w:after="240"/>
      </w:pPr>
      <w:bookmarkStart w:id="269" w:name="_Hlk106637540"/>
      <w:r>
        <w:t>2</w:t>
      </w:r>
      <w:r w:rsidR="00165995">
        <w:t>6</w:t>
      </w:r>
      <w:r>
        <w:t xml:space="preserve">. </w:t>
      </w:r>
      <w:r w:rsidR="002C0677" w:rsidRPr="003742D5">
        <w:t>Provide comment on the transition period for the proposed options.</w:t>
      </w:r>
      <w:bookmarkStart w:id="270" w:name="_Toc105747327"/>
      <w:bookmarkEnd w:id="269"/>
    </w:p>
    <w:p w14:paraId="3D010755" w14:textId="09DB09CC" w:rsidR="00AA6ABC" w:rsidRDefault="00AA6ABC" w:rsidP="00D561CB">
      <w:pPr>
        <w:pStyle w:val="Numbered11"/>
        <w:keepNext/>
        <w:spacing w:before="0"/>
        <w:ind w:left="794" w:hanging="794"/>
      </w:pPr>
      <w:bookmarkStart w:id="271" w:name="_Toc109039389"/>
      <w:bookmarkStart w:id="272" w:name="_Toc110871657"/>
      <w:bookmarkStart w:id="273" w:name="_Toc110959509"/>
      <w:r>
        <w:t xml:space="preserve">Review of </w:t>
      </w:r>
      <w:r w:rsidR="00BB16B1">
        <w:t>mandatory</w:t>
      </w:r>
      <w:r>
        <w:t xml:space="preserve"> standards</w:t>
      </w:r>
      <w:bookmarkEnd w:id="270"/>
      <w:bookmarkEnd w:id="271"/>
      <w:bookmarkEnd w:id="272"/>
      <w:bookmarkEnd w:id="273"/>
    </w:p>
    <w:p w14:paraId="2F41B333" w14:textId="1A10736D" w:rsidR="002C5069" w:rsidRPr="002C5069" w:rsidRDefault="002C5069" w:rsidP="002C5069">
      <w:r w:rsidRPr="002C5069">
        <w:t xml:space="preserve">The ACCC considers a formal review of any new mandatory safety and/or information standard should be conducted at the end of 5 full years from the date of commencement. </w:t>
      </w:r>
    </w:p>
    <w:p w14:paraId="502FBB35" w14:textId="2EAD4C00" w:rsidR="005B2870" w:rsidRPr="002C5069" w:rsidRDefault="002C5069" w:rsidP="002C5069">
      <w:r w:rsidRPr="002C5069">
        <w:t xml:space="preserve">Any review would consider levels of compliance with mandatory standards, changes in product design and changes in the prevalence of injuries and </w:t>
      </w:r>
      <w:r w:rsidR="00CB514F">
        <w:t>fatalities</w:t>
      </w:r>
      <w:r w:rsidR="00CB514F" w:rsidRPr="002C5069">
        <w:t xml:space="preserve"> </w:t>
      </w:r>
      <w:r w:rsidRPr="002C5069">
        <w:t>caused</w:t>
      </w:r>
      <w:bookmarkStart w:id="274" w:name="_Hlk95133822"/>
      <w:r w:rsidRPr="002C5069">
        <w:t xml:space="preserve"> by Infant Sleep Products. </w:t>
      </w:r>
    </w:p>
    <w:p w14:paraId="1CF38590" w14:textId="518188DC" w:rsidR="007D13AB" w:rsidRDefault="007D13AB" w:rsidP="006173D0">
      <w:pPr>
        <w:pStyle w:val="Numbered1"/>
      </w:pPr>
      <w:bookmarkStart w:id="275" w:name="_Toc110959510"/>
      <w:bookmarkEnd w:id="274"/>
      <w:r>
        <w:t>Next steps</w:t>
      </w:r>
      <w:bookmarkEnd w:id="275"/>
      <w:r w:rsidR="00F34374">
        <w:t xml:space="preserve"> </w:t>
      </w:r>
    </w:p>
    <w:p w14:paraId="5CBEE7DD" w14:textId="7E5616C5" w:rsidR="00164FC3" w:rsidRDefault="00417EB4" w:rsidP="00310018">
      <w:r>
        <w:t>Following a</w:t>
      </w:r>
      <w:r w:rsidR="00163EB1">
        <w:t>n</w:t>
      </w:r>
      <w:r>
        <w:t xml:space="preserve"> assessment of responses to the questions within this C</w:t>
      </w:r>
      <w:r w:rsidR="003E4EC2">
        <w:t xml:space="preserve">onsultation </w:t>
      </w:r>
      <w:r>
        <w:t>P</w:t>
      </w:r>
      <w:r w:rsidR="003E4EC2">
        <w:t>aper</w:t>
      </w:r>
      <w:r w:rsidR="00163EB1">
        <w:t>,</w:t>
      </w:r>
      <w:r w:rsidR="003E4EC2">
        <w:t xml:space="preserve"> the ACCC </w:t>
      </w:r>
      <w:r w:rsidR="00181068">
        <w:t>will</w:t>
      </w:r>
      <w:r w:rsidR="003E4EC2">
        <w:t xml:space="preserve"> develop a Final Recommendation to the </w:t>
      </w:r>
      <w:r w:rsidR="003E4EC2" w:rsidRPr="004D453B">
        <w:t>Minister</w:t>
      </w:r>
      <w:r w:rsidR="00163EB1" w:rsidRPr="004D453B">
        <w:t xml:space="preserve"> in 2023.</w:t>
      </w:r>
    </w:p>
    <w:p w14:paraId="36C5274A" w14:textId="6B202A8C" w:rsidR="00164FC3" w:rsidRPr="00164FC3" w:rsidRDefault="00164FC3" w:rsidP="00D3081C">
      <w:pPr>
        <w:shd w:val="clear" w:color="auto" w:fill="F2F2F2" w:themeFill="background1" w:themeFillShade="F2"/>
        <w:rPr>
          <w:b/>
          <w:bCs/>
        </w:rPr>
      </w:pPr>
      <w:r w:rsidRPr="00164FC3">
        <w:rPr>
          <w:b/>
          <w:bCs/>
        </w:rPr>
        <w:t>Question</w:t>
      </w:r>
    </w:p>
    <w:p w14:paraId="24B63079" w14:textId="7D42E1BD" w:rsidR="00115880" w:rsidRDefault="00165995" w:rsidP="00F034BF">
      <w:pPr>
        <w:shd w:val="clear" w:color="auto" w:fill="F2F2F2" w:themeFill="background1" w:themeFillShade="F2"/>
        <w:ind w:left="340" w:hanging="340"/>
      </w:pPr>
      <w:bookmarkStart w:id="276" w:name="_Hlk106637545"/>
      <w:r>
        <w:t>27</w:t>
      </w:r>
      <w:r w:rsidR="00F034BF">
        <w:t>.</w:t>
      </w:r>
      <w:r w:rsidR="003E4EC2" w:rsidRPr="00446F3E">
        <w:t xml:space="preserve"> </w:t>
      </w:r>
      <w:r w:rsidR="003E4EC2" w:rsidRPr="002E6E21">
        <w:t>Provide</w:t>
      </w:r>
      <w:r w:rsidR="003E4EC2" w:rsidRPr="003742D5">
        <w:t xml:space="preserve"> any additional information or data you think may be useful to inform the ACCC’s recommendation to the Minister.</w:t>
      </w:r>
    </w:p>
    <w:p w14:paraId="0FA6EA1C" w14:textId="5A10008C" w:rsidR="007D13AB" w:rsidRDefault="007D13AB" w:rsidP="00082A99">
      <w:pPr>
        <w:pStyle w:val="Numbered1"/>
        <w:pageBreakBefore/>
        <w:numPr>
          <w:ilvl w:val="0"/>
          <w:numId w:val="0"/>
        </w:numPr>
        <w:ind w:left="357" w:hanging="357"/>
      </w:pPr>
      <w:bookmarkStart w:id="277" w:name="_Toc110959511"/>
      <w:bookmarkEnd w:id="276"/>
      <w:r>
        <w:t>Appendices</w:t>
      </w:r>
      <w:bookmarkEnd w:id="277"/>
    </w:p>
    <w:p w14:paraId="612E88C9" w14:textId="78708B7D" w:rsidR="00840BE8" w:rsidRDefault="00840BE8" w:rsidP="00840BE8">
      <w:pPr>
        <w:pStyle w:val="Heading2"/>
      </w:pPr>
      <w:bookmarkStart w:id="278" w:name="_Toc106637704"/>
      <w:bookmarkStart w:id="279" w:name="_Toc106802925"/>
      <w:bookmarkStart w:id="280" w:name="_Toc109039392"/>
      <w:bookmarkStart w:id="281" w:name="_Toc110871660"/>
      <w:bookmarkStart w:id="282" w:name="_Toc110959512"/>
      <w:r w:rsidRPr="00691474">
        <w:t xml:space="preserve">Appendix </w:t>
      </w:r>
      <w:bookmarkEnd w:id="278"/>
      <w:bookmarkEnd w:id="279"/>
      <w:r w:rsidR="00691474" w:rsidRPr="00691474">
        <w:t>1</w:t>
      </w:r>
      <w:r w:rsidR="00BC6AE8">
        <w:t>: Calculation methods for infant fatalities</w:t>
      </w:r>
      <w:bookmarkEnd w:id="280"/>
      <w:bookmarkEnd w:id="281"/>
      <w:bookmarkEnd w:id="282"/>
    </w:p>
    <w:p w14:paraId="6FEEA245" w14:textId="3C426E75" w:rsidR="007C07F5" w:rsidRPr="00597444" w:rsidRDefault="00CF5899" w:rsidP="007C07F5">
      <w:r>
        <w:t>The Australian Ca</w:t>
      </w:r>
      <w:r w:rsidRPr="00691474">
        <w:t>pital Territory, New South Wales, Queensland, South Australia, Tasmania</w:t>
      </w:r>
      <w:r>
        <w:t>,</w:t>
      </w:r>
      <w:r w:rsidRPr="00691474">
        <w:t xml:space="preserve"> and Victoria</w:t>
      </w:r>
      <w:r>
        <w:t xml:space="preserve"> provided data where </w:t>
      </w:r>
      <w:r w:rsidR="00F67DD6">
        <w:t>a</w:t>
      </w:r>
      <w:r>
        <w:t xml:space="preserve"> fatality occurred whilst </w:t>
      </w:r>
      <w:r w:rsidR="0048357E">
        <w:t xml:space="preserve">the infant was </w:t>
      </w:r>
      <w:r w:rsidR="00F67DD6">
        <w:t>placed in</w:t>
      </w:r>
      <w:r>
        <w:t xml:space="preserve"> an Infant Sleep Product which could not be attributed to any other cause</w:t>
      </w:r>
      <w:r w:rsidR="0048357E">
        <w:t xml:space="preserve"> of death</w:t>
      </w:r>
      <w:r>
        <w:t xml:space="preserve">. </w:t>
      </w:r>
      <w:r w:rsidR="007C07F5" w:rsidRPr="00597444">
        <w:t xml:space="preserve">The ACCC used </w:t>
      </w:r>
      <w:r w:rsidR="0048357E">
        <w:t xml:space="preserve">this </w:t>
      </w:r>
      <w:r w:rsidR="007C07F5" w:rsidRPr="00597444">
        <w:t xml:space="preserve">fatality data </w:t>
      </w:r>
      <w:r w:rsidR="007C07F5" w:rsidRPr="00691474">
        <w:t>to estimate</w:t>
      </w:r>
      <w:r w:rsidR="007C07F5" w:rsidRPr="00597444">
        <w:t xml:space="preserve"> the total number of infant fatalities in Australia through </w:t>
      </w:r>
      <w:r w:rsidR="00CF1826">
        <w:t>the following</w:t>
      </w:r>
      <w:r w:rsidR="007C07F5" w:rsidRPr="00597444">
        <w:t xml:space="preserve"> methods</w:t>
      </w:r>
      <w:r w:rsidR="005870D2">
        <w:t xml:space="preserve"> using the population, infant population</w:t>
      </w:r>
      <w:r w:rsidR="00BC6AE8">
        <w:t>,</w:t>
      </w:r>
      <w:r w:rsidR="005870D2">
        <w:t xml:space="preserve"> and infant fatalities</w:t>
      </w:r>
      <w:r w:rsidR="007C07F5" w:rsidRPr="00597444">
        <w:t xml:space="preserve">: </w:t>
      </w:r>
    </w:p>
    <w:p w14:paraId="30D41279" w14:textId="7E28C13E" w:rsidR="007C07F5" w:rsidRPr="00085975" w:rsidRDefault="007C07F5" w:rsidP="00302C1B">
      <w:pPr>
        <w:numPr>
          <w:ilvl w:val="0"/>
          <w:numId w:val="33"/>
        </w:numPr>
        <w:ind w:left="360"/>
      </w:pPr>
      <w:r w:rsidRPr="00085975">
        <w:t xml:space="preserve">The </w:t>
      </w:r>
      <w:r w:rsidRPr="00085975">
        <w:rPr>
          <w:b/>
          <w:bCs/>
        </w:rPr>
        <w:t>average</w:t>
      </w:r>
      <w:r w:rsidR="00D92DB3" w:rsidRPr="00085975">
        <w:rPr>
          <w:b/>
          <w:bCs/>
        </w:rPr>
        <w:t xml:space="preserve"> </w:t>
      </w:r>
      <w:r w:rsidR="00ED4291" w:rsidRPr="00085975">
        <w:t>–</w:t>
      </w:r>
      <w:r w:rsidR="00D92DB3" w:rsidRPr="00085975">
        <w:t xml:space="preserve"> </w:t>
      </w:r>
      <w:r w:rsidR="002F58A7" w:rsidRPr="00085975">
        <w:t xml:space="preserve">uses the average population, infant population, and infant fatalities </w:t>
      </w:r>
      <w:r w:rsidR="00EF6942" w:rsidRPr="00085975">
        <w:t xml:space="preserve">separately </w:t>
      </w:r>
      <w:r w:rsidR="002F58A7" w:rsidRPr="00085975">
        <w:t>to estimate the figure for unknown jurisdictions based on the data provided</w:t>
      </w:r>
      <w:r w:rsidR="00085975" w:rsidRPr="00085975">
        <w:t xml:space="preserve"> then</w:t>
      </w:r>
      <w:r w:rsidR="002F58A7" w:rsidRPr="00085975">
        <w:t xml:space="preserve"> finds the total Australian average. </w:t>
      </w:r>
    </w:p>
    <w:p w14:paraId="52D58AE4" w14:textId="32A2B012" w:rsidR="007C07F5" w:rsidRPr="00597444" w:rsidRDefault="007C07F5" w:rsidP="007C07F5">
      <w:pPr>
        <w:numPr>
          <w:ilvl w:val="0"/>
          <w:numId w:val="33"/>
        </w:numPr>
        <w:ind w:left="360"/>
      </w:pPr>
      <w:r w:rsidRPr="00597444">
        <w:t xml:space="preserve">The </w:t>
      </w:r>
      <w:r w:rsidRPr="00597444">
        <w:rPr>
          <w:b/>
          <w:bCs/>
        </w:rPr>
        <w:t>weighted average</w:t>
      </w:r>
      <w:r w:rsidRPr="00597444">
        <w:t xml:space="preserve"> </w:t>
      </w:r>
      <w:r w:rsidR="005870D2">
        <w:t xml:space="preserve">– </w:t>
      </w:r>
      <w:r w:rsidR="002F58A7">
        <w:t xml:space="preserve">uses similar </w:t>
      </w:r>
      <w:r w:rsidR="00C04AD4">
        <w:t>calculations</w:t>
      </w:r>
      <w:r w:rsidR="002F58A7">
        <w:t xml:space="preserve"> to the ‘average</w:t>
      </w:r>
      <w:r w:rsidR="00E80048">
        <w:t>’</w:t>
      </w:r>
      <w:r w:rsidR="002F58A7">
        <w:t xml:space="preserve"> method but</w:t>
      </w:r>
      <w:r w:rsidR="00C04AD4">
        <w:t xml:space="preserve"> weights each </w:t>
      </w:r>
      <w:r w:rsidR="00C04AD4" w:rsidRPr="00597444">
        <w:t>jurisdiction</w:t>
      </w:r>
      <w:r w:rsidR="00C04AD4">
        <w:t xml:space="preserve"> based on its population, infant population, and number </w:t>
      </w:r>
      <w:r w:rsidR="00F7511B">
        <w:t xml:space="preserve">of </w:t>
      </w:r>
      <w:r w:rsidR="00C04AD4">
        <w:t xml:space="preserve">infant fatalities. This method is deemed the most accurate as it reflects the differing population, infant population, and number </w:t>
      </w:r>
      <w:r w:rsidR="00F7511B">
        <w:t xml:space="preserve">of </w:t>
      </w:r>
      <w:r w:rsidR="00C04AD4">
        <w:t xml:space="preserve">infant fatalities for each </w:t>
      </w:r>
      <w:r w:rsidR="00C04AD4" w:rsidRPr="00597444">
        <w:t>jurisdiction</w:t>
      </w:r>
      <w:r w:rsidR="00C04AD4">
        <w:t xml:space="preserve">. </w:t>
      </w:r>
    </w:p>
    <w:p w14:paraId="03E4C38C" w14:textId="69DF81CF" w:rsidR="007C07F5" w:rsidRDefault="007C07F5" w:rsidP="00C04AD4">
      <w:pPr>
        <w:numPr>
          <w:ilvl w:val="0"/>
          <w:numId w:val="33"/>
        </w:numPr>
        <w:ind w:left="360"/>
      </w:pPr>
      <w:r w:rsidRPr="00597444">
        <w:t xml:space="preserve">The </w:t>
      </w:r>
      <w:r w:rsidRPr="00597444">
        <w:rPr>
          <w:b/>
          <w:bCs/>
        </w:rPr>
        <w:t>most similar</w:t>
      </w:r>
      <w:r w:rsidRPr="00597444">
        <w:t xml:space="preserve"> </w:t>
      </w:r>
      <w:r w:rsidR="00BF59BD">
        <w:t xml:space="preserve">– </w:t>
      </w:r>
      <w:r w:rsidRPr="00597444">
        <w:t>extract</w:t>
      </w:r>
      <w:r>
        <w:t>s</w:t>
      </w:r>
      <w:r w:rsidRPr="00597444">
        <w:t xml:space="preserve"> an estimated figure for unknown jurisdictions based on the data provided by its most similar known state</w:t>
      </w:r>
      <w:r w:rsidR="00C04AD4">
        <w:t xml:space="preserve">. </w:t>
      </w:r>
      <w:r w:rsidRPr="00597444">
        <w:t>The ‘</w:t>
      </w:r>
      <w:r w:rsidR="00E80048">
        <w:t>m</w:t>
      </w:r>
      <w:r w:rsidRPr="00597444">
        <w:t xml:space="preserve">ost similar’ jurisdiction is partnered dependent on its infant fatality similarities. </w:t>
      </w:r>
      <w:r w:rsidRPr="00085975">
        <w:t>For example, more infant fatalities occur in warmer climates, therefore</w:t>
      </w:r>
      <w:r w:rsidR="0089100C" w:rsidRPr="00085975">
        <w:t>,</w:t>
      </w:r>
      <w:r w:rsidRPr="00085975">
        <w:t xml:space="preserve"> the Northern Territory is partnered with Queensland.</w:t>
      </w:r>
      <w:r w:rsidRPr="00597444">
        <w:t xml:space="preserve"> </w:t>
      </w:r>
    </w:p>
    <w:p w14:paraId="7A2E73CC" w14:textId="62F4F98D" w:rsidR="007C07F5" w:rsidRDefault="007C07F5" w:rsidP="007C07F5">
      <w:r w:rsidRPr="00597444">
        <w:t xml:space="preserve">The </w:t>
      </w:r>
      <w:r w:rsidR="00E21E39">
        <w:t xml:space="preserve">most recent figures published by the Australian Bureau of Statistics were used for </w:t>
      </w:r>
      <w:r w:rsidRPr="00597444">
        <w:t>population, infant population and infant fatalit</w:t>
      </w:r>
      <w:r w:rsidR="00EF6942">
        <w:t>ies</w:t>
      </w:r>
      <w:r w:rsidRPr="00597444">
        <w:t xml:space="preserve"> figures for each jurisdiction instead of the collective Australian figure for accuracy.</w:t>
      </w:r>
      <w:r w:rsidRPr="00597444">
        <w:rPr>
          <w:vertAlign w:val="superscript"/>
        </w:rPr>
        <w:footnoteReference w:id="33"/>
      </w:r>
      <w:r w:rsidRPr="00597444">
        <w:t xml:space="preserve"> </w:t>
      </w:r>
    </w:p>
    <w:p w14:paraId="631D642D" w14:textId="35C362B8" w:rsidR="007C07F5" w:rsidRPr="002E6E21" w:rsidRDefault="007C07F5" w:rsidP="007C07F5">
      <w:r>
        <w:t>Table</w:t>
      </w:r>
      <w:r w:rsidR="00446F3E">
        <w:t>s</w:t>
      </w:r>
      <w:r>
        <w:t xml:space="preserve"> </w:t>
      </w:r>
      <w:r w:rsidR="0089100C">
        <w:t>5</w:t>
      </w:r>
      <w:r w:rsidRPr="00446F3E">
        <w:t xml:space="preserve"> and </w:t>
      </w:r>
      <w:r w:rsidR="0089100C">
        <w:t>6</w:t>
      </w:r>
      <w:r w:rsidRPr="002E6E21">
        <w:t xml:space="preserve"> show the estimated national infant fatalities for Infant Sleep Products </w:t>
      </w:r>
      <w:r w:rsidR="00E21E39">
        <w:t xml:space="preserve">(excluding Inclined Sleep Products) </w:t>
      </w:r>
      <w:r w:rsidRPr="002E6E21">
        <w:t xml:space="preserve">and Inclined Sleep Products per year calculated from the above methods. </w:t>
      </w:r>
      <w:r w:rsidR="00E21E39">
        <w:t xml:space="preserve">The highlighted cell below represents the figure used in this consultation. </w:t>
      </w:r>
    </w:p>
    <w:p w14:paraId="7998F0FB" w14:textId="5FE394A9" w:rsidR="007C07F5" w:rsidRPr="002E6E21" w:rsidRDefault="007C07F5" w:rsidP="00D56B3B">
      <w:pPr>
        <w:pStyle w:val="Tabletitle"/>
      </w:pPr>
      <w:bookmarkStart w:id="283" w:name="_Hlk106113257"/>
      <w:r w:rsidRPr="00446F3E">
        <w:rPr>
          <w:bCs/>
        </w:rPr>
        <w:t xml:space="preserve">Table </w:t>
      </w:r>
      <w:r w:rsidR="0089100C">
        <w:rPr>
          <w:bCs/>
        </w:rPr>
        <w:t>5</w:t>
      </w:r>
      <w:r w:rsidRPr="002E6E21">
        <w:rPr>
          <w:bCs/>
        </w:rPr>
        <w:t>:</w:t>
      </w:r>
      <w:r w:rsidRPr="002E6E21">
        <w:t xml:space="preserve"> </w:t>
      </w:r>
      <w:r w:rsidRPr="002E6E21">
        <w:rPr>
          <w:bCs/>
          <w:u w:val="single"/>
        </w:rPr>
        <w:t>Estimated</w:t>
      </w:r>
      <w:r w:rsidRPr="002E6E21">
        <w:t xml:space="preserve"> national infant fatalities for Infant Sleep Products </w:t>
      </w:r>
      <w:r w:rsidR="00E21E39">
        <w:t>(excl Inclined Sleep Products)</w:t>
      </w:r>
    </w:p>
    <w:tbl>
      <w:tblPr>
        <w:tblW w:w="0" w:type="auto"/>
        <w:tblCellMar>
          <w:left w:w="0" w:type="dxa"/>
          <w:right w:w="0" w:type="dxa"/>
        </w:tblCellMar>
        <w:tblLook w:val="04A0" w:firstRow="1" w:lastRow="0" w:firstColumn="1" w:lastColumn="0" w:noHBand="0" w:noVBand="1"/>
      </w:tblPr>
      <w:tblGrid>
        <w:gridCol w:w="2260"/>
        <w:gridCol w:w="2239"/>
        <w:gridCol w:w="2249"/>
        <w:gridCol w:w="2258"/>
      </w:tblGrid>
      <w:tr w:rsidR="007C07F5" w:rsidRPr="002E6E21" w14:paraId="047481B3" w14:textId="77777777" w:rsidTr="00302C1B">
        <w:tc>
          <w:tcPr>
            <w:tcW w:w="226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7B61B6D4" w14:textId="77777777" w:rsidR="007C07F5" w:rsidRPr="00D56B3B" w:rsidRDefault="007C07F5" w:rsidP="00D56B3B">
            <w:pPr>
              <w:pStyle w:val="Tabletext"/>
            </w:pPr>
          </w:p>
        </w:tc>
        <w:tc>
          <w:tcPr>
            <w:tcW w:w="223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EAFE7B6" w14:textId="77777777" w:rsidR="007C07F5" w:rsidRPr="00D56B3B" w:rsidRDefault="007C07F5" w:rsidP="00D56B3B">
            <w:pPr>
              <w:pStyle w:val="Tabletext"/>
            </w:pPr>
            <w:r w:rsidRPr="00D56B3B">
              <w:t>Average</w:t>
            </w:r>
          </w:p>
        </w:tc>
        <w:tc>
          <w:tcPr>
            <w:tcW w:w="22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6D592554" w14:textId="77777777" w:rsidR="007C07F5" w:rsidRPr="00D56B3B" w:rsidRDefault="007C07F5" w:rsidP="00D56B3B">
            <w:pPr>
              <w:pStyle w:val="Tabletext"/>
            </w:pPr>
            <w:r w:rsidRPr="00D56B3B">
              <w:t>Weighted average</w:t>
            </w:r>
          </w:p>
        </w:tc>
        <w:tc>
          <w:tcPr>
            <w:tcW w:w="225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0FF9FD3B" w14:textId="77777777" w:rsidR="007C07F5" w:rsidRPr="00D56B3B" w:rsidRDefault="007C07F5" w:rsidP="00D56B3B">
            <w:pPr>
              <w:pStyle w:val="Tabletext"/>
            </w:pPr>
            <w:r w:rsidRPr="00D56B3B">
              <w:t>Most similar</w:t>
            </w:r>
          </w:p>
        </w:tc>
      </w:tr>
      <w:tr w:rsidR="00417FE4" w:rsidRPr="002E6E21" w14:paraId="7D28767E" w14:textId="77777777" w:rsidTr="00302C1B">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04A06B86" w14:textId="77777777" w:rsidR="00417FE4" w:rsidRPr="00D56B3B" w:rsidRDefault="00417FE4" w:rsidP="00D56B3B">
            <w:pPr>
              <w:pStyle w:val="Tabletext"/>
            </w:pPr>
            <w:r w:rsidRPr="00D56B3B">
              <w:t>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1949AFB3" w14:textId="4CF9B87F" w:rsidR="00417FE4" w:rsidRPr="00D56B3B" w:rsidRDefault="00417FE4" w:rsidP="00D56B3B">
            <w:pPr>
              <w:pStyle w:val="Tabletext"/>
            </w:pPr>
            <w:r w:rsidRPr="00D56B3B">
              <w:t>0.944</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3AE62C76" w14:textId="2327C451" w:rsidR="00417FE4" w:rsidRPr="00D56B3B" w:rsidRDefault="00417FE4" w:rsidP="00D56B3B">
            <w:pPr>
              <w:pStyle w:val="Tabletext"/>
            </w:pPr>
            <w:r w:rsidRPr="00D56B3B">
              <w:t>0.958</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2B447AD1" w14:textId="47A32BA5" w:rsidR="00417FE4" w:rsidRPr="00D56B3B" w:rsidRDefault="00417FE4" w:rsidP="00D56B3B">
            <w:pPr>
              <w:pStyle w:val="Tabletext"/>
            </w:pPr>
            <w:r w:rsidRPr="00D56B3B">
              <w:t>1.14</w:t>
            </w:r>
          </w:p>
        </w:tc>
      </w:tr>
      <w:tr w:rsidR="00417FE4" w:rsidRPr="002E6E21" w14:paraId="4BF949BD" w14:textId="77777777" w:rsidTr="00302C1B">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1456C66C" w14:textId="77777777" w:rsidR="00417FE4" w:rsidRPr="00D56B3B" w:rsidRDefault="00417FE4" w:rsidP="00D56B3B">
            <w:pPr>
              <w:pStyle w:val="Tabletext"/>
            </w:pPr>
            <w:r w:rsidRPr="00D56B3B">
              <w:t>Infant 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6006E072" w14:textId="1E4F089B" w:rsidR="00417FE4" w:rsidRPr="00D56B3B" w:rsidRDefault="00417FE4" w:rsidP="00D56B3B">
            <w:pPr>
              <w:pStyle w:val="Tabletext"/>
            </w:pPr>
            <w:r w:rsidRPr="00D56B3B">
              <w:t>0.9</w:t>
            </w:r>
            <w:r w:rsidR="00D27246">
              <w:t>54</w:t>
            </w:r>
          </w:p>
        </w:tc>
        <w:tc>
          <w:tcPr>
            <w:tcW w:w="2249" w:type="dxa"/>
            <w:tcBorders>
              <w:top w:val="nil"/>
              <w:left w:val="nil"/>
              <w:bottom w:val="single" w:sz="8" w:space="0" w:color="999999"/>
              <w:right w:val="single" w:sz="8" w:space="0" w:color="999999"/>
            </w:tcBorders>
            <w:shd w:val="clear" w:color="auto" w:fill="F8DABA"/>
            <w:tcMar>
              <w:top w:w="0" w:type="dxa"/>
              <w:left w:w="108" w:type="dxa"/>
              <w:bottom w:w="0" w:type="dxa"/>
              <w:right w:w="108" w:type="dxa"/>
            </w:tcMar>
          </w:tcPr>
          <w:p w14:paraId="02DD4CA2" w14:textId="57706977" w:rsidR="00417FE4" w:rsidRPr="00D56B3B" w:rsidRDefault="00417FE4" w:rsidP="00D56B3B">
            <w:pPr>
              <w:pStyle w:val="Tabletext"/>
            </w:pPr>
            <w:r w:rsidRPr="00D56B3B">
              <w:t>0.968</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7ED1A6CF" w14:textId="0E8AD2B9" w:rsidR="00417FE4" w:rsidRPr="00D56B3B" w:rsidRDefault="00417FE4" w:rsidP="00D56B3B">
            <w:pPr>
              <w:pStyle w:val="Tabletext"/>
            </w:pPr>
            <w:r w:rsidRPr="00D56B3B">
              <w:t>1.19</w:t>
            </w:r>
          </w:p>
        </w:tc>
      </w:tr>
      <w:tr w:rsidR="00417FE4" w:rsidRPr="002E6E21" w14:paraId="216B3615" w14:textId="77777777" w:rsidTr="001D7115">
        <w:trPr>
          <w:trHeight w:val="40"/>
        </w:trPr>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358EAFDA" w14:textId="77777777" w:rsidR="00417FE4" w:rsidRPr="00D56B3B" w:rsidRDefault="00417FE4" w:rsidP="00D56B3B">
            <w:pPr>
              <w:pStyle w:val="Tabletext"/>
            </w:pPr>
            <w:r w:rsidRPr="00D56B3B">
              <w:t xml:space="preserve">Infant fatalities </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3DFD1004" w14:textId="7EC2CA89" w:rsidR="00417FE4" w:rsidRPr="00D56B3B" w:rsidRDefault="00417FE4" w:rsidP="00D56B3B">
            <w:pPr>
              <w:pStyle w:val="Tabletext"/>
            </w:pPr>
            <w:r w:rsidRPr="00D56B3B">
              <w:t>0.938</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305C50C8" w14:textId="11E0E6FA" w:rsidR="00417FE4" w:rsidRPr="00D56B3B" w:rsidRDefault="00417FE4" w:rsidP="00D56B3B">
            <w:pPr>
              <w:pStyle w:val="Tabletext"/>
            </w:pPr>
            <w:r w:rsidRPr="00D56B3B">
              <w:t>0.938</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6093CEA3" w14:textId="7C09CC60" w:rsidR="00417FE4" w:rsidRPr="00D56B3B" w:rsidRDefault="00417FE4" w:rsidP="00D56B3B">
            <w:pPr>
              <w:pStyle w:val="Tabletext"/>
            </w:pPr>
            <w:r w:rsidRPr="00D56B3B">
              <w:t>1.19</w:t>
            </w:r>
          </w:p>
        </w:tc>
      </w:tr>
    </w:tbl>
    <w:bookmarkEnd w:id="283"/>
    <w:p w14:paraId="29068891" w14:textId="38CAF428" w:rsidR="007C07F5" w:rsidRPr="00597444" w:rsidRDefault="007C07F5" w:rsidP="00D56B3B">
      <w:pPr>
        <w:pStyle w:val="Tabletitle"/>
      </w:pPr>
      <w:r w:rsidRPr="00446F3E">
        <w:rPr>
          <w:bCs/>
        </w:rPr>
        <w:t xml:space="preserve">Table </w:t>
      </w:r>
      <w:r w:rsidR="0089100C">
        <w:rPr>
          <w:bCs/>
        </w:rPr>
        <w:t>6</w:t>
      </w:r>
      <w:r w:rsidRPr="002E6E21">
        <w:rPr>
          <w:bCs/>
        </w:rPr>
        <w:t>:</w:t>
      </w:r>
      <w:r w:rsidRPr="002E6E21">
        <w:t xml:space="preserve"> </w:t>
      </w:r>
      <w:r w:rsidRPr="002E6E21">
        <w:rPr>
          <w:bCs/>
          <w:u w:val="single"/>
        </w:rPr>
        <w:t>Estimated</w:t>
      </w:r>
      <w:r w:rsidRPr="002E6E21">
        <w:t xml:space="preserve"> national</w:t>
      </w:r>
      <w:r>
        <w:t xml:space="preserve"> infant fatalities for Inclined Sleep Products </w:t>
      </w:r>
    </w:p>
    <w:tbl>
      <w:tblPr>
        <w:tblW w:w="0" w:type="auto"/>
        <w:tblCellMar>
          <w:left w:w="0" w:type="dxa"/>
          <w:right w:w="0" w:type="dxa"/>
        </w:tblCellMar>
        <w:tblLook w:val="04A0" w:firstRow="1" w:lastRow="0" w:firstColumn="1" w:lastColumn="0" w:noHBand="0" w:noVBand="1"/>
      </w:tblPr>
      <w:tblGrid>
        <w:gridCol w:w="2260"/>
        <w:gridCol w:w="2239"/>
        <w:gridCol w:w="2249"/>
        <w:gridCol w:w="2258"/>
      </w:tblGrid>
      <w:tr w:rsidR="007C07F5" w:rsidRPr="00417FE4" w14:paraId="28C9C5FC" w14:textId="77777777" w:rsidTr="00302C1B">
        <w:tc>
          <w:tcPr>
            <w:tcW w:w="2260"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7AB1DA58" w14:textId="77777777" w:rsidR="007C07F5" w:rsidRPr="00D56B3B" w:rsidRDefault="007C07F5" w:rsidP="00D56B3B">
            <w:pPr>
              <w:pStyle w:val="Tabletext"/>
            </w:pPr>
          </w:p>
        </w:tc>
        <w:tc>
          <w:tcPr>
            <w:tcW w:w="223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1412609A" w14:textId="77777777" w:rsidR="007C07F5" w:rsidRPr="00D56B3B" w:rsidRDefault="007C07F5" w:rsidP="00D56B3B">
            <w:pPr>
              <w:pStyle w:val="Tabletext"/>
            </w:pPr>
            <w:r w:rsidRPr="00D56B3B">
              <w:t>Average</w:t>
            </w:r>
          </w:p>
        </w:tc>
        <w:tc>
          <w:tcPr>
            <w:tcW w:w="2249"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2010A686" w14:textId="77777777" w:rsidR="007C07F5" w:rsidRPr="00D56B3B" w:rsidRDefault="007C07F5" w:rsidP="00D56B3B">
            <w:pPr>
              <w:pStyle w:val="Tabletext"/>
            </w:pPr>
            <w:r w:rsidRPr="00D56B3B">
              <w:t>Weighted average</w:t>
            </w:r>
          </w:p>
        </w:tc>
        <w:tc>
          <w:tcPr>
            <w:tcW w:w="2258" w:type="dxa"/>
            <w:tcBorders>
              <w:top w:val="single" w:sz="8" w:space="0" w:color="999999"/>
              <w:left w:val="nil"/>
              <w:bottom w:val="single" w:sz="12" w:space="0" w:color="666666"/>
              <w:right w:val="single" w:sz="8" w:space="0" w:color="999999"/>
            </w:tcBorders>
            <w:tcMar>
              <w:top w:w="0" w:type="dxa"/>
              <w:left w:w="108" w:type="dxa"/>
              <w:bottom w:w="0" w:type="dxa"/>
              <w:right w:w="108" w:type="dxa"/>
            </w:tcMar>
            <w:hideMark/>
          </w:tcPr>
          <w:p w14:paraId="39D12D75" w14:textId="77777777" w:rsidR="007C07F5" w:rsidRPr="00D56B3B" w:rsidRDefault="007C07F5" w:rsidP="00D56B3B">
            <w:pPr>
              <w:pStyle w:val="Tabletext"/>
            </w:pPr>
            <w:r w:rsidRPr="00D56B3B">
              <w:t>Most similar</w:t>
            </w:r>
          </w:p>
        </w:tc>
      </w:tr>
      <w:tr w:rsidR="004F6E74" w:rsidRPr="00417FE4" w14:paraId="1C41E1EF" w14:textId="77777777" w:rsidTr="00F034BF">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5FBD1E46" w14:textId="77777777" w:rsidR="004F6E74" w:rsidRPr="00D56B3B" w:rsidRDefault="004F6E74" w:rsidP="004F6E74">
            <w:pPr>
              <w:pStyle w:val="Tabletext"/>
            </w:pPr>
            <w:r w:rsidRPr="00D56B3B">
              <w:t>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753F5970" w14:textId="5909ED03" w:rsidR="004F6E74" w:rsidRPr="00D56B3B" w:rsidRDefault="004F6E74" w:rsidP="004F6E74">
            <w:pPr>
              <w:pStyle w:val="Tabletext"/>
            </w:pPr>
            <w:r>
              <w:t>1.7</w:t>
            </w:r>
            <w:r w:rsidR="00D27246">
              <w:t>7</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1A57211D" w14:textId="2B876E3D" w:rsidR="004F6E74" w:rsidRPr="00D56B3B" w:rsidRDefault="004F6E74" w:rsidP="004F6E74">
            <w:pPr>
              <w:pStyle w:val="Tabletext"/>
            </w:pPr>
            <w:r>
              <w:t>1.84</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1B9E2017" w14:textId="059CDAC1" w:rsidR="004F6E74" w:rsidRPr="00D56B3B" w:rsidRDefault="004F6E74" w:rsidP="004F6E74">
            <w:pPr>
              <w:pStyle w:val="Tabletext"/>
            </w:pPr>
            <w:r>
              <w:t>1.75</w:t>
            </w:r>
          </w:p>
        </w:tc>
      </w:tr>
      <w:tr w:rsidR="004F6E74" w:rsidRPr="00417FE4" w14:paraId="6D1A891C" w14:textId="77777777" w:rsidTr="00F034BF">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6853D8E" w14:textId="77777777" w:rsidR="004F6E74" w:rsidRPr="00D56B3B" w:rsidRDefault="004F6E74" w:rsidP="004F6E74">
            <w:pPr>
              <w:pStyle w:val="Tabletext"/>
            </w:pPr>
            <w:r w:rsidRPr="00D56B3B">
              <w:t>Infant population</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60973F1C" w14:textId="6D80C141" w:rsidR="004F6E74" w:rsidRPr="00D56B3B" w:rsidRDefault="004F6E74" w:rsidP="004F6E74">
            <w:pPr>
              <w:pStyle w:val="Tabletext"/>
            </w:pPr>
            <w:r>
              <w:t>1.78</w:t>
            </w:r>
          </w:p>
        </w:tc>
        <w:tc>
          <w:tcPr>
            <w:tcW w:w="2249" w:type="dxa"/>
            <w:tcBorders>
              <w:top w:val="nil"/>
              <w:left w:val="nil"/>
              <w:bottom w:val="single" w:sz="8" w:space="0" w:color="999999"/>
              <w:right w:val="single" w:sz="8" w:space="0" w:color="999999"/>
            </w:tcBorders>
            <w:shd w:val="clear" w:color="auto" w:fill="F8DABA"/>
            <w:tcMar>
              <w:top w:w="0" w:type="dxa"/>
              <w:left w:w="108" w:type="dxa"/>
              <w:bottom w:w="0" w:type="dxa"/>
              <w:right w:w="108" w:type="dxa"/>
            </w:tcMar>
          </w:tcPr>
          <w:p w14:paraId="255CFCCD" w14:textId="7F82BBB7" w:rsidR="004F6E74" w:rsidRPr="00D56B3B" w:rsidRDefault="004F6E74" w:rsidP="004F6E74">
            <w:pPr>
              <w:pStyle w:val="Tabletext"/>
            </w:pPr>
            <w:r>
              <w:t>1.87</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7B5AFFF6" w14:textId="6CD66999" w:rsidR="004F6E74" w:rsidRPr="00D56B3B" w:rsidRDefault="004F6E74" w:rsidP="004F6E74">
            <w:pPr>
              <w:pStyle w:val="Tabletext"/>
            </w:pPr>
            <w:r>
              <w:t>1.7</w:t>
            </w:r>
            <w:r w:rsidR="00D27246">
              <w:t>7</w:t>
            </w:r>
          </w:p>
        </w:tc>
      </w:tr>
      <w:tr w:rsidR="004F6E74" w:rsidRPr="00417FE4" w14:paraId="12032714" w14:textId="77777777" w:rsidTr="00F034BF">
        <w:tc>
          <w:tcPr>
            <w:tcW w:w="2260" w:type="dxa"/>
            <w:tcBorders>
              <w:top w:val="nil"/>
              <w:left w:val="single" w:sz="8" w:space="0" w:color="999999"/>
              <w:bottom w:val="single" w:sz="8" w:space="0" w:color="999999"/>
              <w:right w:val="single" w:sz="8" w:space="0" w:color="999999"/>
            </w:tcBorders>
            <w:tcMar>
              <w:top w:w="0" w:type="dxa"/>
              <w:left w:w="108" w:type="dxa"/>
              <w:bottom w:w="0" w:type="dxa"/>
              <w:right w:w="108" w:type="dxa"/>
            </w:tcMar>
            <w:hideMark/>
          </w:tcPr>
          <w:p w14:paraId="2E0AE40B" w14:textId="77777777" w:rsidR="004F6E74" w:rsidRPr="00D56B3B" w:rsidRDefault="004F6E74" w:rsidP="004F6E74">
            <w:pPr>
              <w:pStyle w:val="Tabletext"/>
            </w:pPr>
            <w:r w:rsidRPr="00D56B3B">
              <w:t xml:space="preserve">Infant fatalities </w:t>
            </w:r>
          </w:p>
        </w:tc>
        <w:tc>
          <w:tcPr>
            <w:tcW w:w="223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72DB50FC" w14:textId="21E7FF6C" w:rsidR="004F6E74" w:rsidRPr="00D56B3B" w:rsidRDefault="004F6E74" w:rsidP="004F6E74">
            <w:pPr>
              <w:pStyle w:val="Tabletext"/>
            </w:pPr>
            <w:r>
              <w:t>1.79</w:t>
            </w:r>
          </w:p>
        </w:tc>
        <w:tc>
          <w:tcPr>
            <w:tcW w:w="2249"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62BECF54" w14:textId="5C3EA567" w:rsidR="004F6E74" w:rsidRPr="00D56B3B" w:rsidRDefault="004F6E74" w:rsidP="004F6E74">
            <w:pPr>
              <w:pStyle w:val="Tabletext"/>
            </w:pPr>
            <w:r>
              <w:t>1.88</w:t>
            </w:r>
          </w:p>
        </w:tc>
        <w:tc>
          <w:tcPr>
            <w:tcW w:w="2258" w:type="dxa"/>
            <w:tcBorders>
              <w:top w:val="nil"/>
              <w:left w:val="nil"/>
              <w:bottom w:val="single" w:sz="8" w:space="0" w:color="999999"/>
              <w:right w:val="single" w:sz="8" w:space="0" w:color="999999"/>
            </w:tcBorders>
            <w:shd w:val="clear" w:color="auto" w:fill="auto"/>
            <w:tcMar>
              <w:top w:w="0" w:type="dxa"/>
              <w:left w:w="108" w:type="dxa"/>
              <w:bottom w:w="0" w:type="dxa"/>
              <w:right w:w="108" w:type="dxa"/>
            </w:tcMar>
          </w:tcPr>
          <w:p w14:paraId="4D24A60D" w14:textId="6A5C5215" w:rsidR="004F6E74" w:rsidRPr="00D56B3B" w:rsidRDefault="004F6E74" w:rsidP="004F6E74">
            <w:pPr>
              <w:pStyle w:val="Tabletext"/>
            </w:pPr>
            <w:r>
              <w:t>1.83</w:t>
            </w:r>
          </w:p>
        </w:tc>
      </w:tr>
    </w:tbl>
    <w:bookmarkEnd w:id="59"/>
    <w:p w14:paraId="1A03C5B4" w14:textId="2924BD12" w:rsidR="00CA1868" w:rsidRDefault="00CA1868" w:rsidP="00CA1868">
      <w:pPr>
        <w:pStyle w:val="Bulletpoint"/>
        <w:numPr>
          <w:ilvl w:val="0"/>
          <w:numId w:val="0"/>
        </w:numPr>
        <w:rPr>
          <w:highlight w:val="yellow"/>
        </w:rPr>
      </w:pPr>
      <w:r w:rsidRPr="00F519F5">
        <w:t>There are a number of limitations and assumptions in these calculations such as:</w:t>
      </w:r>
    </w:p>
    <w:p w14:paraId="1DC44B81" w14:textId="2DF880A6" w:rsidR="00CA1868" w:rsidRPr="001A6AF7" w:rsidRDefault="00E10A93" w:rsidP="00302C1B">
      <w:pPr>
        <w:pStyle w:val="Bulletpoint"/>
      </w:pPr>
      <w:r>
        <w:t xml:space="preserve">Due to the </w:t>
      </w:r>
      <w:r w:rsidRPr="0084211D">
        <w:t xml:space="preserve">difficulties in </w:t>
      </w:r>
      <w:r w:rsidR="00CF1826">
        <w:t>determining</w:t>
      </w:r>
      <w:r w:rsidR="00CF1826" w:rsidRPr="0084211D">
        <w:t xml:space="preserve"> </w:t>
      </w:r>
      <w:r w:rsidRPr="0084211D">
        <w:t>the cause of death</w:t>
      </w:r>
      <w:r>
        <w:t xml:space="preserve">, </w:t>
      </w:r>
      <w:r w:rsidRPr="0084211D">
        <w:t>infant fatalities usually cannot be conclusively attributed to products</w:t>
      </w:r>
      <w:r>
        <w:t>. Therefore, w</w:t>
      </w:r>
      <w:r w:rsidR="00CA1868">
        <w:t xml:space="preserve">here no other cause of death is identified, we have assumed the product is </w:t>
      </w:r>
      <w:r w:rsidR="001D1CB7">
        <w:t xml:space="preserve">a </w:t>
      </w:r>
      <w:r w:rsidR="00CA1868" w:rsidRPr="001A6AF7">
        <w:t>causative link</w:t>
      </w:r>
      <w:r w:rsidR="001D1CB7">
        <w:t xml:space="preserve"> (as explained above in part </w:t>
      </w:r>
      <w:r w:rsidR="00371667">
        <w:t>1.3</w:t>
      </w:r>
      <w:r w:rsidR="001D1CB7">
        <w:t>)</w:t>
      </w:r>
      <w:r w:rsidR="00CA1868" w:rsidRPr="001A6AF7">
        <w:t xml:space="preserve">. </w:t>
      </w:r>
    </w:p>
    <w:p w14:paraId="141E029E" w14:textId="636AE9D1" w:rsidR="00E6444B" w:rsidRPr="001A6AF7" w:rsidRDefault="00CA1868" w:rsidP="00E6444B">
      <w:pPr>
        <w:pStyle w:val="Bulletpoint"/>
      </w:pPr>
      <w:r w:rsidRPr="001A6AF7">
        <w:t>The time for authori</w:t>
      </w:r>
      <w:r>
        <w:t>ti</w:t>
      </w:r>
      <w:r w:rsidRPr="001A6AF7">
        <w:t>es to finalise reports means there is a delay in reportable fatalities</w:t>
      </w:r>
      <w:r w:rsidR="00F66BD5">
        <w:t xml:space="preserve"> which also a</w:t>
      </w:r>
      <w:r w:rsidR="001D1CB7">
        <w:t xml:space="preserve">ffected the ability of each jurisdiction to </w:t>
      </w:r>
      <w:r w:rsidR="00D46945">
        <w:t xml:space="preserve">understand and report on the circumstances surrounding the fatality. </w:t>
      </w:r>
      <w:r>
        <w:t xml:space="preserve"> </w:t>
      </w:r>
    </w:p>
    <w:p w14:paraId="7B474E47" w14:textId="34C18AE7" w:rsidR="00CA1868" w:rsidRPr="001A6AF7" w:rsidRDefault="000167D0" w:rsidP="00CA1868">
      <w:pPr>
        <w:pStyle w:val="Bulletpoint"/>
      </w:pPr>
      <w:r>
        <w:t>Even when finalised, r</w:t>
      </w:r>
      <w:r w:rsidR="00CF1826">
        <w:t>eports of infant fatalities</w:t>
      </w:r>
      <w:r w:rsidR="00CA1868" w:rsidRPr="001A6AF7">
        <w:t xml:space="preserve"> generally capture limited information about the product</w:t>
      </w:r>
      <w:r w:rsidR="00CF1826">
        <w:t xml:space="preserve"> and therefore we have had to make assumptions in determining the </w:t>
      </w:r>
      <w:r w:rsidR="00CA1868" w:rsidRPr="00BD2036">
        <w:t xml:space="preserve">infant fatalities </w:t>
      </w:r>
      <w:r>
        <w:t>included in these calculations</w:t>
      </w:r>
      <w:r w:rsidRPr="00BD2036">
        <w:t xml:space="preserve"> </w:t>
      </w:r>
      <w:r>
        <w:t xml:space="preserve">(see </w:t>
      </w:r>
      <w:r w:rsidR="00CA1868" w:rsidRPr="00446F3E">
        <w:t xml:space="preserve">Table </w:t>
      </w:r>
      <w:r w:rsidR="0089100C">
        <w:t>3</w:t>
      </w:r>
      <w:r>
        <w:t>)</w:t>
      </w:r>
      <w:r w:rsidR="00CA1868" w:rsidRPr="00446F3E">
        <w:t>.</w:t>
      </w:r>
    </w:p>
    <w:p w14:paraId="7992E5D6" w14:textId="3D5DDCB0" w:rsidR="00CA1868" w:rsidRPr="005C16F0" w:rsidRDefault="00CA1868" w:rsidP="00CA1868">
      <w:pPr>
        <w:pStyle w:val="Bulletpoint"/>
      </w:pPr>
      <w:r w:rsidRPr="005C16F0">
        <w:t xml:space="preserve">The change in population size over the time. Although the fatality data </w:t>
      </w:r>
      <w:r w:rsidR="00E10A93" w:rsidRPr="005C16F0">
        <w:t>was between a 20</w:t>
      </w:r>
      <w:r w:rsidR="00E10A93" w:rsidRPr="005C16F0">
        <w:rPr>
          <w:color w:val="FFFFFF" w:themeColor="background1"/>
        </w:rPr>
        <w:softHyphen/>
      </w:r>
      <w:r w:rsidR="00791810">
        <w:rPr>
          <w:color w:val="FFFFFF" w:themeColor="background1"/>
        </w:rPr>
        <w:t>-</w:t>
      </w:r>
      <w:r w:rsidR="00E10A93" w:rsidRPr="005C16F0">
        <w:t>year period</w:t>
      </w:r>
      <w:r w:rsidRPr="005C16F0">
        <w:t>, the calculations were based on the</w:t>
      </w:r>
      <w:r w:rsidR="00E10A93" w:rsidRPr="005C16F0">
        <w:t xml:space="preserve"> most recent data available, which was the</w:t>
      </w:r>
      <w:r w:rsidRPr="005C16F0">
        <w:t xml:space="preserve"> 2020 population, </w:t>
      </w:r>
      <w:r w:rsidR="00E10A93" w:rsidRPr="005C16F0">
        <w:t xml:space="preserve">2020 </w:t>
      </w:r>
      <w:r w:rsidRPr="005C16F0">
        <w:t xml:space="preserve">infant population and </w:t>
      </w:r>
      <w:r w:rsidR="00E10A93" w:rsidRPr="005C16F0">
        <w:t xml:space="preserve">2020 </w:t>
      </w:r>
      <w:r w:rsidRPr="005C16F0">
        <w:t>infant fatalities figures.</w:t>
      </w:r>
      <w:r w:rsidR="005C16F0" w:rsidRPr="005C16F0">
        <w:rPr>
          <w:rStyle w:val="FootnoteReference"/>
        </w:rPr>
        <w:footnoteReference w:id="34"/>
      </w:r>
      <w:r w:rsidR="008F3944">
        <w:t xml:space="preserve"> Therefore, the estimated infant fatalities are likely an under estimation due to population growth. </w:t>
      </w:r>
    </w:p>
    <w:p w14:paraId="7FE2504D" w14:textId="13884040" w:rsidR="009A72E8" w:rsidRDefault="009A72E8" w:rsidP="00CA1868">
      <w:pPr>
        <w:tabs>
          <w:tab w:val="left" w:pos="630"/>
        </w:tabs>
      </w:pPr>
    </w:p>
    <w:p w14:paraId="61DAFDC1" w14:textId="282F9861" w:rsidR="00CA1868" w:rsidRPr="00CA1868" w:rsidRDefault="00CA1868" w:rsidP="00CA1868">
      <w:pPr>
        <w:tabs>
          <w:tab w:val="left" w:pos="630"/>
        </w:tabs>
        <w:sectPr w:rsidR="00CA1868" w:rsidRPr="00CA1868" w:rsidSect="00FD27F3">
          <w:headerReference w:type="default" r:id="rId47"/>
          <w:pgSz w:w="11906" w:h="16838"/>
          <w:pgMar w:top="1276" w:right="1440" w:bottom="1440" w:left="1440" w:header="709" w:footer="709" w:gutter="0"/>
          <w:pgNumType w:start="1"/>
          <w:cols w:space="708"/>
          <w:docGrid w:linePitch="360"/>
        </w:sectPr>
      </w:pPr>
      <w:r>
        <w:tab/>
      </w:r>
    </w:p>
    <w:p w14:paraId="440FB2D2" w14:textId="0B137EBF" w:rsidR="009A72E8" w:rsidRDefault="009A72E8" w:rsidP="00691474">
      <w:pPr>
        <w:pStyle w:val="Heading2"/>
        <w:spacing w:after="240"/>
      </w:pPr>
      <w:bookmarkStart w:id="284" w:name="_Toc106637705"/>
      <w:bookmarkStart w:id="285" w:name="_Toc106802926"/>
      <w:bookmarkStart w:id="286" w:name="_Toc109039393"/>
      <w:bookmarkStart w:id="287" w:name="_Toc110871661"/>
      <w:bookmarkStart w:id="288" w:name="_Toc110959513"/>
      <w:bookmarkStart w:id="289" w:name="_Hlk106353243"/>
      <w:r w:rsidRPr="00691474">
        <w:t xml:space="preserve">Appendix </w:t>
      </w:r>
      <w:r w:rsidR="008E53E4" w:rsidRPr="00691474">
        <w:t>2</w:t>
      </w:r>
      <w:r w:rsidR="00120139">
        <w:t xml:space="preserve">: </w:t>
      </w:r>
      <w:r w:rsidRPr="00784FBE">
        <w:t>Summary of Australian standards</w:t>
      </w:r>
      <w:bookmarkEnd w:id="284"/>
      <w:bookmarkEnd w:id="285"/>
      <w:bookmarkEnd w:id="286"/>
      <w:bookmarkEnd w:id="287"/>
      <w:bookmarkEnd w:id="288"/>
    </w:p>
    <w:tbl>
      <w:tblPr>
        <w:tblStyle w:val="TableGrid"/>
        <w:tblW w:w="14122" w:type="dxa"/>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9"/>
        <w:gridCol w:w="1417"/>
        <w:gridCol w:w="1560"/>
        <w:gridCol w:w="1559"/>
        <w:gridCol w:w="1559"/>
        <w:gridCol w:w="1559"/>
        <w:gridCol w:w="3349"/>
      </w:tblGrid>
      <w:tr w:rsidR="00172FF0" w:rsidRPr="009A72E8" w14:paraId="6EBCC96A" w14:textId="77777777" w:rsidTr="006023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CEF8F7" w:themeFill="accent2" w:themeFillTint="33"/>
            <w:hideMark/>
          </w:tcPr>
          <w:p w14:paraId="12BF1806" w14:textId="77777777" w:rsidR="00172FF0" w:rsidRPr="009A72E8" w:rsidRDefault="00172FF0" w:rsidP="001E50F3">
            <w:pPr>
              <w:spacing w:after="0"/>
              <w:rPr>
                <w:szCs w:val="20"/>
              </w:rPr>
            </w:pPr>
            <w:r w:rsidRPr="009A72E8">
              <w:rPr>
                <w:szCs w:val="20"/>
              </w:rPr>
              <w:t xml:space="preserve">Regulation </w:t>
            </w:r>
          </w:p>
        </w:tc>
        <w:tc>
          <w:tcPr>
            <w:tcW w:w="1417" w:type="dxa"/>
            <w:shd w:val="clear" w:color="auto" w:fill="CEF8F7" w:themeFill="accent2" w:themeFillTint="33"/>
          </w:tcPr>
          <w:p w14:paraId="0BD5BDE9" w14:textId="7733E32B" w:rsidR="00172FF0" w:rsidRPr="009A72E8" w:rsidRDefault="00172FF0" w:rsidP="001E50F3">
            <w:pPr>
              <w:cnfStyle w:val="100000000000" w:firstRow="1" w:lastRow="0" w:firstColumn="0" w:lastColumn="0" w:oddVBand="0" w:evenVBand="0" w:oddHBand="0" w:evenHBand="0" w:firstRowFirstColumn="0" w:firstRowLastColumn="0" w:lastRowFirstColumn="0" w:lastRowLastColumn="0"/>
              <w:rPr>
                <w:szCs w:val="20"/>
              </w:rPr>
            </w:pPr>
            <w:r>
              <w:rPr>
                <w:szCs w:val="20"/>
              </w:rPr>
              <w:t>Regulation type</w:t>
            </w:r>
          </w:p>
        </w:tc>
        <w:tc>
          <w:tcPr>
            <w:tcW w:w="1560" w:type="dxa"/>
            <w:shd w:val="clear" w:color="auto" w:fill="CEF8F7" w:themeFill="accent2" w:themeFillTint="33"/>
            <w:hideMark/>
          </w:tcPr>
          <w:p w14:paraId="48094C8F" w14:textId="1A7EC199" w:rsidR="00172FF0" w:rsidRPr="009A72E8" w:rsidRDefault="00172FF0" w:rsidP="001E50F3">
            <w:pPr>
              <w:spacing w:after="0"/>
              <w:cnfStyle w:val="100000000000" w:firstRow="1" w:lastRow="0" w:firstColumn="0" w:lastColumn="0" w:oddVBand="0" w:evenVBand="0" w:oddHBand="0" w:evenHBand="0" w:firstRowFirstColumn="0" w:firstRowLastColumn="0" w:lastRowFirstColumn="0" w:lastRowLastColumn="0"/>
              <w:rPr>
                <w:szCs w:val="20"/>
              </w:rPr>
            </w:pPr>
            <w:r w:rsidRPr="009A72E8">
              <w:rPr>
                <w:szCs w:val="20"/>
              </w:rPr>
              <w:t>Incline limit</w:t>
            </w:r>
          </w:p>
        </w:tc>
        <w:tc>
          <w:tcPr>
            <w:tcW w:w="1559" w:type="dxa"/>
            <w:shd w:val="clear" w:color="auto" w:fill="CEF8F7" w:themeFill="accent2" w:themeFillTint="33"/>
            <w:hideMark/>
          </w:tcPr>
          <w:p w14:paraId="27CAF480" w14:textId="77777777" w:rsidR="00172FF0" w:rsidRPr="009A72E8" w:rsidRDefault="00172FF0" w:rsidP="001E50F3">
            <w:pPr>
              <w:spacing w:after="0"/>
              <w:cnfStyle w:val="100000000000" w:firstRow="1" w:lastRow="0" w:firstColumn="0" w:lastColumn="0" w:oddVBand="0" w:evenVBand="0" w:oddHBand="0" w:evenHBand="0" w:firstRowFirstColumn="0" w:firstRowLastColumn="0" w:lastRowFirstColumn="0" w:lastRowLastColumn="0"/>
              <w:rPr>
                <w:szCs w:val="20"/>
              </w:rPr>
            </w:pPr>
            <w:r w:rsidRPr="009A72E8">
              <w:rPr>
                <w:szCs w:val="20"/>
              </w:rPr>
              <w:t xml:space="preserve">Curvature </w:t>
            </w:r>
          </w:p>
        </w:tc>
        <w:tc>
          <w:tcPr>
            <w:tcW w:w="1559" w:type="dxa"/>
            <w:shd w:val="clear" w:color="auto" w:fill="CEF8F7" w:themeFill="accent2" w:themeFillTint="33"/>
            <w:hideMark/>
          </w:tcPr>
          <w:p w14:paraId="30129137" w14:textId="1A7174A6" w:rsidR="00172FF0" w:rsidRPr="009A72E8" w:rsidRDefault="00172FF0" w:rsidP="001E50F3">
            <w:pPr>
              <w:spacing w:after="0"/>
              <w:cnfStyle w:val="100000000000" w:firstRow="1" w:lastRow="0" w:firstColumn="0" w:lastColumn="0" w:oddVBand="0" w:evenVBand="0" w:oddHBand="0" w:evenHBand="0" w:firstRowFirstColumn="0" w:firstRowLastColumn="0" w:lastRowFirstColumn="0" w:lastRowLastColumn="0"/>
              <w:rPr>
                <w:szCs w:val="20"/>
              </w:rPr>
            </w:pPr>
            <w:r w:rsidRPr="009A72E8">
              <w:rPr>
                <w:szCs w:val="20"/>
              </w:rPr>
              <w:t>Rigidity</w:t>
            </w:r>
            <w:r w:rsidR="00602397">
              <w:rPr>
                <w:szCs w:val="20"/>
              </w:rPr>
              <w:t xml:space="preserve"> of product</w:t>
            </w:r>
            <w:r w:rsidRPr="009A72E8">
              <w:rPr>
                <w:szCs w:val="20"/>
              </w:rPr>
              <w:t xml:space="preserve"> </w:t>
            </w:r>
          </w:p>
        </w:tc>
        <w:tc>
          <w:tcPr>
            <w:tcW w:w="1559" w:type="dxa"/>
            <w:shd w:val="clear" w:color="auto" w:fill="CEF8F7" w:themeFill="accent2" w:themeFillTint="33"/>
            <w:hideMark/>
          </w:tcPr>
          <w:p w14:paraId="5359C618" w14:textId="77777777" w:rsidR="00172FF0" w:rsidRPr="009A72E8" w:rsidRDefault="00172FF0" w:rsidP="001E50F3">
            <w:pPr>
              <w:spacing w:after="0"/>
              <w:cnfStyle w:val="100000000000" w:firstRow="1" w:lastRow="0" w:firstColumn="0" w:lastColumn="0" w:oddVBand="0" w:evenVBand="0" w:oddHBand="0" w:evenHBand="0" w:firstRowFirstColumn="0" w:firstRowLastColumn="0" w:lastRowFirstColumn="0" w:lastRowLastColumn="0"/>
              <w:rPr>
                <w:szCs w:val="20"/>
              </w:rPr>
            </w:pPr>
            <w:r w:rsidRPr="009A72E8">
              <w:rPr>
                <w:szCs w:val="20"/>
              </w:rPr>
              <w:t>Material breathability</w:t>
            </w:r>
          </w:p>
        </w:tc>
        <w:tc>
          <w:tcPr>
            <w:tcW w:w="3349" w:type="dxa"/>
            <w:shd w:val="clear" w:color="auto" w:fill="CEF8F7" w:themeFill="accent2" w:themeFillTint="33"/>
            <w:hideMark/>
          </w:tcPr>
          <w:p w14:paraId="61D97726" w14:textId="77777777" w:rsidR="00172FF0" w:rsidRPr="009A72E8" w:rsidRDefault="00172FF0" w:rsidP="001E50F3">
            <w:pPr>
              <w:spacing w:after="0"/>
              <w:cnfStyle w:val="100000000000" w:firstRow="1" w:lastRow="0" w:firstColumn="0" w:lastColumn="0" w:oddVBand="0" w:evenVBand="0" w:oddHBand="0" w:evenHBand="0" w:firstRowFirstColumn="0" w:firstRowLastColumn="0" w:lastRowFirstColumn="0" w:lastRowLastColumn="0"/>
              <w:rPr>
                <w:szCs w:val="20"/>
              </w:rPr>
            </w:pPr>
            <w:r w:rsidRPr="009A72E8">
              <w:rPr>
                <w:szCs w:val="20"/>
              </w:rPr>
              <w:t xml:space="preserve">Scope (products) </w:t>
            </w:r>
          </w:p>
        </w:tc>
      </w:tr>
      <w:tr w:rsidR="00602397" w:rsidRPr="009A72E8" w14:paraId="69562FA4" w14:textId="77777777" w:rsidTr="00602397">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87D4D4" w14:textId="7EFF8D92" w:rsidR="00602397" w:rsidRPr="009A72E8" w:rsidRDefault="000635F2" w:rsidP="00D56B3B">
            <w:pPr>
              <w:pStyle w:val="Tabletext"/>
              <w:rPr>
                <w:b w:val="0"/>
                <w:bCs/>
                <w:szCs w:val="20"/>
              </w:rPr>
            </w:pPr>
            <w:hyperlink r:id="rId48" w:history="1">
              <w:r w:rsidR="00602397" w:rsidRPr="002606C2">
                <w:rPr>
                  <w:rStyle w:val="Hyperlink"/>
                  <w:b w:val="0"/>
                  <w:bCs/>
                  <w:sz w:val="20"/>
                </w:rPr>
                <w:t>Consumer Protection Notice No. 4 of 2008 – Consumer Product Safety Standard: Children’s Portable Folding Cots</w:t>
              </w:r>
            </w:hyperlink>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9C05DF" w14:textId="3865342A" w:rsidR="00602397" w:rsidRPr="009A72E8" w:rsidRDefault="00602397" w:rsidP="00602397">
            <w:pPr>
              <w:cnfStyle w:val="000000000000" w:firstRow="0" w:lastRow="0" w:firstColumn="0" w:lastColumn="0" w:oddVBand="0" w:evenVBand="0" w:oddHBand="0" w:evenHBand="0" w:firstRowFirstColumn="0" w:firstRowLastColumn="0" w:lastRowFirstColumn="0" w:lastRowLastColumn="0"/>
              <w:rPr>
                <w:szCs w:val="20"/>
              </w:rPr>
            </w:pPr>
            <w:r>
              <w:rPr>
                <w:szCs w:val="20"/>
              </w:rPr>
              <w:t>Mandatory</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FCA375" w14:textId="146DE979"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177C32" w14:textId="0E00B45B"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468F2" w14:textId="0D94BF6D"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sym w:font="Wingdings" w:char="F0FC"/>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3B0393" w14:textId="52CBCF27"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3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74F32" w14:textId="20C07F0D" w:rsidR="00602397" w:rsidRPr="009A72E8"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F</w:t>
            </w:r>
            <w:r w:rsidRPr="009A72E8">
              <w:t xml:space="preserve">olding cots including playpens with floors. </w:t>
            </w:r>
          </w:p>
        </w:tc>
      </w:tr>
      <w:tr w:rsidR="00602397" w:rsidRPr="009A72E8" w14:paraId="7607AEA2" w14:textId="77777777" w:rsidTr="00602397">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6E97CC" w14:textId="31E03BFA" w:rsidR="00602397" w:rsidRPr="009A72E8" w:rsidRDefault="000635F2" w:rsidP="00D56B3B">
            <w:pPr>
              <w:pStyle w:val="Tabletext"/>
              <w:rPr>
                <w:b w:val="0"/>
                <w:bCs/>
                <w:szCs w:val="20"/>
              </w:rPr>
            </w:pPr>
            <w:hyperlink r:id="rId49" w:history="1">
              <w:r w:rsidR="00602397" w:rsidRPr="00E61E5A">
                <w:rPr>
                  <w:rStyle w:val="Hyperlink"/>
                  <w:b w:val="0"/>
                  <w:bCs/>
                  <w:sz w:val="20"/>
                </w:rPr>
                <w:t>Consumer Protection Notice No. 6 of 2005 – Consumer Product Safety Standard: Children’s Household Cots</w:t>
              </w:r>
            </w:hyperlink>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6AD334" w14:textId="2BCE2062" w:rsidR="00602397" w:rsidRPr="009A72E8" w:rsidRDefault="00602397" w:rsidP="00602397">
            <w:pPr>
              <w:cnfStyle w:val="000000000000" w:firstRow="0" w:lastRow="0" w:firstColumn="0" w:lastColumn="0" w:oddVBand="0" w:evenVBand="0" w:oddHBand="0" w:evenHBand="0" w:firstRowFirstColumn="0" w:firstRowLastColumn="0" w:lastRowFirstColumn="0" w:lastRowLastColumn="0"/>
              <w:rPr>
                <w:szCs w:val="20"/>
              </w:rPr>
            </w:pPr>
            <w:r>
              <w:rPr>
                <w:szCs w:val="20"/>
              </w:rPr>
              <w:t>Mandatory</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23231" w14:textId="783A32C8"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C6DC7" w14:textId="03385AA3"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DC1507" w14:textId="1E807824"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sym w:font="Wingdings" w:char="F0FC"/>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1F8E0E" w14:textId="1A08FF7A"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3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494F87" w14:textId="77777777" w:rsidR="00602397" w:rsidRPr="009A72E8"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9A72E8">
              <w:t>Cots that are a permanent sleeping enclosure for an infant including cots that convert to toddler beds. Includes second-hand cots.</w:t>
            </w:r>
          </w:p>
          <w:p w14:paraId="59218567" w14:textId="74D6B3DF" w:rsidR="00602397" w:rsidRPr="009A72E8"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9A72E8">
              <w:rPr>
                <w:i/>
                <w:iCs/>
              </w:rPr>
              <w:t>Excludes:</w:t>
            </w:r>
            <w:r w:rsidRPr="009A72E8">
              <w:t xml:space="preserve"> bassinets, antique/collectable cots</w:t>
            </w:r>
            <w:r w:rsidR="00142757">
              <w:t>.</w:t>
            </w:r>
          </w:p>
        </w:tc>
      </w:tr>
      <w:tr w:rsidR="00602397" w:rsidRPr="009A72E8" w14:paraId="2D01848B" w14:textId="77777777" w:rsidTr="00602397">
        <w:trPr>
          <w:trHeight w:val="263"/>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38479" w14:textId="0491CF28" w:rsidR="00602397" w:rsidRPr="009A72E8" w:rsidRDefault="00602397" w:rsidP="00D56B3B">
            <w:pPr>
              <w:pStyle w:val="Tabletext"/>
              <w:rPr>
                <w:b w:val="0"/>
                <w:bCs/>
                <w:szCs w:val="20"/>
              </w:rPr>
            </w:pPr>
            <w:r w:rsidRPr="009A72E8">
              <w:rPr>
                <w:b w:val="0"/>
                <w:bCs/>
                <w:szCs w:val="20"/>
              </w:rPr>
              <w:t>Infants’ rocking cradles</w:t>
            </w:r>
            <w:r>
              <w:rPr>
                <w:b w:val="0"/>
                <w:bCs/>
                <w:szCs w:val="20"/>
              </w:rPr>
              <w:t xml:space="preserve"> </w:t>
            </w:r>
            <w:r w:rsidRPr="00E42657">
              <w:rPr>
                <w:b w:val="0"/>
                <w:bCs/>
                <w:szCs w:val="20"/>
              </w:rPr>
              <w:t>(AS/NZS 4385:1996)</w:t>
            </w:r>
          </w:p>
        </w:tc>
        <w:tc>
          <w:tcPr>
            <w:tcW w:w="141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04767" w14:textId="65BFC5D5" w:rsidR="00602397" w:rsidRPr="009A72E8" w:rsidRDefault="00602397" w:rsidP="00602397">
            <w:pPr>
              <w:cnfStyle w:val="000000000000" w:firstRow="0" w:lastRow="0" w:firstColumn="0" w:lastColumn="0" w:oddVBand="0" w:evenVBand="0" w:oddHBand="0" w:evenHBand="0" w:firstRowFirstColumn="0" w:firstRowLastColumn="0" w:lastRowFirstColumn="0" w:lastRowLastColumn="0"/>
              <w:rPr>
                <w:szCs w:val="20"/>
              </w:rPr>
            </w:pPr>
            <w:r>
              <w:rPr>
                <w:szCs w:val="20"/>
              </w:rPr>
              <w:t>Voluntary</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BDE71B" w14:textId="1778FBE4"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10°</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57C5C8" w14:textId="767BA2B1"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t>x</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4B74BB" w14:textId="00DB5453"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sym w:font="Wingdings" w:char="F0FC"/>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C9F310" w14:textId="712528E3" w:rsidR="00602397" w:rsidRPr="009A72E8" w:rsidRDefault="00602397" w:rsidP="00602397">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9A72E8">
              <w:rPr>
                <w:szCs w:val="20"/>
              </w:rPr>
              <w:sym w:font="Wingdings" w:char="F0FC"/>
            </w:r>
          </w:p>
        </w:tc>
        <w:tc>
          <w:tcPr>
            <w:tcW w:w="33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4250FA" w14:textId="77777777" w:rsidR="00602397" w:rsidRPr="009A72E8"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9A72E8">
              <w:t>Rocking cradles with the ability to swing or rock/tilt.</w:t>
            </w:r>
          </w:p>
          <w:p w14:paraId="763366F4" w14:textId="152930A2" w:rsidR="00602397" w:rsidRPr="009A72E8"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9A72E8">
              <w:rPr>
                <w:i/>
                <w:iCs/>
              </w:rPr>
              <w:t>Excludes:</w:t>
            </w:r>
            <w:r w:rsidRPr="009A72E8">
              <w:t xml:space="preserve"> baby hammocks or cradles which do not tilt.</w:t>
            </w:r>
          </w:p>
        </w:tc>
      </w:tr>
    </w:tbl>
    <w:p w14:paraId="3D3BC388" w14:textId="77777777" w:rsidR="00D369B0" w:rsidRDefault="00D369B0">
      <w:pPr>
        <w:rPr>
          <w:b/>
          <w:bCs/>
          <w:highlight w:val="yellow"/>
        </w:rPr>
      </w:pPr>
      <w:r>
        <w:rPr>
          <w:b/>
          <w:bCs/>
          <w:highlight w:val="yellow"/>
        </w:rPr>
        <w:br w:type="page"/>
      </w:r>
    </w:p>
    <w:p w14:paraId="705A3E46" w14:textId="2D5C0362" w:rsidR="009A72E8" w:rsidRDefault="00602397" w:rsidP="00691474">
      <w:pPr>
        <w:pStyle w:val="Heading2"/>
        <w:spacing w:after="240"/>
      </w:pPr>
      <w:bookmarkStart w:id="290" w:name="_Toc106637706"/>
      <w:bookmarkStart w:id="291" w:name="_Toc106802927"/>
      <w:bookmarkStart w:id="292" w:name="_Toc109039394"/>
      <w:bookmarkStart w:id="293" w:name="_Toc110871662"/>
      <w:bookmarkStart w:id="294" w:name="_Toc110959514"/>
      <w:r w:rsidRPr="00691474">
        <w:t xml:space="preserve">Appendix </w:t>
      </w:r>
      <w:r w:rsidR="00053618">
        <w:t>3</w:t>
      </w:r>
      <w:r w:rsidRPr="00691474">
        <w:t xml:space="preserve">:  </w:t>
      </w:r>
      <w:r w:rsidR="001E50F3" w:rsidRPr="001E50F3">
        <w:t>Summary of international standards and regulations</w:t>
      </w:r>
      <w:bookmarkEnd w:id="290"/>
      <w:bookmarkEnd w:id="291"/>
      <w:bookmarkEnd w:id="292"/>
      <w:bookmarkEnd w:id="293"/>
      <w:bookmarkEnd w:id="294"/>
    </w:p>
    <w:tbl>
      <w:tblPr>
        <w:tblStyle w:val="TableGrid"/>
        <w:tblW w:w="13892" w:type="dxa"/>
        <w:tblInd w:w="10" w:type="dxa"/>
        <w:tblBorders>
          <w:left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3"/>
        <w:gridCol w:w="2268"/>
        <w:gridCol w:w="1417"/>
        <w:gridCol w:w="1701"/>
        <w:gridCol w:w="1423"/>
        <w:gridCol w:w="1417"/>
        <w:gridCol w:w="1560"/>
        <w:gridCol w:w="2693"/>
      </w:tblGrid>
      <w:tr w:rsidR="00602397" w:rsidRPr="006A41C4" w14:paraId="0D1E6359" w14:textId="77777777" w:rsidTr="0069147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CEF8F7" w:themeFill="accent2" w:themeFillTint="33"/>
            <w:hideMark/>
          </w:tcPr>
          <w:bookmarkEnd w:id="289"/>
          <w:p w14:paraId="7A6D9638" w14:textId="77777777" w:rsidR="00602397" w:rsidRPr="006A41C4" w:rsidRDefault="00602397" w:rsidP="00D56B3B">
            <w:pPr>
              <w:pStyle w:val="Tabletext"/>
            </w:pPr>
            <w:r w:rsidRPr="006A41C4">
              <w:t xml:space="preserve">Jurisdiction </w:t>
            </w:r>
          </w:p>
        </w:tc>
        <w:tc>
          <w:tcPr>
            <w:tcW w:w="2268" w:type="dxa"/>
            <w:shd w:val="clear" w:color="auto" w:fill="CEF8F7" w:themeFill="accent2" w:themeFillTint="33"/>
            <w:hideMark/>
          </w:tcPr>
          <w:p w14:paraId="5928CEC4"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Regulation title</w:t>
            </w:r>
          </w:p>
        </w:tc>
        <w:tc>
          <w:tcPr>
            <w:tcW w:w="1417" w:type="dxa"/>
            <w:shd w:val="clear" w:color="auto" w:fill="CEF8F7" w:themeFill="accent2" w:themeFillTint="33"/>
            <w:hideMark/>
          </w:tcPr>
          <w:p w14:paraId="0D9108C0"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 xml:space="preserve">Regulation type </w:t>
            </w:r>
          </w:p>
        </w:tc>
        <w:tc>
          <w:tcPr>
            <w:tcW w:w="1701" w:type="dxa"/>
            <w:shd w:val="clear" w:color="auto" w:fill="CEF8F7" w:themeFill="accent2" w:themeFillTint="33"/>
            <w:hideMark/>
          </w:tcPr>
          <w:p w14:paraId="10097589"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rPr>
                <w:b w:val="0"/>
              </w:rPr>
            </w:pPr>
            <w:r w:rsidRPr="006A41C4">
              <w:t>Incline limit</w:t>
            </w:r>
          </w:p>
        </w:tc>
        <w:tc>
          <w:tcPr>
            <w:tcW w:w="1423" w:type="dxa"/>
            <w:shd w:val="clear" w:color="auto" w:fill="CEF8F7" w:themeFill="accent2" w:themeFillTint="33"/>
            <w:hideMark/>
          </w:tcPr>
          <w:p w14:paraId="55EEBCB2"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 xml:space="preserve">Curvature  </w:t>
            </w:r>
          </w:p>
        </w:tc>
        <w:tc>
          <w:tcPr>
            <w:tcW w:w="1417" w:type="dxa"/>
            <w:shd w:val="clear" w:color="auto" w:fill="CEF8F7" w:themeFill="accent2" w:themeFillTint="33"/>
            <w:hideMark/>
          </w:tcPr>
          <w:p w14:paraId="42C9CDC8"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Rigidity</w:t>
            </w:r>
            <w:r>
              <w:t xml:space="preserve"> of product</w:t>
            </w:r>
          </w:p>
        </w:tc>
        <w:tc>
          <w:tcPr>
            <w:tcW w:w="1560" w:type="dxa"/>
            <w:shd w:val="clear" w:color="auto" w:fill="CEF8F7" w:themeFill="accent2" w:themeFillTint="33"/>
            <w:hideMark/>
          </w:tcPr>
          <w:p w14:paraId="52E858AF"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Material breathability</w:t>
            </w:r>
          </w:p>
        </w:tc>
        <w:tc>
          <w:tcPr>
            <w:tcW w:w="2693" w:type="dxa"/>
            <w:shd w:val="clear" w:color="auto" w:fill="CEF8F7" w:themeFill="accent2" w:themeFillTint="33"/>
            <w:hideMark/>
          </w:tcPr>
          <w:p w14:paraId="369F020C" w14:textId="77777777" w:rsidR="00602397" w:rsidRPr="006A41C4" w:rsidRDefault="00602397" w:rsidP="00D56B3B">
            <w:pPr>
              <w:pStyle w:val="Tabletext"/>
              <w:cnfStyle w:val="100000000000" w:firstRow="1" w:lastRow="0" w:firstColumn="0" w:lastColumn="0" w:oddVBand="0" w:evenVBand="0" w:oddHBand="0" w:evenHBand="0" w:firstRowFirstColumn="0" w:firstRowLastColumn="0" w:lastRowFirstColumn="0" w:lastRowLastColumn="0"/>
            </w:pPr>
            <w:r w:rsidRPr="006A41C4">
              <w:t>Scope (products)</w:t>
            </w:r>
          </w:p>
        </w:tc>
      </w:tr>
      <w:tr w:rsidR="00602397" w:rsidRPr="006A41C4" w14:paraId="355EA75C"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val="restart"/>
            <w:hideMark/>
          </w:tcPr>
          <w:p w14:paraId="61D610C4" w14:textId="77777777" w:rsidR="00602397" w:rsidRPr="006A41C4" w:rsidRDefault="00602397" w:rsidP="00302C1B">
            <w:pPr>
              <w:spacing w:after="0"/>
              <w:rPr>
                <w:b w:val="0"/>
                <w:bCs/>
                <w:szCs w:val="20"/>
              </w:rPr>
            </w:pPr>
            <w:r w:rsidRPr="006A41C4">
              <w:rPr>
                <w:b w:val="0"/>
                <w:bCs/>
                <w:szCs w:val="20"/>
              </w:rPr>
              <w:t xml:space="preserve">Canada </w:t>
            </w:r>
          </w:p>
        </w:tc>
        <w:tc>
          <w:tcPr>
            <w:tcW w:w="2268" w:type="dxa"/>
            <w:hideMark/>
          </w:tcPr>
          <w:p w14:paraId="6C4E1B53" w14:textId="77777777" w:rsidR="00602397" w:rsidRPr="006A41C4" w:rsidRDefault="000635F2" w:rsidP="00D56B3B">
            <w:pPr>
              <w:pStyle w:val="Tabletext"/>
              <w:cnfStyle w:val="000000000000" w:firstRow="0" w:lastRow="0" w:firstColumn="0" w:lastColumn="0" w:oddVBand="0" w:evenVBand="0" w:oddHBand="0" w:evenHBand="0" w:firstRowFirstColumn="0" w:firstRowLastColumn="0" w:lastRowFirstColumn="0" w:lastRowLastColumn="0"/>
              <w:rPr>
                <w:szCs w:val="20"/>
              </w:rPr>
            </w:pPr>
            <w:hyperlink r:id="rId50" w:history="1">
              <w:r w:rsidR="00602397" w:rsidRPr="007D5149">
                <w:rPr>
                  <w:rStyle w:val="Hyperlink"/>
                  <w:sz w:val="20"/>
                  <w:szCs w:val="20"/>
                </w:rPr>
                <w:t>Cribs Cradles and Bassinets Regulations 2016</w:t>
              </w:r>
            </w:hyperlink>
            <w:r w:rsidR="00602397">
              <w:rPr>
                <w:szCs w:val="20"/>
              </w:rPr>
              <w:t xml:space="preserve"> (Canada)</w:t>
            </w:r>
            <w:r w:rsidR="00602397" w:rsidRPr="006A41C4">
              <w:rPr>
                <w:i/>
                <w:iCs/>
                <w:szCs w:val="20"/>
              </w:rPr>
              <w:t xml:space="preserve"> </w:t>
            </w:r>
          </w:p>
        </w:tc>
        <w:tc>
          <w:tcPr>
            <w:tcW w:w="1417" w:type="dxa"/>
            <w:hideMark/>
          </w:tcPr>
          <w:p w14:paraId="0B7B1D1E"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hideMark/>
          </w:tcPr>
          <w:p w14:paraId="0D18B2F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7°</w:t>
            </w:r>
          </w:p>
        </w:tc>
        <w:tc>
          <w:tcPr>
            <w:tcW w:w="1423" w:type="dxa"/>
            <w:hideMark/>
          </w:tcPr>
          <w:p w14:paraId="0797320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hideMark/>
          </w:tcPr>
          <w:p w14:paraId="4E67377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hideMark/>
          </w:tcPr>
          <w:p w14:paraId="68C8CDC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hideMark/>
          </w:tcPr>
          <w:p w14:paraId="7A8AAEBE" w14:textId="4663A96E" w:rsidR="00602397" w:rsidRPr="006A41C4" w:rsidRDefault="002675AD" w:rsidP="00D56B3B">
            <w:pPr>
              <w:pStyle w:val="Tabletext"/>
              <w:cnfStyle w:val="000000000000" w:firstRow="0" w:lastRow="0" w:firstColumn="0" w:lastColumn="0" w:oddVBand="0" w:evenVBand="0" w:oddHBand="0" w:evenHBand="0" w:firstRowFirstColumn="0" w:firstRowLastColumn="0" w:lastRowFirstColumn="0" w:lastRowLastColumn="0"/>
            </w:pPr>
            <w:r>
              <w:t xml:space="preserve">A product whose primary function is as sleeping accommodation, including a crib, cradle or bassinet. </w:t>
            </w:r>
          </w:p>
        </w:tc>
      </w:tr>
      <w:tr w:rsidR="00602397" w:rsidRPr="006A41C4" w14:paraId="3F5A8DBE"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Borders>
              <w:bottom w:val="single" w:sz="4" w:space="0" w:color="auto"/>
            </w:tcBorders>
            <w:hideMark/>
          </w:tcPr>
          <w:p w14:paraId="0B47437A" w14:textId="77777777" w:rsidR="00602397" w:rsidRPr="006A41C4" w:rsidRDefault="00602397" w:rsidP="00302C1B">
            <w:pPr>
              <w:spacing w:after="0"/>
              <w:rPr>
                <w:bCs/>
                <w:szCs w:val="20"/>
              </w:rPr>
            </w:pPr>
          </w:p>
        </w:tc>
        <w:tc>
          <w:tcPr>
            <w:tcW w:w="2268" w:type="dxa"/>
            <w:tcBorders>
              <w:bottom w:val="single" w:sz="4" w:space="0" w:color="auto"/>
            </w:tcBorders>
            <w:hideMark/>
          </w:tcPr>
          <w:p w14:paraId="47F444A2"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6A41C4">
              <w:rPr>
                <w:szCs w:val="20"/>
              </w:rPr>
              <w:t>General Prohibition under the Canada Consumer Product Safety Act</w:t>
            </w:r>
          </w:p>
        </w:tc>
        <w:tc>
          <w:tcPr>
            <w:tcW w:w="1417" w:type="dxa"/>
            <w:tcBorders>
              <w:bottom w:val="single" w:sz="4" w:space="0" w:color="auto"/>
            </w:tcBorders>
            <w:hideMark/>
          </w:tcPr>
          <w:p w14:paraId="00F9E63A"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Borders>
              <w:bottom w:val="single" w:sz="4" w:space="0" w:color="auto"/>
            </w:tcBorders>
            <w:hideMark/>
          </w:tcPr>
          <w:p w14:paraId="0E01FDB7" w14:textId="07FC184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1423" w:type="dxa"/>
            <w:tcBorders>
              <w:bottom w:val="single" w:sz="4" w:space="0" w:color="auto"/>
            </w:tcBorders>
            <w:hideMark/>
          </w:tcPr>
          <w:p w14:paraId="7D6F0342" w14:textId="6D3C1C2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1417" w:type="dxa"/>
            <w:tcBorders>
              <w:bottom w:val="single" w:sz="4" w:space="0" w:color="auto"/>
            </w:tcBorders>
            <w:hideMark/>
          </w:tcPr>
          <w:p w14:paraId="26DD0602" w14:textId="3611057F"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1560" w:type="dxa"/>
            <w:tcBorders>
              <w:bottom w:val="single" w:sz="4" w:space="0" w:color="auto"/>
            </w:tcBorders>
            <w:hideMark/>
          </w:tcPr>
          <w:p w14:paraId="083C42BD" w14:textId="460CA065"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2693" w:type="dxa"/>
            <w:tcBorders>
              <w:bottom w:val="single" w:sz="4" w:space="0" w:color="auto"/>
            </w:tcBorders>
            <w:hideMark/>
          </w:tcPr>
          <w:p w14:paraId="0AD8EF21" w14:textId="1D10DEEA"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General safety provision</w:t>
            </w:r>
            <w:r>
              <w:t xml:space="preserve"> – applies to </w:t>
            </w:r>
            <w:r w:rsidR="002675AD">
              <w:t xml:space="preserve">any consumer </w:t>
            </w:r>
            <w:r>
              <w:t>products supplied in Canada</w:t>
            </w:r>
            <w:r w:rsidR="002675AD">
              <w:t xml:space="preserve"> </w:t>
            </w:r>
            <w:r w:rsidR="002675AD" w:rsidRPr="002675AD">
              <w:t>that could reasonably be expected to be obtained by an individual for non</w:t>
            </w:r>
            <w:r w:rsidR="002675AD">
              <w:t>-</w:t>
            </w:r>
            <w:r w:rsidR="002675AD" w:rsidRPr="002675AD">
              <w:t>commercial purposes, including domestic, recreational and sports purpose</w:t>
            </w:r>
            <w:r w:rsidR="002675AD">
              <w:t>s</w:t>
            </w:r>
            <w:r>
              <w:t xml:space="preserve">. </w:t>
            </w:r>
          </w:p>
        </w:tc>
      </w:tr>
      <w:tr w:rsidR="00602397" w:rsidRPr="006A41C4" w14:paraId="4DB6668A"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tcPr>
          <w:p w14:paraId="0FFC9A2D" w14:textId="77777777" w:rsidR="00602397" w:rsidRPr="006A41C4" w:rsidRDefault="00602397" w:rsidP="00302C1B">
            <w:pPr>
              <w:spacing w:after="0"/>
              <w:rPr>
                <w:bCs/>
                <w:szCs w:val="20"/>
              </w:rPr>
            </w:pPr>
            <w:r w:rsidRPr="006A41C4">
              <w:rPr>
                <w:b w:val="0"/>
                <w:bCs/>
                <w:szCs w:val="20"/>
              </w:rPr>
              <w:t>European Union</w:t>
            </w:r>
          </w:p>
        </w:tc>
        <w:tc>
          <w:tcPr>
            <w:tcW w:w="2268" w:type="dxa"/>
            <w:tcBorders>
              <w:top w:val="single" w:sz="4" w:space="0" w:color="auto"/>
            </w:tcBorders>
          </w:tcPr>
          <w:p w14:paraId="68B37641"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Child use and care articles – Baby bouncers – Safety requirements and test methods (</w:t>
            </w:r>
            <w:r>
              <w:t>EN 14036:2003)</w:t>
            </w:r>
          </w:p>
        </w:tc>
        <w:tc>
          <w:tcPr>
            <w:tcW w:w="1417" w:type="dxa"/>
            <w:tcBorders>
              <w:top w:val="single" w:sz="4" w:space="0" w:color="auto"/>
            </w:tcBorders>
          </w:tcPr>
          <w:p w14:paraId="47CC8783"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Voluntary </w:t>
            </w:r>
          </w:p>
        </w:tc>
        <w:tc>
          <w:tcPr>
            <w:tcW w:w="1701" w:type="dxa"/>
            <w:tcBorders>
              <w:top w:val="single" w:sz="4" w:space="0" w:color="auto"/>
            </w:tcBorders>
          </w:tcPr>
          <w:p w14:paraId="0C7775A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Borders>
              <w:top w:val="single" w:sz="4" w:space="0" w:color="auto"/>
            </w:tcBorders>
          </w:tcPr>
          <w:p w14:paraId="5DE9189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Borders>
              <w:top w:val="single" w:sz="4" w:space="0" w:color="auto"/>
            </w:tcBorders>
          </w:tcPr>
          <w:p w14:paraId="5261A7BB"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Borders>
              <w:top w:val="single" w:sz="4" w:space="0" w:color="auto"/>
            </w:tcBorders>
          </w:tcPr>
          <w:p w14:paraId="076C9E55"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Borders>
              <w:top w:val="single" w:sz="4" w:space="0" w:color="auto"/>
            </w:tcBorders>
          </w:tcPr>
          <w:p w14:paraId="6D02DDD8"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 xml:space="preserve">Vertically suspended bouncers. </w:t>
            </w:r>
          </w:p>
          <w:p w14:paraId="2205A5CD"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2675AD">
              <w:rPr>
                <w:i/>
                <w:iCs/>
              </w:rPr>
              <w:t>Excludes</w:t>
            </w:r>
            <w:r w:rsidRPr="006A41C4">
              <w:t xml:space="preserve">: Baby bouncers designed for special needs. </w:t>
            </w:r>
          </w:p>
        </w:tc>
      </w:tr>
      <w:tr w:rsidR="00602397" w:rsidRPr="006A41C4" w14:paraId="2B92138D"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69889765" w14:textId="77777777" w:rsidR="00602397" w:rsidRPr="006A41C4" w:rsidRDefault="00602397" w:rsidP="00302C1B">
            <w:pPr>
              <w:spacing w:after="0"/>
              <w:rPr>
                <w:bCs/>
                <w:szCs w:val="20"/>
              </w:rPr>
            </w:pPr>
          </w:p>
        </w:tc>
        <w:tc>
          <w:tcPr>
            <w:tcW w:w="2268" w:type="dxa"/>
          </w:tcPr>
          <w:p w14:paraId="3824E0AC"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Child Use and Care Articles – Carry cots and stands – Safety requirements and test methods (</w:t>
            </w:r>
            <w:r>
              <w:t>EN1466:2014)</w:t>
            </w:r>
          </w:p>
        </w:tc>
        <w:tc>
          <w:tcPr>
            <w:tcW w:w="1417" w:type="dxa"/>
          </w:tcPr>
          <w:p w14:paraId="79CBFE4C"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Voluntary</w:t>
            </w:r>
          </w:p>
        </w:tc>
        <w:tc>
          <w:tcPr>
            <w:tcW w:w="1701" w:type="dxa"/>
          </w:tcPr>
          <w:p w14:paraId="21E7A551"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4EBDEA11"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66C97F9D"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Pr>
          <w:p w14:paraId="5B31AA6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1B627793"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Products with carry handle intended for transporting a child in a lying position.</w:t>
            </w:r>
          </w:p>
        </w:tc>
      </w:tr>
      <w:tr w:rsidR="00602397" w:rsidRPr="006A41C4" w14:paraId="2F6AA7F3"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1E04D733" w14:textId="77777777" w:rsidR="00602397" w:rsidRPr="006A41C4" w:rsidRDefault="00602397" w:rsidP="00302C1B">
            <w:pPr>
              <w:spacing w:after="0"/>
              <w:rPr>
                <w:bCs/>
                <w:szCs w:val="20"/>
              </w:rPr>
            </w:pPr>
          </w:p>
        </w:tc>
        <w:tc>
          <w:tcPr>
            <w:tcW w:w="2268" w:type="dxa"/>
          </w:tcPr>
          <w:p w14:paraId="3AC0843D"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Children’s furniture – Cribs – Safety requirements and test methods </w:t>
            </w:r>
            <w:r>
              <w:t>(EN1130:2019)</w:t>
            </w:r>
          </w:p>
        </w:tc>
        <w:tc>
          <w:tcPr>
            <w:tcW w:w="1417" w:type="dxa"/>
          </w:tcPr>
          <w:p w14:paraId="069DE14B"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Voluntary</w:t>
            </w:r>
          </w:p>
        </w:tc>
        <w:tc>
          <w:tcPr>
            <w:tcW w:w="1701" w:type="dxa"/>
          </w:tcPr>
          <w:p w14:paraId="71D8B882"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10°</w:t>
            </w:r>
          </w:p>
        </w:tc>
        <w:tc>
          <w:tcPr>
            <w:tcW w:w="1423" w:type="dxa"/>
          </w:tcPr>
          <w:p w14:paraId="222B5142"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72D9188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0D8F052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42C58ACD"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Cradles, suspended baby beds, bedside sleepers.</w:t>
            </w:r>
          </w:p>
        </w:tc>
      </w:tr>
      <w:tr w:rsidR="002675AD" w:rsidRPr="006A41C4" w14:paraId="5F0D154B"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hideMark/>
          </w:tcPr>
          <w:p w14:paraId="29B9E813" w14:textId="77777777" w:rsidR="002675AD" w:rsidRPr="006A41C4" w:rsidRDefault="002675AD" w:rsidP="002675AD">
            <w:pPr>
              <w:spacing w:after="0"/>
              <w:rPr>
                <w:b w:val="0"/>
                <w:bCs/>
                <w:szCs w:val="20"/>
              </w:rPr>
            </w:pPr>
          </w:p>
        </w:tc>
        <w:tc>
          <w:tcPr>
            <w:tcW w:w="2268" w:type="dxa"/>
            <w:hideMark/>
          </w:tcPr>
          <w:p w14:paraId="5C08EFBA" w14:textId="77777777" w:rsidR="002675AD" w:rsidRPr="006A41C4" w:rsidRDefault="002675AD" w:rsidP="002675AD">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General Product Safety Directive </w:t>
            </w:r>
          </w:p>
        </w:tc>
        <w:tc>
          <w:tcPr>
            <w:tcW w:w="1417" w:type="dxa"/>
            <w:hideMark/>
          </w:tcPr>
          <w:p w14:paraId="5DE18FB4" w14:textId="77777777" w:rsidR="002675AD" w:rsidRPr="006A41C4" w:rsidRDefault="002675AD" w:rsidP="002675AD">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hideMark/>
          </w:tcPr>
          <w:p w14:paraId="3152E421" w14:textId="0ACF6641" w:rsidR="002675AD" w:rsidRPr="006A41C4" w:rsidRDefault="002675AD" w:rsidP="002675AD">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1423" w:type="dxa"/>
            <w:hideMark/>
          </w:tcPr>
          <w:p w14:paraId="54068381" w14:textId="7F4D028E" w:rsidR="002675AD" w:rsidRPr="006A41C4" w:rsidRDefault="002675AD" w:rsidP="002675AD">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1417" w:type="dxa"/>
            <w:hideMark/>
          </w:tcPr>
          <w:p w14:paraId="18EFCA93" w14:textId="5759084E" w:rsidR="002675AD" w:rsidRPr="006A41C4" w:rsidRDefault="002675AD" w:rsidP="002675AD">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1560" w:type="dxa"/>
            <w:hideMark/>
          </w:tcPr>
          <w:p w14:paraId="423B33A8" w14:textId="5EDE9ECE" w:rsidR="002675AD" w:rsidRPr="006A41C4" w:rsidRDefault="002675AD" w:rsidP="002675AD">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2693" w:type="dxa"/>
            <w:hideMark/>
          </w:tcPr>
          <w:p w14:paraId="74398E18" w14:textId="77777777" w:rsidR="002675AD" w:rsidRPr="006A41C4" w:rsidRDefault="002675AD" w:rsidP="002675AD">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General safety provision.</w:t>
            </w:r>
          </w:p>
        </w:tc>
      </w:tr>
      <w:tr w:rsidR="00602397" w:rsidRPr="006A41C4" w14:paraId="25AE5C07"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13F6D1B7" w14:textId="77777777" w:rsidR="00602397" w:rsidRPr="006A41C4" w:rsidRDefault="00602397" w:rsidP="00302C1B">
            <w:pPr>
              <w:spacing w:after="0"/>
              <w:rPr>
                <w:bCs/>
                <w:szCs w:val="20"/>
              </w:rPr>
            </w:pPr>
          </w:p>
        </w:tc>
        <w:tc>
          <w:tcPr>
            <w:tcW w:w="2268" w:type="dxa"/>
          </w:tcPr>
          <w:p w14:paraId="7ED8096E"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Child use and care articles - </w:t>
            </w:r>
            <w:r w:rsidRPr="006A41C4">
              <w:rPr>
                <w:szCs w:val="20"/>
              </w:rPr>
              <w:t xml:space="preserve">Infant </w:t>
            </w:r>
            <w:r>
              <w:rPr>
                <w:szCs w:val="20"/>
              </w:rPr>
              <w:t>s</w:t>
            </w:r>
            <w:r w:rsidRPr="006A41C4">
              <w:rPr>
                <w:szCs w:val="20"/>
              </w:rPr>
              <w:t>wings</w:t>
            </w:r>
            <w:r>
              <w:rPr>
                <w:szCs w:val="20"/>
              </w:rPr>
              <w:t xml:space="preserve"> </w:t>
            </w:r>
            <w:r>
              <w:t>(EN16232:20130)</w:t>
            </w:r>
          </w:p>
        </w:tc>
        <w:tc>
          <w:tcPr>
            <w:tcW w:w="1417" w:type="dxa"/>
          </w:tcPr>
          <w:p w14:paraId="40EECAC1"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Voluntary</w:t>
            </w:r>
          </w:p>
        </w:tc>
        <w:tc>
          <w:tcPr>
            <w:tcW w:w="1701" w:type="dxa"/>
          </w:tcPr>
          <w:p w14:paraId="23E52974"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29740AB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63CC554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30EFE76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7E8DEC47"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Infant swings.</w:t>
            </w:r>
          </w:p>
        </w:tc>
      </w:tr>
      <w:tr w:rsidR="00602397" w:rsidRPr="006A41C4" w14:paraId="43DAA335"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hideMark/>
          </w:tcPr>
          <w:p w14:paraId="2D0D3250" w14:textId="77777777" w:rsidR="00602397" w:rsidRPr="006A41C4" w:rsidRDefault="00602397" w:rsidP="00302C1B">
            <w:pPr>
              <w:spacing w:after="0"/>
              <w:rPr>
                <w:bCs/>
                <w:szCs w:val="20"/>
              </w:rPr>
            </w:pPr>
          </w:p>
        </w:tc>
        <w:tc>
          <w:tcPr>
            <w:tcW w:w="2268" w:type="dxa"/>
          </w:tcPr>
          <w:p w14:paraId="6E50029F"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Children’s furniture - </w:t>
            </w:r>
            <w:r w:rsidRPr="006A41C4">
              <w:rPr>
                <w:szCs w:val="20"/>
              </w:rPr>
              <w:t>Mattress for cots and cribs</w:t>
            </w:r>
            <w:r>
              <w:rPr>
                <w:szCs w:val="20"/>
              </w:rPr>
              <w:t xml:space="preserve"> – Safety requirements and test methods </w:t>
            </w:r>
            <w:r>
              <w:t>(EN 16890:2017)</w:t>
            </w:r>
            <w:r>
              <w:rPr>
                <w:szCs w:val="20"/>
              </w:rPr>
              <w:t xml:space="preserve"> </w:t>
            </w:r>
          </w:p>
        </w:tc>
        <w:tc>
          <w:tcPr>
            <w:tcW w:w="1417" w:type="dxa"/>
          </w:tcPr>
          <w:p w14:paraId="0E818C9E"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Voluntary</w:t>
            </w:r>
          </w:p>
        </w:tc>
        <w:tc>
          <w:tcPr>
            <w:tcW w:w="1701" w:type="dxa"/>
          </w:tcPr>
          <w:p w14:paraId="1AFC50CF"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5CB4CCA5"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1F1BBFAB"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Pr>
          <w:p w14:paraId="0694C1E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13DFE9BB"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Mattresses including bases and toppers used in cots, travel cots, cribs and suspended baby beds.</w:t>
            </w:r>
          </w:p>
          <w:p w14:paraId="1016557F"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carry cots, prams, inflatable and water mattresses and those for medical purposes. </w:t>
            </w:r>
          </w:p>
        </w:tc>
      </w:tr>
      <w:tr w:rsidR="00602397" w:rsidRPr="006A41C4" w14:paraId="692176F9"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Borders>
              <w:bottom w:val="single" w:sz="4" w:space="0" w:color="auto"/>
            </w:tcBorders>
            <w:hideMark/>
          </w:tcPr>
          <w:p w14:paraId="35B3F954" w14:textId="77777777" w:rsidR="00602397" w:rsidRPr="006A41C4" w:rsidRDefault="00602397" w:rsidP="00302C1B">
            <w:pPr>
              <w:spacing w:after="0"/>
              <w:rPr>
                <w:bCs/>
                <w:szCs w:val="20"/>
              </w:rPr>
            </w:pPr>
          </w:p>
        </w:tc>
        <w:tc>
          <w:tcPr>
            <w:tcW w:w="2268" w:type="dxa"/>
            <w:tcBorders>
              <w:bottom w:val="single" w:sz="4" w:space="0" w:color="auto"/>
            </w:tcBorders>
          </w:tcPr>
          <w:p w14:paraId="5470D385"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Child use and care articles - </w:t>
            </w:r>
            <w:r w:rsidRPr="006A41C4">
              <w:rPr>
                <w:szCs w:val="20"/>
              </w:rPr>
              <w:t xml:space="preserve">Reclined </w:t>
            </w:r>
            <w:r>
              <w:rPr>
                <w:szCs w:val="20"/>
              </w:rPr>
              <w:t>c</w:t>
            </w:r>
            <w:r w:rsidRPr="006A41C4">
              <w:rPr>
                <w:szCs w:val="20"/>
              </w:rPr>
              <w:t>radles</w:t>
            </w:r>
            <w:r>
              <w:rPr>
                <w:szCs w:val="20"/>
              </w:rPr>
              <w:t xml:space="preserve"> </w:t>
            </w:r>
            <w:r>
              <w:t>(EN12790:2009)</w:t>
            </w:r>
          </w:p>
        </w:tc>
        <w:tc>
          <w:tcPr>
            <w:tcW w:w="1417" w:type="dxa"/>
            <w:tcBorders>
              <w:bottom w:val="single" w:sz="4" w:space="0" w:color="auto"/>
            </w:tcBorders>
          </w:tcPr>
          <w:p w14:paraId="076F8484"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Voluntary</w:t>
            </w:r>
          </w:p>
        </w:tc>
        <w:tc>
          <w:tcPr>
            <w:tcW w:w="1701" w:type="dxa"/>
            <w:tcBorders>
              <w:bottom w:val="single" w:sz="4" w:space="0" w:color="auto"/>
            </w:tcBorders>
          </w:tcPr>
          <w:p w14:paraId="5C3B5E5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Borders>
              <w:bottom w:val="single" w:sz="4" w:space="0" w:color="auto"/>
            </w:tcBorders>
          </w:tcPr>
          <w:p w14:paraId="6C9F3E1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Borders>
              <w:bottom w:val="single" w:sz="4" w:space="0" w:color="auto"/>
            </w:tcBorders>
          </w:tcPr>
          <w:p w14:paraId="341EF12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Borders>
              <w:bottom w:val="single" w:sz="4" w:space="0" w:color="auto"/>
            </w:tcBorders>
          </w:tcPr>
          <w:p w14:paraId="2216EA9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Borders>
              <w:bottom w:val="single" w:sz="4" w:space="0" w:color="auto"/>
            </w:tcBorders>
          </w:tcPr>
          <w:p w14:paraId="6432993E"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Products where children are in reclined position, may have adjustable backrest, bounce or be static.</w:t>
            </w:r>
          </w:p>
          <w:p w14:paraId="042DB911"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Swings. </w:t>
            </w:r>
          </w:p>
        </w:tc>
      </w:tr>
      <w:tr w:rsidR="00602397" w:rsidRPr="006A41C4" w14:paraId="207C2F45" w14:textId="77777777" w:rsidTr="00691474">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tcBorders>
            <w:hideMark/>
          </w:tcPr>
          <w:p w14:paraId="43DE1855" w14:textId="77777777" w:rsidR="00602397" w:rsidRPr="006A41C4" w:rsidRDefault="00602397" w:rsidP="00302C1B">
            <w:pPr>
              <w:spacing w:after="0"/>
              <w:rPr>
                <w:b w:val="0"/>
                <w:bCs/>
                <w:szCs w:val="20"/>
              </w:rPr>
            </w:pPr>
            <w:r w:rsidRPr="006A41C4">
              <w:rPr>
                <w:b w:val="0"/>
                <w:bCs/>
                <w:szCs w:val="20"/>
              </w:rPr>
              <w:t>New Zealand</w:t>
            </w:r>
          </w:p>
        </w:tc>
        <w:tc>
          <w:tcPr>
            <w:tcW w:w="2268" w:type="dxa"/>
            <w:tcBorders>
              <w:top w:val="single" w:sz="4" w:space="0" w:color="auto"/>
              <w:bottom w:val="single" w:sz="4" w:space="0" w:color="auto"/>
            </w:tcBorders>
            <w:hideMark/>
          </w:tcPr>
          <w:p w14:paraId="3A58419B" w14:textId="77777777" w:rsidR="00602397" w:rsidRPr="00036B03" w:rsidRDefault="00602397" w:rsidP="00302C1B">
            <w:pPr>
              <w:spacing w:after="0"/>
              <w:cnfStyle w:val="000000000000" w:firstRow="0" w:lastRow="0" w:firstColumn="0" w:lastColumn="0" w:oddVBand="0" w:evenVBand="0" w:oddHBand="0" w:evenHBand="0" w:firstRowFirstColumn="0" w:firstRowLastColumn="0" w:lastRowFirstColumn="0" w:lastRowLastColumn="0"/>
              <w:rPr>
                <w:iCs/>
                <w:szCs w:val="20"/>
              </w:rPr>
            </w:pPr>
            <w:r w:rsidRPr="00036B03">
              <w:rPr>
                <w:iCs/>
                <w:szCs w:val="20"/>
                <w:lang w:val="en-NZ"/>
              </w:rPr>
              <w:t>Unsafe Goods (Inclined Infant Sleep Products) Notice 2019</w:t>
            </w:r>
            <w:r>
              <w:rPr>
                <w:iCs/>
                <w:szCs w:val="20"/>
                <w:lang w:val="en-NZ"/>
              </w:rPr>
              <w:t xml:space="preserve"> (New Zealand)</w:t>
            </w:r>
          </w:p>
        </w:tc>
        <w:tc>
          <w:tcPr>
            <w:tcW w:w="1417" w:type="dxa"/>
            <w:tcBorders>
              <w:top w:val="single" w:sz="4" w:space="0" w:color="auto"/>
              <w:bottom w:val="single" w:sz="4" w:space="0" w:color="auto"/>
            </w:tcBorders>
            <w:hideMark/>
          </w:tcPr>
          <w:p w14:paraId="66D9B125"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Permanent ban</w:t>
            </w:r>
          </w:p>
        </w:tc>
        <w:tc>
          <w:tcPr>
            <w:tcW w:w="1701" w:type="dxa"/>
            <w:tcBorders>
              <w:top w:val="single" w:sz="4" w:space="0" w:color="auto"/>
              <w:bottom w:val="single" w:sz="4" w:space="0" w:color="auto"/>
            </w:tcBorders>
            <w:hideMark/>
          </w:tcPr>
          <w:p w14:paraId="486DD07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7°</w:t>
            </w:r>
          </w:p>
        </w:tc>
        <w:tc>
          <w:tcPr>
            <w:tcW w:w="1423" w:type="dxa"/>
            <w:tcBorders>
              <w:top w:val="single" w:sz="4" w:space="0" w:color="auto"/>
              <w:bottom w:val="single" w:sz="4" w:space="0" w:color="auto"/>
            </w:tcBorders>
            <w:hideMark/>
          </w:tcPr>
          <w:p w14:paraId="37E3B1B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Borders>
              <w:top w:val="single" w:sz="4" w:space="0" w:color="auto"/>
              <w:bottom w:val="single" w:sz="4" w:space="0" w:color="auto"/>
            </w:tcBorders>
            <w:hideMark/>
          </w:tcPr>
          <w:p w14:paraId="3525615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Borders>
              <w:top w:val="single" w:sz="4" w:space="0" w:color="auto"/>
              <w:bottom w:val="single" w:sz="4" w:space="0" w:color="auto"/>
            </w:tcBorders>
            <w:hideMark/>
          </w:tcPr>
          <w:p w14:paraId="761438B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Borders>
              <w:top w:val="single" w:sz="4" w:space="0" w:color="auto"/>
              <w:bottom w:val="single" w:sz="4" w:space="0" w:color="auto"/>
            </w:tcBorders>
            <w:hideMark/>
          </w:tcPr>
          <w:p w14:paraId="00D0DD30" w14:textId="77777777" w:rsidR="00602397"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Infant sleep products. </w:t>
            </w:r>
          </w:p>
          <w:p w14:paraId="67C2351B"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car seats, capsules, prams or strollers, slings, amusement products.</w:t>
            </w:r>
          </w:p>
        </w:tc>
      </w:tr>
      <w:tr w:rsidR="00BA6DE2" w:rsidRPr="006A41C4" w14:paraId="0F34CCD8" w14:textId="77777777" w:rsidTr="00691474">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uto"/>
              <w:bottom w:val="single" w:sz="4" w:space="0" w:color="auto"/>
            </w:tcBorders>
            <w:hideMark/>
          </w:tcPr>
          <w:p w14:paraId="572E1C91" w14:textId="77777777" w:rsidR="00BA6DE2" w:rsidRPr="006A41C4" w:rsidRDefault="00BA6DE2" w:rsidP="00BA6DE2">
            <w:pPr>
              <w:spacing w:after="0"/>
              <w:rPr>
                <w:b w:val="0"/>
                <w:bCs/>
                <w:szCs w:val="20"/>
              </w:rPr>
            </w:pPr>
            <w:r w:rsidRPr="006A41C4">
              <w:rPr>
                <w:b w:val="0"/>
                <w:bCs/>
                <w:szCs w:val="20"/>
              </w:rPr>
              <w:t>United Kingdom</w:t>
            </w:r>
          </w:p>
        </w:tc>
        <w:tc>
          <w:tcPr>
            <w:tcW w:w="2268" w:type="dxa"/>
            <w:tcBorders>
              <w:top w:val="single" w:sz="4" w:space="0" w:color="auto"/>
              <w:bottom w:val="single" w:sz="4" w:space="0" w:color="auto"/>
            </w:tcBorders>
            <w:hideMark/>
          </w:tcPr>
          <w:p w14:paraId="1F0AD0DA" w14:textId="77777777" w:rsidR="00BA6DE2" w:rsidRPr="006A41C4" w:rsidRDefault="00BA6DE2" w:rsidP="00BA6DE2">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General Product Safety Regulations 2005</w:t>
            </w:r>
          </w:p>
        </w:tc>
        <w:tc>
          <w:tcPr>
            <w:tcW w:w="1417" w:type="dxa"/>
            <w:tcBorders>
              <w:top w:val="single" w:sz="4" w:space="0" w:color="auto"/>
              <w:bottom w:val="single" w:sz="4" w:space="0" w:color="auto"/>
            </w:tcBorders>
            <w:hideMark/>
          </w:tcPr>
          <w:p w14:paraId="7CFAFD6E" w14:textId="77777777" w:rsidR="00BA6DE2" w:rsidRPr="006A41C4" w:rsidRDefault="00BA6DE2" w:rsidP="00BA6DE2">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Borders>
              <w:top w:val="single" w:sz="4" w:space="0" w:color="auto"/>
              <w:bottom w:val="single" w:sz="4" w:space="0" w:color="auto"/>
            </w:tcBorders>
            <w:hideMark/>
          </w:tcPr>
          <w:p w14:paraId="43D954AE" w14:textId="60BE2C4C" w:rsidR="00BA6DE2" w:rsidRPr="006A41C4" w:rsidRDefault="00BA6DE2" w:rsidP="00BA6DE2">
            <w:pPr>
              <w:spacing w:after="0"/>
              <w:jc w:val="center"/>
              <w:cnfStyle w:val="000000000000" w:firstRow="0" w:lastRow="0" w:firstColumn="0" w:lastColumn="0" w:oddVBand="0" w:evenVBand="0" w:oddHBand="0" w:evenHBand="0" w:firstRowFirstColumn="0" w:firstRowLastColumn="0" w:lastRowFirstColumn="0" w:lastRowLastColumn="0"/>
              <w:rPr>
                <w:szCs w:val="20"/>
              </w:rPr>
            </w:pPr>
            <w:r>
              <w:rPr>
                <w:szCs w:val="20"/>
              </w:rPr>
              <w:t>N/A</w:t>
            </w:r>
          </w:p>
        </w:tc>
        <w:tc>
          <w:tcPr>
            <w:tcW w:w="1423" w:type="dxa"/>
            <w:tcBorders>
              <w:top w:val="single" w:sz="4" w:space="0" w:color="auto"/>
              <w:bottom w:val="single" w:sz="4" w:space="0" w:color="auto"/>
            </w:tcBorders>
            <w:hideMark/>
          </w:tcPr>
          <w:p w14:paraId="03926A76" w14:textId="0850E917" w:rsidR="00BA6DE2" w:rsidRPr="006A41C4" w:rsidRDefault="00BA6DE2" w:rsidP="00BA6DE2">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1417" w:type="dxa"/>
            <w:tcBorders>
              <w:top w:val="single" w:sz="4" w:space="0" w:color="auto"/>
              <w:bottom w:val="single" w:sz="4" w:space="0" w:color="auto"/>
            </w:tcBorders>
            <w:hideMark/>
          </w:tcPr>
          <w:p w14:paraId="230ADCC7" w14:textId="6FF48079" w:rsidR="00BA6DE2" w:rsidRPr="006A41C4" w:rsidRDefault="00BA6DE2" w:rsidP="00BA6DE2">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1560" w:type="dxa"/>
            <w:tcBorders>
              <w:top w:val="single" w:sz="4" w:space="0" w:color="auto"/>
              <w:bottom w:val="single" w:sz="4" w:space="0" w:color="auto"/>
            </w:tcBorders>
            <w:hideMark/>
          </w:tcPr>
          <w:p w14:paraId="72C482B3" w14:textId="792127AD" w:rsidR="00BA6DE2" w:rsidRPr="006A41C4" w:rsidRDefault="00BA6DE2" w:rsidP="00BA6DE2">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5A6C1F">
              <w:rPr>
                <w:szCs w:val="20"/>
              </w:rPr>
              <w:t>N/A</w:t>
            </w:r>
          </w:p>
        </w:tc>
        <w:tc>
          <w:tcPr>
            <w:tcW w:w="2693" w:type="dxa"/>
            <w:tcBorders>
              <w:top w:val="single" w:sz="4" w:space="0" w:color="auto"/>
              <w:bottom w:val="single" w:sz="4" w:space="0" w:color="auto"/>
            </w:tcBorders>
            <w:hideMark/>
          </w:tcPr>
          <w:p w14:paraId="77D70702" w14:textId="77777777" w:rsidR="00BA6DE2" w:rsidRPr="006A41C4" w:rsidRDefault="00BA6DE2" w:rsidP="00BA6DE2">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General safety provision.</w:t>
            </w:r>
          </w:p>
        </w:tc>
      </w:tr>
      <w:tr w:rsidR="00602397" w:rsidRPr="006A41C4" w14:paraId="29E276DE"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4" w:space="0" w:color="auto"/>
            </w:tcBorders>
          </w:tcPr>
          <w:p w14:paraId="77A32A58" w14:textId="77777777" w:rsidR="00602397" w:rsidRPr="006A41C4" w:rsidRDefault="00602397" w:rsidP="00302C1B">
            <w:pPr>
              <w:spacing w:after="0"/>
              <w:rPr>
                <w:b w:val="0"/>
                <w:szCs w:val="20"/>
              </w:rPr>
            </w:pPr>
            <w:r w:rsidRPr="006A41C4">
              <w:rPr>
                <w:b w:val="0"/>
                <w:szCs w:val="20"/>
              </w:rPr>
              <w:t>United States</w:t>
            </w:r>
          </w:p>
        </w:tc>
        <w:tc>
          <w:tcPr>
            <w:tcW w:w="2268" w:type="dxa"/>
            <w:tcBorders>
              <w:top w:val="single" w:sz="4" w:space="0" w:color="auto"/>
            </w:tcBorders>
          </w:tcPr>
          <w:p w14:paraId="499C74CB" w14:textId="790B4771"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Standard Consumer Safety Specification for Bassinets</w:t>
            </w:r>
            <w:r w:rsidR="00BA6DE2">
              <w:t xml:space="preserve"> </w:t>
            </w:r>
            <w:r>
              <w:t>a</w:t>
            </w:r>
            <w:r w:rsidRPr="006A41C4">
              <w:t>nd Cradles</w:t>
            </w:r>
            <w:r>
              <w:t xml:space="preserve"> (ASTM F2194-16e1)</w:t>
            </w:r>
          </w:p>
        </w:tc>
        <w:tc>
          <w:tcPr>
            <w:tcW w:w="1417" w:type="dxa"/>
            <w:tcBorders>
              <w:top w:val="single" w:sz="4" w:space="0" w:color="auto"/>
            </w:tcBorders>
          </w:tcPr>
          <w:p w14:paraId="12396F48"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Borders>
              <w:top w:val="single" w:sz="4" w:space="0" w:color="auto"/>
            </w:tcBorders>
          </w:tcPr>
          <w:p w14:paraId="406EE75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10°</w:t>
            </w:r>
          </w:p>
        </w:tc>
        <w:tc>
          <w:tcPr>
            <w:tcW w:w="1423" w:type="dxa"/>
            <w:tcBorders>
              <w:top w:val="single" w:sz="4" w:space="0" w:color="auto"/>
            </w:tcBorders>
          </w:tcPr>
          <w:p w14:paraId="79ADA15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Borders>
              <w:top w:val="single" w:sz="4" w:space="0" w:color="auto"/>
            </w:tcBorders>
          </w:tcPr>
          <w:p w14:paraId="15134AF1"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Borders>
              <w:top w:val="single" w:sz="4" w:space="0" w:color="auto"/>
            </w:tcBorders>
          </w:tcPr>
          <w:p w14:paraId="202ECC34"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2693" w:type="dxa"/>
            <w:tcBorders>
              <w:top w:val="single" w:sz="4" w:space="0" w:color="auto"/>
            </w:tcBorders>
          </w:tcPr>
          <w:p w14:paraId="3E5CB9C3"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 xml:space="preserve">Products which can be converted into bassinets or cradles, including removable bassinet bed attachments. </w:t>
            </w:r>
          </w:p>
          <w:p w14:paraId="064F43A3" w14:textId="309206FA"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2675AD">
              <w:rPr>
                <w:i/>
                <w:iCs/>
              </w:rPr>
              <w:t>Excludes</w:t>
            </w:r>
            <w:r w:rsidRPr="006A41C4">
              <w:t xml:space="preserve">: cribs, </w:t>
            </w:r>
            <w:r w:rsidR="002675AD">
              <w:t>m</w:t>
            </w:r>
            <w:r w:rsidRPr="006A41C4">
              <w:t>oses baskets and products used in conjunction with swing or stroller.</w:t>
            </w:r>
          </w:p>
        </w:tc>
      </w:tr>
      <w:tr w:rsidR="00602397" w:rsidRPr="006A41C4" w14:paraId="0D8341FB"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6FF6F465" w14:textId="77777777" w:rsidR="00602397" w:rsidRPr="006A41C4" w:rsidRDefault="00602397" w:rsidP="00302C1B">
            <w:pPr>
              <w:spacing w:after="0"/>
              <w:rPr>
                <w:bCs/>
                <w:szCs w:val="20"/>
              </w:rPr>
            </w:pPr>
          </w:p>
        </w:tc>
        <w:tc>
          <w:tcPr>
            <w:tcW w:w="2268" w:type="dxa"/>
          </w:tcPr>
          <w:p w14:paraId="700AA70C"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 xml:space="preserve">Standard Consumer Safety Specification for </w:t>
            </w:r>
            <w:r w:rsidRPr="006A41C4">
              <w:t>Bedside Sleepers</w:t>
            </w:r>
            <w:r>
              <w:t xml:space="preserve"> (ASTM F2906-13) </w:t>
            </w:r>
          </w:p>
        </w:tc>
        <w:tc>
          <w:tcPr>
            <w:tcW w:w="1417" w:type="dxa"/>
          </w:tcPr>
          <w:p w14:paraId="63B767FA"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0E1CBBF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30°</w:t>
            </w:r>
          </w:p>
        </w:tc>
        <w:tc>
          <w:tcPr>
            <w:tcW w:w="1423" w:type="dxa"/>
          </w:tcPr>
          <w:p w14:paraId="7F63938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2A205121"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34D52EC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7170C004"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 xml:space="preserve">Rigid-framed products either fabric or mesh sides designed for sleeping and is secured to an adult bed. </w:t>
            </w:r>
          </w:p>
        </w:tc>
      </w:tr>
      <w:tr w:rsidR="00602397" w:rsidRPr="006A41C4" w14:paraId="469A6840"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7F86FCA4" w14:textId="77777777" w:rsidR="00602397" w:rsidRPr="006A41C4" w:rsidRDefault="00602397" w:rsidP="00302C1B">
            <w:pPr>
              <w:spacing w:after="0"/>
              <w:rPr>
                <w:bCs/>
                <w:szCs w:val="20"/>
              </w:rPr>
            </w:pPr>
          </w:p>
        </w:tc>
        <w:tc>
          <w:tcPr>
            <w:tcW w:w="2268" w:type="dxa"/>
          </w:tcPr>
          <w:p w14:paraId="78972433"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 xml:space="preserve">Standard Consumer Safety Specification for Infant </w:t>
            </w:r>
            <w:r w:rsidRPr="006A41C4">
              <w:t>Bouncer Seats</w:t>
            </w:r>
            <w:r>
              <w:t xml:space="preserve"> (ASTM F2167-19) </w:t>
            </w:r>
          </w:p>
        </w:tc>
        <w:tc>
          <w:tcPr>
            <w:tcW w:w="1417" w:type="dxa"/>
          </w:tcPr>
          <w:p w14:paraId="5954A5D9"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1F6B504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72F34A1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7A6F660B"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1EAAABA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14882905"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Freestanding product with reclined position.</w:t>
            </w:r>
          </w:p>
        </w:tc>
      </w:tr>
      <w:tr w:rsidR="00602397" w:rsidRPr="006A41C4" w14:paraId="58421A8F"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2C9E4B5F" w14:textId="77777777" w:rsidR="00602397" w:rsidRPr="006A41C4" w:rsidRDefault="00602397" w:rsidP="00302C1B">
            <w:pPr>
              <w:spacing w:after="0"/>
              <w:rPr>
                <w:bCs/>
                <w:szCs w:val="20"/>
              </w:rPr>
            </w:pPr>
          </w:p>
        </w:tc>
        <w:tc>
          <w:tcPr>
            <w:tcW w:w="2268" w:type="dxa"/>
          </w:tcPr>
          <w:p w14:paraId="4FBE5979"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 xml:space="preserve">Standard Consumer Safety Specification for </w:t>
            </w:r>
            <w:r w:rsidRPr="006A41C4">
              <w:t>Crib Mattresses</w:t>
            </w:r>
            <w:r>
              <w:t xml:space="preserve"> (ASTM F2933-21a) </w:t>
            </w:r>
          </w:p>
        </w:tc>
        <w:tc>
          <w:tcPr>
            <w:tcW w:w="1417" w:type="dxa"/>
          </w:tcPr>
          <w:p w14:paraId="547B4841"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Mandatory </w:t>
            </w:r>
          </w:p>
        </w:tc>
        <w:tc>
          <w:tcPr>
            <w:tcW w:w="1701" w:type="dxa"/>
          </w:tcPr>
          <w:p w14:paraId="188FC287"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5E267182"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03DD787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Pr>
          <w:p w14:paraId="6263712D"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1BF9C688"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 xml:space="preserve">Mattress for full size cribs, non-full-size cribs, aftermarket mattress for play yards. </w:t>
            </w:r>
          </w:p>
        </w:tc>
      </w:tr>
      <w:tr w:rsidR="00602397" w:rsidRPr="006A41C4" w14:paraId="51ADF348"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7B01C0E7" w14:textId="77777777" w:rsidR="00602397" w:rsidRPr="006A41C4" w:rsidRDefault="00602397" w:rsidP="00302C1B">
            <w:pPr>
              <w:spacing w:after="0"/>
              <w:rPr>
                <w:bCs/>
                <w:szCs w:val="20"/>
              </w:rPr>
            </w:pPr>
          </w:p>
        </w:tc>
        <w:tc>
          <w:tcPr>
            <w:tcW w:w="2268" w:type="dxa"/>
          </w:tcPr>
          <w:p w14:paraId="0D525FC6"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Standard consumer safety specification for f</w:t>
            </w:r>
            <w:r w:rsidRPr="006A41C4">
              <w:t xml:space="preserve">ull-size </w:t>
            </w:r>
            <w:r>
              <w:t>b</w:t>
            </w:r>
            <w:r w:rsidRPr="006A41C4">
              <w:t xml:space="preserve">aby </w:t>
            </w:r>
            <w:r>
              <w:t>c</w:t>
            </w:r>
            <w:r w:rsidRPr="006A41C4">
              <w:t>ribs</w:t>
            </w:r>
            <w:r>
              <w:t xml:space="preserve"> (ASTM F1169-19)</w:t>
            </w:r>
          </w:p>
        </w:tc>
        <w:tc>
          <w:tcPr>
            <w:tcW w:w="1417" w:type="dxa"/>
          </w:tcPr>
          <w:p w14:paraId="2C30DA2A"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692E4FAD"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30B3988F"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74F0715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47387304"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5BA12FA7"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Cribs (dimensions specified).</w:t>
            </w:r>
          </w:p>
        </w:tc>
      </w:tr>
      <w:tr w:rsidR="00602397" w:rsidRPr="006A41C4" w14:paraId="772605B9"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195AF44A" w14:textId="77777777" w:rsidR="00602397" w:rsidRPr="006A41C4" w:rsidRDefault="00602397" w:rsidP="00302C1B">
            <w:pPr>
              <w:spacing w:after="0"/>
              <w:rPr>
                <w:bCs/>
                <w:szCs w:val="20"/>
              </w:rPr>
            </w:pPr>
          </w:p>
        </w:tc>
        <w:tc>
          <w:tcPr>
            <w:tcW w:w="2268" w:type="dxa"/>
          </w:tcPr>
          <w:p w14:paraId="515A7A45"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t xml:space="preserve">Standard Consumer Safety Specification for Infant </w:t>
            </w:r>
            <w:r w:rsidRPr="006A41C4">
              <w:t>Inclined Sleep Product</w:t>
            </w:r>
            <w:r>
              <w:t xml:space="preserve">s </w:t>
            </w:r>
            <w:r w:rsidRPr="00DF3915">
              <w:t>(ASTM F3118-17a)</w:t>
            </w:r>
          </w:p>
        </w:tc>
        <w:tc>
          <w:tcPr>
            <w:tcW w:w="1417" w:type="dxa"/>
          </w:tcPr>
          <w:p w14:paraId="17119C89"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19AEE3BA"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10°</w:t>
            </w:r>
          </w:p>
        </w:tc>
        <w:tc>
          <w:tcPr>
            <w:tcW w:w="1423" w:type="dxa"/>
          </w:tcPr>
          <w:p w14:paraId="656313A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24F52F7B"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6D2B3E4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2F01E7CA"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pPr>
            <w:r w:rsidRPr="006A41C4">
              <w:t>Inclined products used for sleep that are not captured by the bassinets and cradles, full-size baby cribs, non-full-size baby cribs, play yards and bedside sleeper standards.</w:t>
            </w:r>
          </w:p>
        </w:tc>
      </w:tr>
      <w:tr w:rsidR="00602397" w:rsidRPr="006A41C4" w14:paraId="287A8672"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08B68624" w14:textId="77777777" w:rsidR="00602397" w:rsidRPr="006A41C4" w:rsidRDefault="00602397" w:rsidP="00302C1B">
            <w:pPr>
              <w:spacing w:after="0"/>
              <w:rPr>
                <w:bCs/>
                <w:szCs w:val="20"/>
              </w:rPr>
            </w:pPr>
          </w:p>
        </w:tc>
        <w:tc>
          <w:tcPr>
            <w:tcW w:w="2268" w:type="dxa"/>
          </w:tcPr>
          <w:p w14:paraId="5D44D756"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 xml:space="preserve">Standard Consumer Safety Specification for </w:t>
            </w:r>
            <w:r w:rsidRPr="006A41C4">
              <w:rPr>
                <w:szCs w:val="20"/>
              </w:rPr>
              <w:t xml:space="preserve">Infant </w:t>
            </w:r>
            <w:r>
              <w:rPr>
                <w:szCs w:val="20"/>
              </w:rPr>
              <w:t xml:space="preserve">and Cradle </w:t>
            </w:r>
            <w:r w:rsidRPr="006A41C4">
              <w:rPr>
                <w:szCs w:val="20"/>
              </w:rPr>
              <w:t>Swings</w:t>
            </w:r>
            <w:r>
              <w:rPr>
                <w:szCs w:val="20"/>
              </w:rPr>
              <w:t xml:space="preserve"> </w:t>
            </w:r>
            <w:r>
              <w:t>(ASTM F2088-21)</w:t>
            </w:r>
          </w:p>
        </w:tc>
        <w:tc>
          <w:tcPr>
            <w:tcW w:w="1417" w:type="dxa"/>
          </w:tcPr>
          <w:p w14:paraId="3505EA4A"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3EF9EFE0"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60°</w:t>
            </w:r>
          </w:p>
        </w:tc>
        <w:tc>
          <w:tcPr>
            <w:tcW w:w="1423" w:type="dxa"/>
          </w:tcPr>
          <w:p w14:paraId="157439C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26D9FD4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13D69983"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2ACBEEB6"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6A41C4">
              <w:rPr>
                <w:szCs w:val="20"/>
              </w:rPr>
              <w:t>Stationary unit with a frame and mechanism that enables infant that is unable to sit up unassisted to swing.</w:t>
            </w:r>
          </w:p>
          <w:p w14:paraId="6C9197D4"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products that provide sleeping accommodation.</w:t>
            </w:r>
          </w:p>
        </w:tc>
      </w:tr>
      <w:tr w:rsidR="00602397" w:rsidRPr="006A41C4" w14:paraId="4D805D5A"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7F848293" w14:textId="77777777" w:rsidR="00602397" w:rsidRPr="006A41C4" w:rsidRDefault="00602397" w:rsidP="00302C1B">
            <w:pPr>
              <w:spacing w:after="0"/>
              <w:rPr>
                <w:bCs/>
                <w:szCs w:val="20"/>
              </w:rPr>
            </w:pPr>
          </w:p>
        </w:tc>
        <w:tc>
          <w:tcPr>
            <w:tcW w:w="2268" w:type="dxa"/>
          </w:tcPr>
          <w:p w14:paraId="19924654"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Standard consumer safety specification for n</w:t>
            </w:r>
            <w:r w:rsidRPr="006A41C4">
              <w:rPr>
                <w:szCs w:val="20"/>
              </w:rPr>
              <w:t xml:space="preserve">on-full-size </w:t>
            </w:r>
            <w:r>
              <w:rPr>
                <w:szCs w:val="20"/>
              </w:rPr>
              <w:t>c</w:t>
            </w:r>
            <w:r w:rsidRPr="006A41C4">
              <w:rPr>
                <w:szCs w:val="20"/>
              </w:rPr>
              <w:t>ribs</w:t>
            </w:r>
            <w:r>
              <w:rPr>
                <w:szCs w:val="20"/>
              </w:rPr>
              <w:t xml:space="preserve"> </w:t>
            </w:r>
            <w:r>
              <w:t>(ASTM F406-19)</w:t>
            </w:r>
            <w:r>
              <w:rPr>
                <w:szCs w:val="20"/>
              </w:rPr>
              <w:t xml:space="preserve"> </w:t>
            </w:r>
          </w:p>
        </w:tc>
        <w:tc>
          <w:tcPr>
            <w:tcW w:w="1417" w:type="dxa"/>
          </w:tcPr>
          <w:p w14:paraId="1BA0C0FC"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01184D6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1C5F2C30"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0A2EDBE6"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Pr>
          <w:p w14:paraId="42B6B6D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2693" w:type="dxa"/>
          </w:tcPr>
          <w:p w14:paraId="76916C12"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6A41C4">
              <w:rPr>
                <w:szCs w:val="20"/>
              </w:rPr>
              <w:t>Cribs larger or smaller than full-size crib, including portable cribs, pens, specialty cribs, play yard.</w:t>
            </w:r>
          </w:p>
          <w:p w14:paraId="43EBF0C4"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mesh/net/screen cribs, non-rigid cribs, car beds, baby baskets, rocking cradles.</w:t>
            </w:r>
          </w:p>
        </w:tc>
      </w:tr>
      <w:tr w:rsidR="00602397" w:rsidRPr="006A41C4" w14:paraId="173EF6C7"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508A30D8" w14:textId="77777777" w:rsidR="00602397" w:rsidRPr="006A41C4" w:rsidRDefault="00602397" w:rsidP="00302C1B">
            <w:pPr>
              <w:spacing w:after="0"/>
              <w:rPr>
                <w:bCs/>
                <w:szCs w:val="20"/>
              </w:rPr>
            </w:pPr>
          </w:p>
        </w:tc>
        <w:tc>
          <w:tcPr>
            <w:tcW w:w="2268" w:type="dxa"/>
          </w:tcPr>
          <w:p w14:paraId="60809E91"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Pr>
                <w:szCs w:val="20"/>
              </w:rPr>
              <w:t>Standard consumer safety specification for n</w:t>
            </w:r>
            <w:r w:rsidRPr="006A41C4">
              <w:rPr>
                <w:szCs w:val="20"/>
              </w:rPr>
              <w:t xml:space="preserve">on-full-size </w:t>
            </w:r>
            <w:r>
              <w:rPr>
                <w:szCs w:val="20"/>
              </w:rPr>
              <w:t>c</w:t>
            </w:r>
            <w:r w:rsidRPr="006A41C4">
              <w:rPr>
                <w:szCs w:val="20"/>
              </w:rPr>
              <w:t>ribs</w:t>
            </w:r>
            <w:r>
              <w:rPr>
                <w:szCs w:val="20"/>
              </w:rPr>
              <w:t xml:space="preserve"> </w:t>
            </w:r>
            <w:r>
              <w:t>(ASTM F406-19)</w:t>
            </w:r>
          </w:p>
        </w:tc>
        <w:tc>
          <w:tcPr>
            <w:tcW w:w="1417" w:type="dxa"/>
          </w:tcPr>
          <w:p w14:paraId="4150012F"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354A401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23" w:type="dxa"/>
          </w:tcPr>
          <w:p w14:paraId="7C8A82C8"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68C82239"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1560" w:type="dxa"/>
          </w:tcPr>
          <w:p w14:paraId="60D5D061"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sym w:font="Wingdings" w:char="F0FC"/>
            </w:r>
          </w:p>
        </w:tc>
        <w:tc>
          <w:tcPr>
            <w:tcW w:w="2693" w:type="dxa"/>
          </w:tcPr>
          <w:p w14:paraId="05A7F3C1" w14:textId="77777777" w:rsidR="00602397" w:rsidRPr="006A41C4" w:rsidRDefault="00602397" w:rsidP="00D56B3B">
            <w:pPr>
              <w:pStyle w:val="Tabletext"/>
              <w:cnfStyle w:val="000000000000" w:firstRow="0" w:lastRow="0" w:firstColumn="0" w:lastColumn="0" w:oddVBand="0" w:evenVBand="0" w:oddHBand="0" w:evenHBand="0" w:firstRowFirstColumn="0" w:firstRowLastColumn="0" w:lastRowFirstColumn="0" w:lastRowLastColumn="0"/>
              <w:rPr>
                <w:szCs w:val="20"/>
              </w:rPr>
            </w:pPr>
            <w:r w:rsidRPr="006A41C4">
              <w:rPr>
                <w:szCs w:val="20"/>
              </w:rPr>
              <w:t>Framed enclosures with a floor, mesh/fabric side panels, including bassinet/inclined accessories.</w:t>
            </w:r>
          </w:p>
        </w:tc>
      </w:tr>
      <w:tr w:rsidR="00602397" w:rsidRPr="006A41C4" w14:paraId="084F2CF9" w14:textId="77777777" w:rsidTr="00691474">
        <w:tc>
          <w:tcPr>
            <w:cnfStyle w:val="001000000000" w:firstRow="0" w:lastRow="0" w:firstColumn="1" w:lastColumn="0" w:oddVBand="0" w:evenVBand="0" w:oddHBand="0" w:evenHBand="0" w:firstRowFirstColumn="0" w:firstRowLastColumn="0" w:lastRowFirstColumn="0" w:lastRowLastColumn="0"/>
            <w:tcW w:w="1413" w:type="dxa"/>
            <w:vMerge/>
          </w:tcPr>
          <w:p w14:paraId="658DE497" w14:textId="77777777" w:rsidR="00602397" w:rsidRPr="006A41C4" w:rsidRDefault="00602397" w:rsidP="00302C1B">
            <w:pPr>
              <w:spacing w:after="0"/>
              <w:rPr>
                <w:bCs/>
                <w:szCs w:val="20"/>
              </w:rPr>
            </w:pPr>
          </w:p>
        </w:tc>
        <w:tc>
          <w:tcPr>
            <w:tcW w:w="2268" w:type="dxa"/>
          </w:tcPr>
          <w:p w14:paraId="0F876CD2"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Safe Sleep for Babies Act </w:t>
            </w:r>
            <w:r>
              <w:rPr>
                <w:szCs w:val="20"/>
              </w:rPr>
              <w:t>of 2021 (United States)</w:t>
            </w:r>
          </w:p>
        </w:tc>
        <w:tc>
          <w:tcPr>
            <w:tcW w:w="1417" w:type="dxa"/>
          </w:tcPr>
          <w:p w14:paraId="59666058"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Mandatory</w:t>
            </w:r>
          </w:p>
        </w:tc>
        <w:tc>
          <w:tcPr>
            <w:tcW w:w="1701" w:type="dxa"/>
          </w:tcPr>
          <w:p w14:paraId="478B08A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10°</w:t>
            </w:r>
          </w:p>
        </w:tc>
        <w:tc>
          <w:tcPr>
            <w:tcW w:w="1423" w:type="dxa"/>
          </w:tcPr>
          <w:p w14:paraId="3BD8C697"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417" w:type="dxa"/>
          </w:tcPr>
          <w:p w14:paraId="06475E5C"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1560" w:type="dxa"/>
          </w:tcPr>
          <w:p w14:paraId="7AFB982E" w14:textId="77777777" w:rsidR="00602397" w:rsidRPr="006A41C4" w:rsidRDefault="00602397" w:rsidP="00302C1B">
            <w:pPr>
              <w:spacing w:after="0"/>
              <w:jc w:val="center"/>
              <w:cnfStyle w:val="000000000000" w:firstRow="0" w:lastRow="0" w:firstColumn="0" w:lastColumn="0" w:oddVBand="0" w:evenVBand="0" w:oddHBand="0" w:evenHBand="0" w:firstRowFirstColumn="0" w:firstRowLastColumn="0" w:lastRowFirstColumn="0" w:lastRowLastColumn="0"/>
              <w:rPr>
                <w:szCs w:val="20"/>
              </w:rPr>
            </w:pPr>
            <w:r w:rsidRPr="006A41C4">
              <w:rPr>
                <w:szCs w:val="20"/>
              </w:rPr>
              <w:t>x</w:t>
            </w:r>
          </w:p>
        </w:tc>
        <w:tc>
          <w:tcPr>
            <w:tcW w:w="2693" w:type="dxa"/>
          </w:tcPr>
          <w:p w14:paraId="210A15B9" w14:textId="77777777" w:rsidR="00602397"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6A41C4">
              <w:rPr>
                <w:szCs w:val="20"/>
              </w:rPr>
              <w:t xml:space="preserve">Infant sleep products. </w:t>
            </w:r>
          </w:p>
          <w:p w14:paraId="1AF01B2C" w14:textId="079CB4F5" w:rsidR="00C549EA" w:rsidRPr="006A41C4" w:rsidRDefault="00602397" w:rsidP="00302C1B">
            <w:pPr>
              <w:spacing w:after="0"/>
              <w:cnfStyle w:val="000000000000" w:firstRow="0" w:lastRow="0" w:firstColumn="0" w:lastColumn="0" w:oddVBand="0" w:evenVBand="0" w:oddHBand="0" w:evenHBand="0" w:firstRowFirstColumn="0" w:firstRowLastColumn="0" w:lastRowFirstColumn="0" w:lastRowLastColumn="0"/>
              <w:rPr>
                <w:szCs w:val="20"/>
              </w:rPr>
            </w:pPr>
            <w:r w:rsidRPr="002675AD">
              <w:rPr>
                <w:i/>
                <w:iCs/>
                <w:szCs w:val="20"/>
              </w:rPr>
              <w:t>Excludes:</w:t>
            </w:r>
            <w:r w:rsidRPr="006A41C4">
              <w:rPr>
                <w:szCs w:val="20"/>
              </w:rPr>
              <w:t xml:space="preserve"> Products already subject to a mandatory standard: bassinets and cradles, baby cribs, play yards, bedside sleepers.</w:t>
            </w:r>
          </w:p>
        </w:tc>
      </w:tr>
    </w:tbl>
    <w:p w14:paraId="0EEF90F2" w14:textId="066F3D99" w:rsidR="00C549EA" w:rsidRPr="00C549EA" w:rsidRDefault="00C549EA" w:rsidP="000430CC">
      <w:pPr>
        <w:tabs>
          <w:tab w:val="left" w:pos="1965"/>
        </w:tabs>
      </w:pPr>
    </w:p>
    <w:sectPr w:rsidR="00C549EA" w:rsidRPr="00C549EA" w:rsidSect="00691474">
      <w:pgSz w:w="16838" w:h="11906" w:orient="landscape"/>
      <w:pgMar w:top="1440" w:right="127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E96D" w14:textId="77777777" w:rsidR="000635F2" w:rsidRDefault="000635F2" w:rsidP="004B4412">
      <w:pPr>
        <w:spacing w:before="0"/>
      </w:pPr>
      <w:r>
        <w:separator/>
      </w:r>
    </w:p>
  </w:endnote>
  <w:endnote w:type="continuationSeparator" w:id="0">
    <w:p w14:paraId="4A05D10E" w14:textId="77777777" w:rsidR="000635F2" w:rsidRDefault="000635F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599885"/>
      <w:docPartObj>
        <w:docPartGallery w:val="Page Numbers (Bottom of Page)"/>
        <w:docPartUnique/>
      </w:docPartObj>
    </w:sdtPr>
    <w:sdtEndPr>
      <w:rPr>
        <w:noProof/>
      </w:rPr>
    </w:sdtEndPr>
    <w:sdtContent>
      <w:p w14:paraId="679840C5" w14:textId="554FAC69" w:rsidR="00D57591" w:rsidRDefault="00D57591" w:rsidP="00D43C37">
        <w:pPr>
          <w:pStyle w:val="Footer"/>
          <w:ind w:left="5007" w:firstLine="4513"/>
        </w:pPr>
        <w:r>
          <w:fldChar w:fldCharType="begin"/>
        </w:r>
        <w:r>
          <w:instrText xml:space="preserve"> PAGE   \* MERGEFORMAT </w:instrText>
        </w:r>
        <w:r>
          <w:fldChar w:fldCharType="separate"/>
        </w:r>
        <w:r w:rsidR="00CD0CC2">
          <w:rPr>
            <w:noProof/>
          </w:rPr>
          <w:t>iv</w:t>
        </w:r>
        <w:r>
          <w:rPr>
            <w:noProof/>
          </w:rPr>
          <w:fldChar w:fldCharType="end"/>
        </w:r>
      </w:p>
    </w:sdtContent>
  </w:sdt>
  <w:p w14:paraId="07F182C9" w14:textId="36D6F9B8" w:rsidR="00D57591" w:rsidRDefault="00D57591" w:rsidP="00AF441D">
    <w:pPr>
      <w:pStyle w:val="Footer"/>
      <w:tabs>
        <w:tab w:val="clear" w:pos="4513"/>
        <w:tab w:val="left" w:pos="343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8A5D" w14:textId="77777777" w:rsidR="00D57591" w:rsidRDefault="00D57591">
    <w:pPr>
      <w:pStyle w:val="Footer"/>
    </w:pPr>
  </w:p>
  <w:p w14:paraId="19BA0BFF" w14:textId="77777777" w:rsidR="00D57591" w:rsidRDefault="00D57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712D0" w14:textId="77777777" w:rsidR="000635F2" w:rsidRDefault="000635F2" w:rsidP="004B4412">
      <w:pPr>
        <w:spacing w:before="0"/>
      </w:pPr>
      <w:r>
        <w:separator/>
      </w:r>
    </w:p>
  </w:footnote>
  <w:footnote w:type="continuationSeparator" w:id="0">
    <w:p w14:paraId="2140C42F" w14:textId="77777777" w:rsidR="000635F2" w:rsidRDefault="000635F2" w:rsidP="004B4412">
      <w:pPr>
        <w:spacing w:before="0"/>
      </w:pPr>
      <w:r>
        <w:continuationSeparator/>
      </w:r>
    </w:p>
  </w:footnote>
  <w:footnote w:id="1">
    <w:p w14:paraId="37C9E982" w14:textId="09EEFE06" w:rsidR="00D57591" w:rsidRPr="008A64C2" w:rsidRDefault="00D57591" w:rsidP="00051B61">
      <w:pPr>
        <w:pStyle w:val="FootnoteText"/>
        <w:rPr>
          <w:color w:val="000000"/>
          <w:sz w:val="15"/>
          <w:szCs w:val="15"/>
        </w:rPr>
      </w:pPr>
      <w:r w:rsidRPr="00BB0A9C">
        <w:rPr>
          <w:rStyle w:val="FootnoteReference"/>
          <w:rFonts w:cs="Arial"/>
          <w:szCs w:val="16"/>
        </w:rPr>
        <w:footnoteRef/>
      </w:r>
      <w:r w:rsidRPr="00BB0A9C">
        <w:t xml:space="preserve"> </w:t>
      </w:r>
      <w:r>
        <w:tab/>
      </w:r>
      <w:r w:rsidRPr="008A64C2">
        <w:rPr>
          <w:color w:val="000000"/>
        </w:rPr>
        <w:t xml:space="preserve">Red Nose, </w:t>
      </w:r>
      <w:hyperlink r:id="rId1" w:history="1">
        <w:r w:rsidRPr="00BB0A9C">
          <w:rPr>
            <w:rStyle w:val="Hyperlink"/>
            <w:rFonts w:cs="Arial"/>
            <w:i/>
            <w:iCs/>
            <w:sz w:val="16"/>
            <w:szCs w:val="16"/>
          </w:rPr>
          <w:t>What does Sudden Unexpected Death in Infancy (SUDI) mean?</w:t>
        </w:r>
      </w:hyperlink>
      <w:r>
        <w:rPr>
          <w:color w:val="000000"/>
        </w:rPr>
        <w:t>,</w:t>
      </w:r>
      <w:r w:rsidRPr="00BB0A9C">
        <w:rPr>
          <w:color w:val="000000"/>
        </w:rPr>
        <w:t xml:space="preserve"> </w:t>
      </w:r>
      <w:r w:rsidRPr="008A64C2">
        <w:rPr>
          <w:color w:val="000000"/>
        </w:rPr>
        <w:t>Red Nose website,</w:t>
      </w:r>
      <w:r>
        <w:rPr>
          <w:color w:val="000000"/>
        </w:rPr>
        <w:t xml:space="preserve"> 4 October</w:t>
      </w:r>
      <w:r w:rsidRPr="008A64C2">
        <w:rPr>
          <w:color w:val="000000"/>
        </w:rPr>
        <w:t xml:space="preserve"> 2016</w:t>
      </w:r>
      <w:r>
        <w:rPr>
          <w:color w:val="000000"/>
        </w:rPr>
        <w:t>,</w:t>
      </w:r>
      <w:r w:rsidRPr="008A64C2">
        <w:rPr>
          <w:color w:val="000000"/>
        </w:rPr>
        <w:t xml:space="preserve"> </w:t>
      </w:r>
      <w:r>
        <w:rPr>
          <w:color w:val="000000"/>
        </w:rPr>
        <w:t>a</w:t>
      </w:r>
      <w:r w:rsidRPr="008A64C2">
        <w:rPr>
          <w:color w:val="000000"/>
        </w:rPr>
        <w:t>ccessed 9 July 2021.</w:t>
      </w:r>
    </w:p>
  </w:footnote>
  <w:footnote w:id="2">
    <w:p w14:paraId="69EB2F6C" w14:textId="5AFB3665" w:rsidR="00D57591" w:rsidRPr="00110BBA" w:rsidRDefault="00D57591" w:rsidP="00051B61">
      <w:pPr>
        <w:pStyle w:val="FootnoteText"/>
      </w:pPr>
      <w:r>
        <w:rPr>
          <w:rStyle w:val="FootnoteReference"/>
        </w:rPr>
        <w:footnoteRef/>
      </w:r>
      <w:r>
        <w:t xml:space="preserve"> </w:t>
      </w:r>
      <w:r>
        <w:tab/>
        <w:t xml:space="preserve">Red Nose, </w:t>
      </w:r>
      <w:r>
        <w:rPr>
          <w:i/>
          <w:iCs/>
        </w:rPr>
        <w:t>What does Sudden Unexpected Death in Infancy (SUDI) mean?</w:t>
      </w:r>
      <w:r w:rsidR="00110BBA">
        <w:rPr>
          <w:i/>
          <w:iCs/>
        </w:rPr>
        <w:t xml:space="preserve">, </w:t>
      </w:r>
      <w:r w:rsidR="00110BBA" w:rsidRPr="008A64C2">
        <w:rPr>
          <w:color w:val="000000"/>
        </w:rPr>
        <w:t>Red Nose website,</w:t>
      </w:r>
      <w:r w:rsidR="00110BBA">
        <w:rPr>
          <w:color w:val="000000"/>
        </w:rPr>
        <w:t xml:space="preserve"> 4 October</w:t>
      </w:r>
      <w:r w:rsidR="00110BBA" w:rsidRPr="008A64C2">
        <w:rPr>
          <w:color w:val="000000"/>
        </w:rPr>
        <w:t xml:space="preserve"> 2016</w:t>
      </w:r>
      <w:r w:rsidR="00110BBA">
        <w:rPr>
          <w:color w:val="000000"/>
        </w:rPr>
        <w:t>,</w:t>
      </w:r>
      <w:r w:rsidR="00110BBA" w:rsidRPr="008A64C2">
        <w:rPr>
          <w:color w:val="000000"/>
        </w:rPr>
        <w:t xml:space="preserve"> </w:t>
      </w:r>
      <w:r w:rsidR="00110BBA">
        <w:rPr>
          <w:color w:val="000000"/>
        </w:rPr>
        <w:t>a</w:t>
      </w:r>
      <w:r w:rsidR="00110BBA" w:rsidRPr="008A64C2">
        <w:rPr>
          <w:color w:val="000000"/>
        </w:rPr>
        <w:t>ccessed 9 July 2021.</w:t>
      </w:r>
    </w:p>
  </w:footnote>
  <w:footnote w:id="3">
    <w:p w14:paraId="74033AB5" w14:textId="4E6CD70D" w:rsidR="00D57591" w:rsidRPr="008A64C2" w:rsidRDefault="00D57591" w:rsidP="00363D62">
      <w:pPr>
        <w:pStyle w:val="FootnoteText"/>
        <w:rPr>
          <w:rFonts w:cs="Arial"/>
        </w:rPr>
      </w:pPr>
      <w:r w:rsidRPr="008A64C2">
        <w:rPr>
          <w:rStyle w:val="FootnoteReference"/>
          <w:rFonts w:cs="Arial"/>
        </w:rPr>
        <w:footnoteRef/>
      </w:r>
      <w:r w:rsidRPr="008A64C2">
        <w:rPr>
          <w:rFonts w:cs="Arial"/>
        </w:rPr>
        <w:t xml:space="preserve"> </w:t>
      </w:r>
      <w:r>
        <w:rPr>
          <w:rFonts w:cs="Arial"/>
        </w:rPr>
        <w:tab/>
      </w:r>
      <w:r w:rsidRPr="008A64C2">
        <w:rPr>
          <w:rFonts w:cs="Arial"/>
        </w:rPr>
        <w:t xml:space="preserve">More information can be found on the Product Safety Australia </w:t>
      </w:r>
      <w:hyperlink r:id="rId2" w:history="1">
        <w:r w:rsidRPr="008A64C2">
          <w:rPr>
            <w:rStyle w:val="Hyperlink"/>
            <w:rFonts w:cs="Arial"/>
            <w:sz w:val="16"/>
          </w:rPr>
          <w:t>website</w:t>
        </w:r>
      </w:hyperlink>
      <w:r w:rsidRPr="008A64C2">
        <w:rPr>
          <w:rFonts w:cs="Arial"/>
        </w:rPr>
        <w:t>.</w:t>
      </w:r>
    </w:p>
  </w:footnote>
  <w:footnote w:id="4">
    <w:p w14:paraId="35E78769" w14:textId="26FDF207" w:rsidR="00D57591" w:rsidRDefault="00D57591" w:rsidP="002F5C7B">
      <w:pPr>
        <w:pStyle w:val="FootnoteText"/>
      </w:pPr>
      <w:r>
        <w:rPr>
          <w:rStyle w:val="FootnoteReference"/>
        </w:rPr>
        <w:footnoteRef/>
      </w:r>
      <w:r>
        <w:t xml:space="preserve"> </w:t>
      </w:r>
      <w:r>
        <w:tab/>
        <w:t xml:space="preserve">US-CPSC, </w:t>
      </w:r>
      <w:hyperlink r:id="rId3" w:history="1">
        <w:r w:rsidRPr="00F43258">
          <w:rPr>
            <w:rStyle w:val="Hyperlink"/>
            <w:i/>
            <w:iCs/>
            <w:sz w:val="16"/>
          </w:rPr>
          <w:t>CPSC Cautions Consumers Not to Use Inclined Infant Sleep Products</w:t>
        </w:r>
      </w:hyperlink>
      <w:r>
        <w:t xml:space="preserve"> [media release], US-CPSC, 31 October 2019, accessed 10 June 2021.</w:t>
      </w:r>
    </w:p>
  </w:footnote>
  <w:footnote w:id="5">
    <w:p w14:paraId="2AE1D893" w14:textId="773AAD50" w:rsidR="00D57591" w:rsidRDefault="00D57591" w:rsidP="002F5C7B">
      <w:pPr>
        <w:pStyle w:val="FootnoteText"/>
      </w:pPr>
      <w:r>
        <w:rPr>
          <w:rStyle w:val="FootnoteReference"/>
        </w:rPr>
        <w:footnoteRef/>
      </w:r>
      <w:r>
        <w:t xml:space="preserve"> </w:t>
      </w:r>
      <w:r>
        <w:tab/>
        <w:t xml:space="preserve">Red Nose, </w:t>
      </w:r>
      <w:hyperlink r:id="rId4" w:history="1">
        <w:r w:rsidRPr="00F43258">
          <w:rPr>
            <w:rStyle w:val="Hyperlink"/>
            <w:i/>
            <w:iCs/>
            <w:sz w:val="16"/>
          </w:rPr>
          <w:t>Why back to sleep is the safest position for your baby</w:t>
        </w:r>
      </w:hyperlink>
      <w:r>
        <w:t>, Red Nose website, 27 February 2018, accessed 10 June 2021.</w:t>
      </w:r>
    </w:p>
  </w:footnote>
  <w:footnote w:id="6">
    <w:p w14:paraId="7D6F9A95" w14:textId="16CB25F7" w:rsidR="00D57591" w:rsidRPr="008A64C2" w:rsidRDefault="00D57591" w:rsidP="003F6C47">
      <w:pPr>
        <w:pStyle w:val="FootnoteText"/>
      </w:pPr>
      <w:r w:rsidRPr="00894F33">
        <w:rPr>
          <w:rStyle w:val="FootnoteReference"/>
          <w:rFonts w:cs="Arial"/>
        </w:rPr>
        <w:footnoteRef/>
      </w:r>
      <w:r w:rsidRPr="00894F33">
        <w:t xml:space="preserve"> </w:t>
      </w:r>
      <w:r>
        <w:tab/>
      </w:r>
      <w:r w:rsidRPr="00894F33">
        <w:t xml:space="preserve">E Mannen, </w:t>
      </w:r>
      <w:hyperlink r:id="rId5" w:history="1">
        <w:r w:rsidRPr="00894F33">
          <w:rPr>
            <w:rStyle w:val="Hyperlink"/>
            <w:rFonts w:cs="Arial"/>
            <w:i/>
            <w:iCs/>
            <w:sz w:val="16"/>
          </w:rPr>
          <w:t>Biomechanical analysis of inclined sleep products</w:t>
        </w:r>
      </w:hyperlink>
      <w:r w:rsidRPr="00894F33">
        <w:t xml:space="preserve"> [with corrected pages], US-CPSC, 25 October 2019, accessed 10 June 2021.</w:t>
      </w:r>
    </w:p>
  </w:footnote>
  <w:footnote w:id="7">
    <w:p w14:paraId="281BAE2D" w14:textId="77777777" w:rsidR="00F57036" w:rsidRDefault="00F57036" w:rsidP="00F57036">
      <w:pPr>
        <w:pStyle w:val="FootnoteText"/>
      </w:pPr>
      <w:r w:rsidRPr="0023774C">
        <w:rPr>
          <w:rStyle w:val="FootnoteReference"/>
        </w:rPr>
        <w:footnoteRef/>
      </w:r>
      <w:r w:rsidRPr="0023774C">
        <w:t xml:space="preserve">      SM Beal, L Moore, M Collett, B Mongomery, C Sprod and A Beal, ‘The danger of freely rocking cradles’, Journal of Paediatrics Child Health, 1995, 31: 38-40, doi: </w:t>
      </w:r>
      <w:hyperlink r:id="rId6" w:history="1">
        <w:r w:rsidRPr="0023774C">
          <w:t>https://doi.org/10.1111/j.1440-1754.1995.tb02910.x</w:t>
        </w:r>
      </w:hyperlink>
      <w:r w:rsidRPr="0023774C">
        <w:t>.</w:t>
      </w:r>
    </w:p>
  </w:footnote>
  <w:footnote w:id="8">
    <w:p w14:paraId="3BB8F394" w14:textId="229A79A0" w:rsidR="00D57591" w:rsidRPr="00CF65DA" w:rsidRDefault="00D57591" w:rsidP="003F6C47">
      <w:pPr>
        <w:pStyle w:val="FootnoteText"/>
      </w:pPr>
      <w:r w:rsidRPr="008A64C2">
        <w:rPr>
          <w:rStyle w:val="FootnoteReference"/>
          <w:rFonts w:cs="Arial"/>
        </w:rPr>
        <w:footnoteRef/>
      </w:r>
      <w:r w:rsidRPr="008A64C2">
        <w:t xml:space="preserve"> </w:t>
      </w:r>
      <w:r>
        <w:tab/>
      </w:r>
      <w:r w:rsidR="005D73CC">
        <w:t xml:space="preserve">E </w:t>
      </w:r>
      <w:r w:rsidRPr="008A64C2">
        <w:t xml:space="preserve">Mannen, </w:t>
      </w:r>
      <w:hyperlink r:id="rId7" w:history="1">
        <w:r w:rsidRPr="005D73CC">
          <w:rPr>
            <w:rStyle w:val="Hyperlink"/>
            <w:i/>
            <w:iCs/>
            <w:sz w:val="16"/>
          </w:rPr>
          <w:t>Biomechanical analysis of inclined sleep products</w:t>
        </w:r>
      </w:hyperlink>
      <w:r w:rsidR="005D73CC" w:rsidRPr="00894F33">
        <w:t>, US-CPSC, 25 October 2019, accessed 10 June 2021.</w:t>
      </w:r>
    </w:p>
  </w:footnote>
  <w:footnote w:id="9">
    <w:p w14:paraId="7804E499" w14:textId="7DD3D2D9" w:rsidR="00D57591" w:rsidRDefault="00D57591" w:rsidP="003F6C47">
      <w:pPr>
        <w:pStyle w:val="FootnoteText"/>
      </w:pPr>
      <w:r>
        <w:rPr>
          <w:rStyle w:val="FootnoteReference"/>
        </w:rPr>
        <w:footnoteRef/>
      </w:r>
      <w:r>
        <w:t xml:space="preserve"> </w:t>
      </w:r>
      <w:r>
        <w:tab/>
        <w:t xml:space="preserve">MR </w:t>
      </w:r>
      <w:r w:rsidRPr="00441656">
        <w:t>Maltese</w:t>
      </w:r>
      <w:r>
        <w:t xml:space="preserve"> and L </w:t>
      </w:r>
      <w:r w:rsidRPr="00441656">
        <w:t xml:space="preserve">Michael, ‘Carbon </w:t>
      </w:r>
      <w:r>
        <w:t>d</w:t>
      </w:r>
      <w:r w:rsidRPr="00441656">
        <w:t xml:space="preserve">ioxide </w:t>
      </w:r>
      <w:r>
        <w:t>r</w:t>
      </w:r>
      <w:r w:rsidRPr="00441656">
        <w:t xml:space="preserve">ebreathing </w:t>
      </w:r>
      <w:r>
        <w:t>i</w:t>
      </w:r>
      <w:r w:rsidRPr="00441656">
        <w:t xml:space="preserve">nduced by </w:t>
      </w:r>
      <w:r>
        <w:t>c</w:t>
      </w:r>
      <w:r w:rsidRPr="00441656">
        <w:t xml:space="preserve">rib </w:t>
      </w:r>
      <w:r>
        <w:t>b</w:t>
      </w:r>
      <w:r w:rsidRPr="00441656">
        <w:t xml:space="preserve">umpers and </w:t>
      </w:r>
      <w:r>
        <w:t>m</w:t>
      </w:r>
      <w:r w:rsidRPr="00441656">
        <w:t xml:space="preserve">esh </w:t>
      </w:r>
      <w:r>
        <w:t>l</w:t>
      </w:r>
      <w:r w:rsidRPr="00441656">
        <w:t xml:space="preserve">iners </w:t>
      </w:r>
      <w:r>
        <w:t>u</w:t>
      </w:r>
      <w:r w:rsidRPr="00441656">
        <w:t xml:space="preserve">sing an </w:t>
      </w:r>
      <w:r>
        <w:t>i</w:t>
      </w:r>
      <w:r w:rsidRPr="00441656">
        <w:t xml:space="preserve">nfant </w:t>
      </w:r>
      <w:r>
        <w:t>m</w:t>
      </w:r>
      <w:r w:rsidRPr="00441656">
        <w:t>a</w:t>
      </w:r>
      <w:r>
        <w:t>n</w:t>
      </w:r>
      <w:r w:rsidRPr="00441656">
        <w:t>ikin’</w:t>
      </w:r>
      <w:r>
        <w:t xml:space="preserve">, </w:t>
      </w:r>
      <w:r>
        <w:rPr>
          <w:i/>
          <w:iCs/>
        </w:rPr>
        <w:t>BJM Paediatrics Open,</w:t>
      </w:r>
      <w:r>
        <w:t xml:space="preserve"> </w:t>
      </w:r>
      <w:r w:rsidRPr="00441656">
        <w:t>2019</w:t>
      </w:r>
      <w:r>
        <w:t xml:space="preserve">, </w:t>
      </w:r>
      <w:r w:rsidRPr="00BA3A01">
        <w:t>3(1): e000374</w:t>
      </w:r>
      <w:r>
        <w:t xml:space="preserve">, </w:t>
      </w:r>
      <w:r w:rsidRPr="00BA3A01">
        <w:t>doi:10.1136/bmjpo-2018-000374</w:t>
      </w:r>
      <w:r>
        <w:t xml:space="preserve">.  </w:t>
      </w:r>
    </w:p>
  </w:footnote>
  <w:footnote w:id="10">
    <w:p w14:paraId="4C680FB3" w14:textId="424CBD0D" w:rsidR="00D57591" w:rsidRDefault="00D57591" w:rsidP="003F6C47">
      <w:pPr>
        <w:pStyle w:val="FootnoteText"/>
      </w:pPr>
      <w:r>
        <w:rPr>
          <w:rStyle w:val="FootnoteReference"/>
        </w:rPr>
        <w:footnoteRef/>
      </w:r>
      <w:r>
        <w:t xml:space="preserve"> </w:t>
      </w:r>
      <w:r>
        <w:tab/>
        <w:t>Dr Ruth Barker et al, ‘</w:t>
      </w:r>
      <w:hyperlink r:id="rId8" w:history="1">
        <w:r w:rsidRPr="00D1189A">
          <w:rPr>
            <w:rStyle w:val="Hyperlink"/>
            <w:sz w:val="16"/>
          </w:rPr>
          <w:t>Collaborative response to Infant Inclined products issues paper: Sept 2021</w:t>
        </w:r>
      </w:hyperlink>
      <w:r>
        <w:t xml:space="preserve">’, </w:t>
      </w:r>
      <w:r>
        <w:rPr>
          <w:i/>
          <w:iCs/>
        </w:rPr>
        <w:t xml:space="preserve">ACCC Infant Inclined Products Issues Paper, </w:t>
      </w:r>
      <w:r>
        <w:t>19 July 2021, accessed 1 July 2022, p 2.</w:t>
      </w:r>
    </w:p>
  </w:footnote>
  <w:footnote w:id="11">
    <w:p w14:paraId="060E5DAA" w14:textId="14FD7D0F" w:rsidR="00D57591" w:rsidRDefault="00D57591" w:rsidP="003F6C47">
      <w:pPr>
        <w:pStyle w:val="FootnoteText"/>
      </w:pPr>
      <w:r>
        <w:rPr>
          <w:rStyle w:val="FootnoteReference"/>
        </w:rPr>
        <w:footnoteRef/>
      </w:r>
      <w:r>
        <w:t xml:space="preserve"> </w:t>
      </w:r>
      <w:r>
        <w:tab/>
        <w:t xml:space="preserve">Red Nose, </w:t>
      </w:r>
      <w:hyperlink r:id="rId9" w:history="1">
        <w:r w:rsidRPr="00702BB4">
          <w:rPr>
            <w:rStyle w:val="Hyperlink"/>
            <w:i/>
            <w:iCs/>
            <w:sz w:val="16"/>
          </w:rPr>
          <w:t>What is a safe sleeping environment for your baby?,</w:t>
        </w:r>
      </w:hyperlink>
      <w:r>
        <w:rPr>
          <w:i/>
          <w:iCs/>
        </w:rPr>
        <w:t xml:space="preserve"> </w:t>
      </w:r>
      <w:r>
        <w:t xml:space="preserve">Red Nose website, 7 March 2022, accessed 16 June 2022. </w:t>
      </w:r>
    </w:p>
  </w:footnote>
  <w:footnote w:id="12">
    <w:p w14:paraId="4DEBB501" w14:textId="183F4879" w:rsidR="00D57591" w:rsidRDefault="00D57591" w:rsidP="003F6C47">
      <w:pPr>
        <w:pStyle w:val="FootnoteText"/>
      </w:pPr>
      <w:r>
        <w:rPr>
          <w:rStyle w:val="FootnoteReference"/>
        </w:rPr>
        <w:footnoteRef/>
      </w:r>
      <w:r>
        <w:t xml:space="preserve"> </w:t>
      </w:r>
      <w:r>
        <w:tab/>
        <w:t xml:space="preserve">Australian Bureau of Statistics (ABS), </w:t>
      </w:r>
      <w:hyperlink r:id="rId10" w:history="1">
        <w:r w:rsidRPr="00C47FAE">
          <w:rPr>
            <w:rStyle w:val="Hyperlink"/>
            <w:i/>
            <w:iCs/>
            <w:sz w:val="16"/>
          </w:rPr>
          <w:t>Data explorer</w:t>
        </w:r>
      </w:hyperlink>
      <w:r>
        <w:t xml:space="preserve">, ABS website, n.d., accessed </w:t>
      </w:r>
      <w:r w:rsidR="00DD10F8">
        <w:t>8 August</w:t>
      </w:r>
      <w:r>
        <w:t xml:space="preserve"> 2022.</w:t>
      </w:r>
    </w:p>
  </w:footnote>
  <w:footnote w:id="13">
    <w:p w14:paraId="63BB1E11" w14:textId="11E33225" w:rsidR="00D57591" w:rsidRDefault="00D57591" w:rsidP="003F6C47">
      <w:pPr>
        <w:pStyle w:val="FootnoteText"/>
      </w:pPr>
      <w:r>
        <w:rPr>
          <w:rStyle w:val="FootnoteReference"/>
        </w:rPr>
        <w:footnoteRef/>
      </w:r>
      <w:r>
        <w:t xml:space="preserve"> </w:t>
      </w:r>
      <w:r>
        <w:tab/>
        <w:t xml:space="preserve">This data includes fatalities where other factors were present such as respiratory infections or other diseases, which could not have been a sole cause </w:t>
      </w:r>
      <w:r w:rsidRPr="00371668">
        <w:t>death</w:t>
      </w:r>
      <w:r>
        <w:t xml:space="preserve">.  </w:t>
      </w:r>
    </w:p>
  </w:footnote>
  <w:footnote w:id="14">
    <w:p w14:paraId="7667292F" w14:textId="281EA6A1" w:rsidR="00D57591" w:rsidRDefault="00D57591" w:rsidP="00051B61">
      <w:pPr>
        <w:pStyle w:val="FootnoteText"/>
      </w:pPr>
      <w:r>
        <w:rPr>
          <w:rStyle w:val="FootnoteReference"/>
        </w:rPr>
        <w:footnoteRef/>
      </w:r>
      <w:r>
        <w:t xml:space="preserve"> </w:t>
      </w:r>
      <w:r>
        <w:tab/>
        <w:t>European Standards, ‘</w:t>
      </w:r>
      <w:r w:rsidRPr="008E537E">
        <w:t>Children’s furniture - Mattress for cots and cribs – Safety requirements and test methods (EN 16890:2017)’, 2017</w:t>
      </w:r>
      <w:r>
        <w:t>.</w:t>
      </w:r>
    </w:p>
  </w:footnote>
  <w:footnote w:id="15">
    <w:p w14:paraId="211CEDE1" w14:textId="1B54D2A6" w:rsidR="00D57591" w:rsidRDefault="00D57591" w:rsidP="00051B61">
      <w:pPr>
        <w:pStyle w:val="FootnoteText"/>
      </w:pPr>
      <w:r>
        <w:rPr>
          <w:rStyle w:val="FootnoteReference"/>
        </w:rPr>
        <w:footnoteRef/>
      </w:r>
      <w:r>
        <w:t xml:space="preserve"> </w:t>
      </w:r>
      <w:r>
        <w:tab/>
      </w:r>
      <w:r w:rsidRPr="008E537E">
        <w:t>European Standards, ‘Children’s furniture – Cribs – Safety requirements and test methods (EN1130:2019)’, 2019.</w:t>
      </w:r>
    </w:p>
  </w:footnote>
  <w:footnote w:id="16">
    <w:p w14:paraId="5BCDAFDD" w14:textId="2021EB1F" w:rsidR="00D57591" w:rsidRPr="00840BE8" w:rsidRDefault="00D57591" w:rsidP="00051B61">
      <w:pPr>
        <w:pStyle w:val="FootnoteText"/>
        <w:rPr>
          <w:rFonts w:cs="Arial"/>
          <w:color w:val="000000"/>
          <w:szCs w:val="16"/>
        </w:rPr>
      </w:pPr>
      <w:r w:rsidRPr="00A430AF">
        <w:rPr>
          <w:rStyle w:val="FootnoteReference"/>
          <w:rFonts w:cs="Arial"/>
          <w:szCs w:val="16"/>
          <w:vertAlign w:val="subscript"/>
        </w:rPr>
        <w:footnoteRef/>
      </w:r>
      <w:r w:rsidRPr="00A430AF">
        <w:rPr>
          <w:rFonts w:cs="Arial"/>
          <w:vertAlign w:val="subscript"/>
        </w:rPr>
        <w:t xml:space="preserve"> </w:t>
      </w:r>
      <w:r>
        <w:rPr>
          <w:rFonts w:cs="Arial"/>
          <w:vertAlign w:val="subscript"/>
        </w:rPr>
        <w:tab/>
      </w:r>
      <w:r w:rsidRPr="00C86A4A">
        <w:rPr>
          <w:rFonts w:cs="Arial"/>
          <w:i/>
          <w:iCs/>
          <w:color w:val="000000"/>
          <w:szCs w:val="16"/>
        </w:rPr>
        <w:t>Canada Consumer Product Safety Act</w:t>
      </w:r>
      <w:r>
        <w:rPr>
          <w:rFonts w:cs="Arial"/>
          <w:color w:val="000000"/>
          <w:szCs w:val="16"/>
        </w:rPr>
        <w:t xml:space="preserve">, </w:t>
      </w:r>
      <w:r w:rsidRPr="00FE1ACE">
        <w:rPr>
          <w:rFonts w:cs="Arial"/>
          <w:color w:val="000000"/>
          <w:szCs w:val="16"/>
        </w:rPr>
        <w:t>Cribs, Cradles and Bassinets Regulations (SOR/2016-152)</w:t>
      </w:r>
      <w:r w:rsidRPr="00CF65DA">
        <w:rPr>
          <w:rFonts w:cs="Arial"/>
          <w:color w:val="000000"/>
          <w:szCs w:val="16"/>
        </w:rPr>
        <w:t>; Beal</w:t>
      </w:r>
      <w:r>
        <w:rPr>
          <w:rFonts w:cs="Arial"/>
          <w:color w:val="000000"/>
          <w:szCs w:val="16"/>
        </w:rPr>
        <w:t xml:space="preserve"> et al.,</w:t>
      </w:r>
      <w:r w:rsidRPr="00CF65DA">
        <w:rPr>
          <w:rFonts w:cs="Arial"/>
          <w:color w:val="000000"/>
          <w:szCs w:val="16"/>
        </w:rPr>
        <w:t xml:space="preserve"> ‘The danger of free</w:t>
      </w:r>
      <w:r>
        <w:rPr>
          <w:rFonts w:cs="Arial"/>
          <w:color w:val="000000"/>
          <w:szCs w:val="16"/>
        </w:rPr>
        <w:t xml:space="preserve">ly </w:t>
      </w:r>
      <w:r w:rsidRPr="00CF65DA">
        <w:rPr>
          <w:rFonts w:cs="Arial"/>
          <w:color w:val="000000"/>
          <w:szCs w:val="16"/>
        </w:rPr>
        <w:t>rocking cradles’</w:t>
      </w:r>
      <w:r>
        <w:rPr>
          <w:rFonts w:cs="Arial"/>
          <w:color w:val="000000"/>
          <w:szCs w:val="16"/>
        </w:rPr>
        <w:t>.</w:t>
      </w:r>
    </w:p>
  </w:footnote>
  <w:footnote w:id="17">
    <w:p w14:paraId="2D6959F0" w14:textId="5F724270" w:rsidR="00D57591" w:rsidRDefault="00D57591" w:rsidP="00115170">
      <w:pPr>
        <w:pStyle w:val="FootnoteText"/>
      </w:pPr>
      <w:r>
        <w:rPr>
          <w:rStyle w:val="FootnoteReference"/>
        </w:rPr>
        <w:footnoteRef/>
      </w:r>
      <w:r>
        <w:t xml:space="preserve"> </w:t>
      </w:r>
      <w:r>
        <w:tab/>
      </w:r>
      <w:r w:rsidRPr="00DA7640">
        <w:t>Unsafe Goods (Inclined Infant Sleep Products) Indefinite Prohibition Notice 2022</w:t>
      </w:r>
      <w:r>
        <w:t xml:space="preserve"> (New Zealand).</w:t>
      </w:r>
    </w:p>
  </w:footnote>
  <w:footnote w:id="18">
    <w:p w14:paraId="54FAB578" w14:textId="1FF6F06D" w:rsidR="00D57591" w:rsidRDefault="00D57591" w:rsidP="00BB2060">
      <w:pPr>
        <w:pStyle w:val="FootnoteText"/>
      </w:pPr>
      <w:r>
        <w:rPr>
          <w:rStyle w:val="FootnoteReference"/>
        </w:rPr>
        <w:footnoteRef/>
      </w:r>
      <w:r>
        <w:t xml:space="preserve"> </w:t>
      </w:r>
      <w:r>
        <w:tab/>
        <w:t xml:space="preserve">Australian </w:t>
      </w:r>
      <w:r w:rsidRPr="00BB2060">
        <w:t>Government</w:t>
      </w:r>
      <w:r>
        <w:t xml:space="preserve">, </w:t>
      </w:r>
      <w:hyperlink r:id="rId11" w:history="1">
        <w:r w:rsidRPr="00F43258">
          <w:rPr>
            <w:rStyle w:val="Hyperlink"/>
            <w:i/>
            <w:iCs/>
            <w:sz w:val="16"/>
          </w:rPr>
          <w:t>Supporting business through improvements to mandatory regulations under the Australian Consumer Law</w:t>
        </w:r>
      </w:hyperlink>
      <w:r>
        <w:rPr>
          <w:rStyle w:val="Hyperlink"/>
          <w:i/>
          <w:iCs/>
          <w:sz w:val="16"/>
        </w:rPr>
        <w:t xml:space="preserve"> (consultation process)</w:t>
      </w:r>
      <w:r w:rsidRPr="00F43258">
        <w:rPr>
          <w:i/>
          <w:iCs/>
        </w:rPr>
        <w:t>,</w:t>
      </w:r>
      <w:r>
        <w:t xml:space="preserve"> Department of Treasury website, 21 January 2022, accessed 26 May 2022.</w:t>
      </w:r>
    </w:p>
  </w:footnote>
  <w:footnote w:id="19">
    <w:p w14:paraId="7964208D" w14:textId="5045BC4F" w:rsidR="00D57591" w:rsidRDefault="00D57591" w:rsidP="00EB66BE">
      <w:pPr>
        <w:pStyle w:val="FootnoteText"/>
      </w:pPr>
      <w:r>
        <w:rPr>
          <w:rStyle w:val="FootnoteReference"/>
        </w:rPr>
        <w:footnoteRef/>
      </w:r>
      <w:r>
        <w:t xml:space="preserve"> </w:t>
      </w:r>
      <w:r>
        <w:tab/>
        <w:t>Section 104 of the ACL enables the Commonwealth Minister to make a mandatory safety standard imposing certain requirements that ‘are reasonably necessary to prevent or reduce risk of injury to any person’. A mandatory safety standard may include requirements for the composition, contents, method of manufacture, design, construction, contents, finish, performance or packaging of consumer goods.</w:t>
      </w:r>
    </w:p>
  </w:footnote>
  <w:footnote w:id="20">
    <w:p w14:paraId="5CBA4571" w14:textId="1E55F772" w:rsidR="00D57591" w:rsidRDefault="00D57591" w:rsidP="00EB66BE">
      <w:pPr>
        <w:pStyle w:val="FootnoteText"/>
      </w:pPr>
      <w:r>
        <w:rPr>
          <w:rStyle w:val="FootnoteReference"/>
        </w:rPr>
        <w:footnoteRef/>
      </w:r>
      <w:r>
        <w:t xml:space="preserve"> </w:t>
      </w:r>
      <w:r>
        <w:tab/>
      </w:r>
      <w:r w:rsidRPr="0079298C">
        <w:t>Section 134 of the ACL gives the Commonwealth Minister the power to make mandatory information standards to ensure that consumers are provided with important information about a product to assist them in making a purchasing decision. Information standards may specify required information to be supplied and may set out the required form of such information to be supplied. In some instances, an information standard may be used in addition to a safety standard.</w:t>
      </w:r>
    </w:p>
  </w:footnote>
  <w:footnote w:id="21">
    <w:p w14:paraId="14A6AC94" w14:textId="63029499" w:rsidR="00D57591" w:rsidRDefault="00D57591" w:rsidP="00D04413">
      <w:pPr>
        <w:pStyle w:val="FootnoteText"/>
      </w:pPr>
      <w:r>
        <w:rPr>
          <w:rStyle w:val="FootnoteReference"/>
        </w:rPr>
        <w:footnoteRef/>
      </w:r>
      <w:r>
        <w:t xml:space="preserve"> </w:t>
      </w:r>
      <w:r>
        <w:tab/>
        <w:t>Section 109 of the ACL gives the Commonwealth Minister the power to impose an interim ban on consumer goods of a particular kind if it appears that consumer goods of that kind will or may cause injury to a person or a reasonably foreseeable use or misuse of the product will or may cause injury</w:t>
      </w:r>
      <w:r w:rsidRPr="00EE066B">
        <w:t>.</w:t>
      </w:r>
      <w:r>
        <w:t xml:space="preserve"> Section 114 of the ACL gives the Commonwealth Minister the power to impose a permanent ban by written notice published on the internet if it appears that consumer goods of that kind will or may cause injury to a person or a reasonably foreseeable use or misuse of the product will or may cause injury.</w:t>
      </w:r>
    </w:p>
  </w:footnote>
  <w:footnote w:id="22">
    <w:p w14:paraId="422F632D" w14:textId="4AD44F3A" w:rsidR="00D57591" w:rsidRPr="001D14E9" w:rsidRDefault="00D57591" w:rsidP="003F6C47">
      <w:pPr>
        <w:pStyle w:val="FootnoteText"/>
        <w:rPr>
          <w:rFonts w:cs="Arial"/>
          <w:color w:val="000000"/>
          <w:sz w:val="15"/>
          <w:szCs w:val="15"/>
        </w:rPr>
      </w:pPr>
      <w:r w:rsidRPr="001D14E9">
        <w:rPr>
          <w:rStyle w:val="FootnoteReference"/>
          <w:rFonts w:cs="Arial"/>
          <w:szCs w:val="16"/>
        </w:rPr>
        <w:footnoteRef/>
      </w:r>
      <w:r w:rsidRPr="001D14E9">
        <w:rPr>
          <w:rFonts w:cs="Arial"/>
          <w:szCs w:val="16"/>
        </w:rPr>
        <w:t xml:space="preserve"> </w:t>
      </w:r>
      <w:r>
        <w:rPr>
          <w:rFonts w:cs="Arial"/>
          <w:szCs w:val="16"/>
        </w:rPr>
        <w:tab/>
      </w:r>
      <w:r w:rsidRPr="00097817">
        <w:rPr>
          <w:rFonts w:cs="Arial"/>
          <w:color w:val="000000"/>
          <w:szCs w:val="16"/>
        </w:rPr>
        <w:t xml:space="preserve">SA Government, </w:t>
      </w:r>
      <w:hyperlink r:id="rId12" w:history="1">
        <w:r w:rsidRPr="00097817">
          <w:rPr>
            <w:rStyle w:val="Hyperlink"/>
            <w:rFonts w:cs="Arial"/>
            <w:i/>
            <w:iCs/>
            <w:sz w:val="16"/>
            <w:szCs w:val="16"/>
          </w:rPr>
          <w:t>Safe infant sleeping standards</w:t>
        </w:r>
      </w:hyperlink>
      <w:r w:rsidRPr="00097817">
        <w:rPr>
          <w:rFonts w:cs="Arial"/>
          <w:color w:val="000000"/>
          <w:szCs w:val="16"/>
        </w:rPr>
        <w:t>, SA Health website, 2 April 2022, accessed 2 February 2022;  V</w:t>
      </w:r>
      <w:r w:rsidR="00013FEC">
        <w:rPr>
          <w:rFonts w:cs="Arial"/>
          <w:color w:val="000000"/>
          <w:szCs w:val="16"/>
        </w:rPr>
        <w:t>ic</w:t>
      </w:r>
      <w:r w:rsidRPr="00097817">
        <w:rPr>
          <w:rFonts w:cs="Arial"/>
          <w:color w:val="000000"/>
          <w:szCs w:val="16"/>
        </w:rPr>
        <w:t xml:space="preserve"> Government, </w:t>
      </w:r>
      <w:hyperlink r:id="rId13" w:history="1">
        <w:r w:rsidRPr="00097817">
          <w:rPr>
            <w:rStyle w:val="Hyperlink"/>
            <w:rFonts w:cs="Arial"/>
            <w:i/>
            <w:iCs/>
            <w:sz w:val="16"/>
            <w:szCs w:val="16"/>
          </w:rPr>
          <w:t>Safe sleeping of infants</w:t>
        </w:r>
      </w:hyperlink>
      <w:r w:rsidRPr="00097817">
        <w:rPr>
          <w:rFonts w:cs="Arial"/>
          <w:color w:val="000000"/>
          <w:szCs w:val="16"/>
        </w:rPr>
        <w:t>, V</w:t>
      </w:r>
      <w:r w:rsidR="00013FEC">
        <w:rPr>
          <w:rFonts w:cs="Arial"/>
          <w:color w:val="000000"/>
          <w:szCs w:val="16"/>
        </w:rPr>
        <w:t>ic</w:t>
      </w:r>
      <w:r w:rsidRPr="00097817">
        <w:rPr>
          <w:rFonts w:cs="Arial"/>
          <w:color w:val="000000"/>
          <w:szCs w:val="16"/>
        </w:rPr>
        <w:t xml:space="preserve"> Department of Health website, 19 February 2020, accessed 2 February 2022; WA Government, </w:t>
      </w:r>
      <w:hyperlink r:id="rId14" w:history="1">
        <w:r w:rsidRPr="00097817">
          <w:rPr>
            <w:rStyle w:val="Hyperlink"/>
            <w:rFonts w:cs="Arial"/>
            <w:i/>
            <w:iCs/>
            <w:sz w:val="16"/>
            <w:szCs w:val="16"/>
          </w:rPr>
          <w:t>Safe infant sleeping policy</w:t>
        </w:r>
      </w:hyperlink>
      <w:r w:rsidRPr="00097817">
        <w:rPr>
          <w:rFonts w:cs="Arial"/>
          <w:color w:val="0000FF"/>
          <w:szCs w:val="16"/>
        </w:rPr>
        <w:t xml:space="preserve">, </w:t>
      </w:r>
      <w:r w:rsidRPr="00814E7D">
        <w:rPr>
          <w:rFonts w:cs="Arial"/>
          <w:szCs w:val="16"/>
        </w:rPr>
        <w:t>WA Department of Health website, 18 April 2019, accessed 2 February 2022;</w:t>
      </w:r>
      <w:r w:rsidRPr="00097817">
        <w:rPr>
          <w:rFonts w:cs="Arial"/>
          <w:color w:val="0000FF"/>
          <w:szCs w:val="16"/>
        </w:rPr>
        <w:t xml:space="preserve"> </w:t>
      </w:r>
      <w:r w:rsidRPr="00097817">
        <w:rPr>
          <w:rFonts w:cs="Arial"/>
          <w:color w:val="000000"/>
          <w:szCs w:val="16"/>
        </w:rPr>
        <w:t>Q</w:t>
      </w:r>
      <w:r w:rsidR="00013FEC">
        <w:rPr>
          <w:rFonts w:cs="Arial"/>
          <w:color w:val="000000"/>
          <w:szCs w:val="16"/>
        </w:rPr>
        <w:t>ld</w:t>
      </w:r>
      <w:r w:rsidRPr="00097817">
        <w:rPr>
          <w:rFonts w:cs="Arial"/>
          <w:color w:val="000000"/>
          <w:szCs w:val="16"/>
        </w:rPr>
        <w:t xml:space="preserve"> Government, </w:t>
      </w:r>
      <w:hyperlink r:id="rId15" w:history="1">
        <w:r w:rsidRPr="00097817">
          <w:rPr>
            <w:rStyle w:val="Hyperlink"/>
            <w:rFonts w:cs="Arial"/>
            <w:i/>
            <w:iCs/>
            <w:sz w:val="16"/>
            <w:szCs w:val="16"/>
          </w:rPr>
          <w:t>Safe infant sleeping, co-sleeping and bedsharing – guideline (document number QH-GDL-362:2013</w:t>
        </w:r>
      </w:hyperlink>
      <w:r w:rsidRPr="00097817">
        <w:rPr>
          <w:rFonts w:cs="Arial"/>
          <w:i/>
          <w:iCs/>
          <w:color w:val="0000FF"/>
          <w:szCs w:val="16"/>
        </w:rPr>
        <w:t>)</w:t>
      </w:r>
      <w:r w:rsidRPr="00097817">
        <w:rPr>
          <w:rFonts w:cs="Arial"/>
          <w:color w:val="000000"/>
          <w:szCs w:val="16"/>
        </w:rPr>
        <w:t>, Q</w:t>
      </w:r>
      <w:r w:rsidR="00013FEC">
        <w:rPr>
          <w:rFonts w:cs="Arial"/>
          <w:color w:val="000000"/>
          <w:szCs w:val="16"/>
        </w:rPr>
        <w:t>ld</w:t>
      </w:r>
      <w:r w:rsidRPr="00097817">
        <w:rPr>
          <w:rFonts w:cs="Arial"/>
          <w:color w:val="000000"/>
          <w:szCs w:val="16"/>
        </w:rPr>
        <w:t xml:space="preserve"> Department of Health website, 1 July 2013, accessed 2 February 2022; ACT Government,  </w:t>
      </w:r>
      <w:hyperlink r:id="rId16" w:anchor=":~:text=Sleeping%20neonate%2Finfant%20with%20head,to%20twelve%20months%20of%20life" w:history="1">
        <w:r w:rsidRPr="00097817">
          <w:rPr>
            <w:rStyle w:val="Hyperlink"/>
            <w:rFonts w:cs="Arial"/>
            <w:i/>
            <w:iCs/>
            <w:sz w:val="16"/>
            <w:szCs w:val="16"/>
          </w:rPr>
          <w:t>Safe Sleeping Guidelines – Neonates and Infants (CHHS17/197)</w:t>
        </w:r>
        <w:r w:rsidRPr="00097817">
          <w:rPr>
            <w:rStyle w:val="Hyperlink"/>
            <w:rFonts w:cs="Arial"/>
            <w:sz w:val="16"/>
            <w:szCs w:val="16"/>
          </w:rPr>
          <w:t>,</w:t>
        </w:r>
      </w:hyperlink>
      <w:r w:rsidRPr="00097817">
        <w:rPr>
          <w:rFonts w:cs="Arial"/>
          <w:color w:val="000000"/>
          <w:szCs w:val="16"/>
        </w:rPr>
        <w:t xml:space="preserve"> ACT Health website, 10 August 2017, accessed 2 February 2022.</w:t>
      </w:r>
    </w:p>
  </w:footnote>
  <w:footnote w:id="23">
    <w:p w14:paraId="2EFC98A1" w14:textId="589FAC82" w:rsidR="00D57591" w:rsidRPr="00CF65DA" w:rsidRDefault="00D57591" w:rsidP="003F6C47">
      <w:pPr>
        <w:pStyle w:val="FootnoteText"/>
        <w:rPr>
          <w:rFonts w:cs="Arial"/>
          <w:b/>
          <w:bCs/>
        </w:rPr>
      </w:pPr>
      <w:r w:rsidRPr="001D14E9">
        <w:rPr>
          <w:rStyle w:val="FootnoteReference"/>
          <w:rFonts w:cs="Arial"/>
        </w:rPr>
        <w:footnoteRef/>
      </w:r>
      <w:r w:rsidRPr="001D14E9">
        <w:rPr>
          <w:rFonts w:cs="Arial"/>
        </w:rPr>
        <w:t xml:space="preserve"> </w:t>
      </w:r>
      <w:r>
        <w:rPr>
          <w:rFonts w:cs="Arial"/>
        </w:rPr>
        <w:tab/>
      </w:r>
      <w:r w:rsidRPr="00097817">
        <w:rPr>
          <w:rFonts w:cs="Arial"/>
        </w:rPr>
        <w:t xml:space="preserve">SIDS and Kids SA, </w:t>
      </w:r>
      <w:hyperlink r:id="rId17" w:history="1">
        <w:r w:rsidRPr="00097817">
          <w:rPr>
            <w:rStyle w:val="Hyperlink"/>
            <w:rFonts w:cs="Arial"/>
            <w:i/>
            <w:iCs/>
            <w:sz w:val="16"/>
          </w:rPr>
          <w:t>About SIDS and Kids SA</w:t>
        </w:r>
      </w:hyperlink>
      <w:r w:rsidRPr="00097817">
        <w:rPr>
          <w:rFonts w:cs="Arial"/>
        </w:rPr>
        <w:t>, SIDS and Kids SA website, n.d., accessed 2 February 2022.</w:t>
      </w:r>
    </w:p>
  </w:footnote>
  <w:footnote w:id="24">
    <w:p w14:paraId="2B7825D1" w14:textId="00A9CC46" w:rsidR="00D57591" w:rsidRPr="00A11534" w:rsidRDefault="00D57591" w:rsidP="003F6C47">
      <w:pPr>
        <w:pStyle w:val="FootnoteText"/>
        <w:rPr>
          <w:rFonts w:cs="Arial"/>
        </w:rPr>
      </w:pPr>
      <w:r w:rsidRPr="008A64C2">
        <w:rPr>
          <w:rStyle w:val="FootnoteReference"/>
          <w:rFonts w:cs="Arial"/>
        </w:rPr>
        <w:footnoteRef/>
      </w:r>
      <w:r w:rsidRPr="008A64C2">
        <w:rPr>
          <w:rFonts w:cs="Arial"/>
        </w:rPr>
        <w:t xml:space="preserve"> </w:t>
      </w:r>
      <w:r>
        <w:rPr>
          <w:rFonts w:cs="Arial"/>
        </w:rPr>
        <w:tab/>
      </w:r>
      <w:r w:rsidRPr="00A11534">
        <w:rPr>
          <w:rFonts w:cs="Arial"/>
        </w:rPr>
        <w:t xml:space="preserve">Red Nose, </w:t>
      </w:r>
      <w:hyperlink r:id="rId18" w:history="1">
        <w:r w:rsidRPr="008C2DC5">
          <w:rPr>
            <w:rStyle w:val="Hyperlink"/>
            <w:i/>
            <w:iCs/>
            <w:sz w:val="16"/>
          </w:rPr>
          <w:t>Why should you sleep your baby on their back?,</w:t>
        </w:r>
      </w:hyperlink>
      <w:r w:rsidRPr="00A11534">
        <w:rPr>
          <w:rFonts w:cs="Arial"/>
        </w:rPr>
        <w:t xml:space="preserve"> Red Nose website,</w:t>
      </w:r>
      <w:r>
        <w:rPr>
          <w:rFonts w:cs="Arial"/>
        </w:rPr>
        <w:t xml:space="preserve"> 22 February 2022</w:t>
      </w:r>
      <w:r w:rsidRPr="00A11534">
        <w:rPr>
          <w:rFonts w:cs="Arial"/>
        </w:rPr>
        <w:t xml:space="preserve">, </w:t>
      </w:r>
      <w:r>
        <w:rPr>
          <w:rFonts w:cs="Arial"/>
        </w:rPr>
        <w:t xml:space="preserve">initially </w:t>
      </w:r>
      <w:r w:rsidRPr="00A11534">
        <w:rPr>
          <w:rFonts w:cs="Arial"/>
        </w:rPr>
        <w:t>accessed 2 February 2022.</w:t>
      </w:r>
    </w:p>
  </w:footnote>
  <w:footnote w:id="25">
    <w:p w14:paraId="75190115" w14:textId="0D0E5321" w:rsidR="00D57591" w:rsidRPr="00A11534" w:rsidRDefault="00D57591" w:rsidP="003F6C47">
      <w:pPr>
        <w:pStyle w:val="FootnoteText"/>
        <w:rPr>
          <w:rFonts w:cs="Arial"/>
        </w:rPr>
      </w:pPr>
      <w:r w:rsidRPr="00A11534">
        <w:rPr>
          <w:rStyle w:val="FootnoteReference"/>
          <w:rFonts w:cs="Arial"/>
        </w:rPr>
        <w:footnoteRef/>
      </w:r>
      <w:r w:rsidRPr="00A11534">
        <w:rPr>
          <w:rFonts w:cs="Arial"/>
        </w:rPr>
        <w:t xml:space="preserve"> </w:t>
      </w:r>
      <w:r>
        <w:rPr>
          <w:rFonts w:cs="Arial"/>
        </w:rPr>
        <w:tab/>
      </w:r>
      <w:r w:rsidRPr="00A11534">
        <w:rPr>
          <w:rFonts w:cs="Arial"/>
        </w:rPr>
        <w:t>In the United Kingdom, the Lullaby Trust provides similar advice on the best sleeping position for infants</w:t>
      </w:r>
      <w:r>
        <w:rPr>
          <w:rFonts w:cs="Arial"/>
        </w:rPr>
        <w:t xml:space="preserve">; The </w:t>
      </w:r>
      <w:r w:rsidRPr="00A11534">
        <w:rPr>
          <w:rFonts w:cs="Arial"/>
        </w:rPr>
        <w:t>Lullaby Trust</w:t>
      </w:r>
      <w:r>
        <w:rPr>
          <w:rFonts w:cs="Arial"/>
        </w:rPr>
        <w:t xml:space="preserve">, </w:t>
      </w:r>
      <w:r w:rsidRPr="00A11534">
        <w:rPr>
          <w:rFonts w:cs="Arial"/>
        </w:rPr>
        <w:t xml:space="preserve"> </w:t>
      </w:r>
      <w:hyperlink r:id="rId19" w:history="1">
        <w:r w:rsidRPr="008C2DC5">
          <w:rPr>
            <w:rStyle w:val="Hyperlink"/>
            <w:i/>
            <w:iCs/>
            <w:sz w:val="16"/>
          </w:rPr>
          <w:t>The best sleeping position for your baby</w:t>
        </w:r>
      </w:hyperlink>
      <w:r>
        <w:rPr>
          <w:rFonts w:cs="Arial"/>
        </w:rPr>
        <w:t>, The Lullaby Trust website, n.d., accessed 2 February 2022.</w:t>
      </w:r>
    </w:p>
  </w:footnote>
  <w:footnote w:id="26">
    <w:p w14:paraId="464D0A7F" w14:textId="7997C738" w:rsidR="00D57591" w:rsidRPr="00A11534" w:rsidRDefault="00D57591" w:rsidP="003F6C47">
      <w:pPr>
        <w:pStyle w:val="FootnoteText"/>
        <w:rPr>
          <w:highlight w:val="green"/>
        </w:rPr>
      </w:pPr>
      <w:r w:rsidRPr="00A11534">
        <w:rPr>
          <w:rStyle w:val="FootnoteReference"/>
        </w:rPr>
        <w:footnoteRef/>
      </w:r>
      <w:r w:rsidRPr="00A11534">
        <w:t xml:space="preserve"> </w:t>
      </w:r>
      <w:r>
        <w:tab/>
      </w:r>
      <w:r w:rsidRPr="00097817">
        <w:t xml:space="preserve">JR Duncan, RW Byard and editors, </w:t>
      </w:r>
      <w:r w:rsidRPr="00097817">
        <w:rPr>
          <w:i/>
          <w:iCs/>
        </w:rPr>
        <w:t xml:space="preserve">SIDS </w:t>
      </w:r>
      <w:r>
        <w:rPr>
          <w:i/>
          <w:iCs/>
        </w:rPr>
        <w:t>S</w:t>
      </w:r>
      <w:r w:rsidRPr="00097817">
        <w:rPr>
          <w:i/>
          <w:iCs/>
        </w:rPr>
        <w:t>udden Infant and Early Childhood Death: The past, the present and the future</w:t>
      </w:r>
      <w:r w:rsidRPr="00097817">
        <w:t>, University of Adelaide Press, Adelaide, 2018.</w:t>
      </w:r>
    </w:p>
  </w:footnote>
  <w:footnote w:id="27">
    <w:p w14:paraId="508782D5" w14:textId="77777777" w:rsidR="00D60F80" w:rsidRDefault="00D60F80" w:rsidP="00D60F80">
      <w:pPr>
        <w:pStyle w:val="FootnoteText"/>
      </w:pPr>
      <w:r w:rsidRPr="00C13DA9">
        <w:rPr>
          <w:rStyle w:val="FootnoteReference"/>
        </w:rPr>
        <w:footnoteRef/>
      </w:r>
      <w:r w:rsidRPr="00C13DA9">
        <w:t xml:space="preserve"> </w:t>
      </w:r>
      <w:r>
        <w:tab/>
      </w:r>
      <w:r w:rsidRPr="00F43258">
        <w:t>Australian Government,</w:t>
      </w:r>
      <w:r>
        <w:t xml:space="preserve"> </w:t>
      </w:r>
      <w:hyperlink r:id="rId20" w:history="1">
        <w:r w:rsidRPr="00F43258">
          <w:rPr>
            <w:rStyle w:val="Hyperlink"/>
            <w:i/>
            <w:iCs/>
            <w:sz w:val="16"/>
          </w:rPr>
          <w:t>Best Practice Regulation Guidance Note Value of statistical life</w:t>
        </w:r>
      </w:hyperlink>
      <w:r w:rsidRPr="003E3CF7">
        <w:t>, Office of Best Practice Regulation</w:t>
      </w:r>
      <w:r w:rsidRPr="00F43258">
        <w:t xml:space="preserve"> website,</w:t>
      </w:r>
      <w:r w:rsidRPr="00F43258" w:rsidDel="00B84C33">
        <w:t xml:space="preserve"> </w:t>
      </w:r>
      <w:r w:rsidRPr="00F43258">
        <w:t xml:space="preserve">1 September 2021, accessed 9 June 2022. </w:t>
      </w:r>
    </w:p>
  </w:footnote>
  <w:footnote w:id="28">
    <w:p w14:paraId="5D966DCA" w14:textId="1A393926" w:rsidR="00D57591" w:rsidRDefault="00D57591" w:rsidP="00097817">
      <w:pPr>
        <w:pStyle w:val="FootnoteText"/>
        <w:ind w:left="0" w:firstLine="0"/>
      </w:pPr>
      <w:r>
        <w:rPr>
          <w:rStyle w:val="FootnoteReference"/>
        </w:rPr>
        <w:footnoteRef/>
      </w:r>
      <w:r>
        <w:t xml:space="preserve"> </w:t>
      </w:r>
      <w:r>
        <w:tab/>
      </w:r>
      <w:r w:rsidRPr="003E3CF7">
        <w:rPr>
          <w:rFonts w:cs="Arial"/>
        </w:rPr>
        <w:t xml:space="preserve">Standards Australia, </w:t>
      </w:r>
      <w:r w:rsidRPr="00F670AB">
        <w:t xml:space="preserve">Consumer </w:t>
      </w:r>
      <w:r>
        <w:rPr>
          <w:rFonts w:cs="Arial"/>
        </w:rPr>
        <w:t>p</w:t>
      </w:r>
      <w:r w:rsidRPr="00F670AB">
        <w:t xml:space="preserve">roduct </w:t>
      </w:r>
      <w:r>
        <w:rPr>
          <w:rFonts w:cs="Arial"/>
        </w:rPr>
        <w:t>s</w:t>
      </w:r>
      <w:r w:rsidRPr="00F670AB">
        <w:t xml:space="preserve">afety—Guidelines for </w:t>
      </w:r>
      <w:r>
        <w:rPr>
          <w:rFonts w:cs="Arial"/>
        </w:rPr>
        <w:t>s</w:t>
      </w:r>
      <w:r w:rsidRPr="00F670AB">
        <w:t>uppliers (AS ISO 10377:2017)</w:t>
      </w:r>
      <w:r>
        <w:rPr>
          <w:rFonts w:cs="Arial"/>
        </w:rPr>
        <w:t>’</w:t>
      </w:r>
      <w:r w:rsidRPr="000B4B1E">
        <w:rPr>
          <w:rFonts w:cs="Arial"/>
        </w:rPr>
        <w:t>,</w:t>
      </w:r>
      <w:r>
        <w:rPr>
          <w:rFonts w:cs="Arial"/>
        </w:rPr>
        <w:t xml:space="preserve"> 2017,</w:t>
      </w:r>
      <w:r w:rsidRPr="000B4B1E">
        <w:rPr>
          <w:rFonts w:cs="Arial"/>
        </w:rPr>
        <w:t xml:space="preserve"> </w:t>
      </w:r>
      <w:r w:rsidRPr="003E3CF7">
        <w:rPr>
          <w:rFonts w:cs="Arial"/>
        </w:rPr>
        <w:t>section 3.6.</w:t>
      </w:r>
    </w:p>
  </w:footnote>
  <w:footnote w:id="29">
    <w:p w14:paraId="4ABA1F00" w14:textId="205231E3" w:rsidR="00D57591" w:rsidRPr="00003BB6" w:rsidRDefault="00D57591" w:rsidP="003F6C47">
      <w:pPr>
        <w:pStyle w:val="FootnoteText"/>
        <w:rPr>
          <w:rFonts w:cs="Arial"/>
        </w:rPr>
      </w:pPr>
      <w:r w:rsidRPr="00003BB6">
        <w:rPr>
          <w:rStyle w:val="FootnoteReference"/>
          <w:rFonts w:cs="Arial"/>
        </w:rPr>
        <w:footnoteRef/>
      </w:r>
      <w:r w:rsidRPr="00003BB6">
        <w:rPr>
          <w:rFonts w:cs="Arial"/>
        </w:rPr>
        <w:t xml:space="preserve"> </w:t>
      </w:r>
      <w:r>
        <w:rPr>
          <w:rFonts w:cs="Arial"/>
        </w:rPr>
        <w:tab/>
      </w:r>
      <w:r w:rsidRPr="003E3CF7">
        <w:rPr>
          <w:rFonts w:cs="Arial"/>
        </w:rPr>
        <w:t xml:space="preserve">Australian Toy Association, </w:t>
      </w:r>
      <w:hyperlink r:id="rId21" w:history="1">
        <w:r w:rsidRPr="00F43258">
          <w:rPr>
            <w:rStyle w:val="Hyperlink"/>
            <w:rFonts w:cs="Arial"/>
            <w:i/>
            <w:iCs/>
            <w:sz w:val="16"/>
          </w:rPr>
          <w:t>Australian Toy Association Submission (</w:t>
        </w:r>
        <w:r w:rsidRPr="003E3CF7">
          <w:rPr>
            <w:rStyle w:val="Hyperlink"/>
            <w:rFonts w:cs="Arial"/>
            <w:i/>
            <w:iCs/>
            <w:sz w:val="16"/>
          </w:rPr>
          <w:t xml:space="preserve">response </w:t>
        </w:r>
        <w:r w:rsidRPr="00F43258">
          <w:rPr>
            <w:rStyle w:val="Hyperlink"/>
            <w:rFonts w:cs="Arial"/>
            <w:i/>
            <w:iCs/>
            <w:sz w:val="16"/>
          </w:rPr>
          <w:t>to ACCC Infant Inclined Products Issues Paper)</w:t>
        </w:r>
      </w:hyperlink>
      <w:r w:rsidRPr="003E3CF7">
        <w:rPr>
          <w:rFonts w:cs="Arial"/>
        </w:rPr>
        <w:t xml:space="preserve">, </w:t>
      </w:r>
      <w:r w:rsidRPr="00F43258">
        <w:rPr>
          <w:rFonts w:cs="Arial"/>
        </w:rPr>
        <w:t xml:space="preserve"> ACCC consultation hub website, n.d., accessed 17 February 2021, p </w:t>
      </w:r>
      <w:r w:rsidRPr="003E3CF7">
        <w:rPr>
          <w:rFonts w:cs="Arial"/>
        </w:rPr>
        <w:t>1.</w:t>
      </w:r>
      <w:r w:rsidRPr="00003BB6">
        <w:rPr>
          <w:rFonts w:cs="Arial"/>
        </w:rPr>
        <w:t xml:space="preserve"> </w:t>
      </w:r>
    </w:p>
  </w:footnote>
  <w:footnote w:id="30">
    <w:p w14:paraId="05C029A1" w14:textId="0C508518" w:rsidR="00D57591" w:rsidRPr="00003BB6" w:rsidRDefault="00D57591" w:rsidP="003F6C47">
      <w:pPr>
        <w:pStyle w:val="FootnoteText"/>
      </w:pPr>
      <w:r w:rsidRPr="00003BB6">
        <w:rPr>
          <w:rStyle w:val="FootnoteReference"/>
        </w:rPr>
        <w:footnoteRef/>
      </w:r>
      <w:r w:rsidRPr="00003BB6">
        <w:t xml:space="preserve"> </w:t>
      </w:r>
      <w:r>
        <w:tab/>
      </w:r>
      <w:r w:rsidRPr="003E3CF7">
        <w:rPr>
          <w:bCs/>
        </w:rPr>
        <w:t xml:space="preserve">ASTM International, </w:t>
      </w:r>
      <w:r>
        <w:rPr>
          <w:bCs/>
        </w:rPr>
        <w:t>‘</w:t>
      </w:r>
      <w:hyperlink r:id="rId22" w:history="1">
        <w:r w:rsidRPr="008877F2">
          <w:rPr>
            <w:rStyle w:val="Hyperlink"/>
            <w:bCs/>
            <w:sz w:val="16"/>
          </w:rPr>
          <w:t>Standard Consumer Safety Specification for Infant Bouncer Seats</w:t>
        </w:r>
        <w:r w:rsidRPr="00B40C13">
          <w:rPr>
            <w:rStyle w:val="Hyperlink"/>
            <w:bCs/>
            <w:sz w:val="16"/>
          </w:rPr>
          <w:t xml:space="preserve"> </w:t>
        </w:r>
        <w:r>
          <w:rPr>
            <w:rStyle w:val="Hyperlink"/>
            <w:bCs/>
            <w:sz w:val="16"/>
          </w:rPr>
          <w:t>(</w:t>
        </w:r>
        <w:r w:rsidRPr="00B40C13">
          <w:rPr>
            <w:rStyle w:val="Hyperlink"/>
            <w:bCs/>
            <w:sz w:val="16"/>
          </w:rPr>
          <w:t>ASTM F2167-19</w:t>
        </w:r>
      </w:hyperlink>
      <w:r>
        <w:rPr>
          <w:rStyle w:val="Hyperlink"/>
          <w:bCs/>
          <w:sz w:val="16"/>
        </w:rPr>
        <w:t>)’</w:t>
      </w:r>
      <w:r w:rsidRPr="003E3CF7">
        <w:rPr>
          <w:bCs/>
        </w:rPr>
        <w:t>,</w:t>
      </w:r>
      <w:r>
        <w:rPr>
          <w:bCs/>
        </w:rPr>
        <w:t xml:space="preserve"> 2022.</w:t>
      </w:r>
      <w:r w:rsidRPr="00F43258">
        <w:rPr>
          <w:bCs/>
        </w:rPr>
        <w:t>.</w:t>
      </w:r>
      <w:r>
        <w:rPr>
          <w:bCs/>
        </w:rPr>
        <w:t xml:space="preserve"> </w:t>
      </w:r>
    </w:p>
  </w:footnote>
  <w:footnote w:id="31">
    <w:p w14:paraId="1B61438D" w14:textId="080EA2F8" w:rsidR="00D57591" w:rsidRDefault="00D57591" w:rsidP="003F6C47">
      <w:pPr>
        <w:pStyle w:val="FootnoteText"/>
      </w:pPr>
      <w:r w:rsidRPr="00003BB6">
        <w:rPr>
          <w:rStyle w:val="FootnoteReference"/>
        </w:rPr>
        <w:footnoteRef/>
      </w:r>
      <w:r w:rsidRPr="00003BB6">
        <w:t xml:space="preserve"> </w:t>
      </w:r>
      <w:r>
        <w:tab/>
      </w:r>
      <w:r w:rsidRPr="00003BB6">
        <w:rPr>
          <w:bCs/>
        </w:rPr>
        <w:t xml:space="preserve">NSAI Standards, </w:t>
      </w:r>
      <w:r>
        <w:rPr>
          <w:bCs/>
        </w:rPr>
        <w:t>‘</w:t>
      </w:r>
      <w:r w:rsidRPr="00003BB6">
        <w:rPr>
          <w:bCs/>
        </w:rPr>
        <w:t xml:space="preserve">Child use and care articles – Reclined cradles </w:t>
      </w:r>
      <w:r>
        <w:rPr>
          <w:bCs/>
        </w:rPr>
        <w:t>(</w:t>
      </w:r>
      <w:r w:rsidRPr="00003BB6">
        <w:rPr>
          <w:bCs/>
        </w:rPr>
        <w:t>IS EN 12790:2009</w:t>
      </w:r>
      <w:r>
        <w:rPr>
          <w:bCs/>
        </w:rPr>
        <w:t>)’</w:t>
      </w:r>
      <w:r w:rsidRPr="00003BB6">
        <w:rPr>
          <w:bCs/>
        </w:rPr>
        <w:t>, 2009.</w:t>
      </w:r>
    </w:p>
  </w:footnote>
  <w:footnote w:id="32">
    <w:p w14:paraId="6DA074C8" w14:textId="348EAEE1" w:rsidR="00D57591" w:rsidRPr="00A9614A" w:rsidRDefault="00D57591" w:rsidP="00B40C13">
      <w:pPr>
        <w:pStyle w:val="FootnoteText"/>
      </w:pPr>
      <w:r w:rsidRPr="008A64C2">
        <w:rPr>
          <w:rStyle w:val="FootnoteReference"/>
          <w:rFonts w:cs="Arial"/>
          <w:szCs w:val="16"/>
        </w:rPr>
        <w:footnoteRef/>
      </w:r>
      <w:r w:rsidRPr="00CF65DA">
        <w:t xml:space="preserve"> </w:t>
      </w:r>
      <w:r>
        <w:tab/>
      </w:r>
      <w:r w:rsidRPr="00F2244C">
        <w:t xml:space="preserve">A Adams, </w:t>
      </w:r>
      <w:r w:rsidRPr="00B40C13">
        <w:rPr>
          <w:i/>
          <w:iCs/>
        </w:rPr>
        <w:t>The Efficacy of Warning Labels - A review of the research - Update 2018</w:t>
      </w:r>
      <w:r>
        <w:t xml:space="preserve">, ACCC, Australian Government, unpublished, accessed 2 February 2022. </w:t>
      </w:r>
      <w:r w:rsidRPr="00662ACA">
        <w:t xml:space="preserve"> </w:t>
      </w:r>
    </w:p>
  </w:footnote>
  <w:footnote w:id="33">
    <w:p w14:paraId="1CEEFF93" w14:textId="54077222" w:rsidR="00110BBA" w:rsidRDefault="00D57591">
      <w:pPr>
        <w:pStyle w:val="FootnoteText"/>
      </w:pPr>
      <w:r>
        <w:rPr>
          <w:rStyle w:val="FootnoteReference"/>
        </w:rPr>
        <w:footnoteRef/>
      </w:r>
      <w:r>
        <w:t xml:space="preserve"> ABS, </w:t>
      </w:r>
      <w:hyperlink r:id="rId23" w:history="1">
        <w:r w:rsidR="0048357E" w:rsidRPr="001C42D6">
          <w:rPr>
            <w:rStyle w:val="Hyperlink"/>
            <w:i/>
            <w:iCs/>
            <w:sz w:val="16"/>
          </w:rPr>
          <w:t>Population</w:t>
        </w:r>
        <w:r w:rsidR="0048357E" w:rsidRPr="0048357E">
          <w:rPr>
            <w:rStyle w:val="Hyperlink"/>
            <w:sz w:val="16"/>
          </w:rPr>
          <w:t xml:space="preserve"> </w:t>
        </w:r>
        <w:r w:rsidR="0048357E" w:rsidRPr="0048357E">
          <w:rPr>
            <w:rStyle w:val="Hyperlink"/>
            <w:i/>
            <w:iCs/>
            <w:sz w:val="16"/>
          </w:rPr>
          <w:t>d</w:t>
        </w:r>
        <w:r w:rsidRPr="0048357E">
          <w:rPr>
            <w:rStyle w:val="Hyperlink"/>
            <w:i/>
            <w:iCs/>
            <w:sz w:val="16"/>
          </w:rPr>
          <w:t>ata explorer</w:t>
        </w:r>
      </w:hyperlink>
      <w:r>
        <w:rPr>
          <w:i/>
          <w:iCs/>
        </w:rPr>
        <w:t xml:space="preserve">, </w:t>
      </w:r>
      <w:r w:rsidR="00B446DE" w:rsidRPr="001C42D6">
        <w:t>ABS website</w:t>
      </w:r>
      <w:r w:rsidR="00B446DE">
        <w:rPr>
          <w:i/>
          <w:iCs/>
        </w:rPr>
        <w:t xml:space="preserve">, </w:t>
      </w:r>
      <w:r>
        <w:t>accessed 2 June 2022</w:t>
      </w:r>
      <w:r w:rsidR="00F67DD6">
        <w:t xml:space="preserve">; ABS, </w:t>
      </w:r>
      <w:hyperlink r:id="rId24" w:history="1">
        <w:r w:rsidR="00F67DD6">
          <w:rPr>
            <w:rStyle w:val="Hyperlink"/>
            <w:i/>
            <w:iCs/>
            <w:sz w:val="16"/>
          </w:rPr>
          <w:t>Infant p</w:t>
        </w:r>
        <w:r w:rsidR="00F67DD6" w:rsidRPr="00982099">
          <w:rPr>
            <w:rStyle w:val="Hyperlink"/>
            <w:i/>
            <w:iCs/>
            <w:sz w:val="16"/>
          </w:rPr>
          <w:t>opulation</w:t>
        </w:r>
        <w:r w:rsidR="00F67DD6" w:rsidRPr="0048357E">
          <w:rPr>
            <w:rStyle w:val="Hyperlink"/>
            <w:sz w:val="16"/>
          </w:rPr>
          <w:t xml:space="preserve"> </w:t>
        </w:r>
        <w:r w:rsidR="00F67DD6" w:rsidRPr="0048357E">
          <w:rPr>
            <w:rStyle w:val="Hyperlink"/>
            <w:i/>
            <w:iCs/>
            <w:sz w:val="16"/>
          </w:rPr>
          <w:t>data explorer</w:t>
        </w:r>
      </w:hyperlink>
      <w:r w:rsidR="00F67DD6">
        <w:rPr>
          <w:i/>
          <w:iCs/>
        </w:rPr>
        <w:t xml:space="preserve">, </w:t>
      </w:r>
      <w:r w:rsidR="00F67DD6" w:rsidRPr="00982099">
        <w:t>ABS website</w:t>
      </w:r>
      <w:r w:rsidR="00F67DD6">
        <w:rPr>
          <w:i/>
          <w:iCs/>
        </w:rPr>
        <w:t xml:space="preserve">, </w:t>
      </w:r>
      <w:r w:rsidR="00F67DD6">
        <w:t xml:space="preserve">accessed 2 June 2022; ABS, </w:t>
      </w:r>
      <w:hyperlink r:id="rId25" w:history="1">
        <w:r w:rsidR="00F67DD6">
          <w:rPr>
            <w:rStyle w:val="Hyperlink"/>
            <w:i/>
            <w:iCs/>
            <w:sz w:val="16"/>
          </w:rPr>
          <w:t xml:space="preserve">Infant fatalities </w:t>
        </w:r>
        <w:r w:rsidR="00F67DD6" w:rsidRPr="0048357E">
          <w:rPr>
            <w:rStyle w:val="Hyperlink"/>
            <w:i/>
            <w:iCs/>
            <w:sz w:val="16"/>
          </w:rPr>
          <w:t>data explorer</w:t>
        </w:r>
      </w:hyperlink>
      <w:r w:rsidR="00F67DD6">
        <w:rPr>
          <w:i/>
          <w:iCs/>
        </w:rPr>
        <w:t xml:space="preserve">, </w:t>
      </w:r>
      <w:r w:rsidR="00F67DD6" w:rsidRPr="00982099">
        <w:t>ABS website</w:t>
      </w:r>
      <w:r w:rsidR="00F67DD6">
        <w:rPr>
          <w:i/>
          <w:iCs/>
        </w:rPr>
        <w:t xml:space="preserve">, </w:t>
      </w:r>
      <w:r w:rsidR="00F67DD6" w:rsidRPr="00B446DE">
        <w:t>accessed</w:t>
      </w:r>
      <w:r w:rsidR="00F67DD6">
        <w:t xml:space="preserve"> 2 June 2022</w:t>
      </w:r>
      <w:r>
        <w:t xml:space="preserve">. </w:t>
      </w:r>
    </w:p>
  </w:footnote>
  <w:footnote w:id="34">
    <w:p w14:paraId="3CE63344" w14:textId="17CF6F90" w:rsidR="00D57591" w:rsidRDefault="00D57591">
      <w:pPr>
        <w:pStyle w:val="FootnoteText"/>
      </w:pPr>
      <w:r>
        <w:rPr>
          <w:rStyle w:val="FootnoteReference"/>
        </w:rPr>
        <w:footnoteRef/>
      </w:r>
      <w:r>
        <w:t xml:space="preserve"> </w:t>
      </w:r>
      <w:r>
        <w:tab/>
        <w:t xml:space="preserve">ABS, </w:t>
      </w:r>
      <w:r w:rsidRPr="009F3BA1">
        <w:t>Data explorer</w:t>
      </w:r>
      <w:r>
        <w:t>, accessed 30 June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5E29" w14:textId="77777777" w:rsidR="00D57591" w:rsidRDefault="00D57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24120CA"/>
    <w:multiLevelType w:val="hybridMultilevel"/>
    <w:tmpl w:val="4A54C7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5128BF"/>
    <w:multiLevelType w:val="hybridMultilevel"/>
    <w:tmpl w:val="DAA6C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FD6CF0"/>
    <w:multiLevelType w:val="hybridMultilevel"/>
    <w:tmpl w:val="75F6C0C2"/>
    <w:lvl w:ilvl="0" w:tplc="2F3208A2">
      <w:start w:val="5"/>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2A292D"/>
    <w:multiLevelType w:val="hybridMultilevel"/>
    <w:tmpl w:val="DBE6AF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D51E7F"/>
    <w:multiLevelType w:val="hybridMultilevel"/>
    <w:tmpl w:val="40241E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1221E1"/>
    <w:multiLevelType w:val="hybridMultilevel"/>
    <w:tmpl w:val="FEEAD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33E73B6"/>
    <w:multiLevelType w:val="hybridMultilevel"/>
    <w:tmpl w:val="8D406BB4"/>
    <w:lvl w:ilvl="0" w:tplc="398C071C">
      <w:start w:val="1"/>
      <w:numFmt w:val="decimal"/>
      <w:pStyle w:val="Numberedparagraph"/>
      <w:lvlText w:val="%1."/>
      <w:lvlJc w:val="left"/>
      <w:pPr>
        <w:ind w:left="360" w:hanging="360"/>
      </w:pPr>
      <w:rPr>
        <w:rFonts w:hint="default"/>
        <w:b w:val="0"/>
        <w:bCs w:val="0"/>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8" w15:restartNumberingAfterBreak="0">
    <w:nsid w:val="198F2DFE"/>
    <w:multiLevelType w:val="hybridMultilevel"/>
    <w:tmpl w:val="30AE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216BED"/>
    <w:multiLevelType w:val="hybridMultilevel"/>
    <w:tmpl w:val="C3AE7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C2607CB"/>
    <w:multiLevelType w:val="hybridMultilevel"/>
    <w:tmpl w:val="25D6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1CF519CE"/>
    <w:multiLevelType w:val="multilevel"/>
    <w:tmpl w:val="18C0D4B4"/>
    <w:lvl w:ilvl="0">
      <w:start w:val="1"/>
      <w:numFmt w:val="decimal"/>
      <w:pStyle w:val="Numbered1"/>
      <w:lvlText w:val="%1."/>
      <w:lvlJc w:val="left"/>
      <w:pPr>
        <w:ind w:left="360" w:hanging="360"/>
      </w:pPr>
      <w:rPr>
        <w:rFonts w:hint="default"/>
        <w:i w:val="0"/>
        <w:iCs w:val="0"/>
        <w:color w:val="410099" w:themeColor="accent1"/>
      </w:rPr>
    </w:lvl>
    <w:lvl w:ilvl="1">
      <w:start w:val="1"/>
      <w:numFmt w:val="decimal"/>
      <w:pStyle w:val="Numbered11"/>
      <w:lvlText w:val="%1.%2."/>
      <w:lvlJc w:val="left"/>
      <w:pPr>
        <w:ind w:left="79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111"/>
      <w:lvlText w:val="%1.%2.%3."/>
      <w:lvlJc w:val="left"/>
      <w:pPr>
        <w:ind w:left="1224" w:hanging="122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1111"/>
      <w:lvlText w:val="%1.%2.%3.%4."/>
      <w:lvlJc w:val="left"/>
      <w:pPr>
        <w:ind w:left="0" w:firstLine="0"/>
      </w:pPr>
      <w:rPr>
        <w:rFonts w:hint="default"/>
      </w:rPr>
    </w:lvl>
    <w:lvl w:ilvl="4">
      <w:start w:val="1"/>
      <w:numFmt w:val="decimal"/>
      <w:pStyle w:val="Numbered11111"/>
      <w:lvlText w:val="%1.%2.%3.%4.%5."/>
      <w:lvlJc w:val="left"/>
      <w:pPr>
        <w:ind w:left="2232" w:hanging="792"/>
      </w:pPr>
      <w:rPr>
        <w:rFonts w:hint="default"/>
      </w:rPr>
    </w:lvl>
    <w:lvl w:ilvl="5">
      <w:start w:val="1"/>
      <w:numFmt w:val="decimal"/>
      <w:pStyle w:val="Numbered111111"/>
      <w:lvlText w:val="%1.%2.%3.%4.%5.%6."/>
      <w:lvlJc w:val="left"/>
      <w:pPr>
        <w:ind w:left="2736" w:hanging="936"/>
      </w:pPr>
      <w:rPr>
        <w:rFonts w:hint="default"/>
      </w:rPr>
    </w:lvl>
    <w:lvl w:ilvl="6">
      <w:start w:val="1"/>
      <w:numFmt w:val="decimal"/>
      <w:pStyle w:val="Numbered1111111"/>
      <w:lvlText w:val="%1.%2.%3.%4.%5.%6.%7."/>
      <w:lvlJc w:val="left"/>
      <w:pPr>
        <w:ind w:left="3240" w:hanging="1080"/>
      </w:pPr>
      <w:rPr>
        <w:rFonts w:hint="default"/>
      </w:rPr>
    </w:lvl>
    <w:lvl w:ilvl="7">
      <w:start w:val="1"/>
      <w:numFmt w:val="decimal"/>
      <w:pStyle w:val="Numbered11111111"/>
      <w:lvlText w:val="%1.%2.%3.%4.%5.%6.%7.%8."/>
      <w:lvlJc w:val="left"/>
      <w:pPr>
        <w:ind w:left="3744" w:hanging="1224"/>
      </w:pPr>
      <w:rPr>
        <w:rFonts w:hint="default"/>
      </w:rPr>
    </w:lvl>
    <w:lvl w:ilvl="8">
      <w:start w:val="1"/>
      <w:numFmt w:val="decimal"/>
      <w:pStyle w:val="Numbered111111111"/>
      <w:lvlText w:val="%1.%2.%3.%4.%5.%6.%7.%8.%9."/>
      <w:lvlJc w:val="left"/>
      <w:pPr>
        <w:ind w:left="4320" w:hanging="1440"/>
      </w:pPr>
      <w:rPr>
        <w:rFonts w:hint="default"/>
      </w:rPr>
    </w:lvl>
  </w:abstractNum>
  <w:abstractNum w:abstractNumId="22" w15:restartNumberingAfterBreak="0">
    <w:nsid w:val="20A80306"/>
    <w:multiLevelType w:val="hybridMultilevel"/>
    <w:tmpl w:val="515A643E"/>
    <w:lvl w:ilvl="0" w:tplc="1610DE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73F57CF"/>
    <w:multiLevelType w:val="hybridMultilevel"/>
    <w:tmpl w:val="24F88C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90C6513"/>
    <w:multiLevelType w:val="hybridMultilevel"/>
    <w:tmpl w:val="1A36F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5477C3"/>
    <w:multiLevelType w:val="hybridMultilevel"/>
    <w:tmpl w:val="A698C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C97519"/>
    <w:multiLevelType w:val="hybridMultilevel"/>
    <w:tmpl w:val="22BCD1F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4303A9"/>
    <w:multiLevelType w:val="hybridMultilevel"/>
    <w:tmpl w:val="55DA2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9"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15:restartNumberingAfterBreak="0">
    <w:nsid w:val="36DA7796"/>
    <w:multiLevelType w:val="multilevel"/>
    <w:tmpl w:val="9550AF3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8AE278D"/>
    <w:multiLevelType w:val="hybridMultilevel"/>
    <w:tmpl w:val="149E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5D12AE"/>
    <w:multiLevelType w:val="hybridMultilevel"/>
    <w:tmpl w:val="80965A80"/>
    <w:lvl w:ilvl="0" w:tplc="39B6752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4148FE"/>
    <w:multiLevelType w:val="hybridMultilevel"/>
    <w:tmpl w:val="E3BA1B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36" w15:restartNumberingAfterBreak="0">
    <w:nsid w:val="47F00F5D"/>
    <w:multiLevelType w:val="hybridMultilevel"/>
    <w:tmpl w:val="1C4C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4903F0"/>
    <w:multiLevelType w:val="hybridMultilevel"/>
    <w:tmpl w:val="5E08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F902056"/>
    <w:multiLevelType w:val="hybridMultilevel"/>
    <w:tmpl w:val="DAA6C2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0977364"/>
    <w:multiLevelType w:val="hybridMultilevel"/>
    <w:tmpl w:val="243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1475A7C"/>
    <w:multiLevelType w:val="hybridMultilevel"/>
    <w:tmpl w:val="41B668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15:restartNumberingAfterBreak="0">
    <w:nsid w:val="522C2407"/>
    <w:multiLevelType w:val="hybridMultilevel"/>
    <w:tmpl w:val="C06EEB42"/>
    <w:lvl w:ilvl="0" w:tplc="3A344EF6">
      <w:start w:val="4"/>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9C0F35"/>
    <w:multiLevelType w:val="hybridMultilevel"/>
    <w:tmpl w:val="092EA808"/>
    <w:lvl w:ilvl="0" w:tplc="0C090017">
      <w:start w:val="1"/>
      <w:numFmt w:val="lowerLetter"/>
      <w:lvlText w:val="%1)"/>
      <w:lvlJc w:val="left"/>
      <w:pPr>
        <w:ind w:left="720" w:hanging="360"/>
      </w:pPr>
    </w:lvl>
    <w:lvl w:ilvl="1" w:tplc="389E657E">
      <w:start w:val="1"/>
      <w:numFmt w:val="lowerRoman"/>
      <w:lvlText w:val="%2."/>
      <w:lvlJc w:val="left"/>
      <w:pPr>
        <w:ind w:left="1134" w:hanging="397"/>
      </w:pPr>
      <w:rPr>
        <w:rFonts w:hint="default"/>
      </w:rPr>
    </w:lvl>
    <w:lvl w:ilvl="2" w:tplc="90768BBE">
      <w:numFmt w:val="bullet"/>
      <w:lvlText w:val="-"/>
      <w:lvlJc w:val="left"/>
      <w:pPr>
        <w:ind w:left="2340" w:hanging="360"/>
      </w:pPr>
      <w:rPr>
        <w:rFonts w:ascii="Arial" w:eastAsiaTheme="majorEastAsia" w:hAnsi="Arial" w:cs="Aria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5" w15:restartNumberingAfterBreak="0">
    <w:nsid w:val="5E1F2042"/>
    <w:multiLevelType w:val="hybridMultilevel"/>
    <w:tmpl w:val="2F94C2EA"/>
    <w:lvl w:ilvl="0" w:tplc="3A344EF6">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63476603"/>
    <w:multiLevelType w:val="hybridMultilevel"/>
    <w:tmpl w:val="9A900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408407C"/>
    <w:multiLevelType w:val="hybridMultilevel"/>
    <w:tmpl w:val="164A70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9" w15:restartNumberingAfterBreak="0">
    <w:nsid w:val="64427EB8"/>
    <w:multiLevelType w:val="hybridMultilevel"/>
    <w:tmpl w:val="3B688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71A2E59"/>
    <w:multiLevelType w:val="hybridMultilevel"/>
    <w:tmpl w:val="7BC4B0F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53" w15:restartNumberingAfterBreak="0">
    <w:nsid w:val="6A823A16"/>
    <w:multiLevelType w:val="hybridMultilevel"/>
    <w:tmpl w:val="51C8E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5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56"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57"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5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9" w15:restartNumberingAfterBreak="0">
    <w:nsid w:val="7D922A77"/>
    <w:multiLevelType w:val="hybridMultilevel"/>
    <w:tmpl w:val="5E8C8C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E2819EC"/>
    <w:multiLevelType w:val="multilevel"/>
    <w:tmpl w:val="0BB6C9D4"/>
    <w:lvl w:ilvl="0">
      <w:start w:val="1"/>
      <w:numFmt w:val="bullet"/>
      <w:pStyle w:val="Bulletpoin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60"/>
  </w:num>
  <w:num w:numId="3">
    <w:abstractNumId w:val="7"/>
  </w:num>
  <w:num w:numId="4">
    <w:abstractNumId w:val="6"/>
  </w:num>
  <w:num w:numId="5">
    <w:abstractNumId w:val="5"/>
  </w:num>
  <w:num w:numId="6">
    <w:abstractNumId w:val="4"/>
  </w:num>
  <w:num w:numId="7">
    <w:abstractNumId w:val="1"/>
  </w:num>
  <w:num w:numId="8">
    <w:abstractNumId w:val="0"/>
  </w:num>
  <w:num w:numId="9">
    <w:abstractNumId w:val="52"/>
  </w:num>
  <w:num w:numId="10">
    <w:abstractNumId w:val="32"/>
  </w:num>
  <w:num w:numId="11">
    <w:abstractNumId w:val="15"/>
  </w:num>
  <w:num w:numId="12">
    <w:abstractNumId w:val="21"/>
  </w:num>
  <w:num w:numId="13">
    <w:abstractNumId w:val="29"/>
  </w:num>
  <w:num w:numId="14">
    <w:abstractNumId w:val="2"/>
  </w:num>
  <w:num w:numId="15">
    <w:abstractNumId w:val="54"/>
  </w:num>
  <w:num w:numId="16">
    <w:abstractNumId w:val="58"/>
  </w:num>
  <w:num w:numId="17">
    <w:abstractNumId w:val="57"/>
  </w:num>
  <w:num w:numId="18">
    <w:abstractNumId w:val="44"/>
  </w:num>
  <w:num w:numId="19">
    <w:abstractNumId w:val="28"/>
  </w:num>
  <w:num w:numId="20">
    <w:abstractNumId w:val="35"/>
  </w:num>
  <w:num w:numId="21">
    <w:abstractNumId w:val="56"/>
  </w:num>
  <w:num w:numId="22">
    <w:abstractNumId w:val="46"/>
  </w:num>
  <w:num w:numId="23">
    <w:abstractNumId w:val="8"/>
  </w:num>
  <w:num w:numId="24">
    <w:abstractNumId w:val="3"/>
  </w:num>
  <w:num w:numId="25">
    <w:abstractNumId w:val="37"/>
  </w:num>
  <w:num w:numId="26">
    <w:abstractNumId w:val="17"/>
  </w:num>
  <w:num w:numId="27">
    <w:abstractNumId w:val="50"/>
  </w:num>
  <w:num w:numId="28">
    <w:abstractNumId w:val="55"/>
  </w:num>
  <w:num w:numId="29">
    <w:abstractNumId w:val="43"/>
  </w:num>
  <w:num w:numId="30">
    <w:abstractNumId w:val="30"/>
  </w:num>
  <w:num w:numId="31">
    <w:abstractNumId w:val="13"/>
  </w:num>
  <w:num w:numId="32">
    <w:abstractNumId w:val="51"/>
  </w:num>
  <w:num w:numId="33">
    <w:abstractNumId w:val="12"/>
  </w:num>
  <w:num w:numId="34">
    <w:abstractNumId w:val="10"/>
  </w:num>
  <w:num w:numId="35">
    <w:abstractNumId w:val="39"/>
  </w:num>
  <w:num w:numId="36">
    <w:abstractNumId w:val="31"/>
  </w:num>
  <w:num w:numId="37">
    <w:abstractNumId w:val="21"/>
    <w:lvlOverride w:ilvl="0">
      <w:startOverride w:val="8"/>
    </w:lvlOverride>
  </w:num>
  <w:num w:numId="38">
    <w:abstractNumId w:val="47"/>
  </w:num>
  <w:num w:numId="39">
    <w:abstractNumId w:val="60"/>
  </w:num>
  <w:num w:numId="40">
    <w:abstractNumId w:val="23"/>
  </w:num>
  <w:num w:numId="41">
    <w:abstractNumId w:val="21"/>
  </w:num>
  <w:num w:numId="42">
    <w:abstractNumId w:val="21"/>
  </w:num>
  <w:num w:numId="43">
    <w:abstractNumId w:val="46"/>
    <w:lvlOverride w:ilvl="0">
      <w:startOverride w:val="1"/>
    </w:lvlOverride>
  </w:num>
  <w:num w:numId="44">
    <w:abstractNumId w:val="46"/>
    <w:lvlOverride w:ilvl="0">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1"/>
  </w:num>
  <w:num w:numId="48">
    <w:abstractNumId w:val="49"/>
  </w:num>
  <w:num w:numId="49">
    <w:abstractNumId w:val="26"/>
  </w:num>
  <w:num w:numId="50">
    <w:abstractNumId w:val="53"/>
  </w:num>
  <w:num w:numId="51">
    <w:abstractNumId w:val="38"/>
  </w:num>
  <w:num w:numId="52">
    <w:abstractNumId w:val="46"/>
    <w:lvlOverride w:ilvl="0">
      <w:startOverride w:val="1"/>
    </w:lvlOverride>
  </w:num>
  <w:num w:numId="53">
    <w:abstractNumId w:val="22"/>
  </w:num>
  <w:num w:numId="54">
    <w:abstractNumId w:val="40"/>
  </w:num>
  <w:num w:numId="55">
    <w:abstractNumId w:val="25"/>
  </w:num>
  <w:num w:numId="56">
    <w:abstractNumId w:val="48"/>
  </w:num>
  <w:num w:numId="57">
    <w:abstractNumId w:val="41"/>
  </w:num>
  <w:num w:numId="58">
    <w:abstractNumId w:val="21"/>
  </w:num>
  <w:num w:numId="59">
    <w:abstractNumId w:val="36"/>
  </w:num>
  <w:num w:numId="60">
    <w:abstractNumId w:val="34"/>
  </w:num>
  <w:num w:numId="61">
    <w:abstractNumId w:val="14"/>
  </w:num>
  <w:num w:numId="62">
    <w:abstractNumId w:val="24"/>
  </w:num>
  <w:num w:numId="63">
    <w:abstractNumId w:val="18"/>
  </w:num>
  <w:num w:numId="64">
    <w:abstractNumId w:val="59"/>
  </w:num>
  <w:num w:numId="65">
    <w:abstractNumId w:val="9"/>
  </w:num>
  <w:num w:numId="66">
    <w:abstractNumId w:val="19"/>
  </w:num>
  <w:num w:numId="67">
    <w:abstractNumId w:val="45"/>
  </w:num>
  <w:num w:numId="68">
    <w:abstractNumId w:val="42"/>
  </w:num>
  <w:num w:numId="69">
    <w:abstractNumId w:val="33"/>
  </w:num>
  <w:num w:numId="70">
    <w:abstractNumId w:val="60"/>
  </w:num>
  <w:num w:numId="71">
    <w:abstractNumId w:val="27"/>
  </w:num>
  <w:num w:numId="72">
    <w:abstractNumId w:val="46"/>
  </w:num>
  <w:num w:numId="73">
    <w:abstractNumId w:val="46"/>
    <w:lvlOverride w:ilvl="0">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rrentname" w:val="\\homesharecl\HomeDrives\dsmit\Desktop\Normal.dotm"/>
  </w:docVars>
  <w:rsids>
    <w:rsidRoot w:val="00EF4886"/>
    <w:rsid w:val="00000093"/>
    <w:rsid w:val="0000065E"/>
    <w:rsid w:val="00001985"/>
    <w:rsid w:val="0000247B"/>
    <w:rsid w:val="0000252F"/>
    <w:rsid w:val="00002DA0"/>
    <w:rsid w:val="00002F00"/>
    <w:rsid w:val="000033AF"/>
    <w:rsid w:val="00003927"/>
    <w:rsid w:val="00003BB6"/>
    <w:rsid w:val="00004569"/>
    <w:rsid w:val="00004681"/>
    <w:rsid w:val="00004BA4"/>
    <w:rsid w:val="00004CDE"/>
    <w:rsid w:val="00004F89"/>
    <w:rsid w:val="000058B9"/>
    <w:rsid w:val="00005B2A"/>
    <w:rsid w:val="0000667F"/>
    <w:rsid w:val="00007870"/>
    <w:rsid w:val="00007C52"/>
    <w:rsid w:val="00010198"/>
    <w:rsid w:val="0001073E"/>
    <w:rsid w:val="000113AA"/>
    <w:rsid w:val="000113D3"/>
    <w:rsid w:val="00011B55"/>
    <w:rsid w:val="00011B5B"/>
    <w:rsid w:val="00012D12"/>
    <w:rsid w:val="0001385F"/>
    <w:rsid w:val="00013E1D"/>
    <w:rsid w:val="00013FEC"/>
    <w:rsid w:val="000141B4"/>
    <w:rsid w:val="00014569"/>
    <w:rsid w:val="00014ECF"/>
    <w:rsid w:val="00014FD9"/>
    <w:rsid w:val="00015577"/>
    <w:rsid w:val="00016381"/>
    <w:rsid w:val="00016456"/>
    <w:rsid w:val="000167D0"/>
    <w:rsid w:val="00017607"/>
    <w:rsid w:val="000179EB"/>
    <w:rsid w:val="0002115F"/>
    <w:rsid w:val="00021202"/>
    <w:rsid w:val="00021541"/>
    <w:rsid w:val="00021D99"/>
    <w:rsid w:val="000225C4"/>
    <w:rsid w:val="0002273E"/>
    <w:rsid w:val="0002361E"/>
    <w:rsid w:val="0002410F"/>
    <w:rsid w:val="00024255"/>
    <w:rsid w:val="00024403"/>
    <w:rsid w:val="00024806"/>
    <w:rsid w:val="0002491E"/>
    <w:rsid w:val="00024D54"/>
    <w:rsid w:val="0002508C"/>
    <w:rsid w:val="0002573F"/>
    <w:rsid w:val="00025BF6"/>
    <w:rsid w:val="00025C2E"/>
    <w:rsid w:val="00025FB7"/>
    <w:rsid w:val="0002663A"/>
    <w:rsid w:val="00027D25"/>
    <w:rsid w:val="00027E28"/>
    <w:rsid w:val="000309A1"/>
    <w:rsid w:val="00030A62"/>
    <w:rsid w:val="00031947"/>
    <w:rsid w:val="000322AA"/>
    <w:rsid w:val="00032E35"/>
    <w:rsid w:val="0003306C"/>
    <w:rsid w:val="0003371B"/>
    <w:rsid w:val="00033D32"/>
    <w:rsid w:val="000342EA"/>
    <w:rsid w:val="000346DA"/>
    <w:rsid w:val="00034A7B"/>
    <w:rsid w:val="0003578C"/>
    <w:rsid w:val="0003648A"/>
    <w:rsid w:val="00037366"/>
    <w:rsid w:val="00040101"/>
    <w:rsid w:val="000409AF"/>
    <w:rsid w:val="00040C90"/>
    <w:rsid w:val="00040DA5"/>
    <w:rsid w:val="000429C6"/>
    <w:rsid w:val="000430CC"/>
    <w:rsid w:val="000435AF"/>
    <w:rsid w:val="000439E7"/>
    <w:rsid w:val="00043A81"/>
    <w:rsid w:val="00043E05"/>
    <w:rsid w:val="000446E4"/>
    <w:rsid w:val="000452F8"/>
    <w:rsid w:val="000454C8"/>
    <w:rsid w:val="000457A8"/>
    <w:rsid w:val="00045D38"/>
    <w:rsid w:val="000470CD"/>
    <w:rsid w:val="00047570"/>
    <w:rsid w:val="00047E02"/>
    <w:rsid w:val="00050632"/>
    <w:rsid w:val="00050699"/>
    <w:rsid w:val="000509D6"/>
    <w:rsid w:val="00050DFA"/>
    <w:rsid w:val="00050F01"/>
    <w:rsid w:val="000512CF"/>
    <w:rsid w:val="000514E3"/>
    <w:rsid w:val="00051A55"/>
    <w:rsid w:val="00051A77"/>
    <w:rsid w:val="00051B61"/>
    <w:rsid w:val="00051FBF"/>
    <w:rsid w:val="00053618"/>
    <w:rsid w:val="000537B7"/>
    <w:rsid w:val="00053C10"/>
    <w:rsid w:val="00053C43"/>
    <w:rsid w:val="00053EDF"/>
    <w:rsid w:val="00054675"/>
    <w:rsid w:val="0005474D"/>
    <w:rsid w:val="00054DEF"/>
    <w:rsid w:val="00054E69"/>
    <w:rsid w:val="0005517B"/>
    <w:rsid w:val="00055343"/>
    <w:rsid w:val="0005609B"/>
    <w:rsid w:val="00056983"/>
    <w:rsid w:val="00056D9A"/>
    <w:rsid w:val="00056FB8"/>
    <w:rsid w:val="00057A55"/>
    <w:rsid w:val="00060972"/>
    <w:rsid w:val="000617C7"/>
    <w:rsid w:val="00062133"/>
    <w:rsid w:val="0006291F"/>
    <w:rsid w:val="00062BD5"/>
    <w:rsid w:val="00063247"/>
    <w:rsid w:val="000635F2"/>
    <w:rsid w:val="000638E9"/>
    <w:rsid w:val="00063920"/>
    <w:rsid w:val="00064607"/>
    <w:rsid w:val="00065501"/>
    <w:rsid w:val="00065EE6"/>
    <w:rsid w:val="00066649"/>
    <w:rsid w:val="000667B6"/>
    <w:rsid w:val="00067494"/>
    <w:rsid w:val="000678E5"/>
    <w:rsid w:val="00067A31"/>
    <w:rsid w:val="00070106"/>
    <w:rsid w:val="00070665"/>
    <w:rsid w:val="00070906"/>
    <w:rsid w:val="00070918"/>
    <w:rsid w:val="00070DA8"/>
    <w:rsid w:val="00070EAC"/>
    <w:rsid w:val="00070F9F"/>
    <w:rsid w:val="0007137B"/>
    <w:rsid w:val="00072A70"/>
    <w:rsid w:val="00072B2D"/>
    <w:rsid w:val="00073407"/>
    <w:rsid w:val="00073F87"/>
    <w:rsid w:val="00074D41"/>
    <w:rsid w:val="00075776"/>
    <w:rsid w:val="0007719E"/>
    <w:rsid w:val="00077679"/>
    <w:rsid w:val="00077828"/>
    <w:rsid w:val="000805CE"/>
    <w:rsid w:val="000808F9"/>
    <w:rsid w:val="00080BF9"/>
    <w:rsid w:val="00080C18"/>
    <w:rsid w:val="000815F8"/>
    <w:rsid w:val="00081BBF"/>
    <w:rsid w:val="0008209A"/>
    <w:rsid w:val="00082A99"/>
    <w:rsid w:val="00082CB9"/>
    <w:rsid w:val="00083062"/>
    <w:rsid w:val="00083097"/>
    <w:rsid w:val="00085663"/>
    <w:rsid w:val="00085975"/>
    <w:rsid w:val="00085EBF"/>
    <w:rsid w:val="00086221"/>
    <w:rsid w:val="000867E4"/>
    <w:rsid w:val="000869DC"/>
    <w:rsid w:val="000875B8"/>
    <w:rsid w:val="00087898"/>
    <w:rsid w:val="0009014D"/>
    <w:rsid w:val="00090334"/>
    <w:rsid w:val="000911E6"/>
    <w:rsid w:val="00091490"/>
    <w:rsid w:val="00091697"/>
    <w:rsid w:val="00091D20"/>
    <w:rsid w:val="0009219C"/>
    <w:rsid w:val="000929F8"/>
    <w:rsid w:val="00093205"/>
    <w:rsid w:val="0009320E"/>
    <w:rsid w:val="00093C90"/>
    <w:rsid w:val="00094135"/>
    <w:rsid w:val="000945B1"/>
    <w:rsid w:val="00094E19"/>
    <w:rsid w:val="0009504A"/>
    <w:rsid w:val="00095778"/>
    <w:rsid w:val="000957C0"/>
    <w:rsid w:val="00096458"/>
    <w:rsid w:val="00097398"/>
    <w:rsid w:val="00097817"/>
    <w:rsid w:val="000A013B"/>
    <w:rsid w:val="000A0C71"/>
    <w:rsid w:val="000A117B"/>
    <w:rsid w:val="000A304D"/>
    <w:rsid w:val="000A332A"/>
    <w:rsid w:val="000A581F"/>
    <w:rsid w:val="000A7B23"/>
    <w:rsid w:val="000B05BB"/>
    <w:rsid w:val="000B0FBA"/>
    <w:rsid w:val="000B10DA"/>
    <w:rsid w:val="000B1401"/>
    <w:rsid w:val="000B194D"/>
    <w:rsid w:val="000B19B7"/>
    <w:rsid w:val="000B1F2C"/>
    <w:rsid w:val="000B2FC8"/>
    <w:rsid w:val="000B30AD"/>
    <w:rsid w:val="000B4114"/>
    <w:rsid w:val="000B44E9"/>
    <w:rsid w:val="000B48B5"/>
    <w:rsid w:val="000B4B1E"/>
    <w:rsid w:val="000B52C3"/>
    <w:rsid w:val="000B5900"/>
    <w:rsid w:val="000B6474"/>
    <w:rsid w:val="000B70E7"/>
    <w:rsid w:val="000B79D9"/>
    <w:rsid w:val="000C0336"/>
    <w:rsid w:val="000C034E"/>
    <w:rsid w:val="000C03A9"/>
    <w:rsid w:val="000C06D4"/>
    <w:rsid w:val="000C0EA0"/>
    <w:rsid w:val="000C1673"/>
    <w:rsid w:val="000C5FF5"/>
    <w:rsid w:val="000C6CDF"/>
    <w:rsid w:val="000C6E94"/>
    <w:rsid w:val="000C7099"/>
    <w:rsid w:val="000C7104"/>
    <w:rsid w:val="000C7953"/>
    <w:rsid w:val="000D122C"/>
    <w:rsid w:val="000D18D2"/>
    <w:rsid w:val="000D1A3D"/>
    <w:rsid w:val="000D1C0C"/>
    <w:rsid w:val="000D2250"/>
    <w:rsid w:val="000D2D42"/>
    <w:rsid w:val="000D3F19"/>
    <w:rsid w:val="000D475E"/>
    <w:rsid w:val="000D4B4E"/>
    <w:rsid w:val="000D5563"/>
    <w:rsid w:val="000D55D1"/>
    <w:rsid w:val="000D7063"/>
    <w:rsid w:val="000D70FB"/>
    <w:rsid w:val="000D7952"/>
    <w:rsid w:val="000E0DFB"/>
    <w:rsid w:val="000E101B"/>
    <w:rsid w:val="000E1819"/>
    <w:rsid w:val="000E1FF9"/>
    <w:rsid w:val="000E2037"/>
    <w:rsid w:val="000E2C75"/>
    <w:rsid w:val="000E33F1"/>
    <w:rsid w:val="000E3F82"/>
    <w:rsid w:val="000E4247"/>
    <w:rsid w:val="000E42E6"/>
    <w:rsid w:val="000E553D"/>
    <w:rsid w:val="000E56AC"/>
    <w:rsid w:val="000E5ABA"/>
    <w:rsid w:val="000E6046"/>
    <w:rsid w:val="000E6C72"/>
    <w:rsid w:val="000E6EF9"/>
    <w:rsid w:val="000E747B"/>
    <w:rsid w:val="000E7489"/>
    <w:rsid w:val="000E7D3A"/>
    <w:rsid w:val="000E7E49"/>
    <w:rsid w:val="000F0678"/>
    <w:rsid w:val="000F0790"/>
    <w:rsid w:val="000F0B34"/>
    <w:rsid w:val="000F11B8"/>
    <w:rsid w:val="000F159F"/>
    <w:rsid w:val="000F1B4A"/>
    <w:rsid w:val="000F1CBC"/>
    <w:rsid w:val="000F1D0E"/>
    <w:rsid w:val="000F200B"/>
    <w:rsid w:val="000F2368"/>
    <w:rsid w:val="000F2F01"/>
    <w:rsid w:val="000F3389"/>
    <w:rsid w:val="000F3668"/>
    <w:rsid w:val="000F3737"/>
    <w:rsid w:val="000F39A3"/>
    <w:rsid w:val="000F3B74"/>
    <w:rsid w:val="000F41C4"/>
    <w:rsid w:val="000F44D7"/>
    <w:rsid w:val="000F4D83"/>
    <w:rsid w:val="000F5ECA"/>
    <w:rsid w:val="000F6931"/>
    <w:rsid w:val="000F7D00"/>
    <w:rsid w:val="00100D08"/>
    <w:rsid w:val="00100F4F"/>
    <w:rsid w:val="00101507"/>
    <w:rsid w:val="00101A22"/>
    <w:rsid w:val="00102D44"/>
    <w:rsid w:val="00102DA6"/>
    <w:rsid w:val="00102FC5"/>
    <w:rsid w:val="00103211"/>
    <w:rsid w:val="001038DD"/>
    <w:rsid w:val="0010459F"/>
    <w:rsid w:val="001045DB"/>
    <w:rsid w:val="00104BFE"/>
    <w:rsid w:val="00104DBB"/>
    <w:rsid w:val="0010543E"/>
    <w:rsid w:val="00106E90"/>
    <w:rsid w:val="001078D1"/>
    <w:rsid w:val="00110BBA"/>
    <w:rsid w:val="00111080"/>
    <w:rsid w:val="001127DE"/>
    <w:rsid w:val="00113AFC"/>
    <w:rsid w:val="00113F8B"/>
    <w:rsid w:val="00114018"/>
    <w:rsid w:val="00114156"/>
    <w:rsid w:val="00114519"/>
    <w:rsid w:val="00115170"/>
    <w:rsid w:val="00115880"/>
    <w:rsid w:val="0011611B"/>
    <w:rsid w:val="0011622E"/>
    <w:rsid w:val="00116476"/>
    <w:rsid w:val="00116D0F"/>
    <w:rsid w:val="00116EB2"/>
    <w:rsid w:val="001179D1"/>
    <w:rsid w:val="00120139"/>
    <w:rsid w:val="00120F59"/>
    <w:rsid w:val="001210FC"/>
    <w:rsid w:val="00121FE6"/>
    <w:rsid w:val="0012237C"/>
    <w:rsid w:val="00122F31"/>
    <w:rsid w:val="001232FC"/>
    <w:rsid w:val="00123BE0"/>
    <w:rsid w:val="00123EDC"/>
    <w:rsid w:val="0012401B"/>
    <w:rsid w:val="00124346"/>
    <w:rsid w:val="00124609"/>
    <w:rsid w:val="00125D9A"/>
    <w:rsid w:val="001262A3"/>
    <w:rsid w:val="00126AA0"/>
    <w:rsid w:val="0012717C"/>
    <w:rsid w:val="0012756B"/>
    <w:rsid w:val="00127581"/>
    <w:rsid w:val="00127864"/>
    <w:rsid w:val="0013085E"/>
    <w:rsid w:val="001312EB"/>
    <w:rsid w:val="0013183E"/>
    <w:rsid w:val="00131CA8"/>
    <w:rsid w:val="00133112"/>
    <w:rsid w:val="0013314B"/>
    <w:rsid w:val="00133375"/>
    <w:rsid w:val="00133A81"/>
    <w:rsid w:val="00133EEA"/>
    <w:rsid w:val="001340DE"/>
    <w:rsid w:val="001344D5"/>
    <w:rsid w:val="001348E4"/>
    <w:rsid w:val="00134DBC"/>
    <w:rsid w:val="001361A0"/>
    <w:rsid w:val="00136F94"/>
    <w:rsid w:val="0013799D"/>
    <w:rsid w:val="00137F96"/>
    <w:rsid w:val="00140016"/>
    <w:rsid w:val="0014053C"/>
    <w:rsid w:val="0014067B"/>
    <w:rsid w:val="00140CDF"/>
    <w:rsid w:val="00141800"/>
    <w:rsid w:val="00141D8E"/>
    <w:rsid w:val="00142333"/>
    <w:rsid w:val="00142757"/>
    <w:rsid w:val="0014295F"/>
    <w:rsid w:val="001430EA"/>
    <w:rsid w:val="00143324"/>
    <w:rsid w:val="00143500"/>
    <w:rsid w:val="001444A3"/>
    <w:rsid w:val="001458F6"/>
    <w:rsid w:val="00145E9A"/>
    <w:rsid w:val="00145F50"/>
    <w:rsid w:val="001464E3"/>
    <w:rsid w:val="001468C6"/>
    <w:rsid w:val="00146E7C"/>
    <w:rsid w:val="00147CA5"/>
    <w:rsid w:val="00147F0A"/>
    <w:rsid w:val="0015071F"/>
    <w:rsid w:val="00150E05"/>
    <w:rsid w:val="001523AD"/>
    <w:rsid w:val="00152E0C"/>
    <w:rsid w:val="0015350A"/>
    <w:rsid w:val="0015384E"/>
    <w:rsid w:val="001546C9"/>
    <w:rsid w:val="00154B91"/>
    <w:rsid w:val="00155335"/>
    <w:rsid w:val="00156173"/>
    <w:rsid w:val="00156AF4"/>
    <w:rsid w:val="00156E19"/>
    <w:rsid w:val="001573E4"/>
    <w:rsid w:val="00157CE7"/>
    <w:rsid w:val="00160756"/>
    <w:rsid w:val="001610E4"/>
    <w:rsid w:val="00161990"/>
    <w:rsid w:val="001623B6"/>
    <w:rsid w:val="00162D7D"/>
    <w:rsid w:val="00163D94"/>
    <w:rsid w:val="00163EB1"/>
    <w:rsid w:val="00163ED2"/>
    <w:rsid w:val="00164FC3"/>
    <w:rsid w:val="00165256"/>
    <w:rsid w:val="0016574A"/>
    <w:rsid w:val="001658B7"/>
    <w:rsid w:val="00165946"/>
    <w:rsid w:val="00165995"/>
    <w:rsid w:val="00166C75"/>
    <w:rsid w:val="001674FC"/>
    <w:rsid w:val="00171134"/>
    <w:rsid w:val="00171B19"/>
    <w:rsid w:val="00172252"/>
    <w:rsid w:val="0017232E"/>
    <w:rsid w:val="00172C11"/>
    <w:rsid w:val="00172FF0"/>
    <w:rsid w:val="001738B9"/>
    <w:rsid w:val="00173BE1"/>
    <w:rsid w:val="00174102"/>
    <w:rsid w:val="00174D00"/>
    <w:rsid w:val="00175143"/>
    <w:rsid w:val="00175F61"/>
    <w:rsid w:val="00176061"/>
    <w:rsid w:val="0017656A"/>
    <w:rsid w:val="00176E42"/>
    <w:rsid w:val="00176E71"/>
    <w:rsid w:val="001770E3"/>
    <w:rsid w:val="00177F87"/>
    <w:rsid w:val="00180157"/>
    <w:rsid w:val="00181068"/>
    <w:rsid w:val="001810D2"/>
    <w:rsid w:val="00181223"/>
    <w:rsid w:val="00181ADF"/>
    <w:rsid w:val="00181FCE"/>
    <w:rsid w:val="001828CB"/>
    <w:rsid w:val="00183449"/>
    <w:rsid w:val="00183979"/>
    <w:rsid w:val="00183D49"/>
    <w:rsid w:val="00183DEE"/>
    <w:rsid w:val="0018415F"/>
    <w:rsid w:val="001842BA"/>
    <w:rsid w:val="001845ED"/>
    <w:rsid w:val="00184D54"/>
    <w:rsid w:val="00185069"/>
    <w:rsid w:val="00185158"/>
    <w:rsid w:val="0018536C"/>
    <w:rsid w:val="00186AE4"/>
    <w:rsid w:val="00186D37"/>
    <w:rsid w:val="00186F77"/>
    <w:rsid w:val="0018704E"/>
    <w:rsid w:val="00187F36"/>
    <w:rsid w:val="00190F20"/>
    <w:rsid w:val="00191D49"/>
    <w:rsid w:val="00191EC8"/>
    <w:rsid w:val="001923DB"/>
    <w:rsid w:val="001926A4"/>
    <w:rsid w:val="001929D1"/>
    <w:rsid w:val="00192A88"/>
    <w:rsid w:val="00193ABC"/>
    <w:rsid w:val="00193FE8"/>
    <w:rsid w:val="001949F6"/>
    <w:rsid w:val="0019503D"/>
    <w:rsid w:val="001953BD"/>
    <w:rsid w:val="001957F2"/>
    <w:rsid w:val="00195A25"/>
    <w:rsid w:val="00196558"/>
    <w:rsid w:val="001974AD"/>
    <w:rsid w:val="0019751B"/>
    <w:rsid w:val="00197A19"/>
    <w:rsid w:val="00197CDD"/>
    <w:rsid w:val="001A0D5A"/>
    <w:rsid w:val="001A0DC8"/>
    <w:rsid w:val="001A1518"/>
    <w:rsid w:val="001A28A0"/>
    <w:rsid w:val="001A2A01"/>
    <w:rsid w:val="001A2AEB"/>
    <w:rsid w:val="001A325C"/>
    <w:rsid w:val="001A357F"/>
    <w:rsid w:val="001A3A19"/>
    <w:rsid w:val="001A4FDA"/>
    <w:rsid w:val="001A564B"/>
    <w:rsid w:val="001A5BB2"/>
    <w:rsid w:val="001A6AF7"/>
    <w:rsid w:val="001A70ED"/>
    <w:rsid w:val="001A7CA3"/>
    <w:rsid w:val="001A7E58"/>
    <w:rsid w:val="001B029E"/>
    <w:rsid w:val="001B04E6"/>
    <w:rsid w:val="001B0E88"/>
    <w:rsid w:val="001B0FFD"/>
    <w:rsid w:val="001B121A"/>
    <w:rsid w:val="001B1C8B"/>
    <w:rsid w:val="001B1EEE"/>
    <w:rsid w:val="001B1EFF"/>
    <w:rsid w:val="001B1FB9"/>
    <w:rsid w:val="001B202F"/>
    <w:rsid w:val="001B2363"/>
    <w:rsid w:val="001B246B"/>
    <w:rsid w:val="001B2832"/>
    <w:rsid w:val="001B2BC8"/>
    <w:rsid w:val="001B3957"/>
    <w:rsid w:val="001B3DF0"/>
    <w:rsid w:val="001B40E0"/>
    <w:rsid w:val="001B45A0"/>
    <w:rsid w:val="001B479A"/>
    <w:rsid w:val="001B4929"/>
    <w:rsid w:val="001B4A55"/>
    <w:rsid w:val="001B4CC2"/>
    <w:rsid w:val="001B5A95"/>
    <w:rsid w:val="001B5D0B"/>
    <w:rsid w:val="001B6328"/>
    <w:rsid w:val="001B646A"/>
    <w:rsid w:val="001B665D"/>
    <w:rsid w:val="001B78B9"/>
    <w:rsid w:val="001B7911"/>
    <w:rsid w:val="001B7D0B"/>
    <w:rsid w:val="001C081F"/>
    <w:rsid w:val="001C18EE"/>
    <w:rsid w:val="001C21BA"/>
    <w:rsid w:val="001C299E"/>
    <w:rsid w:val="001C3288"/>
    <w:rsid w:val="001C365C"/>
    <w:rsid w:val="001C42D6"/>
    <w:rsid w:val="001C58C2"/>
    <w:rsid w:val="001C5D43"/>
    <w:rsid w:val="001C6EE4"/>
    <w:rsid w:val="001C72BA"/>
    <w:rsid w:val="001C7AAC"/>
    <w:rsid w:val="001C7D2D"/>
    <w:rsid w:val="001D055E"/>
    <w:rsid w:val="001D0918"/>
    <w:rsid w:val="001D1362"/>
    <w:rsid w:val="001D14E9"/>
    <w:rsid w:val="001D1CB7"/>
    <w:rsid w:val="001D1D92"/>
    <w:rsid w:val="001D1EDD"/>
    <w:rsid w:val="001D2C8C"/>
    <w:rsid w:val="001D30CF"/>
    <w:rsid w:val="001D3360"/>
    <w:rsid w:val="001D3A8C"/>
    <w:rsid w:val="001D4493"/>
    <w:rsid w:val="001D54A5"/>
    <w:rsid w:val="001D5661"/>
    <w:rsid w:val="001D5A8D"/>
    <w:rsid w:val="001D5D59"/>
    <w:rsid w:val="001D5DB6"/>
    <w:rsid w:val="001D6456"/>
    <w:rsid w:val="001D6D65"/>
    <w:rsid w:val="001D7024"/>
    <w:rsid w:val="001D7115"/>
    <w:rsid w:val="001D7597"/>
    <w:rsid w:val="001E0155"/>
    <w:rsid w:val="001E0A9A"/>
    <w:rsid w:val="001E0E71"/>
    <w:rsid w:val="001E0F05"/>
    <w:rsid w:val="001E0F5F"/>
    <w:rsid w:val="001E195C"/>
    <w:rsid w:val="001E26A2"/>
    <w:rsid w:val="001E2CAC"/>
    <w:rsid w:val="001E2CAF"/>
    <w:rsid w:val="001E3501"/>
    <w:rsid w:val="001E3603"/>
    <w:rsid w:val="001E37A0"/>
    <w:rsid w:val="001E3CF5"/>
    <w:rsid w:val="001E418B"/>
    <w:rsid w:val="001E48D1"/>
    <w:rsid w:val="001E50F3"/>
    <w:rsid w:val="001E56FE"/>
    <w:rsid w:val="001E5886"/>
    <w:rsid w:val="001E5ECD"/>
    <w:rsid w:val="001E6FEC"/>
    <w:rsid w:val="001E7E26"/>
    <w:rsid w:val="001F042C"/>
    <w:rsid w:val="001F0C87"/>
    <w:rsid w:val="001F1074"/>
    <w:rsid w:val="001F18DA"/>
    <w:rsid w:val="001F1C32"/>
    <w:rsid w:val="001F2297"/>
    <w:rsid w:val="001F2B7C"/>
    <w:rsid w:val="001F3387"/>
    <w:rsid w:val="001F492E"/>
    <w:rsid w:val="001F4CE7"/>
    <w:rsid w:val="001F4D47"/>
    <w:rsid w:val="001F51FE"/>
    <w:rsid w:val="001F6118"/>
    <w:rsid w:val="001F6C02"/>
    <w:rsid w:val="001F6D7D"/>
    <w:rsid w:val="001F6DA3"/>
    <w:rsid w:val="001F7043"/>
    <w:rsid w:val="001F73AE"/>
    <w:rsid w:val="001F7740"/>
    <w:rsid w:val="001F7891"/>
    <w:rsid w:val="00200242"/>
    <w:rsid w:val="002004E9"/>
    <w:rsid w:val="00200D49"/>
    <w:rsid w:val="0020154E"/>
    <w:rsid w:val="00202112"/>
    <w:rsid w:val="00202598"/>
    <w:rsid w:val="002027C6"/>
    <w:rsid w:val="00202A84"/>
    <w:rsid w:val="00203810"/>
    <w:rsid w:val="00204351"/>
    <w:rsid w:val="0020451A"/>
    <w:rsid w:val="00204FCB"/>
    <w:rsid w:val="00205AA9"/>
    <w:rsid w:val="0020608B"/>
    <w:rsid w:val="002060FC"/>
    <w:rsid w:val="002062F6"/>
    <w:rsid w:val="00206A04"/>
    <w:rsid w:val="00207691"/>
    <w:rsid w:val="002077F2"/>
    <w:rsid w:val="00207C38"/>
    <w:rsid w:val="00207EDD"/>
    <w:rsid w:val="0021073B"/>
    <w:rsid w:val="00210930"/>
    <w:rsid w:val="00211414"/>
    <w:rsid w:val="00212284"/>
    <w:rsid w:val="00212737"/>
    <w:rsid w:val="00214A5A"/>
    <w:rsid w:val="00214CA5"/>
    <w:rsid w:val="00215DD1"/>
    <w:rsid w:val="0021627B"/>
    <w:rsid w:val="002164A6"/>
    <w:rsid w:val="00216761"/>
    <w:rsid w:val="00216BB0"/>
    <w:rsid w:val="00216C0D"/>
    <w:rsid w:val="00216C37"/>
    <w:rsid w:val="00217215"/>
    <w:rsid w:val="002174CB"/>
    <w:rsid w:val="002201D6"/>
    <w:rsid w:val="0022116F"/>
    <w:rsid w:val="00221249"/>
    <w:rsid w:val="00222287"/>
    <w:rsid w:val="002233B2"/>
    <w:rsid w:val="002238D1"/>
    <w:rsid w:val="00223C40"/>
    <w:rsid w:val="00223C69"/>
    <w:rsid w:val="002243F9"/>
    <w:rsid w:val="00224635"/>
    <w:rsid w:val="00224A21"/>
    <w:rsid w:val="00224CC4"/>
    <w:rsid w:val="00224DB9"/>
    <w:rsid w:val="00225BD1"/>
    <w:rsid w:val="00225BF4"/>
    <w:rsid w:val="00225F11"/>
    <w:rsid w:val="002274EE"/>
    <w:rsid w:val="00227AE2"/>
    <w:rsid w:val="00227BC7"/>
    <w:rsid w:val="0023045B"/>
    <w:rsid w:val="0023057A"/>
    <w:rsid w:val="00230C28"/>
    <w:rsid w:val="0023133C"/>
    <w:rsid w:val="002318E1"/>
    <w:rsid w:val="0023198D"/>
    <w:rsid w:val="00231A8F"/>
    <w:rsid w:val="00231FED"/>
    <w:rsid w:val="002326E3"/>
    <w:rsid w:val="00232A07"/>
    <w:rsid w:val="002330DE"/>
    <w:rsid w:val="002333BB"/>
    <w:rsid w:val="002338FD"/>
    <w:rsid w:val="00233BA0"/>
    <w:rsid w:val="002342D8"/>
    <w:rsid w:val="002343C6"/>
    <w:rsid w:val="00234681"/>
    <w:rsid w:val="00235868"/>
    <w:rsid w:val="00235E7B"/>
    <w:rsid w:val="00236948"/>
    <w:rsid w:val="00236DCB"/>
    <w:rsid w:val="0023774C"/>
    <w:rsid w:val="00240051"/>
    <w:rsid w:val="0024171E"/>
    <w:rsid w:val="00244A3D"/>
    <w:rsid w:val="00245DB8"/>
    <w:rsid w:val="00246981"/>
    <w:rsid w:val="0024704C"/>
    <w:rsid w:val="002473DF"/>
    <w:rsid w:val="0024791E"/>
    <w:rsid w:val="0025119F"/>
    <w:rsid w:val="00251247"/>
    <w:rsid w:val="002512EF"/>
    <w:rsid w:val="00251745"/>
    <w:rsid w:val="00251EDC"/>
    <w:rsid w:val="002520F2"/>
    <w:rsid w:val="00252202"/>
    <w:rsid w:val="0025233F"/>
    <w:rsid w:val="00252937"/>
    <w:rsid w:val="00252D1A"/>
    <w:rsid w:val="00252FF4"/>
    <w:rsid w:val="00253119"/>
    <w:rsid w:val="00253BFE"/>
    <w:rsid w:val="00254E21"/>
    <w:rsid w:val="00255566"/>
    <w:rsid w:val="00255CC4"/>
    <w:rsid w:val="00257259"/>
    <w:rsid w:val="00257BD8"/>
    <w:rsid w:val="002601B9"/>
    <w:rsid w:val="00262205"/>
    <w:rsid w:val="002624BD"/>
    <w:rsid w:val="00263AC0"/>
    <w:rsid w:val="00265E8B"/>
    <w:rsid w:val="00266685"/>
    <w:rsid w:val="00266A07"/>
    <w:rsid w:val="00266B3D"/>
    <w:rsid w:val="00266E4F"/>
    <w:rsid w:val="00267352"/>
    <w:rsid w:val="002675AD"/>
    <w:rsid w:val="0026772D"/>
    <w:rsid w:val="0026777E"/>
    <w:rsid w:val="00267CB6"/>
    <w:rsid w:val="00270DE9"/>
    <w:rsid w:val="00271225"/>
    <w:rsid w:val="00271E97"/>
    <w:rsid w:val="0027218B"/>
    <w:rsid w:val="002728E0"/>
    <w:rsid w:val="00273142"/>
    <w:rsid w:val="002732ED"/>
    <w:rsid w:val="00273A18"/>
    <w:rsid w:val="002742F2"/>
    <w:rsid w:val="00274872"/>
    <w:rsid w:val="00274ED1"/>
    <w:rsid w:val="002751DD"/>
    <w:rsid w:val="0027571D"/>
    <w:rsid w:val="00277542"/>
    <w:rsid w:val="002812F1"/>
    <w:rsid w:val="0028165D"/>
    <w:rsid w:val="00281817"/>
    <w:rsid w:val="002819FA"/>
    <w:rsid w:val="00281DEF"/>
    <w:rsid w:val="0028269A"/>
    <w:rsid w:val="00282E21"/>
    <w:rsid w:val="00282F60"/>
    <w:rsid w:val="002831E2"/>
    <w:rsid w:val="00283B25"/>
    <w:rsid w:val="0028408A"/>
    <w:rsid w:val="002842A0"/>
    <w:rsid w:val="002844B9"/>
    <w:rsid w:val="002845E0"/>
    <w:rsid w:val="00284FC6"/>
    <w:rsid w:val="00285057"/>
    <w:rsid w:val="002857B6"/>
    <w:rsid w:val="00285C68"/>
    <w:rsid w:val="00286874"/>
    <w:rsid w:val="002903B2"/>
    <w:rsid w:val="00290A1E"/>
    <w:rsid w:val="00290BF8"/>
    <w:rsid w:val="00291315"/>
    <w:rsid w:val="00291769"/>
    <w:rsid w:val="00292172"/>
    <w:rsid w:val="00292194"/>
    <w:rsid w:val="002925D0"/>
    <w:rsid w:val="00292889"/>
    <w:rsid w:val="0029317C"/>
    <w:rsid w:val="002943A1"/>
    <w:rsid w:val="002946F6"/>
    <w:rsid w:val="00294D1C"/>
    <w:rsid w:val="0029528D"/>
    <w:rsid w:val="00295FD4"/>
    <w:rsid w:val="002964FD"/>
    <w:rsid w:val="00296B65"/>
    <w:rsid w:val="00296C87"/>
    <w:rsid w:val="00296C94"/>
    <w:rsid w:val="00297104"/>
    <w:rsid w:val="00297FAD"/>
    <w:rsid w:val="002A002A"/>
    <w:rsid w:val="002A0166"/>
    <w:rsid w:val="002A054E"/>
    <w:rsid w:val="002A0595"/>
    <w:rsid w:val="002A05F9"/>
    <w:rsid w:val="002A1186"/>
    <w:rsid w:val="002A3034"/>
    <w:rsid w:val="002A482E"/>
    <w:rsid w:val="002A4E88"/>
    <w:rsid w:val="002A554A"/>
    <w:rsid w:val="002A5584"/>
    <w:rsid w:val="002A6044"/>
    <w:rsid w:val="002A6C4B"/>
    <w:rsid w:val="002A6CA6"/>
    <w:rsid w:val="002A6E03"/>
    <w:rsid w:val="002A75ED"/>
    <w:rsid w:val="002A7B40"/>
    <w:rsid w:val="002A7DEF"/>
    <w:rsid w:val="002B068E"/>
    <w:rsid w:val="002B148D"/>
    <w:rsid w:val="002B1557"/>
    <w:rsid w:val="002B1658"/>
    <w:rsid w:val="002B22FC"/>
    <w:rsid w:val="002B28FA"/>
    <w:rsid w:val="002B2B44"/>
    <w:rsid w:val="002B2B8F"/>
    <w:rsid w:val="002B3462"/>
    <w:rsid w:val="002B3941"/>
    <w:rsid w:val="002B3C62"/>
    <w:rsid w:val="002B4E4C"/>
    <w:rsid w:val="002B4FF4"/>
    <w:rsid w:val="002B5798"/>
    <w:rsid w:val="002B57E0"/>
    <w:rsid w:val="002B5A8E"/>
    <w:rsid w:val="002B5AE1"/>
    <w:rsid w:val="002B5CCD"/>
    <w:rsid w:val="002B7F61"/>
    <w:rsid w:val="002C05DD"/>
    <w:rsid w:val="002C0677"/>
    <w:rsid w:val="002C0AD5"/>
    <w:rsid w:val="002C1122"/>
    <w:rsid w:val="002C1865"/>
    <w:rsid w:val="002C2665"/>
    <w:rsid w:val="002C307B"/>
    <w:rsid w:val="002C343B"/>
    <w:rsid w:val="002C359D"/>
    <w:rsid w:val="002C36B6"/>
    <w:rsid w:val="002C38B0"/>
    <w:rsid w:val="002C40D2"/>
    <w:rsid w:val="002C490F"/>
    <w:rsid w:val="002C5069"/>
    <w:rsid w:val="002C5F6D"/>
    <w:rsid w:val="002C5FBA"/>
    <w:rsid w:val="002C7BAD"/>
    <w:rsid w:val="002D0344"/>
    <w:rsid w:val="002D07AB"/>
    <w:rsid w:val="002D19F7"/>
    <w:rsid w:val="002D2774"/>
    <w:rsid w:val="002D344E"/>
    <w:rsid w:val="002D43B4"/>
    <w:rsid w:val="002D44AC"/>
    <w:rsid w:val="002D4D3D"/>
    <w:rsid w:val="002D50D3"/>
    <w:rsid w:val="002D58C6"/>
    <w:rsid w:val="002D5F47"/>
    <w:rsid w:val="002D6BF9"/>
    <w:rsid w:val="002D7010"/>
    <w:rsid w:val="002D722C"/>
    <w:rsid w:val="002D768A"/>
    <w:rsid w:val="002E036F"/>
    <w:rsid w:val="002E0D37"/>
    <w:rsid w:val="002E0F76"/>
    <w:rsid w:val="002E253F"/>
    <w:rsid w:val="002E306C"/>
    <w:rsid w:val="002E316C"/>
    <w:rsid w:val="002E3BF2"/>
    <w:rsid w:val="002E47D9"/>
    <w:rsid w:val="002E4D6E"/>
    <w:rsid w:val="002E5D19"/>
    <w:rsid w:val="002E5F8B"/>
    <w:rsid w:val="002E6C3C"/>
    <w:rsid w:val="002E6E21"/>
    <w:rsid w:val="002E7252"/>
    <w:rsid w:val="002E728C"/>
    <w:rsid w:val="002E765E"/>
    <w:rsid w:val="002E7CC6"/>
    <w:rsid w:val="002E7F1C"/>
    <w:rsid w:val="002F10B6"/>
    <w:rsid w:val="002F1506"/>
    <w:rsid w:val="002F1ABE"/>
    <w:rsid w:val="002F1D48"/>
    <w:rsid w:val="002F1E64"/>
    <w:rsid w:val="002F2259"/>
    <w:rsid w:val="002F2525"/>
    <w:rsid w:val="002F2664"/>
    <w:rsid w:val="002F2D97"/>
    <w:rsid w:val="002F2FFC"/>
    <w:rsid w:val="002F5262"/>
    <w:rsid w:val="002F5782"/>
    <w:rsid w:val="002F58A7"/>
    <w:rsid w:val="002F58CD"/>
    <w:rsid w:val="002F5C7B"/>
    <w:rsid w:val="002F61E9"/>
    <w:rsid w:val="002F7830"/>
    <w:rsid w:val="002F786F"/>
    <w:rsid w:val="002F7986"/>
    <w:rsid w:val="002F7CB7"/>
    <w:rsid w:val="002F7E7A"/>
    <w:rsid w:val="0030080E"/>
    <w:rsid w:val="00300CDE"/>
    <w:rsid w:val="0030195A"/>
    <w:rsid w:val="00301AB1"/>
    <w:rsid w:val="00301C9C"/>
    <w:rsid w:val="00301EBD"/>
    <w:rsid w:val="0030265D"/>
    <w:rsid w:val="0030267F"/>
    <w:rsid w:val="00302C1B"/>
    <w:rsid w:val="00302FD4"/>
    <w:rsid w:val="00303179"/>
    <w:rsid w:val="00303346"/>
    <w:rsid w:val="00303931"/>
    <w:rsid w:val="00303C4A"/>
    <w:rsid w:val="00304DED"/>
    <w:rsid w:val="0030502E"/>
    <w:rsid w:val="003056DD"/>
    <w:rsid w:val="00305BA2"/>
    <w:rsid w:val="0030614C"/>
    <w:rsid w:val="00306722"/>
    <w:rsid w:val="00307F6D"/>
    <w:rsid w:val="00310018"/>
    <w:rsid w:val="0031025F"/>
    <w:rsid w:val="003108EA"/>
    <w:rsid w:val="0031096E"/>
    <w:rsid w:val="00310B86"/>
    <w:rsid w:val="00311457"/>
    <w:rsid w:val="00311720"/>
    <w:rsid w:val="00311D71"/>
    <w:rsid w:val="003123C3"/>
    <w:rsid w:val="00312F9A"/>
    <w:rsid w:val="003137CF"/>
    <w:rsid w:val="003144F1"/>
    <w:rsid w:val="003146D1"/>
    <w:rsid w:val="00314726"/>
    <w:rsid w:val="00314A33"/>
    <w:rsid w:val="00314FD6"/>
    <w:rsid w:val="0031530C"/>
    <w:rsid w:val="00315965"/>
    <w:rsid w:val="0031615F"/>
    <w:rsid w:val="0031709C"/>
    <w:rsid w:val="003170CB"/>
    <w:rsid w:val="003177A2"/>
    <w:rsid w:val="0032003B"/>
    <w:rsid w:val="003203B7"/>
    <w:rsid w:val="0032080F"/>
    <w:rsid w:val="00320C7C"/>
    <w:rsid w:val="0032121A"/>
    <w:rsid w:val="003213E5"/>
    <w:rsid w:val="00321D8A"/>
    <w:rsid w:val="003222A7"/>
    <w:rsid w:val="00322F54"/>
    <w:rsid w:val="00323D50"/>
    <w:rsid w:val="003244BD"/>
    <w:rsid w:val="00325E3E"/>
    <w:rsid w:val="0032619C"/>
    <w:rsid w:val="003269E9"/>
    <w:rsid w:val="00327169"/>
    <w:rsid w:val="003271B5"/>
    <w:rsid w:val="003301BA"/>
    <w:rsid w:val="003309F7"/>
    <w:rsid w:val="00330CA0"/>
    <w:rsid w:val="00331264"/>
    <w:rsid w:val="00332CCD"/>
    <w:rsid w:val="00332EC3"/>
    <w:rsid w:val="003337DB"/>
    <w:rsid w:val="00334148"/>
    <w:rsid w:val="00334AC0"/>
    <w:rsid w:val="00334C8D"/>
    <w:rsid w:val="00334DF0"/>
    <w:rsid w:val="00334F5D"/>
    <w:rsid w:val="00335023"/>
    <w:rsid w:val="00335851"/>
    <w:rsid w:val="003361CA"/>
    <w:rsid w:val="0033680E"/>
    <w:rsid w:val="003369AB"/>
    <w:rsid w:val="00340054"/>
    <w:rsid w:val="00340655"/>
    <w:rsid w:val="00341B1B"/>
    <w:rsid w:val="00341BCE"/>
    <w:rsid w:val="00341DC1"/>
    <w:rsid w:val="00342BCF"/>
    <w:rsid w:val="00342FF7"/>
    <w:rsid w:val="00344B1E"/>
    <w:rsid w:val="0034509F"/>
    <w:rsid w:val="00345947"/>
    <w:rsid w:val="003459E6"/>
    <w:rsid w:val="00345C15"/>
    <w:rsid w:val="00345D60"/>
    <w:rsid w:val="00346172"/>
    <w:rsid w:val="0034678E"/>
    <w:rsid w:val="00346984"/>
    <w:rsid w:val="00346CE0"/>
    <w:rsid w:val="00347912"/>
    <w:rsid w:val="00347D66"/>
    <w:rsid w:val="0035167C"/>
    <w:rsid w:val="0035182B"/>
    <w:rsid w:val="003518B3"/>
    <w:rsid w:val="00352BFC"/>
    <w:rsid w:val="0035328F"/>
    <w:rsid w:val="003535F9"/>
    <w:rsid w:val="0035392B"/>
    <w:rsid w:val="00353AE4"/>
    <w:rsid w:val="00353E9C"/>
    <w:rsid w:val="00355A36"/>
    <w:rsid w:val="00355E67"/>
    <w:rsid w:val="003565EB"/>
    <w:rsid w:val="003575AD"/>
    <w:rsid w:val="00357A52"/>
    <w:rsid w:val="00360192"/>
    <w:rsid w:val="00361292"/>
    <w:rsid w:val="00361CD7"/>
    <w:rsid w:val="00361E2D"/>
    <w:rsid w:val="00363D62"/>
    <w:rsid w:val="00363E09"/>
    <w:rsid w:val="00363E86"/>
    <w:rsid w:val="00364800"/>
    <w:rsid w:val="00364C1C"/>
    <w:rsid w:val="00364CD9"/>
    <w:rsid w:val="00364E28"/>
    <w:rsid w:val="0036545B"/>
    <w:rsid w:val="0036546E"/>
    <w:rsid w:val="0036623A"/>
    <w:rsid w:val="003665B2"/>
    <w:rsid w:val="00366609"/>
    <w:rsid w:val="00366A48"/>
    <w:rsid w:val="003671D8"/>
    <w:rsid w:val="00367E2F"/>
    <w:rsid w:val="00367FCF"/>
    <w:rsid w:val="0037001B"/>
    <w:rsid w:val="00370190"/>
    <w:rsid w:val="00370A2C"/>
    <w:rsid w:val="0037107D"/>
    <w:rsid w:val="00371641"/>
    <w:rsid w:val="00371667"/>
    <w:rsid w:val="00371668"/>
    <w:rsid w:val="0037225B"/>
    <w:rsid w:val="0037230D"/>
    <w:rsid w:val="003723A1"/>
    <w:rsid w:val="00372B00"/>
    <w:rsid w:val="003741F5"/>
    <w:rsid w:val="003742D5"/>
    <w:rsid w:val="0037443D"/>
    <w:rsid w:val="003748AA"/>
    <w:rsid w:val="003748E8"/>
    <w:rsid w:val="0037499E"/>
    <w:rsid w:val="00374CB9"/>
    <w:rsid w:val="00375317"/>
    <w:rsid w:val="00375698"/>
    <w:rsid w:val="00376782"/>
    <w:rsid w:val="00377596"/>
    <w:rsid w:val="003779D2"/>
    <w:rsid w:val="00377C16"/>
    <w:rsid w:val="003803E5"/>
    <w:rsid w:val="00380513"/>
    <w:rsid w:val="0038072F"/>
    <w:rsid w:val="00380924"/>
    <w:rsid w:val="003829A6"/>
    <w:rsid w:val="00382B13"/>
    <w:rsid w:val="003832FF"/>
    <w:rsid w:val="00384195"/>
    <w:rsid w:val="003846F1"/>
    <w:rsid w:val="00384907"/>
    <w:rsid w:val="003854D5"/>
    <w:rsid w:val="00387C35"/>
    <w:rsid w:val="003901CE"/>
    <w:rsid w:val="003907AD"/>
    <w:rsid w:val="003913A9"/>
    <w:rsid w:val="00391C4A"/>
    <w:rsid w:val="00392625"/>
    <w:rsid w:val="00392745"/>
    <w:rsid w:val="00392ECD"/>
    <w:rsid w:val="00393315"/>
    <w:rsid w:val="003933E1"/>
    <w:rsid w:val="00393BBA"/>
    <w:rsid w:val="003941D0"/>
    <w:rsid w:val="00394200"/>
    <w:rsid w:val="00394AD4"/>
    <w:rsid w:val="0039506A"/>
    <w:rsid w:val="00395384"/>
    <w:rsid w:val="00395710"/>
    <w:rsid w:val="00396BB0"/>
    <w:rsid w:val="0039741D"/>
    <w:rsid w:val="003A004C"/>
    <w:rsid w:val="003A00A7"/>
    <w:rsid w:val="003A06FD"/>
    <w:rsid w:val="003A2402"/>
    <w:rsid w:val="003A2CC5"/>
    <w:rsid w:val="003A2E24"/>
    <w:rsid w:val="003A52F2"/>
    <w:rsid w:val="003A55D6"/>
    <w:rsid w:val="003A5E02"/>
    <w:rsid w:val="003A644F"/>
    <w:rsid w:val="003A673F"/>
    <w:rsid w:val="003A677C"/>
    <w:rsid w:val="003A797C"/>
    <w:rsid w:val="003A7B12"/>
    <w:rsid w:val="003A7E11"/>
    <w:rsid w:val="003B0C0B"/>
    <w:rsid w:val="003B0C60"/>
    <w:rsid w:val="003B2B8A"/>
    <w:rsid w:val="003B3004"/>
    <w:rsid w:val="003B3703"/>
    <w:rsid w:val="003B3B7E"/>
    <w:rsid w:val="003B41ED"/>
    <w:rsid w:val="003B4FAD"/>
    <w:rsid w:val="003B5A70"/>
    <w:rsid w:val="003B6791"/>
    <w:rsid w:val="003B72C3"/>
    <w:rsid w:val="003B72CE"/>
    <w:rsid w:val="003C0639"/>
    <w:rsid w:val="003C1493"/>
    <w:rsid w:val="003C15B1"/>
    <w:rsid w:val="003C195C"/>
    <w:rsid w:val="003C1E62"/>
    <w:rsid w:val="003C2245"/>
    <w:rsid w:val="003C2934"/>
    <w:rsid w:val="003C3171"/>
    <w:rsid w:val="003C3C7C"/>
    <w:rsid w:val="003C3D5F"/>
    <w:rsid w:val="003C4532"/>
    <w:rsid w:val="003C5831"/>
    <w:rsid w:val="003C62AA"/>
    <w:rsid w:val="003C71A0"/>
    <w:rsid w:val="003C742E"/>
    <w:rsid w:val="003D0257"/>
    <w:rsid w:val="003D0F63"/>
    <w:rsid w:val="003D11B4"/>
    <w:rsid w:val="003D16D9"/>
    <w:rsid w:val="003D1ED0"/>
    <w:rsid w:val="003D2906"/>
    <w:rsid w:val="003D2B2A"/>
    <w:rsid w:val="003D305B"/>
    <w:rsid w:val="003D3333"/>
    <w:rsid w:val="003D46C6"/>
    <w:rsid w:val="003D4EC0"/>
    <w:rsid w:val="003D56A5"/>
    <w:rsid w:val="003D57A7"/>
    <w:rsid w:val="003D6127"/>
    <w:rsid w:val="003D7037"/>
    <w:rsid w:val="003D722D"/>
    <w:rsid w:val="003E05D1"/>
    <w:rsid w:val="003E11DC"/>
    <w:rsid w:val="003E12EF"/>
    <w:rsid w:val="003E142D"/>
    <w:rsid w:val="003E1480"/>
    <w:rsid w:val="003E17F8"/>
    <w:rsid w:val="003E1919"/>
    <w:rsid w:val="003E1B39"/>
    <w:rsid w:val="003E3A47"/>
    <w:rsid w:val="003E4EC2"/>
    <w:rsid w:val="003E687C"/>
    <w:rsid w:val="003E71AF"/>
    <w:rsid w:val="003E7B01"/>
    <w:rsid w:val="003F03BD"/>
    <w:rsid w:val="003F1400"/>
    <w:rsid w:val="003F1C76"/>
    <w:rsid w:val="003F1CDF"/>
    <w:rsid w:val="003F210B"/>
    <w:rsid w:val="003F27F3"/>
    <w:rsid w:val="003F2812"/>
    <w:rsid w:val="003F39B8"/>
    <w:rsid w:val="003F3D90"/>
    <w:rsid w:val="003F3F77"/>
    <w:rsid w:val="003F411C"/>
    <w:rsid w:val="003F472E"/>
    <w:rsid w:val="003F4B7B"/>
    <w:rsid w:val="003F61C7"/>
    <w:rsid w:val="003F6808"/>
    <w:rsid w:val="003F6C47"/>
    <w:rsid w:val="003F6DAB"/>
    <w:rsid w:val="003F752D"/>
    <w:rsid w:val="003F7A01"/>
    <w:rsid w:val="003F7F7C"/>
    <w:rsid w:val="0040028C"/>
    <w:rsid w:val="00400721"/>
    <w:rsid w:val="00400F52"/>
    <w:rsid w:val="00401A0B"/>
    <w:rsid w:val="00401CF1"/>
    <w:rsid w:val="00401E60"/>
    <w:rsid w:val="004027A1"/>
    <w:rsid w:val="0040343B"/>
    <w:rsid w:val="00403B83"/>
    <w:rsid w:val="00403D1B"/>
    <w:rsid w:val="00403DF4"/>
    <w:rsid w:val="00403F7E"/>
    <w:rsid w:val="00405AA8"/>
    <w:rsid w:val="00405E8F"/>
    <w:rsid w:val="00406238"/>
    <w:rsid w:val="0040681B"/>
    <w:rsid w:val="00406E12"/>
    <w:rsid w:val="00406F8C"/>
    <w:rsid w:val="00411330"/>
    <w:rsid w:val="004131D7"/>
    <w:rsid w:val="00414215"/>
    <w:rsid w:val="00414A0D"/>
    <w:rsid w:val="00414EB7"/>
    <w:rsid w:val="00415618"/>
    <w:rsid w:val="0041638D"/>
    <w:rsid w:val="00416421"/>
    <w:rsid w:val="004164C6"/>
    <w:rsid w:val="004171E1"/>
    <w:rsid w:val="00417EB4"/>
    <w:rsid w:val="00417FE4"/>
    <w:rsid w:val="004208C7"/>
    <w:rsid w:val="00420AA7"/>
    <w:rsid w:val="00420AAA"/>
    <w:rsid w:val="00420B15"/>
    <w:rsid w:val="00420CC8"/>
    <w:rsid w:val="00421837"/>
    <w:rsid w:val="00422084"/>
    <w:rsid w:val="00422513"/>
    <w:rsid w:val="00422CDA"/>
    <w:rsid w:val="00422D73"/>
    <w:rsid w:val="00423333"/>
    <w:rsid w:val="004236C6"/>
    <w:rsid w:val="004241B9"/>
    <w:rsid w:val="00424D25"/>
    <w:rsid w:val="00424D61"/>
    <w:rsid w:val="00424DA0"/>
    <w:rsid w:val="00425CB8"/>
    <w:rsid w:val="00426A84"/>
    <w:rsid w:val="00426D85"/>
    <w:rsid w:val="00426E2B"/>
    <w:rsid w:val="00427304"/>
    <w:rsid w:val="00427AB0"/>
    <w:rsid w:val="00427E53"/>
    <w:rsid w:val="004301A1"/>
    <w:rsid w:val="00430690"/>
    <w:rsid w:val="004315DA"/>
    <w:rsid w:val="004328F1"/>
    <w:rsid w:val="00432CC2"/>
    <w:rsid w:val="00433053"/>
    <w:rsid w:val="00434B95"/>
    <w:rsid w:val="00435193"/>
    <w:rsid w:val="0043594C"/>
    <w:rsid w:val="00435995"/>
    <w:rsid w:val="00436040"/>
    <w:rsid w:val="00436521"/>
    <w:rsid w:val="00436860"/>
    <w:rsid w:val="00436971"/>
    <w:rsid w:val="00437117"/>
    <w:rsid w:val="0043738C"/>
    <w:rsid w:val="00437761"/>
    <w:rsid w:val="004408F8"/>
    <w:rsid w:val="00441656"/>
    <w:rsid w:val="00442A85"/>
    <w:rsid w:val="004440C0"/>
    <w:rsid w:val="00444191"/>
    <w:rsid w:val="0044460C"/>
    <w:rsid w:val="0044476E"/>
    <w:rsid w:val="0044490B"/>
    <w:rsid w:val="00444C6A"/>
    <w:rsid w:val="00445521"/>
    <w:rsid w:val="004462DA"/>
    <w:rsid w:val="0044694C"/>
    <w:rsid w:val="00446F3E"/>
    <w:rsid w:val="0045119D"/>
    <w:rsid w:val="004515F7"/>
    <w:rsid w:val="00451B19"/>
    <w:rsid w:val="00451E7E"/>
    <w:rsid w:val="004520C5"/>
    <w:rsid w:val="004523D6"/>
    <w:rsid w:val="004528CB"/>
    <w:rsid w:val="00452920"/>
    <w:rsid w:val="0045292F"/>
    <w:rsid w:val="00452960"/>
    <w:rsid w:val="0045385E"/>
    <w:rsid w:val="00453CDC"/>
    <w:rsid w:val="00453CEB"/>
    <w:rsid w:val="00454396"/>
    <w:rsid w:val="0045487E"/>
    <w:rsid w:val="00454ED9"/>
    <w:rsid w:val="00455187"/>
    <w:rsid w:val="00455FEC"/>
    <w:rsid w:val="004561D8"/>
    <w:rsid w:val="004565AC"/>
    <w:rsid w:val="004571AF"/>
    <w:rsid w:val="00457457"/>
    <w:rsid w:val="004574FD"/>
    <w:rsid w:val="00457A35"/>
    <w:rsid w:val="00457F12"/>
    <w:rsid w:val="00457F62"/>
    <w:rsid w:val="00460174"/>
    <w:rsid w:val="00460590"/>
    <w:rsid w:val="004608BC"/>
    <w:rsid w:val="00460C18"/>
    <w:rsid w:val="0046133D"/>
    <w:rsid w:val="00462136"/>
    <w:rsid w:val="00462687"/>
    <w:rsid w:val="0046287D"/>
    <w:rsid w:val="00462934"/>
    <w:rsid w:val="004629AF"/>
    <w:rsid w:val="004641EF"/>
    <w:rsid w:val="00464E99"/>
    <w:rsid w:val="00465432"/>
    <w:rsid w:val="004657C5"/>
    <w:rsid w:val="00465D5B"/>
    <w:rsid w:val="00465DDC"/>
    <w:rsid w:val="004660D7"/>
    <w:rsid w:val="0046615E"/>
    <w:rsid w:val="004671CE"/>
    <w:rsid w:val="00467276"/>
    <w:rsid w:val="00467359"/>
    <w:rsid w:val="004701B5"/>
    <w:rsid w:val="0047083A"/>
    <w:rsid w:val="00470A35"/>
    <w:rsid w:val="00470E5B"/>
    <w:rsid w:val="0047134D"/>
    <w:rsid w:val="004717B3"/>
    <w:rsid w:val="004718DF"/>
    <w:rsid w:val="00472081"/>
    <w:rsid w:val="00472086"/>
    <w:rsid w:val="004727FC"/>
    <w:rsid w:val="0047293C"/>
    <w:rsid w:val="00472CF7"/>
    <w:rsid w:val="004730E6"/>
    <w:rsid w:val="00474A6F"/>
    <w:rsid w:val="00474E9E"/>
    <w:rsid w:val="00475101"/>
    <w:rsid w:val="0047581E"/>
    <w:rsid w:val="00475DDE"/>
    <w:rsid w:val="00475FD3"/>
    <w:rsid w:val="00476CB2"/>
    <w:rsid w:val="00477B8F"/>
    <w:rsid w:val="00480127"/>
    <w:rsid w:val="004807C1"/>
    <w:rsid w:val="00480B0C"/>
    <w:rsid w:val="00480B4B"/>
    <w:rsid w:val="00480BA0"/>
    <w:rsid w:val="00481324"/>
    <w:rsid w:val="00481406"/>
    <w:rsid w:val="00483556"/>
    <w:rsid w:val="0048357E"/>
    <w:rsid w:val="00483A46"/>
    <w:rsid w:val="00483E9A"/>
    <w:rsid w:val="00484027"/>
    <w:rsid w:val="00484F68"/>
    <w:rsid w:val="00485DC4"/>
    <w:rsid w:val="00487693"/>
    <w:rsid w:val="0049056F"/>
    <w:rsid w:val="0049061E"/>
    <w:rsid w:val="004914DF"/>
    <w:rsid w:val="00491877"/>
    <w:rsid w:val="00492646"/>
    <w:rsid w:val="004928A8"/>
    <w:rsid w:val="00492B65"/>
    <w:rsid w:val="00492DEA"/>
    <w:rsid w:val="00494384"/>
    <w:rsid w:val="00494A33"/>
    <w:rsid w:val="00495034"/>
    <w:rsid w:val="00495068"/>
    <w:rsid w:val="00496AE1"/>
    <w:rsid w:val="00496E47"/>
    <w:rsid w:val="0049734C"/>
    <w:rsid w:val="00497FC4"/>
    <w:rsid w:val="004A02E0"/>
    <w:rsid w:val="004A06D2"/>
    <w:rsid w:val="004A10FB"/>
    <w:rsid w:val="004A1264"/>
    <w:rsid w:val="004A21CC"/>
    <w:rsid w:val="004A299C"/>
    <w:rsid w:val="004A2BFF"/>
    <w:rsid w:val="004A4007"/>
    <w:rsid w:val="004A4188"/>
    <w:rsid w:val="004A419A"/>
    <w:rsid w:val="004A426E"/>
    <w:rsid w:val="004A49A7"/>
    <w:rsid w:val="004A4E8A"/>
    <w:rsid w:val="004A5D55"/>
    <w:rsid w:val="004A6970"/>
    <w:rsid w:val="004A6DA7"/>
    <w:rsid w:val="004A7045"/>
    <w:rsid w:val="004A7094"/>
    <w:rsid w:val="004A77E2"/>
    <w:rsid w:val="004A7DD9"/>
    <w:rsid w:val="004B0E63"/>
    <w:rsid w:val="004B1034"/>
    <w:rsid w:val="004B2137"/>
    <w:rsid w:val="004B2335"/>
    <w:rsid w:val="004B2694"/>
    <w:rsid w:val="004B2846"/>
    <w:rsid w:val="004B2D90"/>
    <w:rsid w:val="004B430C"/>
    <w:rsid w:val="004B4412"/>
    <w:rsid w:val="004B4516"/>
    <w:rsid w:val="004B455E"/>
    <w:rsid w:val="004B4A74"/>
    <w:rsid w:val="004B4A79"/>
    <w:rsid w:val="004B5273"/>
    <w:rsid w:val="004B55B7"/>
    <w:rsid w:val="004B62B5"/>
    <w:rsid w:val="004B64F0"/>
    <w:rsid w:val="004B6715"/>
    <w:rsid w:val="004B683E"/>
    <w:rsid w:val="004B6F58"/>
    <w:rsid w:val="004C19E0"/>
    <w:rsid w:val="004C1F97"/>
    <w:rsid w:val="004C348C"/>
    <w:rsid w:val="004C34C7"/>
    <w:rsid w:val="004C35A6"/>
    <w:rsid w:val="004C371F"/>
    <w:rsid w:val="004C3798"/>
    <w:rsid w:val="004C3AA7"/>
    <w:rsid w:val="004C4272"/>
    <w:rsid w:val="004C4688"/>
    <w:rsid w:val="004C4C31"/>
    <w:rsid w:val="004C5259"/>
    <w:rsid w:val="004C5333"/>
    <w:rsid w:val="004C5391"/>
    <w:rsid w:val="004C57D7"/>
    <w:rsid w:val="004C65A6"/>
    <w:rsid w:val="004C7540"/>
    <w:rsid w:val="004C7E05"/>
    <w:rsid w:val="004D012B"/>
    <w:rsid w:val="004D02D3"/>
    <w:rsid w:val="004D0718"/>
    <w:rsid w:val="004D0EFB"/>
    <w:rsid w:val="004D1272"/>
    <w:rsid w:val="004D1322"/>
    <w:rsid w:val="004D1733"/>
    <w:rsid w:val="004D208E"/>
    <w:rsid w:val="004D2EA9"/>
    <w:rsid w:val="004D3445"/>
    <w:rsid w:val="004D34B4"/>
    <w:rsid w:val="004D453B"/>
    <w:rsid w:val="004D4A3E"/>
    <w:rsid w:val="004D4AA3"/>
    <w:rsid w:val="004D510C"/>
    <w:rsid w:val="004D5246"/>
    <w:rsid w:val="004D55BA"/>
    <w:rsid w:val="004D5D79"/>
    <w:rsid w:val="004D6717"/>
    <w:rsid w:val="004D7886"/>
    <w:rsid w:val="004E0AF2"/>
    <w:rsid w:val="004E1DE5"/>
    <w:rsid w:val="004E2F3B"/>
    <w:rsid w:val="004E2F5B"/>
    <w:rsid w:val="004E3313"/>
    <w:rsid w:val="004E353F"/>
    <w:rsid w:val="004E3B1C"/>
    <w:rsid w:val="004E3D96"/>
    <w:rsid w:val="004E4170"/>
    <w:rsid w:val="004E4D85"/>
    <w:rsid w:val="004E551A"/>
    <w:rsid w:val="004E578E"/>
    <w:rsid w:val="004E593D"/>
    <w:rsid w:val="004E5D96"/>
    <w:rsid w:val="004E5E64"/>
    <w:rsid w:val="004E5F6C"/>
    <w:rsid w:val="004E684F"/>
    <w:rsid w:val="004E6A60"/>
    <w:rsid w:val="004E70A4"/>
    <w:rsid w:val="004E795E"/>
    <w:rsid w:val="004E7F6D"/>
    <w:rsid w:val="004F12BE"/>
    <w:rsid w:val="004F1B51"/>
    <w:rsid w:val="004F1C0A"/>
    <w:rsid w:val="004F2216"/>
    <w:rsid w:val="004F245E"/>
    <w:rsid w:val="004F2480"/>
    <w:rsid w:val="004F37D3"/>
    <w:rsid w:val="004F4438"/>
    <w:rsid w:val="004F46B0"/>
    <w:rsid w:val="004F46B8"/>
    <w:rsid w:val="004F4950"/>
    <w:rsid w:val="004F53AE"/>
    <w:rsid w:val="004F5DA7"/>
    <w:rsid w:val="004F6537"/>
    <w:rsid w:val="004F67C7"/>
    <w:rsid w:val="004F6BA7"/>
    <w:rsid w:val="004F6E74"/>
    <w:rsid w:val="004F7B60"/>
    <w:rsid w:val="005008C5"/>
    <w:rsid w:val="00500C51"/>
    <w:rsid w:val="00500D9F"/>
    <w:rsid w:val="00501031"/>
    <w:rsid w:val="00501384"/>
    <w:rsid w:val="00501662"/>
    <w:rsid w:val="005018D2"/>
    <w:rsid w:val="005019EF"/>
    <w:rsid w:val="00501B78"/>
    <w:rsid w:val="00501C60"/>
    <w:rsid w:val="0050233F"/>
    <w:rsid w:val="005038DB"/>
    <w:rsid w:val="00503D86"/>
    <w:rsid w:val="0050557F"/>
    <w:rsid w:val="00505D97"/>
    <w:rsid w:val="00505FEE"/>
    <w:rsid w:val="0050664C"/>
    <w:rsid w:val="00506AF0"/>
    <w:rsid w:val="00506B3C"/>
    <w:rsid w:val="0050767E"/>
    <w:rsid w:val="00507D35"/>
    <w:rsid w:val="00507FB2"/>
    <w:rsid w:val="00510442"/>
    <w:rsid w:val="00510A34"/>
    <w:rsid w:val="00511316"/>
    <w:rsid w:val="00511563"/>
    <w:rsid w:val="005116A3"/>
    <w:rsid w:val="00511715"/>
    <w:rsid w:val="00511AA7"/>
    <w:rsid w:val="00511C4F"/>
    <w:rsid w:val="00511D87"/>
    <w:rsid w:val="00512637"/>
    <w:rsid w:val="00512947"/>
    <w:rsid w:val="00514254"/>
    <w:rsid w:val="005143EA"/>
    <w:rsid w:val="0051441C"/>
    <w:rsid w:val="00514EFB"/>
    <w:rsid w:val="00514FD9"/>
    <w:rsid w:val="00515143"/>
    <w:rsid w:val="00515742"/>
    <w:rsid w:val="005158A4"/>
    <w:rsid w:val="005158C9"/>
    <w:rsid w:val="00516598"/>
    <w:rsid w:val="00516B28"/>
    <w:rsid w:val="005170D0"/>
    <w:rsid w:val="005174E6"/>
    <w:rsid w:val="00517AA6"/>
    <w:rsid w:val="00520395"/>
    <w:rsid w:val="00521A49"/>
    <w:rsid w:val="00522402"/>
    <w:rsid w:val="00522F31"/>
    <w:rsid w:val="005230FA"/>
    <w:rsid w:val="0052379B"/>
    <w:rsid w:val="00523ADC"/>
    <w:rsid w:val="005242BA"/>
    <w:rsid w:val="005246D6"/>
    <w:rsid w:val="00524AB5"/>
    <w:rsid w:val="00525BEA"/>
    <w:rsid w:val="00525C58"/>
    <w:rsid w:val="0052760B"/>
    <w:rsid w:val="00527ED3"/>
    <w:rsid w:val="00530128"/>
    <w:rsid w:val="00530861"/>
    <w:rsid w:val="00530A13"/>
    <w:rsid w:val="00530A8A"/>
    <w:rsid w:val="00530D2D"/>
    <w:rsid w:val="005319B0"/>
    <w:rsid w:val="00531D4E"/>
    <w:rsid w:val="00532467"/>
    <w:rsid w:val="00534E00"/>
    <w:rsid w:val="00534E56"/>
    <w:rsid w:val="00535736"/>
    <w:rsid w:val="0053574D"/>
    <w:rsid w:val="00536C73"/>
    <w:rsid w:val="005374C7"/>
    <w:rsid w:val="0053751F"/>
    <w:rsid w:val="005400C1"/>
    <w:rsid w:val="00540D53"/>
    <w:rsid w:val="00540ED6"/>
    <w:rsid w:val="00540EF0"/>
    <w:rsid w:val="005418CE"/>
    <w:rsid w:val="0054270A"/>
    <w:rsid w:val="00542913"/>
    <w:rsid w:val="00542B63"/>
    <w:rsid w:val="00542E47"/>
    <w:rsid w:val="00543269"/>
    <w:rsid w:val="005434DF"/>
    <w:rsid w:val="00543615"/>
    <w:rsid w:val="005439AC"/>
    <w:rsid w:val="00543E2C"/>
    <w:rsid w:val="00544179"/>
    <w:rsid w:val="00544932"/>
    <w:rsid w:val="005459FC"/>
    <w:rsid w:val="00545E80"/>
    <w:rsid w:val="00545FFC"/>
    <w:rsid w:val="00546118"/>
    <w:rsid w:val="005468BF"/>
    <w:rsid w:val="00546F06"/>
    <w:rsid w:val="00546FE0"/>
    <w:rsid w:val="005473C4"/>
    <w:rsid w:val="005478FA"/>
    <w:rsid w:val="005479DB"/>
    <w:rsid w:val="00547BA2"/>
    <w:rsid w:val="00547CCF"/>
    <w:rsid w:val="005502FF"/>
    <w:rsid w:val="005505E4"/>
    <w:rsid w:val="0055077F"/>
    <w:rsid w:val="00550822"/>
    <w:rsid w:val="00550D1E"/>
    <w:rsid w:val="005512B0"/>
    <w:rsid w:val="00551C4C"/>
    <w:rsid w:val="005520DB"/>
    <w:rsid w:val="00552DBC"/>
    <w:rsid w:val="00553DC6"/>
    <w:rsid w:val="0055431E"/>
    <w:rsid w:val="00555354"/>
    <w:rsid w:val="005556B1"/>
    <w:rsid w:val="00555CB9"/>
    <w:rsid w:val="00556DFB"/>
    <w:rsid w:val="00560B5C"/>
    <w:rsid w:val="00561405"/>
    <w:rsid w:val="005628DC"/>
    <w:rsid w:val="005628DF"/>
    <w:rsid w:val="00562B17"/>
    <w:rsid w:val="00562CA1"/>
    <w:rsid w:val="00563820"/>
    <w:rsid w:val="00564A4D"/>
    <w:rsid w:val="00564BA9"/>
    <w:rsid w:val="005658E4"/>
    <w:rsid w:val="00566329"/>
    <w:rsid w:val="00566818"/>
    <w:rsid w:val="00566EBE"/>
    <w:rsid w:val="00567B43"/>
    <w:rsid w:val="00567F44"/>
    <w:rsid w:val="00570224"/>
    <w:rsid w:val="00570739"/>
    <w:rsid w:val="00570750"/>
    <w:rsid w:val="005710BC"/>
    <w:rsid w:val="005719A0"/>
    <w:rsid w:val="00571B35"/>
    <w:rsid w:val="00571C9F"/>
    <w:rsid w:val="00571F8D"/>
    <w:rsid w:val="005721A9"/>
    <w:rsid w:val="0057274A"/>
    <w:rsid w:val="005728DA"/>
    <w:rsid w:val="005736BC"/>
    <w:rsid w:val="005757C2"/>
    <w:rsid w:val="00576113"/>
    <w:rsid w:val="005770AE"/>
    <w:rsid w:val="00577A09"/>
    <w:rsid w:val="00577D02"/>
    <w:rsid w:val="00577ED8"/>
    <w:rsid w:val="00580286"/>
    <w:rsid w:val="00580B78"/>
    <w:rsid w:val="00580CD8"/>
    <w:rsid w:val="00581201"/>
    <w:rsid w:val="005816E8"/>
    <w:rsid w:val="00581B5F"/>
    <w:rsid w:val="00582524"/>
    <w:rsid w:val="00582554"/>
    <w:rsid w:val="00583E40"/>
    <w:rsid w:val="005841DB"/>
    <w:rsid w:val="005848C7"/>
    <w:rsid w:val="0058490E"/>
    <w:rsid w:val="00584B56"/>
    <w:rsid w:val="00584D8F"/>
    <w:rsid w:val="00586691"/>
    <w:rsid w:val="00586B9C"/>
    <w:rsid w:val="005870D2"/>
    <w:rsid w:val="005874D1"/>
    <w:rsid w:val="005875C8"/>
    <w:rsid w:val="005878C3"/>
    <w:rsid w:val="00592D6F"/>
    <w:rsid w:val="00593273"/>
    <w:rsid w:val="00593BBD"/>
    <w:rsid w:val="0059436B"/>
    <w:rsid w:val="00594615"/>
    <w:rsid w:val="00594AB1"/>
    <w:rsid w:val="00594BE1"/>
    <w:rsid w:val="00594C74"/>
    <w:rsid w:val="005968F7"/>
    <w:rsid w:val="0059697B"/>
    <w:rsid w:val="00596C9F"/>
    <w:rsid w:val="00596D42"/>
    <w:rsid w:val="00596F26"/>
    <w:rsid w:val="00597766"/>
    <w:rsid w:val="005A07E9"/>
    <w:rsid w:val="005A0BC8"/>
    <w:rsid w:val="005A0D62"/>
    <w:rsid w:val="005A1AFF"/>
    <w:rsid w:val="005A1E22"/>
    <w:rsid w:val="005A1EE9"/>
    <w:rsid w:val="005A22F0"/>
    <w:rsid w:val="005A26D2"/>
    <w:rsid w:val="005A39DB"/>
    <w:rsid w:val="005A404D"/>
    <w:rsid w:val="005A4391"/>
    <w:rsid w:val="005A4756"/>
    <w:rsid w:val="005A50D5"/>
    <w:rsid w:val="005A5A41"/>
    <w:rsid w:val="005A5AAC"/>
    <w:rsid w:val="005A643B"/>
    <w:rsid w:val="005A6462"/>
    <w:rsid w:val="005A6D33"/>
    <w:rsid w:val="005B0023"/>
    <w:rsid w:val="005B1956"/>
    <w:rsid w:val="005B1E3C"/>
    <w:rsid w:val="005B26B8"/>
    <w:rsid w:val="005B2870"/>
    <w:rsid w:val="005B2AB8"/>
    <w:rsid w:val="005B3538"/>
    <w:rsid w:val="005B37FE"/>
    <w:rsid w:val="005B443D"/>
    <w:rsid w:val="005B4E1D"/>
    <w:rsid w:val="005B5639"/>
    <w:rsid w:val="005B590A"/>
    <w:rsid w:val="005B5A47"/>
    <w:rsid w:val="005B68E0"/>
    <w:rsid w:val="005B711E"/>
    <w:rsid w:val="005B7183"/>
    <w:rsid w:val="005B7A72"/>
    <w:rsid w:val="005B7B42"/>
    <w:rsid w:val="005C031A"/>
    <w:rsid w:val="005C0423"/>
    <w:rsid w:val="005C0AA8"/>
    <w:rsid w:val="005C130A"/>
    <w:rsid w:val="005C1695"/>
    <w:rsid w:val="005C16F0"/>
    <w:rsid w:val="005C192B"/>
    <w:rsid w:val="005C1F4C"/>
    <w:rsid w:val="005C2169"/>
    <w:rsid w:val="005C24AC"/>
    <w:rsid w:val="005C26CC"/>
    <w:rsid w:val="005C28F0"/>
    <w:rsid w:val="005C403C"/>
    <w:rsid w:val="005C4128"/>
    <w:rsid w:val="005C4239"/>
    <w:rsid w:val="005C6533"/>
    <w:rsid w:val="005C72F8"/>
    <w:rsid w:val="005D039A"/>
    <w:rsid w:val="005D059E"/>
    <w:rsid w:val="005D1CAC"/>
    <w:rsid w:val="005D1D72"/>
    <w:rsid w:val="005D26ED"/>
    <w:rsid w:val="005D2FD3"/>
    <w:rsid w:val="005D3269"/>
    <w:rsid w:val="005D3B2F"/>
    <w:rsid w:val="005D40FA"/>
    <w:rsid w:val="005D422D"/>
    <w:rsid w:val="005D4A84"/>
    <w:rsid w:val="005D4DBE"/>
    <w:rsid w:val="005D4E28"/>
    <w:rsid w:val="005D62CE"/>
    <w:rsid w:val="005D634D"/>
    <w:rsid w:val="005D64A3"/>
    <w:rsid w:val="005D671D"/>
    <w:rsid w:val="005D6ACB"/>
    <w:rsid w:val="005D6BC5"/>
    <w:rsid w:val="005D6D42"/>
    <w:rsid w:val="005D6E8F"/>
    <w:rsid w:val="005D73CC"/>
    <w:rsid w:val="005D754B"/>
    <w:rsid w:val="005E02C6"/>
    <w:rsid w:val="005E04D6"/>
    <w:rsid w:val="005E0670"/>
    <w:rsid w:val="005E14BB"/>
    <w:rsid w:val="005E1B2A"/>
    <w:rsid w:val="005E200F"/>
    <w:rsid w:val="005E2562"/>
    <w:rsid w:val="005E2B7C"/>
    <w:rsid w:val="005E3928"/>
    <w:rsid w:val="005E52CE"/>
    <w:rsid w:val="005E550E"/>
    <w:rsid w:val="005E5C1A"/>
    <w:rsid w:val="005E5E63"/>
    <w:rsid w:val="005E6114"/>
    <w:rsid w:val="005E6C0E"/>
    <w:rsid w:val="005E6CA2"/>
    <w:rsid w:val="005E6DEE"/>
    <w:rsid w:val="005E759A"/>
    <w:rsid w:val="005F01BA"/>
    <w:rsid w:val="005F0946"/>
    <w:rsid w:val="005F0A4A"/>
    <w:rsid w:val="005F1A13"/>
    <w:rsid w:val="005F1EE0"/>
    <w:rsid w:val="005F20E7"/>
    <w:rsid w:val="005F2139"/>
    <w:rsid w:val="005F36D1"/>
    <w:rsid w:val="005F3D37"/>
    <w:rsid w:val="005F3DDA"/>
    <w:rsid w:val="005F4163"/>
    <w:rsid w:val="005F43C0"/>
    <w:rsid w:val="005F4619"/>
    <w:rsid w:val="005F4A1D"/>
    <w:rsid w:val="005F5ABA"/>
    <w:rsid w:val="005F5AD3"/>
    <w:rsid w:val="005F6A83"/>
    <w:rsid w:val="005F6B14"/>
    <w:rsid w:val="005F6C78"/>
    <w:rsid w:val="005F7006"/>
    <w:rsid w:val="005F745E"/>
    <w:rsid w:val="005F753F"/>
    <w:rsid w:val="005F77B7"/>
    <w:rsid w:val="005F7E29"/>
    <w:rsid w:val="006009AF"/>
    <w:rsid w:val="00601156"/>
    <w:rsid w:val="00601FB9"/>
    <w:rsid w:val="00602397"/>
    <w:rsid w:val="00602778"/>
    <w:rsid w:val="006030E0"/>
    <w:rsid w:val="006043E7"/>
    <w:rsid w:val="00604755"/>
    <w:rsid w:val="00604774"/>
    <w:rsid w:val="00604A14"/>
    <w:rsid w:val="00605AC2"/>
    <w:rsid w:val="006064B1"/>
    <w:rsid w:val="00606AF9"/>
    <w:rsid w:val="00606E9B"/>
    <w:rsid w:val="006102D2"/>
    <w:rsid w:val="0061050C"/>
    <w:rsid w:val="0061060D"/>
    <w:rsid w:val="00610C4F"/>
    <w:rsid w:val="00610CE5"/>
    <w:rsid w:val="00611FFB"/>
    <w:rsid w:val="0061240B"/>
    <w:rsid w:val="00612C7A"/>
    <w:rsid w:val="00613CB8"/>
    <w:rsid w:val="00613CE4"/>
    <w:rsid w:val="0061433E"/>
    <w:rsid w:val="00614416"/>
    <w:rsid w:val="00614CA0"/>
    <w:rsid w:val="006151E8"/>
    <w:rsid w:val="00615C6B"/>
    <w:rsid w:val="006163E4"/>
    <w:rsid w:val="00616452"/>
    <w:rsid w:val="006165A7"/>
    <w:rsid w:val="00616619"/>
    <w:rsid w:val="0061671B"/>
    <w:rsid w:val="00616D0F"/>
    <w:rsid w:val="006173D0"/>
    <w:rsid w:val="006200DD"/>
    <w:rsid w:val="00620590"/>
    <w:rsid w:val="00620F71"/>
    <w:rsid w:val="00622227"/>
    <w:rsid w:val="006229A5"/>
    <w:rsid w:val="00623204"/>
    <w:rsid w:val="006232DA"/>
    <w:rsid w:val="00623A84"/>
    <w:rsid w:val="006241E0"/>
    <w:rsid w:val="0062514B"/>
    <w:rsid w:val="00625DEF"/>
    <w:rsid w:val="00626901"/>
    <w:rsid w:val="00626A06"/>
    <w:rsid w:val="00626BFB"/>
    <w:rsid w:val="006274BB"/>
    <w:rsid w:val="00627720"/>
    <w:rsid w:val="006277F3"/>
    <w:rsid w:val="0063120B"/>
    <w:rsid w:val="0063136F"/>
    <w:rsid w:val="00631B3E"/>
    <w:rsid w:val="00631FA7"/>
    <w:rsid w:val="00631FD7"/>
    <w:rsid w:val="0063263D"/>
    <w:rsid w:val="00632D6D"/>
    <w:rsid w:val="0063458A"/>
    <w:rsid w:val="00634876"/>
    <w:rsid w:val="00634943"/>
    <w:rsid w:val="0063508B"/>
    <w:rsid w:val="00635AF9"/>
    <w:rsid w:val="00636832"/>
    <w:rsid w:val="006378EE"/>
    <w:rsid w:val="00637CCD"/>
    <w:rsid w:val="0064018A"/>
    <w:rsid w:val="0064062E"/>
    <w:rsid w:val="00640FB9"/>
    <w:rsid w:val="006421A7"/>
    <w:rsid w:val="006424BE"/>
    <w:rsid w:val="00642C3E"/>
    <w:rsid w:val="00643B0C"/>
    <w:rsid w:val="006440DA"/>
    <w:rsid w:val="0064462C"/>
    <w:rsid w:val="00644A13"/>
    <w:rsid w:val="00646025"/>
    <w:rsid w:val="00646048"/>
    <w:rsid w:val="0064709B"/>
    <w:rsid w:val="00647DA4"/>
    <w:rsid w:val="00647EFA"/>
    <w:rsid w:val="006502A2"/>
    <w:rsid w:val="00650A48"/>
    <w:rsid w:val="006510A1"/>
    <w:rsid w:val="00651E34"/>
    <w:rsid w:val="00651FF8"/>
    <w:rsid w:val="006525B6"/>
    <w:rsid w:val="00652D9C"/>
    <w:rsid w:val="0065331D"/>
    <w:rsid w:val="006536DE"/>
    <w:rsid w:val="0065371B"/>
    <w:rsid w:val="00653C89"/>
    <w:rsid w:val="00653E78"/>
    <w:rsid w:val="0065438B"/>
    <w:rsid w:val="00654B5A"/>
    <w:rsid w:val="00655EEF"/>
    <w:rsid w:val="00656C7F"/>
    <w:rsid w:val="00656D83"/>
    <w:rsid w:val="00660088"/>
    <w:rsid w:val="006603CE"/>
    <w:rsid w:val="00660F34"/>
    <w:rsid w:val="00660F9B"/>
    <w:rsid w:val="00662A57"/>
    <w:rsid w:val="00662A9D"/>
    <w:rsid w:val="00662ACA"/>
    <w:rsid w:val="006633FD"/>
    <w:rsid w:val="0066368A"/>
    <w:rsid w:val="00663DAD"/>
    <w:rsid w:val="0066405B"/>
    <w:rsid w:val="00664529"/>
    <w:rsid w:val="00665B4D"/>
    <w:rsid w:val="00666A23"/>
    <w:rsid w:val="00666B2E"/>
    <w:rsid w:val="00666BC9"/>
    <w:rsid w:val="00670544"/>
    <w:rsid w:val="00671E44"/>
    <w:rsid w:val="0067279A"/>
    <w:rsid w:val="00673285"/>
    <w:rsid w:val="00673865"/>
    <w:rsid w:val="00674424"/>
    <w:rsid w:val="0067488B"/>
    <w:rsid w:val="00674B84"/>
    <w:rsid w:val="00674F2C"/>
    <w:rsid w:val="00675BB3"/>
    <w:rsid w:val="00675CBE"/>
    <w:rsid w:val="00675F0D"/>
    <w:rsid w:val="0067603F"/>
    <w:rsid w:val="0067655E"/>
    <w:rsid w:val="00676679"/>
    <w:rsid w:val="0067733D"/>
    <w:rsid w:val="00677ADA"/>
    <w:rsid w:val="00677C77"/>
    <w:rsid w:val="00677E3F"/>
    <w:rsid w:val="006800E4"/>
    <w:rsid w:val="006802B4"/>
    <w:rsid w:val="006803D3"/>
    <w:rsid w:val="00680550"/>
    <w:rsid w:val="0068068E"/>
    <w:rsid w:val="00680702"/>
    <w:rsid w:val="00680858"/>
    <w:rsid w:val="006809AE"/>
    <w:rsid w:val="006811ED"/>
    <w:rsid w:val="00681E58"/>
    <w:rsid w:val="00682134"/>
    <w:rsid w:val="00682A4C"/>
    <w:rsid w:val="00682B76"/>
    <w:rsid w:val="00683115"/>
    <w:rsid w:val="00683ECA"/>
    <w:rsid w:val="00683FA5"/>
    <w:rsid w:val="006841B6"/>
    <w:rsid w:val="0068461A"/>
    <w:rsid w:val="006853F4"/>
    <w:rsid w:val="00685614"/>
    <w:rsid w:val="006856CC"/>
    <w:rsid w:val="00685C2A"/>
    <w:rsid w:val="00690236"/>
    <w:rsid w:val="006904CF"/>
    <w:rsid w:val="00690B4E"/>
    <w:rsid w:val="00690C9F"/>
    <w:rsid w:val="00691474"/>
    <w:rsid w:val="00691616"/>
    <w:rsid w:val="0069169D"/>
    <w:rsid w:val="00691D13"/>
    <w:rsid w:val="00692160"/>
    <w:rsid w:val="0069229A"/>
    <w:rsid w:val="0069235C"/>
    <w:rsid w:val="00692452"/>
    <w:rsid w:val="00693385"/>
    <w:rsid w:val="0069369E"/>
    <w:rsid w:val="00693B32"/>
    <w:rsid w:val="00693F3D"/>
    <w:rsid w:val="00694223"/>
    <w:rsid w:val="006949FF"/>
    <w:rsid w:val="006953F6"/>
    <w:rsid w:val="0069614E"/>
    <w:rsid w:val="0069673B"/>
    <w:rsid w:val="00696C84"/>
    <w:rsid w:val="006977AB"/>
    <w:rsid w:val="00697B1D"/>
    <w:rsid w:val="006A0646"/>
    <w:rsid w:val="006A0A0A"/>
    <w:rsid w:val="006A196C"/>
    <w:rsid w:val="006A1995"/>
    <w:rsid w:val="006A1EFC"/>
    <w:rsid w:val="006A21A3"/>
    <w:rsid w:val="006A2433"/>
    <w:rsid w:val="006A25F7"/>
    <w:rsid w:val="006A262B"/>
    <w:rsid w:val="006A3B02"/>
    <w:rsid w:val="006A41C4"/>
    <w:rsid w:val="006A463D"/>
    <w:rsid w:val="006A477F"/>
    <w:rsid w:val="006A5437"/>
    <w:rsid w:val="006A545D"/>
    <w:rsid w:val="006A556D"/>
    <w:rsid w:val="006A661C"/>
    <w:rsid w:val="006A77D4"/>
    <w:rsid w:val="006A792C"/>
    <w:rsid w:val="006A792E"/>
    <w:rsid w:val="006A7E81"/>
    <w:rsid w:val="006B1134"/>
    <w:rsid w:val="006B25BE"/>
    <w:rsid w:val="006B269D"/>
    <w:rsid w:val="006B2D2E"/>
    <w:rsid w:val="006B3221"/>
    <w:rsid w:val="006B3340"/>
    <w:rsid w:val="006B3B15"/>
    <w:rsid w:val="006B3C1F"/>
    <w:rsid w:val="006B434C"/>
    <w:rsid w:val="006B475F"/>
    <w:rsid w:val="006B4B58"/>
    <w:rsid w:val="006B4BD5"/>
    <w:rsid w:val="006B4C78"/>
    <w:rsid w:val="006B4CF9"/>
    <w:rsid w:val="006B4D29"/>
    <w:rsid w:val="006B4EB3"/>
    <w:rsid w:val="006B51BC"/>
    <w:rsid w:val="006B6021"/>
    <w:rsid w:val="006B682F"/>
    <w:rsid w:val="006B7750"/>
    <w:rsid w:val="006B7AC8"/>
    <w:rsid w:val="006C129E"/>
    <w:rsid w:val="006C151F"/>
    <w:rsid w:val="006C1DAB"/>
    <w:rsid w:val="006C2AF5"/>
    <w:rsid w:val="006C2BCB"/>
    <w:rsid w:val="006C343A"/>
    <w:rsid w:val="006C35DC"/>
    <w:rsid w:val="006C38C0"/>
    <w:rsid w:val="006C43E5"/>
    <w:rsid w:val="006C47F7"/>
    <w:rsid w:val="006C4ADC"/>
    <w:rsid w:val="006C551C"/>
    <w:rsid w:val="006C55F2"/>
    <w:rsid w:val="006C5635"/>
    <w:rsid w:val="006C6152"/>
    <w:rsid w:val="006C64F3"/>
    <w:rsid w:val="006C6607"/>
    <w:rsid w:val="006C66E9"/>
    <w:rsid w:val="006C6EB3"/>
    <w:rsid w:val="006C7C88"/>
    <w:rsid w:val="006D0CEE"/>
    <w:rsid w:val="006D0E55"/>
    <w:rsid w:val="006D1530"/>
    <w:rsid w:val="006D153D"/>
    <w:rsid w:val="006D30FF"/>
    <w:rsid w:val="006D36F5"/>
    <w:rsid w:val="006D4A2A"/>
    <w:rsid w:val="006D5334"/>
    <w:rsid w:val="006D550F"/>
    <w:rsid w:val="006D5B3A"/>
    <w:rsid w:val="006D613E"/>
    <w:rsid w:val="006D6166"/>
    <w:rsid w:val="006D77F3"/>
    <w:rsid w:val="006D7923"/>
    <w:rsid w:val="006E0ECF"/>
    <w:rsid w:val="006E1FC3"/>
    <w:rsid w:val="006E2414"/>
    <w:rsid w:val="006E2DFE"/>
    <w:rsid w:val="006E2FF6"/>
    <w:rsid w:val="006E349B"/>
    <w:rsid w:val="006E3642"/>
    <w:rsid w:val="006E46DA"/>
    <w:rsid w:val="006E4B21"/>
    <w:rsid w:val="006E56BE"/>
    <w:rsid w:val="006E5F5B"/>
    <w:rsid w:val="006E6D54"/>
    <w:rsid w:val="006E705F"/>
    <w:rsid w:val="006E7C70"/>
    <w:rsid w:val="006F0B27"/>
    <w:rsid w:val="006F0BDB"/>
    <w:rsid w:val="006F0E0C"/>
    <w:rsid w:val="006F1A5B"/>
    <w:rsid w:val="006F1CA4"/>
    <w:rsid w:val="006F1E7A"/>
    <w:rsid w:val="006F209A"/>
    <w:rsid w:val="006F310B"/>
    <w:rsid w:val="006F327B"/>
    <w:rsid w:val="006F39D4"/>
    <w:rsid w:val="006F512C"/>
    <w:rsid w:val="006F5E3D"/>
    <w:rsid w:val="006F7A90"/>
    <w:rsid w:val="006F7EC5"/>
    <w:rsid w:val="0070000C"/>
    <w:rsid w:val="007008C8"/>
    <w:rsid w:val="007009EC"/>
    <w:rsid w:val="00700A40"/>
    <w:rsid w:val="00700B17"/>
    <w:rsid w:val="007011D1"/>
    <w:rsid w:val="007011DD"/>
    <w:rsid w:val="0070144D"/>
    <w:rsid w:val="007014A4"/>
    <w:rsid w:val="0070173D"/>
    <w:rsid w:val="00701876"/>
    <w:rsid w:val="00701C59"/>
    <w:rsid w:val="00701CAB"/>
    <w:rsid w:val="00701CF9"/>
    <w:rsid w:val="00702518"/>
    <w:rsid w:val="00702882"/>
    <w:rsid w:val="00702A2F"/>
    <w:rsid w:val="00702BB4"/>
    <w:rsid w:val="00703648"/>
    <w:rsid w:val="00703E1E"/>
    <w:rsid w:val="00704164"/>
    <w:rsid w:val="00704252"/>
    <w:rsid w:val="007045BC"/>
    <w:rsid w:val="0070541D"/>
    <w:rsid w:val="00706270"/>
    <w:rsid w:val="007063FF"/>
    <w:rsid w:val="007066F5"/>
    <w:rsid w:val="00706B69"/>
    <w:rsid w:val="0070740D"/>
    <w:rsid w:val="00707563"/>
    <w:rsid w:val="00707F71"/>
    <w:rsid w:val="00710086"/>
    <w:rsid w:val="00710702"/>
    <w:rsid w:val="00710AA7"/>
    <w:rsid w:val="00710C02"/>
    <w:rsid w:val="00710D10"/>
    <w:rsid w:val="00710EF2"/>
    <w:rsid w:val="00710F12"/>
    <w:rsid w:val="00711372"/>
    <w:rsid w:val="007120E2"/>
    <w:rsid w:val="007128D8"/>
    <w:rsid w:val="00712B7D"/>
    <w:rsid w:val="007137B3"/>
    <w:rsid w:val="00714263"/>
    <w:rsid w:val="00714D20"/>
    <w:rsid w:val="00715041"/>
    <w:rsid w:val="00716E5C"/>
    <w:rsid w:val="0071751D"/>
    <w:rsid w:val="007208ED"/>
    <w:rsid w:val="00720ADA"/>
    <w:rsid w:val="00720C97"/>
    <w:rsid w:val="00720CDB"/>
    <w:rsid w:val="0072109E"/>
    <w:rsid w:val="00721605"/>
    <w:rsid w:val="00721F1A"/>
    <w:rsid w:val="00722D4E"/>
    <w:rsid w:val="00722F4A"/>
    <w:rsid w:val="0072348C"/>
    <w:rsid w:val="00723662"/>
    <w:rsid w:val="00724334"/>
    <w:rsid w:val="00724A37"/>
    <w:rsid w:val="00725575"/>
    <w:rsid w:val="0072578B"/>
    <w:rsid w:val="00726786"/>
    <w:rsid w:val="007268FB"/>
    <w:rsid w:val="00726987"/>
    <w:rsid w:val="00726F08"/>
    <w:rsid w:val="00727248"/>
    <w:rsid w:val="007272EE"/>
    <w:rsid w:val="007275E3"/>
    <w:rsid w:val="00727738"/>
    <w:rsid w:val="007277A8"/>
    <w:rsid w:val="007303C3"/>
    <w:rsid w:val="007306E0"/>
    <w:rsid w:val="00730743"/>
    <w:rsid w:val="0073183B"/>
    <w:rsid w:val="00731A51"/>
    <w:rsid w:val="00732E1E"/>
    <w:rsid w:val="007333CB"/>
    <w:rsid w:val="0073644A"/>
    <w:rsid w:val="0073673F"/>
    <w:rsid w:val="007372F7"/>
    <w:rsid w:val="00737C4E"/>
    <w:rsid w:val="00740160"/>
    <w:rsid w:val="0074018D"/>
    <w:rsid w:val="007409D2"/>
    <w:rsid w:val="00740FF8"/>
    <w:rsid w:val="00741150"/>
    <w:rsid w:val="007423FA"/>
    <w:rsid w:val="00742FA6"/>
    <w:rsid w:val="00743223"/>
    <w:rsid w:val="007437F4"/>
    <w:rsid w:val="00743B29"/>
    <w:rsid w:val="00743F33"/>
    <w:rsid w:val="0074464D"/>
    <w:rsid w:val="007450B4"/>
    <w:rsid w:val="00745ADD"/>
    <w:rsid w:val="007469F2"/>
    <w:rsid w:val="00746E01"/>
    <w:rsid w:val="00747254"/>
    <w:rsid w:val="00747584"/>
    <w:rsid w:val="0074783E"/>
    <w:rsid w:val="00747A76"/>
    <w:rsid w:val="00750F9E"/>
    <w:rsid w:val="00752265"/>
    <w:rsid w:val="00752763"/>
    <w:rsid w:val="00752E27"/>
    <w:rsid w:val="0075450F"/>
    <w:rsid w:val="00754925"/>
    <w:rsid w:val="00754A0E"/>
    <w:rsid w:val="007565EE"/>
    <w:rsid w:val="00756EC3"/>
    <w:rsid w:val="00757167"/>
    <w:rsid w:val="0075741A"/>
    <w:rsid w:val="00757D43"/>
    <w:rsid w:val="00761BCF"/>
    <w:rsid w:val="00761E15"/>
    <w:rsid w:val="00762918"/>
    <w:rsid w:val="007634EC"/>
    <w:rsid w:val="00763726"/>
    <w:rsid w:val="00763B63"/>
    <w:rsid w:val="00763CE3"/>
    <w:rsid w:val="00763E5D"/>
    <w:rsid w:val="007640EC"/>
    <w:rsid w:val="00765755"/>
    <w:rsid w:val="00765830"/>
    <w:rsid w:val="00766292"/>
    <w:rsid w:val="00766FEC"/>
    <w:rsid w:val="00767740"/>
    <w:rsid w:val="00767B7C"/>
    <w:rsid w:val="00770158"/>
    <w:rsid w:val="0077015D"/>
    <w:rsid w:val="00774790"/>
    <w:rsid w:val="00774B06"/>
    <w:rsid w:val="007752F9"/>
    <w:rsid w:val="00775671"/>
    <w:rsid w:val="0077590A"/>
    <w:rsid w:val="00775AC3"/>
    <w:rsid w:val="007770FA"/>
    <w:rsid w:val="00777B0B"/>
    <w:rsid w:val="00777EE6"/>
    <w:rsid w:val="00780CB6"/>
    <w:rsid w:val="00781B83"/>
    <w:rsid w:val="00781BA8"/>
    <w:rsid w:val="007827E7"/>
    <w:rsid w:val="00782EEA"/>
    <w:rsid w:val="007833FA"/>
    <w:rsid w:val="00783535"/>
    <w:rsid w:val="00784950"/>
    <w:rsid w:val="0078495B"/>
    <w:rsid w:val="00784FBE"/>
    <w:rsid w:val="0078536B"/>
    <w:rsid w:val="0078586C"/>
    <w:rsid w:val="00785B4B"/>
    <w:rsid w:val="00786102"/>
    <w:rsid w:val="00786D92"/>
    <w:rsid w:val="00787185"/>
    <w:rsid w:val="00790CAF"/>
    <w:rsid w:val="00791669"/>
    <w:rsid w:val="00791810"/>
    <w:rsid w:val="007927F6"/>
    <w:rsid w:val="00792AED"/>
    <w:rsid w:val="00792B04"/>
    <w:rsid w:val="007935AB"/>
    <w:rsid w:val="00794019"/>
    <w:rsid w:val="00794026"/>
    <w:rsid w:val="00795844"/>
    <w:rsid w:val="00796AB0"/>
    <w:rsid w:val="007971DB"/>
    <w:rsid w:val="0079729D"/>
    <w:rsid w:val="007A0B4F"/>
    <w:rsid w:val="007A1723"/>
    <w:rsid w:val="007A186E"/>
    <w:rsid w:val="007A23C6"/>
    <w:rsid w:val="007A3F64"/>
    <w:rsid w:val="007A4305"/>
    <w:rsid w:val="007A4505"/>
    <w:rsid w:val="007A4820"/>
    <w:rsid w:val="007A4C26"/>
    <w:rsid w:val="007A4E89"/>
    <w:rsid w:val="007A54C5"/>
    <w:rsid w:val="007A58E7"/>
    <w:rsid w:val="007A5A53"/>
    <w:rsid w:val="007A65C4"/>
    <w:rsid w:val="007A6699"/>
    <w:rsid w:val="007A6AC6"/>
    <w:rsid w:val="007A76B2"/>
    <w:rsid w:val="007A79DA"/>
    <w:rsid w:val="007B035C"/>
    <w:rsid w:val="007B04BA"/>
    <w:rsid w:val="007B1020"/>
    <w:rsid w:val="007B1030"/>
    <w:rsid w:val="007B1237"/>
    <w:rsid w:val="007B1799"/>
    <w:rsid w:val="007B184F"/>
    <w:rsid w:val="007B297C"/>
    <w:rsid w:val="007B2A0E"/>
    <w:rsid w:val="007B2B64"/>
    <w:rsid w:val="007B2C72"/>
    <w:rsid w:val="007B3586"/>
    <w:rsid w:val="007B3AD0"/>
    <w:rsid w:val="007B4F4D"/>
    <w:rsid w:val="007B55E0"/>
    <w:rsid w:val="007B659F"/>
    <w:rsid w:val="007B6F7A"/>
    <w:rsid w:val="007C07F5"/>
    <w:rsid w:val="007C0876"/>
    <w:rsid w:val="007C1076"/>
    <w:rsid w:val="007C1C53"/>
    <w:rsid w:val="007C1CB6"/>
    <w:rsid w:val="007C1FA3"/>
    <w:rsid w:val="007C27C5"/>
    <w:rsid w:val="007C2987"/>
    <w:rsid w:val="007C3617"/>
    <w:rsid w:val="007C3C32"/>
    <w:rsid w:val="007C3D97"/>
    <w:rsid w:val="007C3F0C"/>
    <w:rsid w:val="007C43BE"/>
    <w:rsid w:val="007C4480"/>
    <w:rsid w:val="007C4502"/>
    <w:rsid w:val="007C4DC1"/>
    <w:rsid w:val="007C52F7"/>
    <w:rsid w:val="007C5554"/>
    <w:rsid w:val="007C5950"/>
    <w:rsid w:val="007C6097"/>
    <w:rsid w:val="007C61FF"/>
    <w:rsid w:val="007C6748"/>
    <w:rsid w:val="007C77F0"/>
    <w:rsid w:val="007C7858"/>
    <w:rsid w:val="007D0BB9"/>
    <w:rsid w:val="007D13AB"/>
    <w:rsid w:val="007D186B"/>
    <w:rsid w:val="007D2E01"/>
    <w:rsid w:val="007D2E07"/>
    <w:rsid w:val="007D50CF"/>
    <w:rsid w:val="007D5857"/>
    <w:rsid w:val="007D6796"/>
    <w:rsid w:val="007D6801"/>
    <w:rsid w:val="007D6B83"/>
    <w:rsid w:val="007D708A"/>
    <w:rsid w:val="007D73BF"/>
    <w:rsid w:val="007D79CF"/>
    <w:rsid w:val="007E1313"/>
    <w:rsid w:val="007E1383"/>
    <w:rsid w:val="007E1947"/>
    <w:rsid w:val="007E200D"/>
    <w:rsid w:val="007E202D"/>
    <w:rsid w:val="007E26A9"/>
    <w:rsid w:val="007E26FF"/>
    <w:rsid w:val="007E38D8"/>
    <w:rsid w:val="007E394C"/>
    <w:rsid w:val="007E3CC7"/>
    <w:rsid w:val="007E3F65"/>
    <w:rsid w:val="007E4173"/>
    <w:rsid w:val="007E447B"/>
    <w:rsid w:val="007E447C"/>
    <w:rsid w:val="007E46BB"/>
    <w:rsid w:val="007E486C"/>
    <w:rsid w:val="007E4904"/>
    <w:rsid w:val="007E4CB5"/>
    <w:rsid w:val="007E55DB"/>
    <w:rsid w:val="007E5834"/>
    <w:rsid w:val="007E5933"/>
    <w:rsid w:val="007E5EBE"/>
    <w:rsid w:val="007E65B2"/>
    <w:rsid w:val="007E74EC"/>
    <w:rsid w:val="007E763A"/>
    <w:rsid w:val="007F066B"/>
    <w:rsid w:val="007F14CC"/>
    <w:rsid w:val="007F269F"/>
    <w:rsid w:val="007F32B2"/>
    <w:rsid w:val="007F3C08"/>
    <w:rsid w:val="007F4576"/>
    <w:rsid w:val="007F49CD"/>
    <w:rsid w:val="007F4D76"/>
    <w:rsid w:val="007F5BBA"/>
    <w:rsid w:val="007F633F"/>
    <w:rsid w:val="007F6BA7"/>
    <w:rsid w:val="007F71E4"/>
    <w:rsid w:val="00800578"/>
    <w:rsid w:val="0080064D"/>
    <w:rsid w:val="0080090C"/>
    <w:rsid w:val="00800BD9"/>
    <w:rsid w:val="00801220"/>
    <w:rsid w:val="008012AC"/>
    <w:rsid w:val="008012B4"/>
    <w:rsid w:val="00801B26"/>
    <w:rsid w:val="0080322D"/>
    <w:rsid w:val="00803374"/>
    <w:rsid w:val="008033C4"/>
    <w:rsid w:val="00803812"/>
    <w:rsid w:val="00803B20"/>
    <w:rsid w:val="00803B48"/>
    <w:rsid w:val="00803E63"/>
    <w:rsid w:val="0080431D"/>
    <w:rsid w:val="00804788"/>
    <w:rsid w:val="00804A00"/>
    <w:rsid w:val="00804FEE"/>
    <w:rsid w:val="008053DA"/>
    <w:rsid w:val="0080651F"/>
    <w:rsid w:val="00806C88"/>
    <w:rsid w:val="00807C2E"/>
    <w:rsid w:val="0081034E"/>
    <w:rsid w:val="008109BE"/>
    <w:rsid w:val="00810AB6"/>
    <w:rsid w:val="00810BE5"/>
    <w:rsid w:val="00810D23"/>
    <w:rsid w:val="008118FD"/>
    <w:rsid w:val="0081230F"/>
    <w:rsid w:val="0081367C"/>
    <w:rsid w:val="008139AE"/>
    <w:rsid w:val="008148B0"/>
    <w:rsid w:val="00814BEE"/>
    <w:rsid w:val="00814E7D"/>
    <w:rsid w:val="00814FEA"/>
    <w:rsid w:val="00815416"/>
    <w:rsid w:val="00817486"/>
    <w:rsid w:val="008213F3"/>
    <w:rsid w:val="00821751"/>
    <w:rsid w:val="00821851"/>
    <w:rsid w:val="008218E6"/>
    <w:rsid w:val="00822671"/>
    <w:rsid w:val="0082319D"/>
    <w:rsid w:val="0082405F"/>
    <w:rsid w:val="008248BB"/>
    <w:rsid w:val="008248BE"/>
    <w:rsid w:val="00825710"/>
    <w:rsid w:val="008259EA"/>
    <w:rsid w:val="00825D41"/>
    <w:rsid w:val="00826282"/>
    <w:rsid w:val="008265B1"/>
    <w:rsid w:val="00826B7A"/>
    <w:rsid w:val="00827238"/>
    <w:rsid w:val="00827A6A"/>
    <w:rsid w:val="00830F8A"/>
    <w:rsid w:val="0083176C"/>
    <w:rsid w:val="0083210D"/>
    <w:rsid w:val="00832702"/>
    <w:rsid w:val="00832F26"/>
    <w:rsid w:val="00833222"/>
    <w:rsid w:val="008344F6"/>
    <w:rsid w:val="0083510F"/>
    <w:rsid w:val="0083550D"/>
    <w:rsid w:val="008356CB"/>
    <w:rsid w:val="008357C5"/>
    <w:rsid w:val="00835AC8"/>
    <w:rsid w:val="00836166"/>
    <w:rsid w:val="008369CB"/>
    <w:rsid w:val="00836E96"/>
    <w:rsid w:val="008402BA"/>
    <w:rsid w:val="0084031D"/>
    <w:rsid w:val="00840400"/>
    <w:rsid w:val="008405F8"/>
    <w:rsid w:val="0084066D"/>
    <w:rsid w:val="00840BE8"/>
    <w:rsid w:val="008411D9"/>
    <w:rsid w:val="00841627"/>
    <w:rsid w:val="0084211D"/>
    <w:rsid w:val="0084322E"/>
    <w:rsid w:val="008439E9"/>
    <w:rsid w:val="00843DF0"/>
    <w:rsid w:val="008442B6"/>
    <w:rsid w:val="00844576"/>
    <w:rsid w:val="00844834"/>
    <w:rsid w:val="00844856"/>
    <w:rsid w:val="00844A2D"/>
    <w:rsid w:val="00844B77"/>
    <w:rsid w:val="00845214"/>
    <w:rsid w:val="0084776F"/>
    <w:rsid w:val="008505D1"/>
    <w:rsid w:val="00850ABC"/>
    <w:rsid w:val="00851209"/>
    <w:rsid w:val="008519DA"/>
    <w:rsid w:val="008519EE"/>
    <w:rsid w:val="00851D97"/>
    <w:rsid w:val="0085208A"/>
    <w:rsid w:val="00852390"/>
    <w:rsid w:val="00852587"/>
    <w:rsid w:val="0085272E"/>
    <w:rsid w:val="00852C68"/>
    <w:rsid w:val="008541C9"/>
    <w:rsid w:val="00854B27"/>
    <w:rsid w:val="00854F8E"/>
    <w:rsid w:val="008559A0"/>
    <w:rsid w:val="00855E8D"/>
    <w:rsid w:val="0085609D"/>
    <w:rsid w:val="00856279"/>
    <w:rsid w:val="00856DF6"/>
    <w:rsid w:val="00856E56"/>
    <w:rsid w:val="00860985"/>
    <w:rsid w:val="00860F5D"/>
    <w:rsid w:val="00861824"/>
    <w:rsid w:val="00861B45"/>
    <w:rsid w:val="008631BC"/>
    <w:rsid w:val="008632F7"/>
    <w:rsid w:val="00863A02"/>
    <w:rsid w:val="00863B13"/>
    <w:rsid w:val="00864874"/>
    <w:rsid w:val="0086507D"/>
    <w:rsid w:val="00865263"/>
    <w:rsid w:val="00865B04"/>
    <w:rsid w:val="00865D9F"/>
    <w:rsid w:val="00866848"/>
    <w:rsid w:val="00866EBD"/>
    <w:rsid w:val="00870229"/>
    <w:rsid w:val="00870A5B"/>
    <w:rsid w:val="0087146F"/>
    <w:rsid w:val="00871635"/>
    <w:rsid w:val="0087296B"/>
    <w:rsid w:val="008731EF"/>
    <w:rsid w:val="00873864"/>
    <w:rsid w:val="00873B65"/>
    <w:rsid w:val="00873E5C"/>
    <w:rsid w:val="0087400D"/>
    <w:rsid w:val="0087465C"/>
    <w:rsid w:val="0087468E"/>
    <w:rsid w:val="00874745"/>
    <w:rsid w:val="00874942"/>
    <w:rsid w:val="00874BFC"/>
    <w:rsid w:val="00874C2C"/>
    <w:rsid w:val="008751E4"/>
    <w:rsid w:val="0087542C"/>
    <w:rsid w:val="00875464"/>
    <w:rsid w:val="0087596A"/>
    <w:rsid w:val="00877780"/>
    <w:rsid w:val="008779EE"/>
    <w:rsid w:val="0088007E"/>
    <w:rsid w:val="008806D5"/>
    <w:rsid w:val="00881CFD"/>
    <w:rsid w:val="0088240D"/>
    <w:rsid w:val="00882CDE"/>
    <w:rsid w:val="00882DAE"/>
    <w:rsid w:val="0088366F"/>
    <w:rsid w:val="008837AC"/>
    <w:rsid w:val="008842D2"/>
    <w:rsid w:val="00884E8B"/>
    <w:rsid w:val="00884EB6"/>
    <w:rsid w:val="0088507B"/>
    <w:rsid w:val="008850AD"/>
    <w:rsid w:val="00885E62"/>
    <w:rsid w:val="00885FBE"/>
    <w:rsid w:val="008866FF"/>
    <w:rsid w:val="00886A26"/>
    <w:rsid w:val="00886BEE"/>
    <w:rsid w:val="008877F2"/>
    <w:rsid w:val="00887837"/>
    <w:rsid w:val="00887A2B"/>
    <w:rsid w:val="00890780"/>
    <w:rsid w:val="0089100C"/>
    <w:rsid w:val="0089174A"/>
    <w:rsid w:val="008918C7"/>
    <w:rsid w:val="0089296C"/>
    <w:rsid w:val="00892C3D"/>
    <w:rsid w:val="00892C45"/>
    <w:rsid w:val="008945B4"/>
    <w:rsid w:val="00894C80"/>
    <w:rsid w:val="00894F33"/>
    <w:rsid w:val="00895122"/>
    <w:rsid w:val="00895D5C"/>
    <w:rsid w:val="0089750E"/>
    <w:rsid w:val="0089799A"/>
    <w:rsid w:val="0089799C"/>
    <w:rsid w:val="008979B2"/>
    <w:rsid w:val="008A100E"/>
    <w:rsid w:val="008A1873"/>
    <w:rsid w:val="008A1A93"/>
    <w:rsid w:val="008A2314"/>
    <w:rsid w:val="008A3BFD"/>
    <w:rsid w:val="008A4376"/>
    <w:rsid w:val="008A4AD2"/>
    <w:rsid w:val="008A5114"/>
    <w:rsid w:val="008A578B"/>
    <w:rsid w:val="008A587D"/>
    <w:rsid w:val="008A5E4C"/>
    <w:rsid w:val="008A64C2"/>
    <w:rsid w:val="008A6816"/>
    <w:rsid w:val="008A7313"/>
    <w:rsid w:val="008A7661"/>
    <w:rsid w:val="008B06C0"/>
    <w:rsid w:val="008B074D"/>
    <w:rsid w:val="008B1065"/>
    <w:rsid w:val="008B1E29"/>
    <w:rsid w:val="008B24FD"/>
    <w:rsid w:val="008B2A01"/>
    <w:rsid w:val="008B2DBF"/>
    <w:rsid w:val="008B39EE"/>
    <w:rsid w:val="008B49AE"/>
    <w:rsid w:val="008B6972"/>
    <w:rsid w:val="008B6D0F"/>
    <w:rsid w:val="008B70BE"/>
    <w:rsid w:val="008B792D"/>
    <w:rsid w:val="008C00BC"/>
    <w:rsid w:val="008C086E"/>
    <w:rsid w:val="008C161E"/>
    <w:rsid w:val="008C205C"/>
    <w:rsid w:val="008C2C03"/>
    <w:rsid w:val="008C2C11"/>
    <w:rsid w:val="008C2DC5"/>
    <w:rsid w:val="008C2EC1"/>
    <w:rsid w:val="008C305F"/>
    <w:rsid w:val="008C3E05"/>
    <w:rsid w:val="008C44CC"/>
    <w:rsid w:val="008C45C5"/>
    <w:rsid w:val="008C4A9E"/>
    <w:rsid w:val="008C5100"/>
    <w:rsid w:val="008C5486"/>
    <w:rsid w:val="008C6786"/>
    <w:rsid w:val="008C687A"/>
    <w:rsid w:val="008C7122"/>
    <w:rsid w:val="008D00CE"/>
    <w:rsid w:val="008D06BC"/>
    <w:rsid w:val="008D06E1"/>
    <w:rsid w:val="008D085C"/>
    <w:rsid w:val="008D0AA5"/>
    <w:rsid w:val="008D0EAE"/>
    <w:rsid w:val="008D11F5"/>
    <w:rsid w:val="008D3358"/>
    <w:rsid w:val="008D3B36"/>
    <w:rsid w:val="008D3D4A"/>
    <w:rsid w:val="008D4499"/>
    <w:rsid w:val="008D461B"/>
    <w:rsid w:val="008D4744"/>
    <w:rsid w:val="008D4D9C"/>
    <w:rsid w:val="008D5129"/>
    <w:rsid w:val="008D5837"/>
    <w:rsid w:val="008D5CF9"/>
    <w:rsid w:val="008D6BAC"/>
    <w:rsid w:val="008D6CD4"/>
    <w:rsid w:val="008D6DEE"/>
    <w:rsid w:val="008D7954"/>
    <w:rsid w:val="008D79BB"/>
    <w:rsid w:val="008D7D7C"/>
    <w:rsid w:val="008E050C"/>
    <w:rsid w:val="008E19F4"/>
    <w:rsid w:val="008E1FBC"/>
    <w:rsid w:val="008E266A"/>
    <w:rsid w:val="008E271A"/>
    <w:rsid w:val="008E2B4A"/>
    <w:rsid w:val="008E2C74"/>
    <w:rsid w:val="008E2EBB"/>
    <w:rsid w:val="008E3249"/>
    <w:rsid w:val="008E3307"/>
    <w:rsid w:val="008E3A2F"/>
    <w:rsid w:val="008E3DE6"/>
    <w:rsid w:val="008E51C3"/>
    <w:rsid w:val="008E537E"/>
    <w:rsid w:val="008E53E4"/>
    <w:rsid w:val="008E61EA"/>
    <w:rsid w:val="008E6373"/>
    <w:rsid w:val="008E692A"/>
    <w:rsid w:val="008E7031"/>
    <w:rsid w:val="008E7172"/>
    <w:rsid w:val="008E732E"/>
    <w:rsid w:val="008F0197"/>
    <w:rsid w:val="008F0D7E"/>
    <w:rsid w:val="008F0F26"/>
    <w:rsid w:val="008F1AB0"/>
    <w:rsid w:val="008F2218"/>
    <w:rsid w:val="008F2972"/>
    <w:rsid w:val="008F3161"/>
    <w:rsid w:val="008F3925"/>
    <w:rsid w:val="008F3944"/>
    <w:rsid w:val="008F3D10"/>
    <w:rsid w:val="008F429C"/>
    <w:rsid w:val="008F493D"/>
    <w:rsid w:val="008F5988"/>
    <w:rsid w:val="008F61C8"/>
    <w:rsid w:val="008F6FE4"/>
    <w:rsid w:val="008F7696"/>
    <w:rsid w:val="008F7DAC"/>
    <w:rsid w:val="0090022F"/>
    <w:rsid w:val="009002B9"/>
    <w:rsid w:val="009002CF"/>
    <w:rsid w:val="009002D2"/>
    <w:rsid w:val="00901192"/>
    <w:rsid w:val="009018F7"/>
    <w:rsid w:val="00901B2E"/>
    <w:rsid w:val="009022D9"/>
    <w:rsid w:val="00902335"/>
    <w:rsid w:val="00902D2B"/>
    <w:rsid w:val="00903263"/>
    <w:rsid w:val="009052AD"/>
    <w:rsid w:val="0090547F"/>
    <w:rsid w:val="009054B5"/>
    <w:rsid w:val="009072C8"/>
    <w:rsid w:val="00907A65"/>
    <w:rsid w:val="00910826"/>
    <w:rsid w:val="009111DA"/>
    <w:rsid w:val="009121AD"/>
    <w:rsid w:val="00912326"/>
    <w:rsid w:val="00912F3E"/>
    <w:rsid w:val="00912F79"/>
    <w:rsid w:val="00913B86"/>
    <w:rsid w:val="00913F61"/>
    <w:rsid w:val="009158BB"/>
    <w:rsid w:val="00915EE5"/>
    <w:rsid w:val="0091688B"/>
    <w:rsid w:val="00917182"/>
    <w:rsid w:val="0091746E"/>
    <w:rsid w:val="00917E0F"/>
    <w:rsid w:val="0092025A"/>
    <w:rsid w:val="00920296"/>
    <w:rsid w:val="00920D18"/>
    <w:rsid w:val="00920DF8"/>
    <w:rsid w:val="009221BA"/>
    <w:rsid w:val="0092226C"/>
    <w:rsid w:val="00922C95"/>
    <w:rsid w:val="00923067"/>
    <w:rsid w:val="009233EE"/>
    <w:rsid w:val="009236CE"/>
    <w:rsid w:val="00924078"/>
    <w:rsid w:val="009243C1"/>
    <w:rsid w:val="00924F6A"/>
    <w:rsid w:val="00924F6D"/>
    <w:rsid w:val="009256D9"/>
    <w:rsid w:val="00925A87"/>
    <w:rsid w:val="00925E7B"/>
    <w:rsid w:val="009264FB"/>
    <w:rsid w:val="00926F4B"/>
    <w:rsid w:val="009303B8"/>
    <w:rsid w:val="00930D5E"/>
    <w:rsid w:val="0093167E"/>
    <w:rsid w:val="009323E8"/>
    <w:rsid w:val="00933095"/>
    <w:rsid w:val="00933B08"/>
    <w:rsid w:val="00933C4E"/>
    <w:rsid w:val="00934095"/>
    <w:rsid w:val="009342D0"/>
    <w:rsid w:val="00935F36"/>
    <w:rsid w:val="00935FE7"/>
    <w:rsid w:val="00936403"/>
    <w:rsid w:val="0093685A"/>
    <w:rsid w:val="00936E89"/>
    <w:rsid w:val="00937085"/>
    <w:rsid w:val="00937452"/>
    <w:rsid w:val="00937DC2"/>
    <w:rsid w:val="00937F59"/>
    <w:rsid w:val="009405DD"/>
    <w:rsid w:val="00940C9B"/>
    <w:rsid w:val="00941158"/>
    <w:rsid w:val="0094211C"/>
    <w:rsid w:val="00942385"/>
    <w:rsid w:val="00942A38"/>
    <w:rsid w:val="009433BA"/>
    <w:rsid w:val="009438FF"/>
    <w:rsid w:val="00943F70"/>
    <w:rsid w:val="00944619"/>
    <w:rsid w:val="00944B4F"/>
    <w:rsid w:val="00945162"/>
    <w:rsid w:val="0094539C"/>
    <w:rsid w:val="00945C6A"/>
    <w:rsid w:val="0094635C"/>
    <w:rsid w:val="009469CD"/>
    <w:rsid w:val="009473B2"/>
    <w:rsid w:val="00950CFE"/>
    <w:rsid w:val="0095111A"/>
    <w:rsid w:val="0095228C"/>
    <w:rsid w:val="00952CDE"/>
    <w:rsid w:val="009532D6"/>
    <w:rsid w:val="00953886"/>
    <w:rsid w:val="00953BDD"/>
    <w:rsid w:val="00954A6C"/>
    <w:rsid w:val="00955B80"/>
    <w:rsid w:val="00957258"/>
    <w:rsid w:val="00960F8C"/>
    <w:rsid w:val="009626FD"/>
    <w:rsid w:val="00962F6A"/>
    <w:rsid w:val="00963330"/>
    <w:rsid w:val="00963433"/>
    <w:rsid w:val="00963557"/>
    <w:rsid w:val="0096402C"/>
    <w:rsid w:val="00964215"/>
    <w:rsid w:val="0096493F"/>
    <w:rsid w:val="00965138"/>
    <w:rsid w:val="009655F4"/>
    <w:rsid w:val="009661DE"/>
    <w:rsid w:val="00966A3D"/>
    <w:rsid w:val="00967A5C"/>
    <w:rsid w:val="00970822"/>
    <w:rsid w:val="00970891"/>
    <w:rsid w:val="0097101D"/>
    <w:rsid w:val="00971FA1"/>
    <w:rsid w:val="009720AD"/>
    <w:rsid w:val="0097240B"/>
    <w:rsid w:val="00972EFB"/>
    <w:rsid w:val="00973E64"/>
    <w:rsid w:val="0097498E"/>
    <w:rsid w:val="00975714"/>
    <w:rsid w:val="00975784"/>
    <w:rsid w:val="00975F3F"/>
    <w:rsid w:val="009769DD"/>
    <w:rsid w:val="00976F80"/>
    <w:rsid w:val="009777C1"/>
    <w:rsid w:val="00977C19"/>
    <w:rsid w:val="0098004E"/>
    <w:rsid w:val="0098095A"/>
    <w:rsid w:val="00980C96"/>
    <w:rsid w:val="00980F99"/>
    <w:rsid w:val="00982251"/>
    <w:rsid w:val="0098259B"/>
    <w:rsid w:val="009829F5"/>
    <w:rsid w:val="009840D1"/>
    <w:rsid w:val="00984630"/>
    <w:rsid w:val="0098480F"/>
    <w:rsid w:val="00984BE2"/>
    <w:rsid w:val="00985513"/>
    <w:rsid w:val="009856B7"/>
    <w:rsid w:val="00985A40"/>
    <w:rsid w:val="0098602B"/>
    <w:rsid w:val="00986BD3"/>
    <w:rsid w:val="009870B9"/>
    <w:rsid w:val="00987409"/>
    <w:rsid w:val="00987615"/>
    <w:rsid w:val="009876E5"/>
    <w:rsid w:val="00987F0C"/>
    <w:rsid w:val="0099049C"/>
    <w:rsid w:val="00991AE2"/>
    <w:rsid w:val="00991B3B"/>
    <w:rsid w:val="00992652"/>
    <w:rsid w:val="00992B31"/>
    <w:rsid w:val="00993873"/>
    <w:rsid w:val="00993932"/>
    <w:rsid w:val="00993A64"/>
    <w:rsid w:val="00994F6B"/>
    <w:rsid w:val="0099586E"/>
    <w:rsid w:val="00995A03"/>
    <w:rsid w:val="00995BE7"/>
    <w:rsid w:val="0099603B"/>
    <w:rsid w:val="009962BA"/>
    <w:rsid w:val="009966E9"/>
    <w:rsid w:val="0099671F"/>
    <w:rsid w:val="00996913"/>
    <w:rsid w:val="00996C78"/>
    <w:rsid w:val="00996D8E"/>
    <w:rsid w:val="009970C2"/>
    <w:rsid w:val="009A06EA"/>
    <w:rsid w:val="009A0C1F"/>
    <w:rsid w:val="009A229E"/>
    <w:rsid w:val="009A3D06"/>
    <w:rsid w:val="009A46B3"/>
    <w:rsid w:val="009A4C6F"/>
    <w:rsid w:val="009A5238"/>
    <w:rsid w:val="009A6201"/>
    <w:rsid w:val="009A6837"/>
    <w:rsid w:val="009A6D41"/>
    <w:rsid w:val="009A72E8"/>
    <w:rsid w:val="009A796A"/>
    <w:rsid w:val="009A7C9F"/>
    <w:rsid w:val="009B041A"/>
    <w:rsid w:val="009B046C"/>
    <w:rsid w:val="009B04A7"/>
    <w:rsid w:val="009B0953"/>
    <w:rsid w:val="009B0F82"/>
    <w:rsid w:val="009B13E1"/>
    <w:rsid w:val="009B191E"/>
    <w:rsid w:val="009B214B"/>
    <w:rsid w:val="009B2C8C"/>
    <w:rsid w:val="009B2EA3"/>
    <w:rsid w:val="009B4497"/>
    <w:rsid w:val="009B4ADF"/>
    <w:rsid w:val="009B4E4A"/>
    <w:rsid w:val="009B5371"/>
    <w:rsid w:val="009B53EF"/>
    <w:rsid w:val="009B56DB"/>
    <w:rsid w:val="009B5BD8"/>
    <w:rsid w:val="009B5D19"/>
    <w:rsid w:val="009B66EE"/>
    <w:rsid w:val="009B672F"/>
    <w:rsid w:val="009B6DC7"/>
    <w:rsid w:val="009B70A4"/>
    <w:rsid w:val="009B74B0"/>
    <w:rsid w:val="009B76B0"/>
    <w:rsid w:val="009B7CE5"/>
    <w:rsid w:val="009C022E"/>
    <w:rsid w:val="009C026B"/>
    <w:rsid w:val="009C14C4"/>
    <w:rsid w:val="009C2229"/>
    <w:rsid w:val="009C263D"/>
    <w:rsid w:val="009C399A"/>
    <w:rsid w:val="009C39CE"/>
    <w:rsid w:val="009C5592"/>
    <w:rsid w:val="009C5E45"/>
    <w:rsid w:val="009C711C"/>
    <w:rsid w:val="009C7F63"/>
    <w:rsid w:val="009C7FF1"/>
    <w:rsid w:val="009D0C4E"/>
    <w:rsid w:val="009D30B6"/>
    <w:rsid w:val="009D386F"/>
    <w:rsid w:val="009D4414"/>
    <w:rsid w:val="009D4837"/>
    <w:rsid w:val="009D4964"/>
    <w:rsid w:val="009D5754"/>
    <w:rsid w:val="009D60F2"/>
    <w:rsid w:val="009D6818"/>
    <w:rsid w:val="009D6B46"/>
    <w:rsid w:val="009D7B3F"/>
    <w:rsid w:val="009E02B8"/>
    <w:rsid w:val="009E114E"/>
    <w:rsid w:val="009E2423"/>
    <w:rsid w:val="009E260F"/>
    <w:rsid w:val="009E2FFC"/>
    <w:rsid w:val="009E349A"/>
    <w:rsid w:val="009E34A1"/>
    <w:rsid w:val="009E3E21"/>
    <w:rsid w:val="009E4406"/>
    <w:rsid w:val="009E55A4"/>
    <w:rsid w:val="009E55BF"/>
    <w:rsid w:val="009E57AA"/>
    <w:rsid w:val="009E5B30"/>
    <w:rsid w:val="009E66D7"/>
    <w:rsid w:val="009E7451"/>
    <w:rsid w:val="009E7ADC"/>
    <w:rsid w:val="009F064A"/>
    <w:rsid w:val="009F0801"/>
    <w:rsid w:val="009F0A31"/>
    <w:rsid w:val="009F204F"/>
    <w:rsid w:val="009F2B37"/>
    <w:rsid w:val="009F2BEF"/>
    <w:rsid w:val="009F3203"/>
    <w:rsid w:val="009F3BA1"/>
    <w:rsid w:val="009F3F82"/>
    <w:rsid w:val="009F4092"/>
    <w:rsid w:val="009F4615"/>
    <w:rsid w:val="009F4940"/>
    <w:rsid w:val="009F4B31"/>
    <w:rsid w:val="009F4CD3"/>
    <w:rsid w:val="009F58FC"/>
    <w:rsid w:val="009F61C6"/>
    <w:rsid w:val="009F7741"/>
    <w:rsid w:val="00A00B08"/>
    <w:rsid w:val="00A01E22"/>
    <w:rsid w:val="00A01E72"/>
    <w:rsid w:val="00A01F30"/>
    <w:rsid w:val="00A0203B"/>
    <w:rsid w:val="00A0247D"/>
    <w:rsid w:val="00A0248C"/>
    <w:rsid w:val="00A02987"/>
    <w:rsid w:val="00A029F9"/>
    <w:rsid w:val="00A02CFB"/>
    <w:rsid w:val="00A03560"/>
    <w:rsid w:val="00A03768"/>
    <w:rsid w:val="00A04C7E"/>
    <w:rsid w:val="00A05767"/>
    <w:rsid w:val="00A06428"/>
    <w:rsid w:val="00A064DB"/>
    <w:rsid w:val="00A06EEE"/>
    <w:rsid w:val="00A07252"/>
    <w:rsid w:val="00A0779D"/>
    <w:rsid w:val="00A10650"/>
    <w:rsid w:val="00A11534"/>
    <w:rsid w:val="00A115D9"/>
    <w:rsid w:val="00A11B65"/>
    <w:rsid w:val="00A12411"/>
    <w:rsid w:val="00A1285C"/>
    <w:rsid w:val="00A1325E"/>
    <w:rsid w:val="00A13E1E"/>
    <w:rsid w:val="00A15014"/>
    <w:rsid w:val="00A158BB"/>
    <w:rsid w:val="00A1665B"/>
    <w:rsid w:val="00A16886"/>
    <w:rsid w:val="00A1733C"/>
    <w:rsid w:val="00A17C76"/>
    <w:rsid w:val="00A20488"/>
    <w:rsid w:val="00A2086C"/>
    <w:rsid w:val="00A21BED"/>
    <w:rsid w:val="00A222F0"/>
    <w:rsid w:val="00A22586"/>
    <w:rsid w:val="00A22B4E"/>
    <w:rsid w:val="00A22D67"/>
    <w:rsid w:val="00A2357D"/>
    <w:rsid w:val="00A24839"/>
    <w:rsid w:val="00A25362"/>
    <w:rsid w:val="00A25BC7"/>
    <w:rsid w:val="00A25C8F"/>
    <w:rsid w:val="00A2602D"/>
    <w:rsid w:val="00A2604A"/>
    <w:rsid w:val="00A2676C"/>
    <w:rsid w:val="00A26DB4"/>
    <w:rsid w:val="00A2715C"/>
    <w:rsid w:val="00A27B5B"/>
    <w:rsid w:val="00A30359"/>
    <w:rsid w:val="00A30ADC"/>
    <w:rsid w:val="00A323D9"/>
    <w:rsid w:val="00A3355F"/>
    <w:rsid w:val="00A3376A"/>
    <w:rsid w:val="00A337FD"/>
    <w:rsid w:val="00A33B40"/>
    <w:rsid w:val="00A33D76"/>
    <w:rsid w:val="00A351CE"/>
    <w:rsid w:val="00A355BC"/>
    <w:rsid w:val="00A35661"/>
    <w:rsid w:val="00A3612F"/>
    <w:rsid w:val="00A370D6"/>
    <w:rsid w:val="00A3794A"/>
    <w:rsid w:val="00A37A71"/>
    <w:rsid w:val="00A4063B"/>
    <w:rsid w:val="00A409D3"/>
    <w:rsid w:val="00A41D30"/>
    <w:rsid w:val="00A421F7"/>
    <w:rsid w:val="00A42584"/>
    <w:rsid w:val="00A4265F"/>
    <w:rsid w:val="00A42B11"/>
    <w:rsid w:val="00A430AF"/>
    <w:rsid w:val="00A43206"/>
    <w:rsid w:val="00A43249"/>
    <w:rsid w:val="00A436C0"/>
    <w:rsid w:val="00A4417F"/>
    <w:rsid w:val="00A4478A"/>
    <w:rsid w:val="00A44852"/>
    <w:rsid w:val="00A44C6E"/>
    <w:rsid w:val="00A45F0C"/>
    <w:rsid w:val="00A4603B"/>
    <w:rsid w:val="00A46CE9"/>
    <w:rsid w:val="00A4791D"/>
    <w:rsid w:val="00A47E10"/>
    <w:rsid w:val="00A501B7"/>
    <w:rsid w:val="00A501F2"/>
    <w:rsid w:val="00A52098"/>
    <w:rsid w:val="00A52879"/>
    <w:rsid w:val="00A53532"/>
    <w:rsid w:val="00A547E1"/>
    <w:rsid w:val="00A54847"/>
    <w:rsid w:val="00A5602E"/>
    <w:rsid w:val="00A57019"/>
    <w:rsid w:val="00A5779A"/>
    <w:rsid w:val="00A57D04"/>
    <w:rsid w:val="00A604F4"/>
    <w:rsid w:val="00A60A26"/>
    <w:rsid w:val="00A61598"/>
    <w:rsid w:val="00A61909"/>
    <w:rsid w:val="00A61D8C"/>
    <w:rsid w:val="00A621F4"/>
    <w:rsid w:val="00A622B2"/>
    <w:rsid w:val="00A63B68"/>
    <w:rsid w:val="00A643A9"/>
    <w:rsid w:val="00A64B7F"/>
    <w:rsid w:val="00A64D3D"/>
    <w:rsid w:val="00A64DA2"/>
    <w:rsid w:val="00A653A9"/>
    <w:rsid w:val="00A6592B"/>
    <w:rsid w:val="00A65C21"/>
    <w:rsid w:val="00A66006"/>
    <w:rsid w:val="00A662FF"/>
    <w:rsid w:val="00A6635D"/>
    <w:rsid w:val="00A66D7A"/>
    <w:rsid w:val="00A709A5"/>
    <w:rsid w:val="00A70E13"/>
    <w:rsid w:val="00A71BD7"/>
    <w:rsid w:val="00A71ED1"/>
    <w:rsid w:val="00A72199"/>
    <w:rsid w:val="00A73323"/>
    <w:rsid w:val="00A733CF"/>
    <w:rsid w:val="00A7341C"/>
    <w:rsid w:val="00A73A19"/>
    <w:rsid w:val="00A74542"/>
    <w:rsid w:val="00A7462B"/>
    <w:rsid w:val="00A74B72"/>
    <w:rsid w:val="00A76C68"/>
    <w:rsid w:val="00A771B8"/>
    <w:rsid w:val="00A77352"/>
    <w:rsid w:val="00A7755E"/>
    <w:rsid w:val="00A77B9D"/>
    <w:rsid w:val="00A810C4"/>
    <w:rsid w:val="00A81ECB"/>
    <w:rsid w:val="00A827FE"/>
    <w:rsid w:val="00A82A66"/>
    <w:rsid w:val="00A83C07"/>
    <w:rsid w:val="00A8422F"/>
    <w:rsid w:val="00A84974"/>
    <w:rsid w:val="00A84F46"/>
    <w:rsid w:val="00A85467"/>
    <w:rsid w:val="00A85E58"/>
    <w:rsid w:val="00A86A08"/>
    <w:rsid w:val="00A871F4"/>
    <w:rsid w:val="00A87336"/>
    <w:rsid w:val="00A875B9"/>
    <w:rsid w:val="00A8770D"/>
    <w:rsid w:val="00A87DC5"/>
    <w:rsid w:val="00A87FB1"/>
    <w:rsid w:val="00A909AF"/>
    <w:rsid w:val="00A9140C"/>
    <w:rsid w:val="00A91D01"/>
    <w:rsid w:val="00A952C3"/>
    <w:rsid w:val="00A95B55"/>
    <w:rsid w:val="00A95C09"/>
    <w:rsid w:val="00A96074"/>
    <w:rsid w:val="00A9614A"/>
    <w:rsid w:val="00A96272"/>
    <w:rsid w:val="00A96B0D"/>
    <w:rsid w:val="00A9799B"/>
    <w:rsid w:val="00AA05F3"/>
    <w:rsid w:val="00AA0C4A"/>
    <w:rsid w:val="00AA100D"/>
    <w:rsid w:val="00AA1990"/>
    <w:rsid w:val="00AA23BE"/>
    <w:rsid w:val="00AA26D7"/>
    <w:rsid w:val="00AA32D6"/>
    <w:rsid w:val="00AA3A81"/>
    <w:rsid w:val="00AA47EC"/>
    <w:rsid w:val="00AA4802"/>
    <w:rsid w:val="00AA59AE"/>
    <w:rsid w:val="00AA59D2"/>
    <w:rsid w:val="00AA5DC0"/>
    <w:rsid w:val="00AA6699"/>
    <w:rsid w:val="00AA67D5"/>
    <w:rsid w:val="00AA691E"/>
    <w:rsid w:val="00AA6ABC"/>
    <w:rsid w:val="00AA6CE4"/>
    <w:rsid w:val="00AA6DAE"/>
    <w:rsid w:val="00AA6E88"/>
    <w:rsid w:val="00AA7379"/>
    <w:rsid w:val="00AB0CA0"/>
    <w:rsid w:val="00AB0E85"/>
    <w:rsid w:val="00AB1412"/>
    <w:rsid w:val="00AB1635"/>
    <w:rsid w:val="00AB1A2E"/>
    <w:rsid w:val="00AB1F86"/>
    <w:rsid w:val="00AB216F"/>
    <w:rsid w:val="00AB252A"/>
    <w:rsid w:val="00AB2D02"/>
    <w:rsid w:val="00AB3508"/>
    <w:rsid w:val="00AB36D8"/>
    <w:rsid w:val="00AB3869"/>
    <w:rsid w:val="00AB3A93"/>
    <w:rsid w:val="00AB42BF"/>
    <w:rsid w:val="00AB4515"/>
    <w:rsid w:val="00AB518E"/>
    <w:rsid w:val="00AB51CF"/>
    <w:rsid w:val="00AB5322"/>
    <w:rsid w:val="00AB55D4"/>
    <w:rsid w:val="00AB5713"/>
    <w:rsid w:val="00AB7746"/>
    <w:rsid w:val="00AB7DC3"/>
    <w:rsid w:val="00AB7DF0"/>
    <w:rsid w:val="00AC072F"/>
    <w:rsid w:val="00AC0C7B"/>
    <w:rsid w:val="00AC0D77"/>
    <w:rsid w:val="00AC0FD0"/>
    <w:rsid w:val="00AC1015"/>
    <w:rsid w:val="00AC1B2C"/>
    <w:rsid w:val="00AC1CDA"/>
    <w:rsid w:val="00AC2BE3"/>
    <w:rsid w:val="00AC3264"/>
    <w:rsid w:val="00AC3E35"/>
    <w:rsid w:val="00AC4B3A"/>
    <w:rsid w:val="00AC4B88"/>
    <w:rsid w:val="00AC4F32"/>
    <w:rsid w:val="00AC51AF"/>
    <w:rsid w:val="00AC5436"/>
    <w:rsid w:val="00AC646B"/>
    <w:rsid w:val="00AC6F01"/>
    <w:rsid w:val="00AC711C"/>
    <w:rsid w:val="00AC79C8"/>
    <w:rsid w:val="00AD0B0C"/>
    <w:rsid w:val="00AD0C90"/>
    <w:rsid w:val="00AD130C"/>
    <w:rsid w:val="00AD1D47"/>
    <w:rsid w:val="00AD288A"/>
    <w:rsid w:val="00AD45DE"/>
    <w:rsid w:val="00AD484C"/>
    <w:rsid w:val="00AD5342"/>
    <w:rsid w:val="00AD65E3"/>
    <w:rsid w:val="00AD70F9"/>
    <w:rsid w:val="00AD7968"/>
    <w:rsid w:val="00AD79C1"/>
    <w:rsid w:val="00AD7C0A"/>
    <w:rsid w:val="00AE090B"/>
    <w:rsid w:val="00AE0B38"/>
    <w:rsid w:val="00AE0B3D"/>
    <w:rsid w:val="00AE0C75"/>
    <w:rsid w:val="00AE0C87"/>
    <w:rsid w:val="00AE0DEC"/>
    <w:rsid w:val="00AE0FE2"/>
    <w:rsid w:val="00AE15CE"/>
    <w:rsid w:val="00AE1BF1"/>
    <w:rsid w:val="00AE2110"/>
    <w:rsid w:val="00AE3823"/>
    <w:rsid w:val="00AE433C"/>
    <w:rsid w:val="00AE5053"/>
    <w:rsid w:val="00AE60B4"/>
    <w:rsid w:val="00AE6C6F"/>
    <w:rsid w:val="00AE6F96"/>
    <w:rsid w:val="00AE7A49"/>
    <w:rsid w:val="00AF07C7"/>
    <w:rsid w:val="00AF0DD2"/>
    <w:rsid w:val="00AF10FA"/>
    <w:rsid w:val="00AF1553"/>
    <w:rsid w:val="00AF2216"/>
    <w:rsid w:val="00AF2A2C"/>
    <w:rsid w:val="00AF37A9"/>
    <w:rsid w:val="00AF39AB"/>
    <w:rsid w:val="00AF41E0"/>
    <w:rsid w:val="00AF42DE"/>
    <w:rsid w:val="00AF441D"/>
    <w:rsid w:val="00AF491A"/>
    <w:rsid w:val="00AF4F78"/>
    <w:rsid w:val="00AF53FA"/>
    <w:rsid w:val="00AF59D0"/>
    <w:rsid w:val="00AF6571"/>
    <w:rsid w:val="00AF7712"/>
    <w:rsid w:val="00AF7B52"/>
    <w:rsid w:val="00B00AE7"/>
    <w:rsid w:val="00B00EFD"/>
    <w:rsid w:val="00B01142"/>
    <w:rsid w:val="00B01797"/>
    <w:rsid w:val="00B019FE"/>
    <w:rsid w:val="00B01F5F"/>
    <w:rsid w:val="00B0215D"/>
    <w:rsid w:val="00B029FE"/>
    <w:rsid w:val="00B038B6"/>
    <w:rsid w:val="00B03FF7"/>
    <w:rsid w:val="00B05DEF"/>
    <w:rsid w:val="00B05E63"/>
    <w:rsid w:val="00B063A8"/>
    <w:rsid w:val="00B07BD6"/>
    <w:rsid w:val="00B07FD2"/>
    <w:rsid w:val="00B10314"/>
    <w:rsid w:val="00B115B5"/>
    <w:rsid w:val="00B11C84"/>
    <w:rsid w:val="00B12109"/>
    <w:rsid w:val="00B12203"/>
    <w:rsid w:val="00B13048"/>
    <w:rsid w:val="00B13C78"/>
    <w:rsid w:val="00B14014"/>
    <w:rsid w:val="00B14DC8"/>
    <w:rsid w:val="00B15035"/>
    <w:rsid w:val="00B15998"/>
    <w:rsid w:val="00B15AC6"/>
    <w:rsid w:val="00B166FA"/>
    <w:rsid w:val="00B16A65"/>
    <w:rsid w:val="00B1716D"/>
    <w:rsid w:val="00B17A1D"/>
    <w:rsid w:val="00B2001A"/>
    <w:rsid w:val="00B20721"/>
    <w:rsid w:val="00B207A0"/>
    <w:rsid w:val="00B20A36"/>
    <w:rsid w:val="00B21B85"/>
    <w:rsid w:val="00B2232E"/>
    <w:rsid w:val="00B22D0C"/>
    <w:rsid w:val="00B23425"/>
    <w:rsid w:val="00B2621E"/>
    <w:rsid w:val="00B26F3F"/>
    <w:rsid w:val="00B27122"/>
    <w:rsid w:val="00B277D9"/>
    <w:rsid w:val="00B30E17"/>
    <w:rsid w:val="00B310C5"/>
    <w:rsid w:val="00B313EE"/>
    <w:rsid w:val="00B31B50"/>
    <w:rsid w:val="00B322DB"/>
    <w:rsid w:val="00B337A6"/>
    <w:rsid w:val="00B33B4E"/>
    <w:rsid w:val="00B341F4"/>
    <w:rsid w:val="00B346E3"/>
    <w:rsid w:val="00B34F67"/>
    <w:rsid w:val="00B35115"/>
    <w:rsid w:val="00B35165"/>
    <w:rsid w:val="00B35838"/>
    <w:rsid w:val="00B35D66"/>
    <w:rsid w:val="00B3670C"/>
    <w:rsid w:val="00B378E5"/>
    <w:rsid w:val="00B37BFD"/>
    <w:rsid w:val="00B37E4B"/>
    <w:rsid w:val="00B40C13"/>
    <w:rsid w:val="00B40E24"/>
    <w:rsid w:val="00B40ECD"/>
    <w:rsid w:val="00B416D6"/>
    <w:rsid w:val="00B425A2"/>
    <w:rsid w:val="00B4264A"/>
    <w:rsid w:val="00B42A77"/>
    <w:rsid w:val="00B437DA"/>
    <w:rsid w:val="00B43C8E"/>
    <w:rsid w:val="00B446DE"/>
    <w:rsid w:val="00B44CF7"/>
    <w:rsid w:val="00B45905"/>
    <w:rsid w:val="00B46294"/>
    <w:rsid w:val="00B46658"/>
    <w:rsid w:val="00B468AA"/>
    <w:rsid w:val="00B4790A"/>
    <w:rsid w:val="00B501B7"/>
    <w:rsid w:val="00B511B8"/>
    <w:rsid w:val="00B5185C"/>
    <w:rsid w:val="00B51CCD"/>
    <w:rsid w:val="00B51DEE"/>
    <w:rsid w:val="00B523F7"/>
    <w:rsid w:val="00B52EA1"/>
    <w:rsid w:val="00B531D3"/>
    <w:rsid w:val="00B5388B"/>
    <w:rsid w:val="00B54159"/>
    <w:rsid w:val="00B54181"/>
    <w:rsid w:val="00B5419C"/>
    <w:rsid w:val="00B54922"/>
    <w:rsid w:val="00B54D2F"/>
    <w:rsid w:val="00B54F1F"/>
    <w:rsid w:val="00B55005"/>
    <w:rsid w:val="00B55043"/>
    <w:rsid w:val="00B55529"/>
    <w:rsid w:val="00B5650C"/>
    <w:rsid w:val="00B56E03"/>
    <w:rsid w:val="00B57E92"/>
    <w:rsid w:val="00B6024C"/>
    <w:rsid w:val="00B60F5D"/>
    <w:rsid w:val="00B617F5"/>
    <w:rsid w:val="00B62438"/>
    <w:rsid w:val="00B62750"/>
    <w:rsid w:val="00B627B8"/>
    <w:rsid w:val="00B62DC6"/>
    <w:rsid w:val="00B6305F"/>
    <w:rsid w:val="00B63616"/>
    <w:rsid w:val="00B6378A"/>
    <w:rsid w:val="00B63B0F"/>
    <w:rsid w:val="00B64081"/>
    <w:rsid w:val="00B64202"/>
    <w:rsid w:val="00B64E6B"/>
    <w:rsid w:val="00B64FB0"/>
    <w:rsid w:val="00B650FD"/>
    <w:rsid w:val="00B6615F"/>
    <w:rsid w:val="00B66547"/>
    <w:rsid w:val="00B6674E"/>
    <w:rsid w:val="00B672DE"/>
    <w:rsid w:val="00B67BDB"/>
    <w:rsid w:val="00B67E91"/>
    <w:rsid w:val="00B718A0"/>
    <w:rsid w:val="00B71963"/>
    <w:rsid w:val="00B722E6"/>
    <w:rsid w:val="00B7230C"/>
    <w:rsid w:val="00B72D8D"/>
    <w:rsid w:val="00B734F5"/>
    <w:rsid w:val="00B73B4B"/>
    <w:rsid w:val="00B73E90"/>
    <w:rsid w:val="00B741FF"/>
    <w:rsid w:val="00B75513"/>
    <w:rsid w:val="00B75AD0"/>
    <w:rsid w:val="00B7609E"/>
    <w:rsid w:val="00B76C08"/>
    <w:rsid w:val="00B775FD"/>
    <w:rsid w:val="00B77713"/>
    <w:rsid w:val="00B77D6E"/>
    <w:rsid w:val="00B80416"/>
    <w:rsid w:val="00B8080B"/>
    <w:rsid w:val="00B80900"/>
    <w:rsid w:val="00B817A1"/>
    <w:rsid w:val="00B82537"/>
    <w:rsid w:val="00B82820"/>
    <w:rsid w:val="00B82A28"/>
    <w:rsid w:val="00B838D3"/>
    <w:rsid w:val="00B83A4F"/>
    <w:rsid w:val="00B8410C"/>
    <w:rsid w:val="00B85E21"/>
    <w:rsid w:val="00B85FFF"/>
    <w:rsid w:val="00B865EB"/>
    <w:rsid w:val="00B87C39"/>
    <w:rsid w:val="00B87E5F"/>
    <w:rsid w:val="00B905E2"/>
    <w:rsid w:val="00B91373"/>
    <w:rsid w:val="00B91A65"/>
    <w:rsid w:val="00B91D76"/>
    <w:rsid w:val="00B91DAB"/>
    <w:rsid w:val="00B92169"/>
    <w:rsid w:val="00B923CB"/>
    <w:rsid w:val="00B92B33"/>
    <w:rsid w:val="00B93512"/>
    <w:rsid w:val="00B94C2C"/>
    <w:rsid w:val="00B95171"/>
    <w:rsid w:val="00B95243"/>
    <w:rsid w:val="00B952A2"/>
    <w:rsid w:val="00B95C3D"/>
    <w:rsid w:val="00B9652C"/>
    <w:rsid w:val="00B9658E"/>
    <w:rsid w:val="00B9701A"/>
    <w:rsid w:val="00BA0DD7"/>
    <w:rsid w:val="00BA262F"/>
    <w:rsid w:val="00BA265F"/>
    <w:rsid w:val="00BA293D"/>
    <w:rsid w:val="00BA34BB"/>
    <w:rsid w:val="00BA3A01"/>
    <w:rsid w:val="00BA41ED"/>
    <w:rsid w:val="00BA43B8"/>
    <w:rsid w:val="00BA4665"/>
    <w:rsid w:val="00BA52AE"/>
    <w:rsid w:val="00BA59D0"/>
    <w:rsid w:val="00BA6642"/>
    <w:rsid w:val="00BA6DE2"/>
    <w:rsid w:val="00BA718A"/>
    <w:rsid w:val="00BA7649"/>
    <w:rsid w:val="00BA76E1"/>
    <w:rsid w:val="00BA7761"/>
    <w:rsid w:val="00BA7BF4"/>
    <w:rsid w:val="00BB00E2"/>
    <w:rsid w:val="00BB0A9C"/>
    <w:rsid w:val="00BB16B1"/>
    <w:rsid w:val="00BB1759"/>
    <w:rsid w:val="00BB2060"/>
    <w:rsid w:val="00BB2FB2"/>
    <w:rsid w:val="00BB31A8"/>
    <w:rsid w:val="00BB3304"/>
    <w:rsid w:val="00BB5A4E"/>
    <w:rsid w:val="00BB5BB3"/>
    <w:rsid w:val="00BB67F1"/>
    <w:rsid w:val="00BB7D64"/>
    <w:rsid w:val="00BC1418"/>
    <w:rsid w:val="00BC144E"/>
    <w:rsid w:val="00BC21E5"/>
    <w:rsid w:val="00BC2733"/>
    <w:rsid w:val="00BC2FEB"/>
    <w:rsid w:val="00BC345A"/>
    <w:rsid w:val="00BC5052"/>
    <w:rsid w:val="00BC57E4"/>
    <w:rsid w:val="00BC6445"/>
    <w:rsid w:val="00BC6940"/>
    <w:rsid w:val="00BC6AE8"/>
    <w:rsid w:val="00BC6CE6"/>
    <w:rsid w:val="00BC78F0"/>
    <w:rsid w:val="00BD026E"/>
    <w:rsid w:val="00BD0841"/>
    <w:rsid w:val="00BD096F"/>
    <w:rsid w:val="00BD0BBA"/>
    <w:rsid w:val="00BD0E45"/>
    <w:rsid w:val="00BD13D7"/>
    <w:rsid w:val="00BD2036"/>
    <w:rsid w:val="00BD2645"/>
    <w:rsid w:val="00BD2BB0"/>
    <w:rsid w:val="00BD3446"/>
    <w:rsid w:val="00BD4553"/>
    <w:rsid w:val="00BD688A"/>
    <w:rsid w:val="00BD736C"/>
    <w:rsid w:val="00BE0328"/>
    <w:rsid w:val="00BE150A"/>
    <w:rsid w:val="00BE1AF7"/>
    <w:rsid w:val="00BE1F1B"/>
    <w:rsid w:val="00BE22B9"/>
    <w:rsid w:val="00BE2976"/>
    <w:rsid w:val="00BE2ED3"/>
    <w:rsid w:val="00BE34B0"/>
    <w:rsid w:val="00BE3674"/>
    <w:rsid w:val="00BE47B5"/>
    <w:rsid w:val="00BE4C99"/>
    <w:rsid w:val="00BE56B4"/>
    <w:rsid w:val="00BE5BD2"/>
    <w:rsid w:val="00BE5BFA"/>
    <w:rsid w:val="00BE6D7C"/>
    <w:rsid w:val="00BE72FC"/>
    <w:rsid w:val="00BE7662"/>
    <w:rsid w:val="00BE7868"/>
    <w:rsid w:val="00BF095E"/>
    <w:rsid w:val="00BF0BD5"/>
    <w:rsid w:val="00BF0FE3"/>
    <w:rsid w:val="00BF135A"/>
    <w:rsid w:val="00BF1F4B"/>
    <w:rsid w:val="00BF228F"/>
    <w:rsid w:val="00BF2936"/>
    <w:rsid w:val="00BF3522"/>
    <w:rsid w:val="00BF35B0"/>
    <w:rsid w:val="00BF3927"/>
    <w:rsid w:val="00BF425F"/>
    <w:rsid w:val="00BF48DC"/>
    <w:rsid w:val="00BF5078"/>
    <w:rsid w:val="00BF59BD"/>
    <w:rsid w:val="00BF5D28"/>
    <w:rsid w:val="00BF5F79"/>
    <w:rsid w:val="00BF6F43"/>
    <w:rsid w:val="00BF7331"/>
    <w:rsid w:val="00C00393"/>
    <w:rsid w:val="00C006BD"/>
    <w:rsid w:val="00C010F0"/>
    <w:rsid w:val="00C01360"/>
    <w:rsid w:val="00C01C7F"/>
    <w:rsid w:val="00C02161"/>
    <w:rsid w:val="00C0296C"/>
    <w:rsid w:val="00C02A82"/>
    <w:rsid w:val="00C03080"/>
    <w:rsid w:val="00C039C0"/>
    <w:rsid w:val="00C03F3A"/>
    <w:rsid w:val="00C040B2"/>
    <w:rsid w:val="00C04AD4"/>
    <w:rsid w:val="00C04EBC"/>
    <w:rsid w:val="00C04F9A"/>
    <w:rsid w:val="00C058AB"/>
    <w:rsid w:val="00C06583"/>
    <w:rsid w:val="00C06739"/>
    <w:rsid w:val="00C06874"/>
    <w:rsid w:val="00C06D79"/>
    <w:rsid w:val="00C07F27"/>
    <w:rsid w:val="00C10A75"/>
    <w:rsid w:val="00C10C7F"/>
    <w:rsid w:val="00C1112E"/>
    <w:rsid w:val="00C11FDB"/>
    <w:rsid w:val="00C12305"/>
    <w:rsid w:val="00C1252D"/>
    <w:rsid w:val="00C1291B"/>
    <w:rsid w:val="00C12D4A"/>
    <w:rsid w:val="00C12FFB"/>
    <w:rsid w:val="00C1313B"/>
    <w:rsid w:val="00C135AD"/>
    <w:rsid w:val="00C136D8"/>
    <w:rsid w:val="00C13DA9"/>
    <w:rsid w:val="00C1441A"/>
    <w:rsid w:val="00C14BE5"/>
    <w:rsid w:val="00C1555A"/>
    <w:rsid w:val="00C1571E"/>
    <w:rsid w:val="00C15C70"/>
    <w:rsid w:val="00C15CF0"/>
    <w:rsid w:val="00C16456"/>
    <w:rsid w:val="00C17550"/>
    <w:rsid w:val="00C1794D"/>
    <w:rsid w:val="00C17DC3"/>
    <w:rsid w:val="00C2070C"/>
    <w:rsid w:val="00C20FDA"/>
    <w:rsid w:val="00C21582"/>
    <w:rsid w:val="00C21A53"/>
    <w:rsid w:val="00C21DE5"/>
    <w:rsid w:val="00C22912"/>
    <w:rsid w:val="00C22FAF"/>
    <w:rsid w:val="00C231D2"/>
    <w:rsid w:val="00C234E9"/>
    <w:rsid w:val="00C23B02"/>
    <w:rsid w:val="00C24C12"/>
    <w:rsid w:val="00C25EC1"/>
    <w:rsid w:val="00C263CF"/>
    <w:rsid w:val="00C2682D"/>
    <w:rsid w:val="00C26EBC"/>
    <w:rsid w:val="00C2714B"/>
    <w:rsid w:val="00C30610"/>
    <w:rsid w:val="00C30C3B"/>
    <w:rsid w:val="00C31091"/>
    <w:rsid w:val="00C31983"/>
    <w:rsid w:val="00C31D4B"/>
    <w:rsid w:val="00C31F9B"/>
    <w:rsid w:val="00C323CB"/>
    <w:rsid w:val="00C327B3"/>
    <w:rsid w:val="00C3377D"/>
    <w:rsid w:val="00C340F5"/>
    <w:rsid w:val="00C344D1"/>
    <w:rsid w:val="00C3471E"/>
    <w:rsid w:val="00C3504C"/>
    <w:rsid w:val="00C353B4"/>
    <w:rsid w:val="00C3621D"/>
    <w:rsid w:val="00C36260"/>
    <w:rsid w:val="00C363CA"/>
    <w:rsid w:val="00C36EA7"/>
    <w:rsid w:val="00C371D4"/>
    <w:rsid w:val="00C3794F"/>
    <w:rsid w:val="00C404A3"/>
    <w:rsid w:val="00C408FF"/>
    <w:rsid w:val="00C409E0"/>
    <w:rsid w:val="00C40BF3"/>
    <w:rsid w:val="00C41472"/>
    <w:rsid w:val="00C41EAF"/>
    <w:rsid w:val="00C4201A"/>
    <w:rsid w:val="00C420B2"/>
    <w:rsid w:val="00C42210"/>
    <w:rsid w:val="00C4336B"/>
    <w:rsid w:val="00C43C58"/>
    <w:rsid w:val="00C43EF5"/>
    <w:rsid w:val="00C44A73"/>
    <w:rsid w:val="00C44FC8"/>
    <w:rsid w:val="00C4603F"/>
    <w:rsid w:val="00C4676D"/>
    <w:rsid w:val="00C46788"/>
    <w:rsid w:val="00C4787B"/>
    <w:rsid w:val="00C47FAE"/>
    <w:rsid w:val="00C508F0"/>
    <w:rsid w:val="00C50D60"/>
    <w:rsid w:val="00C51FE9"/>
    <w:rsid w:val="00C538A9"/>
    <w:rsid w:val="00C53A40"/>
    <w:rsid w:val="00C53B5A"/>
    <w:rsid w:val="00C54117"/>
    <w:rsid w:val="00C542DF"/>
    <w:rsid w:val="00C544A6"/>
    <w:rsid w:val="00C549EA"/>
    <w:rsid w:val="00C54F5A"/>
    <w:rsid w:val="00C550C4"/>
    <w:rsid w:val="00C562C7"/>
    <w:rsid w:val="00C56365"/>
    <w:rsid w:val="00C563A1"/>
    <w:rsid w:val="00C563E3"/>
    <w:rsid w:val="00C5691F"/>
    <w:rsid w:val="00C56D9F"/>
    <w:rsid w:val="00C577CE"/>
    <w:rsid w:val="00C57A84"/>
    <w:rsid w:val="00C6089B"/>
    <w:rsid w:val="00C60F27"/>
    <w:rsid w:val="00C60F46"/>
    <w:rsid w:val="00C61272"/>
    <w:rsid w:val="00C62723"/>
    <w:rsid w:val="00C62B89"/>
    <w:rsid w:val="00C62C4F"/>
    <w:rsid w:val="00C62F19"/>
    <w:rsid w:val="00C63881"/>
    <w:rsid w:val="00C643DB"/>
    <w:rsid w:val="00C6443D"/>
    <w:rsid w:val="00C6447B"/>
    <w:rsid w:val="00C645B0"/>
    <w:rsid w:val="00C646E6"/>
    <w:rsid w:val="00C650D0"/>
    <w:rsid w:val="00C650D4"/>
    <w:rsid w:val="00C65EBD"/>
    <w:rsid w:val="00C666EF"/>
    <w:rsid w:val="00C669BD"/>
    <w:rsid w:val="00C67BDB"/>
    <w:rsid w:val="00C7012B"/>
    <w:rsid w:val="00C710E2"/>
    <w:rsid w:val="00C713A0"/>
    <w:rsid w:val="00C727CB"/>
    <w:rsid w:val="00C72F18"/>
    <w:rsid w:val="00C73378"/>
    <w:rsid w:val="00C742CF"/>
    <w:rsid w:val="00C74512"/>
    <w:rsid w:val="00C7451C"/>
    <w:rsid w:val="00C7461F"/>
    <w:rsid w:val="00C7466E"/>
    <w:rsid w:val="00C755AD"/>
    <w:rsid w:val="00C75B6E"/>
    <w:rsid w:val="00C76437"/>
    <w:rsid w:val="00C76C50"/>
    <w:rsid w:val="00C777AC"/>
    <w:rsid w:val="00C77883"/>
    <w:rsid w:val="00C77ED7"/>
    <w:rsid w:val="00C80BCC"/>
    <w:rsid w:val="00C80E0F"/>
    <w:rsid w:val="00C81390"/>
    <w:rsid w:val="00C81D12"/>
    <w:rsid w:val="00C824B7"/>
    <w:rsid w:val="00C82679"/>
    <w:rsid w:val="00C83194"/>
    <w:rsid w:val="00C831AA"/>
    <w:rsid w:val="00C8380C"/>
    <w:rsid w:val="00C83A36"/>
    <w:rsid w:val="00C849B2"/>
    <w:rsid w:val="00C84A68"/>
    <w:rsid w:val="00C84B08"/>
    <w:rsid w:val="00C85CF3"/>
    <w:rsid w:val="00C86291"/>
    <w:rsid w:val="00C86679"/>
    <w:rsid w:val="00C8674D"/>
    <w:rsid w:val="00C86A4A"/>
    <w:rsid w:val="00C877BB"/>
    <w:rsid w:val="00C87CA3"/>
    <w:rsid w:val="00C87F62"/>
    <w:rsid w:val="00C87F63"/>
    <w:rsid w:val="00C90AD0"/>
    <w:rsid w:val="00C91021"/>
    <w:rsid w:val="00C91435"/>
    <w:rsid w:val="00C9167E"/>
    <w:rsid w:val="00C9277C"/>
    <w:rsid w:val="00C92790"/>
    <w:rsid w:val="00C928B5"/>
    <w:rsid w:val="00C929F9"/>
    <w:rsid w:val="00C94524"/>
    <w:rsid w:val="00C94A74"/>
    <w:rsid w:val="00C94D09"/>
    <w:rsid w:val="00C9521F"/>
    <w:rsid w:val="00C96ADD"/>
    <w:rsid w:val="00C96C44"/>
    <w:rsid w:val="00C972C5"/>
    <w:rsid w:val="00CA0C8B"/>
    <w:rsid w:val="00CA1868"/>
    <w:rsid w:val="00CA306F"/>
    <w:rsid w:val="00CA324F"/>
    <w:rsid w:val="00CA35A0"/>
    <w:rsid w:val="00CA46A9"/>
    <w:rsid w:val="00CA4B68"/>
    <w:rsid w:val="00CA558B"/>
    <w:rsid w:val="00CA55E0"/>
    <w:rsid w:val="00CA62D5"/>
    <w:rsid w:val="00CA677D"/>
    <w:rsid w:val="00CA697A"/>
    <w:rsid w:val="00CB04DE"/>
    <w:rsid w:val="00CB0858"/>
    <w:rsid w:val="00CB090D"/>
    <w:rsid w:val="00CB0BFB"/>
    <w:rsid w:val="00CB0C0A"/>
    <w:rsid w:val="00CB1356"/>
    <w:rsid w:val="00CB169E"/>
    <w:rsid w:val="00CB16D1"/>
    <w:rsid w:val="00CB19A5"/>
    <w:rsid w:val="00CB1D66"/>
    <w:rsid w:val="00CB2199"/>
    <w:rsid w:val="00CB24E6"/>
    <w:rsid w:val="00CB2670"/>
    <w:rsid w:val="00CB279E"/>
    <w:rsid w:val="00CB2F2E"/>
    <w:rsid w:val="00CB31F7"/>
    <w:rsid w:val="00CB33B0"/>
    <w:rsid w:val="00CB3565"/>
    <w:rsid w:val="00CB3CAE"/>
    <w:rsid w:val="00CB4EF0"/>
    <w:rsid w:val="00CB50F6"/>
    <w:rsid w:val="00CB514F"/>
    <w:rsid w:val="00CB5734"/>
    <w:rsid w:val="00CB666B"/>
    <w:rsid w:val="00CB7A50"/>
    <w:rsid w:val="00CB7A5D"/>
    <w:rsid w:val="00CB7FFB"/>
    <w:rsid w:val="00CC023B"/>
    <w:rsid w:val="00CC06B5"/>
    <w:rsid w:val="00CC0E9D"/>
    <w:rsid w:val="00CC15BA"/>
    <w:rsid w:val="00CC1C75"/>
    <w:rsid w:val="00CC2E4E"/>
    <w:rsid w:val="00CC3032"/>
    <w:rsid w:val="00CC30CA"/>
    <w:rsid w:val="00CC30CF"/>
    <w:rsid w:val="00CC3193"/>
    <w:rsid w:val="00CC3D00"/>
    <w:rsid w:val="00CC3DAE"/>
    <w:rsid w:val="00CC3E27"/>
    <w:rsid w:val="00CC40DC"/>
    <w:rsid w:val="00CC445C"/>
    <w:rsid w:val="00CC57C5"/>
    <w:rsid w:val="00CC5C44"/>
    <w:rsid w:val="00CC69A1"/>
    <w:rsid w:val="00CC7C76"/>
    <w:rsid w:val="00CC7D06"/>
    <w:rsid w:val="00CD00BB"/>
    <w:rsid w:val="00CD028A"/>
    <w:rsid w:val="00CD0BAA"/>
    <w:rsid w:val="00CD0CC2"/>
    <w:rsid w:val="00CD10D0"/>
    <w:rsid w:val="00CD1DD6"/>
    <w:rsid w:val="00CD1DED"/>
    <w:rsid w:val="00CD1E3E"/>
    <w:rsid w:val="00CD326E"/>
    <w:rsid w:val="00CD42B8"/>
    <w:rsid w:val="00CD4793"/>
    <w:rsid w:val="00CD5289"/>
    <w:rsid w:val="00CD5508"/>
    <w:rsid w:val="00CD61CE"/>
    <w:rsid w:val="00CD62DD"/>
    <w:rsid w:val="00CD67FC"/>
    <w:rsid w:val="00CD6A1D"/>
    <w:rsid w:val="00CD6C37"/>
    <w:rsid w:val="00CD6C98"/>
    <w:rsid w:val="00CE0128"/>
    <w:rsid w:val="00CE03C9"/>
    <w:rsid w:val="00CE160F"/>
    <w:rsid w:val="00CE17C7"/>
    <w:rsid w:val="00CE1B12"/>
    <w:rsid w:val="00CE20CA"/>
    <w:rsid w:val="00CE20FC"/>
    <w:rsid w:val="00CE29C8"/>
    <w:rsid w:val="00CE2EC0"/>
    <w:rsid w:val="00CE2EE3"/>
    <w:rsid w:val="00CE3083"/>
    <w:rsid w:val="00CE32F6"/>
    <w:rsid w:val="00CE38E5"/>
    <w:rsid w:val="00CE488E"/>
    <w:rsid w:val="00CE4E50"/>
    <w:rsid w:val="00CE4E91"/>
    <w:rsid w:val="00CE642C"/>
    <w:rsid w:val="00CE67E5"/>
    <w:rsid w:val="00CE6C89"/>
    <w:rsid w:val="00CE6F4D"/>
    <w:rsid w:val="00CE7040"/>
    <w:rsid w:val="00CE725D"/>
    <w:rsid w:val="00CE74EE"/>
    <w:rsid w:val="00CE75A3"/>
    <w:rsid w:val="00CE794F"/>
    <w:rsid w:val="00CF0CE2"/>
    <w:rsid w:val="00CF0EA5"/>
    <w:rsid w:val="00CF1826"/>
    <w:rsid w:val="00CF2A8F"/>
    <w:rsid w:val="00CF2CC3"/>
    <w:rsid w:val="00CF3020"/>
    <w:rsid w:val="00CF3324"/>
    <w:rsid w:val="00CF4892"/>
    <w:rsid w:val="00CF4D71"/>
    <w:rsid w:val="00CF55C6"/>
    <w:rsid w:val="00CF5899"/>
    <w:rsid w:val="00CF5CFA"/>
    <w:rsid w:val="00CF65DA"/>
    <w:rsid w:val="00CF7756"/>
    <w:rsid w:val="00CF799E"/>
    <w:rsid w:val="00CF7C68"/>
    <w:rsid w:val="00D006D7"/>
    <w:rsid w:val="00D0078E"/>
    <w:rsid w:val="00D00A32"/>
    <w:rsid w:val="00D01CF0"/>
    <w:rsid w:val="00D024BF"/>
    <w:rsid w:val="00D025D8"/>
    <w:rsid w:val="00D0278D"/>
    <w:rsid w:val="00D02981"/>
    <w:rsid w:val="00D03288"/>
    <w:rsid w:val="00D038B2"/>
    <w:rsid w:val="00D03900"/>
    <w:rsid w:val="00D040BA"/>
    <w:rsid w:val="00D04163"/>
    <w:rsid w:val="00D04413"/>
    <w:rsid w:val="00D0442A"/>
    <w:rsid w:val="00D0485D"/>
    <w:rsid w:val="00D04E4C"/>
    <w:rsid w:val="00D04E9B"/>
    <w:rsid w:val="00D04EF2"/>
    <w:rsid w:val="00D051C6"/>
    <w:rsid w:val="00D05498"/>
    <w:rsid w:val="00D056E0"/>
    <w:rsid w:val="00D05B68"/>
    <w:rsid w:val="00D0603E"/>
    <w:rsid w:val="00D061CB"/>
    <w:rsid w:val="00D06283"/>
    <w:rsid w:val="00D066FD"/>
    <w:rsid w:val="00D06FE6"/>
    <w:rsid w:val="00D072A8"/>
    <w:rsid w:val="00D07C6C"/>
    <w:rsid w:val="00D10620"/>
    <w:rsid w:val="00D10661"/>
    <w:rsid w:val="00D1070B"/>
    <w:rsid w:val="00D107E7"/>
    <w:rsid w:val="00D108F2"/>
    <w:rsid w:val="00D1096D"/>
    <w:rsid w:val="00D11A08"/>
    <w:rsid w:val="00D11EF6"/>
    <w:rsid w:val="00D125C0"/>
    <w:rsid w:val="00D12F1C"/>
    <w:rsid w:val="00D13531"/>
    <w:rsid w:val="00D1410E"/>
    <w:rsid w:val="00D14401"/>
    <w:rsid w:val="00D14E66"/>
    <w:rsid w:val="00D157A8"/>
    <w:rsid w:val="00D157E8"/>
    <w:rsid w:val="00D15AF0"/>
    <w:rsid w:val="00D203E1"/>
    <w:rsid w:val="00D206E9"/>
    <w:rsid w:val="00D20981"/>
    <w:rsid w:val="00D2230A"/>
    <w:rsid w:val="00D22590"/>
    <w:rsid w:val="00D22B88"/>
    <w:rsid w:val="00D22C9C"/>
    <w:rsid w:val="00D232ED"/>
    <w:rsid w:val="00D23511"/>
    <w:rsid w:val="00D23723"/>
    <w:rsid w:val="00D240CC"/>
    <w:rsid w:val="00D24108"/>
    <w:rsid w:val="00D2459C"/>
    <w:rsid w:val="00D26312"/>
    <w:rsid w:val="00D26674"/>
    <w:rsid w:val="00D267DA"/>
    <w:rsid w:val="00D26AC9"/>
    <w:rsid w:val="00D27217"/>
    <w:rsid w:val="00D27246"/>
    <w:rsid w:val="00D2772A"/>
    <w:rsid w:val="00D27955"/>
    <w:rsid w:val="00D3081C"/>
    <w:rsid w:val="00D30909"/>
    <w:rsid w:val="00D30D87"/>
    <w:rsid w:val="00D31CAD"/>
    <w:rsid w:val="00D31FDB"/>
    <w:rsid w:val="00D32AD8"/>
    <w:rsid w:val="00D32D72"/>
    <w:rsid w:val="00D33A11"/>
    <w:rsid w:val="00D33AD5"/>
    <w:rsid w:val="00D33BC0"/>
    <w:rsid w:val="00D347DB"/>
    <w:rsid w:val="00D34EFC"/>
    <w:rsid w:val="00D3517C"/>
    <w:rsid w:val="00D35401"/>
    <w:rsid w:val="00D35709"/>
    <w:rsid w:val="00D367BB"/>
    <w:rsid w:val="00D369B0"/>
    <w:rsid w:val="00D36B36"/>
    <w:rsid w:val="00D374F4"/>
    <w:rsid w:val="00D401B8"/>
    <w:rsid w:val="00D4030F"/>
    <w:rsid w:val="00D407B3"/>
    <w:rsid w:val="00D4160D"/>
    <w:rsid w:val="00D4162D"/>
    <w:rsid w:val="00D41CF5"/>
    <w:rsid w:val="00D42084"/>
    <w:rsid w:val="00D422D8"/>
    <w:rsid w:val="00D426FD"/>
    <w:rsid w:val="00D42E0A"/>
    <w:rsid w:val="00D42E67"/>
    <w:rsid w:val="00D434CF"/>
    <w:rsid w:val="00D434EA"/>
    <w:rsid w:val="00D43C37"/>
    <w:rsid w:val="00D44FEA"/>
    <w:rsid w:val="00D45E11"/>
    <w:rsid w:val="00D46102"/>
    <w:rsid w:val="00D466C0"/>
    <w:rsid w:val="00D46945"/>
    <w:rsid w:val="00D46C73"/>
    <w:rsid w:val="00D47916"/>
    <w:rsid w:val="00D47C57"/>
    <w:rsid w:val="00D5028A"/>
    <w:rsid w:val="00D50332"/>
    <w:rsid w:val="00D51982"/>
    <w:rsid w:val="00D51D51"/>
    <w:rsid w:val="00D521D5"/>
    <w:rsid w:val="00D5283F"/>
    <w:rsid w:val="00D5386C"/>
    <w:rsid w:val="00D53CB1"/>
    <w:rsid w:val="00D53D40"/>
    <w:rsid w:val="00D544B8"/>
    <w:rsid w:val="00D54BDF"/>
    <w:rsid w:val="00D55474"/>
    <w:rsid w:val="00D55B83"/>
    <w:rsid w:val="00D561CB"/>
    <w:rsid w:val="00D56529"/>
    <w:rsid w:val="00D56721"/>
    <w:rsid w:val="00D56B3B"/>
    <w:rsid w:val="00D57333"/>
    <w:rsid w:val="00D57591"/>
    <w:rsid w:val="00D57AE7"/>
    <w:rsid w:val="00D57D9B"/>
    <w:rsid w:val="00D57DA2"/>
    <w:rsid w:val="00D605FB"/>
    <w:rsid w:val="00D607C9"/>
    <w:rsid w:val="00D60F80"/>
    <w:rsid w:val="00D61388"/>
    <w:rsid w:val="00D6154D"/>
    <w:rsid w:val="00D61A54"/>
    <w:rsid w:val="00D61AA0"/>
    <w:rsid w:val="00D61DB0"/>
    <w:rsid w:val="00D62130"/>
    <w:rsid w:val="00D6276B"/>
    <w:rsid w:val="00D63399"/>
    <w:rsid w:val="00D6440B"/>
    <w:rsid w:val="00D64A1D"/>
    <w:rsid w:val="00D64AE7"/>
    <w:rsid w:val="00D64DEA"/>
    <w:rsid w:val="00D660FB"/>
    <w:rsid w:val="00D670C9"/>
    <w:rsid w:val="00D67341"/>
    <w:rsid w:val="00D6737F"/>
    <w:rsid w:val="00D705B2"/>
    <w:rsid w:val="00D70D2B"/>
    <w:rsid w:val="00D7101A"/>
    <w:rsid w:val="00D71D42"/>
    <w:rsid w:val="00D72483"/>
    <w:rsid w:val="00D72F79"/>
    <w:rsid w:val="00D72FD4"/>
    <w:rsid w:val="00D732C1"/>
    <w:rsid w:val="00D73344"/>
    <w:rsid w:val="00D74658"/>
    <w:rsid w:val="00D74F76"/>
    <w:rsid w:val="00D75099"/>
    <w:rsid w:val="00D756E6"/>
    <w:rsid w:val="00D75806"/>
    <w:rsid w:val="00D75A4A"/>
    <w:rsid w:val="00D766C2"/>
    <w:rsid w:val="00D766CD"/>
    <w:rsid w:val="00D77E77"/>
    <w:rsid w:val="00D805A4"/>
    <w:rsid w:val="00D805B5"/>
    <w:rsid w:val="00D8087E"/>
    <w:rsid w:val="00D80893"/>
    <w:rsid w:val="00D80EE8"/>
    <w:rsid w:val="00D81045"/>
    <w:rsid w:val="00D817EF"/>
    <w:rsid w:val="00D82179"/>
    <w:rsid w:val="00D8218B"/>
    <w:rsid w:val="00D82299"/>
    <w:rsid w:val="00D822F3"/>
    <w:rsid w:val="00D82439"/>
    <w:rsid w:val="00D82CB1"/>
    <w:rsid w:val="00D83776"/>
    <w:rsid w:val="00D838AB"/>
    <w:rsid w:val="00D83D34"/>
    <w:rsid w:val="00D84384"/>
    <w:rsid w:val="00D85190"/>
    <w:rsid w:val="00D8520C"/>
    <w:rsid w:val="00D85789"/>
    <w:rsid w:val="00D858C5"/>
    <w:rsid w:val="00D85D6B"/>
    <w:rsid w:val="00D87EB7"/>
    <w:rsid w:val="00D92CF1"/>
    <w:rsid w:val="00D92D38"/>
    <w:rsid w:val="00D92DB3"/>
    <w:rsid w:val="00D9321B"/>
    <w:rsid w:val="00D93A96"/>
    <w:rsid w:val="00D94AC7"/>
    <w:rsid w:val="00D950C6"/>
    <w:rsid w:val="00D950F5"/>
    <w:rsid w:val="00D95875"/>
    <w:rsid w:val="00D95B21"/>
    <w:rsid w:val="00D961F1"/>
    <w:rsid w:val="00D96450"/>
    <w:rsid w:val="00D971A4"/>
    <w:rsid w:val="00DA05E8"/>
    <w:rsid w:val="00DA0712"/>
    <w:rsid w:val="00DA0CA5"/>
    <w:rsid w:val="00DA1233"/>
    <w:rsid w:val="00DA18AA"/>
    <w:rsid w:val="00DA221B"/>
    <w:rsid w:val="00DA2912"/>
    <w:rsid w:val="00DA2CC6"/>
    <w:rsid w:val="00DA3138"/>
    <w:rsid w:val="00DA3521"/>
    <w:rsid w:val="00DA36AB"/>
    <w:rsid w:val="00DA37D4"/>
    <w:rsid w:val="00DA390F"/>
    <w:rsid w:val="00DA3E9C"/>
    <w:rsid w:val="00DA41B8"/>
    <w:rsid w:val="00DA42A4"/>
    <w:rsid w:val="00DA4C81"/>
    <w:rsid w:val="00DA4F3B"/>
    <w:rsid w:val="00DA50AF"/>
    <w:rsid w:val="00DA5199"/>
    <w:rsid w:val="00DA5A53"/>
    <w:rsid w:val="00DA64F4"/>
    <w:rsid w:val="00DA7A8D"/>
    <w:rsid w:val="00DB0343"/>
    <w:rsid w:val="00DB0644"/>
    <w:rsid w:val="00DB0F93"/>
    <w:rsid w:val="00DB101D"/>
    <w:rsid w:val="00DB1989"/>
    <w:rsid w:val="00DB19C3"/>
    <w:rsid w:val="00DB1FE2"/>
    <w:rsid w:val="00DB252A"/>
    <w:rsid w:val="00DB2C32"/>
    <w:rsid w:val="00DB2E1E"/>
    <w:rsid w:val="00DB2F5A"/>
    <w:rsid w:val="00DB3169"/>
    <w:rsid w:val="00DB3E3A"/>
    <w:rsid w:val="00DB3F1B"/>
    <w:rsid w:val="00DB4995"/>
    <w:rsid w:val="00DB4EF4"/>
    <w:rsid w:val="00DB4F4D"/>
    <w:rsid w:val="00DB5FED"/>
    <w:rsid w:val="00DB6FF7"/>
    <w:rsid w:val="00DB7236"/>
    <w:rsid w:val="00DC036D"/>
    <w:rsid w:val="00DC183A"/>
    <w:rsid w:val="00DC3113"/>
    <w:rsid w:val="00DC384E"/>
    <w:rsid w:val="00DC44AB"/>
    <w:rsid w:val="00DC49B4"/>
    <w:rsid w:val="00DC4CDC"/>
    <w:rsid w:val="00DC4FEF"/>
    <w:rsid w:val="00DC5002"/>
    <w:rsid w:val="00DC5161"/>
    <w:rsid w:val="00DC527D"/>
    <w:rsid w:val="00DC534A"/>
    <w:rsid w:val="00DC542F"/>
    <w:rsid w:val="00DC57C5"/>
    <w:rsid w:val="00DC5DD4"/>
    <w:rsid w:val="00DC6A9B"/>
    <w:rsid w:val="00DC6F53"/>
    <w:rsid w:val="00DC6FE6"/>
    <w:rsid w:val="00DC70A8"/>
    <w:rsid w:val="00DC7539"/>
    <w:rsid w:val="00DC7981"/>
    <w:rsid w:val="00DC7E6E"/>
    <w:rsid w:val="00DD03C5"/>
    <w:rsid w:val="00DD07E6"/>
    <w:rsid w:val="00DD0834"/>
    <w:rsid w:val="00DD0A19"/>
    <w:rsid w:val="00DD0ECD"/>
    <w:rsid w:val="00DD10F8"/>
    <w:rsid w:val="00DD1103"/>
    <w:rsid w:val="00DD20BE"/>
    <w:rsid w:val="00DD2615"/>
    <w:rsid w:val="00DD2BB5"/>
    <w:rsid w:val="00DD380D"/>
    <w:rsid w:val="00DD4D34"/>
    <w:rsid w:val="00DD5711"/>
    <w:rsid w:val="00DD5D7D"/>
    <w:rsid w:val="00DD69BF"/>
    <w:rsid w:val="00DD69E7"/>
    <w:rsid w:val="00DD6AF3"/>
    <w:rsid w:val="00DD6FCE"/>
    <w:rsid w:val="00DD7A81"/>
    <w:rsid w:val="00DE05C1"/>
    <w:rsid w:val="00DE0B98"/>
    <w:rsid w:val="00DE0FF1"/>
    <w:rsid w:val="00DE10BA"/>
    <w:rsid w:val="00DE2386"/>
    <w:rsid w:val="00DE2E29"/>
    <w:rsid w:val="00DE3A8D"/>
    <w:rsid w:val="00DE4200"/>
    <w:rsid w:val="00DE4EFA"/>
    <w:rsid w:val="00DE521A"/>
    <w:rsid w:val="00DE5520"/>
    <w:rsid w:val="00DE55C7"/>
    <w:rsid w:val="00DE63C8"/>
    <w:rsid w:val="00DE6AE7"/>
    <w:rsid w:val="00DE6B73"/>
    <w:rsid w:val="00DE6DA0"/>
    <w:rsid w:val="00DE6E7C"/>
    <w:rsid w:val="00DE720B"/>
    <w:rsid w:val="00DF0542"/>
    <w:rsid w:val="00DF26BC"/>
    <w:rsid w:val="00DF26FB"/>
    <w:rsid w:val="00DF3B4D"/>
    <w:rsid w:val="00DF3E9A"/>
    <w:rsid w:val="00DF483F"/>
    <w:rsid w:val="00DF50FF"/>
    <w:rsid w:val="00DF6A58"/>
    <w:rsid w:val="00DF6A76"/>
    <w:rsid w:val="00DF7089"/>
    <w:rsid w:val="00DF773B"/>
    <w:rsid w:val="00DF7A8E"/>
    <w:rsid w:val="00E00528"/>
    <w:rsid w:val="00E01D7F"/>
    <w:rsid w:val="00E023AF"/>
    <w:rsid w:val="00E03A52"/>
    <w:rsid w:val="00E03C8C"/>
    <w:rsid w:val="00E04818"/>
    <w:rsid w:val="00E06284"/>
    <w:rsid w:val="00E06442"/>
    <w:rsid w:val="00E06C29"/>
    <w:rsid w:val="00E071E4"/>
    <w:rsid w:val="00E109D2"/>
    <w:rsid w:val="00E109FB"/>
    <w:rsid w:val="00E10A93"/>
    <w:rsid w:val="00E12BE6"/>
    <w:rsid w:val="00E12EBD"/>
    <w:rsid w:val="00E13022"/>
    <w:rsid w:val="00E1318E"/>
    <w:rsid w:val="00E139F5"/>
    <w:rsid w:val="00E148C2"/>
    <w:rsid w:val="00E14ED5"/>
    <w:rsid w:val="00E15214"/>
    <w:rsid w:val="00E1583B"/>
    <w:rsid w:val="00E15E7A"/>
    <w:rsid w:val="00E163BD"/>
    <w:rsid w:val="00E163FE"/>
    <w:rsid w:val="00E16A85"/>
    <w:rsid w:val="00E1725B"/>
    <w:rsid w:val="00E1728F"/>
    <w:rsid w:val="00E17ED8"/>
    <w:rsid w:val="00E20135"/>
    <w:rsid w:val="00E20A25"/>
    <w:rsid w:val="00E21297"/>
    <w:rsid w:val="00E21E39"/>
    <w:rsid w:val="00E22112"/>
    <w:rsid w:val="00E22294"/>
    <w:rsid w:val="00E229CF"/>
    <w:rsid w:val="00E237E7"/>
    <w:rsid w:val="00E23993"/>
    <w:rsid w:val="00E23C3A"/>
    <w:rsid w:val="00E23D60"/>
    <w:rsid w:val="00E24242"/>
    <w:rsid w:val="00E24442"/>
    <w:rsid w:val="00E24F3F"/>
    <w:rsid w:val="00E2579F"/>
    <w:rsid w:val="00E25B8C"/>
    <w:rsid w:val="00E25CEA"/>
    <w:rsid w:val="00E25FA2"/>
    <w:rsid w:val="00E261DB"/>
    <w:rsid w:val="00E2629B"/>
    <w:rsid w:val="00E27246"/>
    <w:rsid w:val="00E27642"/>
    <w:rsid w:val="00E318B8"/>
    <w:rsid w:val="00E31A0D"/>
    <w:rsid w:val="00E31C3C"/>
    <w:rsid w:val="00E32343"/>
    <w:rsid w:val="00E330EC"/>
    <w:rsid w:val="00E33BB2"/>
    <w:rsid w:val="00E341C2"/>
    <w:rsid w:val="00E344BB"/>
    <w:rsid w:val="00E34AC2"/>
    <w:rsid w:val="00E34FCF"/>
    <w:rsid w:val="00E35CEC"/>
    <w:rsid w:val="00E361F5"/>
    <w:rsid w:val="00E36BA1"/>
    <w:rsid w:val="00E37186"/>
    <w:rsid w:val="00E37C96"/>
    <w:rsid w:val="00E40EF1"/>
    <w:rsid w:val="00E4268E"/>
    <w:rsid w:val="00E4371E"/>
    <w:rsid w:val="00E437A0"/>
    <w:rsid w:val="00E43FC1"/>
    <w:rsid w:val="00E440AD"/>
    <w:rsid w:val="00E4539D"/>
    <w:rsid w:val="00E4674F"/>
    <w:rsid w:val="00E508ED"/>
    <w:rsid w:val="00E51236"/>
    <w:rsid w:val="00E51733"/>
    <w:rsid w:val="00E535CC"/>
    <w:rsid w:val="00E53A14"/>
    <w:rsid w:val="00E53D9B"/>
    <w:rsid w:val="00E540A5"/>
    <w:rsid w:val="00E55A0D"/>
    <w:rsid w:val="00E56198"/>
    <w:rsid w:val="00E562D2"/>
    <w:rsid w:val="00E56345"/>
    <w:rsid w:val="00E567DC"/>
    <w:rsid w:val="00E573D4"/>
    <w:rsid w:val="00E573F6"/>
    <w:rsid w:val="00E57D62"/>
    <w:rsid w:val="00E57EA7"/>
    <w:rsid w:val="00E61551"/>
    <w:rsid w:val="00E6198E"/>
    <w:rsid w:val="00E62832"/>
    <w:rsid w:val="00E62B84"/>
    <w:rsid w:val="00E62C09"/>
    <w:rsid w:val="00E62C14"/>
    <w:rsid w:val="00E6396D"/>
    <w:rsid w:val="00E63D1A"/>
    <w:rsid w:val="00E64400"/>
    <w:rsid w:val="00E6444B"/>
    <w:rsid w:val="00E644EF"/>
    <w:rsid w:val="00E651C4"/>
    <w:rsid w:val="00E65675"/>
    <w:rsid w:val="00E656E6"/>
    <w:rsid w:val="00E65C85"/>
    <w:rsid w:val="00E65EC6"/>
    <w:rsid w:val="00E66199"/>
    <w:rsid w:val="00E673EB"/>
    <w:rsid w:val="00E70123"/>
    <w:rsid w:val="00E705CC"/>
    <w:rsid w:val="00E7071A"/>
    <w:rsid w:val="00E70EB3"/>
    <w:rsid w:val="00E7148B"/>
    <w:rsid w:val="00E71508"/>
    <w:rsid w:val="00E71702"/>
    <w:rsid w:val="00E71E5C"/>
    <w:rsid w:val="00E724EE"/>
    <w:rsid w:val="00E72736"/>
    <w:rsid w:val="00E72A7F"/>
    <w:rsid w:val="00E72DAF"/>
    <w:rsid w:val="00E72DC5"/>
    <w:rsid w:val="00E72E21"/>
    <w:rsid w:val="00E74035"/>
    <w:rsid w:val="00E74161"/>
    <w:rsid w:val="00E7421F"/>
    <w:rsid w:val="00E748C5"/>
    <w:rsid w:val="00E755EC"/>
    <w:rsid w:val="00E7624D"/>
    <w:rsid w:val="00E769B6"/>
    <w:rsid w:val="00E76C5F"/>
    <w:rsid w:val="00E76CAE"/>
    <w:rsid w:val="00E76CBD"/>
    <w:rsid w:val="00E77013"/>
    <w:rsid w:val="00E77F61"/>
    <w:rsid w:val="00E80048"/>
    <w:rsid w:val="00E80BB6"/>
    <w:rsid w:val="00E81F51"/>
    <w:rsid w:val="00E82776"/>
    <w:rsid w:val="00E82A6E"/>
    <w:rsid w:val="00E831FE"/>
    <w:rsid w:val="00E8324B"/>
    <w:rsid w:val="00E832A7"/>
    <w:rsid w:val="00E84053"/>
    <w:rsid w:val="00E842C3"/>
    <w:rsid w:val="00E84927"/>
    <w:rsid w:val="00E85161"/>
    <w:rsid w:val="00E85A06"/>
    <w:rsid w:val="00E86E24"/>
    <w:rsid w:val="00E87C44"/>
    <w:rsid w:val="00E9003D"/>
    <w:rsid w:val="00E903D8"/>
    <w:rsid w:val="00E9118B"/>
    <w:rsid w:val="00E91BAA"/>
    <w:rsid w:val="00E92216"/>
    <w:rsid w:val="00E92753"/>
    <w:rsid w:val="00E93A85"/>
    <w:rsid w:val="00E94D5F"/>
    <w:rsid w:val="00E94E4E"/>
    <w:rsid w:val="00E94E9E"/>
    <w:rsid w:val="00E94FA1"/>
    <w:rsid w:val="00E950BD"/>
    <w:rsid w:val="00E95C8E"/>
    <w:rsid w:val="00E9661A"/>
    <w:rsid w:val="00E96842"/>
    <w:rsid w:val="00E96EAA"/>
    <w:rsid w:val="00E973F7"/>
    <w:rsid w:val="00E977C7"/>
    <w:rsid w:val="00EA0C8A"/>
    <w:rsid w:val="00EA1248"/>
    <w:rsid w:val="00EA17F3"/>
    <w:rsid w:val="00EA2160"/>
    <w:rsid w:val="00EA2B29"/>
    <w:rsid w:val="00EA3D42"/>
    <w:rsid w:val="00EA4EFA"/>
    <w:rsid w:val="00EA5871"/>
    <w:rsid w:val="00EA5D0C"/>
    <w:rsid w:val="00EA6B1B"/>
    <w:rsid w:val="00EA6D61"/>
    <w:rsid w:val="00EB00D3"/>
    <w:rsid w:val="00EB29E2"/>
    <w:rsid w:val="00EB2BBF"/>
    <w:rsid w:val="00EB4E42"/>
    <w:rsid w:val="00EB5A5F"/>
    <w:rsid w:val="00EB66BE"/>
    <w:rsid w:val="00EB67CD"/>
    <w:rsid w:val="00EB6877"/>
    <w:rsid w:val="00EB6FB1"/>
    <w:rsid w:val="00EB7365"/>
    <w:rsid w:val="00EB7F23"/>
    <w:rsid w:val="00EC07F0"/>
    <w:rsid w:val="00EC09D2"/>
    <w:rsid w:val="00EC0B25"/>
    <w:rsid w:val="00EC1602"/>
    <w:rsid w:val="00EC2F1A"/>
    <w:rsid w:val="00EC41C3"/>
    <w:rsid w:val="00EC470C"/>
    <w:rsid w:val="00EC4A96"/>
    <w:rsid w:val="00EC5131"/>
    <w:rsid w:val="00EC6C1F"/>
    <w:rsid w:val="00EC74CF"/>
    <w:rsid w:val="00EC7CB2"/>
    <w:rsid w:val="00EC7CC8"/>
    <w:rsid w:val="00ED03AD"/>
    <w:rsid w:val="00ED0C24"/>
    <w:rsid w:val="00ED18F6"/>
    <w:rsid w:val="00ED2325"/>
    <w:rsid w:val="00ED2760"/>
    <w:rsid w:val="00ED3854"/>
    <w:rsid w:val="00ED4088"/>
    <w:rsid w:val="00ED4291"/>
    <w:rsid w:val="00ED4AB8"/>
    <w:rsid w:val="00ED515C"/>
    <w:rsid w:val="00ED5449"/>
    <w:rsid w:val="00ED5E9A"/>
    <w:rsid w:val="00ED6930"/>
    <w:rsid w:val="00ED6BE0"/>
    <w:rsid w:val="00ED6DC8"/>
    <w:rsid w:val="00ED7A65"/>
    <w:rsid w:val="00ED7F97"/>
    <w:rsid w:val="00EE0621"/>
    <w:rsid w:val="00EE066B"/>
    <w:rsid w:val="00EE0D65"/>
    <w:rsid w:val="00EE0EDB"/>
    <w:rsid w:val="00EE1969"/>
    <w:rsid w:val="00EE2028"/>
    <w:rsid w:val="00EE2336"/>
    <w:rsid w:val="00EE27F5"/>
    <w:rsid w:val="00EE28F3"/>
    <w:rsid w:val="00EE2EB1"/>
    <w:rsid w:val="00EE2F77"/>
    <w:rsid w:val="00EE3177"/>
    <w:rsid w:val="00EE32D0"/>
    <w:rsid w:val="00EE3369"/>
    <w:rsid w:val="00EE3536"/>
    <w:rsid w:val="00EE3C59"/>
    <w:rsid w:val="00EE4532"/>
    <w:rsid w:val="00EE554E"/>
    <w:rsid w:val="00EE5EA1"/>
    <w:rsid w:val="00EE6355"/>
    <w:rsid w:val="00EE6D17"/>
    <w:rsid w:val="00EE7222"/>
    <w:rsid w:val="00EE7490"/>
    <w:rsid w:val="00EE77EB"/>
    <w:rsid w:val="00EE7D1E"/>
    <w:rsid w:val="00EF0AE0"/>
    <w:rsid w:val="00EF0B9F"/>
    <w:rsid w:val="00EF0EB9"/>
    <w:rsid w:val="00EF15F4"/>
    <w:rsid w:val="00EF19FA"/>
    <w:rsid w:val="00EF22A7"/>
    <w:rsid w:val="00EF24CA"/>
    <w:rsid w:val="00EF2AEE"/>
    <w:rsid w:val="00EF2E6F"/>
    <w:rsid w:val="00EF3439"/>
    <w:rsid w:val="00EF3A76"/>
    <w:rsid w:val="00EF3D78"/>
    <w:rsid w:val="00EF42DD"/>
    <w:rsid w:val="00EF4886"/>
    <w:rsid w:val="00EF5110"/>
    <w:rsid w:val="00EF5582"/>
    <w:rsid w:val="00EF5733"/>
    <w:rsid w:val="00EF611B"/>
    <w:rsid w:val="00EF623B"/>
    <w:rsid w:val="00EF6942"/>
    <w:rsid w:val="00EF6978"/>
    <w:rsid w:val="00EF7194"/>
    <w:rsid w:val="00EF72B4"/>
    <w:rsid w:val="00EF7329"/>
    <w:rsid w:val="00EF7AC0"/>
    <w:rsid w:val="00EF7B6A"/>
    <w:rsid w:val="00EF7BDC"/>
    <w:rsid w:val="00F00F27"/>
    <w:rsid w:val="00F01648"/>
    <w:rsid w:val="00F017B4"/>
    <w:rsid w:val="00F01E99"/>
    <w:rsid w:val="00F026F7"/>
    <w:rsid w:val="00F02B60"/>
    <w:rsid w:val="00F034BF"/>
    <w:rsid w:val="00F0350A"/>
    <w:rsid w:val="00F0399F"/>
    <w:rsid w:val="00F0563E"/>
    <w:rsid w:val="00F05B2B"/>
    <w:rsid w:val="00F06017"/>
    <w:rsid w:val="00F06391"/>
    <w:rsid w:val="00F06FDD"/>
    <w:rsid w:val="00F0769D"/>
    <w:rsid w:val="00F10104"/>
    <w:rsid w:val="00F10FD0"/>
    <w:rsid w:val="00F12062"/>
    <w:rsid w:val="00F12B3A"/>
    <w:rsid w:val="00F12B49"/>
    <w:rsid w:val="00F1401A"/>
    <w:rsid w:val="00F14245"/>
    <w:rsid w:val="00F15882"/>
    <w:rsid w:val="00F159AC"/>
    <w:rsid w:val="00F1647E"/>
    <w:rsid w:val="00F16946"/>
    <w:rsid w:val="00F16DC0"/>
    <w:rsid w:val="00F16EB0"/>
    <w:rsid w:val="00F1720B"/>
    <w:rsid w:val="00F1725F"/>
    <w:rsid w:val="00F17581"/>
    <w:rsid w:val="00F17615"/>
    <w:rsid w:val="00F17B93"/>
    <w:rsid w:val="00F17C8F"/>
    <w:rsid w:val="00F17E05"/>
    <w:rsid w:val="00F206E7"/>
    <w:rsid w:val="00F20A4D"/>
    <w:rsid w:val="00F20BD3"/>
    <w:rsid w:val="00F21757"/>
    <w:rsid w:val="00F21D4C"/>
    <w:rsid w:val="00F2244C"/>
    <w:rsid w:val="00F22510"/>
    <w:rsid w:val="00F2390F"/>
    <w:rsid w:val="00F24021"/>
    <w:rsid w:val="00F24154"/>
    <w:rsid w:val="00F2469E"/>
    <w:rsid w:val="00F24BD6"/>
    <w:rsid w:val="00F25EA8"/>
    <w:rsid w:val="00F265CD"/>
    <w:rsid w:val="00F30566"/>
    <w:rsid w:val="00F3056C"/>
    <w:rsid w:val="00F30A46"/>
    <w:rsid w:val="00F30B8C"/>
    <w:rsid w:val="00F30F4E"/>
    <w:rsid w:val="00F31007"/>
    <w:rsid w:val="00F315CB"/>
    <w:rsid w:val="00F31C2B"/>
    <w:rsid w:val="00F329B6"/>
    <w:rsid w:val="00F32F33"/>
    <w:rsid w:val="00F331B5"/>
    <w:rsid w:val="00F33920"/>
    <w:rsid w:val="00F33D02"/>
    <w:rsid w:val="00F34063"/>
    <w:rsid w:val="00F34255"/>
    <w:rsid w:val="00F34374"/>
    <w:rsid w:val="00F346E3"/>
    <w:rsid w:val="00F34AF6"/>
    <w:rsid w:val="00F34CC8"/>
    <w:rsid w:val="00F35376"/>
    <w:rsid w:val="00F35654"/>
    <w:rsid w:val="00F3652E"/>
    <w:rsid w:val="00F3660F"/>
    <w:rsid w:val="00F36A45"/>
    <w:rsid w:val="00F36EB5"/>
    <w:rsid w:val="00F373A5"/>
    <w:rsid w:val="00F37625"/>
    <w:rsid w:val="00F37BAB"/>
    <w:rsid w:val="00F403DD"/>
    <w:rsid w:val="00F4056A"/>
    <w:rsid w:val="00F40622"/>
    <w:rsid w:val="00F4185D"/>
    <w:rsid w:val="00F41AE2"/>
    <w:rsid w:val="00F41EB2"/>
    <w:rsid w:val="00F42075"/>
    <w:rsid w:val="00F42136"/>
    <w:rsid w:val="00F43704"/>
    <w:rsid w:val="00F4376D"/>
    <w:rsid w:val="00F44A6D"/>
    <w:rsid w:val="00F44E89"/>
    <w:rsid w:val="00F45250"/>
    <w:rsid w:val="00F45913"/>
    <w:rsid w:val="00F46516"/>
    <w:rsid w:val="00F46C6C"/>
    <w:rsid w:val="00F47559"/>
    <w:rsid w:val="00F47692"/>
    <w:rsid w:val="00F4775A"/>
    <w:rsid w:val="00F501D9"/>
    <w:rsid w:val="00F5093E"/>
    <w:rsid w:val="00F509C1"/>
    <w:rsid w:val="00F519AF"/>
    <w:rsid w:val="00F519F5"/>
    <w:rsid w:val="00F523BE"/>
    <w:rsid w:val="00F523E6"/>
    <w:rsid w:val="00F530A1"/>
    <w:rsid w:val="00F53492"/>
    <w:rsid w:val="00F5369A"/>
    <w:rsid w:val="00F53A0B"/>
    <w:rsid w:val="00F53B0B"/>
    <w:rsid w:val="00F54120"/>
    <w:rsid w:val="00F543F7"/>
    <w:rsid w:val="00F54939"/>
    <w:rsid w:val="00F54AF4"/>
    <w:rsid w:val="00F54F97"/>
    <w:rsid w:val="00F5520C"/>
    <w:rsid w:val="00F5553B"/>
    <w:rsid w:val="00F556C3"/>
    <w:rsid w:val="00F559F6"/>
    <w:rsid w:val="00F56CE2"/>
    <w:rsid w:val="00F57036"/>
    <w:rsid w:val="00F573D2"/>
    <w:rsid w:val="00F57558"/>
    <w:rsid w:val="00F5769C"/>
    <w:rsid w:val="00F57ACE"/>
    <w:rsid w:val="00F60589"/>
    <w:rsid w:val="00F60BE4"/>
    <w:rsid w:val="00F61238"/>
    <w:rsid w:val="00F61B84"/>
    <w:rsid w:val="00F61F51"/>
    <w:rsid w:val="00F62176"/>
    <w:rsid w:val="00F626BE"/>
    <w:rsid w:val="00F628CB"/>
    <w:rsid w:val="00F62EBD"/>
    <w:rsid w:val="00F62FCA"/>
    <w:rsid w:val="00F635DD"/>
    <w:rsid w:val="00F64C7B"/>
    <w:rsid w:val="00F666C3"/>
    <w:rsid w:val="00F66BD5"/>
    <w:rsid w:val="00F670AB"/>
    <w:rsid w:val="00F67480"/>
    <w:rsid w:val="00F676DD"/>
    <w:rsid w:val="00F67A67"/>
    <w:rsid w:val="00F67DD6"/>
    <w:rsid w:val="00F70141"/>
    <w:rsid w:val="00F70167"/>
    <w:rsid w:val="00F7045C"/>
    <w:rsid w:val="00F70C33"/>
    <w:rsid w:val="00F71A79"/>
    <w:rsid w:val="00F71A94"/>
    <w:rsid w:val="00F72068"/>
    <w:rsid w:val="00F7217D"/>
    <w:rsid w:val="00F7236F"/>
    <w:rsid w:val="00F72A11"/>
    <w:rsid w:val="00F734C6"/>
    <w:rsid w:val="00F73A07"/>
    <w:rsid w:val="00F74225"/>
    <w:rsid w:val="00F749D2"/>
    <w:rsid w:val="00F7511B"/>
    <w:rsid w:val="00F7561A"/>
    <w:rsid w:val="00F7597B"/>
    <w:rsid w:val="00F75A26"/>
    <w:rsid w:val="00F75AEE"/>
    <w:rsid w:val="00F7682E"/>
    <w:rsid w:val="00F77133"/>
    <w:rsid w:val="00F77ED8"/>
    <w:rsid w:val="00F802BE"/>
    <w:rsid w:val="00F802DA"/>
    <w:rsid w:val="00F808B2"/>
    <w:rsid w:val="00F813F5"/>
    <w:rsid w:val="00F817E9"/>
    <w:rsid w:val="00F81A2A"/>
    <w:rsid w:val="00F81C35"/>
    <w:rsid w:val="00F82457"/>
    <w:rsid w:val="00F8279F"/>
    <w:rsid w:val="00F83970"/>
    <w:rsid w:val="00F83CBE"/>
    <w:rsid w:val="00F83E05"/>
    <w:rsid w:val="00F83FAD"/>
    <w:rsid w:val="00F840EA"/>
    <w:rsid w:val="00F841BB"/>
    <w:rsid w:val="00F84F2A"/>
    <w:rsid w:val="00F8617E"/>
    <w:rsid w:val="00F8679C"/>
    <w:rsid w:val="00F8683B"/>
    <w:rsid w:val="00F870B5"/>
    <w:rsid w:val="00F876D3"/>
    <w:rsid w:val="00F87EEB"/>
    <w:rsid w:val="00F91148"/>
    <w:rsid w:val="00F91413"/>
    <w:rsid w:val="00F91936"/>
    <w:rsid w:val="00F91C36"/>
    <w:rsid w:val="00F91DC6"/>
    <w:rsid w:val="00F921BE"/>
    <w:rsid w:val="00F934C7"/>
    <w:rsid w:val="00F950E1"/>
    <w:rsid w:val="00F952A0"/>
    <w:rsid w:val="00F95535"/>
    <w:rsid w:val="00F95B04"/>
    <w:rsid w:val="00F9611B"/>
    <w:rsid w:val="00F964E0"/>
    <w:rsid w:val="00F96770"/>
    <w:rsid w:val="00F973CC"/>
    <w:rsid w:val="00F97819"/>
    <w:rsid w:val="00F97954"/>
    <w:rsid w:val="00FA0066"/>
    <w:rsid w:val="00FA0FB9"/>
    <w:rsid w:val="00FA12BF"/>
    <w:rsid w:val="00FA157D"/>
    <w:rsid w:val="00FA20B2"/>
    <w:rsid w:val="00FA2610"/>
    <w:rsid w:val="00FA2AA2"/>
    <w:rsid w:val="00FA2BAF"/>
    <w:rsid w:val="00FA2DBC"/>
    <w:rsid w:val="00FA397A"/>
    <w:rsid w:val="00FA3C7F"/>
    <w:rsid w:val="00FA4697"/>
    <w:rsid w:val="00FA4E09"/>
    <w:rsid w:val="00FA5D7C"/>
    <w:rsid w:val="00FA6CAB"/>
    <w:rsid w:val="00FA6E64"/>
    <w:rsid w:val="00FB0A39"/>
    <w:rsid w:val="00FB1726"/>
    <w:rsid w:val="00FB191E"/>
    <w:rsid w:val="00FB1AA2"/>
    <w:rsid w:val="00FB1CBD"/>
    <w:rsid w:val="00FB1F27"/>
    <w:rsid w:val="00FB20F8"/>
    <w:rsid w:val="00FB23E8"/>
    <w:rsid w:val="00FB2550"/>
    <w:rsid w:val="00FB2A19"/>
    <w:rsid w:val="00FB2D8D"/>
    <w:rsid w:val="00FB3844"/>
    <w:rsid w:val="00FB3B99"/>
    <w:rsid w:val="00FB3D8B"/>
    <w:rsid w:val="00FB3F88"/>
    <w:rsid w:val="00FB485E"/>
    <w:rsid w:val="00FB4B79"/>
    <w:rsid w:val="00FB52D7"/>
    <w:rsid w:val="00FB563E"/>
    <w:rsid w:val="00FB5A0A"/>
    <w:rsid w:val="00FB6802"/>
    <w:rsid w:val="00FB6B07"/>
    <w:rsid w:val="00FB6EDA"/>
    <w:rsid w:val="00FB74E2"/>
    <w:rsid w:val="00FB7895"/>
    <w:rsid w:val="00FB7B77"/>
    <w:rsid w:val="00FC0017"/>
    <w:rsid w:val="00FC0B52"/>
    <w:rsid w:val="00FC15E3"/>
    <w:rsid w:val="00FC218E"/>
    <w:rsid w:val="00FC250E"/>
    <w:rsid w:val="00FC27C7"/>
    <w:rsid w:val="00FC2D8C"/>
    <w:rsid w:val="00FC32E7"/>
    <w:rsid w:val="00FC3532"/>
    <w:rsid w:val="00FC3CF6"/>
    <w:rsid w:val="00FC4390"/>
    <w:rsid w:val="00FC476E"/>
    <w:rsid w:val="00FC4A48"/>
    <w:rsid w:val="00FC4C5D"/>
    <w:rsid w:val="00FC5812"/>
    <w:rsid w:val="00FC612A"/>
    <w:rsid w:val="00FC63B8"/>
    <w:rsid w:val="00FC7966"/>
    <w:rsid w:val="00FC7A11"/>
    <w:rsid w:val="00FD0454"/>
    <w:rsid w:val="00FD0517"/>
    <w:rsid w:val="00FD0E0E"/>
    <w:rsid w:val="00FD0F12"/>
    <w:rsid w:val="00FD1010"/>
    <w:rsid w:val="00FD19E9"/>
    <w:rsid w:val="00FD1A0A"/>
    <w:rsid w:val="00FD1FC7"/>
    <w:rsid w:val="00FD27F3"/>
    <w:rsid w:val="00FD2951"/>
    <w:rsid w:val="00FD2E9F"/>
    <w:rsid w:val="00FD3890"/>
    <w:rsid w:val="00FD39DD"/>
    <w:rsid w:val="00FD4369"/>
    <w:rsid w:val="00FD44B1"/>
    <w:rsid w:val="00FD5614"/>
    <w:rsid w:val="00FD59E4"/>
    <w:rsid w:val="00FD5B32"/>
    <w:rsid w:val="00FE06C9"/>
    <w:rsid w:val="00FE0BE1"/>
    <w:rsid w:val="00FE0CC1"/>
    <w:rsid w:val="00FE11BF"/>
    <w:rsid w:val="00FE1656"/>
    <w:rsid w:val="00FE1ACE"/>
    <w:rsid w:val="00FE1DE9"/>
    <w:rsid w:val="00FE21E0"/>
    <w:rsid w:val="00FE2FE2"/>
    <w:rsid w:val="00FE39C2"/>
    <w:rsid w:val="00FE4958"/>
    <w:rsid w:val="00FE5077"/>
    <w:rsid w:val="00FE51D2"/>
    <w:rsid w:val="00FE5D95"/>
    <w:rsid w:val="00FE5E2E"/>
    <w:rsid w:val="00FE6308"/>
    <w:rsid w:val="00FE63C6"/>
    <w:rsid w:val="00FE64AE"/>
    <w:rsid w:val="00FE74C3"/>
    <w:rsid w:val="00FE77F6"/>
    <w:rsid w:val="00FF0549"/>
    <w:rsid w:val="00FF0799"/>
    <w:rsid w:val="00FF0E77"/>
    <w:rsid w:val="00FF0FB2"/>
    <w:rsid w:val="00FF1093"/>
    <w:rsid w:val="00FF10B1"/>
    <w:rsid w:val="00FF153A"/>
    <w:rsid w:val="00FF15D6"/>
    <w:rsid w:val="00FF1792"/>
    <w:rsid w:val="00FF1E43"/>
    <w:rsid w:val="00FF2138"/>
    <w:rsid w:val="00FF2393"/>
    <w:rsid w:val="00FF260A"/>
    <w:rsid w:val="00FF2A31"/>
    <w:rsid w:val="00FF2B21"/>
    <w:rsid w:val="00FF3792"/>
    <w:rsid w:val="00FF529C"/>
    <w:rsid w:val="00FF557A"/>
    <w:rsid w:val="00FF5A62"/>
    <w:rsid w:val="00FF64DB"/>
    <w:rsid w:val="00FF6CD3"/>
    <w:rsid w:val="00FF6D1E"/>
    <w:rsid w:val="00FF7E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A2CB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A8"/>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pPr>
  </w:style>
  <w:style w:type="paragraph" w:customStyle="1" w:styleId="Numbered11">
    <w:name w:val="Numbered 1.1"/>
    <w:basedOn w:val="Heading2"/>
    <w:next w:val="Normal"/>
    <w:qFormat/>
    <w:rsid w:val="00A323D9"/>
    <w:pPr>
      <w:numPr>
        <w:ilvl w:val="1"/>
        <w:numId w:val="12"/>
      </w:numPr>
      <w:tabs>
        <w:tab w:val="left" w:pos="1021"/>
      </w:tabs>
    </w:pPr>
    <w:rPr>
      <w:rFonts w:cs="Arial"/>
    </w:rPr>
  </w:style>
  <w:style w:type="paragraph" w:customStyle="1" w:styleId="Numbered111">
    <w:name w:val="Numbered 1.1.1"/>
    <w:basedOn w:val="Heading3"/>
    <w:next w:val="Normal"/>
    <w:qFormat/>
    <w:rsid w:val="00F61B84"/>
    <w:pPr>
      <w:numPr>
        <w:ilvl w:val="2"/>
        <w:numId w:val="12"/>
      </w:numPr>
      <w:tabs>
        <w:tab w:val="left" w:pos="1361"/>
      </w:tabs>
      <w:contextualSpacing/>
    </w:pPr>
  </w:style>
  <w:style w:type="paragraph" w:customStyle="1" w:styleId="Numbered1111">
    <w:name w:val="Numbered 1.1.1.1"/>
    <w:basedOn w:val="Heading4"/>
    <w:next w:val="Normal"/>
    <w:rsid w:val="00F61B84"/>
    <w:pPr>
      <w:numPr>
        <w:ilvl w:val="3"/>
        <w:numId w:val="12"/>
      </w:numPr>
      <w:tabs>
        <w:tab w:val="left" w:pos="1361"/>
      </w:tabs>
    </w:pPr>
  </w:style>
  <w:style w:type="paragraph" w:customStyle="1" w:styleId="Numbered11111">
    <w:name w:val="Numbered 1.1.1.1.1"/>
    <w:basedOn w:val="Heading5"/>
    <w:next w:val="Normal"/>
    <w:uiPriority w:val="2"/>
    <w:rsid w:val="00F61B84"/>
    <w:pPr>
      <w:numPr>
        <w:ilvl w:val="4"/>
        <w:numId w:val="12"/>
      </w:numPr>
      <w:tabs>
        <w:tab w:val="left" w:pos="1701"/>
      </w:tabs>
    </w:pPr>
  </w:style>
  <w:style w:type="paragraph" w:customStyle="1" w:styleId="Numbered111111">
    <w:name w:val="Numbered 1.1.1.1.1.1"/>
    <w:basedOn w:val="Heading6"/>
    <w:next w:val="Normal"/>
    <w:uiPriority w:val="2"/>
    <w:rsid w:val="00F61B84"/>
    <w:pPr>
      <w:numPr>
        <w:ilvl w:val="5"/>
        <w:numId w:val="12"/>
      </w:numPr>
      <w:tabs>
        <w:tab w:val="left" w:pos="1701"/>
      </w:tabs>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aliases w:val="Bullet Point,L,List Bullet Cab,List Paragraph - bullets,List Paragraph1,List Paragraph11,NFP GP Bulleted List,Recommendation,Use Case List Paragraph,Content descriptions,CV text,F5 List Paragraph,Dot point list,List Paragraph2,FooterText"/>
    <w:basedOn w:val="Normal"/>
    <w:link w:val="ListParagraphChar"/>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pPr>
  </w:style>
  <w:style w:type="paragraph" w:customStyle="1" w:styleId="Numbered11111111">
    <w:name w:val="Numbered 1.1.1.1.1.1.1.1"/>
    <w:basedOn w:val="Heading8"/>
    <w:next w:val="Normal"/>
    <w:uiPriority w:val="2"/>
    <w:rsid w:val="00F61B84"/>
    <w:pPr>
      <w:numPr>
        <w:ilvl w:val="7"/>
        <w:numId w:val="12"/>
      </w:numPr>
      <w:tabs>
        <w:tab w:val="left" w:pos="2041"/>
      </w:tabs>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5728DA"/>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customStyle="1" w:styleId="UnresolvedMention1">
    <w:name w:val="Unresolved Mention1"/>
    <w:basedOn w:val="DefaultParagraphFont"/>
    <w:uiPriority w:val="99"/>
    <w:semiHidden/>
    <w:unhideWhenUsed/>
    <w:rsid w:val="003A00A7"/>
    <w:rPr>
      <w:color w:val="605E5C"/>
      <w:shd w:val="clear" w:color="auto" w:fill="E1DFDD"/>
    </w:rPr>
  </w:style>
  <w:style w:type="paragraph" w:customStyle="1" w:styleId="EmphasisPanelBullet">
    <w:name w:val="Emphasis Panel Bullet"/>
    <w:uiPriority w:val="11"/>
    <w:qFormat/>
    <w:rsid w:val="00933095"/>
    <w:pPr>
      <w:keepLines/>
      <w:numPr>
        <w:numId w:val="28"/>
      </w:numPr>
      <w:pBdr>
        <w:top w:val="single" w:sz="4" w:space="8" w:color="D5D6D2" w:themeColor="background2"/>
        <w:left w:val="single" w:sz="4" w:space="8" w:color="D5D6D2" w:themeColor="background2"/>
        <w:bottom w:val="single" w:sz="4" w:space="8" w:color="D5D6D2" w:themeColor="background2"/>
        <w:right w:val="single" w:sz="4" w:space="8" w:color="D5D6D2" w:themeColor="background2"/>
      </w:pBdr>
      <w:shd w:val="clear" w:color="auto" w:fill="D5D6D2" w:themeFill="background2"/>
      <w:spacing w:before="120" w:after="120" w:line="264" w:lineRule="auto"/>
      <w:ind w:right="215"/>
    </w:pPr>
    <w:rPr>
      <w:rFonts w:eastAsia="Times New Roman" w:cstheme="minorHAnsi"/>
      <w:color w:val="262626" w:themeColor="text1" w:themeTint="D9"/>
      <w:sz w:val="20"/>
      <w:lang w:val="en-US"/>
    </w:rPr>
  </w:style>
  <w:style w:type="character" w:styleId="CommentReference">
    <w:name w:val="annotation reference"/>
    <w:basedOn w:val="DefaultParagraphFont"/>
    <w:uiPriority w:val="99"/>
    <w:semiHidden/>
    <w:unhideWhenUsed/>
    <w:rsid w:val="000B1F2C"/>
    <w:rPr>
      <w:sz w:val="16"/>
      <w:szCs w:val="16"/>
    </w:rPr>
  </w:style>
  <w:style w:type="paragraph" w:styleId="CommentText">
    <w:name w:val="annotation text"/>
    <w:basedOn w:val="Normal"/>
    <w:link w:val="CommentTextChar"/>
    <w:uiPriority w:val="99"/>
    <w:unhideWhenUsed/>
    <w:rsid w:val="000B1F2C"/>
    <w:rPr>
      <w:sz w:val="20"/>
      <w:szCs w:val="20"/>
    </w:rPr>
  </w:style>
  <w:style w:type="character" w:customStyle="1" w:styleId="CommentTextChar">
    <w:name w:val="Comment Text Char"/>
    <w:basedOn w:val="DefaultParagraphFont"/>
    <w:link w:val="CommentText"/>
    <w:uiPriority w:val="99"/>
    <w:rsid w:val="000B1F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B1F2C"/>
    <w:rPr>
      <w:b/>
      <w:bCs/>
    </w:rPr>
  </w:style>
  <w:style w:type="character" w:customStyle="1" w:styleId="CommentSubjectChar">
    <w:name w:val="Comment Subject Char"/>
    <w:basedOn w:val="CommentTextChar"/>
    <w:link w:val="CommentSubject"/>
    <w:uiPriority w:val="99"/>
    <w:semiHidden/>
    <w:rsid w:val="000B1F2C"/>
    <w:rPr>
      <w:rFonts w:ascii="Arial" w:hAnsi="Arial"/>
      <w:b/>
      <w:bCs/>
      <w:sz w:val="20"/>
      <w:szCs w:val="20"/>
    </w:rPr>
  </w:style>
  <w:style w:type="character" w:styleId="FollowedHyperlink">
    <w:name w:val="FollowedHyperlink"/>
    <w:basedOn w:val="DefaultParagraphFont"/>
    <w:uiPriority w:val="99"/>
    <w:semiHidden/>
    <w:unhideWhenUsed/>
    <w:rsid w:val="00D20981"/>
    <w:rPr>
      <w:color w:val="800080" w:themeColor="followedHyperlink"/>
      <w:u w:val="single"/>
    </w:rPr>
  </w:style>
  <w:style w:type="paragraph" w:customStyle="1" w:styleId="Pa7">
    <w:name w:val="Pa7"/>
    <w:basedOn w:val="Normal"/>
    <w:next w:val="Normal"/>
    <w:uiPriority w:val="99"/>
    <w:rsid w:val="000E7D3A"/>
    <w:pPr>
      <w:autoSpaceDE w:val="0"/>
      <w:autoSpaceDN w:val="0"/>
      <w:adjustRightInd w:val="0"/>
      <w:spacing w:before="0" w:line="191" w:lineRule="atLeast"/>
    </w:pPr>
    <w:rPr>
      <w:rFonts w:ascii="Gotham Light" w:hAnsi="Gotham Light"/>
      <w:sz w:val="24"/>
      <w:szCs w:val="24"/>
    </w:rPr>
  </w:style>
  <w:style w:type="paragraph" w:customStyle="1" w:styleId="Default">
    <w:name w:val="Default"/>
    <w:rsid w:val="0047581E"/>
    <w:pPr>
      <w:autoSpaceDE w:val="0"/>
      <w:autoSpaceDN w:val="0"/>
      <w:adjustRightInd w:val="0"/>
      <w:spacing w:before="0"/>
    </w:pPr>
    <w:rPr>
      <w:rFonts w:ascii="Wingdings 3" w:hAnsi="Wingdings 3" w:cs="Wingdings 3"/>
      <w:color w:val="000000"/>
      <w:sz w:val="24"/>
      <w:szCs w:val="24"/>
    </w:rPr>
  </w:style>
  <w:style w:type="paragraph" w:customStyle="1" w:styleId="Pa6">
    <w:name w:val="Pa6"/>
    <w:basedOn w:val="Default"/>
    <w:next w:val="Default"/>
    <w:uiPriority w:val="99"/>
    <w:rsid w:val="0047581E"/>
    <w:pPr>
      <w:spacing w:line="191" w:lineRule="atLeast"/>
    </w:pPr>
    <w:rPr>
      <w:rFonts w:cstheme="minorBidi"/>
      <w:color w:val="auto"/>
    </w:rPr>
  </w:style>
  <w:style w:type="character" w:customStyle="1" w:styleId="A9">
    <w:name w:val="A9"/>
    <w:uiPriority w:val="99"/>
    <w:rsid w:val="0047581E"/>
    <w:rPr>
      <w:rFonts w:cs="Wingdings 3"/>
      <w:color w:val="000000"/>
      <w:sz w:val="19"/>
      <w:szCs w:val="19"/>
    </w:rPr>
  </w:style>
  <w:style w:type="character" w:customStyle="1" w:styleId="A10">
    <w:name w:val="A10"/>
    <w:uiPriority w:val="99"/>
    <w:rsid w:val="0047581E"/>
    <w:rPr>
      <w:rFonts w:ascii="Gotham Light" w:hAnsi="Gotham Light" w:cs="Gotham Light"/>
      <w:color w:val="000000"/>
      <w:sz w:val="11"/>
      <w:szCs w:val="11"/>
    </w:rPr>
  </w:style>
  <w:style w:type="paragraph" w:customStyle="1" w:styleId="Pa14">
    <w:name w:val="Pa14"/>
    <w:basedOn w:val="Default"/>
    <w:next w:val="Default"/>
    <w:uiPriority w:val="99"/>
    <w:rsid w:val="0047581E"/>
    <w:pPr>
      <w:spacing w:line="191" w:lineRule="atLeast"/>
    </w:pPr>
    <w:rPr>
      <w:rFonts w:cstheme="minorBidi"/>
      <w:color w:val="auto"/>
    </w:rPr>
  </w:style>
  <w:style w:type="character" w:customStyle="1" w:styleId="A12">
    <w:name w:val="A12"/>
    <w:uiPriority w:val="99"/>
    <w:rsid w:val="0047581E"/>
    <w:rPr>
      <w:rFonts w:ascii="Wingdings" w:hAnsi="Wingdings" w:cs="Wingdings"/>
      <w:color w:val="000000"/>
    </w:rPr>
  </w:style>
  <w:style w:type="paragraph" w:customStyle="1" w:styleId="Bulletpoint-KeyPointsandIssues">
    <w:name w:val="Bullet point - Key Points and Issues"/>
    <w:basedOn w:val="ListBullet"/>
    <w:qFormat/>
    <w:rsid w:val="005B5639"/>
    <w:pPr>
      <w:numPr>
        <w:numId w:val="0"/>
      </w:numPr>
      <w:spacing w:before="240"/>
      <w:ind w:left="360" w:hanging="360"/>
    </w:pPr>
    <w:rPr>
      <w:rFonts w:cs="Times New Roman"/>
      <w:sz w:val="28"/>
    </w:rPr>
  </w:style>
  <w:style w:type="table" w:customStyle="1" w:styleId="ACCCTable1">
    <w:name w:val="ACCC Table1"/>
    <w:basedOn w:val="TableNormal"/>
    <w:next w:val="TableGrid"/>
    <w:uiPriority w:val="59"/>
    <w:rsid w:val="0069673B"/>
    <w:pPr>
      <w:spacing w:before="60" w:after="60"/>
    </w:pPr>
    <w:rPr>
      <w:rFonts w:ascii="Arial" w:hAnsi="Arial"/>
      <w:sz w:val="20"/>
    </w:rPr>
    <w:tblPr>
      <w:tblBorders>
        <w:top w:val="single" w:sz="4" w:space="0" w:color="BFBFBF"/>
        <w:bottom w:val="single" w:sz="4" w:space="0" w:color="BFBF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GridTable1Light-Accent3">
    <w:name w:val="Grid Table 1 Light Accent 3"/>
    <w:basedOn w:val="TableNormal"/>
    <w:uiPriority w:val="46"/>
    <w:rsid w:val="002473DF"/>
    <w:tblPr>
      <w:tblStyleRowBandSize w:val="1"/>
      <w:tblStyleColBandSize w:val="1"/>
      <w:tblBorders>
        <w:top w:val="single" w:sz="4" w:space="0" w:color="A69DC7" w:themeColor="accent3" w:themeTint="66"/>
        <w:left w:val="single" w:sz="4" w:space="0" w:color="A69DC7" w:themeColor="accent3" w:themeTint="66"/>
        <w:bottom w:val="single" w:sz="4" w:space="0" w:color="A69DC7" w:themeColor="accent3" w:themeTint="66"/>
        <w:right w:val="single" w:sz="4" w:space="0" w:color="A69DC7" w:themeColor="accent3" w:themeTint="66"/>
        <w:insideH w:val="single" w:sz="4" w:space="0" w:color="A69DC7" w:themeColor="accent3" w:themeTint="66"/>
        <w:insideV w:val="single" w:sz="4" w:space="0" w:color="A69DC7" w:themeColor="accent3" w:themeTint="66"/>
      </w:tblBorders>
    </w:tblPr>
    <w:tblStylePr w:type="firstRow">
      <w:rPr>
        <w:b/>
        <w:bCs/>
      </w:rPr>
      <w:tblPr/>
      <w:tcPr>
        <w:tcBorders>
          <w:bottom w:val="single" w:sz="12" w:space="0" w:color="796DAB" w:themeColor="accent3" w:themeTint="99"/>
        </w:tcBorders>
      </w:tcPr>
    </w:tblStylePr>
    <w:tblStylePr w:type="lastRow">
      <w:rPr>
        <w:b/>
        <w:bCs/>
      </w:rPr>
      <w:tblPr/>
      <w:tcPr>
        <w:tcBorders>
          <w:top w:val="double" w:sz="2" w:space="0" w:color="796DAB"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3F03BD"/>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6856CC"/>
    <w:pPr>
      <w:spacing w:before="0"/>
    </w:pPr>
    <w:rPr>
      <w:rFonts w:ascii="Arial" w:hAnsi="Arial"/>
    </w:rPr>
  </w:style>
  <w:style w:type="character" w:customStyle="1" w:styleId="ListParagraphChar">
    <w:name w:val="List Paragraph Char"/>
    <w:aliases w:val="Bullet Point Char,L Char,List Bullet Cab Char,List Paragraph - bullets Char,List Paragraph1 Char,List Paragraph11 Char,NFP GP Bulleted List Char,Recommendation Char,Use Case List Paragraph Char,Content descriptions Char,CV text Char"/>
    <w:basedOn w:val="DefaultParagraphFont"/>
    <w:link w:val="ListParagraph"/>
    <w:uiPriority w:val="34"/>
    <w:qFormat/>
    <w:locked/>
    <w:rsid w:val="007C5950"/>
    <w:rPr>
      <w:rFonts w:ascii="Arial" w:hAnsi="Arial"/>
    </w:rPr>
  </w:style>
  <w:style w:type="character" w:customStyle="1" w:styleId="UnresolvedMention">
    <w:name w:val="Unresolved Mention"/>
    <w:basedOn w:val="DefaultParagraphFont"/>
    <w:uiPriority w:val="99"/>
    <w:semiHidden/>
    <w:unhideWhenUsed/>
    <w:rsid w:val="0060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72">
      <w:bodyDiv w:val="1"/>
      <w:marLeft w:val="0"/>
      <w:marRight w:val="0"/>
      <w:marTop w:val="0"/>
      <w:marBottom w:val="0"/>
      <w:divBdr>
        <w:top w:val="none" w:sz="0" w:space="0" w:color="auto"/>
        <w:left w:val="none" w:sz="0" w:space="0" w:color="auto"/>
        <w:bottom w:val="none" w:sz="0" w:space="0" w:color="auto"/>
        <w:right w:val="none" w:sz="0" w:space="0" w:color="auto"/>
      </w:divBdr>
    </w:div>
    <w:div w:id="40787587">
      <w:bodyDiv w:val="1"/>
      <w:marLeft w:val="0"/>
      <w:marRight w:val="0"/>
      <w:marTop w:val="0"/>
      <w:marBottom w:val="0"/>
      <w:divBdr>
        <w:top w:val="none" w:sz="0" w:space="0" w:color="auto"/>
        <w:left w:val="none" w:sz="0" w:space="0" w:color="auto"/>
        <w:bottom w:val="none" w:sz="0" w:space="0" w:color="auto"/>
        <w:right w:val="none" w:sz="0" w:space="0" w:color="auto"/>
      </w:divBdr>
    </w:div>
    <w:div w:id="44642436">
      <w:bodyDiv w:val="1"/>
      <w:marLeft w:val="0"/>
      <w:marRight w:val="0"/>
      <w:marTop w:val="0"/>
      <w:marBottom w:val="0"/>
      <w:divBdr>
        <w:top w:val="none" w:sz="0" w:space="0" w:color="auto"/>
        <w:left w:val="none" w:sz="0" w:space="0" w:color="auto"/>
        <w:bottom w:val="none" w:sz="0" w:space="0" w:color="auto"/>
        <w:right w:val="none" w:sz="0" w:space="0" w:color="auto"/>
      </w:divBdr>
    </w:div>
    <w:div w:id="53041605">
      <w:bodyDiv w:val="1"/>
      <w:marLeft w:val="0"/>
      <w:marRight w:val="0"/>
      <w:marTop w:val="0"/>
      <w:marBottom w:val="0"/>
      <w:divBdr>
        <w:top w:val="none" w:sz="0" w:space="0" w:color="auto"/>
        <w:left w:val="none" w:sz="0" w:space="0" w:color="auto"/>
        <w:bottom w:val="none" w:sz="0" w:space="0" w:color="auto"/>
        <w:right w:val="none" w:sz="0" w:space="0" w:color="auto"/>
      </w:divBdr>
    </w:div>
    <w:div w:id="137378236">
      <w:bodyDiv w:val="1"/>
      <w:marLeft w:val="0"/>
      <w:marRight w:val="0"/>
      <w:marTop w:val="0"/>
      <w:marBottom w:val="0"/>
      <w:divBdr>
        <w:top w:val="none" w:sz="0" w:space="0" w:color="auto"/>
        <w:left w:val="none" w:sz="0" w:space="0" w:color="auto"/>
        <w:bottom w:val="none" w:sz="0" w:space="0" w:color="auto"/>
        <w:right w:val="none" w:sz="0" w:space="0" w:color="auto"/>
      </w:divBdr>
    </w:div>
    <w:div w:id="150604375">
      <w:bodyDiv w:val="1"/>
      <w:marLeft w:val="0"/>
      <w:marRight w:val="0"/>
      <w:marTop w:val="0"/>
      <w:marBottom w:val="0"/>
      <w:divBdr>
        <w:top w:val="none" w:sz="0" w:space="0" w:color="auto"/>
        <w:left w:val="none" w:sz="0" w:space="0" w:color="auto"/>
        <w:bottom w:val="none" w:sz="0" w:space="0" w:color="auto"/>
        <w:right w:val="none" w:sz="0" w:space="0" w:color="auto"/>
      </w:divBdr>
    </w:div>
    <w:div w:id="161051686">
      <w:bodyDiv w:val="1"/>
      <w:marLeft w:val="0"/>
      <w:marRight w:val="0"/>
      <w:marTop w:val="0"/>
      <w:marBottom w:val="0"/>
      <w:divBdr>
        <w:top w:val="none" w:sz="0" w:space="0" w:color="auto"/>
        <w:left w:val="none" w:sz="0" w:space="0" w:color="auto"/>
        <w:bottom w:val="none" w:sz="0" w:space="0" w:color="auto"/>
        <w:right w:val="none" w:sz="0" w:space="0" w:color="auto"/>
      </w:divBdr>
    </w:div>
    <w:div w:id="170610035">
      <w:bodyDiv w:val="1"/>
      <w:marLeft w:val="0"/>
      <w:marRight w:val="0"/>
      <w:marTop w:val="0"/>
      <w:marBottom w:val="0"/>
      <w:divBdr>
        <w:top w:val="none" w:sz="0" w:space="0" w:color="auto"/>
        <w:left w:val="none" w:sz="0" w:space="0" w:color="auto"/>
        <w:bottom w:val="none" w:sz="0" w:space="0" w:color="auto"/>
        <w:right w:val="none" w:sz="0" w:space="0" w:color="auto"/>
      </w:divBdr>
    </w:div>
    <w:div w:id="222713267">
      <w:bodyDiv w:val="1"/>
      <w:marLeft w:val="0"/>
      <w:marRight w:val="0"/>
      <w:marTop w:val="0"/>
      <w:marBottom w:val="0"/>
      <w:divBdr>
        <w:top w:val="none" w:sz="0" w:space="0" w:color="auto"/>
        <w:left w:val="none" w:sz="0" w:space="0" w:color="auto"/>
        <w:bottom w:val="none" w:sz="0" w:space="0" w:color="auto"/>
        <w:right w:val="none" w:sz="0" w:space="0" w:color="auto"/>
      </w:divBdr>
    </w:div>
    <w:div w:id="308899313">
      <w:bodyDiv w:val="1"/>
      <w:marLeft w:val="0"/>
      <w:marRight w:val="0"/>
      <w:marTop w:val="0"/>
      <w:marBottom w:val="0"/>
      <w:divBdr>
        <w:top w:val="none" w:sz="0" w:space="0" w:color="auto"/>
        <w:left w:val="none" w:sz="0" w:space="0" w:color="auto"/>
        <w:bottom w:val="none" w:sz="0" w:space="0" w:color="auto"/>
        <w:right w:val="none" w:sz="0" w:space="0" w:color="auto"/>
      </w:divBdr>
    </w:div>
    <w:div w:id="349989418">
      <w:bodyDiv w:val="1"/>
      <w:marLeft w:val="0"/>
      <w:marRight w:val="0"/>
      <w:marTop w:val="0"/>
      <w:marBottom w:val="0"/>
      <w:divBdr>
        <w:top w:val="none" w:sz="0" w:space="0" w:color="auto"/>
        <w:left w:val="none" w:sz="0" w:space="0" w:color="auto"/>
        <w:bottom w:val="none" w:sz="0" w:space="0" w:color="auto"/>
        <w:right w:val="none" w:sz="0" w:space="0" w:color="auto"/>
      </w:divBdr>
    </w:div>
    <w:div w:id="388724767">
      <w:bodyDiv w:val="1"/>
      <w:marLeft w:val="0"/>
      <w:marRight w:val="0"/>
      <w:marTop w:val="0"/>
      <w:marBottom w:val="0"/>
      <w:divBdr>
        <w:top w:val="none" w:sz="0" w:space="0" w:color="auto"/>
        <w:left w:val="none" w:sz="0" w:space="0" w:color="auto"/>
        <w:bottom w:val="none" w:sz="0" w:space="0" w:color="auto"/>
        <w:right w:val="none" w:sz="0" w:space="0" w:color="auto"/>
      </w:divBdr>
    </w:div>
    <w:div w:id="428163768">
      <w:bodyDiv w:val="1"/>
      <w:marLeft w:val="0"/>
      <w:marRight w:val="0"/>
      <w:marTop w:val="0"/>
      <w:marBottom w:val="0"/>
      <w:divBdr>
        <w:top w:val="none" w:sz="0" w:space="0" w:color="auto"/>
        <w:left w:val="none" w:sz="0" w:space="0" w:color="auto"/>
        <w:bottom w:val="none" w:sz="0" w:space="0" w:color="auto"/>
        <w:right w:val="none" w:sz="0" w:space="0" w:color="auto"/>
      </w:divBdr>
    </w:div>
    <w:div w:id="437407283">
      <w:bodyDiv w:val="1"/>
      <w:marLeft w:val="0"/>
      <w:marRight w:val="0"/>
      <w:marTop w:val="0"/>
      <w:marBottom w:val="0"/>
      <w:divBdr>
        <w:top w:val="none" w:sz="0" w:space="0" w:color="auto"/>
        <w:left w:val="none" w:sz="0" w:space="0" w:color="auto"/>
        <w:bottom w:val="none" w:sz="0" w:space="0" w:color="auto"/>
        <w:right w:val="none" w:sz="0" w:space="0" w:color="auto"/>
      </w:divBdr>
    </w:div>
    <w:div w:id="461194347">
      <w:bodyDiv w:val="1"/>
      <w:marLeft w:val="0"/>
      <w:marRight w:val="0"/>
      <w:marTop w:val="0"/>
      <w:marBottom w:val="0"/>
      <w:divBdr>
        <w:top w:val="none" w:sz="0" w:space="0" w:color="auto"/>
        <w:left w:val="none" w:sz="0" w:space="0" w:color="auto"/>
        <w:bottom w:val="none" w:sz="0" w:space="0" w:color="auto"/>
        <w:right w:val="none" w:sz="0" w:space="0" w:color="auto"/>
      </w:divBdr>
    </w:div>
    <w:div w:id="474181007">
      <w:bodyDiv w:val="1"/>
      <w:marLeft w:val="0"/>
      <w:marRight w:val="0"/>
      <w:marTop w:val="0"/>
      <w:marBottom w:val="0"/>
      <w:divBdr>
        <w:top w:val="none" w:sz="0" w:space="0" w:color="auto"/>
        <w:left w:val="none" w:sz="0" w:space="0" w:color="auto"/>
        <w:bottom w:val="none" w:sz="0" w:space="0" w:color="auto"/>
        <w:right w:val="none" w:sz="0" w:space="0" w:color="auto"/>
      </w:divBdr>
    </w:div>
    <w:div w:id="511994629">
      <w:bodyDiv w:val="1"/>
      <w:marLeft w:val="0"/>
      <w:marRight w:val="0"/>
      <w:marTop w:val="0"/>
      <w:marBottom w:val="0"/>
      <w:divBdr>
        <w:top w:val="none" w:sz="0" w:space="0" w:color="auto"/>
        <w:left w:val="none" w:sz="0" w:space="0" w:color="auto"/>
        <w:bottom w:val="none" w:sz="0" w:space="0" w:color="auto"/>
        <w:right w:val="none" w:sz="0" w:space="0" w:color="auto"/>
      </w:divBdr>
    </w:div>
    <w:div w:id="537935135">
      <w:bodyDiv w:val="1"/>
      <w:marLeft w:val="0"/>
      <w:marRight w:val="0"/>
      <w:marTop w:val="0"/>
      <w:marBottom w:val="0"/>
      <w:divBdr>
        <w:top w:val="none" w:sz="0" w:space="0" w:color="auto"/>
        <w:left w:val="none" w:sz="0" w:space="0" w:color="auto"/>
        <w:bottom w:val="none" w:sz="0" w:space="0" w:color="auto"/>
        <w:right w:val="none" w:sz="0" w:space="0" w:color="auto"/>
      </w:divBdr>
    </w:div>
    <w:div w:id="540215327">
      <w:bodyDiv w:val="1"/>
      <w:marLeft w:val="0"/>
      <w:marRight w:val="0"/>
      <w:marTop w:val="0"/>
      <w:marBottom w:val="0"/>
      <w:divBdr>
        <w:top w:val="none" w:sz="0" w:space="0" w:color="auto"/>
        <w:left w:val="none" w:sz="0" w:space="0" w:color="auto"/>
        <w:bottom w:val="none" w:sz="0" w:space="0" w:color="auto"/>
        <w:right w:val="none" w:sz="0" w:space="0" w:color="auto"/>
      </w:divBdr>
    </w:div>
    <w:div w:id="548497322">
      <w:bodyDiv w:val="1"/>
      <w:marLeft w:val="0"/>
      <w:marRight w:val="0"/>
      <w:marTop w:val="0"/>
      <w:marBottom w:val="0"/>
      <w:divBdr>
        <w:top w:val="none" w:sz="0" w:space="0" w:color="auto"/>
        <w:left w:val="none" w:sz="0" w:space="0" w:color="auto"/>
        <w:bottom w:val="none" w:sz="0" w:space="0" w:color="auto"/>
        <w:right w:val="none" w:sz="0" w:space="0" w:color="auto"/>
      </w:divBdr>
    </w:div>
    <w:div w:id="565260899">
      <w:bodyDiv w:val="1"/>
      <w:marLeft w:val="0"/>
      <w:marRight w:val="0"/>
      <w:marTop w:val="0"/>
      <w:marBottom w:val="0"/>
      <w:divBdr>
        <w:top w:val="none" w:sz="0" w:space="0" w:color="auto"/>
        <w:left w:val="none" w:sz="0" w:space="0" w:color="auto"/>
        <w:bottom w:val="none" w:sz="0" w:space="0" w:color="auto"/>
        <w:right w:val="none" w:sz="0" w:space="0" w:color="auto"/>
      </w:divBdr>
    </w:div>
    <w:div w:id="573900425">
      <w:bodyDiv w:val="1"/>
      <w:marLeft w:val="0"/>
      <w:marRight w:val="0"/>
      <w:marTop w:val="0"/>
      <w:marBottom w:val="0"/>
      <w:divBdr>
        <w:top w:val="none" w:sz="0" w:space="0" w:color="auto"/>
        <w:left w:val="none" w:sz="0" w:space="0" w:color="auto"/>
        <w:bottom w:val="none" w:sz="0" w:space="0" w:color="auto"/>
        <w:right w:val="none" w:sz="0" w:space="0" w:color="auto"/>
      </w:divBdr>
    </w:div>
    <w:div w:id="617445264">
      <w:bodyDiv w:val="1"/>
      <w:marLeft w:val="0"/>
      <w:marRight w:val="0"/>
      <w:marTop w:val="0"/>
      <w:marBottom w:val="0"/>
      <w:divBdr>
        <w:top w:val="none" w:sz="0" w:space="0" w:color="auto"/>
        <w:left w:val="none" w:sz="0" w:space="0" w:color="auto"/>
        <w:bottom w:val="none" w:sz="0" w:space="0" w:color="auto"/>
        <w:right w:val="none" w:sz="0" w:space="0" w:color="auto"/>
      </w:divBdr>
    </w:div>
    <w:div w:id="642396255">
      <w:bodyDiv w:val="1"/>
      <w:marLeft w:val="0"/>
      <w:marRight w:val="0"/>
      <w:marTop w:val="0"/>
      <w:marBottom w:val="0"/>
      <w:divBdr>
        <w:top w:val="none" w:sz="0" w:space="0" w:color="auto"/>
        <w:left w:val="none" w:sz="0" w:space="0" w:color="auto"/>
        <w:bottom w:val="none" w:sz="0" w:space="0" w:color="auto"/>
        <w:right w:val="none" w:sz="0" w:space="0" w:color="auto"/>
      </w:divBdr>
    </w:div>
    <w:div w:id="652366634">
      <w:bodyDiv w:val="1"/>
      <w:marLeft w:val="0"/>
      <w:marRight w:val="0"/>
      <w:marTop w:val="0"/>
      <w:marBottom w:val="0"/>
      <w:divBdr>
        <w:top w:val="none" w:sz="0" w:space="0" w:color="auto"/>
        <w:left w:val="none" w:sz="0" w:space="0" w:color="auto"/>
        <w:bottom w:val="none" w:sz="0" w:space="0" w:color="auto"/>
        <w:right w:val="none" w:sz="0" w:space="0" w:color="auto"/>
      </w:divBdr>
    </w:div>
    <w:div w:id="691490402">
      <w:bodyDiv w:val="1"/>
      <w:marLeft w:val="0"/>
      <w:marRight w:val="0"/>
      <w:marTop w:val="0"/>
      <w:marBottom w:val="0"/>
      <w:divBdr>
        <w:top w:val="none" w:sz="0" w:space="0" w:color="auto"/>
        <w:left w:val="none" w:sz="0" w:space="0" w:color="auto"/>
        <w:bottom w:val="none" w:sz="0" w:space="0" w:color="auto"/>
        <w:right w:val="none" w:sz="0" w:space="0" w:color="auto"/>
      </w:divBdr>
    </w:div>
    <w:div w:id="747576596">
      <w:bodyDiv w:val="1"/>
      <w:marLeft w:val="0"/>
      <w:marRight w:val="0"/>
      <w:marTop w:val="0"/>
      <w:marBottom w:val="0"/>
      <w:divBdr>
        <w:top w:val="none" w:sz="0" w:space="0" w:color="auto"/>
        <w:left w:val="none" w:sz="0" w:space="0" w:color="auto"/>
        <w:bottom w:val="none" w:sz="0" w:space="0" w:color="auto"/>
        <w:right w:val="none" w:sz="0" w:space="0" w:color="auto"/>
      </w:divBdr>
    </w:div>
    <w:div w:id="757561437">
      <w:bodyDiv w:val="1"/>
      <w:marLeft w:val="0"/>
      <w:marRight w:val="0"/>
      <w:marTop w:val="0"/>
      <w:marBottom w:val="0"/>
      <w:divBdr>
        <w:top w:val="none" w:sz="0" w:space="0" w:color="auto"/>
        <w:left w:val="none" w:sz="0" w:space="0" w:color="auto"/>
        <w:bottom w:val="none" w:sz="0" w:space="0" w:color="auto"/>
        <w:right w:val="none" w:sz="0" w:space="0" w:color="auto"/>
      </w:divBdr>
    </w:div>
    <w:div w:id="760372281">
      <w:bodyDiv w:val="1"/>
      <w:marLeft w:val="0"/>
      <w:marRight w:val="0"/>
      <w:marTop w:val="0"/>
      <w:marBottom w:val="0"/>
      <w:divBdr>
        <w:top w:val="none" w:sz="0" w:space="0" w:color="auto"/>
        <w:left w:val="none" w:sz="0" w:space="0" w:color="auto"/>
        <w:bottom w:val="none" w:sz="0" w:space="0" w:color="auto"/>
        <w:right w:val="none" w:sz="0" w:space="0" w:color="auto"/>
      </w:divBdr>
    </w:div>
    <w:div w:id="843209092">
      <w:bodyDiv w:val="1"/>
      <w:marLeft w:val="0"/>
      <w:marRight w:val="0"/>
      <w:marTop w:val="0"/>
      <w:marBottom w:val="0"/>
      <w:divBdr>
        <w:top w:val="none" w:sz="0" w:space="0" w:color="auto"/>
        <w:left w:val="none" w:sz="0" w:space="0" w:color="auto"/>
        <w:bottom w:val="none" w:sz="0" w:space="0" w:color="auto"/>
        <w:right w:val="none" w:sz="0" w:space="0" w:color="auto"/>
      </w:divBdr>
    </w:div>
    <w:div w:id="856238546">
      <w:bodyDiv w:val="1"/>
      <w:marLeft w:val="0"/>
      <w:marRight w:val="0"/>
      <w:marTop w:val="0"/>
      <w:marBottom w:val="0"/>
      <w:divBdr>
        <w:top w:val="none" w:sz="0" w:space="0" w:color="auto"/>
        <w:left w:val="none" w:sz="0" w:space="0" w:color="auto"/>
        <w:bottom w:val="none" w:sz="0" w:space="0" w:color="auto"/>
        <w:right w:val="none" w:sz="0" w:space="0" w:color="auto"/>
      </w:divBdr>
    </w:div>
    <w:div w:id="887374776">
      <w:bodyDiv w:val="1"/>
      <w:marLeft w:val="0"/>
      <w:marRight w:val="0"/>
      <w:marTop w:val="0"/>
      <w:marBottom w:val="0"/>
      <w:divBdr>
        <w:top w:val="none" w:sz="0" w:space="0" w:color="auto"/>
        <w:left w:val="none" w:sz="0" w:space="0" w:color="auto"/>
        <w:bottom w:val="none" w:sz="0" w:space="0" w:color="auto"/>
        <w:right w:val="none" w:sz="0" w:space="0" w:color="auto"/>
      </w:divBdr>
    </w:div>
    <w:div w:id="889461709">
      <w:bodyDiv w:val="1"/>
      <w:marLeft w:val="0"/>
      <w:marRight w:val="0"/>
      <w:marTop w:val="0"/>
      <w:marBottom w:val="0"/>
      <w:divBdr>
        <w:top w:val="none" w:sz="0" w:space="0" w:color="auto"/>
        <w:left w:val="none" w:sz="0" w:space="0" w:color="auto"/>
        <w:bottom w:val="none" w:sz="0" w:space="0" w:color="auto"/>
        <w:right w:val="none" w:sz="0" w:space="0" w:color="auto"/>
      </w:divBdr>
    </w:div>
    <w:div w:id="100554901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49378341">
      <w:bodyDiv w:val="1"/>
      <w:marLeft w:val="0"/>
      <w:marRight w:val="0"/>
      <w:marTop w:val="0"/>
      <w:marBottom w:val="0"/>
      <w:divBdr>
        <w:top w:val="none" w:sz="0" w:space="0" w:color="auto"/>
        <w:left w:val="none" w:sz="0" w:space="0" w:color="auto"/>
        <w:bottom w:val="none" w:sz="0" w:space="0" w:color="auto"/>
        <w:right w:val="none" w:sz="0" w:space="0" w:color="auto"/>
      </w:divBdr>
    </w:div>
    <w:div w:id="1105423498">
      <w:bodyDiv w:val="1"/>
      <w:marLeft w:val="0"/>
      <w:marRight w:val="0"/>
      <w:marTop w:val="0"/>
      <w:marBottom w:val="0"/>
      <w:divBdr>
        <w:top w:val="none" w:sz="0" w:space="0" w:color="auto"/>
        <w:left w:val="none" w:sz="0" w:space="0" w:color="auto"/>
        <w:bottom w:val="none" w:sz="0" w:space="0" w:color="auto"/>
        <w:right w:val="none" w:sz="0" w:space="0" w:color="auto"/>
      </w:divBdr>
    </w:div>
    <w:div w:id="1106846687">
      <w:bodyDiv w:val="1"/>
      <w:marLeft w:val="0"/>
      <w:marRight w:val="0"/>
      <w:marTop w:val="0"/>
      <w:marBottom w:val="0"/>
      <w:divBdr>
        <w:top w:val="none" w:sz="0" w:space="0" w:color="auto"/>
        <w:left w:val="none" w:sz="0" w:space="0" w:color="auto"/>
        <w:bottom w:val="none" w:sz="0" w:space="0" w:color="auto"/>
        <w:right w:val="none" w:sz="0" w:space="0" w:color="auto"/>
      </w:divBdr>
    </w:div>
    <w:div w:id="1130128062">
      <w:bodyDiv w:val="1"/>
      <w:marLeft w:val="0"/>
      <w:marRight w:val="0"/>
      <w:marTop w:val="0"/>
      <w:marBottom w:val="0"/>
      <w:divBdr>
        <w:top w:val="none" w:sz="0" w:space="0" w:color="auto"/>
        <w:left w:val="none" w:sz="0" w:space="0" w:color="auto"/>
        <w:bottom w:val="none" w:sz="0" w:space="0" w:color="auto"/>
        <w:right w:val="none" w:sz="0" w:space="0" w:color="auto"/>
      </w:divBdr>
    </w:div>
    <w:div w:id="1241594627">
      <w:bodyDiv w:val="1"/>
      <w:marLeft w:val="0"/>
      <w:marRight w:val="0"/>
      <w:marTop w:val="0"/>
      <w:marBottom w:val="0"/>
      <w:divBdr>
        <w:top w:val="none" w:sz="0" w:space="0" w:color="auto"/>
        <w:left w:val="none" w:sz="0" w:space="0" w:color="auto"/>
        <w:bottom w:val="none" w:sz="0" w:space="0" w:color="auto"/>
        <w:right w:val="none" w:sz="0" w:space="0" w:color="auto"/>
      </w:divBdr>
    </w:div>
    <w:div w:id="1246647935">
      <w:bodyDiv w:val="1"/>
      <w:marLeft w:val="0"/>
      <w:marRight w:val="0"/>
      <w:marTop w:val="0"/>
      <w:marBottom w:val="0"/>
      <w:divBdr>
        <w:top w:val="none" w:sz="0" w:space="0" w:color="auto"/>
        <w:left w:val="none" w:sz="0" w:space="0" w:color="auto"/>
        <w:bottom w:val="none" w:sz="0" w:space="0" w:color="auto"/>
        <w:right w:val="none" w:sz="0" w:space="0" w:color="auto"/>
      </w:divBdr>
    </w:div>
    <w:div w:id="1293749978">
      <w:bodyDiv w:val="1"/>
      <w:marLeft w:val="0"/>
      <w:marRight w:val="0"/>
      <w:marTop w:val="0"/>
      <w:marBottom w:val="0"/>
      <w:divBdr>
        <w:top w:val="none" w:sz="0" w:space="0" w:color="auto"/>
        <w:left w:val="none" w:sz="0" w:space="0" w:color="auto"/>
        <w:bottom w:val="none" w:sz="0" w:space="0" w:color="auto"/>
        <w:right w:val="none" w:sz="0" w:space="0" w:color="auto"/>
      </w:divBdr>
    </w:div>
    <w:div w:id="1340040035">
      <w:bodyDiv w:val="1"/>
      <w:marLeft w:val="0"/>
      <w:marRight w:val="0"/>
      <w:marTop w:val="0"/>
      <w:marBottom w:val="0"/>
      <w:divBdr>
        <w:top w:val="none" w:sz="0" w:space="0" w:color="auto"/>
        <w:left w:val="none" w:sz="0" w:space="0" w:color="auto"/>
        <w:bottom w:val="none" w:sz="0" w:space="0" w:color="auto"/>
        <w:right w:val="none" w:sz="0" w:space="0" w:color="auto"/>
      </w:divBdr>
    </w:div>
    <w:div w:id="1353844717">
      <w:bodyDiv w:val="1"/>
      <w:marLeft w:val="0"/>
      <w:marRight w:val="0"/>
      <w:marTop w:val="0"/>
      <w:marBottom w:val="0"/>
      <w:divBdr>
        <w:top w:val="none" w:sz="0" w:space="0" w:color="auto"/>
        <w:left w:val="none" w:sz="0" w:space="0" w:color="auto"/>
        <w:bottom w:val="none" w:sz="0" w:space="0" w:color="auto"/>
        <w:right w:val="none" w:sz="0" w:space="0" w:color="auto"/>
      </w:divBdr>
    </w:div>
    <w:div w:id="1415199820">
      <w:bodyDiv w:val="1"/>
      <w:marLeft w:val="0"/>
      <w:marRight w:val="0"/>
      <w:marTop w:val="0"/>
      <w:marBottom w:val="0"/>
      <w:divBdr>
        <w:top w:val="none" w:sz="0" w:space="0" w:color="auto"/>
        <w:left w:val="none" w:sz="0" w:space="0" w:color="auto"/>
        <w:bottom w:val="none" w:sz="0" w:space="0" w:color="auto"/>
        <w:right w:val="none" w:sz="0" w:space="0" w:color="auto"/>
      </w:divBdr>
    </w:div>
    <w:div w:id="1481967897">
      <w:bodyDiv w:val="1"/>
      <w:marLeft w:val="0"/>
      <w:marRight w:val="0"/>
      <w:marTop w:val="0"/>
      <w:marBottom w:val="0"/>
      <w:divBdr>
        <w:top w:val="none" w:sz="0" w:space="0" w:color="auto"/>
        <w:left w:val="none" w:sz="0" w:space="0" w:color="auto"/>
        <w:bottom w:val="none" w:sz="0" w:space="0" w:color="auto"/>
        <w:right w:val="none" w:sz="0" w:space="0" w:color="auto"/>
      </w:divBdr>
    </w:div>
    <w:div w:id="1506507298">
      <w:bodyDiv w:val="1"/>
      <w:marLeft w:val="0"/>
      <w:marRight w:val="0"/>
      <w:marTop w:val="0"/>
      <w:marBottom w:val="0"/>
      <w:divBdr>
        <w:top w:val="none" w:sz="0" w:space="0" w:color="auto"/>
        <w:left w:val="none" w:sz="0" w:space="0" w:color="auto"/>
        <w:bottom w:val="none" w:sz="0" w:space="0" w:color="auto"/>
        <w:right w:val="none" w:sz="0" w:space="0" w:color="auto"/>
      </w:divBdr>
    </w:div>
    <w:div w:id="1517042906">
      <w:bodyDiv w:val="1"/>
      <w:marLeft w:val="0"/>
      <w:marRight w:val="0"/>
      <w:marTop w:val="0"/>
      <w:marBottom w:val="0"/>
      <w:divBdr>
        <w:top w:val="none" w:sz="0" w:space="0" w:color="auto"/>
        <w:left w:val="none" w:sz="0" w:space="0" w:color="auto"/>
        <w:bottom w:val="none" w:sz="0" w:space="0" w:color="auto"/>
        <w:right w:val="none" w:sz="0" w:space="0" w:color="auto"/>
      </w:divBdr>
    </w:div>
    <w:div w:id="1521356493">
      <w:bodyDiv w:val="1"/>
      <w:marLeft w:val="0"/>
      <w:marRight w:val="0"/>
      <w:marTop w:val="0"/>
      <w:marBottom w:val="0"/>
      <w:divBdr>
        <w:top w:val="none" w:sz="0" w:space="0" w:color="auto"/>
        <w:left w:val="none" w:sz="0" w:space="0" w:color="auto"/>
        <w:bottom w:val="none" w:sz="0" w:space="0" w:color="auto"/>
        <w:right w:val="none" w:sz="0" w:space="0" w:color="auto"/>
      </w:divBdr>
    </w:div>
    <w:div w:id="1529487754">
      <w:bodyDiv w:val="1"/>
      <w:marLeft w:val="0"/>
      <w:marRight w:val="0"/>
      <w:marTop w:val="0"/>
      <w:marBottom w:val="0"/>
      <w:divBdr>
        <w:top w:val="none" w:sz="0" w:space="0" w:color="auto"/>
        <w:left w:val="none" w:sz="0" w:space="0" w:color="auto"/>
        <w:bottom w:val="none" w:sz="0" w:space="0" w:color="auto"/>
        <w:right w:val="none" w:sz="0" w:space="0" w:color="auto"/>
      </w:divBdr>
    </w:div>
    <w:div w:id="1536774106">
      <w:bodyDiv w:val="1"/>
      <w:marLeft w:val="0"/>
      <w:marRight w:val="0"/>
      <w:marTop w:val="0"/>
      <w:marBottom w:val="0"/>
      <w:divBdr>
        <w:top w:val="none" w:sz="0" w:space="0" w:color="auto"/>
        <w:left w:val="none" w:sz="0" w:space="0" w:color="auto"/>
        <w:bottom w:val="none" w:sz="0" w:space="0" w:color="auto"/>
        <w:right w:val="none" w:sz="0" w:space="0" w:color="auto"/>
      </w:divBdr>
    </w:div>
    <w:div w:id="1550914767">
      <w:bodyDiv w:val="1"/>
      <w:marLeft w:val="0"/>
      <w:marRight w:val="0"/>
      <w:marTop w:val="0"/>
      <w:marBottom w:val="0"/>
      <w:divBdr>
        <w:top w:val="none" w:sz="0" w:space="0" w:color="auto"/>
        <w:left w:val="none" w:sz="0" w:space="0" w:color="auto"/>
        <w:bottom w:val="none" w:sz="0" w:space="0" w:color="auto"/>
        <w:right w:val="none" w:sz="0" w:space="0" w:color="auto"/>
      </w:divBdr>
    </w:div>
    <w:div w:id="1594242061">
      <w:bodyDiv w:val="1"/>
      <w:marLeft w:val="0"/>
      <w:marRight w:val="0"/>
      <w:marTop w:val="0"/>
      <w:marBottom w:val="0"/>
      <w:divBdr>
        <w:top w:val="none" w:sz="0" w:space="0" w:color="auto"/>
        <w:left w:val="none" w:sz="0" w:space="0" w:color="auto"/>
        <w:bottom w:val="none" w:sz="0" w:space="0" w:color="auto"/>
        <w:right w:val="none" w:sz="0" w:space="0" w:color="auto"/>
      </w:divBdr>
    </w:div>
    <w:div w:id="1607347173">
      <w:bodyDiv w:val="1"/>
      <w:marLeft w:val="0"/>
      <w:marRight w:val="0"/>
      <w:marTop w:val="0"/>
      <w:marBottom w:val="0"/>
      <w:divBdr>
        <w:top w:val="none" w:sz="0" w:space="0" w:color="auto"/>
        <w:left w:val="none" w:sz="0" w:space="0" w:color="auto"/>
        <w:bottom w:val="none" w:sz="0" w:space="0" w:color="auto"/>
        <w:right w:val="none" w:sz="0" w:space="0" w:color="auto"/>
      </w:divBdr>
    </w:div>
    <w:div w:id="1611277560">
      <w:bodyDiv w:val="1"/>
      <w:marLeft w:val="0"/>
      <w:marRight w:val="0"/>
      <w:marTop w:val="0"/>
      <w:marBottom w:val="0"/>
      <w:divBdr>
        <w:top w:val="none" w:sz="0" w:space="0" w:color="auto"/>
        <w:left w:val="none" w:sz="0" w:space="0" w:color="auto"/>
        <w:bottom w:val="none" w:sz="0" w:space="0" w:color="auto"/>
        <w:right w:val="none" w:sz="0" w:space="0" w:color="auto"/>
      </w:divBdr>
    </w:div>
    <w:div w:id="1619221548">
      <w:bodyDiv w:val="1"/>
      <w:marLeft w:val="0"/>
      <w:marRight w:val="0"/>
      <w:marTop w:val="0"/>
      <w:marBottom w:val="0"/>
      <w:divBdr>
        <w:top w:val="none" w:sz="0" w:space="0" w:color="auto"/>
        <w:left w:val="none" w:sz="0" w:space="0" w:color="auto"/>
        <w:bottom w:val="none" w:sz="0" w:space="0" w:color="auto"/>
        <w:right w:val="none" w:sz="0" w:space="0" w:color="auto"/>
      </w:divBdr>
    </w:div>
    <w:div w:id="1624656973">
      <w:bodyDiv w:val="1"/>
      <w:marLeft w:val="0"/>
      <w:marRight w:val="0"/>
      <w:marTop w:val="0"/>
      <w:marBottom w:val="0"/>
      <w:divBdr>
        <w:top w:val="none" w:sz="0" w:space="0" w:color="auto"/>
        <w:left w:val="none" w:sz="0" w:space="0" w:color="auto"/>
        <w:bottom w:val="none" w:sz="0" w:space="0" w:color="auto"/>
        <w:right w:val="none" w:sz="0" w:space="0" w:color="auto"/>
      </w:divBdr>
    </w:div>
    <w:div w:id="1647737512">
      <w:bodyDiv w:val="1"/>
      <w:marLeft w:val="0"/>
      <w:marRight w:val="0"/>
      <w:marTop w:val="0"/>
      <w:marBottom w:val="0"/>
      <w:divBdr>
        <w:top w:val="none" w:sz="0" w:space="0" w:color="auto"/>
        <w:left w:val="none" w:sz="0" w:space="0" w:color="auto"/>
        <w:bottom w:val="none" w:sz="0" w:space="0" w:color="auto"/>
        <w:right w:val="none" w:sz="0" w:space="0" w:color="auto"/>
      </w:divBdr>
    </w:div>
    <w:div w:id="1733430431">
      <w:bodyDiv w:val="1"/>
      <w:marLeft w:val="0"/>
      <w:marRight w:val="0"/>
      <w:marTop w:val="0"/>
      <w:marBottom w:val="0"/>
      <w:divBdr>
        <w:top w:val="none" w:sz="0" w:space="0" w:color="auto"/>
        <w:left w:val="none" w:sz="0" w:space="0" w:color="auto"/>
        <w:bottom w:val="none" w:sz="0" w:space="0" w:color="auto"/>
        <w:right w:val="none" w:sz="0" w:space="0" w:color="auto"/>
      </w:divBdr>
    </w:div>
    <w:div w:id="1790734482">
      <w:bodyDiv w:val="1"/>
      <w:marLeft w:val="0"/>
      <w:marRight w:val="0"/>
      <w:marTop w:val="0"/>
      <w:marBottom w:val="0"/>
      <w:divBdr>
        <w:top w:val="none" w:sz="0" w:space="0" w:color="auto"/>
        <w:left w:val="none" w:sz="0" w:space="0" w:color="auto"/>
        <w:bottom w:val="none" w:sz="0" w:space="0" w:color="auto"/>
        <w:right w:val="none" w:sz="0" w:space="0" w:color="auto"/>
      </w:divBdr>
    </w:div>
    <w:div w:id="1824201795">
      <w:bodyDiv w:val="1"/>
      <w:marLeft w:val="0"/>
      <w:marRight w:val="0"/>
      <w:marTop w:val="0"/>
      <w:marBottom w:val="0"/>
      <w:divBdr>
        <w:top w:val="none" w:sz="0" w:space="0" w:color="auto"/>
        <w:left w:val="none" w:sz="0" w:space="0" w:color="auto"/>
        <w:bottom w:val="none" w:sz="0" w:space="0" w:color="auto"/>
        <w:right w:val="none" w:sz="0" w:space="0" w:color="auto"/>
      </w:divBdr>
    </w:div>
    <w:div w:id="1946956150">
      <w:bodyDiv w:val="1"/>
      <w:marLeft w:val="0"/>
      <w:marRight w:val="0"/>
      <w:marTop w:val="0"/>
      <w:marBottom w:val="0"/>
      <w:divBdr>
        <w:top w:val="none" w:sz="0" w:space="0" w:color="auto"/>
        <w:left w:val="none" w:sz="0" w:space="0" w:color="auto"/>
        <w:bottom w:val="none" w:sz="0" w:space="0" w:color="auto"/>
        <w:right w:val="none" w:sz="0" w:space="0" w:color="auto"/>
      </w:divBdr>
    </w:div>
    <w:div w:id="1980190509">
      <w:bodyDiv w:val="1"/>
      <w:marLeft w:val="0"/>
      <w:marRight w:val="0"/>
      <w:marTop w:val="0"/>
      <w:marBottom w:val="0"/>
      <w:divBdr>
        <w:top w:val="none" w:sz="0" w:space="0" w:color="auto"/>
        <w:left w:val="none" w:sz="0" w:space="0" w:color="auto"/>
        <w:bottom w:val="none" w:sz="0" w:space="0" w:color="auto"/>
        <w:right w:val="none" w:sz="0" w:space="0" w:color="auto"/>
      </w:divBdr>
    </w:div>
    <w:div w:id="2045908368">
      <w:bodyDiv w:val="1"/>
      <w:marLeft w:val="0"/>
      <w:marRight w:val="0"/>
      <w:marTop w:val="0"/>
      <w:marBottom w:val="0"/>
      <w:divBdr>
        <w:top w:val="none" w:sz="0" w:space="0" w:color="auto"/>
        <w:left w:val="none" w:sz="0" w:space="0" w:color="auto"/>
        <w:bottom w:val="none" w:sz="0" w:space="0" w:color="auto"/>
        <w:right w:val="none" w:sz="0" w:space="0" w:color="auto"/>
      </w:divBdr>
    </w:div>
    <w:div w:id="2057656649">
      <w:bodyDiv w:val="1"/>
      <w:marLeft w:val="0"/>
      <w:marRight w:val="0"/>
      <w:marTop w:val="0"/>
      <w:marBottom w:val="0"/>
      <w:divBdr>
        <w:top w:val="none" w:sz="0" w:space="0" w:color="auto"/>
        <w:left w:val="none" w:sz="0" w:space="0" w:color="auto"/>
        <w:bottom w:val="none" w:sz="0" w:space="0" w:color="auto"/>
        <w:right w:val="none" w:sz="0" w:space="0" w:color="auto"/>
      </w:divBdr>
    </w:div>
    <w:div w:id="2062440618">
      <w:bodyDiv w:val="1"/>
      <w:marLeft w:val="0"/>
      <w:marRight w:val="0"/>
      <w:marTop w:val="0"/>
      <w:marBottom w:val="0"/>
      <w:divBdr>
        <w:top w:val="none" w:sz="0" w:space="0" w:color="auto"/>
        <w:left w:val="none" w:sz="0" w:space="0" w:color="auto"/>
        <w:bottom w:val="none" w:sz="0" w:space="0" w:color="auto"/>
        <w:right w:val="none" w:sz="0" w:space="0" w:color="auto"/>
      </w:divBdr>
    </w:div>
    <w:div w:id="2065903346">
      <w:bodyDiv w:val="1"/>
      <w:marLeft w:val="0"/>
      <w:marRight w:val="0"/>
      <w:marTop w:val="0"/>
      <w:marBottom w:val="0"/>
      <w:divBdr>
        <w:top w:val="none" w:sz="0" w:space="0" w:color="auto"/>
        <w:left w:val="none" w:sz="0" w:space="0" w:color="auto"/>
        <w:bottom w:val="none" w:sz="0" w:space="0" w:color="auto"/>
        <w:right w:val="none" w:sz="0" w:space="0" w:color="auto"/>
      </w:divBdr>
    </w:div>
    <w:div w:id="2073574936">
      <w:bodyDiv w:val="1"/>
      <w:marLeft w:val="0"/>
      <w:marRight w:val="0"/>
      <w:marTop w:val="0"/>
      <w:marBottom w:val="0"/>
      <w:divBdr>
        <w:top w:val="none" w:sz="0" w:space="0" w:color="auto"/>
        <w:left w:val="none" w:sz="0" w:space="0" w:color="auto"/>
        <w:bottom w:val="none" w:sz="0" w:space="0" w:color="auto"/>
        <w:right w:val="none" w:sz="0" w:space="0" w:color="auto"/>
      </w:divBdr>
    </w:div>
    <w:div w:id="212338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IPMarketReview@accc.gov.au" TargetMode="External"/><Relationship Id="rId18" Type="http://schemas.openxmlformats.org/officeDocument/2006/relationships/image" Target="media/image4.jpeg"/><Relationship Id="rId26" Type="http://schemas.openxmlformats.org/officeDocument/2006/relationships/hyperlink" Target="https://consultation.accc.gov.au/product-safety/infant-inclined-products-issues-paper/consultation/view_respondent?uuId=690782289" TargetMode="External"/><Relationship Id="rId51"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https://treasury.gov.au/consultation/c2021-223344" TargetMode="External"/><Relationship Id="rId47" Type="http://schemas.openxmlformats.org/officeDocument/2006/relationships/header" Target="header1.xml"/><Relationship Id="rId50" Type="http://schemas.openxmlformats.org/officeDocument/2006/relationships/hyperlink" Target="https://laws-lois.justice.gc.ca/eng/regulations/SOR-2016-152/index.html" TargetMode="External"/><Relationship Id="rId7" Type="http://schemas.openxmlformats.org/officeDocument/2006/relationships/endnotes" Target="endnotes.xml"/><Relationship Id="rId12" Type="http://schemas.openxmlformats.org/officeDocument/2006/relationships/hyperlink" Target="https://www.cpsc.gov/s3fs-public/Dr-Mannen-Study-FINAL-Report-09-18-2019_Redacted.corrected_0.pdf?g.Jao0IN_zU.TjiX4FeSUM3SPc3Zt_25" TargetMode="External"/><Relationship Id="rId17" Type="http://schemas.openxmlformats.org/officeDocument/2006/relationships/image" Target="media/image3.jpeg"/><Relationship Id="rId25" Type="http://schemas.openxmlformats.org/officeDocument/2006/relationships/hyperlink" Target="https://www.babyproductsafety.gov.au/" TargetMode="External"/><Relationship Id="rId33" Type="http://schemas.openxmlformats.org/officeDocument/2006/relationships/hyperlink" Target="https://www.iso.org/home.html" TargetMode="External"/><Relationship Id="rId46" Type="http://schemas.openxmlformats.org/officeDocument/2006/relationships/hyperlink" Target="https://laws-lois.justice.gc.ca/eng/regulations/SOR-2016-152/index.html"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www.productsafety.gov.au/product-safety-laws/legislation/mandatory-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accc.gov.au/product-safety/infant-inclined-products-issues-paper/" TargetMode="External"/><Relationship Id="rId24" Type="http://schemas.openxmlformats.org/officeDocument/2006/relationships/hyperlink" Target="https://consultation.accc.gov.au/product-safety/infant-inclined-products-issues-paper/supporting_documents/Infant%20Inclined%20Products%20Issues%20Paper.pdf" TargetMode="External"/><Relationship Id="rId32" Type="http://schemas.openxmlformats.org/officeDocument/2006/relationships/hyperlink" Target="https://www.standards.org.au/about/what-we-do" TargetMode="External"/><Relationship Id="rId45" Type="http://schemas.openxmlformats.org/officeDocument/2006/relationships/image" Target="media/image90.png"/><Relationship Id="rId5" Type="http://schemas.openxmlformats.org/officeDocument/2006/relationships/webSettings" Target="webSettings.xml"/><Relationship Id="rId15" Type="http://schemas.openxmlformats.org/officeDocument/2006/relationships/hyperlink" Target="https://www.accc.gov.au/system/files/ACCC-AER%20Information%20Policy.pdf" TargetMode="External"/><Relationship Id="rId23" Type="http://schemas.openxmlformats.org/officeDocument/2006/relationships/hyperlink" Target="https://www.accc.gov.au/about-us/australian-competition-consumer-commission/product-safety-priorities-2022-23" TargetMode="External"/><Relationship Id="rId28" Type="http://schemas.openxmlformats.org/officeDocument/2006/relationships/hyperlink" Target="https://www.legislation.gov.au/Details/F2008L00550" TargetMode="External"/><Relationship Id="rId36" Type="http://schemas.openxmlformats.org/officeDocument/2006/relationships/image" Target="media/image9.png"/><Relationship Id="rId49" Type="http://schemas.openxmlformats.org/officeDocument/2006/relationships/hyperlink" Target="https://www.productsafety.gov.au/product-safety-laws/safety-standards-bans/mandatory-standards/household-cots" TargetMode="Externa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hyperlink" Target="https://consultation.accc.gov.au/product-safety/infant-inclined-products-issues-paper/consultation/published_select_responden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oductsafety.gov.au" TargetMode="External"/><Relationship Id="rId22" Type="http://schemas.openxmlformats.org/officeDocument/2006/relationships/image" Target="media/image8.jpeg"/><Relationship Id="rId27" Type="http://schemas.openxmlformats.org/officeDocument/2006/relationships/hyperlink" Target="https://www.legislation.gov.au/Details/F2005L03885" TargetMode="External"/><Relationship Id="rId30" Type="http://schemas.openxmlformats.org/officeDocument/2006/relationships/hyperlink" Target="https://consultation.accc.gov.au/product-safety/infant-inclined-products-issues-paper/supporting_documents/Infant%20Inclined%20Products%20Issues%20Paper.pdf" TargetMode="External"/><Relationship Id="rId35" Type="http://schemas.openxmlformats.org/officeDocument/2006/relationships/hyperlink" Target="https://www.productsafety.gov.au/about-us/publications/best-practice-guide-for-the-design-of-safe-infant-sleeping-environments" TargetMode="External"/><Relationship Id="rId48" Type="http://schemas.openxmlformats.org/officeDocument/2006/relationships/hyperlink" Target="https://www.productsafety.gov.au/product-safety-laws/safety-standards-bans/mandatory-standards/folding-co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onsultation.accc.gov.au/product-safety/infant-inclined-products-issues-paper/consultation/view_respondent?uuId=891198827" TargetMode="External"/><Relationship Id="rId13" Type="http://schemas.openxmlformats.org/officeDocument/2006/relationships/hyperlink" Target="https://www.health.vic.gov.au/chief-health-officer/safe-sleeping-of-infants" TargetMode="External"/><Relationship Id="rId18" Type="http://schemas.openxmlformats.org/officeDocument/2006/relationships/hyperlink" Target="https://rednose.org.au/news/why-should-you-sleep-your-baby-on-their-back" TargetMode="External"/><Relationship Id="rId3" Type="http://schemas.openxmlformats.org/officeDocument/2006/relationships/hyperlink" Target="https://www.cpsc.gov/Newsroom/News-Releases/2020/CPSC-Cautions-Consumers-Not-to-Use-Inclined-Infant-Sleep-Products" TargetMode="External"/><Relationship Id="rId21" Type="http://schemas.openxmlformats.org/officeDocument/2006/relationships/hyperlink" Target="https://consultation.accc.gov.au/product-safety/infant-inclined-products-issues-paper/consultation/view_respondent?sort=excerpt&amp;order=ascending&amp;uuId=556696747" TargetMode="External"/><Relationship Id="rId7" Type="http://schemas.openxmlformats.org/officeDocument/2006/relationships/hyperlink" Target="https://www.cpsc.gov/s3fs-public/Dr-Mannen-Study-FINAL-Report-09-18-2019_Redacted.corrected_0.pdf?g.Jao0IN_zU.TjiX4FeSUM3SPc3Zt_25" TargetMode="External"/><Relationship Id="rId12" Type="http://schemas.openxmlformats.org/officeDocument/2006/relationships/hyperlink" Target="https://www.sahealth.sa.gov.au/wps/wcm/connect/public+content/sa+health+internet/clinical+resources/clinical+programs+and+practice+guidelines/womens+and+babies+health/safe+infant+sleeping+standards/safe+infant+sleeping+standards" TargetMode="External"/><Relationship Id="rId17" Type="http://schemas.openxmlformats.org/officeDocument/2006/relationships/hyperlink" Target="https://www.sidssa.org.au/about" TargetMode="External"/><Relationship Id="rId25" Type="http://schemas.openxmlformats.org/officeDocument/2006/relationships/hyperlink" Target="https://explore.data.abs.gov.au/vis?tm=infant%20deaths&amp;pg=0&amp;df%5bds%5d=ABS_ABS_TOPICS&amp;df%5bid%5d=INFANTDEATHS_REGISTRATIONYEAR&amp;df%5bag%5d=ABS&amp;df%5bvs%5d=1.0.0&amp;hc%5bMeasure%5d=Deaths&amp;pd=2015%2C&amp;dq=4....A&amp;ly%5bcl%5d=TIME_PERIOD" TargetMode="External"/><Relationship Id="rId2" Type="http://schemas.openxmlformats.org/officeDocument/2006/relationships/hyperlink" Target="https://www.productsafety.gov.au/product-safety-laws/safety-standards-bans/mandatory-standards" TargetMode="External"/><Relationship Id="rId16" Type="http://schemas.openxmlformats.org/officeDocument/2006/relationships/hyperlink" Target="https://www.health.act.gov.au/sites/default/files/2019-02/Safe%20Sleeping%20Guidelines%20-%20Neonates%20and%20Infants%20up%20to%2012%20months%20of%20age.doc" TargetMode="External"/><Relationship Id="rId20" Type="http://schemas.openxmlformats.org/officeDocument/2006/relationships/hyperlink" Target="https://obpr.pmc.gov.au/resources/guidance-assessing-impacts/value-statistical-life" TargetMode="External"/><Relationship Id="rId1" Type="http://schemas.openxmlformats.org/officeDocument/2006/relationships/hyperlink" Target="https://rednose.org.au/article/what-does-sudden-unexpected-death-in-infancy-sudi-mean" TargetMode="External"/><Relationship Id="rId6" Type="http://schemas.openxmlformats.org/officeDocument/2006/relationships/hyperlink" Target="https://doi.org/10.1111/j.1440-1754.1995.tb02910.x" TargetMode="External"/><Relationship Id="rId11" Type="http://schemas.openxmlformats.org/officeDocument/2006/relationships/hyperlink" Target="https://treasury.gov.au/consultation/c2021-223344" TargetMode="External"/><Relationship Id="rId24" Type="http://schemas.openxmlformats.org/officeDocument/2006/relationships/hyperlink" Target="https://explore.data.abs.gov.au/vis?tm=quarterly%20population&amp;pg=0&amp;df%5bds%5d=ABS_ABS_TOPICS&amp;df%5bid%5d=ERP_Q&amp;df%5bag%5d=ABS&amp;df%5bvs%5d=1.0.0&amp;hc%5bFrequency%5d=Quarterly&amp;pd=2019-Q2%2C&amp;dq=1.3.0..Q&amp;ly%5bcl%5d=TIME_PERIOD&amp;ly%5brw%5d=REGION" TargetMode="External"/><Relationship Id="rId5" Type="http://schemas.openxmlformats.org/officeDocument/2006/relationships/hyperlink" Target="https://www.cpsc.gov/s3fs-public/Dr-Mannen-Study-FINAL-Report-09-18-2019_Redacted.corrected_0.pdf?g.Jao0IN_zU.TjiX4FeSUM3SPc3Zt_25" TargetMode="External"/><Relationship Id="rId15" Type="http://schemas.openxmlformats.org/officeDocument/2006/relationships/hyperlink" Target="https://www.health.qld.gov.au/system-governance/policies-standards/guidelines" TargetMode="External"/><Relationship Id="rId23" Type="http://schemas.openxmlformats.org/officeDocument/2006/relationships/hyperlink" Target="https://www.abs.gov.au/statistics/people/population/national-state-and-territory-population/jun-2021" TargetMode="External"/><Relationship Id="rId10" Type="http://schemas.openxmlformats.org/officeDocument/2006/relationships/hyperlink" Target="https://www.abs.gov.au/about/data-services/data-explorer" TargetMode="External"/><Relationship Id="rId19" Type="http://schemas.openxmlformats.org/officeDocument/2006/relationships/hyperlink" Target="https://www.lullabytrust.org.uk/safer-sleep-advice/sleeping-position/" TargetMode="External"/><Relationship Id="rId4" Type="http://schemas.openxmlformats.org/officeDocument/2006/relationships/hyperlink" Target="https://rednose.org.au/article/why-back-to-sleep-is-the-safest-position-for-your-baby" TargetMode="External"/><Relationship Id="rId9" Type="http://schemas.openxmlformats.org/officeDocument/2006/relationships/hyperlink" Target="https://rednose.org.au/news/what-is-a-safe-sleeping-environment-for-your-baby" TargetMode="External"/><Relationship Id="rId14" Type="http://schemas.openxmlformats.org/officeDocument/2006/relationships/hyperlink" Target="https://ww2.health.wa.gov.au/About-us/Policy-frameworks/Clinical-Services-Planning-and-Programs/Mandatory-requirements/Newborns-and-Infants/Safe-Infant-Sleeping-policy" TargetMode="External"/><Relationship Id="rId22" Type="http://schemas.openxmlformats.org/officeDocument/2006/relationships/hyperlink" Target="https://www.astm.org/f2167-19.html"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14287</Words>
  <Characters>81437</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2022-08-12T02:50:00Z</dcterms:created>
  <dcterms:modified xsi:type="dcterms:W3CDTF">2022-08-12T02:50:00Z</dcterms:modified>
</cp:coreProperties>
</file>