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harts/style2.xml" ContentType="application/vnd.ms-office.chartstyle+xml"/>
  <Override PartName="/word/charts/chart2.xml" ContentType="application/vnd.openxmlformats-officedocument.drawingml.chart+xml"/>
  <Override PartName="/word/charts/colors2.xml" ContentType="application/vnd.ms-office.chartcolorstyle+xml"/>
  <Override PartName="/word/theme/themeOverride1.xml" ContentType="application/vnd.openxmlformats-officedocument.themeOverride+xml"/>
  <Override PartName="/word/charts/colors1.xml" ContentType="application/vnd.ms-office.chartcolorstyle+xml"/>
  <Override PartName="/word/charts/style1.xml" ContentType="application/vnd.ms-office.chartstyl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95D8F" w14:textId="77777777" w:rsidR="00A12B00" w:rsidRPr="00A12B00" w:rsidRDefault="00A12B00" w:rsidP="00A12B00">
      <w:pPr>
        <w:rPr>
          <w:rFonts w:ascii="Arial" w:eastAsia="Calibri" w:hAnsi="Arial" w:cs="Arial"/>
          <w:sz w:val="24"/>
          <w:szCs w:val="24"/>
        </w:rPr>
      </w:pPr>
      <w:bookmarkStart w:id="0" w:name="_Hlk89089486"/>
      <w:bookmarkEnd w:id="0"/>
    </w:p>
    <w:p w14:paraId="65B72132" w14:textId="77777777" w:rsidR="00A12B00" w:rsidRPr="00A12B00" w:rsidRDefault="00A12B00" w:rsidP="00A12B00">
      <w:pPr>
        <w:rPr>
          <w:rFonts w:ascii="Arial" w:eastAsia="Calibri" w:hAnsi="Arial" w:cs="Arial"/>
          <w:sz w:val="24"/>
          <w:szCs w:val="24"/>
        </w:rPr>
      </w:pPr>
    </w:p>
    <w:p w14:paraId="3D816AE2" w14:textId="77777777" w:rsidR="00A12B00" w:rsidRPr="00A12B00" w:rsidRDefault="00A12B00" w:rsidP="00A12B00">
      <w:pPr>
        <w:rPr>
          <w:rFonts w:ascii="Arial" w:eastAsia="Calibri" w:hAnsi="Arial" w:cs="Arial"/>
          <w:sz w:val="24"/>
          <w:szCs w:val="24"/>
        </w:rPr>
      </w:pPr>
    </w:p>
    <w:p w14:paraId="28EE3346" w14:textId="77777777" w:rsidR="00A12B00" w:rsidRPr="00A12B00" w:rsidRDefault="00A12B00" w:rsidP="00A12B00">
      <w:pPr>
        <w:rPr>
          <w:rFonts w:ascii="Arial" w:eastAsia="Calibri" w:hAnsi="Arial" w:cs="Arial"/>
          <w:b/>
          <w:bCs/>
          <w:color w:val="C00000"/>
          <w:sz w:val="24"/>
          <w:szCs w:val="24"/>
        </w:rPr>
      </w:pPr>
    </w:p>
    <w:p w14:paraId="5531CFBB" w14:textId="77777777" w:rsidR="00A12B00" w:rsidRPr="00A12B00" w:rsidRDefault="00A12B00" w:rsidP="00A12B00">
      <w:pPr>
        <w:tabs>
          <w:tab w:val="left" w:pos="1120"/>
        </w:tabs>
        <w:rPr>
          <w:rFonts w:ascii="Arial" w:eastAsia="Calibri" w:hAnsi="Arial" w:cs="Arial"/>
          <w:sz w:val="24"/>
          <w:szCs w:val="24"/>
        </w:rPr>
      </w:pPr>
      <w:r w:rsidRPr="00A12B00">
        <w:rPr>
          <w:rFonts w:ascii="Arial" w:eastAsia="Calibri" w:hAnsi="Arial" w:cs="Arial"/>
          <w:sz w:val="24"/>
          <w:szCs w:val="24"/>
        </w:rPr>
        <w:tab/>
      </w:r>
    </w:p>
    <w:p w14:paraId="72FB27D3" w14:textId="0FB75F75" w:rsidR="00A12B00" w:rsidRPr="00A12B00" w:rsidRDefault="00E54685" w:rsidP="00A12B00">
      <w:pPr>
        <w:rPr>
          <w:rFonts w:ascii="Arial" w:eastAsia="Calibri" w:hAnsi="Arial" w:cs="Arial"/>
          <w:sz w:val="24"/>
          <w:szCs w:val="24"/>
        </w:rPr>
      </w:pPr>
      <w:r w:rsidRPr="00A12B00">
        <w:rPr>
          <w:rFonts w:ascii="Arial" w:eastAsia="Calibri" w:hAnsi="Arial" w:cs="Arial"/>
          <w:b/>
          <w:bCs/>
          <w:noProof/>
          <w:color w:val="C00000"/>
          <w:sz w:val="24"/>
          <w:szCs w:val="24"/>
          <w:lang w:eastAsia="en-AU"/>
        </w:rPr>
        <mc:AlternateContent>
          <mc:Choice Requires="wps">
            <w:drawing>
              <wp:anchor distT="0" distB="0" distL="114300" distR="114300" simplePos="0" relativeHeight="251660288" behindDoc="0" locked="0" layoutInCell="1" allowOverlap="1" wp14:anchorId="148B59AE" wp14:editId="08D5CC78">
                <wp:simplePos x="0" y="0"/>
                <wp:positionH relativeFrom="margin">
                  <wp:align>left</wp:align>
                </wp:positionH>
                <wp:positionV relativeFrom="paragraph">
                  <wp:posOffset>4449445</wp:posOffset>
                </wp:positionV>
                <wp:extent cx="5410200" cy="698500"/>
                <wp:effectExtent l="0" t="0" r="0" b="6350"/>
                <wp:wrapNone/>
                <wp:docPr id="17" name="Text Box 17"/>
                <wp:cNvGraphicFramePr/>
                <a:graphic xmlns:a="http://schemas.openxmlformats.org/drawingml/2006/main">
                  <a:graphicData uri="http://schemas.microsoft.com/office/word/2010/wordprocessingShape">
                    <wps:wsp>
                      <wps:cNvSpPr txBox="1"/>
                      <wps:spPr>
                        <a:xfrm>
                          <a:off x="0" y="0"/>
                          <a:ext cx="5410200" cy="698500"/>
                        </a:xfrm>
                        <a:prstGeom prst="rect">
                          <a:avLst/>
                        </a:prstGeom>
                        <a:noFill/>
                        <a:ln w="6350">
                          <a:noFill/>
                        </a:ln>
                      </wps:spPr>
                      <wps:txbx>
                        <w:txbxContent>
                          <w:p w14:paraId="215E13B6" w14:textId="77777777" w:rsidR="00B3427F" w:rsidRDefault="00B3427F" w:rsidP="00A12B00">
                            <w:pPr>
                              <w:spacing w:after="0"/>
                              <w:rPr>
                                <w:rFonts w:ascii="Arial" w:hAnsi="Arial" w:cs="Arial"/>
                                <w:b/>
                                <w:bCs/>
                                <w:sz w:val="32"/>
                                <w:szCs w:val="32"/>
                              </w:rPr>
                            </w:pPr>
                            <w:r>
                              <w:rPr>
                                <w:rFonts w:ascii="Arial" w:hAnsi="Arial" w:cs="Arial"/>
                                <w:b/>
                                <w:bCs/>
                                <w:sz w:val="32"/>
                                <w:szCs w:val="32"/>
                              </w:rPr>
                              <w:t>Explosives Act Thematic Review</w:t>
                            </w:r>
                          </w:p>
                          <w:p w14:paraId="3126E491" w14:textId="77777777" w:rsidR="00B3427F" w:rsidRPr="00FF301B" w:rsidRDefault="00B3427F" w:rsidP="00A12B00">
                            <w:pPr>
                              <w:rPr>
                                <w:rFonts w:ascii="Arial" w:hAnsi="Arial" w:cs="Arial"/>
                                <w:b/>
                                <w:bCs/>
                                <w:sz w:val="32"/>
                                <w:szCs w:val="32"/>
                              </w:rPr>
                            </w:pPr>
                            <w:r w:rsidRPr="001830D0">
                              <w:rPr>
                                <w:rFonts w:ascii="Arial" w:hAnsi="Arial" w:cs="Arial"/>
                                <w:b/>
                                <w:bCs/>
                                <w:sz w:val="32"/>
                                <w:szCs w:val="32"/>
                              </w:rPr>
                              <w:t>Department of Defence | Explosive Ordnance Branch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48B59AE" id="_x0000_t202" coordsize="21600,21600" o:spt="202" path="m,l,21600r21600,l21600,xe">
                <v:stroke joinstyle="miter"/>
                <v:path gradientshapeok="t" o:connecttype="rect"/>
              </v:shapetype>
              <v:shape id="Text Box 17" o:spid="_x0000_s1026" type="#_x0000_t202" style="position:absolute;margin-left:0;margin-top:350.35pt;width:426pt;height:5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" filled="f" stroked="f" strokeweight=".5pt">
                <v:textbox>
                  <w:txbxContent>
                    <w:p w14:paraId="215E13B6" w14:textId="77777777" w:rsidR="00B3427F" w:rsidRDefault="00B3427F" w:rsidP="00A12B00">
                      <w:pPr>
                        <w:spacing w:after="0"/>
                        <w:rPr>
                          <w:rFonts w:ascii="Arial" w:hAnsi="Arial" w:cs="Arial"/>
                          <w:b/>
                          <w:bCs/>
                          <w:sz w:val="32"/>
                          <w:szCs w:val="32"/>
                        </w:rPr>
                      </w:pPr>
                      <w:r>
                        <w:rPr>
                          <w:rFonts w:ascii="Arial" w:hAnsi="Arial" w:cs="Arial"/>
                          <w:b/>
                          <w:bCs/>
                          <w:sz w:val="32"/>
                          <w:szCs w:val="32"/>
                        </w:rPr>
                        <w:t>Explosives Act Thematic Review</w:t>
                      </w:r>
                    </w:p>
                    <w:p w14:paraId="3126E491" w14:textId="77777777" w:rsidR="00B3427F" w:rsidRPr="00FF301B" w:rsidRDefault="00B3427F" w:rsidP="00A12B00">
                      <w:pPr>
                        <w:rPr>
                          <w:rFonts w:ascii="Arial" w:hAnsi="Arial" w:cs="Arial"/>
                          <w:b/>
                          <w:bCs/>
                          <w:sz w:val="32"/>
                          <w:szCs w:val="32"/>
                        </w:rPr>
                      </w:pPr>
                      <w:r w:rsidRPr="001830D0">
                        <w:rPr>
                          <w:rFonts w:ascii="Arial" w:hAnsi="Arial" w:cs="Arial"/>
                          <w:b/>
                          <w:bCs/>
                          <w:sz w:val="32"/>
                          <w:szCs w:val="32"/>
                        </w:rPr>
                        <w:t>Department of Defence | Explosive Ordnance Branch</w:t>
                      </w:r>
                    </w:p>
                  </w:txbxContent>
                </v:textbox>
                <w10:wrap anchorx="margin"/>
              </v:shape>
            </w:pict>
          </mc:Fallback>
        </mc:AlternateContent>
      </w:r>
      <w:r w:rsidRPr="00A12B00">
        <w:rPr>
          <w:rFonts w:ascii="Arial" w:eastAsia="Calibri" w:hAnsi="Arial" w:cs="Arial"/>
          <w:b/>
          <w:bCs/>
          <w:noProof/>
          <w:color w:val="C00000"/>
          <w:sz w:val="24"/>
          <w:szCs w:val="24"/>
          <w:lang w:eastAsia="en-AU"/>
        </w:rPr>
        <mc:AlternateContent>
          <mc:Choice Requires="wps">
            <w:drawing>
              <wp:anchor distT="0" distB="0" distL="114300" distR="114300" simplePos="0" relativeHeight="251659264" behindDoc="0" locked="0" layoutInCell="1" allowOverlap="1" wp14:anchorId="21C4EBDD" wp14:editId="22667C97">
                <wp:simplePos x="0" y="0"/>
                <wp:positionH relativeFrom="margin">
                  <wp:align>left</wp:align>
                </wp:positionH>
                <wp:positionV relativeFrom="paragraph">
                  <wp:posOffset>2102485</wp:posOffset>
                </wp:positionV>
                <wp:extent cx="6002655" cy="2040556"/>
                <wp:effectExtent l="0" t="0" r="0" b="0"/>
                <wp:wrapNone/>
                <wp:docPr id="7" name="Text Box 7"/>
                <wp:cNvGraphicFramePr/>
                <a:graphic xmlns:a="http://schemas.openxmlformats.org/drawingml/2006/main">
                  <a:graphicData uri="http://schemas.microsoft.com/office/word/2010/wordprocessingShape">
                    <wps:wsp>
                      <wps:cNvSpPr txBox="1"/>
                      <wps:spPr>
                        <a:xfrm>
                          <a:off x="0" y="0"/>
                          <a:ext cx="6002655" cy="2040556"/>
                        </a:xfrm>
                        <a:prstGeom prst="rect">
                          <a:avLst/>
                        </a:prstGeom>
                        <a:noFill/>
                        <a:ln w="6350">
                          <a:noFill/>
                        </a:ln>
                      </wps:spPr>
                      <wps:txbx>
                        <w:txbxContent>
                          <w:p w14:paraId="3C1B5209" w14:textId="77777777" w:rsidR="00B3427F" w:rsidRPr="00FF301B" w:rsidRDefault="00B3427F" w:rsidP="00A12B00">
                            <w:pPr>
                              <w:rPr>
                                <w:rFonts w:ascii="Georgia" w:hAnsi="Georgia"/>
                                <w:color w:val="E86D1F"/>
                                <w:sz w:val="72"/>
                                <w:szCs w:val="72"/>
                              </w:rPr>
                            </w:pPr>
                            <w:r>
                              <w:rPr>
                                <w:rFonts w:ascii="Georgia" w:hAnsi="Georgia"/>
                                <w:color w:val="E86D1F"/>
                                <w:sz w:val="72"/>
                                <w:szCs w:val="72"/>
                              </w:rPr>
                              <w:t>Regulation of Commonwealth Explosives</w:t>
                            </w:r>
                          </w:p>
                          <w:p w14:paraId="7F27086B" w14:textId="35DF45B9" w:rsidR="00B3427F" w:rsidRPr="00FF301B" w:rsidRDefault="00B3427F" w:rsidP="00A12B00">
                            <w:pPr>
                              <w:rPr>
                                <w:rFonts w:ascii="Arial" w:hAnsi="Arial" w:cs="Arial"/>
                                <w:sz w:val="40"/>
                                <w:szCs w:val="40"/>
                              </w:rPr>
                            </w:pPr>
                            <w:r w:rsidRPr="001830D0">
                              <w:rPr>
                                <w:rFonts w:ascii="Arial" w:hAnsi="Arial" w:cs="Arial"/>
                                <w:sz w:val="40"/>
                                <w:szCs w:val="40"/>
                              </w:rPr>
                              <w:t xml:space="preserve">Early Assessment </w:t>
                            </w:r>
                            <w:r w:rsidRPr="001830D0">
                              <w:rPr>
                                <w:rFonts w:ascii="Arial" w:hAnsi="Arial" w:cs="Arial"/>
                                <w:sz w:val="44"/>
                                <w:szCs w:val="44"/>
                              </w:rPr>
                              <w:t>Regulation</w:t>
                            </w:r>
                            <w:r w:rsidRPr="001830D0">
                              <w:rPr>
                                <w:rFonts w:ascii="Arial" w:hAnsi="Arial" w:cs="Arial"/>
                                <w:sz w:val="40"/>
                                <w:szCs w:val="40"/>
                              </w:rPr>
                              <w:t xml:space="preserve"> Impact Statement</w:t>
                            </w:r>
                            <w:r>
                              <w:rPr>
                                <w:rFonts w:ascii="Arial" w:hAnsi="Arial" w:cs="Arial"/>
                                <w:sz w:val="40"/>
                                <w:szCs w:val="40"/>
                              </w:rPr>
                              <w:t xml:space="preserve"> for Consultation</w:t>
                            </w:r>
                          </w:p>
                          <w:p w14:paraId="177AF951" w14:textId="77777777" w:rsidR="00B3427F" w:rsidRDefault="00B3427F" w:rsidP="00A12B00">
                            <w:pPr>
                              <w:rPr>
                                <w:rFonts w:ascii="Arial" w:hAnsi="Arial" w:cs="Arial"/>
                                <w:b/>
                                <w:bCs/>
                                <w:sz w:val="32"/>
                                <w:szCs w:val="32"/>
                              </w:rPr>
                            </w:pPr>
                          </w:p>
                          <w:p w14:paraId="63BB696C" w14:textId="77777777" w:rsidR="00B3427F" w:rsidRDefault="00B3427F" w:rsidP="00A12B00">
                            <w:pPr>
                              <w:rPr>
                                <w:rFonts w:ascii="Arial" w:hAnsi="Arial" w:cs="Arial"/>
                                <w:b/>
                                <w:bCs/>
                                <w:sz w:val="32"/>
                                <w:szCs w:val="32"/>
                              </w:rPr>
                            </w:pPr>
                          </w:p>
                          <w:p w14:paraId="27C83BA3" w14:textId="77777777" w:rsidR="00B3427F" w:rsidRPr="001830D0" w:rsidRDefault="00B3427F" w:rsidP="00A12B00">
                            <w:pPr>
                              <w:rPr>
                                <w:rFonts w:ascii="Arial" w:hAnsi="Arial" w:cs="Arial"/>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1C4EBDD" id="Text Box 7" o:spid="_x0000_s1027" type="#_x0000_t202" style="position:absolute;margin-left:0;margin-top:165.55pt;width:472.65pt;height:160.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" filled="f" stroked="f" strokeweight=".5pt">
                <v:textbox>
                  <w:txbxContent>
                    <w:p w14:paraId="3C1B5209" w14:textId="77777777" w:rsidR="00B3427F" w:rsidRPr="00FF301B" w:rsidRDefault="00B3427F" w:rsidP="00A12B00">
                      <w:pPr>
                        <w:rPr>
                          <w:rFonts w:ascii="Georgia" w:hAnsi="Georgia"/>
                          <w:color w:val="E86D1F"/>
                          <w:sz w:val="72"/>
                          <w:szCs w:val="72"/>
                        </w:rPr>
                      </w:pPr>
                      <w:r>
                        <w:rPr>
                          <w:rFonts w:ascii="Georgia" w:hAnsi="Georgia"/>
                          <w:color w:val="E86D1F"/>
                          <w:sz w:val="72"/>
                          <w:szCs w:val="72"/>
                        </w:rPr>
                        <w:t>Regulation of Commonwealth Explosives</w:t>
                      </w:r>
                    </w:p>
                    <w:p w14:paraId="7F27086B" w14:textId="35DF45B9" w:rsidR="00B3427F" w:rsidRPr="00FF301B" w:rsidRDefault="00B3427F" w:rsidP="00A12B00">
                      <w:pPr>
                        <w:rPr>
                          <w:rFonts w:ascii="Arial" w:hAnsi="Arial" w:cs="Arial"/>
                          <w:sz w:val="40"/>
                          <w:szCs w:val="40"/>
                        </w:rPr>
                      </w:pPr>
                      <w:r w:rsidRPr="001830D0">
                        <w:rPr>
                          <w:rFonts w:ascii="Arial" w:hAnsi="Arial" w:cs="Arial"/>
                          <w:sz w:val="40"/>
                          <w:szCs w:val="40"/>
                        </w:rPr>
                        <w:t xml:space="preserve">Early Assessment </w:t>
                      </w:r>
                      <w:r w:rsidRPr="001830D0">
                        <w:rPr>
                          <w:rFonts w:ascii="Arial" w:hAnsi="Arial" w:cs="Arial"/>
                          <w:sz w:val="44"/>
                          <w:szCs w:val="44"/>
                        </w:rPr>
                        <w:t>Regulation</w:t>
                      </w:r>
                      <w:r w:rsidRPr="001830D0">
                        <w:rPr>
                          <w:rFonts w:ascii="Arial" w:hAnsi="Arial" w:cs="Arial"/>
                          <w:sz w:val="40"/>
                          <w:szCs w:val="40"/>
                        </w:rPr>
                        <w:t xml:space="preserve"> Impact Statement</w:t>
                      </w:r>
                      <w:r>
                        <w:rPr>
                          <w:rFonts w:ascii="Arial" w:hAnsi="Arial" w:cs="Arial"/>
                          <w:sz w:val="40"/>
                          <w:szCs w:val="40"/>
                        </w:rPr>
                        <w:t xml:space="preserve"> for Consultation</w:t>
                      </w:r>
                    </w:p>
                    <w:p w14:paraId="177AF951" w14:textId="77777777" w:rsidR="00B3427F" w:rsidRDefault="00B3427F" w:rsidP="00A12B00">
                      <w:pPr>
                        <w:rPr>
                          <w:rFonts w:ascii="Arial" w:hAnsi="Arial" w:cs="Arial"/>
                          <w:b/>
                          <w:bCs/>
                          <w:sz w:val="32"/>
                          <w:szCs w:val="32"/>
                        </w:rPr>
                      </w:pPr>
                    </w:p>
                    <w:p w14:paraId="63BB696C" w14:textId="77777777" w:rsidR="00B3427F" w:rsidRDefault="00B3427F" w:rsidP="00A12B00">
                      <w:pPr>
                        <w:rPr>
                          <w:rFonts w:ascii="Arial" w:hAnsi="Arial" w:cs="Arial"/>
                          <w:b/>
                          <w:bCs/>
                          <w:sz w:val="32"/>
                          <w:szCs w:val="32"/>
                        </w:rPr>
                      </w:pPr>
                    </w:p>
                    <w:p w14:paraId="27C83BA3" w14:textId="77777777" w:rsidR="00B3427F" w:rsidRPr="001830D0" w:rsidRDefault="00B3427F" w:rsidP="00A12B00">
                      <w:pPr>
                        <w:rPr>
                          <w:rFonts w:ascii="Arial" w:hAnsi="Arial" w:cs="Arial"/>
                          <w:b/>
                          <w:bCs/>
                          <w:sz w:val="32"/>
                          <w:szCs w:val="32"/>
                        </w:rPr>
                      </w:pPr>
                    </w:p>
                  </w:txbxContent>
                </v:textbox>
                <w10:wrap anchorx="margin"/>
              </v:shape>
            </w:pict>
          </mc:Fallback>
        </mc:AlternateContent>
      </w:r>
      <w:r w:rsidR="00A12B00" w:rsidRPr="00A12B00">
        <w:rPr>
          <w:rFonts w:ascii="Arial" w:eastAsia="Calibri" w:hAnsi="Arial" w:cs="Arial"/>
          <w:sz w:val="24"/>
          <w:szCs w:val="24"/>
        </w:rPr>
        <w:br w:type="page"/>
      </w:r>
      <w:bookmarkStart w:id="1" w:name="_GoBack"/>
      <w:bookmarkEnd w:id="1"/>
    </w:p>
    <w:p w14:paraId="49B72627" w14:textId="77777777" w:rsidR="001B5B2D" w:rsidRDefault="001B5B2D" w:rsidP="001B5B2D">
      <w:pPr>
        <w:rPr>
          <w:rFonts w:ascii="Georgia" w:eastAsia="Times New Roman" w:hAnsi="Georgia" w:cs="Arial"/>
          <w:b/>
          <w:bCs/>
          <w:color w:val="E86D1F"/>
          <w:sz w:val="32"/>
          <w:szCs w:val="32"/>
        </w:rPr>
      </w:pPr>
      <w:r w:rsidRPr="00141A2A">
        <w:rPr>
          <w:rFonts w:ascii="Georgia" w:eastAsia="Times New Roman" w:hAnsi="Georgia" w:cs="Arial"/>
          <w:b/>
          <w:bCs/>
          <w:color w:val="E86D1F"/>
          <w:sz w:val="32"/>
          <w:szCs w:val="32"/>
        </w:rPr>
        <w:lastRenderedPageBreak/>
        <w:t>Purpose of this Document</w:t>
      </w:r>
    </w:p>
    <w:p w14:paraId="123F821C" w14:textId="248F7266" w:rsidR="001B5B2D" w:rsidRDefault="001B5B2D" w:rsidP="001B5B2D">
      <w:pPr>
        <w:rPr>
          <w:rFonts w:ascii="Arial" w:hAnsi="Arial" w:cs="Arial"/>
        </w:rPr>
      </w:pPr>
      <w:r w:rsidRPr="00ED130E">
        <w:rPr>
          <w:rFonts w:ascii="Arial" w:hAnsi="Arial" w:cs="Arial"/>
        </w:rPr>
        <w:t>This document examines the case for reforming the current Commonwealth Explosives Regulatory Regime</w:t>
      </w:r>
      <w:r>
        <w:rPr>
          <w:rFonts w:ascii="Arial" w:hAnsi="Arial" w:cs="Arial"/>
        </w:rPr>
        <w:t>, including the relat</w:t>
      </w:r>
      <w:r w:rsidR="00163CCA">
        <w:rPr>
          <w:rFonts w:ascii="Arial" w:hAnsi="Arial" w:cs="Arial"/>
        </w:rPr>
        <w:t>ed</w:t>
      </w:r>
      <w:r>
        <w:rPr>
          <w:rFonts w:ascii="Arial" w:hAnsi="Arial" w:cs="Arial"/>
        </w:rPr>
        <w:t xml:space="preserve"> costs and benefits of three viable options. It assesses the estimated regulatory impact of all options, with a particular focus on the preferred option (Option 3: New Regulatory Regime through Primary Legislation). </w:t>
      </w:r>
    </w:p>
    <w:p w14:paraId="296F263E" w14:textId="77777777" w:rsidR="001B5B2D" w:rsidRDefault="001B5B2D" w:rsidP="001B5B2D">
      <w:pPr>
        <w:rPr>
          <w:rFonts w:ascii="Arial" w:hAnsi="Arial" w:cs="Arial"/>
        </w:rPr>
      </w:pPr>
      <w:r>
        <w:rPr>
          <w:rFonts w:ascii="Arial" w:hAnsi="Arial" w:cs="Arial"/>
        </w:rPr>
        <w:t xml:space="preserve">This RIS is being publicly released as part the Department of Defence’s ongoing, broad-based consultation on regulation of Australia’s current explosives regulatory regime. The release of this document aims to provide transparency on the government’s decision-making process, and will enable regulatory impacts of options under consideration to be tested with stakeholders. </w:t>
      </w:r>
    </w:p>
    <w:p w14:paraId="281AE999" w14:textId="77777777" w:rsidR="001B5B2D" w:rsidRDefault="001B5B2D" w:rsidP="001B5B2D">
      <w:pPr>
        <w:rPr>
          <w:rFonts w:ascii="Georgia" w:eastAsia="Times New Roman" w:hAnsi="Georgia" w:cs="Arial"/>
          <w:b/>
          <w:bCs/>
          <w:color w:val="E86D1F"/>
          <w:sz w:val="32"/>
          <w:szCs w:val="32"/>
          <w:highlight w:val="lightGray"/>
        </w:rPr>
      </w:pPr>
      <w:r w:rsidRPr="000B7589">
        <w:rPr>
          <w:noProof/>
          <w:lang w:eastAsia="en-AU"/>
        </w:rPr>
        <mc:AlternateContent>
          <mc:Choice Requires="wps">
            <w:drawing>
              <wp:inline distT="0" distB="0" distL="0" distR="0" wp14:anchorId="48D2F7B1" wp14:editId="1E1E23DA">
                <wp:extent cx="2322431" cy="5722620"/>
                <wp:effectExtent l="0" t="4762" r="0" b="0"/>
                <wp:docPr id="38" name="AutoShape 2" descr="Consultation questions&#10;Specific questions on which input is sought, and categories of information requested, are set out in this document in Sections 7, 8 and 9, highlighted in blue boxes. In summary, the questions seek to: &#10;• validate the accuracy of the regulatory impact assessment for each option&#10;• give stakeholders the opportunity to provide further information on the existence or extent of potential impacts of proposed regulatory measur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22431" cy="5722620"/>
                        </a:xfrm>
                        <a:prstGeom prst="roundRect">
                          <a:avLst>
                            <a:gd name="adj" fmla="val 3611"/>
                          </a:avLst>
                        </a:prstGeom>
                        <a:solidFill>
                          <a:schemeClr val="accent2">
                            <a:lumMod val="20000"/>
                            <a:lumOff val="80000"/>
                          </a:schemeClr>
                        </a:solidFill>
                        <a:ln w="19050">
                          <a:noFill/>
                        </a:ln>
                      </wps:spPr>
                      <wps:txbx>
                        <w:txbxContent>
                          <w:p w14:paraId="5AFB4504" w14:textId="77777777" w:rsidR="00B3427F" w:rsidRPr="00615AAC" w:rsidRDefault="00B3427F" w:rsidP="001B5B2D">
                            <w:pPr>
                              <w:pStyle w:val="BodyText"/>
                              <w:spacing w:before="120" w:after="120"/>
                              <w:ind w:left="113"/>
                              <w:rPr>
                                <w:rFonts w:eastAsiaTheme="minorHAnsi"/>
                                <w:b/>
                                <w:bCs/>
                                <w:color w:val="ED7D31" w:themeColor="accent2"/>
                                <w:sz w:val="22"/>
                                <w:szCs w:val="22"/>
                                <w:lang w:eastAsia="en-US"/>
                              </w:rPr>
                            </w:pPr>
                            <w:r w:rsidRPr="00615AAC">
                              <w:rPr>
                                <w:rFonts w:eastAsiaTheme="minorHAnsi"/>
                                <w:b/>
                                <w:bCs/>
                                <w:color w:val="ED7D31" w:themeColor="accent2"/>
                                <w:sz w:val="22"/>
                                <w:szCs w:val="22"/>
                                <w:lang w:eastAsia="en-US"/>
                              </w:rPr>
                              <w:t>Consultation Questions</w:t>
                            </w:r>
                          </w:p>
                          <w:p w14:paraId="74939500" w14:textId="77777777" w:rsidR="00B3427F" w:rsidRPr="00615AAC" w:rsidRDefault="00B3427F" w:rsidP="001B5B2D">
                            <w:pPr>
                              <w:pStyle w:val="BodyText"/>
                              <w:spacing w:before="0"/>
                              <w:ind w:left="113"/>
                              <w:rPr>
                                <w:rFonts w:eastAsiaTheme="minorHAnsi"/>
                                <w:sz w:val="22"/>
                                <w:szCs w:val="22"/>
                                <w:lang w:eastAsia="en-US"/>
                              </w:rPr>
                            </w:pPr>
                            <w:r w:rsidRPr="00615AAC">
                              <w:rPr>
                                <w:rFonts w:eastAsiaTheme="minorHAnsi"/>
                                <w:sz w:val="22"/>
                                <w:szCs w:val="22"/>
                                <w:lang w:eastAsia="en-US"/>
                              </w:rPr>
                              <w:t>Specific questions on which input is sought, and categories of information requested, are set out in this document</w:t>
                            </w:r>
                            <w:r>
                              <w:rPr>
                                <w:rFonts w:eastAsiaTheme="minorHAnsi"/>
                                <w:sz w:val="22"/>
                                <w:szCs w:val="22"/>
                                <w:lang w:eastAsia="en-US"/>
                              </w:rPr>
                              <w:t xml:space="preserve"> and</w:t>
                            </w:r>
                            <w:r w:rsidRPr="00615AAC">
                              <w:rPr>
                                <w:rFonts w:eastAsiaTheme="minorHAnsi"/>
                                <w:sz w:val="22"/>
                                <w:szCs w:val="22"/>
                                <w:lang w:eastAsia="en-US"/>
                              </w:rPr>
                              <w:t xml:space="preserve"> highlighted in </w:t>
                            </w:r>
                            <w:r>
                              <w:rPr>
                                <w:rFonts w:eastAsiaTheme="minorHAnsi"/>
                                <w:sz w:val="22"/>
                                <w:szCs w:val="22"/>
                                <w:lang w:eastAsia="en-US"/>
                              </w:rPr>
                              <w:t>orange</w:t>
                            </w:r>
                            <w:r w:rsidRPr="00615AAC">
                              <w:rPr>
                                <w:rFonts w:eastAsiaTheme="minorHAnsi"/>
                                <w:sz w:val="22"/>
                                <w:szCs w:val="22"/>
                                <w:lang w:eastAsia="en-US"/>
                              </w:rPr>
                              <w:t xml:space="preserve"> boxes. </w:t>
                            </w:r>
                            <w:r>
                              <w:rPr>
                                <w:rFonts w:eastAsiaTheme="minorHAnsi"/>
                                <w:sz w:val="22"/>
                                <w:szCs w:val="22"/>
                                <w:lang w:eastAsia="en-US"/>
                              </w:rPr>
                              <w:t>These</w:t>
                            </w:r>
                            <w:r w:rsidRPr="00615AAC">
                              <w:rPr>
                                <w:rFonts w:eastAsiaTheme="minorHAnsi"/>
                                <w:sz w:val="22"/>
                                <w:szCs w:val="22"/>
                                <w:lang w:eastAsia="en-US"/>
                              </w:rPr>
                              <w:t xml:space="preserve"> questions seek to: </w:t>
                            </w:r>
                          </w:p>
                          <w:p w14:paraId="5CC80614" w14:textId="026F43BD" w:rsidR="00B3427F" w:rsidRPr="00615AAC" w:rsidRDefault="00B3427F" w:rsidP="001B5B2D">
                            <w:pPr>
                              <w:pStyle w:val="ListBulletLevel1"/>
                              <w:numPr>
                                <w:ilvl w:val="0"/>
                                <w:numId w:val="45"/>
                              </w:numPr>
                              <w:spacing w:before="0"/>
                              <w:rPr>
                                <w:rFonts w:eastAsiaTheme="minorHAnsi"/>
                                <w:sz w:val="22"/>
                                <w:szCs w:val="22"/>
                                <w:lang w:eastAsia="en-US"/>
                              </w:rPr>
                            </w:pPr>
                            <w:r w:rsidRPr="00615AAC">
                              <w:rPr>
                                <w:rFonts w:eastAsiaTheme="minorHAnsi"/>
                                <w:sz w:val="22"/>
                                <w:szCs w:val="22"/>
                                <w:lang w:eastAsia="en-US"/>
                              </w:rPr>
                              <w:t>validate the accuracy of the regulatory impact assessment for each option</w:t>
                            </w:r>
                            <w:r>
                              <w:rPr>
                                <w:rFonts w:eastAsiaTheme="minorHAnsi"/>
                                <w:sz w:val="22"/>
                                <w:szCs w:val="22"/>
                                <w:lang w:eastAsia="en-US"/>
                              </w:rPr>
                              <w:t>;</w:t>
                            </w:r>
                          </w:p>
                          <w:p w14:paraId="4655BEA6" w14:textId="32380901" w:rsidR="00B3427F" w:rsidRDefault="00B3427F" w:rsidP="001B5B2D">
                            <w:pPr>
                              <w:pStyle w:val="ListBulletLevel1"/>
                              <w:numPr>
                                <w:ilvl w:val="0"/>
                                <w:numId w:val="45"/>
                              </w:numPr>
                              <w:spacing w:before="0"/>
                              <w:rPr>
                                <w:rFonts w:eastAsiaTheme="minorHAnsi"/>
                                <w:sz w:val="22"/>
                                <w:szCs w:val="22"/>
                                <w:lang w:eastAsia="en-US"/>
                              </w:rPr>
                            </w:pPr>
                            <w:r w:rsidRPr="00615AAC">
                              <w:rPr>
                                <w:rFonts w:eastAsiaTheme="minorHAnsi"/>
                                <w:sz w:val="22"/>
                                <w:szCs w:val="22"/>
                                <w:lang w:eastAsia="en-US"/>
                              </w:rPr>
                              <w:t xml:space="preserve">give stakeholders the opportunity to provide further information on the existence </w:t>
                            </w:r>
                            <w:r>
                              <w:rPr>
                                <w:rFonts w:eastAsiaTheme="minorHAnsi"/>
                                <w:sz w:val="22"/>
                                <w:szCs w:val="22"/>
                                <w:lang w:eastAsia="en-US"/>
                              </w:rPr>
                              <w:t xml:space="preserve">of the identified problem and its impacts; and </w:t>
                            </w:r>
                          </w:p>
                          <w:p w14:paraId="009E0875" w14:textId="1C6DAED9" w:rsidR="00B3427F" w:rsidRPr="00615AAC" w:rsidRDefault="00B3427F" w:rsidP="001B5B2D">
                            <w:pPr>
                              <w:pStyle w:val="ListBulletLevel1"/>
                              <w:numPr>
                                <w:ilvl w:val="0"/>
                                <w:numId w:val="45"/>
                              </w:numPr>
                              <w:spacing w:before="0"/>
                              <w:rPr>
                                <w:rFonts w:eastAsiaTheme="minorHAnsi"/>
                                <w:sz w:val="22"/>
                                <w:szCs w:val="22"/>
                                <w:lang w:eastAsia="en-US"/>
                              </w:rPr>
                            </w:pPr>
                            <w:proofErr w:type="gramStart"/>
                            <w:r>
                              <w:rPr>
                                <w:rFonts w:eastAsiaTheme="minorHAnsi"/>
                                <w:sz w:val="22"/>
                                <w:szCs w:val="22"/>
                                <w:lang w:eastAsia="en-US"/>
                              </w:rPr>
                              <w:t>the</w:t>
                            </w:r>
                            <w:proofErr w:type="gramEnd"/>
                            <w:r>
                              <w:rPr>
                                <w:rFonts w:eastAsiaTheme="minorHAnsi"/>
                                <w:sz w:val="22"/>
                                <w:szCs w:val="22"/>
                                <w:lang w:eastAsia="en-US"/>
                              </w:rPr>
                              <w:t xml:space="preserve"> </w:t>
                            </w:r>
                            <w:r w:rsidRPr="00615AAC">
                              <w:rPr>
                                <w:rFonts w:eastAsiaTheme="minorHAnsi"/>
                                <w:sz w:val="22"/>
                                <w:szCs w:val="22"/>
                                <w:lang w:eastAsia="en-US"/>
                              </w:rPr>
                              <w:t>extent of potential impacts of proposed regulatory measures.</w:t>
                            </w:r>
                          </w:p>
                        </w:txbxContent>
                      </wps:txbx>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48D2F7B1" id="AutoShape 2" o:spid="_x0000_s1028" alt="Consultation questions&#10;Specific questions on which input is sought, and categories of information requested, are set out in this document in Sections 7, 8 and 9, highlighted in blue boxes. In summary, the questions seek to: &#10;• validate the accuracy of the regulatory impact assessment for each option&#10;• give stakeholders the opportunity to provide further information on the existence or extent of potential impacts of proposed regulatory measures." style="width:182.85pt;height:450.6pt;rotation:90;visibility:visible;mso-wrap-style:square;mso-left-percent:-10001;mso-top-percent:-10001;mso-position-horizontal:absolute;mso-position-horizontal-relative:char;mso-position-vertical:absolute;mso-position-vertical-relative:line;mso-left-percent:-10001;mso-top-percent:-10001;v-text-anchor:middle" arcsize="23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" fillcolor="#fbe4d5 [661]" stroked="f" strokeweight="1.5pt">
                <v:textbox>
                  <w:txbxContent>
                    <w:p w14:paraId="5AFB4504" w14:textId="77777777" w:rsidR="00B3427F" w:rsidRPr="00615AAC" w:rsidRDefault="00B3427F" w:rsidP="001B5B2D">
                      <w:pPr>
                        <w:pStyle w:val="BodyText"/>
                        <w:spacing w:before="120" w:after="120"/>
                        <w:ind w:left="113"/>
                        <w:rPr>
                          <w:rFonts w:eastAsiaTheme="minorHAnsi"/>
                          <w:b/>
                          <w:bCs/>
                          <w:color w:val="ED7D31" w:themeColor="accent2"/>
                          <w:sz w:val="22"/>
                          <w:szCs w:val="22"/>
                          <w:lang w:eastAsia="en-US"/>
                        </w:rPr>
                      </w:pPr>
                      <w:r w:rsidRPr="00615AAC">
                        <w:rPr>
                          <w:rFonts w:eastAsiaTheme="minorHAnsi"/>
                          <w:b/>
                          <w:bCs/>
                          <w:color w:val="ED7D31" w:themeColor="accent2"/>
                          <w:sz w:val="22"/>
                          <w:szCs w:val="22"/>
                          <w:lang w:eastAsia="en-US"/>
                        </w:rPr>
                        <w:t>Consultation Questions</w:t>
                      </w:r>
                    </w:p>
                    <w:p w14:paraId="74939500" w14:textId="77777777" w:rsidR="00B3427F" w:rsidRPr="00615AAC" w:rsidRDefault="00B3427F" w:rsidP="001B5B2D">
                      <w:pPr>
                        <w:pStyle w:val="BodyText"/>
                        <w:spacing w:before="0"/>
                        <w:ind w:left="113"/>
                        <w:rPr>
                          <w:rFonts w:eastAsiaTheme="minorHAnsi"/>
                          <w:sz w:val="22"/>
                          <w:szCs w:val="22"/>
                          <w:lang w:eastAsia="en-US"/>
                        </w:rPr>
                      </w:pPr>
                      <w:r w:rsidRPr="00615AAC">
                        <w:rPr>
                          <w:rFonts w:eastAsiaTheme="minorHAnsi"/>
                          <w:sz w:val="22"/>
                          <w:szCs w:val="22"/>
                          <w:lang w:eastAsia="en-US"/>
                        </w:rPr>
                        <w:t>Specific questions on which input is sought, and categories of information requested, are set out in this document</w:t>
                      </w:r>
                      <w:r>
                        <w:rPr>
                          <w:rFonts w:eastAsiaTheme="minorHAnsi"/>
                          <w:sz w:val="22"/>
                          <w:szCs w:val="22"/>
                          <w:lang w:eastAsia="en-US"/>
                        </w:rPr>
                        <w:t xml:space="preserve"> and</w:t>
                      </w:r>
                      <w:r w:rsidRPr="00615AAC">
                        <w:rPr>
                          <w:rFonts w:eastAsiaTheme="minorHAnsi"/>
                          <w:sz w:val="22"/>
                          <w:szCs w:val="22"/>
                          <w:lang w:eastAsia="en-US"/>
                        </w:rPr>
                        <w:t xml:space="preserve"> highlighted in </w:t>
                      </w:r>
                      <w:r>
                        <w:rPr>
                          <w:rFonts w:eastAsiaTheme="minorHAnsi"/>
                          <w:sz w:val="22"/>
                          <w:szCs w:val="22"/>
                          <w:lang w:eastAsia="en-US"/>
                        </w:rPr>
                        <w:t>orange</w:t>
                      </w:r>
                      <w:r w:rsidRPr="00615AAC">
                        <w:rPr>
                          <w:rFonts w:eastAsiaTheme="minorHAnsi"/>
                          <w:sz w:val="22"/>
                          <w:szCs w:val="22"/>
                          <w:lang w:eastAsia="en-US"/>
                        </w:rPr>
                        <w:t xml:space="preserve"> boxes. </w:t>
                      </w:r>
                      <w:r>
                        <w:rPr>
                          <w:rFonts w:eastAsiaTheme="minorHAnsi"/>
                          <w:sz w:val="22"/>
                          <w:szCs w:val="22"/>
                          <w:lang w:eastAsia="en-US"/>
                        </w:rPr>
                        <w:t>These</w:t>
                      </w:r>
                      <w:r w:rsidRPr="00615AAC">
                        <w:rPr>
                          <w:rFonts w:eastAsiaTheme="minorHAnsi"/>
                          <w:sz w:val="22"/>
                          <w:szCs w:val="22"/>
                          <w:lang w:eastAsia="en-US"/>
                        </w:rPr>
                        <w:t xml:space="preserve"> questions seek to: </w:t>
                      </w:r>
                    </w:p>
                    <w:p w14:paraId="5CC80614" w14:textId="026F43BD" w:rsidR="00B3427F" w:rsidRPr="00615AAC" w:rsidRDefault="00B3427F" w:rsidP="001B5B2D">
                      <w:pPr>
                        <w:pStyle w:val="ListBulletLevel1"/>
                        <w:numPr>
                          <w:ilvl w:val="0"/>
                          <w:numId w:val="45"/>
                        </w:numPr>
                        <w:spacing w:before="0"/>
                        <w:rPr>
                          <w:rFonts w:eastAsiaTheme="minorHAnsi"/>
                          <w:sz w:val="22"/>
                          <w:szCs w:val="22"/>
                          <w:lang w:eastAsia="en-US"/>
                        </w:rPr>
                      </w:pPr>
                      <w:r w:rsidRPr="00615AAC">
                        <w:rPr>
                          <w:rFonts w:eastAsiaTheme="minorHAnsi"/>
                          <w:sz w:val="22"/>
                          <w:szCs w:val="22"/>
                          <w:lang w:eastAsia="en-US"/>
                        </w:rPr>
                        <w:t>validate the accuracy of the regulatory impact assessment for each option</w:t>
                      </w:r>
                      <w:r>
                        <w:rPr>
                          <w:rFonts w:eastAsiaTheme="minorHAnsi"/>
                          <w:sz w:val="22"/>
                          <w:szCs w:val="22"/>
                          <w:lang w:eastAsia="en-US"/>
                        </w:rPr>
                        <w:t>;</w:t>
                      </w:r>
                    </w:p>
                    <w:p w14:paraId="4655BEA6" w14:textId="32380901" w:rsidR="00B3427F" w:rsidRDefault="00B3427F" w:rsidP="001B5B2D">
                      <w:pPr>
                        <w:pStyle w:val="ListBulletLevel1"/>
                        <w:numPr>
                          <w:ilvl w:val="0"/>
                          <w:numId w:val="45"/>
                        </w:numPr>
                        <w:spacing w:before="0"/>
                        <w:rPr>
                          <w:rFonts w:eastAsiaTheme="minorHAnsi"/>
                          <w:sz w:val="22"/>
                          <w:szCs w:val="22"/>
                          <w:lang w:eastAsia="en-US"/>
                        </w:rPr>
                      </w:pPr>
                      <w:r w:rsidRPr="00615AAC">
                        <w:rPr>
                          <w:rFonts w:eastAsiaTheme="minorHAnsi"/>
                          <w:sz w:val="22"/>
                          <w:szCs w:val="22"/>
                          <w:lang w:eastAsia="en-US"/>
                        </w:rPr>
                        <w:t xml:space="preserve">give stakeholders the opportunity to provide further information on the existence </w:t>
                      </w:r>
                      <w:r>
                        <w:rPr>
                          <w:rFonts w:eastAsiaTheme="minorHAnsi"/>
                          <w:sz w:val="22"/>
                          <w:szCs w:val="22"/>
                          <w:lang w:eastAsia="en-US"/>
                        </w:rPr>
                        <w:t xml:space="preserve">of the identified problem and its impacts; and </w:t>
                      </w:r>
                    </w:p>
                    <w:p w14:paraId="009E0875" w14:textId="1C6DAED9" w:rsidR="00B3427F" w:rsidRPr="00615AAC" w:rsidRDefault="00B3427F" w:rsidP="001B5B2D">
                      <w:pPr>
                        <w:pStyle w:val="ListBulletLevel1"/>
                        <w:numPr>
                          <w:ilvl w:val="0"/>
                          <w:numId w:val="45"/>
                        </w:numPr>
                        <w:spacing w:before="0"/>
                        <w:rPr>
                          <w:rFonts w:eastAsiaTheme="minorHAnsi"/>
                          <w:sz w:val="22"/>
                          <w:szCs w:val="22"/>
                          <w:lang w:eastAsia="en-US"/>
                        </w:rPr>
                      </w:pPr>
                      <w:r>
                        <w:rPr>
                          <w:rFonts w:eastAsiaTheme="minorHAnsi"/>
                          <w:sz w:val="22"/>
                          <w:szCs w:val="22"/>
                          <w:lang w:eastAsia="en-US"/>
                        </w:rPr>
                        <w:t xml:space="preserve">the </w:t>
                      </w:r>
                      <w:r w:rsidRPr="00615AAC">
                        <w:rPr>
                          <w:rFonts w:eastAsiaTheme="minorHAnsi"/>
                          <w:sz w:val="22"/>
                          <w:szCs w:val="22"/>
                          <w:lang w:eastAsia="en-US"/>
                        </w:rPr>
                        <w:t>extent of potential impacts of proposed regulatory measures.</w:t>
                      </w:r>
                    </w:p>
                  </w:txbxContent>
                </v:textbox>
                <w10:anchorlock/>
              </v:roundrect>
            </w:pict>
          </mc:Fallback>
        </mc:AlternateContent>
      </w:r>
    </w:p>
    <w:p w14:paraId="2B805A97" w14:textId="77777777" w:rsidR="001B5B2D" w:rsidRDefault="001B5B2D" w:rsidP="001B5B2D">
      <w:pPr>
        <w:rPr>
          <w:rFonts w:ascii="Arial" w:hAnsi="Arial" w:cs="Arial"/>
        </w:rPr>
      </w:pPr>
      <w:r w:rsidRPr="00871013">
        <w:rPr>
          <w:rFonts w:ascii="Arial" w:hAnsi="Arial" w:cs="Arial"/>
        </w:rPr>
        <w:t>Input is sought on the impact of the proposed regulations only. This Early Assessment RIS is not seeking submissions on the suitability of the policy options considered</w:t>
      </w:r>
      <w:r>
        <w:rPr>
          <w:rFonts w:ascii="Arial" w:hAnsi="Arial" w:cs="Arial"/>
        </w:rPr>
        <w:t xml:space="preserve"> or </w:t>
      </w:r>
      <w:r w:rsidRPr="00871013">
        <w:rPr>
          <w:rFonts w:ascii="Arial" w:hAnsi="Arial" w:cs="Arial"/>
        </w:rPr>
        <w:t>alternative approaches</w:t>
      </w:r>
      <w:r>
        <w:rPr>
          <w:rFonts w:ascii="Arial" w:hAnsi="Arial" w:cs="Arial"/>
        </w:rPr>
        <w:t xml:space="preserve">. These matters have been separately considered by the Explosives Act Thematic Review Project team, with ongoing consultations occurring with key stakeholders to support the resolution of these issues. </w:t>
      </w:r>
    </w:p>
    <w:p w14:paraId="4F0BC8EC" w14:textId="76201BAF" w:rsidR="001B5B2D" w:rsidRDefault="001B5B2D" w:rsidP="001B5B2D">
      <w:pPr>
        <w:rPr>
          <w:rFonts w:ascii="Georgia" w:eastAsia="Times New Roman" w:hAnsi="Georgia" w:cs="Arial"/>
          <w:b/>
          <w:bCs/>
          <w:color w:val="E86D1F"/>
          <w:sz w:val="32"/>
          <w:szCs w:val="32"/>
        </w:rPr>
      </w:pPr>
      <w:r>
        <w:rPr>
          <w:rFonts w:ascii="Arial" w:hAnsi="Arial" w:cs="Arial"/>
        </w:rPr>
        <w:t xml:space="preserve">Consistent with Australian Government and Office of Best Practice Regulation guidelines, a Final Assessment RIS will be completed prior to the making of a final policy decision (either the introduction of a Bill to Parliament, or a full, formal policy announcement). </w:t>
      </w:r>
      <w:r>
        <w:rPr>
          <w:rFonts w:ascii="Georgia" w:eastAsia="Times New Roman" w:hAnsi="Georgia" w:cs="Arial"/>
          <w:b/>
          <w:bCs/>
          <w:color w:val="E86D1F"/>
          <w:sz w:val="32"/>
          <w:szCs w:val="32"/>
        </w:rPr>
        <w:br w:type="page"/>
      </w:r>
    </w:p>
    <w:p w14:paraId="2833C343" w14:textId="1690E0C6" w:rsidR="00A12B00" w:rsidRPr="00A12B00" w:rsidRDefault="00A12B00" w:rsidP="00A16B8A">
      <w:pPr>
        <w:keepNext/>
        <w:keepLines/>
        <w:numPr>
          <w:ilvl w:val="0"/>
          <w:numId w:val="18"/>
        </w:numPr>
        <w:spacing w:before="240" w:after="0"/>
        <w:outlineLvl w:val="0"/>
        <w:rPr>
          <w:rFonts w:ascii="Georgia" w:eastAsia="Times New Roman" w:hAnsi="Georgia" w:cs="Arial"/>
          <w:b/>
          <w:bCs/>
          <w:color w:val="E86D1F"/>
          <w:sz w:val="32"/>
          <w:szCs w:val="32"/>
        </w:rPr>
      </w:pPr>
      <w:bookmarkStart w:id="2" w:name="_Toc101961105"/>
      <w:r w:rsidRPr="00A12B00">
        <w:rPr>
          <w:rFonts w:ascii="Georgia" w:eastAsia="Times New Roman" w:hAnsi="Georgia" w:cs="Arial"/>
          <w:b/>
          <w:bCs/>
          <w:color w:val="E86D1F"/>
          <w:sz w:val="32"/>
          <w:szCs w:val="32"/>
        </w:rPr>
        <w:lastRenderedPageBreak/>
        <w:t>Table of Contents</w:t>
      </w:r>
      <w:bookmarkEnd w:id="2"/>
      <w:r w:rsidRPr="00A12B00">
        <w:rPr>
          <w:rFonts w:ascii="Georgia" w:eastAsia="Times New Roman" w:hAnsi="Georgia" w:cs="Arial"/>
          <w:b/>
          <w:bCs/>
          <w:color w:val="E86D1F"/>
          <w:sz w:val="32"/>
          <w:szCs w:val="32"/>
        </w:rPr>
        <w:t xml:space="preserve"> </w:t>
      </w:r>
    </w:p>
    <w:sdt>
      <w:sdtPr>
        <w:rPr>
          <w:rFonts w:ascii="Calibri" w:eastAsia="Calibri" w:hAnsi="Calibri" w:cs="Times New Roman"/>
        </w:rPr>
        <w:id w:val="-1050379293"/>
        <w:docPartObj>
          <w:docPartGallery w:val="Table of Contents"/>
          <w:docPartUnique/>
        </w:docPartObj>
      </w:sdtPr>
      <w:sdtEndPr>
        <w:rPr>
          <w:b/>
          <w:bCs/>
          <w:noProof/>
        </w:rPr>
      </w:sdtEndPr>
      <w:sdtContent>
        <w:p w14:paraId="64D6B3AF" w14:textId="77777777" w:rsidR="00A12B00" w:rsidRPr="00A12B00" w:rsidRDefault="00A12B00" w:rsidP="00A12B00">
          <w:pPr>
            <w:keepNext/>
            <w:keepLines/>
            <w:spacing w:after="0"/>
            <w:rPr>
              <w:rFonts w:ascii="Arial" w:eastAsia="Times New Roman" w:hAnsi="Arial" w:cs="Arial"/>
              <w:color w:val="B35E06"/>
              <w:sz w:val="12"/>
              <w:szCs w:val="12"/>
              <w:lang w:val="en-US"/>
            </w:rPr>
          </w:pPr>
        </w:p>
        <w:p w14:paraId="063D3C07" w14:textId="6D87182F" w:rsidR="00D27093" w:rsidRPr="00EE6AD4" w:rsidRDefault="00A12B00" w:rsidP="00D27093">
          <w:pPr>
            <w:pStyle w:val="TOC1"/>
            <w:rPr>
              <w:rFonts w:ascii="Arial" w:eastAsiaTheme="minorEastAsia" w:hAnsi="Arial" w:cs="Arial"/>
              <w:noProof/>
              <w:lang w:eastAsia="en-AU"/>
            </w:rPr>
          </w:pPr>
          <w:r w:rsidRPr="00AC4631">
            <w:rPr>
              <w:rFonts w:ascii="Arial" w:eastAsia="Calibri" w:hAnsi="Arial" w:cs="Arial"/>
            </w:rPr>
            <w:fldChar w:fldCharType="begin"/>
          </w:r>
          <w:r w:rsidRPr="00AC4631">
            <w:rPr>
              <w:rFonts w:ascii="Arial" w:eastAsia="Calibri" w:hAnsi="Arial" w:cs="Arial"/>
            </w:rPr>
            <w:instrText xml:space="preserve"> TOC \o "1-3" \h \z \u </w:instrText>
          </w:r>
          <w:r w:rsidRPr="00AC4631">
            <w:rPr>
              <w:rFonts w:ascii="Arial" w:eastAsia="Calibri" w:hAnsi="Arial" w:cs="Arial"/>
            </w:rPr>
            <w:fldChar w:fldCharType="separate"/>
          </w:r>
          <w:hyperlink w:anchor="_Toc101961105" w:history="1">
            <w:r w:rsidR="00D27093" w:rsidRPr="00EE6AD4">
              <w:rPr>
                <w:rStyle w:val="Hyperlink"/>
                <w:rFonts w:ascii="Arial" w:eastAsia="Times New Roman" w:hAnsi="Arial" w:cs="Arial"/>
                <w:b/>
                <w:bCs/>
                <w:noProof/>
              </w:rPr>
              <w:t>i.</w:t>
            </w:r>
            <w:r w:rsidR="00D27093" w:rsidRPr="00EE6AD4">
              <w:rPr>
                <w:rFonts w:ascii="Arial" w:eastAsiaTheme="minorEastAsia" w:hAnsi="Arial" w:cs="Arial"/>
                <w:noProof/>
                <w:lang w:eastAsia="en-AU"/>
              </w:rPr>
              <w:t xml:space="preserve"> </w:t>
            </w:r>
            <w:r w:rsidR="00D27093" w:rsidRPr="00EE6AD4">
              <w:rPr>
                <w:rStyle w:val="Hyperlink"/>
                <w:rFonts w:ascii="Arial" w:eastAsia="Times New Roman" w:hAnsi="Arial" w:cs="Arial"/>
                <w:b/>
                <w:bCs/>
                <w:noProof/>
              </w:rPr>
              <w:t>Table of Contents</w:t>
            </w:r>
            <w:r w:rsidR="00D27093" w:rsidRPr="00EE6AD4">
              <w:rPr>
                <w:rFonts w:ascii="Arial" w:hAnsi="Arial" w:cs="Arial"/>
                <w:noProof/>
                <w:webHidden/>
              </w:rPr>
              <w:tab/>
            </w:r>
            <w:r w:rsidR="00D27093" w:rsidRPr="00EE6AD4">
              <w:rPr>
                <w:rFonts w:ascii="Arial" w:hAnsi="Arial" w:cs="Arial"/>
                <w:noProof/>
                <w:webHidden/>
              </w:rPr>
              <w:fldChar w:fldCharType="begin"/>
            </w:r>
            <w:r w:rsidR="00D27093" w:rsidRPr="00EE6AD4">
              <w:rPr>
                <w:rFonts w:ascii="Arial" w:hAnsi="Arial" w:cs="Arial"/>
                <w:noProof/>
                <w:webHidden/>
              </w:rPr>
              <w:instrText xml:space="preserve"> PAGEREF _Toc101961105 \h </w:instrText>
            </w:r>
            <w:r w:rsidR="00D27093" w:rsidRPr="00EE6AD4">
              <w:rPr>
                <w:rFonts w:ascii="Arial" w:hAnsi="Arial" w:cs="Arial"/>
                <w:noProof/>
                <w:webHidden/>
              </w:rPr>
            </w:r>
            <w:r w:rsidR="00D27093" w:rsidRPr="00EE6AD4">
              <w:rPr>
                <w:rFonts w:ascii="Arial" w:hAnsi="Arial" w:cs="Arial"/>
                <w:noProof/>
                <w:webHidden/>
              </w:rPr>
              <w:fldChar w:fldCharType="separate"/>
            </w:r>
            <w:r w:rsidR="00D27093" w:rsidRPr="00EE6AD4">
              <w:rPr>
                <w:rFonts w:ascii="Arial" w:hAnsi="Arial" w:cs="Arial"/>
                <w:noProof/>
                <w:webHidden/>
              </w:rPr>
              <w:t>3</w:t>
            </w:r>
            <w:r w:rsidR="00D27093" w:rsidRPr="00EE6AD4">
              <w:rPr>
                <w:rFonts w:ascii="Arial" w:hAnsi="Arial" w:cs="Arial"/>
                <w:noProof/>
                <w:webHidden/>
              </w:rPr>
              <w:fldChar w:fldCharType="end"/>
            </w:r>
          </w:hyperlink>
        </w:p>
        <w:p w14:paraId="7634886B" w14:textId="0A17B2EC" w:rsidR="00D27093" w:rsidRPr="00EE6AD4" w:rsidRDefault="00E876B6" w:rsidP="00D27093">
          <w:pPr>
            <w:pStyle w:val="TOC1"/>
            <w:rPr>
              <w:rFonts w:ascii="Arial" w:eastAsiaTheme="minorEastAsia" w:hAnsi="Arial" w:cs="Arial"/>
              <w:noProof/>
              <w:lang w:eastAsia="en-AU"/>
            </w:rPr>
          </w:pPr>
          <w:hyperlink w:anchor="_Toc101961106" w:history="1">
            <w:r w:rsidR="00D27093" w:rsidRPr="00EE6AD4">
              <w:rPr>
                <w:rStyle w:val="Hyperlink"/>
                <w:rFonts w:ascii="Arial" w:eastAsia="Times New Roman" w:hAnsi="Arial" w:cs="Arial"/>
                <w:b/>
                <w:bCs/>
                <w:noProof/>
              </w:rPr>
              <w:t>ii.</w:t>
            </w:r>
            <w:r w:rsidR="00D27093" w:rsidRPr="00EE6AD4">
              <w:rPr>
                <w:rFonts w:ascii="Arial" w:eastAsiaTheme="minorEastAsia" w:hAnsi="Arial" w:cs="Arial"/>
                <w:noProof/>
                <w:lang w:eastAsia="en-AU"/>
              </w:rPr>
              <w:t xml:space="preserve"> </w:t>
            </w:r>
            <w:r w:rsidR="00D27093" w:rsidRPr="00EE6AD4">
              <w:rPr>
                <w:rStyle w:val="Hyperlink"/>
                <w:rFonts w:ascii="Arial" w:eastAsia="Times New Roman" w:hAnsi="Arial" w:cs="Arial"/>
                <w:b/>
                <w:bCs/>
                <w:noProof/>
              </w:rPr>
              <w:t>Executive Summary</w:t>
            </w:r>
            <w:r w:rsidR="00D27093" w:rsidRPr="00EE6AD4">
              <w:rPr>
                <w:rFonts w:ascii="Arial" w:hAnsi="Arial" w:cs="Arial"/>
                <w:noProof/>
                <w:webHidden/>
              </w:rPr>
              <w:tab/>
            </w:r>
            <w:r w:rsidR="00D27093" w:rsidRPr="00EE6AD4">
              <w:rPr>
                <w:rFonts w:ascii="Arial" w:hAnsi="Arial" w:cs="Arial"/>
                <w:noProof/>
                <w:webHidden/>
              </w:rPr>
              <w:fldChar w:fldCharType="begin"/>
            </w:r>
            <w:r w:rsidR="00D27093" w:rsidRPr="00EE6AD4">
              <w:rPr>
                <w:rFonts w:ascii="Arial" w:hAnsi="Arial" w:cs="Arial"/>
                <w:noProof/>
                <w:webHidden/>
              </w:rPr>
              <w:instrText xml:space="preserve"> PAGEREF _Toc101961106 \h </w:instrText>
            </w:r>
            <w:r w:rsidR="00D27093" w:rsidRPr="00EE6AD4">
              <w:rPr>
                <w:rFonts w:ascii="Arial" w:hAnsi="Arial" w:cs="Arial"/>
                <w:noProof/>
                <w:webHidden/>
              </w:rPr>
            </w:r>
            <w:r w:rsidR="00D27093" w:rsidRPr="00EE6AD4">
              <w:rPr>
                <w:rFonts w:ascii="Arial" w:hAnsi="Arial" w:cs="Arial"/>
                <w:noProof/>
                <w:webHidden/>
              </w:rPr>
              <w:fldChar w:fldCharType="separate"/>
            </w:r>
            <w:r w:rsidR="00D27093" w:rsidRPr="00EE6AD4">
              <w:rPr>
                <w:rFonts w:ascii="Arial" w:hAnsi="Arial" w:cs="Arial"/>
                <w:noProof/>
                <w:webHidden/>
              </w:rPr>
              <w:t>4</w:t>
            </w:r>
            <w:r w:rsidR="00D27093" w:rsidRPr="00EE6AD4">
              <w:rPr>
                <w:rFonts w:ascii="Arial" w:hAnsi="Arial" w:cs="Arial"/>
                <w:noProof/>
                <w:webHidden/>
              </w:rPr>
              <w:fldChar w:fldCharType="end"/>
            </w:r>
          </w:hyperlink>
        </w:p>
        <w:p w14:paraId="586273B2" w14:textId="7C292C7F" w:rsidR="00D27093" w:rsidRPr="00EE6AD4" w:rsidRDefault="00E876B6">
          <w:pPr>
            <w:pStyle w:val="TOC2"/>
            <w:tabs>
              <w:tab w:val="left" w:pos="660"/>
              <w:tab w:val="right" w:leader="dot" w:pos="9016"/>
            </w:tabs>
            <w:rPr>
              <w:rFonts w:ascii="Arial" w:eastAsiaTheme="minorEastAsia" w:hAnsi="Arial" w:cs="Arial"/>
              <w:noProof/>
              <w:lang w:eastAsia="en-AU"/>
            </w:rPr>
          </w:pPr>
          <w:hyperlink w:anchor="_Toc101961107" w:history="1">
            <w:r w:rsidR="00D27093" w:rsidRPr="00EE6AD4">
              <w:rPr>
                <w:rStyle w:val="Hyperlink"/>
                <w:rFonts w:ascii="Arial" w:eastAsia="Times New Roman" w:hAnsi="Arial" w:cs="Arial"/>
                <w:noProof/>
              </w:rPr>
              <w:t>A.</w:t>
            </w:r>
            <w:r w:rsidR="00D27093" w:rsidRPr="00EE6AD4">
              <w:rPr>
                <w:rFonts w:ascii="Arial" w:eastAsiaTheme="minorEastAsia" w:hAnsi="Arial" w:cs="Arial"/>
                <w:noProof/>
                <w:lang w:eastAsia="en-AU"/>
              </w:rPr>
              <w:tab/>
            </w:r>
            <w:r w:rsidR="00D27093" w:rsidRPr="00EE6AD4">
              <w:rPr>
                <w:rStyle w:val="Hyperlink"/>
                <w:rFonts w:ascii="Arial" w:eastAsia="Times New Roman" w:hAnsi="Arial" w:cs="Arial"/>
                <w:noProof/>
              </w:rPr>
              <w:t>Overview of Existing Commonwealth Explosives Regime</w:t>
            </w:r>
            <w:r w:rsidR="00D27093" w:rsidRPr="00EE6AD4">
              <w:rPr>
                <w:rFonts w:ascii="Arial" w:hAnsi="Arial" w:cs="Arial"/>
                <w:noProof/>
                <w:webHidden/>
              </w:rPr>
              <w:tab/>
            </w:r>
            <w:r w:rsidR="00D27093" w:rsidRPr="00EE6AD4">
              <w:rPr>
                <w:rFonts w:ascii="Arial" w:hAnsi="Arial" w:cs="Arial"/>
                <w:noProof/>
                <w:webHidden/>
              </w:rPr>
              <w:fldChar w:fldCharType="begin"/>
            </w:r>
            <w:r w:rsidR="00D27093" w:rsidRPr="00EE6AD4">
              <w:rPr>
                <w:rFonts w:ascii="Arial" w:hAnsi="Arial" w:cs="Arial"/>
                <w:noProof/>
                <w:webHidden/>
              </w:rPr>
              <w:instrText xml:space="preserve"> PAGEREF _Toc101961107 \h </w:instrText>
            </w:r>
            <w:r w:rsidR="00D27093" w:rsidRPr="00EE6AD4">
              <w:rPr>
                <w:rFonts w:ascii="Arial" w:hAnsi="Arial" w:cs="Arial"/>
                <w:noProof/>
                <w:webHidden/>
              </w:rPr>
            </w:r>
            <w:r w:rsidR="00D27093" w:rsidRPr="00EE6AD4">
              <w:rPr>
                <w:rFonts w:ascii="Arial" w:hAnsi="Arial" w:cs="Arial"/>
                <w:noProof/>
                <w:webHidden/>
              </w:rPr>
              <w:fldChar w:fldCharType="separate"/>
            </w:r>
            <w:r w:rsidR="00D27093" w:rsidRPr="00EE6AD4">
              <w:rPr>
                <w:rFonts w:ascii="Arial" w:hAnsi="Arial" w:cs="Arial"/>
                <w:noProof/>
                <w:webHidden/>
              </w:rPr>
              <w:t>6</w:t>
            </w:r>
            <w:r w:rsidR="00D27093" w:rsidRPr="00EE6AD4">
              <w:rPr>
                <w:rFonts w:ascii="Arial" w:hAnsi="Arial" w:cs="Arial"/>
                <w:noProof/>
                <w:webHidden/>
              </w:rPr>
              <w:fldChar w:fldCharType="end"/>
            </w:r>
          </w:hyperlink>
        </w:p>
        <w:p w14:paraId="53FD5332" w14:textId="6C5A3B60" w:rsidR="00D27093" w:rsidRPr="00EE6AD4" w:rsidRDefault="00E876B6">
          <w:pPr>
            <w:pStyle w:val="TOC2"/>
            <w:tabs>
              <w:tab w:val="left" w:pos="660"/>
              <w:tab w:val="right" w:leader="dot" w:pos="9016"/>
            </w:tabs>
            <w:rPr>
              <w:rFonts w:ascii="Arial" w:eastAsiaTheme="minorEastAsia" w:hAnsi="Arial" w:cs="Arial"/>
              <w:noProof/>
              <w:lang w:eastAsia="en-AU"/>
            </w:rPr>
          </w:pPr>
          <w:hyperlink w:anchor="_Toc101961108" w:history="1">
            <w:r w:rsidR="00D27093" w:rsidRPr="00EE6AD4">
              <w:rPr>
                <w:rStyle w:val="Hyperlink"/>
                <w:rFonts w:ascii="Arial" w:eastAsia="Times New Roman" w:hAnsi="Arial" w:cs="Arial"/>
                <w:noProof/>
              </w:rPr>
              <w:t>B.</w:t>
            </w:r>
            <w:r w:rsidR="00D27093" w:rsidRPr="00EE6AD4">
              <w:rPr>
                <w:rFonts w:ascii="Arial" w:eastAsiaTheme="minorEastAsia" w:hAnsi="Arial" w:cs="Arial"/>
                <w:noProof/>
                <w:lang w:eastAsia="en-AU"/>
              </w:rPr>
              <w:tab/>
            </w:r>
            <w:r w:rsidR="00D27093" w:rsidRPr="00EE6AD4">
              <w:rPr>
                <w:rStyle w:val="Hyperlink"/>
                <w:rFonts w:ascii="Arial" w:eastAsia="Times New Roman" w:hAnsi="Arial" w:cs="Arial"/>
                <w:noProof/>
              </w:rPr>
              <w:t>Overview of Broader Regulatory Context</w:t>
            </w:r>
            <w:r w:rsidR="00D27093" w:rsidRPr="00EE6AD4">
              <w:rPr>
                <w:rFonts w:ascii="Arial" w:hAnsi="Arial" w:cs="Arial"/>
                <w:noProof/>
                <w:webHidden/>
              </w:rPr>
              <w:tab/>
            </w:r>
            <w:r w:rsidR="00D27093" w:rsidRPr="00EE6AD4">
              <w:rPr>
                <w:rFonts w:ascii="Arial" w:hAnsi="Arial" w:cs="Arial"/>
                <w:noProof/>
                <w:webHidden/>
              </w:rPr>
              <w:fldChar w:fldCharType="begin"/>
            </w:r>
            <w:r w:rsidR="00D27093" w:rsidRPr="00EE6AD4">
              <w:rPr>
                <w:rFonts w:ascii="Arial" w:hAnsi="Arial" w:cs="Arial"/>
                <w:noProof/>
                <w:webHidden/>
              </w:rPr>
              <w:instrText xml:space="preserve"> PAGEREF _Toc101961108 \h </w:instrText>
            </w:r>
            <w:r w:rsidR="00D27093" w:rsidRPr="00EE6AD4">
              <w:rPr>
                <w:rFonts w:ascii="Arial" w:hAnsi="Arial" w:cs="Arial"/>
                <w:noProof/>
                <w:webHidden/>
              </w:rPr>
            </w:r>
            <w:r w:rsidR="00D27093" w:rsidRPr="00EE6AD4">
              <w:rPr>
                <w:rFonts w:ascii="Arial" w:hAnsi="Arial" w:cs="Arial"/>
                <w:noProof/>
                <w:webHidden/>
              </w:rPr>
              <w:fldChar w:fldCharType="separate"/>
            </w:r>
            <w:r w:rsidR="00D27093" w:rsidRPr="00EE6AD4">
              <w:rPr>
                <w:rFonts w:ascii="Arial" w:hAnsi="Arial" w:cs="Arial"/>
                <w:noProof/>
                <w:webHidden/>
              </w:rPr>
              <w:t>7</w:t>
            </w:r>
            <w:r w:rsidR="00D27093" w:rsidRPr="00EE6AD4">
              <w:rPr>
                <w:rFonts w:ascii="Arial" w:hAnsi="Arial" w:cs="Arial"/>
                <w:noProof/>
                <w:webHidden/>
              </w:rPr>
              <w:fldChar w:fldCharType="end"/>
            </w:r>
          </w:hyperlink>
        </w:p>
        <w:p w14:paraId="386D95B5" w14:textId="2BF140EE" w:rsidR="00D27093" w:rsidRPr="00EE6AD4" w:rsidRDefault="00E876B6">
          <w:pPr>
            <w:pStyle w:val="TOC2"/>
            <w:tabs>
              <w:tab w:val="left" w:pos="880"/>
              <w:tab w:val="right" w:leader="dot" w:pos="9016"/>
            </w:tabs>
            <w:rPr>
              <w:rFonts w:ascii="Arial" w:eastAsiaTheme="minorEastAsia" w:hAnsi="Arial" w:cs="Arial"/>
              <w:noProof/>
              <w:lang w:eastAsia="en-AU"/>
            </w:rPr>
          </w:pPr>
          <w:hyperlink w:anchor="_Toc101961109" w:history="1">
            <w:r w:rsidR="00D27093" w:rsidRPr="00EE6AD4">
              <w:rPr>
                <w:rStyle w:val="Hyperlink"/>
                <w:rFonts w:ascii="Arial" w:eastAsia="Times New Roman" w:hAnsi="Arial" w:cs="Arial"/>
                <w:noProof/>
              </w:rPr>
              <w:t>C.</w:t>
            </w:r>
            <w:r w:rsidR="00D27093" w:rsidRPr="00EE6AD4">
              <w:rPr>
                <w:rFonts w:ascii="Arial" w:eastAsiaTheme="minorEastAsia" w:hAnsi="Arial" w:cs="Arial"/>
                <w:noProof/>
                <w:lang w:eastAsia="en-AU"/>
              </w:rPr>
              <w:tab/>
            </w:r>
            <w:r w:rsidR="00D27093" w:rsidRPr="00EE6AD4">
              <w:rPr>
                <w:rStyle w:val="Hyperlink"/>
                <w:rFonts w:ascii="Arial" w:eastAsia="Times New Roman" w:hAnsi="Arial" w:cs="Arial"/>
                <w:noProof/>
              </w:rPr>
              <w:t>Background to the Explosives Act Thematic Review</w:t>
            </w:r>
            <w:r w:rsidR="00D27093" w:rsidRPr="00EE6AD4">
              <w:rPr>
                <w:rFonts w:ascii="Arial" w:hAnsi="Arial" w:cs="Arial"/>
                <w:noProof/>
                <w:webHidden/>
              </w:rPr>
              <w:tab/>
            </w:r>
            <w:r w:rsidR="00D27093" w:rsidRPr="00EE6AD4">
              <w:rPr>
                <w:rFonts w:ascii="Arial" w:hAnsi="Arial" w:cs="Arial"/>
                <w:noProof/>
                <w:webHidden/>
              </w:rPr>
              <w:fldChar w:fldCharType="begin"/>
            </w:r>
            <w:r w:rsidR="00D27093" w:rsidRPr="00EE6AD4">
              <w:rPr>
                <w:rFonts w:ascii="Arial" w:hAnsi="Arial" w:cs="Arial"/>
                <w:noProof/>
                <w:webHidden/>
              </w:rPr>
              <w:instrText xml:space="preserve"> PAGEREF _Toc101961109 \h </w:instrText>
            </w:r>
            <w:r w:rsidR="00D27093" w:rsidRPr="00EE6AD4">
              <w:rPr>
                <w:rFonts w:ascii="Arial" w:hAnsi="Arial" w:cs="Arial"/>
                <w:noProof/>
                <w:webHidden/>
              </w:rPr>
            </w:r>
            <w:r w:rsidR="00D27093" w:rsidRPr="00EE6AD4">
              <w:rPr>
                <w:rFonts w:ascii="Arial" w:hAnsi="Arial" w:cs="Arial"/>
                <w:noProof/>
                <w:webHidden/>
              </w:rPr>
              <w:fldChar w:fldCharType="separate"/>
            </w:r>
            <w:r w:rsidR="00D27093" w:rsidRPr="00EE6AD4">
              <w:rPr>
                <w:rFonts w:ascii="Arial" w:hAnsi="Arial" w:cs="Arial"/>
                <w:noProof/>
                <w:webHidden/>
              </w:rPr>
              <w:t>8</w:t>
            </w:r>
            <w:r w:rsidR="00D27093" w:rsidRPr="00EE6AD4">
              <w:rPr>
                <w:rFonts w:ascii="Arial" w:hAnsi="Arial" w:cs="Arial"/>
                <w:noProof/>
                <w:webHidden/>
              </w:rPr>
              <w:fldChar w:fldCharType="end"/>
            </w:r>
          </w:hyperlink>
        </w:p>
        <w:p w14:paraId="5F1513D9" w14:textId="47E57B20" w:rsidR="00D27093" w:rsidRPr="00EE6AD4" w:rsidRDefault="00E876B6" w:rsidP="00D27093">
          <w:pPr>
            <w:pStyle w:val="TOC1"/>
            <w:rPr>
              <w:rFonts w:ascii="Arial" w:eastAsiaTheme="minorEastAsia" w:hAnsi="Arial" w:cs="Arial"/>
              <w:noProof/>
              <w:lang w:eastAsia="en-AU"/>
            </w:rPr>
          </w:pPr>
          <w:hyperlink w:anchor="_Toc101961110" w:history="1">
            <w:r w:rsidR="00D27093" w:rsidRPr="00EE6AD4">
              <w:rPr>
                <w:rStyle w:val="Hyperlink"/>
                <w:rFonts w:ascii="Arial" w:eastAsia="Times New Roman" w:hAnsi="Arial" w:cs="Arial"/>
                <w:b/>
                <w:bCs/>
                <w:noProof/>
              </w:rPr>
              <w:t>1.</w:t>
            </w:r>
            <w:r w:rsidR="00D27093" w:rsidRPr="00EE6AD4">
              <w:rPr>
                <w:rFonts w:ascii="Arial" w:eastAsiaTheme="minorEastAsia" w:hAnsi="Arial" w:cs="Arial"/>
                <w:noProof/>
                <w:lang w:eastAsia="en-AU"/>
              </w:rPr>
              <w:tab/>
            </w:r>
            <w:r w:rsidR="00D27093" w:rsidRPr="00EE6AD4">
              <w:rPr>
                <w:rStyle w:val="Hyperlink"/>
                <w:rFonts w:ascii="Arial" w:eastAsia="Times New Roman" w:hAnsi="Arial" w:cs="Arial"/>
                <w:b/>
                <w:bCs/>
                <w:noProof/>
              </w:rPr>
              <w:t>What is the policy problem you are trying to solve?</w:t>
            </w:r>
            <w:r w:rsidR="00D27093" w:rsidRPr="00EE6AD4">
              <w:rPr>
                <w:rFonts w:ascii="Arial" w:hAnsi="Arial" w:cs="Arial"/>
                <w:noProof/>
                <w:webHidden/>
              </w:rPr>
              <w:tab/>
            </w:r>
            <w:r w:rsidR="00D27093" w:rsidRPr="00EE6AD4">
              <w:rPr>
                <w:rFonts w:ascii="Arial" w:hAnsi="Arial" w:cs="Arial"/>
                <w:noProof/>
                <w:webHidden/>
              </w:rPr>
              <w:fldChar w:fldCharType="begin"/>
            </w:r>
            <w:r w:rsidR="00D27093" w:rsidRPr="00EE6AD4">
              <w:rPr>
                <w:rFonts w:ascii="Arial" w:hAnsi="Arial" w:cs="Arial"/>
                <w:noProof/>
                <w:webHidden/>
              </w:rPr>
              <w:instrText xml:space="preserve"> PAGEREF _Toc101961110 \h </w:instrText>
            </w:r>
            <w:r w:rsidR="00D27093" w:rsidRPr="00EE6AD4">
              <w:rPr>
                <w:rFonts w:ascii="Arial" w:hAnsi="Arial" w:cs="Arial"/>
                <w:noProof/>
                <w:webHidden/>
              </w:rPr>
            </w:r>
            <w:r w:rsidR="00D27093" w:rsidRPr="00EE6AD4">
              <w:rPr>
                <w:rFonts w:ascii="Arial" w:hAnsi="Arial" w:cs="Arial"/>
                <w:noProof/>
                <w:webHidden/>
              </w:rPr>
              <w:fldChar w:fldCharType="separate"/>
            </w:r>
            <w:r w:rsidR="00D27093" w:rsidRPr="00EE6AD4">
              <w:rPr>
                <w:rFonts w:ascii="Arial" w:hAnsi="Arial" w:cs="Arial"/>
                <w:noProof/>
                <w:webHidden/>
              </w:rPr>
              <w:t>10</w:t>
            </w:r>
            <w:r w:rsidR="00D27093" w:rsidRPr="00EE6AD4">
              <w:rPr>
                <w:rFonts w:ascii="Arial" w:hAnsi="Arial" w:cs="Arial"/>
                <w:noProof/>
                <w:webHidden/>
              </w:rPr>
              <w:fldChar w:fldCharType="end"/>
            </w:r>
          </w:hyperlink>
        </w:p>
        <w:p w14:paraId="46A75688" w14:textId="10748612" w:rsidR="00D27093" w:rsidRPr="00EE6AD4" w:rsidRDefault="00E876B6">
          <w:pPr>
            <w:pStyle w:val="TOC2"/>
            <w:tabs>
              <w:tab w:val="right" w:leader="dot" w:pos="9016"/>
            </w:tabs>
            <w:rPr>
              <w:rFonts w:ascii="Arial" w:eastAsiaTheme="minorEastAsia" w:hAnsi="Arial" w:cs="Arial"/>
              <w:noProof/>
              <w:lang w:eastAsia="en-AU"/>
            </w:rPr>
          </w:pPr>
          <w:hyperlink w:anchor="_Toc101961111" w:history="1">
            <w:r w:rsidR="00D27093" w:rsidRPr="00EE6AD4">
              <w:rPr>
                <w:rStyle w:val="Hyperlink"/>
                <w:rFonts w:ascii="Arial" w:eastAsia="Times New Roman" w:hAnsi="Arial" w:cs="Arial"/>
                <w:noProof/>
              </w:rPr>
              <w:t>1.1 New and Evolving Risk Profile</w:t>
            </w:r>
            <w:r w:rsidR="00D27093" w:rsidRPr="00EE6AD4">
              <w:rPr>
                <w:rFonts w:ascii="Arial" w:hAnsi="Arial" w:cs="Arial"/>
                <w:noProof/>
                <w:webHidden/>
              </w:rPr>
              <w:tab/>
            </w:r>
            <w:r w:rsidR="00D27093" w:rsidRPr="00EE6AD4">
              <w:rPr>
                <w:rFonts w:ascii="Arial" w:hAnsi="Arial" w:cs="Arial"/>
                <w:noProof/>
                <w:webHidden/>
              </w:rPr>
              <w:fldChar w:fldCharType="begin"/>
            </w:r>
            <w:r w:rsidR="00D27093" w:rsidRPr="00EE6AD4">
              <w:rPr>
                <w:rFonts w:ascii="Arial" w:hAnsi="Arial" w:cs="Arial"/>
                <w:noProof/>
                <w:webHidden/>
              </w:rPr>
              <w:instrText xml:space="preserve"> PAGEREF _Toc101961111 \h </w:instrText>
            </w:r>
            <w:r w:rsidR="00D27093" w:rsidRPr="00EE6AD4">
              <w:rPr>
                <w:rFonts w:ascii="Arial" w:hAnsi="Arial" w:cs="Arial"/>
                <w:noProof/>
                <w:webHidden/>
              </w:rPr>
            </w:r>
            <w:r w:rsidR="00D27093" w:rsidRPr="00EE6AD4">
              <w:rPr>
                <w:rFonts w:ascii="Arial" w:hAnsi="Arial" w:cs="Arial"/>
                <w:noProof/>
                <w:webHidden/>
              </w:rPr>
              <w:fldChar w:fldCharType="separate"/>
            </w:r>
            <w:r w:rsidR="00D27093" w:rsidRPr="00EE6AD4">
              <w:rPr>
                <w:rFonts w:ascii="Arial" w:hAnsi="Arial" w:cs="Arial"/>
                <w:noProof/>
                <w:webHidden/>
              </w:rPr>
              <w:t>10</w:t>
            </w:r>
            <w:r w:rsidR="00D27093" w:rsidRPr="00EE6AD4">
              <w:rPr>
                <w:rFonts w:ascii="Arial" w:hAnsi="Arial" w:cs="Arial"/>
                <w:noProof/>
                <w:webHidden/>
              </w:rPr>
              <w:fldChar w:fldCharType="end"/>
            </w:r>
          </w:hyperlink>
        </w:p>
        <w:p w14:paraId="1CAF6C0F" w14:textId="71A539C4" w:rsidR="00D27093" w:rsidRPr="00EE6AD4" w:rsidRDefault="00E876B6">
          <w:pPr>
            <w:pStyle w:val="TOC2"/>
            <w:tabs>
              <w:tab w:val="right" w:leader="dot" w:pos="9016"/>
            </w:tabs>
            <w:rPr>
              <w:rFonts w:ascii="Arial" w:eastAsiaTheme="minorEastAsia" w:hAnsi="Arial" w:cs="Arial"/>
              <w:noProof/>
              <w:lang w:eastAsia="en-AU"/>
            </w:rPr>
          </w:pPr>
          <w:hyperlink w:anchor="_Toc101961112" w:history="1">
            <w:r w:rsidR="00D27093" w:rsidRPr="00EE6AD4">
              <w:rPr>
                <w:rStyle w:val="Hyperlink"/>
                <w:rFonts w:ascii="Arial" w:eastAsia="Times New Roman" w:hAnsi="Arial" w:cs="Arial"/>
                <w:noProof/>
              </w:rPr>
              <w:t>1.2 Absence of Clear, Enforceable Safety and Security Standards</w:t>
            </w:r>
            <w:r w:rsidR="00D27093" w:rsidRPr="00EE6AD4">
              <w:rPr>
                <w:rFonts w:ascii="Arial" w:hAnsi="Arial" w:cs="Arial"/>
                <w:noProof/>
                <w:webHidden/>
              </w:rPr>
              <w:tab/>
            </w:r>
            <w:r w:rsidR="00D27093" w:rsidRPr="00EE6AD4">
              <w:rPr>
                <w:rFonts w:ascii="Arial" w:hAnsi="Arial" w:cs="Arial"/>
                <w:noProof/>
                <w:webHidden/>
              </w:rPr>
              <w:fldChar w:fldCharType="begin"/>
            </w:r>
            <w:r w:rsidR="00D27093" w:rsidRPr="00EE6AD4">
              <w:rPr>
                <w:rFonts w:ascii="Arial" w:hAnsi="Arial" w:cs="Arial"/>
                <w:noProof/>
                <w:webHidden/>
              </w:rPr>
              <w:instrText xml:space="preserve"> PAGEREF _Toc101961112 \h </w:instrText>
            </w:r>
            <w:r w:rsidR="00D27093" w:rsidRPr="00EE6AD4">
              <w:rPr>
                <w:rFonts w:ascii="Arial" w:hAnsi="Arial" w:cs="Arial"/>
                <w:noProof/>
                <w:webHidden/>
              </w:rPr>
            </w:r>
            <w:r w:rsidR="00D27093" w:rsidRPr="00EE6AD4">
              <w:rPr>
                <w:rFonts w:ascii="Arial" w:hAnsi="Arial" w:cs="Arial"/>
                <w:noProof/>
                <w:webHidden/>
              </w:rPr>
              <w:fldChar w:fldCharType="separate"/>
            </w:r>
            <w:r w:rsidR="00D27093" w:rsidRPr="00EE6AD4">
              <w:rPr>
                <w:rFonts w:ascii="Arial" w:hAnsi="Arial" w:cs="Arial"/>
                <w:noProof/>
                <w:webHidden/>
              </w:rPr>
              <w:t>11</w:t>
            </w:r>
            <w:r w:rsidR="00D27093" w:rsidRPr="00EE6AD4">
              <w:rPr>
                <w:rFonts w:ascii="Arial" w:hAnsi="Arial" w:cs="Arial"/>
                <w:noProof/>
                <w:webHidden/>
              </w:rPr>
              <w:fldChar w:fldCharType="end"/>
            </w:r>
          </w:hyperlink>
        </w:p>
        <w:p w14:paraId="10D14E53" w14:textId="7F5138C9" w:rsidR="00D27093" w:rsidRPr="00EE6AD4" w:rsidRDefault="00E876B6">
          <w:pPr>
            <w:pStyle w:val="TOC2"/>
            <w:tabs>
              <w:tab w:val="right" w:leader="dot" w:pos="9016"/>
            </w:tabs>
            <w:rPr>
              <w:rFonts w:ascii="Arial" w:eastAsiaTheme="minorEastAsia" w:hAnsi="Arial" w:cs="Arial"/>
              <w:noProof/>
              <w:lang w:eastAsia="en-AU"/>
            </w:rPr>
          </w:pPr>
          <w:hyperlink w:anchor="_Toc101961113" w:history="1">
            <w:r w:rsidR="00D27093" w:rsidRPr="00EE6AD4">
              <w:rPr>
                <w:rStyle w:val="Hyperlink"/>
                <w:rFonts w:ascii="Arial" w:eastAsia="Times New Roman" w:hAnsi="Arial" w:cs="Arial"/>
                <w:noProof/>
              </w:rPr>
              <w:t>1.3 Ambiguity Leads to High Regulatory Burdens</w:t>
            </w:r>
            <w:r w:rsidR="00D27093" w:rsidRPr="00EE6AD4">
              <w:rPr>
                <w:rFonts w:ascii="Arial" w:hAnsi="Arial" w:cs="Arial"/>
                <w:noProof/>
                <w:webHidden/>
              </w:rPr>
              <w:tab/>
            </w:r>
            <w:r w:rsidR="00D27093" w:rsidRPr="00EE6AD4">
              <w:rPr>
                <w:rFonts w:ascii="Arial" w:hAnsi="Arial" w:cs="Arial"/>
                <w:noProof/>
                <w:webHidden/>
              </w:rPr>
              <w:fldChar w:fldCharType="begin"/>
            </w:r>
            <w:r w:rsidR="00D27093" w:rsidRPr="00EE6AD4">
              <w:rPr>
                <w:rFonts w:ascii="Arial" w:hAnsi="Arial" w:cs="Arial"/>
                <w:noProof/>
                <w:webHidden/>
              </w:rPr>
              <w:instrText xml:space="preserve"> PAGEREF _Toc101961113 \h </w:instrText>
            </w:r>
            <w:r w:rsidR="00D27093" w:rsidRPr="00EE6AD4">
              <w:rPr>
                <w:rFonts w:ascii="Arial" w:hAnsi="Arial" w:cs="Arial"/>
                <w:noProof/>
                <w:webHidden/>
              </w:rPr>
            </w:r>
            <w:r w:rsidR="00D27093" w:rsidRPr="00EE6AD4">
              <w:rPr>
                <w:rFonts w:ascii="Arial" w:hAnsi="Arial" w:cs="Arial"/>
                <w:noProof/>
                <w:webHidden/>
              </w:rPr>
              <w:fldChar w:fldCharType="separate"/>
            </w:r>
            <w:r w:rsidR="00D27093" w:rsidRPr="00EE6AD4">
              <w:rPr>
                <w:rFonts w:ascii="Arial" w:hAnsi="Arial" w:cs="Arial"/>
                <w:noProof/>
                <w:webHidden/>
              </w:rPr>
              <w:t>18</w:t>
            </w:r>
            <w:r w:rsidR="00D27093" w:rsidRPr="00EE6AD4">
              <w:rPr>
                <w:rFonts w:ascii="Arial" w:hAnsi="Arial" w:cs="Arial"/>
                <w:noProof/>
                <w:webHidden/>
              </w:rPr>
              <w:fldChar w:fldCharType="end"/>
            </w:r>
          </w:hyperlink>
        </w:p>
        <w:p w14:paraId="48B67595" w14:textId="2B46CEC0" w:rsidR="00D27093" w:rsidRPr="00EE6AD4" w:rsidRDefault="00E876B6">
          <w:pPr>
            <w:pStyle w:val="TOC2"/>
            <w:tabs>
              <w:tab w:val="right" w:leader="dot" w:pos="9016"/>
            </w:tabs>
            <w:rPr>
              <w:rFonts w:ascii="Arial" w:eastAsiaTheme="minorEastAsia" w:hAnsi="Arial" w:cs="Arial"/>
              <w:noProof/>
              <w:lang w:eastAsia="en-AU"/>
            </w:rPr>
          </w:pPr>
          <w:hyperlink w:anchor="_Toc101961114" w:history="1">
            <w:r w:rsidR="00D27093" w:rsidRPr="00EE6AD4">
              <w:rPr>
                <w:rStyle w:val="Hyperlink"/>
                <w:rFonts w:ascii="Arial" w:eastAsia="Times New Roman" w:hAnsi="Arial" w:cs="Arial"/>
                <w:noProof/>
              </w:rPr>
              <w:t>1.4 Failure to Maintain Pace with Modern Legislative Developments</w:t>
            </w:r>
            <w:r w:rsidR="00D27093" w:rsidRPr="00EE6AD4">
              <w:rPr>
                <w:rFonts w:ascii="Arial" w:hAnsi="Arial" w:cs="Arial"/>
                <w:noProof/>
                <w:webHidden/>
              </w:rPr>
              <w:tab/>
            </w:r>
            <w:r w:rsidR="00D27093" w:rsidRPr="00EE6AD4">
              <w:rPr>
                <w:rFonts w:ascii="Arial" w:hAnsi="Arial" w:cs="Arial"/>
                <w:noProof/>
                <w:webHidden/>
              </w:rPr>
              <w:fldChar w:fldCharType="begin"/>
            </w:r>
            <w:r w:rsidR="00D27093" w:rsidRPr="00EE6AD4">
              <w:rPr>
                <w:rFonts w:ascii="Arial" w:hAnsi="Arial" w:cs="Arial"/>
                <w:noProof/>
                <w:webHidden/>
              </w:rPr>
              <w:instrText xml:space="preserve"> PAGEREF _Toc101961114 \h </w:instrText>
            </w:r>
            <w:r w:rsidR="00D27093" w:rsidRPr="00EE6AD4">
              <w:rPr>
                <w:rFonts w:ascii="Arial" w:hAnsi="Arial" w:cs="Arial"/>
                <w:noProof/>
                <w:webHidden/>
              </w:rPr>
            </w:r>
            <w:r w:rsidR="00D27093" w:rsidRPr="00EE6AD4">
              <w:rPr>
                <w:rFonts w:ascii="Arial" w:hAnsi="Arial" w:cs="Arial"/>
                <w:noProof/>
                <w:webHidden/>
              </w:rPr>
              <w:fldChar w:fldCharType="separate"/>
            </w:r>
            <w:r w:rsidR="00D27093" w:rsidRPr="00EE6AD4">
              <w:rPr>
                <w:rFonts w:ascii="Arial" w:hAnsi="Arial" w:cs="Arial"/>
                <w:noProof/>
                <w:webHidden/>
              </w:rPr>
              <w:t>21</w:t>
            </w:r>
            <w:r w:rsidR="00D27093" w:rsidRPr="00EE6AD4">
              <w:rPr>
                <w:rFonts w:ascii="Arial" w:hAnsi="Arial" w:cs="Arial"/>
                <w:noProof/>
                <w:webHidden/>
              </w:rPr>
              <w:fldChar w:fldCharType="end"/>
            </w:r>
          </w:hyperlink>
        </w:p>
        <w:p w14:paraId="1AC9AE25" w14:textId="7E09349D" w:rsidR="00D27093" w:rsidRPr="00EE6AD4" w:rsidRDefault="00E876B6" w:rsidP="00D27093">
          <w:pPr>
            <w:pStyle w:val="TOC1"/>
            <w:rPr>
              <w:rFonts w:ascii="Arial" w:eastAsiaTheme="minorEastAsia" w:hAnsi="Arial" w:cs="Arial"/>
              <w:noProof/>
              <w:lang w:eastAsia="en-AU"/>
            </w:rPr>
          </w:pPr>
          <w:hyperlink w:anchor="_Toc101961115" w:history="1">
            <w:r w:rsidR="00D27093" w:rsidRPr="00EE6AD4">
              <w:rPr>
                <w:rStyle w:val="Hyperlink"/>
                <w:rFonts w:ascii="Arial" w:eastAsia="Times New Roman" w:hAnsi="Arial" w:cs="Arial"/>
                <w:b/>
                <w:bCs/>
                <w:noProof/>
              </w:rPr>
              <w:t>2.</w:t>
            </w:r>
            <w:r w:rsidR="00D27093" w:rsidRPr="00EE6AD4">
              <w:rPr>
                <w:rFonts w:ascii="Arial" w:eastAsiaTheme="minorEastAsia" w:hAnsi="Arial" w:cs="Arial"/>
                <w:noProof/>
                <w:lang w:eastAsia="en-AU"/>
              </w:rPr>
              <w:tab/>
            </w:r>
            <w:r w:rsidR="00D27093" w:rsidRPr="00EE6AD4">
              <w:rPr>
                <w:rStyle w:val="Hyperlink"/>
                <w:rFonts w:ascii="Arial" w:eastAsia="Times New Roman" w:hAnsi="Arial" w:cs="Arial"/>
                <w:b/>
                <w:bCs/>
                <w:noProof/>
              </w:rPr>
              <w:t>Why is government intervention required?</w:t>
            </w:r>
            <w:r w:rsidR="00D27093" w:rsidRPr="00EE6AD4">
              <w:rPr>
                <w:rFonts w:ascii="Arial" w:hAnsi="Arial" w:cs="Arial"/>
                <w:noProof/>
                <w:webHidden/>
              </w:rPr>
              <w:tab/>
            </w:r>
            <w:r w:rsidR="00D27093" w:rsidRPr="00EE6AD4">
              <w:rPr>
                <w:rFonts w:ascii="Arial" w:hAnsi="Arial" w:cs="Arial"/>
                <w:noProof/>
                <w:webHidden/>
              </w:rPr>
              <w:fldChar w:fldCharType="begin"/>
            </w:r>
            <w:r w:rsidR="00D27093" w:rsidRPr="00EE6AD4">
              <w:rPr>
                <w:rFonts w:ascii="Arial" w:hAnsi="Arial" w:cs="Arial"/>
                <w:noProof/>
                <w:webHidden/>
              </w:rPr>
              <w:instrText xml:space="preserve"> PAGEREF _Toc101961115 \h </w:instrText>
            </w:r>
            <w:r w:rsidR="00D27093" w:rsidRPr="00EE6AD4">
              <w:rPr>
                <w:rFonts w:ascii="Arial" w:hAnsi="Arial" w:cs="Arial"/>
                <w:noProof/>
                <w:webHidden/>
              </w:rPr>
            </w:r>
            <w:r w:rsidR="00D27093" w:rsidRPr="00EE6AD4">
              <w:rPr>
                <w:rFonts w:ascii="Arial" w:hAnsi="Arial" w:cs="Arial"/>
                <w:noProof/>
                <w:webHidden/>
              </w:rPr>
              <w:fldChar w:fldCharType="separate"/>
            </w:r>
            <w:r w:rsidR="00D27093" w:rsidRPr="00EE6AD4">
              <w:rPr>
                <w:rFonts w:ascii="Arial" w:hAnsi="Arial" w:cs="Arial"/>
                <w:noProof/>
                <w:webHidden/>
              </w:rPr>
              <w:t>26</w:t>
            </w:r>
            <w:r w:rsidR="00D27093" w:rsidRPr="00EE6AD4">
              <w:rPr>
                <w:rFonts w:ascii="Arial" w:hAnsi="Arial" w:cs="Arial"/>
                <w:noProof/>
                <w:webHidden/>
              </w:rPr>
              <w:fldChar w:fldCharType="end"/>
            </w:r>
          </w:hyperlink>
        </w:p>
        <w:p w14:paraId="462A9330" w14:textId="1EFE87B5" w:rsidR="00D27093" w:rsidRPr="00EE6AD4" w:rsidRDefault="00E876B6">
          <w:pPr>
            <w:pStyle w:val="TOC2"/>
            <w:tabs>
              <w:tab w:val="right" w:leader="dot" w:pos="9016"/>
            </w:tabs>
            <w:rPr>
              <w:rFonts w:ascii="Arial" w:eastAsiaTheme="minorEastAsia" w:hAnsi="Arial" w:cs="Arial"/>
              <w:noProof/>
              <w:lang w:eastAsia="en-AU"/>
            </w:rPr>
          </w:pPr>
          <w:hyperlink w:anchor="_Toc101961116" w:history="1">
            <w:r w:rsidR="00D27093" w:rsidRPr="00EE6AD4">
              <w:rPr>
                <w:rStyle w:val="Hyperlink"/>
                <w:rFonts w:ascii="Arial" w:eastAsia="Times New Roman" w:hAnsi="Arial" w:cs="Arial"/>
                <w:noProof/>
              </w:rPr>
              <w:t>2.1 Government’s Current Role</w:t>
            </w:r>
            <w:r w:rsidR="00D27093" w:rsidRPr="00EE6AD4">
              <w:rPr>
                <w:rFonts w:ascii="Arial" w:hAnsi="Arial" w:cs="Arial"/>
                <w:noProof/>
                <w:webHidden/>
              </w:rPr>
              <w:tab/>
            </w:r>
            <w:r w:rsidR="00D27093" w:rsidRPr="00EE6AD4">
              <w:rPr>
                <w:rFonts w:ascii="Arial" w:hAnsi="Arial" w:cs="Arial"/>
                <w:noProof/>
                <w:webHidden/>
              </w:rPr>
              <w:fldChar w:fldCharType="begin"/>
            </w:r>
            <w:r w:rsidR="00D27093" w:rsidRPr="00EE6AD4">
              <w:rPr>
                <w:rFonts w:ascii="Arial" w:hAnsi="Arial" w:cs="Arial"/>
                <w:noProof/>
                <w:webHidden/>
              </w:rPr>
              <w:instrText xml:space="preserve"> PAGEREF _Toc101961116 \h </w:instrText>
            </w:r>
            <w:r w:rsidR="00D27093" w:rsidRPr="00EE6AD4">
              <w:rPr>
                <w:rFonts w:ascii="Arial" w:hAnsi="Arial" w:cs="Arial"/>
                <w:noProof/>
                <w:webHidden/>
              </w:rPr>
            </w:r>
            <w:r w:rsidR="00D27093" w:rsidRPr="00EE6AD4">
              <w:rPr>
                <w:rFonts w:ascii="Arial" w:hAnsi="Arial" w:cs="Arial"/>
                <w:noProof/>
                <w:webHidden/>
              </w:rPr>
              <w:fldChar w:fldCharType="separate"/>
            </w:r>
            <w:r w:rsidR="00D27093" w:rsidRPr="00EE6AD4">
              <w:rPr>
                <w:rFonts w:ascii="Arial" w:hAnsi="Arial" w:cs="Arial"/>
                <w:noProof/>
                <w:webHidden/>
              </w:rPr>
              <w:t>26</w:t>
            </w:r>
            <w:r w:rsidR="00D27093" w:rsidRPr="00EE6AD4">
              <w:rPr>
                <w:rFonts w:ascii="Arial" w:hAnsi="Arial" w:cs="Arial"/>
                <w:noProof/>
                <w:webHidden/>
              </w:rPr>
              <w:fldChar w:fldCharType="end"/>
            </w:r>
          </w:hyperlink>
        </w:p>
        <w:p w14:paraId="6A5D78CB" w14:textId="1C0A6EA5" w:rsidR="00D27093" w:rsidRPr="00EE6AD4" w:rsidRDefault="00E876B6">
          <w:pPr>
            <w:pStyle w:val="TOC2"/>
            <w:tabs>
              <w:tab w:val="right" w:leader="dot" w:pos="9016"/>
            </w:tabs>
            <w:rPr>
              <w:rFonts w:ascii="Arial" w:eastAsiaTheme="minorEastAsia" w:hAnsi="Arial" w:cs="Arial"/>
              <w:noProof/>
              <w:lang w:eastAsia="en-AU"/>
            </w:rPr>
          </w:pPr>
          <w:hyperlink w:anchor="_Toc101961117" w:history="1">
            <w:r w:rsidR="00D27093" w:rsidRPr="00EE6AD4">
              <w:rPr>
                <w:rStyle w:val="Hyperlink"/>
                <w:rFonts w:ascii="Arial" w:eastAsia="Times New Roman" w:hAnsi="Arial" w:cs="Arial"/>
                <w:noProof/>
              </w:rPr>
              <w:t>2.2 Capacity and Objectives of Government Intervention</w:t>
            </w:r>
            <w:r w:rsidR="00D27093" w:rsidRPr="00EE6AD4">
              <w:rPr>
                <w:rFonts w:ascii="Arial" w:hAnsi="Arial" w:cs="Arial"/>
                <w:noProof/>
                <w:webHidden/>
              </w:rPr>
              <w:tab/>
            </w:r>
            <w:r w:rsidR="00D27093" w:rsidRPr="00EE6AD4">
              <w:rPr>
                <w:rFonts w:ascii="Arial" w:hAnsi="Arial" w:cs="Arial"/>
                <w:noProof/>
                <w:webHidden/>
              </w:rPr>
              <w:fldChar w:fldCharType="begin"/>
            </w:r>
            <w:r w:rsidR="00D27093" w:rsidRPr="00EE6AD4">
              <w:rPr>
                <w:rFonts w:ascii="Arial" w:hAnsi="Arial" w:cs="Arial"/>
                <w:noProof/>
                <w:webHidden/>
              </w:rPr>
              <w:instrText xml:space="preserve"> PAGEREF _Toc101961117 \h </w:instrText>
            </w:r>
            <w:r w:rsidR="00D27093" w:rsidRPr="00EE6AD4">
              <w:rPr>
                <w:rFonts w:ascii="Arial" w:hAnsi="Arial" w:cs="Arial"/>
                <w:noProof/>
                <w:webHidden/>
              </w:rPr>
            </w:r>
            <w:r w:rsidR="00D27093" w:rsidRPr="00EE6AD4">
              <w:rPr>
                <w:rFonts w:ascii="Arial" w:hAnsi="Arial" w:cs="Arial"/>
                <w:noProof/>
                <w:webHidden/>
              </w:rPr>
              <w:fldChar w:fldCharType="separate"/>
            </w:r>
            <w:r w:rsidR="00D27093" w:rsidRPr="00EE6AD4">
              <w:rPr>
                <w:rFonts w:ascii="Arial" w:hAnsi="Arial" w:cs="Arial"/>
                <w:noProof/>
                <w:webHidden/>
              </w:rPr>
              <w:t>27</w:t>
            </w:r>
            <w:r w:rsidR="00D27093" w:rsidRPr="00EE6AD4">
              <w:rPr>
                <w:rFonts w:ascii="Arial" w:hAnsi="Arial" w:cs="Arial"/>
                <w:noProof/>
                <w:webHidden/>
              </w:rPr>
              <w:fldChar w:fldCharType="end"/>
            </w:r>
          </w:hyperlink>
        </w:p>
        <w:p w14:paraId="1EEFF437" w14:textId="7E51C17D" w:rsidR="00D27093" w:rsidRPr="00EE6AD4" w:rsidRDefault="00E876B6">
          <w:pPr>
            <w:pStyle w:val="TOC2"/>
            <w:tabs>
              <w:tab w:val="right" w:leader="dot" w:pos="9016"/>
            </w:tabs>
            <w:rPr>
              <w:rFonts w:ascii="Arial" w:eastAsiaTheme="minorEastAsia" w:hAnsi="Arial" w:cs="Arial"/>
              <w:noProof/>
              <w:lang w:eastAsia="en-AU"/>
            </w:rPr>
          </w:pPr>
          <w:hyperlink w:anchor="_Toc101961118" w:history="1">
            <w:r w:rsidR="00D27093" w:rsidRPr="00EE6AD4">
              <w:rPr>
                <w:rStyle w:val="Hyperlink"/>
                <w:rFonts w:ascii="Arial" w:eastAsia="Times New Roman" w:hAnsi="Arial" w:cs="Arial"/>
                <w:noProof/>
              </w:rPr>
              <w:t>2.3 Constraints or Barriers to Achieving Goal</w:t>
            </w:r>
            <w:r w:rsidR="00D27093" w:rsidRPr="00EE6AD4">
              <w:rPr>
                <w:rFonts w:ascii="Arial" w:hAnsi="Arial" w:cs="Arial"/>
                <w:noProof/>
                <w:webHidden/>
              </w:rPr>
              <w:tab/>
            </w:r>
            <w:r w:rsidR="00D27093" w:rsidRPr="00EE6AD4">
              <w:rPr>
                <w:rFonts w:ascii="Arial" w:hAnsi="Arial" w:cs="Arial"/>
                <w:noProof/>
                <w:webHidden/>
              </w:rPr>
              <w:fldChar w:fldCharType="begin"/>
            </w:r>
            <w:r w:rsidR="00D27093" w:rsidRPr="00EE6AD4">
              <w:rPr>
                <w:rFonts w:ascii="Arial" w:hAnsi="Arial" w:cs="Arial"/>
                <w:noProof/>
                <w:webHidden/>
              </w:rPr>
              <w:instrText xml:space="preserve"> PAGEREF _Toc101961118 \h </w:instrText>
            </w:r>
            <w:r w:rsidR="00D27093" w:rsidRPr="00EE6AD4">
              <w:rPr>
                <w:rFonts w:ascii="Arial" w:hAnsi="Arial" w:cs="Arial"/>
                <w:noProof/>
                <w:webHidden/>
              </w:rPr>
            </w:r>
            <w:r w:rsidR="00D27093" w:rsidRPr="00EE6AD4">
              <w:rPr>
                <w:rFonts w:ascii="Arial" w:hAnsi="Arial" w:cs="Arial"/>
                <w:noProof/>
                <w:webHidden/>
              </w:rPr>
              <w:fldChar w:fldCharType="separate"/>
            </w:r>
            <w:r w:rsidR="00D27093" w:rsidRPr="00EE6AD4">
              <w:rPr>
                <w:rFonts w:ascii="Arial" w:hAnsi="Arial" w:cs="Arial"/>
                <w:noProof/>
                <w:webHidden/>
              </w:rPr>
              <w:t>28</w:t>
            </w:r>
            <w:r w:rsidR="00D27093" w:rsidRPr="00EE6AD4">
              <w:rPr>
                <w:rFonts w:ascii="Arial" w:hAnsi="Arial" w:cs="Arial"/>
                <w:noProof/>
                <w:webHidden/>
              </w:rPr>
              <w:fldChar w:fldCharType="end"/>
            </w:r>
          </w:hyperlink>
        </w:p>
        <w:p w14:paraId="7678AE1B" w14:textId="0F5E8E35" w:rsidR="00D27093" w:rsidRPr="00EE6AD4" w:rsidRDefault="00E876B6" w:rsidP="00D27093">
          <w:pPr>
            <w:pStyle w:val="TOC1"/>
            <w:rPr>
              <w:rFonts w:ascii="Arial" w:eastAsiaTheme="minorEastAsia" w:hAnsi="Arial" w:cs="Arial"/>
              <w:noProof/>
              <w:lang w:eastAsia="en-AU"/>
            </w:rPr>
          </w:pPr>
          <w:hyperlink w:anchor="_Toc101961119" w:history="1">
            <w:r w:rsidR="00D27093" w:rsidRPr="00EE6AD4">
              <w:rPr>
                <w:rStyle w:val="Hyperlink"/>
                <w:rFonts w:ascii="Arial" w:eastAsia="Times New Roman" w:hAnsi="Arial" w:cs="Arial"/>
                <w:b/>
                <w:bCs/>
                <w:noProof/>
              </w:rPr>
              <w:t>3.</w:t>
            </w:r>
            <w:r w:rsidR="00D27093" w:rsidRPr="00EE6AD4">
              <w:rPr>
                <w:rFonts w:ascii="Arial" w:eastAsiaTheme="minorEastAsia" w:hAnsi="Arial" w:cs="Arial"/>
                <w:noProof/>
                <w:lang w:eastAsia="en-AU"/>
              </w:rPr>
              <w:tab/>
            </w:r>
            <w:r w:rsidR="00D27093" w:rsidRPr="00EE6AD4">
              <w:rPr>
                <w:rStyle w:val="Hyperlink"/>
                <w:rFonts w:ascii="Arial" w:eastAsia="Times New Roman" w:hAnsi="Arial" w:cs="Arial"/>
                <w:b/>
                <w:bCs/>
                <w:noProof/>
              </w:rPr>
              <w:t>What policy options are you considering?</w:t>
            </w:r>
            <w:r w:rsidR="00D27093" w:rsidRPr="00EE6AD4">
              <w:rPr>
                <w:rFonts w:ascii="Arial" w:hAnsi="Arial" w:cs="Arial"/>
                <w:noProof/>
                <w:webHidden/>
              </w:rPr>
              <w:tab/>
            </w:r>
            <w:r w:rsidR="00D27093" w:rsidRPr="00EE6AD4">
              <w:rPr>
                <w:rFonts w:ascii="Arial" w:hAnsi="Arial" w:cs="Arial"/>
                <w:noProof/>
                <w:webHidden/>
              </w:rPr>
              <w:fldChar w:fldCharType="begin"/>
            </w:r>
            <w:r w:rsidR="00D27093" w:rsidRPr="00EE6AD4">
              <w:rPr>
                <w:rFonts w:ascii="Arial" w:hAnsi="Arial" w:cs="Arial"/>
                <w:noProof/>
                <w:webHidden/>
              </w:rPr>
              <w:instrText xml:space="preserve"> PAGEREF _Toc101961119 \h </w:instrText>
            </w:r>
            <w:r w:rsidR="00D27093" w:rsidRPr="00EE6AD4">
              <w:rPr>
                <w:rFonts w:ascii="Arial" w:hAnsi="Arial" w:cs="Arial"/>
                <w:noProof/>
                <w:webHidden/>
              </w:rPr>
            </w:r>
            <w:r w:rsidR="00D27093" w:rsidRPr="00EE6AD4">
              <w:rPr>
                <w:rFonts w:ascii="Arial" w:hAnsi="Arial" w:cs="Arial"/>
                <w:noProof/>
                <w:webHidden/>
              </w:rPr>
              <w:fldChar w:fldCharType="separate"/>
            </w:r>
            <w:r w:rsidR="00D27093" w:rsidRPr="00EE6AD4">
              <w:rPr>
                <w:rFonts w:ascii="Arial" w:hAnsi="Arial" w:cs="Arial"/>
                <w:noProof/>
                <w:webHidden/>
              </w:rPr>
              <w:t>29</w:t>
            </w:r>
            <w:r w:rsidR="00D27093" w:rsidRPr="00EE6AD4">
              <w:rPr>
                <w:rFonts w:ascii="Arial" w:hAnsi="Arial" w:cs="Arial"/>
                <w:noProof/>
                <w:webHidden/>
              </w:rPr>
              <w:fldChar w:fldCharType="end"/>
            </w:r>
          </w:hyperlink>
        </w:p>
        <w:p w14:paraId="0EBC30A2" w14:textId="3AB851BF" w:rsidR="00D27093" w:rsidRPr="00EE6AD4" w:rsidRDefault="00E876B6">
          <w:pPr>
            <w:pStyle w:val="TOC2"/>
            <w:tabs>
              <w:tab w:val="right" w:leader="dot" w:pos="9016"/>
            </w:tabs>
            <w:rPr>
              <w:rFonts w:ascii="Arial" w:eastAsiaTheme="minorEastAsia" w:hAnsi="Arial" w:cs="Arial"/>
              <w:noProof/>
              <w:lang w:eastAsia="en-AU"/>
            </w:rPr>
          </w:pPr>
          <w:hyperlink w:anchor="_Toc101961120" w:history="1">
            <w:r w:rsidR="00D27093" w:rsidRPr="00EE6AD4">
              <w:rPr>
                <w:rStyle w:val="Hyperlink"/>
                <w:rFonts w:ascii="Arial" w:eastAsia="Times New Roman" w:hAnsi="Arial" w:cs="Arial"/>
                <w:noProof/>
              </w:rPr>
              <w:t>3.1 Option 1: Allow Regulations to Sunset (Status Quo)</w:t>
            </w:r>
            <w:r w:rsidR="00D27093" w:rsidRPr="00EE6AD4">
              <w:rPr>
                <w:rFonts w:ascii="Arial" w:hAnsi="Arial" w:cs="Arial"/>
                <w:noProof/>
                <w:webHidden/>
              </w:rPr>
              <w:tab/>
            </w:r>
            <w:r w:rsidR="00D27093" w:rsidRPr="00EE6AD4">
              <w:rPr>
                <w:rFonts w:ascii="Arial" w:hAnsi="Arial" w:cs="Arial"/>
                <w:noProof/>
                <w:webHidden/>
              </w:rPr>
              <w:fldChar w:fldCharType="begin"/>
            </w:r>
            <w:r w:rsidR="00D27093" w:rsidRPr="00EE6AD4">
              <w:rPr>
                <w:rFonts w:ascii="Arial" w:hAnsi="Arial" w:cs="Arial"/>
                <w:noProof/>
                <w:webHidden/>
              </w:rPr>
              <w:instrText xml:space="preserve"> PAGEREF _Toc101961120 \h </w:instrText>
            </w:r>
            <w:r w:rsidR="00D27093" w:rsidRPr="00EE6AD4">
              <w:rPr>
                <w:rFonts w:ascii="Arial" w:hAnsi="Arial" w:cs="Arial"/>
                <w:noProof/>
                <w:webHidden/>
              </w:rPr>
            </w:r>
            <w:r w:rsidR="00D27093" w:rsidRPr="00EE6AD4">
              <w:rPr>
                <w:rFonts w:ascii="Arial" w:hAnsi="Arial" w:cs="Arial"/>
                <w:noProof/>
                <w:webHidden/>
              </w:rPr>
              <w:fldChar w:fldCharType="separate"/>
            </w:r>
            <w:r w:rsidR="00D27093" w:rsidRPr="00EE6AD4">
              <w:rPr>
                <w:rFonts w:ascii="Arial" w:hAnsi="Arial" w:cs="Arial"/>
                <w:noProof/>
                <w:webHidden/>
              </w:rPr>
              <w:t>29</w:t>
            </w:r>
            <w:r w:rsidR="00D27093" w:rsidRPr="00EE6AD4">
              <w:rPr>
                <w:rFonts w:ascii="Arial" w:hAnsi="Arial" w:cs="Arial"/>
                <w:noProof/>
                <w:webHidden/>
              </w:rPr>
              <w:fldChar w:fldCharType="end"/>
            </w:r>
          </w:hyperlink>
        </w:p>
        <w:p w14:paraId="64A25CD7" w14:textId="1B047598" w:rsidR="00D27093" w:rsidRPr="00EE6AD4" w:rsidRDefault="00E876B6">
          <w:pPr>
            <w:pStyle w:val="TOC2"/>
            <w:tabs>
              <w:tab w:val="right" w:leader="dot" w:pos="9016"/>
            </w:tabs>
            <w:rPr>
              <w:rFonts w:ascii="Arial" w:eastAsiaTheme="minorEastAsia" w:hAnsi="Arial" w:cs="Arial"/>
              <w:noProof/>
              <w:lang w:eastAsia="en-AU"/>
            </w:rPr>
          </w:pPr>
          <w:hyperlink w:anchor="_Toc101961121" w:history="1">
            <w:r w:rsidR="00D27093" w:rsidRPr="00EE6AD4">
              <w:rPr>
                <w:rStyle w:val="Hyperlink"/>
                <w:rFonts w:ascii="Arial" w:eastAsia="Times New Roman" w:hAnsi="Arial" w:cs="Arial"/>
                <w:noProof/>
              </w:rPr>
              <w:t>3.2 Option 2: Maintain Explosives Act and Amend Subsidiary Legislation</w:t>
            </w:r>
            <w:r w:rsidR="00D27093" w:rsidRPr="00EE6AD4">
              <w:rPr>
                <w:rFonts w:ascii="Arial" w:hAnsi="Arial" w:cs="Arial"/>
                <w:noProof/>
                <w:webHidden/>
              </w:rPr>
              <w:tab/>
            </w:r>
            <w:r w:rsidR="00D27093" w:rsidRPr="00EE6AD4">
              <w:rPr>
                <w:rFonts w:ascii="Arial" w:hAnsi="Arial" w:cs="Arial"/>
                <w:noProof/>
                <w:webHidden/>
              </w:rPr>
              <w:fldChar w:fldCharType="begin"/>
            </w:r>
            <w:r w:rsidR="00D27093" w:rsidRPr="00EE6AD4">
              <w:rPr>
                <w:rFonts w:ascii="Arial" w:hAnsi="Arial" w:cs="Arial"/>
                <w:noProof/>
                <w:webHidden/>
              </w:rPr>
              <w:instrText xml:space="preserve"> PAGEREF _Toc101961121 \h </w:instrText>
            </w:r>
            <w:r w:rsidR="00D27093" w:rsidRPr="00EE6AD4">
              <w:rPr>
                <w:rFonts w:ascii="Arial" w:hAnsi="Arial" w:cs="Arial"/>
                <w:noProof/>
                <w:webHidden/>
              </w:rPr>
            </w:r>
            <w:r w:rsidR="00D27093" w:rsidRPr="00EE6AD4">
              <w:rPr>
                <w:rFonts w:ascii="Arial" w:hAnsi="Arial" w:cs="Arial"/>
                <w:noProof/>
                <w:webHidden/>
              </w:rPr>
              <w:fldChar w:fldCharType="separate"/>
            </w:r>
            <w:r w:rsidR="00D27093" w:rsidRPr="00EE6AD4">
              <w:rPr>
                <w:rFonts w:ascii="Arial" w:hAnsi="Arial" w:cs="Arial"/>
                <w:noProof/>
                <w:webHidden/>
              </w:rPr>
              <w:t>29</w:t>
            </w:r>
            <w:r w:rsidR="00D27093" w:rsidRPr="00EE6AD4">
              <w:rPr>
                <w:rFonts w:ascii="Arial" w:hAnsi="Arial" w:cs="Arial"/>
                <w:noProof/>
                <w:webHidden/>
              </w:rPr>
              <w:fldChar w:fldCharType="end"/>
            </w:r>
          </w:hyperlink>
        </w:p>
        <w:p w14:paraId="43D08177" w14:textId="33F6DC10" w:rsidR="00D27093" w:rsidRPr="00EE6AD4" w:rsidRDefault="00E876B6">
          <w:pPr>
            <w:pStyle w:val="TOC2"/>
            <w:tabs>
              <w:tab w:val="right" w:leader="dot" w:pos="9016"/>
            </w:tabs>
            <w:rPr>
              <w:rFonts w:ascii="Arial" w:eastAsiaTheme="minorEastAsia" w:hAnsi="Arial" w:cs="Arial"/>
              <w:noProof/>
              <w:lang w:eastAsia="en-AU"/>
            </w:rPr>
          </w:pPr>
          <w:hyperlink w:anchor="_Toc101961122" w:history="1">
            <w:r w:rsidR="00D27093" w:rsidRPr="00EE6AD4">
              <w:rPr>
                <w:rStyle w:val="Hyperlink"/>
                <w:rFonts w:ascii="Arial" w:eastAsia="Times New Roman" w:hAnsi="Arial" w:cs="Arial"/>
                <w:noProof/>
              </w:rPr>
              <w:t>3.3 Option 3: New Regulatory Regime Through Primary Legislation</w:t>
            </w:r>
            <w:r w:rsidR="00D27093" w:rsidRPr="00EE6AD4">
              <w:rPr>
                <w:rFonts w:ascii="Arial" w:hAnsi="Arial" w:cs="Arial"/>
                <w:noProof/>
                <w:webHidden/>
              </w:rPr>
              <w:tab/>
            </w:r>
            <w:r w:rsidR="00D27093" w:rsidRPr="00EE6AD4">
              <w:rPr>
                <w:rFonts w:ascii="Arial" w:hAnsi="Arial" w:cs="Arial"/>
                <w:noProof/>
                <w:webHidden/>
              </w:rPr>
              <w:fldChar w:fldCharType="begin"/>
            </w:r>
            <w:r w:rsidR="00D27093" w:rsidRPr="00EE6AD4">
              <w:rPr>
                <w:rFonts w:ascii="Arial" w:hAnsi="Arial" w:cs="Arial"/>
                <w:noProof/>
                <w:webHidden/>
              </w:rPr>
              <w:instrText xml:space="preserve"> PAGEREF _Toc101961122 \h </w:instrText>
            </w:r>
            <w:r w:rsidR="00D27093" w:rsidRPr="00EE6AD4">
              <w:rPr>
                <w:rFonts w:ascii="Arial" w:hAnsi="Arial" w:cs="Arial"/>
                <w:noProof/>
                <w:webHidden/>
              </w:rPr>
            </w:r>
            <w:r w:rsidR="00D27093" w:rsidRPr="00EE6AD4">
              <w:rPr>
                <w:rFonts w:ascii="Arial" w:hAnsi="Arial" w:cs="Arial"/>
                <w:noProof/>
                <w:webHidden/>
              </w:rPr>
              <w:fldChar w:fldCharType="separate"/>
            </w:r>
            <w:r w:rsidR="00D27093" w:rsidRPr="00EE6AD4">
              <w:rPr>
                <w:rFonts w:ascii="Arial" w:hAnsi="Arial" w:cs="Arial"/>
                <w:noProof/>
                <w:webHidden/>
              </w:rPr>
              <w:t>30</w:t>
            </w:r>
            <w:r w:rsidR="00D27093" w:rsidRPr="00EE6AD4">
              <w:rPr>
                <w:rFonts w:ascii="Arial" w:hAnsi="Arial" w:cs="Arial"/>
                <w:noProof/>
                <w:webHidden/>
              </w:rPr>
              <w:fldChar w:fldCharType="end"/>
            </w:r>
          </w:hyperlink>
        </w:p>
        <w:p w14:paraId="31039882" w14:textId="7FFCD8BC" w:rsidR="00D27093" w:rsidRPr="00EE6AD4" w:rsidRDefault="00E876B6" w:rsidP="00D27093">
          <w:pPr>
            <w:pStyle w:val="TOC1"/>
            <w:rPr>
              <w:rFonts w:ascii="Arial" w:eastAsiaTheme="minorEastAsia" w:hAnsi="Arial" w:cs="Arial"/>
              <w:noProof/>
              <w:lang w:eastAsia="en-AU"/>
            </w:rPr>
          </w:pPr>
          <w:hyperlink w:anchor="_Toc101961123" w:history="1">
            <w:r w:rsidR="00D27093" w:rsidRPr="00EE6AD4">
              <w:rPr>
                <w:rStyle w:val="Hyperlink"/>
                <w:rFonts w:ascii="Arial" w:eastAsia="Times New Roman" w:hAnsi="Arial" w:cs="Arial"/>
                <w:b/>
                <w:bCs/>
                <w:noProof/>
              </w:rPr>
              <w:t>4.</w:t>
            </w:r>
            <w:r w:rsidR="00D27093" w:rsidRPr="00EE6AD4">
              <w:rPr>
                <w:rFonts w:ascii="Arial" w:eastAsiaTheme="minorEastAsia" w:hAnsi="Arial" w:cs="Arial"/>
                <w:noProof/>
                <w:lang w:eastAsia="en-AU"/>
              </w:rPr>
              <w:tab/>
            </w:r>
            <w:r w:rsidR="00D27093" w:rsidRPr="00EE6AD4">
              <w:rPr>
                <w:rStyle w:val="Hyperlink"/>
                <w:rFonts w:ascii="Arial" w:eastAsia="Times New Roman" w:hAnsi="Arial" w:cs="Arial"/>
                <w:b/>
                <w:bCs/>
                <w:noProof/>
              </w:rPr>
              <w:t>What is the likely net benefit of each option?</w:t>
            </w:r>
            <w:r w:rsidR="00D27093" w:rsidRPr="00EE6AD4">
              <w:rPr>
                <w:rFonts w:ascii="Arial" w:hAnsi="Arial" w:cs="Arial"/>
                <w:noProof/>
                <w:webHidden/>
              </w:rPr>
              <w:tab/>
            </w:r>
            <w:r w:rsidR="00D27093" w:rsidRPr="00EE6AD4">
              <w:rPr>
                <w:rFonts w:ascii="Arial" w:hAnsi="Arial" w:cs="Arial"/>
                <w:noProof/>
                <w:webHidden/>
              </w:rPr>
              <w:fldChar w:fldCharType="begin"/>
            </w:r>
            <w:r w:rsidR="00D27093" w:rsidRPr="00EE6AD4">
              <w:rPr>
                <w:rFonts w:ascii="Arial" w:hAnsi="Arial" w:cs="Arial"/>
                <w:noProof/>
                <w:webHidden/>
              </w:rPr>
              <w:instrText xml:space="preserve"> PAGEREF _Toc101961123 \h </w:instrText>
            </w:r>
            <w:r w:rsidR="00D27093" w:rsidRPr="00EE6AD4">
              <w:rPr>
                <w:rFonts w:ascii="Arial" w:hAnsi="Arial" w:cs="Arial"/>
                <w:noProof/>
                <w:webHidden/>
              </w:rPr>
            </w:r>
            <w:r w:rsidR="00D27093" w:rsidRPr="00EE6AD4">
              <w:rPr>
                <w:rFonts w:ascii="Arial" w:hAnsi="Arial" w:cs="Arial"/>
                <w:noProof/>
                <w:webHidden/>
              </w:rPr>
              <w:fldChar w:fldCharType="separate"/>
            </w:r>
            <w:r w:rsidR="00D27093" w:rsidRPr="00EE6AD4">
              <w:rPr>
                <w:rFonts w:ascii="Arial" w:hAnsi="Arial" w:cs="Arial"/>
                <w:noProof/>
                <w:webHidden/>
              </w:rPr>
              <w:t>33</w:t>
            </w:r>
            <w:r w:rsidR="00D27093" w:rsidRPr="00EE6AD4">
              <w:rPr>
                <w:rFonts w:ascii="Arial" w:hAnsi="Arial" w:cs="Arial"/>
                <w:noProof/>
                <w:webHidden/>
              </w:rPr>
              <w:fldChar w:fldCharType="end"/>
            </w:r>
          </w:hyperlink>
        </w:p>
        <w:p w14:paraId="71FE8ABD" w14:textId="7777FB09" w:rsidR="00D27093" w:rsidRPr="00EE6AD4" w:rsidRDefault="00E876B6" w:rsidP="00D27093">
          <w:pPr>
            <w:pStyle w:val="TOC1"/>
            <w:rPr>
              <w:rFonts w:ascii="Arial" w:eastAsiaTheme="minorEastAsia" w:hAnsi="Arial" w:cs="Arial"/>
              <w:noProof/>
              <w:lang w:eastAsia="en-AU"/>
            </w:rPr>
          </w:pPr>
          <w:hyperlink w:anchor="_Toc101961124" w:history="1">
            <w:r w:rsidR="00D27093" w:rsidRPr="00EE6AD4">
              <w:rPr>
                <w:rStyle w:val="Hyperlink"/>
                <w:rFonts w:ascii="Arial" w:eastAsia="Times New Roman" w:hAnsi="Arial" w:cs="Arial"/>
                <w:b/>
                <w:bCs/>
                <w:noProof/>
              </w:rPr>
              <w:t>5.</w:t>
            </w:r>
            <w:r w:rsidR="00D27093" w:rsidRPr="00EE6AD4">
              <w:rPr>
                <w:rFonts w:ascii="Arial" w:eastAsiaTheme="minorEastAsia" w:hAnsi="Arial" w:cs="Arial"/>
                <w:noProof/>
                <w:lang w:eastAsia="en-AU"/>
              </w:rPr>
              <w:tab/>
            </w:r>
            <w:r w:rsidR="00D27093" w:rsidRPr="00EE6AD4">
              <w:rPr>
                <w:rStyle w:val="Hyperlink"/>
                <w:rFonts w:ascii="Arial" w:eastAsia="Times New Roman" w:hAnsi="Arial" w:cs="Arial"/>
                <w:b/>
                <w:bCs/>
                <w:noProof/>
              </w:rPr>
              <w:t>Who will you consult about these options and how will you consult with them?</w:t>
            </w:r>
            <w:r w:rsidR="00D27093" w:rsidRPr="00EE6AD4">
              <w:rPr>
                <w:rFonts w:ascii="Arial" w:hAnsi="Arial" w:cs="Arial"/>
                <w:noProof/>
                <w:webHidden/>
              </w:rPr>
              <w:tab/>
            </w:r>
            <w:r w:rsidR="00D27093" w:rsidRPr="00EE6AD4">
              <w:rPr>
                <w:rFonts w:ascii="Arial" w:hAnsi="Arial" w:cs="Arial"/>
                <w:noProof/>
                <w:webHidden/>
              </w:rPr>
              <w:fldChar w:fldCharType="begin"/>
            </w:r>
            <w:r w:rsidR="00D27093" w:rsidRPr="00EE6AD4">
              <w:rPr>
                <w:rFonts w:ascii="Arial" w:hAnsi="Arial" w:cs="Arial"/>
                <w:noProof/>
                <w:webHidden/>
              </w:rPr>
              <w:instrText xml:space="preserve"> PAGEREF _Toc101961124 \h </w:instrText>
            </w:r>
            <w:r w:rsidR="00D27093" w:rsidRPr="00EE6AD4">
              <w:rPr>
                <w:rFonts w:ascii="Arial" w:hAnsi="Arial" w:cs="Arial"/>
                <w:noProof/>
                <w:webHidden/>
              </w:rPr>
            </w:r>
            <w:r w:rsidR="00D27093" w:rsidRPr="00EE6AD4">
              <w:rPr>
                <w:rFonts w:ascii="Arial" w:hAnsi="Arial" w:cs="Arial"/>
                <w:noProof/>
                <w:webHidden/>
              </w:rPr>
              <w:fldChar w:fldCharType="separate"/>
            </w:r>
            <w:r w:rsidR="00D27093" w:rsidRPr="00EE6AD4">
              <w:rPr>
                <w:rFonts w:ascii="Arial" w:hAnsi="Arial" w:cs="Arial"/>
                <w:noProof/>
                <w:webHidden/>
              </w:rPr>
              <w:t>42</w:t>
            </w:r>
            <w:r w:rsidR="00D27093" w:rsidRPr="00EE6AD4">
              <w:rPr>
                <w:rFonts w:ascii="Arial" w:hAnsi="Arial" w:cs="Arial"/>
                <w:noProof/>
                <w:webHidden/>
              </w:rPr>
              <w:fldChar w:fldCharType="end"/>
            </w:r>
          </w:hyperlink>
        </w:p>
        <w:p w14:paraId="4D1D7ADB" w14:textId="67980DB0" w:rsidR="00D27093" w:rsidRPr="00EE6AD4" w:rsidRDefault="00E876B6" w:rsidP="00D27093">
          <w:pPr>
            <w:pStyle w:val="TOC1"/>
            <w:rPr>
              <w:rFonts w:ascii="Arial" w:eastAsiaTheme="minorEastAsia" w:hAnsi="Arial" w:cs="Arial"/>
              <w:noProof/>
              <w:lang w:eastAsia="en-AU"/>
            </w:rPr>
          </w:pPr>
          <w:hyperlink w:anchor="_Toc101961125" w:history="1">
            <w:r w:rsidR="00D27093" w:rsidRPr="00EE6AD4">
              <w:rPr>
                <w:rStyle w:val="Hyperlink"/>
                <w:rFonts w:ascii="Arial" w:eastAsia="Times New Roman" w:hAnsi="Arial" w:cs="Arial"/>
                <w:b/>
                <w:bCs/>
                <w:noProof/>
              </w:rPr>
              <w:t>6.</w:t>
            </w:r>
            <w:r w:rsidR="00D27093" w:rsidRPr="00EE6AD4">
              <w:rPr>
                <w:rFonts w:ascii="Arial" w:eastAsiaTheme="minorEastAsia" w:hAnsi="Arial" w:cs="Arial"/>
                <w:noProof/>
                <w:lang w:eastAsia="en-AU"/>
              </w:rPr>
              <w:tab/>
            </w:r>
            <w:r w:rsidR="00D27093" w:rsidRPr="00EE6AD4">
              <w:rPr>
                <w:rStyle w:val="Hyperlink"/>
                <w:rFonts w:ascii="Arial" w:eastAsia="Times New Roman" w:hAnsi="Arial" w:cs="Arial"/>
                <w:b/>
                <w:bCs/>
                <w:noProof/>
              </w:rPr>
              <w:t>What is the best option from those you have considered?</w:t>
            </w:r>
            <w:r w:rsidR="00D27093" w:rsidRPr="00EE6AD4">
              <w:rPr>
                <w:rFonts w:ascii="Arial" w:hAnsi="Arial" w:cs="Arial"/>
                <w:noProof/>
                <w:webHidden/>
              </w:rPr>
              <w:tab/>
            </w:r>
            <w:r w:rsidR="00D27093" w:rsidRPr="00EE6AD4">
              <w:rPr>
                <w:rFonts w:ascii="Arial" w:hAnsi="Arial" w:cs="Arial"/>
                <w:noProof/>
                <w:webHidden/>
              </w:rPr>
              <w:fldChar w:fldCharType="begin"/>
            </w:r>
            <w:r w:rsidR="00D27093" w:rsidRPr="00EE6AD4">
              <w:rPr>
                <w:rFonts w:ascii="Arial" w:hAnsi="Arial" w:cs="Arial"/>
                <w:noProof/>
                <w:webHidden/>
              </w:rPr>
              <w:instrText xml:space="preserve"> PAGEREF _Toc101961125 \h </w:instrText>
            </w:r>
            <w:r w:rsidR="00D27093" w:rsidRPr="00EE6AD4">
              <w:rPr>
                <w:rFonts w:ascii="Arial" w:hAnsi="Arial" w:cs="Arial"/>
                <w:noProof/>
                <w:webHidden/>
              </w:rPr>
            </w:r>
            <w:r w:rsidR="00D27093" w:rsidRPr="00EE6AD4">
              <w:rPr>
                <w:rFonts w:ascii="Arial" w:hAnsi="Arial" w:cs="Arial"/>
                <w:noProof/>
                <w:webHidden/>
              </w:rPr>
              <w:fldChar w:fldCharType="separate"/>
            </w:r>
            <w:r w:rsidR="00D27093" w:rsidRPr="00EE6AD4">
              <w:rPr>
                <w:rFonts w:ascii="Arial" w:hAnsi="Arial" w:cs="Arial"/>
                <w:noProof/>
                <w:webHidden/>
              </w:rPr>
              <w:t>43</w:t>
            </w:r>
            <w:r w:rsidR="00D27093" w:rsidRPr="00EE6AD4">
              <w:rPr>
                <w:rFonts w:ascii="Arial" w:hAnsi="Arial" w:cs="Arial"/>
                <w:noProof/>
                <w:webHidden/>
              </w:rPr>
              <w:fldChar w:fldCharType="end"/>
            </w:r>
          </w:hyperlink>
        </w:p>
        <w:p w14:paraId="7EFF09AF" w14:textId="0CE79DA0" w:rsidR="00D27093" w:rsidRPr="00EE6AD4" w:rsidRDefault="00E876B6" w:rsidP="00D27093">
          <w:pPr>
            <w:pStyle w:val="TOC1"/>
            <w:rPr>
              <w:rFonts w:ascii="Arial" w:eastAsiaTheme="minorEastAsia" w:hAnsi="Arial" w:cs="Arial"/>
              <w:noProof/>
              <w:lang w:eastAsia="en-AU"/>
            </w:rPr>
          </w:pPr>
          <w:hyperlink w:anchor="_Toc101961126" w:history="1">
            <w:r w:rsidR="00D27093" w:rsidRPr="00EE6AD4">
              <w:rPr>
                <w:rStyle w:val="Hyperlink"/>
                <w:rFonts w:ascii="Arial" w:eastAsia="Times New Roman" w:hAnsi="Arial" w:cs="Arial"/>
                <w:b/>
                <w:bCs/>
                <w:noProof/>
              </w:rPr>
              <w:t>7.</w:t>
            </w:r>
            <w:r w:rsidR="00D27093" w:rsidRPr="00EE6AD4">
              <w:rPr>
                <w:rFonts w:ascii="Arial" w:eastAsiaTheme="minorEastAsia" w:hAnsi="Arial" w:cs="Arial"/>
                <w:noProof/>
                <w:lang w:eastAsia="en-AU"/>
              </w:rPr>
              <w:tab/>
            </w:r>
            <w:r w:rsidR="00D27093" w:rsidRPr="00EE6AD4">
              <w:rPr>
                <w:rStyle w:val="Hyperlink"/>
                <w:rFonts w:ascii="Arial" w:eastAsia="Times New Roman" w:hAnsi="Arial" w:cs="Arial"/>
                <w:b/>
                <w:bCs/>
                <w:noProof/>
              </w:rPr>
              <w:t>How will you implement and evaluate your chosen option?</w:t>
            </w:r>
            <w:r w:rsidR="00D27093" w:rsidRPr="00EE6AD4">
              <w:rPr>
                <w:rFonts w:ascii="Arial" w:hAnsi="Arial" w:cs="Arial"/>
                <w:noProof/>
                <w:webHidden/>
              </w:rPr>
              <w:tab/>
            </w:r>
            <w:r w:rsidR="00D27093" w:rsidRPr="00EE6AD4">
              <w:rPr>
                <w:rFonts w:ascii="Arial" w:hAnsi="Arial" w:cs="Arial"/>
                <w:noProof/>
                <w:webHidden/>
              </w:rPr>
              <w:fldChar w:fldCharType="begin"/>
            </w:r>
            <w:r w:rsidR="00D27093" w:rsidRPr="00EE6AD4">
              <w:rPr>
                <w:rFonts w:ascii="Arial" w:hAnsi="Arial" w:cs="Arial"/>
                <w:noProof/>
                <w:webHidden/>
              </w:rPr>
              <w:instrText xml:space="preserve"> PAGEREF _Toc101961126 \h </w:instrText>
            </w:r>
            <w:r w:rsidR="00D27093" w:rsidRPr="00EE6AD4">
              <w:rPr>
                <w:rFonts w:ascii="Arial" w:hAnsi="Arial" w:cs="Arial"/>
                <w:noProof/>
                <w:webHidden/>
              </w:rPr>
            </w:r>
            <w:r w:rsidR="00D27093" w:rsidRPr="00EE6AD4">
              <w:rPr>
                <w:rFonts w:ascii="Arial" w:hAnsi="Arial" w:cs="Arial"/>
                <w:noProof/>
                <w:webHidden/>
              </w:rPr>
              <w:fldChar w:fldCharType="separate"/>
            </w:r>
            <w:r w:rsidR="00D27093" w:rsidRPr="00EE6AD4">
              <w:rPr>
                <w:rFonts w:ascii="Arial" w:hAnsi="Arial" w:cs="Arial"/>
                <w:noProof/>
                <w:webHidden/>
              </w:rPr>
              <w:t>44</w:t>
            </w:r>
            <w:r w:rsidR="00D27093" w:rsidRPr="00EE6AD4">
              <w:rPr>
                <w:rFonts w:ascii="Arial" w:hAnsi="Arial" w:cs="Arial"/>
                <w:noProof/>
                <w:webHidden/>
              </w:rPr>
              <w:fldChar w:fldCharType="end"/>
            </w:r>
          </w:hyperlink>
        </w:p>
        <w:p w14:paraId="19236E85" w14:textId="0400997D" w:rsidR="00D27093" w:rsidRPr="00EE6AD4" w:rsidRDefault="00E876B6" w:rsidP="00D27093">
          <w:pPr>
            <w:pStyle w:val="TOC1"/>
            <w:rPr>
              <w:rFonts w:ascii="Arial" w:eastAsiaTheme="minorEastAsia" w:hAnsi="Arial" w:cs="Arial"/>
              <w:noProof/>
              <w:lang w:eastAsia="en-AU"/>
            </w:rPr>
          </w:pPr>
          <w:hyperlink w:anchor="_Toc101961127" w:history="1">
            <w:r w:rsidR="00D27093" w:rsidRPr="00EE6AD4">
              <w:rPr>
                <w:rStyle w:val="Hyperlink"/>
                <w:rFonts w:ascii="Arial" w:eastAsia="Times New Roman" w:hAnsi="Arial" w:cs="Arial"/>
                <w:b/>
                <w:bCs/>
                <w:noProof/>
              </w:rPr>
              <w:t>Appendix A: List of References</w:t>
            </w:r>
            <w:r w:rsidR="00D27093" w:rsidRPr="00EE6AD4">
              <w:rPr>
                <w:rFonts w:ascii="Arial" w:hAnsi="Arial" w:cs="Arial"/>
                <w:noProof/>
                <w:webHidden/>
              </w:rPr>
              <w:tab/>
            </w:r>
            <w:r w:rsidR="00D27093" w:rsidRPr="00EE6AD4">
              <w:rPr>
                <w:rFonts w:ascii="Arial" w:hAnsi="Arial" w:cs="Arial"/>
                <w:noProof/>
                <w:webHidden/>
              </w:rPr>
              <w:fldChar w:fldCharType="begin"/>
            </w:r>
            <w:r w:rsidR="00D27093" w:rsidRPr="00EE6AD4">
              <w:rPr>
                <w:rFonts w:ascii="Arial" w:hAnsi="Arial" w:cs="Arial"/>
                <w:noProof/>
                <w:webHidden/>
              </w:rPr>
              <w:instrText xml:space="preserve"> PAGEREF _Toc101961127 \h </w:instrText>
            </w:r>
            <w:r w:rsidR="00D27093" w:rsidRPr="00EE6AD4">
              <w:rPr>
                <w:rFonts w:ascii="Arial" w:hAnsi="Arial" w:cs="Arial"/>
                <w:noProof/>
                <w:webHidden/>
              </w:rPr>
            </w:r>
            <w:r w:rsidR="00D27093" w:rsidRPr="00EE6AD4">
              <w:rPr>
                <w:rFonts w:ascii="Arial" w:hAnsi="Arial" w:cs="Arial"/>
                <w:noProof/>
                <w:webHidden/>
              </w:rPr>
              <w:fldChar w:fldCharType="separate"/>
            </w:r>
            <w:r w:rsidR="00D27093" w:rsidRPr="00EE6AD4">
              <w:rPr>
                <w:rFonts w:ascii="Arial" w:hAnsi="Arial" w:cs="Arial"/>
                <w:noProof/>
                <w:webHidden/>
              </w:rPr>
              <w:t>45</w:t>
            </w:r>
            <w:r w:rsidR="00D27093" w:rsidRPr="00EE6AD4">
              <w:rPr>
                <w:rFonts w:ascii="Arial" w:hAnsi="Arial" w:cs="Arial"/>
                <w:noProof/>
                <w:webHidden/>
              </w:rPr>
              <w:fldChar w:fldCharType="end"/>
            </w:r>
          </w:hyperlink>
        </w:p>
        <w:p w14:paraId="7F53A62D" w14:textId="10B0B71B" w:rsidR="00D27093" w:rsidRPr="00EE6AD4" w:rsidRDefault="00E876B6" w:rsidP="00D27093">
          <w:pPr>
            <w:pStyle w:val="TOC1"/>
            <w:rPr>
              <w:rFonts w:ascii="Arial" w:eastAsiaTheme="minorEastAsia" w:hAnsi="Arial" w:cs="Arial"/>
              <w:noProof/>
              <w:lang w:eastAsia="en-AU"/>
            </w:rPr>
          </w:pPr>
          <w:hyperlink w:anchor="_Toc101961128" w:history="1">
            <w:r w:rsidR="00D27093" w:rsidRPr="00EE6AD4">
              <w:rPr>
                <w:rStyle w:val="Hyperlink"/>
                <w:rFonts w:ascii="Arial" w:eastAsia="Times New Roman" w:hAnsi="Arial" w:cs="Arial"/>
                <w:b/>
                <w:bCs/>
                <w:noProof/>
              </w:rPr>
              <w:t>Appendix B: List of Tables and Figures</w:t>
            </w:r>
            <w:r w:rsidR="00D27093" w:rsidRPr="00EE6AD4">
              <w:rPr>
                <w:rFonts w:ascii="Arial" w:hAnsi="Arial" w:cs="Arial"/>
                <w:noProof/>
                <w:webHidden/>
              </w:rPr>
              <w:tab/>
            </w:r>
            <w:r w:rsidR="00D27093" w:rsidRPr="00EE6AD4">
              <w:rPr>
                <w:rFonts w:ascii="Arial" w:hAnsi="Arial" w:cs="Arial"/>
                <w:noProof/>
                <w:webHidden/>
              </w:rPr>
              <w:fldChar w:fldCharType="begin"/>
            </w:r>
            <w:r w:rsidR="00D27093" w:rsidRPr="00EE6AD4">
              <w:rPr>
                <w:rFonts w:ascii="Arial" w:hAnsi="Arial" w:cs="Arial"/>
                <w:noProof/>
                <w:webHidden/>
              </w:rPr>
              <w:instrText xml:space="preserve"> PAGEREF _Toc101961128 \h </w:instrText>
            </w:r>
            <w:r w:rsidR="00D27093" w:rsidRPr="00EE6AD4">
              <w:rPr>
                <w:rFonts w:ascii="Arial" w:hAnsi="Arial" w:cs="Arial"/>
                <w:noProof/>
                <w:webHidden/>
              </w:rPr>
            </w:r>
            <w:r w:rsidR="00D27093" w:rsidRPr="00EE6AD4">
              <w:rPr>
                <w:rFonts w:ascii="Arial" w:hAnsi="Arial" w:cs="Arial"/>
                <w:noProof/>
                <w:webHidden/>
              </w:rPr>
              <w:fldChar w:fldCharType="separate"/>
            </w:r>
            <w:r w:rsidR="00D27093" w:rsidRPr="00EE6AD4">
              <w:rPr>
                <w:rFonts w:ascii="Arial" w:hAnsi="Arial" w:cs="Arial"/>
                <w:noProof/>
                <w:webHidden/>
              </w:rPr>
              <w:t>47</w:t>
            </w:r>
            <w:r w:rsidR="00D27093" w:rsidRPr="00EE6AD4">
              <w:rPr>
                <w:rFonts w:ascii="Arial" w:hAnsi="Arial" w:cs="Arial"/>
                <w:noProof/>
                <w:webHidden/>
              </w:rPr>
              <w:fldChar w:fldCharType="end"/>
            </w:r>
          </w:hyperlink>
        </w:p>
        <w:p w14:paraId="471AFF96" w14:textId="484CC8E9" w:rsidR="00D27093" w:rsidRPr="00EE6AD4" w:rsidRDefault="00E876B6" w:rsidP="00D27093">
          <w:pPr>
            <w:pStyle w:val="TOC1"/>
            <w:rPr>
              <w:rFonts w:ascii="Arial" w:eastAsiaTheme="minorEastAsia" w:hAnsi="Arial" w:cs="Arial"/>
              <w:noProof/>
              <w:lang w:eastAsia="en-AU"/>
            </w:rPr>
          </w:pPr>
          <w:hyperlink w:anchor="_Toc101961129" w:history="1">
            <w:r w:rsidR="00D27093" w:rsidRPr="00EE6AD4">
              <w:rPr>
                <w:rStyle w:val="Hyperlink"/>
                <w:rFonts w:ascii="Arial" w:eastAsia="Times New Roman" w:hAnsi="Arial" w:cs="Arial"/>
                <w:b/>
                <w:bCs/>
                <w:noProof/>
              </w:rPr>
              <w:t>Appendix C: Summary of Consultation Insights</w:t>
            </w:r>
            <w:r w:rsidR="00D27093" w:rsidRPr="00EE6AD4">
              <w:rPr>
                <w:rFonts w:ascii="Arial" w:hAnsi="Arial" w:cs="Arial"/>
                <w:noProof/>
                <w:webHidden/>
              </w:rPr>
              <w:tab/>
            </w:r>
            <w:r w:rsidR="00D27093" w:rsidRPr="00EE6AD4">
              <w:rPr>
                <w:rFonts w:ascii="Arial" w:hAnsi="Arial" w:cs="Arial"/>
                <w:noProof/>
                <w:webHidden/>
              </w:rPr>
              <w:fldChar w:fldCharType="begin"/>
            </w:r>
            <w:r w:rsidR="00D27093" w:rsidRPr="00EE6AD4">
              <w:rPr>
                <w:rFonts w:ascii="Arial" w:hAnsi="Arial" w:cs="Arial"/>
                <w:noProof/>
                <w:webHidden/>
              </w:rPr>
              <w:instrText xml:space="preserve"> PAGEREF _Toc101961129 \h </w:instrText>
            </w:r>
            <w:r w:rsidR="00D27093" w:rsidRPr="00EE6AD4">
              <w:rPr>
                <w:rFonts w:ascii="Arial" w:hAnsi="Arial" w:cs="Arial"/>
                <w:noProof/>
                <w:webHidden/>
              </w:rPr>
            </w:r>
            <w:r w:rsidR="00D27093" w:rsidRPr="00EE6AD4">
              <w:rPr>
                <w:rFonts w:ascii="Arial" w:hAnsi="Arial" w:cs="Arial"/>
                <w:noProof/>
                <w:webHidden/>
              </w:rPr>
              <w:fldChar w:fldCharType="separate"/>
            </w:r>
            <w:r w:rsidR="00D27093" w:rsidRPr="00EE6AD4">
              <w:rPr>
                <w:rFonts w:ascii="Arial" w:hAnsi="Arial" w:cs="Arial"/>
                <w:noProof/>
                <w:webHidden/>
              </w:rPr>
              <w:t>48</w:t>
            </w:r>
            <w:r w:rsidR="00D27093" w:rsidRPr="00EE6AD4">
              <w:rPr>
                <w:rFonts w:ascii="Arial" w:hAnsi="Arial" w:cs="Arial"/>
                <w:noProof/>
                <w:webHidden/>
              </w:rPr>
              <w:fldChar w:fldCharType="end"/>
            </w:r>
          </w:hyperlink>
        </w:p>
        <w:p w14:paraId="3E19A196" w14:textId="71CC056A" w:rsidR="00A12B00" w:rsidRPr="00A12B00" w:rsidRDefault="00A12B00" w:rsidP="00A12B00">
          <w:pPr>
            <w:rPr>
              <w:rFonts w:ascii="Calibri" w:eastAsia="Calibri" w:hAnsi="Calibri" w:cs="Times New Roman"/>
            </w:rPr>
          </w:pPr>
          <w:r w:rsidRPr="00AC4631">
            <w:rPr>
              <w:rFonts w:ascii="Arial" w:eastAsia="Calibri" w:hAnsi="Arial" w:cs="Arial"/>
              <w:b/>
              <w:bCs/>
              <w:noProof/>
            </w:rPr>
            <w:fldChar w:fldCharType="end"/>
          </w:r>
        </w:p>
      </w:sdtContent>
    </w:sdt>
    <w:p w14:paraId="7858C81D" w14:textId="77777777" w:rsidR="00A12B00" w:rsidRPr="00A12B00" w:rsidRDefault="00A12B00" w:rsidP="00A12B00">
      <w:pPr>
        <w:rPr>
          <w:rFonts w:ascii="Calibri" w:eastAsia="Calibri" w:hAnsi="Calibri" w:cs="Times New Roman"/>
        </w:rPr>
      </w:pPr>
    </w:p>
    <w:p w14:paraId="3C780FFB" w14:textId="65A3E0FD" w:rsidR="00141A2A" w:rsidRPr="001B5B2D" w:rsidRDefault="00141A2A">
      <w:pPr>
        <w:rPr>
          <w:rFonts w:ascii="Arial" w:eastAsia="Calibri" w:hAnsi="Arial" w:cs="Arial"/>
          <w:sz w:val="24"/>
          <w:szCs w:val="24"/>
        </w:rPr>
      </w:pPr>
      <w:r>
        <w:rPr>
          <w:rFonts w:ascii="Georgia" w:eastAsia="Times New Roman" w:hAnsi="Georgia" w:cs="Arial"/>
          <w:b/>
          <w:bCs/>
          <w:color w:val="E86D1F"/>
          <w:sz w:val="32"/>
          <w:szCs w:val="32"/>
          <w:highlight w:val="lightGray"/>
        </w:rPr>
        <w:br w:type="page"/>
      </w:r>
    </w:p>
    <w:p w14:paraId="41B2C923" w14:textId="33DBA276" w:rsidR="00A12B00" w:rsidRPr="00141A2A" w:rsidRDefault="00A12B00" w:rsidP="00141A2A">
      <w:pPr>
        <w:pStyle w:val="ListParagraph"/>
        <w:keepNext/>
        <w:keepLines/>
        <w:numPr>
          <w:ilvl w:val="0"/>
          <w:numId w:val="18"/>
        </w:numPr>
        <w:spacing w:after="0" w:line="240" w:lineRule="auto"/>
        <w:outlineLvl w:val="0"/>
        <w:rPr>
          <w:rFonts w:ascii="Georgia" w:eastAsia="Times New Roman" w:hAnsi="Georgia" w:cs="Arial"/>
          <w:b/>
          <w:bCs/>
          <w:color w:val="E86D1F"/>
          <w:sz w:val="32"/>
          <w:szCs w:val="32"/>
        </w:rPr>
      </w:pPr>
      <w:bookmarkStart w:id="3" w:name="_Toc101961106"/>
      <w:r w:rsidRPr="00141A2A">
        <w:rPr>
          <w:rFonts w:ascii="Georgia" w:eastAsia="Times New Roman" w:hAnsi="Georgia" w:cs="Arial"/>
          <w:b/>
          <w:bCs/>
          <w:color w:val="E86D1F"/>
          <w:sz w:val="32"/>
          <w:szCs w:val="32"/>
        </w:rPr>
        <w:lastRenderedPageBreak/>
        <w:t>Executive Summary</w:t>
      </w:r>
      <w:bookmarkEnd w:id="3"/>
    </w:p>
    <w:p w14:paraId="5FFC8346" w14:textId="7AA41F56" w:rsidR="00515566" w:rsidRDefault="006E0252" w:rsidP="00515566">
      <w:pPr>
        <w:spacing w:after="0" w:line="240" w:lineRule="auto"/>
        <w:rPr>
          <w:rFonts w:ascii="Arial" w:hAnsi="Arial" w:cs="Arial"/>
        </w:rPr>
      </w:pPr>
      <w:r w:rsidRPr="004D2214">
        <w:rPr>
          <w:rFonts w:ascii="Arial" w:hAnsi="Arial" w:cs="Arial"/>
        </w:rPr>
        <w:t xml:space="preserve">The safe, secure and expedient movement </w:t>
      </w:r>
      <w:r w:rsidR="00486329">
        <w:rPr>
          <w:rFonts w:ascii="Arial" w:hAnsi="Arial" w:cs="Arial"/>
        </w:rPr>
        <w:t xml:space="preserve">of Commonwealth explosives and related explosives activities </w:t>
      </w:r>
      <w:r w:rsidRPr="004D2214">
        <w:rPr>
          <w:rFonts w:ascii="Arial" w:hAnsi="Arial" w:cs="Arial"/>
        </w:rPr>
        <w:t xml:space="preserve">is essential for </w:t>
      </w:r>
      <w:r w:rsidR="00D00669" w:rsidRPr="004D2214">
        <w:rPr>
          <w:rFonts w:ascii="Arial" w:hAnsi="Arial" w:cs="Arial"/>
        </w:rPr>
        <w:t xml:space="preserve">the operations of various Commonwealth Department and Agencies’ operations. The Department of Defence (including the Australian Defence Force), the Australian Federal Police and the Australian Border Force, among others, </w:t>
      </w:r>
      <w:r w:rsidR="00366BAD" w:rsidRPr="004D2214">
        <w:rPr>
          <w:rFonts w:ascii="Arial" w:hAnsi="Arial" w:cs="Arial"/>
        </w:rPr>
        <w:t xml:space="preserve">rely on the use and maintenance of diverse explosives inventories within and beyond Australia, and across a range of operations environments. </w:t>
      </w:r>
      <w:r w:rsidR="00515566">
        <w:rPr>
          <w:rFonts w:ascii="Arial" w:hAnsi="Arial" w:cs="Arial"/>
        </w:rPr>
        <w:t xml:space="preserve">Similarly, foreign government officials visiting Australia have requirements to use and maintain explosives stocks to undertake and </w:t>
      </w:r>
      <w:r w:rsidR="003B5049">
        <w:rPr>
          <w:rFonts w:ascii="Arial" w:hAnsi="Arial" w:cs="Arial"/>
        </w:rPr>
        <w:t>fulfil</w:t>
      </w:r>
      <w:r w:rsidR="00515566">
        <w:rPr>
          <w:rFonts w:ascii="Arial" w:hAnsi="Arial" w:cs="Arial"/>
        </w:rPr>
        <w:t xml:space="preserve"> their operations in Australia. </w:t>
      </w:r>
    </w:p>
    <w:p w14:paraId="5D063031" w14:textId="0D796780" w:rsidR="00E174A0" w:rsidRDefault="004B00A6" w:rsidP="00374D09">
      <w:pPr>
        <w:spacing w:before="160" w:line="240" w:lineRule="auto"/>
        <w:rPr>
          <w:rFonts w:ascii="Arial" w:hAnsi="Arial" w:cs="Arial"/>
        </w:rPr>
      </w:pPr>
      <w:r>
        <w:rPr>
          <w:rFonts w:ascii="Arial" w:hAnsi="Arial" w:cs="Arial"/>
        </w:rPr>
        <w:t xml:space="preserve">The current Commonwealth explosives regulatory regime is comprised of a principal act, the </w:t>
      </w:r>
      <w:r w:rsidRPr="006717CC">
        <w:rPr>
          <w:rFonts w:ascii="Arial" w:hAnsi="Arial" w:cs="Arial"/>
          <w:i/>
          <w:iCs/>
        </w:rPr>
        <w:t>Explosives Act 196</w:t>
      </w:r>
      <w:r w:rsidR="006717CC">
        <w:rPr>
          <w:rFonts w:ascii="Arial" w:hAnsi="Arial" w:cs="Arial"/>
          <w:i/>
          <w:iCs/>
        </w:rPr>
        <w:t>1</w:t>
      </w:r>
      <w:r>
        <w:rPr>
          <w:rFonts w:ascii="Arial" w:hAnsi="Arial" w:cs="Arial"/>
        </w:rPr>
        <w:t>, and two subsidiary regulation</w:t>
      </w:r>
      <w:r w:rsidR="006717CC">
        <w:rPr>
          <w:rFonts w:ascii="Arial" w:hAnsi="Arial" w:cs="Arial"/>
        </w:rPr>
        <w:t xml:space="preserve">s – the </w:t>
      </w:r>
      <w:r w:rsidR="006717CC" w:rsidRPr="006717CC">
        <w:rPr>
          <w:rFonts w:ascii="Arial" w:hAnsi="Arial" w:cs="Arial"/>
          <w:i/>
          <w:iCs/>
        </w:rPr>
        <w:t>Explosives Transport Regulations 2002</w:t>
      </w:r>
      <w:r w:rsidR="006717CC">
        <w:rPr>
          <w:rFonts w:ascii="Arial" w:hAnsi="Arial" w:cs="Arial"/>
        </w:rPr>
        <w:t xml:space="preserve"> and the </w:t>
      </w:r>
      <w:r w:rsidR="006717CC" w:rsidRPr="006717CC">
        <w:rPr>
          <w:rFonts w:ascii="Arial" w:hAnsi="Arial" w:cs="Arial"/>
          <w:i/>
          <w:iCs/>
        </w:rPr>
        <w:t>Explosives Areas Regulation 2003</w:t>
      </w:r>
      <w:r w:rsidR="006717CC">
        <w:rPr>
          <w:rFonts w:ascii="Arial" w:hAnsi="Arial" w:cs="Arial"/>
        </w:rPr>
        <w:t xml:space="preserve">. </w:t>
      </w:r>
      <w:r w:rsidR="000C5C71">
        <w:rPr>
          <w:rFonts w:ascii="Arial" w:hAnsi="Arial" w:cs="Arial"/>
        </w:rPr>
        <w:t>In early 2019, t</w:t>
      </w:r>
      <w:r w:rsidR="00515566">
        <w:rPr>
          <w:rFonts w:ascii="Arial" w:hAnsi="Arial" w:cs="Arial"/>
        </w:rPr>
        <w:t xml:space="preserve">he Department of Defence </w:t>
      </w:r>
      <w:r w:rsidR="009025AC">
        <w:rPr>
          <w:rFonts w:ascii="Arial" w:hAnsi="Arial" w:cs="Arial"/>
        </w:rPr>
        <w:t>conducted an initial review to consider whether the subsidiary regulations should sunset and if not, what action should be taken to ensure the</w:t>
      </w:r>
      <w:r w:rsidR="002E03B2">
        <w:rPr>
          <w:rFonts w:ascii="Arial" w:hAnsi="Arial" w:cs="Arial"/>
        </w:rPr>
        <w:t>y are fit for purpose. The initial review concluded that the regulations should</w:t>
      </w:r>
      <w:r w:rsidR="00204C8D">
        <w:rPr>
          <w:rFonts w:ascii="Arial" w:hAnsi="Arial" w:cs="Arial"/>
        </w:rPr>
        <w:t xml:space="preserve"> </w:t>
      </w:r>
      <w:r w:rsidR="002E03B2">
        <w:rPr>
          <w:rFonts w:ascii="Arial" w:hAnsi="Arial" w:cs="Arial"/>
        </w:rPr>
        <w:t xml:space="preserve">remain with amendment. </w:t>
      </w:r>
      <w:r w:rsidR="00610726">
        <w:rPr>
          <w:rFonts w:ascii="Arial" w:hAnsi="Arial" w:cs="Arial"/>
        </w:rPr>
        <w:t xml:space="preserve">A subsequent comprehensive review of the </w:t>
      </w:r>
      <w:r w:rsidR="00641A12">
        <w:rPr>
          <w:rFonts w:ascii="Arial" w:hAnsi="Arial" w:cs="Arial"/>
        </w:rPr>
        <w:t xml:space="preserve">Commonwealth explosives regulatory regime, identified avenues for reform across the entirety of the </w:t>
      </w:r>
      <w:r w:rsidR="007C4FDE">
        <w:rPr>
          <w:rFonts w:ascii="Arial" w:hAnsi="Arial" w:cs="Arial"/>
        </w:rPr>
        <w:t xml:space="preserve">explosives legislative ecosystem, </w:t>
      </w:r>
      <w:r w:rsidR="00204C8D">
        <w:rPr>
          <w:rFonts w:ascii="Arial" w:hAnsi="Arial" w:cs="Arial"/>
        </w:rPr>
        <w:t xml:space="preserve">including </w:t>
      </w:r>
      <w:r w:rsidR="007C4FDE">
        <w:rPr>
          <w:rFonts w:ascii="Arial" w:hAnsi="Arial" w:cs="Arial"/>
        </w:rPr>
        <w:t xml:space="preserve">both the principal act and subsidiary regulations. </w:t>
      </w:r>
      <w:r w:rsidR="00E174A0">
        <w:rPr>
          <w:rFonts w:ascii="Arial" w:hAnsi="Arial" w:cs="Arial"/>
        </w:rPr>
        <w:t>This analysis and attached recommendations were tabled in Defence’s Comprehensive Review Paper</w:t>
      </w:r>
      <w:r w:rsidR="006A4568">
        <w:rPr>
          <w:rFonts w:ascii="Arial" w:hAnsi="Arial" w:cs="Arial"/>
        </w:rPr>
        <w:t xml:space="preserve"> (CRP)</w:t>
      </w:r>
      <w:r w:rsidR="00E174A0">
        <w:rPr>
          <w:rFonts w:ascii="Arial" w:hAnsi="Arial" w:cs="Arial"/>
        </w:rPr>
        <w:t xml:space="preserve">. </w:t>
      </w:r>
    </w:p>
    <w:p w14:paraId="3812EB43" w14:textId="461B0470" w:rsidR="00A37CE1" w:rsidRDefault="00A37CE1" w:rsidP="00515566">
      <w:pPr>
        <w:spacing w:after="0" w:line="240" w:lineRule="auto"/>
        <w:rPr>
          <w:rFonts w:ascii="Arial" w:hAnsi="Arial" w:cs="Arial"/>
        </w:rPr>
      </w:pPr>
      <w:r>
        <w:rPr>
          <w:rFonts w:ascii="Arial" w:hAnsi="Arial" w:cs="Arial"/>
        </w:rPr>
        <w:t xml:space="preserve">This Early Assessment Regulation Impact Statement </w:t>
      </w:r>
      <w:r w:rsidR="006A4568">
        <w:rPr>
          <w:rFonts w:ascii="Arial" w:hAnsi="Arial" w:cs="Arial"/>
        </w:rPr>
        <w:t xml:space="preserve">(RIS) </w:t>
      </w:r>
      <w:r>
        <w:rPr>
          <w:rFonts w:ascii="Arial" w:hAnsi="Arial" w:cs="Arial"/>
        </w:rPr>
        <w:t xml:space="preserve">is focussed on the potential implementation of the recommendations contained in the </w:t>
      </w:r>
      <w:r w:rsidR="00911797">
        <w:rPr>
          <w:rFonts w:ascii="Arial" w:hAnsi="Arial" w:cs="Arial"/>
        </w:rPr>
        <w:t>CRP</w:t>
      </w:r>
      <w:r>
        <w:rPr>
          <w:rFonts w:ascii="Arial" w:hAnsi="Arial" w:cs="Arial"/>
        </w:rPr>
        <w:t xml:space="preserve">, as well as additional avenues for legislative reform which have been identified and evolved following the Paper’s drafting. </w:t>
      </w:r>
      <w:r w:rsidR="006A4568">
        <w:rPr>
          <w:rFonts w:ascii="Arial" w:hAnsi="Arial" w:cs="Arial"/>
        </w:rPr>
        <w:t xml:space="preserve">Figure 1 below provides an overview of the </w:t>
      </w:r>
      <w:r w:rsidR="00374D09">
        <w:rPr>
          <w:rFonts w:ascii="Arial" w:hAnsi="Arial" w:cs="Arial"/>
        </w:rPr>
        <w:t>legislative ecosystem</w:t>
      </w:r>
      <w:r w:rsidR="006A4568">
        <w:rPr>
          <w:rFonts w:ascii="Arial" w:hAnsi="Arial" w:cs="Arial"/>
        </w:rPr>
        <w:t xml:space="preserve"> considered throughout this Early Assessment RIS</w:t>
      </w:r>
      <w:r w:rsidR="00911797">
        <w:rPr>
          <w:rFonts w:ascii="Arial" w:hAnsi="Arial" w:cs="Arial"/>
        </w:rPr>
        <w:t xml:space="preserve">. </w:t>
      </w:r>
    </w:p>
    <w:p w14:paraId="693ACC39" w14:textId="435BB07A" w:rsidR="00911797" w:rsidRDefault="00374D09" w:rsidP="00374D09">
      <w:pPr>
        <w:spacing w:after="0" w:line="240" w:lineRule="auto"/>
        <w:rPr>
          <w:rFonts w:ascii="Arial" w:hAnsi="Arial" w:cs="Arial"/>
        </w:rPr>
      </w:pPr>
      <w:r>
        <w:rPr>
          <w:rFonts w:ascii="Arial" w:hAnsi="Arial" w:cs="Arial"/>
          <w:noProof/>
          <w:lang w:eastAsia="en-AU"/>
        </w:rPr>
        <w:drawing>
          <wp:anchor distT="0" distB="0" distL="114300" distR="114300" simplePos="0" relativeHeight="251693056" behindDoc="0" locked="0" layoutInCell="1" allowOverlap="1" wp14:anchorId="179725C8" wp14:editId="6AC0E4F2">
            <wp:simplePos x="0" y="0"/>
            <wp:positionH relativeFrom="margin">
              <wp:align>left</wp:align>
            </wp:positionH>
            <wp:positionV relativeFrom="paragraph">
              <wp:posOffset>452120</wp:posOffset>
            </wp:positionV>
            <wp:extent cx="5629275" cy="4004310"/>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a:extLst>
                        <a:ext uri="{28A0092B-C50C-407E-A947-70E740481C1C}">
                          <a14:useLocalDpi xmlns:a14="http://schemas.microsoft.com/office/drawing/2010/main" val="0"/>
                        </a:ext>
                      </a:extLst>
                    </a:blip>
                    <a:stretch>
                      <a:fillRect/>
                    </a:stretch>
                  </pic:blipFill>
                  <pic:spPr>
                    <a:xfrm>
                      <a:off x="0" y="0"/>
                      <a:ext cx="5629275" cy="400431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95104" behindDoc="0" locked="0" layoutInCell="1" allowOverlap="1" wp14:anchorId="4C3B8E8D" wp14:editId="2BC50EA3">
                <wp:simplePos x="0" y="0"/>
                <wp:positionH relativeFrom="margin">
                  <wp:align>left</wp:align>
                </wp:positionH>
                <wp:positionV relativeFrom="paragraph">
                  <wp:posOffset>180975</wp:posOffset>
                </wp:positionV>
                <wp:extent cx="5391150" cy="177800"/>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5391150" cy="177800"/>
                        </a:xfrm>
                        <a:prstGeom prst="rect">
                          <a:avLst/>
                        </a:prstGeom>
                        <a:solidFill>
                          <a:prstClr val="white"/>
                        </a:solidFill>
                        <a:ln>
                          <a:noFill/>
                        </a:ln>
                      </wps:spPr>
                      <wps:txbx>
                        <w:txbxContent>
                          <w:p w14:paraId="739843AB" w14:textId="1153E4B3" w:rsidR="00B3427F" w:rsidRPr="001B352F" w:rsidRDefault="00B3427F" w:rsidP="00374D09">
                            <w:pPr>
                              <w:pStyle w:val="Caption"/>
                              <w:rPr>
                                <w:rFonts w:ascii="Arial" w:hAnsi="Arial" w:cs="Arial"/>
                                <w:noProof/>
                                <w:color w:val="auto"/>
                                <w:sz w:val="16"/>
                                <w:szCs w:val="16"/>
                              </w:rPr>
                            </w:pPr>
                            <w:bookmarkStart w:id="4" w:name="_Toc90385829"/>
                            <w:r w:rsidRPr="001B352F">
                              <w:rPr>
                                <w:rFonts w:ascii="Arial" w:hAnsi="Arial" w:cs="Arial"/>
                                <w:b/>
                                <w:bCs/>
                                <w:color w:val="auto"/>
                                <w:sz w:val="16"/>
                                <w:szCs w:val="16"/>
                              </w:rPr>
                              <w:t xml:space="preserve">Figure </w:t>
                            </w:r>
                            <w:r>
                              <w:rPr>
                                <w:rFonts w:ascii="Arial" w:hAnsi="Arial" w:cs="Arial"/>
                                <w:b/>
                                <w:bCs/>
                                <w:color w:val="auto"/>
                                <w:sz w:val="16"/>
                                <w:szCs w:val="16"/>
                              </w:rPr>
                              <w:fldChar w:fldCharType="begin"/>
                            </w:r>
                            <w:r>
                              <w:rPr>
                                <w:rFonts w:ascii="Arial" w:hAnsi="Arial" w:cs="Arial"/>
                                <w:b/>
                                <w:bCs/>
                                <w:color w:val="auto"/>
                                <w:sz w:val="16"/>
                                <w:szCs w:val="16"/>
                              </w:rPr>
                              <w:instrText xml:space="preserve"> SEQ Figure \* ARABIC </w:instrText>
                            </w:r>
                            <w:r>
                              <w:rPr>
                                <w:rFonts w:ascii="Arial" w:hAnsi="Arial" w:cs="Arial"/>
                                <w:b/>
                                <w:bCs/>
                                <w:color w:val="auto"/>
                                <w:sz w:val="16"/>
                                <w:szCs w:val="16"/>
                              </w:rPr>
                              <w:fldChar w:fldCharType="separate"/>
                            </w:r>
                            <w:r>
                              <w:rPr>
                                <w:rFonts w:ascii="Arial" w:hAnsi="Arial" w:cs="Arial"/>
                                <w:b/>
                                <w:bCs/>
                                <w:noProof/>
                                <w:color w:val="auto"/>
                                <w:sz w:val="16"/>
                                <w:szCs w:val="16"/>
                              </w:rPr>
                              <w:t>1</w:t>
                            </w:r>
                            <w:r>
                              <w:rPr>
                                <w:rFonts w:ascii="Arial" w:hAnsi="Arial" w:cs="Arial"/>
                                <w:b/>
                                <w:bCs/>
                                <w:color w:val="auto"/>
                                <w:sz w:val="16"/>
                                <w:szCs w:val="16"/>
                              </w:rPr>
                              <w:fldChar w:fldCharType="end"/>
                            </w:r>
                            <w:r w:rsidRPr="001B352F">
                              <w:rPr>
                                <w:rFonts w:ascii="Arial" w:hAnsi="Arial" w:cs="Arial"/>
                                <w:b/>
                                <w:bCs/>
                                <w:color w:val="auto"/>
                                <w:sz w:val="16"/>
                                <w:szCs w:val="16"/>
                              </w:rPr>
                              <w:t>:</w:t>
                            </w:r>
                            <w:r w:rsidRPr="001B352F">
                              <w:rPr>
                                <w:rFonts w:ascii="Arial" w:hAnsi="Arial" w:cs="Arial"/>
                                <w:color w:val="auto"/>
                                <w:sz w:val="16"/>
                                <w:szCs w:val="16"/>
                              </w:rPr>
                              <w:t xml:space="preserve"> Overview of Explosives Legislative Ecosystem</w:t>
                            </w:r>
                            <w:bookmarkEnd w:id="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C3B8E8D" id="Text Box 18" o:spid="_x0000_s1029" type="#_x0000_t202" style="position:absolute;margin-left:0;margin-top:14.25pt;width:424.5pt;height:14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" stroked="f">
                <v:textbox inset="0,0,0,0">
                  <w:txbxContent>
                    <w:p w14:paraId="739843AB" w14:textId="1153E4B3" w:rsidR="00B3427F" w:rsidRPr="001B352F" w:rsidRDefault="00B3427F" w:rsidP="00374D09">
                      <w:pPr>
                        <w:pStyle w:val="Caption"/>
                        <w:rPr>
                          <w:rFonts w:ascii="Arial" w:hAnsi="Arial" w:cs="Arial"/>
                          <w:noProof/>
                          <w:color w:val="auto"/>
                          <w:sz w:val="16"/>
                          <w:szCs w:val="16"/>
                        </w:rPr>
                      </w:pPr>
                      <w:bookmarkStart w:id="4" w:name="_Toc90385829"/>
                      <w:r w:rsidRPr="001B352F">
                        <w:rPr>
                          <w:rFonts w:ascii="Arial" w:hAnsi="Arial" w:cs="Arial"/>
                          <w:b/>
                          <w:bCs/>
                          <w:color w:val="auto"/>
                          <w:sz w:val="16"/>
                          <w:szCs w:val="16"/>
                        </w:rPr>
                        <w:t xml:space="preserve">Figure </w:t>
                      </w:r>
                      <w:r>
                        <w:rPr>
                          <w:rFonts w:ascii="Arial" w:hAnsi="Arial" w:cs="Arial"/>
                          <w:b/>
                          <w:bCs/>
                          <w:color w:val="auto"/>
                          <w:sz w:val="16"/>
                          <w:szCs w:val="16"/>
                        </w:rPr>
                        <w:fldChar w:fldCharType="begin"/>
                      </w:r>
                      <w:r>
                        <w:rPr>
                          <w:rFonts w:ascii="Arial" w:hAnsi="Arial" w:cs="Arial"/>
                          <w:b/>
                          <w:bCs/>
                          <w:color w:val="auto"/>
                          <w:sz w:val="16"/>
                          <w:szCs w:val="16"/>
                        </w:rPr>
                        <w:instrText xml:space="preserve"> SEQ Figure \* ARABIC </w:instrText>
                      </w:r>
                      <w:r>
                        <w:rPr>
                          <w:rFonts w:ascii="Arial" w:hAnsi="Arial" w:cs="Arial"/>
                          <w:b/>
                          <w:bCs/>
                          <w:color w:val="auto"/>
                          <w:sz w:val="16"/>
                          <w:szCs w:val="16"/>
                        </w:rPr>
                        <w:fldChar w:fldCharType="separate"/>
                      </w:r>
                      <w:r>
                        <w:rPr>
                          <w:rFonts w:ascii="Arial" w:hAnsi="Arial" w:cs="Arial"/>
                          <w:b/>
                          <w:bCs/>
                          <w:noProof/>
                          <w:color w:val="auto"/>
                          <w:sz w:val="16"/>
                          <w:szCs w:val="16"/>
                        </w:rPr>
                        <w:t>1</w:t>
                      </w:r>
                      <w:r>
                        <w:rPr>
                          <w:rFonts w:ascii="Arial" w:hAnsi="Arial" w:cs="Arial"/>
                          <w:b/>
                          <w:bCs/>
                          <w:color w:val="auto"/>
                          <w:sz w:val="16"/>
                          <w:szCs w:val="16"/>
                        </w:rPr>
                        <w:fldChar w:fldCharType="end"/>
                      </w:r>
                      <w:r w:rsidRPr="001B352F">
                        <w:rPr>
                          <w:rFonts w:ascii="Arial" w:hAnsi="Arial" w:cs="Arial"/>
                          <w:b/>
                          <w:bCs/>
                          <w:color w:val="auto"/>
                          <w:sz w:val="16"/>
                          <w:szCs w:val="16"/>
                        </w:rPr>
                        <w:t>:</w:t>
                      </w:r>
                      <w:r w:rsidRPr="001B352F">
                        <w:rPr>
                          <w:rFonts w:ascii="Arial" w:hAnsi="Arial" w:cs="Arial"/>
                          <w:color w:val="auto"/>
                          <w:sz w:val="16"/>
                          <w:szCs w:val="16"/>
                        </w:rPr>
                        <w:t xml:space="preserve"> Overview of Explosives Legislative Ecosystem</w:t>
                      </w:r>
                      <w:bookmarkEnd w:id="4"/>
                    </w:p>
                  </w:txbxContent>
                </v:textbox>
                <w10:wrap type="square" anchorx="margin"/>
              </v:shape>
            </w:pict>
          </mc:Fallback>
        </mc:AlternateContent>
      </w:r>
    </w:p>
    <w:p w14:paraId="78183323" w14:textId="4C9CAAF2" w:rsidR="00A1158A" w:rsidRDefault="00911797" w:rsidP="00374D09">
      <w:pPr>
        <w:spacing w:line="240" w:lineRule="auto"/>
        <w:rPr>
          <w:rFonts w:ascii="Arial" w:hAnsi="Arial" w:cs="Arial"/>
        </w:rPr>
      </w:pPr>
      <w:r>
        <w:rPr>
          <w:rFonts w:ascii="Arial" w:hAnsi="Arial" w:cs="Arial"/>
        </w:rPr>
        <w:lastRenderedPageBreak/>
        <w:t>The Department recently completed a</w:t>
      </w:r>
      <w:r w:rsidR="003434FC">
        <w:rPr>
          <w:rFonts w:ascii="Arial" w:hAnsi="Arial" w:cs="Arial"/>
        </w:rPr>
        <w:t>n initial period of consultation on the topics and recommendations canvassed in the CRP</w:t>
      </w:r>
      <w:r w:rsidR="00A26CDA">
        <w:rPr>
          <w:rFonts w:ascii="Arial" w:hAnsi="Arial" w:cs="Arial"/>
        </w:rPr>
        <w:t xml:space="preserve">. Consultation will </w:t>
      </w:r>
      <w:r w:rsidR="00D77CF9">
        <w:rPr>
          <w:rFonts w:ascii="Arial" w:hAnsi="Arial" w:cs="Arial"/>
        </w:rPr>
        <w:t>continue</w:t>
      </w:r>
      <w:r w:rsidR="00A26CDA">
        <w:rPr>
          <w:rFonts w:ascii="Arial" w:hAnsi="Arial" w:cs="Arial"/>
        </w:rPr>
        <w:t xml:space="preserve"> on an ongoing basis, with subsequent developments made to this RIS as policy discussions progress. </w:t>
      </w:r>
    </w:p>
    <w:p w14:paraId="305967EA" w14:textId="1BF24206" w:rsidR="00A1158A" w:rsidRDefault="00A1158A" w:rsidP="00374D09">
      <w:pPr>
        <w:spacing w:line="240" w:lineRule="auto"/>
        <w:rPr>
          <w:rFonts w:ascii="Arial" w:hAnsi="Arial" w:cs="Arial"/>
        </w:rPr>
      </w:pPr>
      <w:r>
        <w:rPr>
          <w:rFonts w:ascii="Arial" w:hAnsi="Arial" w:cs="Arial"/>
        </w:rPr>
        <w:t xml:space="preserve">This Early Assessment RIS argues that four problem elements exist in relation to the current Commonwealth explosives regulatory regime: </w:t>
      </w:r>
    </w:p>
    <w:p w14:paraId="74450831" w14:textId="36F898DB" w:rsidR="00E27550" w:rsidRPr="00E27550" w:rsidRDefault="00E27550" w:rsidP="00A16B8A">
      <w:pPr>
        <w:pStyle w:val="ListParagraph"/>
        <w:numPr>
          <w:ilvl w:val="0"/>
          <w:numId w:val="27"/>
        </w:numPr>
        <w:spacing w:after="0" w:line="240" w:lineRule="auto"/>
        <w:rPr>
          <w:rFonts w:ascii="Arial" w:hAnsi="Arial" w:cs="Arial"/>
        </w:rPr>
      </w:pPr>
      <w:r w:rsidRPr="00A12B00">
        <w:rPr>
          <w:rFonts w:ascii="Arial" w:eastAsia="Calibri" w:hAnsi="Arial" w:cs="Arial"/>
        </w:rPr>
        <w:t>Expansions in the use and integration of Commonwealth explosives, as well as Australia’s changing security environment and increased focus on domestic manufacturing capabilities, have created a new and changing risk environment. The current explosives regulatory regime, established in response to challenges faced during World War II, does not accommodate this risk profile.</w:t>
      </w:r>
    </w:p>
    <w:p w14:paraId="7A0CE831" w14:textId="59743CC0" w:rsidR="00E27550" w:rsidRPr="00E27550" w:rsidRDefault="00E27550" w:rsidP="00A16B8A">
      <w:pPr>
        <w:pStyle w:val="ListParagraph"/>
        <w:numPr>
          <w:ilvl w:val="0"/>
          <w:numId w:val="27"/>
        </w:numPr>
        <w:spacing w:after="0" w:line="240" w:lineRule="auto"/>
        <w:rPr>
          <w:rFonts w:ascii="Arial" w:hAnsi="Arial" w:cs="Arial"/>
        </w:rPr>
      </w:pPr>
      <w:r w:rsidRPr="00A12B00">
        <w:rPr>
          <w:rFonts w:ascii="Arial" w:eastAsia="Calibri" w:hAnsi="Arial" w:cs="Arial"/>
        </w:rPr>
        <w:t>The current regulatory regime has insufficiently clear safety and security requirements and lacks an independent governance structure capable of enforcing compliance with these requirements.</w:t>
      </w:r>
      <w:r w:rsidR="00D27093">
        <w:rPr>
          <w:rFonts w:ascii="Arial" w:eastAsia="Calibri" w:hAnsi="Arial" w:cs="Arial"/>
        </w:rPr>
        <w:t xml:space="preserve"> </w:t>
      </w:r>
      <w:r w:rsidRPr="00A12B00">
        <w:rPr>
          <w:rFonts w:ascii="Arial" w:eastAsia="Calibri" w:hAnsi="Arial" w:cs="Arial"/>
        </w:rPr>
        <w:t>This undermines the safety of persons involved in explosives activities and the security of Commonwealth explosives themselves.</w:t>
      </w:r>
    </w:p>
    <w:p w14:paraId="34E30FAA" w14:textId="2A8679A6" w:rsidR="00E27550" w:rsidRPr="00E27550" w:rsidRDefault="00E27550" w:rsidP="00A16B8A">
      <w:pPr>
        <w:pStyle w:val="ListParagraph"/>
        <w:numPr>
          <w:ilvl w:val="0"/>
          <w:numId w:val="27"/>
        </w:numPr>
        <w:spacing w:after="0" w:line="240" w:lineRule="auto"/>
        <w:rPr>
          <w:rFonts w:ascii="Arial" w:hAnsi="Arial" w:cs="Arial"/>
        </w:rPr>
      </w:pPr>
      <w:r w:rsidRPr="00A12B00">
        <w:rPr>
          <w:rFonts w:ascii="Arial" w:eastAsia="Calibri" w:hAnsi="Arial" w:cs="Arial"/>
        </w:rPr>
        <w:t xml:space="preserve">Significant ambiguities and a lack of clarity in regulatory requirements complicates Commonwealth contractors’ ability to navigate </w:t>
      </w:r>
      <w:r w:rsidR="00174360">
        <w:rPr>
          <w:rFonts w:ascii="Arial" w:eastAsia="Calibri" w:hAnsi="Arial" w:cs="Arial"/>
        </w:rPr>
        <w:t xml:space="preserve">varying </w:t>
      </w:r>
      <w:r w:rsidRPr="00A12B00">
        <w:rPr>
          <w:rFonts w:ascii="Arial" w:eastAsia="Calibri" w:hAnsi="Arial" w:cs="Arial"/>
        </w:rPr>
        <w:t>explosives regulatory regimes across Australia, leading to a high regulatory burden and increased risk of non-compliance</w:t>
      </w:r>
      <w:r>
        <w:rPr>
          <w:rFonts w:ascii="Arial" w:eastAsia="Calibri" w:hAnsi="Arial" w:cs="Arial"/>
        </w:rPr>
        <w:t xml:space="preserve">. </w:t>
      </w:r>
    </w:p>
    <w:p w14:paraId="182FAABB" w14:textId="03F597FF" w:rsidR="000D010E" w:rsidRPr="00374D09" w:rsidRDefault="00E27550" w:rsidP="00A16B8A">
      <w:pPr>
        <w:pStyle w:val="ListParagraph"/>
        <w:numPr>
          <w:ilvl w:val="0"/>
          <w:numId w:val="27"/>
        </w:numPr>
        <w:spacing w:line="240" w:lineRule="auto"/>
        <w:rPr>
          <w:rFonts w:ascii="Arial" w:hAnsi="Arial" w:cs="Arial"/>
        </w:rPr>
      </w:pPr>
      <w:r w:rsidRPr="00A12B00">
        <w:rPr>
          <w:rFonts w:ascii="Arial" w:eastAsia="Calibri" w:hAnsi="Arial" w:cs="Arial"/>
        </w:rPr>
        <w:t>The Commonwealth explosives regulatory regime’s failure to maintain pace with modern legislative developments has resulted in a lack of harmony, which undermines the Commonwealth’s ability to regulate and assure the safety and security of explosives activities.</w:t>
      </w:r>
    </w:p>
    <w:p w14:paraId="7FCEAF88" w14:textId="4597B428" w:rsidR="007C4FDE" w:rsidRDefault="000D010E" w:rsidP="00374D09">
      <w:pPr>
        <w:spacing w:line="240" w:lineRule="auto"/>
        <w:rPr>
          <w:rFonts w:ascii="Arial" w:hAnsi="Arial" w:cs="Arial"/>
        </w:rPr>
      </w:pPr>
      <w:r>
        <w:rPr>
          <w:rFonts w:ascii="Arial" w:hAnsi="Arial" w:cs="Arial"/>
        </w:rPr>
        <w:t>This Early Assessment RIS considers three options for addressing the above problem areas – firstly, allow the Transport and Areas Regulations to sunset</w:t>
      </w:r>
      <w:r w:rsidR="00865108">
        <w:rPr>
          <w:rFonts w:ascii="Arial" w:hAnsi="Arial" w:cs="Arial"/>
        </w:rPr>
        <w:t xml:space="preserve"> (no regulatory change); secondly, amend, to the extent possible, the Transport and Areas Regulations while maintaining the principal Explosives Act in its current form; or, thirdly, introduce a new Commonwealth explosives regulatory regime, including </w:t>
      </w:r>
      <w:r w:rsidR="00611647">
        <w:rPr>
          <w:rFonts w:ascii="Arial" w:hAnsi="Arial" w:cs="Arial"/>
        </w:rPr>
        <w:t xml:space="preserve">substantial </w:t>
      </w:r>
      <w:r w:rsidR="00865108">
        <w:rPr>
          <w:rFonts w:ascii="Arial" w:hAnsi="Arial" w:cs="Arial"/>
        </w:rPr>
        <w:t xml:space="preserve">amendments to the Explosives Act, the introduction of new regulations and consequential amendments to </w:t>
      </w:r>
      <w:r w:rsidR="00202DB9">
        <w:rPr>
          <w:rFonts w:ascii="Arial" w:hAnsi="Arial" w:cs="Arial"/>
        </w:rPr>
        <w:t xml:space="preserve">other Commonwealth acts, as necessary. </w:t>
      </w:r>
    </w:p>
    <w:p w14:paraId="176E396F" w14:textId="61DD30AD" w:rsidR="005A0C2E" w:rsidRDefault="00F51EC8" w:rsidP="00374D09">
      <w:pPr>
        <w:spacing w:line="240" w:lineRule="auto"/>
        <w:rPr>
          <w:rFonts w:ascii="Arial" w:hAnsi="Arial" w:cs="Arial"/>
        </w:rPr>
      </w:pPr>
      <w:r>
        <w:rPr>
          <w:rFonts w:ascii="Arial" w:hAnsi="Arial" w:cs="Arial"/>
        </w:rPr>
        <w:t xml:space="preserve">A future version of this RIS will </w:t>
      </w:r>
      <w:r w:rsidR="003A648F">
        <w:rPr>
          <w:rFonts w:ascii="Arial" w:hAnsi="Arial" w:cs="Arial"/>
        </w:rPr>
        <w:t xml:space="preserve">indicate the option likely to be most effective in addressing the identified problem areas, aligning with Government’s objectives for intervention, and offering the greatest overall net benefit. </w:t>
      </w:r>
      <w:r w:rsidR="00081277">
        <w:rPr>
          <w:rFonts w:ascii="Arial" w:hAnsi="Arial" w:cs="Arial"/>
        </w:rPr>
        <w:t xml:space="preserve">This version of the RIS seeks to analyse, at a high level, </w:t>
      </w:r>
      <w:r w:rsidR="00EF201B">
        <w:rPr>
          <w:rFonts w:ascii="Arial" w:hAnsi="Arial" w:cs="Arial"/>
        </w:rPr>
        <w:t>the costs and benefits of each option, including indicating those costs and benefits which are capable of quantification</w:t>
      </w:r>
      <w:r w:rsidR="000C759C">
        <w:rPr>
          <w:rFonts w:ascii="Arial" w:hAnsi="Arial" w:cs="Arial"/>
        </w:rPr>
        <w:t xml:space="preserve"> at a later stage in the RIS process. </w:t>
      </w:r>
    </w:p>
    <w:p w14:paraId="1EF10B0A" w14:textId="19D08CA7" w:rsidR="005A0C2E" w:rsidRDefault="005A0C2E" w:rsidP="00515566">
      <w:pPr>
        <w:spacing w:after="0" w:line="240" w:lineRule="auto"/>
        <w:rPr>
          <w:rFonts w:ascii="Arial" w:hAnsi="Arial" w:cs="Arial"/>
        </w:rPr>
      </w:pPr>
      <w:r>
        <w:rPr>
          <w:rFonts w:ascii="Arial" w:hAnsi="Arial" w:cs="Arial"/>
        </w:rPr>
        <w:t xml:space="preserve">This RIS has been developed to provide the basis for a decision to amend the existing Commonwealth explosives regulatory regime. </w:t>
      </w:r>
      <w:r w:rsidR="00E7343D">
        <w:rPr>
          <w:rFonts w:ascii="Arial" w:hAnsi="Arial" w:cs="Arial"/>
        </w:rPr>
        <w:t xml:space="preserve">Each of the four RIS questions </w:t>
      </w:r>
      <w:r w:rsidR="00865DB8">
        <w:rPr>
          <w:rFonts w:ascii="Arial" w:hAnsi="Arial" w:cs="Arial"/>
        </w:rPr>
        <w:t>for consideration</w:t>
      </w:r>
      <w:r w:rsidR="00E7343D">
        <w:rPr>
          <w:rFonts w:ascii="Arial" w:hAnsi="Arial" w:cs="Arial"/>
        </w:rPr>
        <w:t xml:space="preserve"> at the Early Assessment stage, and the corresponding sections of this document which address them, are </w:t>
      </w:r>
      <w:r w:rsidR="00215E8A">
        <w:rPr>
          <w:rFonts w:ascii="Arial" w:hAnsi="Arial" w:cs="Arial"/>
        </w:rPr>
        <w:t>linked</w:t>
      </w:r>
      <w:r w:rsidR="00E7343D">
        <w:rPr>
          <w:rFonts w:ascii="Arial" w:hAnsi="Arial" w:cs="Arial"/>
        </w:rPr>
        <w:t xml:space="preserve"> below. </w:t>
      </w:r>
    </w:p>
    <w:p w14:paraId="4D4AA77E" w14:textId="4408668A" w:rsidR="00E7343D" w:rsidRDefault="00E7343D" w:rsidP="00515566">
      <w:pPr>
        <w:spacing w:after="0" w:line="240" w:lineRule="auto"/>
        <w:rPr>
          <w:rFonts w:ascii="Arial" w:hAnsi="Arial" w:cs="Arial"/>
        </w:rPr>
      </w:pPr>
    </w:p>
    <w:tbl>
      <w:tblPr>
        <w:tblStyle w:val="TableGrid"/>
        <w:tblW w:w="0" w:type="auto"/>
        <w:jc w:val="center"/>
        <w:tblLook w:val="04A0" w:firstRow="1" w:lastRow="0" w:firstColumn="1" w:lastColumn="0" w:noHBand="0" w:noVBand="1"/>
      </w:tblPr>
      <w:tblGrid>
        <w:gridCol w:w="421"/>
        <w:gridCol w:w="4536"/>
        <w:gridCol w:w="3260"/>
      </w:tblGrid>
      <w:tr w:rsidR="00E7343D" w14:paraId="52AC07A8" w14:textId="77777777" w:rsidTr="00215E8A">
        <w:trPr>
          <w:jc w:val="center"/>
        </w:trPr>
        <w:tc>
          <w:tcPr>
            <w:tcW w:w="4957" w:type="dxa"/>
            <w:gridSpan w:val="2"/>
            <w:shd w:val="clear" w:color="auto" w:fill="F07F09"/>
          </w:tcPr>
          <w:p w14:paraId="762EB7FC" w14:textId="4782D167" w:rsidR="00E7343D" w:rsidRPr="00215E8A" w:rsidRDefault="00E7343D" w:rsidP="00355409">
            <w:pPr>
              <w:jc w:val="center"/>
              <w:rPr>
                <w:rFonts w:ascii="Arial" w:hAnsi="Arial" w:cs="Arial"/>
                <w:b/>
                <w:bCs/>
                <w:color w:val="FFFFFF" w:themeColor="background1"/>
              </w:rPr>
            </w:pPr>
            <w:r w:rsidRPr="00215E8A">
              <w:rPr>
                <w:rFonts w:ascii="Arial" w:hAnsi="Arial" w:cs="Arial"/>
                <w:b/>
                <w:bCs/>
                <w:color w:val="FFFFFF" w:themeColor="background1"/>
              </w:rPr>
              <w:t>RIS Question</w:t>
            </w:r>
          </w:p>
        </w:tc>
        <w:tc>
          <w:tcPr>
            <w:tcW w:w="3260" w:type="dxa"/>
            <w:shd w:val="clear" w:color="auto" w:fill="F07F09"/>
          </w:tcPr>
          <w:p w14:paraId="79552652" w14:textId="6769A2C4" w:rsidR="00E7343D" w:rsidRPr="00215E8A" w:rsidRDefault="00E7343D" w:rsidP="00355409">
            <w:pPr>
              <w:jc w:val="center"/>
              <w:rPr>
                <w:rFonts w:ascii="Arial" w:hAnsi="Arial" w:cs="Arial"/>
                <w:b/>
                <w:bCs/>
                <w:color w:val="FFFFFF" w:themeColor="background1"/>
              </w:rPr>
            </w:pPr>
            <w:r w:rsidRPr="00215E8A">
              <w:rPr>
                <w:rFonts w:ascii="Arial" w:hAnsi="Arial" w:cs="Arial"/>
                <w:b/>
                <w:bCs/>
                <w:color w:val="FFFFFF" w:themeColor="background1"/>
              </w:rPr>
              <w:t>Relevant Document Section</w:t>
            </w:r>
          </w:p>
        </w:tc>
      </w:tr>
      <w:tr w:rsidR="00E7343D" w14:paraId="099000D5" w14:textId="77777777" w:rsidTr="00215E8A">
        <w:trPr>
          <w:jc w:val="center"/>
        </w:trPr>
        <w:tc>
          <w:tcPr>
            <w:tcW w:w="421" w:type="dxa"/>
            <w:shd w:val="clear" w:color="auto" w:fill="FDE5CC"/>
            <w:vAlign w:val="center"/>
          </w:tcPr>
          <w:p w14:paraId="2CAE9937" w14:textId="0E35B31B" w:rsidR="00E7343D" w:rsidRPr="00215E8A" w:rsidRDefault="00E7343D" w:rsidP="00355409">
            <w:pPr>
              <w:jc w:val="center"/>
              <w:rPr>
                <w:rFonts w:ascii="Arial" w:hAnsi="Arial" w:cs="Arial"/>
                <w:b/>
                <w:bCs/>
              </w:rPr>
            </w:pPr>
            <w:r w:rsidRPr="00215E8A">
              <w:rPr>
                <w:rFonts w:ascii="Arial" w:hAnsi="Arial" w:cs="Arial"/>
                <w:b/>
                <w:bCs/>
              </w:rPr>
              <w:t>1</w:t>
            </w:r>
          </w:p>
        </w:tc>
        <w:tc>
          <w:tcPr>
            <w:tcW w:w="4536" w:type="dxa"/>
            <w:shd w:val="clear" w:color="auto" w:fill="FDE5CC"/>
          </w:tcPr>
          <w:p w14:paraId="41389D03" w14:textId="4697BDBE" w:rsidR="00E7343D" w:rsidRDefault="00355409" w:rsidP="00515566">
            <w:pPr>
              <w:rPr>
                <w:rFonts w:ascii="Arial" w:hAnsi="Arial" w:cs="Arial"/>
              </w:rPr>
            </w:pPr>
            <w:r>
              <w:rPr>
                <w:rFonts w:ascii="Arial" w:hAnsi="Arial" w:cs="Arial"/>
              </w:rPr>
              <w:t>What is the problem you are trying to solve?</w:t>
            </w:r>
          </w:p>
        </w:tc>
        <w:tc>
          <w:tcPr>
            <w:tcW w:w="3260" w:type="dxa"/>
            <w:vAlign w:val="center"/>
          </w:tcPr>
          <w:p w14:paraId="33EC4140" w14:textId="0F915E4A" w:rsidR="00E7343D" w:rsidRDefault="00215E8A" w:rsidP="00215E8A">
            <w:pPr>
              <w:jc w:val="center"/>
              <w:rPr>
                <w:rFonts w:ascii="Arial" w:hAnsi="Arial" w:cs="Arial"/>
              </w:rPr>
            </w:pPr>
            <w:r>
              <w:rPr>
                <w:rFonts w:ascii="Arial" w:hAnsi="Arial" w:cs="Arial"/>
              </w:rPr>
              <w:t>Section 1</w:t>
            </w:r>
          </w:p>
        </w:tc>
      </w:tr>
      <w:tr w:rsidR="00E7343D" w14:paraId="45C6282A" w14:textId="77777777" w:rsidTr="00215E8A">
        <w:trPr>
          <w:jc w:val="center"/>
        </w:trPr>
        <w:tc>
          <w:tcPr>
            <w:tcW w:w="421" w:type="dxa"/>
            <w:shd w:val="clear" w:color="auto" w:fill="FDE5CC"/>
            <w:vAlign w:val="center"/>
          </w:tcPr>
          <w:p w14:paraId="747C90EA" w14:textId="3D24D87E" w:rsidR="00E7343D" w:rsidRPr="00215E8A" w:rsidRDefault="00E7343D" w:rsidP="00355409">
            <w:pPr>
              <w:jc w:val="center"/>
              <w:rPr>
                <w:rFonts w:ascii="Arial" w:hAnsi="Arial" w:cs="Arial"/>
                <w:b/>
                <w:bCs/>
              </w:rPr>
            </w:pPr>
            <w:r w:rsidRPr="00215E8A">
              <w:rPr>
                <w:rFonts w:ascii="Arial" w:hAnsi="Arial" w:cs="Arial"/>
                <w:b/>
                <w:bCs/>
              </w:rPr>
              <w:t>2</w:t>
            </w:r>
          </w:p>
        </w:tc>
        <w:tc>
          <w:tcPr>
            <w:tcW w:w="4536" w:type="dxa"/>
            <w:shd w:val="clear" w:color="auto" w:fill="FDE5CC"/>
          </w:tcPr>
          <w:p w14:paraId="69D06148" w14:textId="77F5CF6B" w:rsidR="00E7343D" w:rsidRDefault="00355409" w:rsidP="00515566">
            <w:pPr>
              <w:rPr>
                <w:rFonts w:ascii="Arial" w:hAnsi="Arial" w:cs="Arial"/>
              </w:rPr>
            </w:pPr>
            <w:r>
              <w:rPr>
                <w:rFonts w:ascii="Arial" w:hAnsi="Arial" w:cs="Arial"/>
              </w:rPr>
              <w:t>Why is Government action needed?</w:t>
            </w:r>
          </w:p>
        </w:tc>
        <w:tc>
          <w:tcPr>
            <w:tcW w:w="3260" w:type="dxa"/>
            <w:vAlign w:val="center"/>
          </w:tcPr>
          <w:p w14:paraId="7A310628" w14:textId="40795231" w:rsidR="00E7343D" w:rsidRDefault="00215E8A" w:rsidP="00215E8A">
            <w:pPr>
              <w:jc w:val="center"/>
              <w:rPr>
                <w:rFonts w:ascii="Arial" w:hAnsi="Arial" w:cs="Arial"/>
              </w:rPr>
            </w:pPr>
            <w:r>
              <w:rPr>
                <w:rFonts w:ascii="Arial" w:hAnsi="Arial" w:cs="Arial"/>
              </w:rPr>
              <w:t>Section 2</w:t>
            </w:r>
          </w:p>
        </w:tc>
      </w:tr>
      <w:tr w:rsidR="00E7343D" w14:paraId="5AE3C714" w14:textId="77777777" w:rsidTr="00215E8A">
        <w:trPr>
          <w:jc w:val="center"/>
        </w:trPr>
        <w:tc>
          <w:tcPr>
            <w:tcW w:w="421" w:type="dxa"/>
            <w:shd w:val="clear" w:color="auto" w:fill="FDE5CC"/>
            <w:vAlign w:val="center"/>
          </w:tcPr>
          <w:p w14:paraId="5DFFA202" w14:textId="49923F22" w:rsidR="00E7343D" w:rsidRPr="00215E8A" w:rsidRDefault="00E7343D" w:rsidP="00355409">
            <w:pPr>
              <w:jc w:val="center"/>
              <w:rPr>
                <w:rFonts w:ascii="Arial" w:hAnsi="Arial" w:cs="Arial"/>
                <w:b/>
                <w:bCs/>
              </w:rPr>
            </w:pPr>
            <w:r w:rsidRPr="00215E8A">
              <w:rPr>
                <w:rFonts w:ascii="Arial" w:hAnsi="Arial" w:cs="Arial"/>
                <w:b/>
                <w:bCs/>
              </w:rPr>
              <w:t>3</w:t>
            </w:r>
          </w:p>
        </w:tc>
        <w:tc>
          <w:tcPr>
            <w:tcW w:w="4536" w:type="dxa"/>
            <w:shd w:val="clear" w:color="auto" w:fill="FDE5CC"/>
          </w:tcPr>
          <w:p w14:paraId="32F6FCE5" w14:textId="6745B0A7" w:rsidR="00E7343D" w:rsidRDefault="00355409" w:rsidP="00515566">
            <w:pPr>
              <w:rPr>
                <w:rFonts w:ascii="Arial" w:hAnsi="Arial" w:cs="Arial"/>
              </w:rPr>
            </w:pPr>
            <w:r>
              <w:rPr>
                <w:rFonts w:ascii="Arial" w:hAnsi="Arial" w:cs="Arial"/>
              </w:rPr>
              <w:t>What policy options are you considering?</w:t>
            </w:r>
          </w:p>
        </w:tc>
        <w:tc>
          <w:tcPr>
            <w:tcW w:w="3260" w:type="dxa"/>
            <w:vAlign w:val="center"/>
          </w:tcPr>
          <w:p w14:paraId="4850B2AF" w14:textId="641BB923" w:rsidR="00E7343D" w:rsidRDefault="00215E8A" w:rsidP="00215E8A">
            <w:pPr>
              <w:jc w:val="center"/>
              <w:rPr>
                <w:rFonts w:ascii="Arial" w:hAnsi="Arial" w:cs="Arial"/>
              </w:rPr>
            </w:pPr>
            <w:r>
              <w:rPr>
                <w:rFonts w:ascii="Arial" w:hAnsi="Arial" w:cs="Arial"/>
              </w:rPr>
              <w:t>Section 3</w:t>
            </w:r>
          </w:p>
        </w:tc>
      </w:tr>
      <w:tr w:rsidR="00E7343D" w14:paraId="1EC9DE95" w14:textId="77777777" w:rsidTr="00215E8A">
        <w:trPr>
          <w:jc w:val="center"/>
        </w:trPr>
        <w:tc>
          <w:tcPr>
            <w:tcW w:w="421" w:type="dxa"/>
            <w:shd w:val="clear" w:color="auto" w:fill="FDE5CC"/>
            <w:vAlign w:val="center"/>
          </w:tcPr>
          <w:p w14:paraId="6F592C7E" w14:textId="0A8CD3D8" w:rsidR="00E7343D" w:rsidRPr="00215E8A" w:rsidRDefault="00E7343D" w:rsidP="00355409">
            <w:pPr>
              <w:jc w:val="center"/>
              <w:rPr>
                <w:rFonts w:ascii="Arial" w:hAnsi="Arial" w:cs="Arial"/>
                <w:b/>
                <w:bCs/>
              </w:rPr>
            </w:pPr>
            <w:r w:rsidRPr="00215E8A">
              <w:rPr>
                <w:rFonts w:ascii="Arial" w:hAnsi="Arial" w:cs="Arial"/>
                <w:b/>
                <w:bCs/>
              </w:rPr>
              <w:t>4</w:t>
            </w:r>
          </w:p>
        </w:tc>
        <w:tc>
          <w:tcPr>
            <w:tcW w:w="4536" w:type="dxa"/>
            <w:shd w:val="clear" w:color="auto" w:fill="FDE5CC"/>
          </w:tcPr>
          <w:p w14:paraId="4B0CE2FF" w14:textId="2AFBB2CD" w:rsidR="00E7343D" w:rsidRDefault="00355409" w:rsidP="00515566">
            <w:pPr>
              <w:rPr>
                <w:rFonts w:ascii="Arial" w:hAnsi="Arial" w:cs="Arial"/>
              </w:rPr>
            </w:pPr>
            <w:r>
              <w:rPr>
                <w:rFonts w:ascii="Arial" w:hAnsi="Arial" w:cs="Arial"/>
              </w:rPr>
              <w:t>What is the likely net benefit of each option?</w:t>
            </w:r>
          </w:p>
        </w:tc>
        <w:tc>
          <w:tcPr>
            <w:tcW w:w="3260" w:type="dxa"/>
            <w:vAlign w:val="center"/>
          </w:tcPr>
          <w:p w14:paraId="486D28FA" w14:textId="09189A5D" w:rsidR="00E7343D" w:rsidRDefault="00215E8A" w:rsidP="00215E8A">
            <w:pPr>
              <w:jc w:val="center"/>
              <w:rPr>
                <w:rFonts w:ascii="Arial" w:hAnsi="Arial" w:cs="Arial"/>
              </w:rPr>
            </w:pPr>
            <w:r>
              <w:rPr>
                <w:rFonts w:ascii="Arial" w:hAnsi="Arial" w:cs="Arial"/>
              </w:rPr>
              <w:t>Section 4</w:t>
            </w:r>
          </w:p>
        </w:tc>
      </w:tr>
    </w:tbl>
    <w:p w14:paraId="115286D7" w14:textId="77777777" w:rsidR="00E7343D" w:rsidRDefault="00E7343D" w:rsidP="00515566">
      <w:pPr>
        <w:spacing w:after="0" w:line="240" w:lineRule="auto"/>
        <w:rPr>
          <w:rFonts w:ascii="Arial" w:hAnsi="Arial" w:cs="Arial"/>
        </w:rPr>
      </w:pPr>
    </w:p>
    <w:p w14:paraId="5B856C13" w14:textId="055EDA00" w:rsidR="00A12B00" w:rsidRPr="00515566" w:rsidRDefault="00F95879" w:rsidP="00515566">
      <w:pPr>
        <w:spacing w:before="240" w:after="0" w:line="240" w:lineRule="auto"/>
        <w:rPr>
          <w:rFonts w:ascii="Arial" w:hAnsi="Arial" w:cs="Arial"/>
        </w:rPr>
      </w:pPr>
      <w:r>
        <w:rPr>
          <w:rFonts w:ascii="Arial" w:eastAsia="Calibri" w:hAnsi="Arial" w:cs="Arial"/>
          <w:color w:val="E86D1F"/>
        </w:rPr>
        <w:br w:type="page"/>
      </w:r>
    </w:p>
    <w:p w14:paraId="292F6310" w14:textId="77777777" w:rsidR="00A12B00" w:rsidRPr="00A12B00" w:rsidRDefault="00A12B00" w:rsidP="00A16B8A">
      <w:pPr>
        <w:numPr>
          <w:ilvl w:val="0"/>
          <w:numId w:val="18"/>
        </w:numPr>
        <w:spacing w:after="0"/>
        <w:contextualSpacing/>
        <w:rPr>
          <w:rFonts w:ascii="Georgia" w:eastAsia="Calibri" w:hAnsi="Georgia" w:cs="Times New Roman"/>
        </w:rPr>
      </w:pPr>
      <w:r w:rsidRPr="00A12B00">
        <w:rPr>
          <w:rFonts w:ascii="Georgia" w:eastAsia="Times New Roman" w:hAnsi="Georgia" w:cs="Arial"/>
          <w:b/>
          <w:bCs/>
          <w:color w:val="E86D1F"/>
          <w:sz w:val="32"/>
          <w:szCs w:val="32"/>
        </w:rPr>
        <w:lastRenderedPageBreak/>
        <w:t xml:space="preserve">Background </w:t>
      </w:r>
    </w:p>
    <w:p w14:paraId="19F823A0" w14:textId="14020C30" w:rsidR="00A12B00" w:rsidRPr="00A12B00" w:rsidRDefault="00A12B00" w:rsidP="007138BC">
      <w:pPr>
        <w:spacing w:line="240" w:lineRule="auto"/>
        <w:rPr>
          <w:rFonts w:ascii="Arial" w:eastAsia="Calibri" w:hAnsi="Arial" w:cs="Arial"/>
        </w:rPr>
      </w:pPr>
      <w:r w:rsidRPr="00A12B00">
        <w:rPr>
          <w:rFonts w:ascii="Arial" w:eastAsia="Calibri" w:hAnsi="Arial" w:cs="Arial"/>
        </w:rPr>
        <w:t xml:space="preserve">Australia uses explosives for several reasons, including for quarrying, in the mining industry, for fireworks and ammunition purposes. This </w:t>
      </w:r>
      <w:r w:rsidR="00AB4CE0">
        <w:rPr>
          <w:rFonts w:ascii="Arial" w:eastAsia="Calibri" w:hAnsi="Arial" w:cs="Arial"/>
        </w:rPr>
        <w:t xml:space="preserve">Early Assessment </w:t>
      </w:r>
      <w:r w:rsidR="00130215">
        <w:rPr>
          <w:rFonts w:ascii="Arial" w:eastAsia="Calibri" w:hAnsi="Arial" w:cs="Arial"/>
        </w:rPr>
        <w:t>RIS</w:t>
      </w:r>
      <w:r w:rsidRPr="00A12B00">
        <w:rPr>
          <w:rFonts w:ascii="Arial" w:eastAsia="Calibri" w:hAnsi="Arial" w:cs="Arial"/>
        </w:rPr>
        <w:t xml:space="preserve"> is focussed on Commonwealth explosives – that is, those explosives required by the Commonwealth for use across various departments and agencies (including the Department of Defence, the Department of Home Affairs, Australian Border Force, and the Australian Federal Police).</w:t>
      </w:r>
    </w:p>
    <w:p w14:paraId="5F7B6E31" w14:textId="77777777" w:rsidR="00A12B00" w:rsidRPr="00A12B00" w:rsidRDefault="00A12B00" w:rsidP="00A12B00">
      <w:pPr>
        <w:spacing w:line="240" w:lineRule="auto"/>
        <w:rPr>
          <w:rFonts w:ascii="Arial" w:eastAsia="Calibri" w:hAnsi="Arial" w:cs="Arial"/>
        </w:rPr>
      </w:pPr>
      <w:r w:rsidRPr="00A12B00">
        <w:rPr>
          <w:rFonts w:ascii="Arial" w:eastAsia="Calibri" w:hAnsi="Arial" w:cs="Arial"/>
        </w:rPr>
        <w:t xml:space="preserve">Explosives are, by their nature and function to explode or ignite violently, hazardous. They vary in their sensitivity to heat, friction, shock, and impact, with their unpredictability compounded in different climatic conditions and as they deteriorate. Given the magnitude of the risk presented by explosives, and their ability to endanger public safety, the use of explosives is subject to legislation and codes of practice. </w:t>
      </w:r>
    </w:p>
    <w:p w14:paraId="1D3F2911" w14:textId="7B6A6DC6" w:rsidR="00A12B00" w:rsidRPr="00A12B00" w:rsidRDefault="00A12B00" w:rsidP="00A12B00">
      <w:pPr>
        <w:spacing w:line="240" w:lineRule="auto"/>
        <w:rPr>
          <w:rFonts w:ascii="Arial" w:eastAsia="Calibri" w:hAnsi="Arial" w:cs="Arial"/>
        </w:rPr>
      </w:pPr>
      <w:r w:rsidRPr="00A12B00">
        <w:rPr>
          <w:rFonts w:ascii="Arial" w:eastAsia="Calibri" w:hAnsi="Arial" w:cs="Arial"/>
        </w:rPr>
        <w:t xml:space="preserve">The inherent risks associated with Commonwealth explosives, and explosives generally, have not decreased since the development of the regulatory schemes under examination as part of this RIS. Instead, the Commonwealth’s increasing and varying use of and requirement for explosives means these risks are changing and, if anything, increasing over time (see </w:t>
      </w:r>
      <w:r w:rsidRPr="00865DB8">
        <w:rPr>
          <w:rFonts w:ascii="Arial" w:eastAsia="Calibri" w:hAnsi="Arial" w:cs="Arial"/>
        </w:rPr>
        <w:t>Section 1.1 for</w:t>
      </w:r>
      <w:r w:rsidRPr="00A12B00">
        <w:rPr>
          <w:rFonts w:ascii="Arial" w:eastAsia="Calibri" w:hAnsi="Arial" w:cs="Arial"/>
        </w:rPr>
        <w:t xml:space="preserve"> further discussion). Given this inherent and evolving risk profile, </w:t>
      </w:r>
      <w:r w:rsidR="00ED43A0">
        <w:rPr>
          <w:rFonts w:ascii="Arial" w:eastAsia="Calibri" w:hAnsi="Arial" w:cs="Arial"/>
        </w:rPr>
        <w:t xml:space="preserve">the ceasing of all regulation </w:t>
      </w:r>
      <w:r w:rsidRPr="00A12B00">
        <w:rPr>
          <w:rFonts w:ascii="Arial" w:eastAsia="Calibri" w:hAnsi="Arial" w:cs="Arial"/>
        </w:rPr>
        <w:t xml:space="preserve">cannot be considered as a viable policy option, as it will generate a substantial net cost to the community through endangering public safety. The policy options which are considered as part of this RIS, including a quasi-non-regulatory option (in the form of allowing existing regulations to sunset) are set out in detail in </w:t>
      </w:r>
      <w:r w:rsidRPr="00865DB8">
        <w:rPr>
          <w:rFonts w:ascii="Arial" w:eastAsia="Calibri" w:hAnsi="Arial" w:cs="Arial"/>
        </w:rPr>
        <w:t xml:space="preserve">Section </w:t>
      </w:r>
      <w:r w:rsidR="00865DB8" w:rsidRPr="00865DB8">
        <w:rPr>
          <w:rFonts w:ascii="Arial" w:eastAsia="Calibri" w:hAnsi="Arial" w:cs="Arial"/>
        </w:rPr>
        <w:t>3</w:t>
      </w:r>
      <w:r w:rsidRPr="00A12B00">
        <w:rPr>
          <w:rFonts w:ascii="Arial" w:eastAsia="Calibri" w:hAnsi="Arial" w:cs="Arial"/>
        </w:rPr>
        <w:t xml:space="preserve">. </w:t>
      </w:r>
    </w:p>
    <w:p w14:paraId="1B172DCC" w14:textId="77777777" w:rsidR="00A12B00" w:rsidRPr="00A12B00" w:rsidRDefault="00A12B00" w:rsidP="00A16B8A">
      <w:pPr>
        <w:keepNext/>
        <w:keepLines/>
        <w:numPr>
          <w:ilvl w:val="0"/>
          <w:numId w:val="14"/>
        </w:numPr>
        <w:spacing w:after="0" w:line="240" w:lineRule="auto"/>
        <w:ind w:left="357" w:hanging="357"/>
        <w:outlineLvl w:val="1"/>
        <w:rPr>
          <w:rFonts w:ascii="Arial" w:eastAsia="Times New Roman" w:hAnsi="Arial" w:cs="Arial"/>
          <w:color w:val="B35E06"/>
          <w:sz w:val="26"/>
          <w:szCs w:val="26"/>
        </w:rPr>
      </w:pPr>
      <w:bookmarkStart w:id="5" w:name="_Toc101961107"/>
      <w:r w:rsidRPr="00A12B00">
        <w:rPr>
          <w:rFonts w:ascii="Arial" w:eastAsia="Times New Roman" w:hAnsi="Arial" w:cs="Arial"/>
          <w:color w:val="B35E06"/>
          <w:sz w:val="26"/>
          <w:szCs w:val="26"/>
        </w:rPr>
        <w:t>Overview of Existing Commonwealth Explosives Regime</w:t>
      </w:r>
      <w:bookmarkEnd w:id="5"/>
    </w:p>
    <w:p w14:paraId="63449C8F" w14:textId="592BABB5" w:rsidR="00A12B00" w:rsidRPr="00A12B00" w:rsidRDefault="00A12B00" w:rsidP="00A12B00">
      <w:pPr>
        <w:spacing w:line="240" w:lineRule="auto"/>
        <w:rPr>
          <w:rFonts w:ascii="Arial" w:eastAsia="Calibri" w:hAnsi="Arial" w:cs="Arial"/>
          <w:color w:val="000000"/>
        </w:rPr>
      </w:pPr>
      <w:r w:rsidRPr="00A12B00">
        <w:rPr>
          <w:rFonts w:ascii="Arial" w:eastAsia="Calibri" w:hAnsi="Arial" w:cs="Arial"/>
        </w:rPr>
        <w:t xml:space="preserve">The existing Commonwealth explosives regulatory regime encompasses the </w:t>
      </w:r>
      <w:r w:rsidRPr="00A12B00">
        <w:rPr>
          <w:rFonts w:ascii="Arial" w:eastAsia="Calibri" w:hAnsi="Arial" w:cs="Arial"/>
          <w:i/>
          <w:iCs/>
        </w:rPr>
        <w:t xml:space="preserve">Explosives Act 1961 </w:t>
      </w:r>
      <w:r w:rsidRPr="00A12B00">
        <w:rPr>
          <w:rFonts w:ascii="Arial" w:eastAsia="Calibri" w:hAnsi="Arial" w:cs="Arial"/>
        </w:rPr>
        <w:t>(</w:t>
      </w:r>
      <w:proofErr w:type="spellStart"/>
      <w:r w:rsidRPr="00A12B00">
        <w:rPr>
          <w:rFonts w:ascii="Arial" w:eastAsia="Calibri" w:hAnsi="Arial" w:cs="Arial"/>
        </w:rPr>
        <w:t>Cth</w:t>
      </w:r>
      <w:proofErr w:type="spellEnd"/>
      <w:r w:rsidRPr="00A12B00">
        <w:rPr>
          <w:rFonts w:ascii="Arial" w:eastAsia="Calibri" w:hAnsi="Arial" w:cs="Arial"/>
        </w:rPr>
        <w:t xml:space="preserve">) (‘the Explosives Act’), and two pieces of subordinate legislation – the </w:t>
      </w:r>
      <w:r w:rsidRPr="00A12B00">
        <w:rPr>
          <w:rFonts w:ascii="Arial" w:eastAsia="Calibri" w:hAnsi="Arial" w:cs="Arial"/>
          <w:i/>
          <w:iCs/>
          <w:color w:val="000000"/>
        </w:rPr>
        <w:t>Explosives Areas Regulations 2003</w:t>
      </w:r>
      <w:r w:rsidRPr="00A12B00">
        <w:rPr>
          <w:rFonts w:ascii="Arial" w:eastAsia="Calibri" w:hAnsi="Arial" w:cs="Arial"/>
          <w:color w:val="000000"/>
        </w:rPr>
        <w:t xml:space="preserve"> (</w:t>
      </w:r>
      <w:proofErr w:type="spellStart"/>
      <w:r w:rsidRPr="00A12B00">
        <w:rPr>
          <w:rFonts w:ascii="Arial" w:eastAsia="Calibri" w:hAnsi="Arial" w:cs="Arial"/>
          <w:color w:val="000000"/>
        </w:rPr>
        <w:t>Cth</w:t>
      </w:r>
      <w:proofErr w:type="spellEnd"/>
      <w:r w:rsidRPr="00A12B00">
        <w:rPr>
          <w:rFonts w:ascii="Arial" w:eastAsia="Calibri" w:hAnsi="Arial" w:cs="Arial"/>
          <w:color w:val="000000"/>
        </w:rPr>
        <w:t xml:space="preserve">) (‘the Areas Regulations’) and </w:t>
      </w:r>
      <w:r w:rsidRPr="00A12B00">
        <w:rPr>
          <w:rFonts w:ascii="Arial" w:eastAsia="Calibri" w:hAnsi="Arial" w:cs="Arial"/>
          <w:i/>
          <w:iCs/>
          <w:color w:val="000000"/>
        </w:rPr>
        <w:t xml:space="preserve">Explosives Transport Regulations 2002 </w:t>
      </w:r>
      <w:r w:rsidRPr="00A12B00">
        <w:rPr>
          <w:rFonts w:ascii="Arial" w:eastAsia="Calibri" w:hAnsi="Arial" w:cs="Arial"/>
          <w:color w:val="000000"/>
        </w:rPr>
        <w:t>(</w:t>
      </w:r>
      <w:proofErr w:type="spellStart"/>
      <w:r w:rsidRPr="00A12B00">
        <w:rPr>
          <w:rFonts w:ascii="Arial" w:eastAsia="Calibri" w:hAnsi="Arial" w:cs="Arial"/>
          <w:color w:val="000000"/>
        </w:rPr>
        <w:t>Cth</w:t>
      </w:r>
      <w:proofErr w:type="spellEnd"/>
      <w:r w:rsidRPr="00A12B00">
        <w:rPr>
          <w:rFonts w:ascii="Arial" w:eastAsia="Calibri" w:hAnsi="Arial" w:cs="Arial"/>
          <w:color w:val="000000"/>
        </w:rPr>
        <w:t>) (‘the Transport Regulations</w:t>
      </w:r>
      <w:r w:rsidR="00AB4CE0">
        <w:rPr>
          <w:rFonts w:ascii="Arial" w:eastAsia="Calibri" w:hAnsi="Arial" w:cs="Arial"/>
          <w:color w:val="000000"/>
        </w:rPr>
        <w:t>’)</w:t>
      </w:r>
      <w:r w:rsidRPr="00A12B00">
        <w:rPr>
          <w:rFonts w:ascii="Arial" w:eastAsia="Calibri" w:hAnsi="Arial" w:cs="Arial"/>
          <w:color w:val="000000"/>
        </w:rPr>
        <w:t>.</w:t>
      </w:r>
      <w:r w:rsidRPr="00A12B00">
        <w:rPr>
          <w:rFonts w:ascii="Arial" w:eastAsia="Calibri" w:hAnsi="Arial" w:cs="Arial"/>
          <w:color w:val="000000"/>
          <w:vertAlign w:val="superscript"/>
        </w:rPr>
        <w:footnoteReference w:id="1"/>
      </w:r>
      <w:r w:rsidRPr="00A12B00">
        <w:rPr>
          <w:rFonts w:ascii="Arial" w:eastAsia="Calibri" w:hAnsi="Arial" w:cs="Arial"/>
          <w:color w:val="000000"/>
        </w:rPr>
        <w:t xml:space="preserve"> Together, these instruments purport to regulate the safety, security, and the transport by road and rail of explosives used by the Commonwealth and </w:t>
      </w:r>
      <w:r w:rsidR="00AB4CE0">
        <w:rPr>
          <w:rFonts w:ascii="Arial" w:eastAsia="Calibri" w:hAnsi="Arial" w:cs="Arial"/>
          <w:color w:val="000000"/>
        </w:rPr>
        <w:t>foreign government officials</w:t>
      </w:r>
      <w:r w:rsidRPr="00A12B00">
        <w:rPr>
          <w:rFonts w:ascii="Arial" w:eastAsia="Calibri" w:hAnsi="Arial" w:cs="Arial"/>
          <w:color w:val="000000"/>
        </w:rPr>
        <w:t xml:space="preserve"> </w:t>
      </w:r>
      <w:r w:rsidR="00AB4CE0">
        <w:rPr>
          <w:rFonts w:ascii="Arial" w:eastAsia="Calibri" w:hAnsi="Arial" w:cs="Arial"/>
          <w:color w:val="000000"/>
        </w:rPr>
        <w:t xml:space="preserve">(currently referred to in the Act as ‘visiting foreign forces’) </w:t>
      </w:r>
      <w:r w:rsidRPr="00A12B00">
        <w:rPr>
          <w:rFonts w:ascii="Arial" w:eastAsia="Calibri" w:hAnsi="Arial" w:cs="Arial"/>
          <w:color w:val="000000"/>
        </w:rPr>
        <w:t>in Australia.</w:t>
      </w:r>
    </w:p>
    <w:p w14:paraId="0EF1E7A4" w14:textId="7FDA9802" w:rsidR="00AB4CE0" w:rsidRDefault="00A12B00" w:rsidP="007138BC">
      <w:pPr>
        <w:spacing w:after="0" w:line="240" w:lineRule="auto"/>
        <w:rPr>
          <w:rFonts w:ascii="Arial" w:eastAsia="Calibri" w:hAnsi="Arial" w:cs="Arial"/>
          <w:color w:val="000000"/>
        </w:rPr>
      </w:pPr>
      <w:r w:rsidRPr="00A12B00">
        <w:rPr>
          <w:rFonts w:ascii="Arial" w:eastAsia="Calibri" w:hAnsi="Arial" w:cs="Arial"/>
          <w:color w:val="000000"/>
        </w:rPr>
        <w:t xml:space="preserve">The need for specific regulation of Commonwealth explosives was first recognised in 1952, with the development of the </w:t>
      </w:r>
      <w:r w:rsidRPr="00A12B00">
        <w:rPr>
          <w:rFonts w:ascii="Arial" w:eastAsia="Calibri" w:hAnsi="Arial" w:cs="Arial"/>
          <w:i/>
          <w:iCs/>
          <w:color w:val="000000"/>
        </w:rPr>
        <w:t>Explosives Act 1952</w:t>
      </w:r>
      <w:r w:rsidRPr="00A12B00">
        <w:rPr>
          <w:rFonts w:ascii="Arial" w:eastAsia="Calibri" w:hAnsi="Arial" w:cs="Arial"/>
          <w:color w:val="000000"/>
        </w:rPr>
        <w:t xml:space="preserve"> (</w:t>
      </w:r>
      <w:proofErr w:type="spellStart"/>
      <w:r w:rsidRPr="00A12B00">
        <w:rPr>
          <w:rFonts w:ascii="Arial" w:eastAsia="Calibri" w:hAnsi="Arial" w:cs="Arial"/>
          <w:color w:val="000000"/>
        </w:rPr>
        <w:t>Cth</w:t>
      </w:r>
      <w:proofErr w:type="spellEnd"/>
      <w:r w:rsidRPr="00A12B00">
        <w:rPr>
          <w:rFonts w:ascii="Arial" w:eastAsia="Calibri" w:hAnsi="Arial" w:cs="Arial"/>
          <w:color w:val="000000"/>
        </w:rPr>
        <w:t>). The 1952 Act afforded the Commonwealth permanent powers to govern the safe and expeditious movement of explosives, necessary for meeting the Commonwealth’s defence requirements in both peace and war times</w:t>
      </w:r>
      <w:r w:rsidRPr="00A12B00">
        <w:rPr>
          <w:rFonts w:ascii="Arial" w:eastAsia="Calibri" w:hAnsi="Arial" w:cs="Arial"/>
          <w:i/>
          <w:iCs/>
          <w:color w:val="000000"/>
        </w:rPr>
        <w:t xml:space="preserve">. </w:t>
      </w:r>
      <w:r w:rsidRPr="00A12B00">
        <w:rPr>
          <w:rFonts w:ascii="Arial" w:eastAsia="Calibri" w:hAnsi="Arial" w:cs="Arial"/>
          <w:color w:val="000000"/>
        </w:rPr>
        <w:t xml:space="preserve">This power’s creation was prompted following World War II, where measures then in place to govern the movement of explosives by road, rail, and sea, were incompatible with the actions requirement to </w:t>
      </w:r>
      <w:r w:rsidR="003B5049" w:rsidRPr="00A12B00">
        <w:rPr>
          <w:rFonts w:ascii="Arial" w:eastAsia="Calibri" w:hAnsi="Arial" w:cs="Arial"/>
          <w:color w:val="000000"/>
        </w:rPr>
        <w:t>fulfil</w:t>
      </w:r>
      <w:r w:rsidRPr="00A12B00">
        <w:rPr>
          <w:rFonts w:ascii="Arial" w:eastAsia="Calibri" w:hAnsi="Arial" w:cs="Arial"/>
          <w:color w:val="000000"/>
        </w:rPr>
        <w:t xml:space="preserve"> the Commonwealth’s operational requirements.</w:t>
      </w:r>
    </w:p>
    <w:p w14:paraId="2C387949" w14:textId="19071F1D" w:rsidR="00AB4CE0" w:rsidRDefault="00AB4CE0">
      <w:pPr>
        <w:rPr>
          <w:rFonts w:ascii="Arial" w:eastAsia="Calibri" w:hAnsi="Arial" w:cs="Arial"/>
          <w:color w:val="000000"/>
        </w:rPr>
      </w:pPr>
      <w:r>
        <w:rPr>
          <w:rFonts w:ascii="Arial" w:eastAsia="Calibri" w:hAnsi="Arial" w:cs="Arial"/>
          <w:color w:val="000000"/>
        </w:rPr>
        <w:br w:type="page"/>
      </w:r>
    </w:p>
    <w:p w14:paraId="5A3715A8" w14:textId="68DFAFEE" w:rsidR="00A12B00" w:rsidRDefault="00374D09" w:rsidP="00A12B00">
      <w:pPr>
        <w:spacing w:after="0" w:line="240" w:lineRule="auto"/>
        <w:rPr>
          <w:rFonts w:ascii="Arial" w:eastAsia="Calibri" w:hAnsi="Arial" w:cs="Arial"/>
          <w:color w:val="000000"/>
        </w:rPr>
      </w:pPr>
      <w:r w:rsidRPr="00DD1B24">
        <w:rPr>
          <w:rFonts w:ascii="Arial" w:eastAsia="Calibri" w:hAnsi="Arial" w:cs="Arial"/>
          <w:noProof/>
          <w:color w:val="000000"/>
          <w:lang w:eastAsia="en-AU"/>
        </w:rPr>
        <w:lastRenderedPageBreak/>
        <w:drawing>
          <wp:anchor distT="0" distB="0" distL="114300" distR="114300" simplePos="0" relativeHeight="251688960" behindDoc="0" locked="0" layoutInCell="1" allowOverlap="1" wp14:anchorId="11F61A16" wp14:editId="2D539EE8">
            <wp:simplePos x="0" y="0"/>
            <wp:positionH relativeFrom="margin">
              <wp:posOffset>-546100</wp:posOffset>
            </wp:positionH>
            <wp:positionV relativeFrom="paragraph">
              <wp:posOffset>507365</wp:posOffset>
            </wp:positionV>
            <wp:extent cx="6823710" cy="253111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3710" cy="2531110"/>
                    </a:xfrm>
                    <a:prstGeom prst="rect">
                      <a:avLst/>
                    </a:prstGeom>
                  </pic:spPr>
                </pic:pic>
              </a:graphicData>
            </a:graphic>
            <wp14:sizeRelH relativeFrom="page">
              <wp14:pctWidth>0</wp14:pctWidth>
            </wp14:sizeRelH>
            <wp14:sizeRelV relativeFrom="page">
              <wp14:pctHeight>0</wp14:pctHeight>
            </wp14:sizeRelV>
          </wp:anchor>
        </w:drawing>
      </w:r>
      <w:r w:rsidR="00A12B00" w:rsidRPr="00DD1B24">
        <w:rPr>
          <w:rFonts w:ascii="Arial" w:eastAsia="Calibri" w:hAnsi="Arial" w:cs="Arial"/>
          <w:color w:val="000000"/>
        </w:rPr>
        <w:t xml:space="preserve"> Figure</w:t>
      </w:r>
      <w:r w:rsidR="00521F25" w:rsidRPr="00DD1B24">
        <w:rPr>
          <w:rFonts w:ascii="Arial" w:eastAsia="Calibri" w:hAnsi="Arial" w:cs="Arial"/>
          <w:color w:val="000000"/>
        </w:rPr>
        <w:t xml:space="preserve"> 2</w:t>
      </w:r>
      <w:r w:rsidR="00A12B00" w:rsidRPr="00A12B00">
        <w:rPr>
          <w:rFonts w:ascii="Arial" w:eastAsia="Calibri" w:hAnsi="Arial" w:cs="Arial"/>
          <w:color w:val="000000"/>
        </w:rPr>
        <w:t xml:space="preserve"> below outlines the Explosives Act and Regulations’ historical developments. </w:t>
      </w:r>
    </w:p>
    <w:p w14:paraId="5452AFF7" w14:textId="66CE5617" w:rsidR="00511C2E" w:rsidRPr="00374D09" w:rsidRDefault="00AB4CE0" w:rsidP="00374D09">
      <w:pPr>
        <w:spacing w:before="240" w:after="0" w:line="240" w:lineRule="auto"/>
        <w:rPr>
          <w:rFonts w:ascii="Arial" w:eastAsia="Calibri" w:hAnsi="Arial" w:cs="Arial"/>
          <w:noProof/>
          <w:color w:val="000000"/>
        </w:rPr>
      </w:pPr>
      <w:r w:rsidRPr="00A12B00">
        <w:rPr>
          <w:rFonts w:ascii="Calibri" w:eastAsia="Calibri" w:hAnsi="Calibri" w:cs="Times New Roman"/>
          <w:noProof/>
          <w:lang w:eastAsia="en-AU"/>
        </w:rPr>
        <mc:AlternateContent>
          <mc:Choice Requires="wps">
            <w:drawing>
              <wp:anchor distT="0" distB="0" distL="114300" distR="114300" simplePos="0" relativeHeight="251662336" behindDoc="0" locked="0" layoutInCell="1" allowOverlap="1" wp14:anchorId="03DC0467" wp14:editId="25B42FEA">
                <wp:simplePos x="0" y="0"/>
                <wp:positionH relativeFrom="margin">
                  <wp:posOffset>22860</wp:posOffset>
                </wp:positionH>
                <wp:positionV relativeFrom="paragraph">
                  <wp:posOffset>169545</wp:posOffset>
                </wp:positionV>
                <wp:extent cx="6093460" cy="144780"/>
                <wp:effectExtent l="0" t="0" r="2540" b="7620"/>
                <wp:wrapSquare wrapText="bothSides"/>
                <wp:docPr id="3" name="Text Box 3"/>
                <wp:cNvGraphicFramePr/>
                <a:graphic xmlns:a="http://schemas.openxmlformats.org/drawingml/2006/main">
                  <a:graphicData uri="http://schemas.microsoft.com/office/word/2010/wordprocessingShape">
                    <wps:wsp>
                      <wps:cNvSpPr txBox="1"/>
                      <wps:spPr>
                        <a:xfrm>
                          <a:off x="0" y="0"/>
                          <a:ext cx="6093460" cy="144780"/>
                        </a:xfrm>
                        <a:prstGeom prst="rect">
                          <a:avLst/>
                        </a:prstGeom>
                        <a:solidFill>
                          <a:prstClr val="white"/>
                        </a:solidFill>
                        <a:ln>
                          <a:noFill/>
                        </a:ln>
                      </wps:spPr>
                      <wps:txbx>
                        <w:txbxContent>
                          <w:p w14:paraId="47A4A92B" w14:textId="05D1820E" w:rsidR="00B3427F" w:rsidRPr="007138BC" w:rsidRDefault="00B3427F" w:rsidP="00A12B00">
                            <w:pPr>
                              <w:pStyle w:val="Caption1"/>
                              <w:rPr>
                                <w:rFonts w:ascii="Arial" w:hAnsi="Arial" w:cs="Arial"/>
                                <w:noProof/>
                                <w:color w:val="auto"/>
                                <w:sz w:val="16"/>
                                <w:szCs w:val="16"/>
                              </w:rPr>
                            </w:pPr>
                            <w:bookmarkStart w:id="6" w:name="_Toc90385830"/>
                            <w:r w:rsidRPr="007138BC">
                              <w:rPr>
                                <w:rFonts w:ascii="Arial" w:hAnsi="Arial" w:cs="Arial"/>
                                <w:b/>
                                <w:bCs/>
                                <w:color w:val="auto"/>
                                <w:sz w:val="16"/>
                                <w:szCs w:val="16"/>
                              </w:rPr>
                              <w:t xml:space="preserve">Figure </w:t>
                            </w:r>
                            <w:r>
                              <w:rPr>
                                <w:rFonts w:ascii="Arial" w:hAnsi="Arial" w:cs="Arial"/>
                                <w:b/>
                                <w:bCs/>
                                <w:color w:val="auto"/>
                                <w:sz w:val="16"/>
                                <w:szCs w:val="16"/>
                              </w:rPr>
                              <w:fldChar w:fldCharType="begin"/>
                            </w:r>
                            <w:r>
                              <w:rPr>
                                <w:rFonts w:ascii="Arial" w:hAnsi="Arial" w:cs="Arial"/>
                                <w:b/>
                                <w:bCs/>
                                <w:color w:val="auto"/>
                                <w:sz w:val="16"/>
                                <w:szCs w:val="16"/>
                              </w:rPr>
                              <w:instrText xml:space="preserve"> SEQ Figure \* ARABIC </w:instrText>
                            </w:r>
                            <w:r>
                              <w:rPr>
                                <w:rFonts w:ascii="Arial" w:hAnsi="Arial" w:cs="Arial"/>
                                <w:b/>
                                <w:bCs/>
                                <w:color w:val="auto"/>
                                <w:sz w:val="16"/>
                                <w:szCs w:val="16"/>
                              </w:rPr>
                              <w:fldChar w:fldCharType="separate"/>
                            </w:r>
                            <w:r>
                              <w:rPr>
                                <w:rFonts w:ascii="Arial" w:hAnsi="Arial" w:cs="Arial"/>
                                <w:b/>
                                <w:bCs/>
                                <w:noProof/>
                                <w:color w:val="auto"/>
                                <w:sz w:val="16"/>
                                <w:szCs w:val="16"/>
                              </w:rPr>
                              <w:t>2</w:t>
                            </w:r>
                            <w:r>
                              <w:rPr>
                                <w:rFonts w:ascii="Arial" w:hAnsi="Arial" w:cs="Arial"/>
                                <w:b/>
                                <w:bCs/>
                                <w:color w:val="auto"/>
                                <w:sz w:val="16"/>
                                <w:szCs w:val="16"/>
                              </w:rPr>
                              <w:fldChar w:fldCharType="end"/>
                            </w:r>
                            <w:r w:rsidRPr="007138BC">
                              <w:rPr>
                                <w:rFonts w:ascii="Arial" w:hAnsi="Arial" w:cs="Arial"/>
                                <w:b/>
                                <w:bCs/>
                                <w:color w:val="auto"/>
                                <w:sz w:val="16"/>
                                <w:szCs w:val="16"/>
                              </w:rPr>
                              <w:t>:</w:t>
                            </w:r>
                            <w:r w:rsidRPr="007138BC">
                              <w:rPr>
                                <w:rFonts w:ascii="Arial" w:hAnsi="Arial" w:cs="Arial"/>
                                <w:color w:val="auto"/>
                                <w:sz w:val="16"/>
                                <w:szCs w:val="16"/>
                              </w:rPr>
                              <w:t xml:space="preserve"> Summary of Explosives Act Developments</w:t>
                            </w:r>
                            <w:bookmarkEnd w:id="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3DC0467" id="Text Box 3" o:spid="_x0000_s1030" type="#_x0000_t202" style="position:absolute;margin-left:1.8pt;margin-top:13.35pt;width:479.8pt;height:11.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" stroked="f">
                <v:textbox inset="0,0,0,0">
                  <w:txbxContent>
                    <w:p w14:paraId="47A4A92B" w14:textId="05D1820E" w:rsidR="00B3427F" w:rsidRPr="007138BC" w:rsidRDefault="00B3427F" w:rsidP="00A12B00">
                      <w:pPr>
                        <w:pStyle w:val="Caption1"/>
                        <w:rPr>
                          <w:rFonts w:ascii="Arial" w:hAnsi="Arial" w:cs="Arial"/>
                          <w:noProof/>
                          <w:color w:val="auto"/>
                          <w:sz w:val="16"/>
                          <w:szCs w:val="16"/>
                        </w:rPr>
                      </w:pPr>
                      <w:bookmarkStart w:id="7" w:name="_Toc90385830"/>
                      <w:r w:rsidRPr="007138BC">
                        <w:rPr>
                          <w:rFonts w:ascii="Arial" w:hAnsi="Arial" w:cs="Arial"/>
                          <w:b/>
                          <w:bCs/>
                          <w:color w:val="auto"/>
                          <w:sz w:val="16"/>
                          <w:szCs w:val="16"/>
                        </w:rPr>
                        <w:t xml:space="preserve">Figure </w:t>
                      </w:r>
                      <w:r>
                        <w:rPr>
                          <w:rFonts w:ascii="Arial" w:hAnsi="Arial" w:cs="Arial"/>
                          <w:b/>
                          <w:bCs/>
                          <w:color w:val="auto"/>
                          <w:sz w:val="16"/>
                          <w:szCs w:val="16"/>
                        </w:rPr>
                        <w:fldChar w:fldCharType="begin"/>
                      </w:r>
                      <w:r>
                        <w:rPr>
                          <w:rFonts w:ascii="Arial" w:hAnsi="Arial" w:cs="Arial"/>
                          <w:b/>
                          <w:bCs/>
                          <w:color w:val="auto"/>
                          <w:sz w:val="16"/>
                          <w:szCs w:val="16"/>
                        </w:rPr>
                        <w:instrText xml:space="preserve"> SEQ Figure \* ARABIC </w:instrText>
                      </w:r>
                      <w:r>
                        <w:rPr>
                          <w:rFonts w:ascii="Arial" w:hAnsi="Arial" w:cs="Arial"/>
                          <w:b/>
                          <w:bCs/>
                          <w:color w:val="auto"/>
                          <w:sz w:val="16"/>
                          <w:szCs w:val="16"/>
                        </w:rPr>
                        <w:fldChar w:fldCharType="separate"/>
                      </w:r>
                      <w:r>
                        <w:rPr>
                          <w:rFonts w:ascii="Arial" w:hAnsi="Arial" w:cs="Arial"/>
                          <w:b/>
                          <w:bCs/>
                          <w:noProof/>
                          <w:color w:val="auto"/>
                          <w:sz w:val="16"/>
                          <w:szCs w:val="16"/>
                        </w:rPr>
                        <w:t>2</w:t>
                      </w:r>
                      <w:r>
                        <w:rPr>
                          <w:rFonts w:ascii="Arial" w:hAnsi="Arial" w:cs="Arial"/>
                          <w:b/>
                          <w:bCs/>
                          <w:color w:val="auto"/>
                          <w:sz w:val="16"/>
                          <w:szCs w:val="16"/>
                        </w:rPr>
                        <w:fldChar w:fldCharType="end"/>
                      </w:r>
                      <w:r w:rsidRPr="007138BC">
                        <w:rPr>
                          <w:rFonts w:ascii="Arial" w:hAnsi="Arial" w:cs="Arial"/>
                          <w:b/>
                          <w:bCs/>
                          <w:color w:val="auto"/>
                          <w:sz w:val="16"/>
                          <w:szCs w:val="16"/>
                        </w:rPr>
                        <w:t>:</w:t>
                      </w:r>
                      <w:r w:rsidRPr="007138BC">
                        <w:rPr>
                          <w:rFonts w:ascii="Arial" w:hAnsi="Arial" w:cs="Arial"/>
                          <w:color w:val="auto"/>
                          <w:sz w:val="16"/>
                          <w:szCs w:val="16"/>
                        </w:rPr>
                        <w:t xml:space="preserve"> Summary of Explosives Act Developments</w:t>
                      </w:r>
                      <w:bookmarkEnd w:id="7"/>
                    </w:p>
                  </w:txbxContent>
                </v:textbox>
                <w10:wrap type="square" anchorx="margin"/>
              </v:shape>
            </w:pict>
          </mc:Fallback>
        </mc:AlternateContent>
      </w:r>
    </w:p>
    <w:p w14:paraId="6583DF65" w14:textId="6C715EE7" w:rsidR="00A12B00" w:rsidRPr="00A12B00" w:rsidRDefault="00A12B00" w:rsidP="00A16B8A">
      <w:pPr>
        <w:keepNext/>
        <w:keepLines/>
        <w:numPr>
          <w:ilvl w:val="0"/>
          <w:numId w:val="14"/>
        </w:numPr>
        <w:spacing w:before="40" w:after="0"/>
        <w:outlineLvl w:val="1"/>
        <w:rPr>
          <w:rFonts w:ascii="Arial" w:eastAsia="Times New Roman" w:hAnsi="Arial" w:cs="Arial"/>
          <w:color w:val="B35E06"/>
          <w:sz w:val="26"/>
          <w:szCs w:val="26"/>
        </w:rPr>
      </w:pPr>
      <w:bookmarkStart w:id="7" w:name="_Toc101961108"/>
      <w:r w:rsidRPr="00A12B00">
        <w:rPr>
          <w:rFonts w:ascii="Arial" w:eastAsia="Times New Roman" w:hAnsi="Arial" w:cs="Arial"/>
          <w:color w:val="B35E06"/>
          <w:sz w:val="26"/>
          <w:szCs w:val="26"/>
        </w:rPr>
        <w:t>Overview of Broader Regulatory Context</w:t>
      </w:r>
      <w:bookmarkEnd w:id="7"/>
    </w:p>
    <w:p w14:paraId="0F1E20BA" w14:textId="2F19B1F8" w:rsidR="00A12B00" w:rsidRPr="00A12B00" w:rsidRDefault="00A12B00" w:rsidP="00A12B00">
      <w:pPr>
        <w:spacing w:line="240" w:lineRule="auto"/>
        <w:rPr>
          <w:rFonts w:ascii="Arial" w:eastAsia="Calibri" w:hAnsi="Arial" w:cs="Arial"/>
        </w:rPr>
      </w:pPr>
      <w:r w:rsidRPr="00A12B00">
        <w:rPr>
          <w:rFonts w:ascii="Arial" w:eastAsia="Calibri" w:hAnsi="Arial" w:cs="Arial"/>
        </w:rPr>
        <w:t xml:space="preserve">In addition to the Commonwealth explosives regulatory regime, each Australian state and territory has developed and administers its own explosives regime, or legislation within which Commonwealth explosives are captured. These instruments are set out in </w:t>
      </w:r>
      <w:r w:rsidR="00130215">
        <w:rPr>
          <w:rFonts w:ascii="Arial" w:eastAsia="Calibri" w:hAnsi="Arial" w:cs="Arial"/>
        </w:rPr>
        <w:t>Table 1</w:t>
      </w:r>
      <w:r w:rsidRPr="00A12B00">
        <w:rPr>
          <w:rFonts w:ascii="Arial" w:eastAsia="Calibri" w:hAnsi="Arial" w:cs="Arial"/>
        </w:rPr>
        <w:t xml:space="preserve"> below. </w:t>
      </w:r>
    </w:p>
    <w:p w14:paraId="11DA3CCA" w14:textId="12D726CD" w:rsidR="00A12B00" w:rsidRPr="00A12B00" w:rsidRDefault="00A12B00" w:rsidP="00A12B00">
      <w:pPr>
        <w:keepNext/>
        <w:spacing w:after="0" w:line="240" w:lineRule="auto"/>
        <w:rPr>
          <w:rFonts w:ascii="Arial" w:eastAsia="Calibri" w:hAnsi="Arial" w:cs="Arial"/>
          <w:i/>
          <w:iCs/>
          <w:color w:val="000000"/>
          <w:sz w:val="16"/>
          <w:szCs w:val="16"/>
        </w:rPr>
      </w:pPr>
      <w:bookmarkStart w:id="8" w:name="_Toc90385853"/>
      <w:r w:rsidRPr="00A12B00">
        <w:rPr>
          <w:rFonts w:ascii="Arial" w:eastAsia="Calibri" w:hAnsi="Arial" w:cs="Arial"/>
          <w:b/>
          <w:bCs/>
          <w:i/>
          <w:iCs/>
          <w:color w:val="000000"/>
          <w:sz w:val="16"/>
          <w:szCs w:val="16"/>
        </w:rPr>
        <w:t xml:space="preserve">Table </w:t>
      </w:r>
      <w:r w:rsidRPr="00A12B00">
        <w:rPr>
          <w:rFonts w:ascii="Arial" w:eastAsia="Calibri" w:hAnsi="Arial" w:cs="Arial"/>
          <w:b/>
          <w:bCs/>
          <w:i/>
          <w:iCs/>
          <w:color w:val="000000"/>
          <w:sz w:val="16"/>
          <w:szCs w:val="16"/>
        </w:rPr>
        <w:fldChar w:fldCharType="begin"/>
      </w:r>
      <w:r w:rsidRPr="00A12B00">
        <w:rPr>
          <w:rFonts w:ascii="Arial" w:eastAsia="Calibri" w:hAnsi="Arial" w:cs="Arial"/>
          <w:b/>
          <w:bCs/>
          <w:i/>
          <w:iCs/>
          <w:color w:val="000000"/>
          <w:sz w:val="16"/>
          <w:szCs w:val="16"/>
        </w:rPr>
        <w:instrText xml:space="preserve"> SEQ Table \* ARABIC </w:instrText>
      </w:r>
      <w:r w:rsidRPr="00A12B00">
        <w:rPr>
          <w:rFonts w:ascii="Arial" w:eastAsia="Calibri" w:hAnsi="Arial" w:cs="Arial"/>
          <w:b/>
          <w:bCs/>
          <w:i/>
          <w:iCs/>
          <w:color w:val="000000"/>
          <w:sz w:val="16"/>
          <w:szCs w:val="16"/>
        </w:rPr>
        <w:fldChar w:fldCharType="separate"/>
      </w:r>
      <w:r w:rsidR="00486329">
        <w:rPr>
          <w:rFonts w:ascii="Arial" w:eastAsia="Calibri" w:hAnsi="Arial" w:cs="Arial"/>
          <w:b/>
          <w:bCs/>
          <w:i/>
          <w:iCs/>
          <w:noProof/>
          <w:color w:val="000000"/>
          <w:sz w:val="16"/>
          <w:szCs w:val="16"/>
        </w:rPr>
        <w:t>1</w:t>
      </w:r>
      <w:r w:rsidRPr="00A12B00">
        <w:rPr>
          <w:rFonts w:ascii="Arial" w:eastAsia="Calibri" w:hAnsi="Arial" w:cs="Arial"/>
          <w:b/>
          <w:bCs/>
          <w:i/>
          <w:iCs/>
          <w:color w:val="000000"/>
          <w:sz w:val="16"/>
          <w:szCs w:val="16"/>
        </w:rPr>
        <w:fldChar w:fldCharType="end"/>
      </w:r>
      <w:r w:rsidRPr="00A12B00">
        <w:rPr>
          <w:rFonts w:ascii="Arial" w:eastAsia="Calibri" w:hAnsi="Arial" w:cs="Arial"/>
          <w:b/>
          <w:bCs/>
          <w:i/>
          <w:iCs/>
          <w:color w:val="000000"/>
          <w:sz w:val="16"/>
          <w:szCs w:val="16"/>
        </w:rPr>
        <w:t>:</w:t>
      </w:r>
      <w:r w:rsidRPr="00A12B00">
        <w:rPr>
          <w:rFonts w:ascii="Arial" w:eastAsia="Calibri" w:hAnsi="Arial" w:cs="Arial"/>
          <w:i/>
          <w:iCs/>
          <w:color w:val="000000"/>
          <w:sz w:val="16"/>
          <w:szCs w:val="16"/>
        </w:rPr>
        <w:t xml:space="preserve"> Overview of State and Territory Explosives Instruments</w:t>
      </w:r>
      <w:bookmarkEnd w:id="8"/>
    </w:p>
    <w:tbl>
      <w:tblPr>
        <w:tblStyle w:val="TableGrid"/>
        <w:tblW w:w="0" w:type="auto"/>
        <w:tblLook w:val="04A0" w:firstRow="1" w:lastRow="0" w:firstColumn="1" w:lastColumn="0" w:noHBand="0" w:noVBand="1"/>
      </w:tblPr>
      <w:tblGrid>
        <w:gridCol w:w="2830"/>
        <w:gridCol w:w="6186"/>
      </w:tblGrid>
      <w:tr w:rsidR="00A12B00" w:rsidRPr="00A12B00" w14:paraId="76F65544" w14:textId="77777777" w:rsidTr="00A12B00">
        <w:tc>
          <w:tcPr>
            <w:tcW w:w="2830" w:type="dxa"/>
            <w:shd w:val="clear" w:color="auto" w:fill="F07F09"/>
          </w:tcPr>
          <w:p w14:paraId="7C5AD437" w14:textId="77777777" w:rsidR="00A12B00" w:rsidRPr="00A12B00" w:rsidRDefault="00A12B00" w:rsidP="00A12B00">
            <w:pPr>
              <w:jc w:val="center"/>
              <w:rPr>
                <w:rFonts w:ascii="Arial" w:eastAsia="Calibri" w:hAnsi="Arial" w:cs="Arial"/>
                <w:b/>
                <w:bCs/>
                <w:color w:val="FFFFFF"/>
                <w:sz w:val="20"/>
                <w:szCs w:val="20"/>
              </w:rPr>
            </w:pPr>
            <w:r w:rsidRPr="00A12B00">
              <w:rPr>
                <w:rFonts w:ascii="Arial" w:eastAsia="Calibri" w:hAnsi="Arial" w:cs="Arial"/>
                <w:b/>
                <w:bCs/>
                <w:color w:val="FFFFFF"/>
                <w:sz w:val="20"/>
                <w:szCs w:val="20"/>
              </w:rPr>
              <w:t>Jurisdiction</w:t>
            </w:r>
          </w:p>
        </w:tc>
        <w:tc>
          <w:tcPr>
            <w:tcW w:w="6186" w:type="dxa"/>
            <w:shd w:val="clear" w:color="auto" w:fill="F07F09"/>
          </w:tcPr>
          <w:p w14:paraId="438C4315" w14:textId="77777777" w:rsidR="00A12B00" w:rsidRPr="00A12B00" w:rsidRDefault="00A12B00" w:rsidP="00A12B00">
            <w:pPr>
              <w:jc w:val="center"/>
              <w:rPr>
                <w:rFonts w:ascii="Arial" w:eastAsia="Calibri" w:hAnsi="Arial" w:cs="Arial"/>
                <w:b/>
                <w:bCs/>
                <w:color w:val="FFFFFF"/>
                <w:sz w:val="20"/>
                <w:szCs w:val="20"/>
              </w:rPr>
            </w:pPr>
            <w:r w:rsidRPr="00A12B00">
              <w:rPr>
                <w:rFonts w:ascii="Arial" w:eastAsia="Calibri" w:hAnsi="Arial" w:cs="Arial"/>
                <w:b/>
                <w:bCs/>
                <w:color w:val="FFFFFF"/>
                <w:sz w:val="20"/>
                <w:szCs w:val="20"/>
              </w:rPr>
              <w:t>Instrument</w:t>
            </w:r>
          </w:p>
        </w:tc>
      </w:tr>
      <w:tr w:rsidR="00A12B00" w:rsidRPr="00A12B00" w14:paraId="19BA8C8C" w14:textId="77777777" w:rsidTr="00A12B00">
        <w:tc>
          <w:tcPr>
            <w:tcW w:w="2830" w:type="dxa"/>
            <w:shd w:val="clear" w:color="auto" w:fill="FDE5CC"/>
            <w:vAlign w:val="center"/>
          </w:tcPr>
          <w:p w14:paraId="63320D55" w14:textId="77777777" w:rsidR="00A12B00" w:rsidRPr="00A12B00" w:rsidRDefault="00A12B00" w:rsidP="00A12B00">
            <w:pPr>
              <w:jc w:val="center"/>
              <w:rPr>
                <w:rFonts w:ascii="Arial" w:eastAsia="Calibri" w:hAnsi="Arial" w:cs="Arial"/>
                <w:b/>
                <w:bCs/>
                <w:sz w:val="20"/>
                <w:szCs w:val="20"/>
              </w:rPr>
            </w:pPr>
            <w:r w:rsidRPr="00A12B00">
              <w:rPr>
                <w:rFonts w:ascii="Arial" w:eastAsia="Calibri" w:hAnsi="Arial" w:cs="Arial"/>
                <w:b/>
                <w:bCs/>
                <w:sz w:val="20"/>
                <w:szCs w:val="20"/>
              </w:rPr>
              <w:t>Australian Capital Territory</w:t>
            </w:r>
          </w:p>
        </w:tc>
        <w:tc>
          <w:tcPr>
            <w:tcW w:w="6186" w:type="dxa"/>
          </w:tcPr>
          <w:p w14:paraId="12366AFF" w14:textId="77777777" w:rsidR="00A12B00" w:rsidRPr="00A12B00" w:rsidRDefault="00A12B00" w:rsidP="00A12B00">
            <w:pPr>
              <w:rPr>
                <w:rFonts w:ascii="Arial" w:eastAsia="Calibri" w:hAnsi="Arial" w:cs="Arial"/>
                <w:i/>
                <w:sz w:val="20"/>
                <w:szCs w:val="20"/>
              </w:rPr>
            </w:pPr>
            <w:r w:rsidRPr="00A12B00">
              <w:rPr>
                <w:rFonts w:ascii="Arial" w:eastAsia="Calibri" w:hAnsi="Arial" w:cs="Arial"/>
                <w:i/>
                <w:sz w:val="20"/>
                <w:szCs w:val="20"/>
              </w:rPr>
              <w:t>Dangerous Substances Act 2004</w:t>
            </w:r>
          </w:p>
          <w:p w14:paraId="4CB36871" w14:textId="77777777" w:rsidR="00A12B00" w:rsidRPr="00A12B00" w:rsidRDefault="00A12B00" w:rsidP="00A12B00">
            <w:pPr>
              <w:rPr>
                <w:rFonts w:ascii="Arial" w:eastAsia="Calibri" w:hAnsi="Arial" w:cs="Arial"/>
                <w:sz w:val="20"/>
                <w:szCs w:val="20"/>
              </w:rPr>
            </w:pPr>
            <w:r w:rsidRPr="00A12B00">
              <w:rPr>
                <w:rFonts w:ascii="Arial" w:eastAsia="Calibri" w:hAnsi="Arial" w:cs="Arial"/>
                <w:i/>
                <w:sz w:val="20"/>
                <w:szCs w:val="20"/>
              </w:rPr>
              <w:t>Dangerous Substances (Explosives) Regulations 2004</w:t>
            </w:r>
          </w:p>
        </w:tc>
      </w:tr>
      <w:tr w:rsidR="00A12B00" w:rsidRPr="00A12B00" w14:paraId="29485F96" w14:textId="77777777" w:rsidTr="00A12B00">
        <w:tc>
          <w:tcPr>
            <w:tcW w:w="2830" w:type="dxa"/>
            <w:shd w:val="clear" w:color="auto" w:fill="FDE5CC"/>
            <w:vAlign w:val="center"/>
          </w:tcPr>
          <w:p w14:paraId="24AE9401" w14:textId="77777777" w:rsidR="00A12B00" w:rsidRPr="00A12B00" w:rsidRDefault="00A12B00" w:rsidP="00A12B00">
            <w:pPr>
              <w:jc w:val="center"/>
              <w:rPr>
                <w:rFonts w:ascii="Arial" w:eastAsia="Calibri" w:hAnsi="Arial" w:cs="Arial"/>
                <w:b/>
                <w:bCs/>
                <w:sz w:val="20"/>
                <w:szCs w:val="20"/>
              </w:rPr>
            </w:pPr>
            <w:r w:rsidRPr="00A12B00">
              <w:rPr>
                <w:rFonts w:ascii="Arial" w:eastAsia="Calibri" w:hAnsi="Arial" w:cs="Arial"/>
                <w:b/>
                <w:bCs/>
                <w:sz w:val="20"/>
                <w:szCs w:val="20"/>
              </w:rPr>
              <w:t>New South Wales</w:t>
            </w:r>
          </w:p>
        </w:tc>
        <w:tc>
          <w:tcPr>
            <w:tcW w:w="6186" w:type="dxa"/>
          </w:tcPr>
          <w:p w14:paraId="5870A63B" w14:textId="77777777" w:rsidR="00A12B00" w:rsidRPr="00A12B00" w:rsidRDefault="00A12B00" w:rsidP="00A12B00">
            <w:pPr>
              <w:rPr>
                <w:rFonts w:ascii="Arial" w:eastAsia="Calibri" w:hAnsi="Arial" w:cs="Arial"/>
                <w:i/>
                <w:sz w:val="20"/>
                <w:szCs w:val="20"/>
              </w:rPr>
            </w:pPr>
            <w:r w:rsidRPr="00A12B00">
              <w:rPr>
                <w:rFonts w:ascii="Arial" w:eastAsia="Calibri" w:hAnsi="Arial" w:cs="Arial"/>
                <w:i/>
                <w:sz w:val="20"/>
                <w:szCs w:val="20"/>
              </w:rPr>
              <w:t>Explosives Act 2003</w:t>
            </w:r>
          </w:p>
          <w:p w14:paraId="74A6044A" w14:textId="77777777" w:rsidR="00A12B00" w:rsidRPr="00A12B00" w:rsidRDefault="00A12B00" w:rsidP="00A12B00">
            <w:pPr>
              <w:rPr>
                <w:rFonts w:ascii="Arial" w:eastAsia="Calibri" w:hAnsi="Arial" w:cs="Arial"/>
                <w:i/>
                <w:sz w:val="20"/>
                <w:szCs w:val="20"/>
              </w:rPr>
            </w:pPr>
            <w:r w:rsidRPr="00A12B00">
              <w:rPr>
                <w:rFonts w:ascii="Arial" w:eastAsia="Calibri" w:hAnsi="Arial" w:cs="Arial"/>
                <w:i/>
                <w:sz w:val="20"/>
                <w:szCs w:val="20"/>
              </w:rPr>
              <w:t>Explosives Regulations 2013</w:t>
            </w:r>
          </w:p>
          <w:p w14:paraId="1FFF8970" w14:textId="77777777" w:rsidR="00A12B00" w:rsidRPr="00A12B00" w:rsidRDefault="00A12B00" w:rsidP="00A12B00">
            <w:pPr>
              <w:rPr>
                <w:rFonts w:ascii="Arial" w:eastAsia="Calibri" w:hAnsi="Arial" w:cs="Arial"/>
                <w:sz w:val="20"/>
                <w:szCs w:val="20"/>
              </w:rPr>
            </w:pPr>
            <w:r w:rsidRPr="00A12B00">
              <w:rPr>
                <w:rFonts w:ascii="Arial" w:eastAsia="Calibri" w:hAnsi="Arial" w:cs="Arial"/>
                <w:i/>
                <w:sz w:val="20"/>
                <w:szCs w:val="20"/>
              </w:rPr>
              <w:t>Work Health and Safety Act 2011</w:t>
            </w:r>
          </w:p>
        </w:tc>
      </w:tr>
      <w:tr w:rsidR="00A12B00" w:rsidRPr="00A12B00" w14:paraId="13DEF7F4" w14:textId="77777777" w:rsidTr="00A12B00">
        <w:tc>
          <w:tcPr>
            <w:tcW w:w="2830" w:type="dxa"/>
            <w:shd w:val="clear" w:color="auto" w:fill="FDE5CC"/>
            <w:vAlign w:val="center"/>
          </w:tcPr>
          <w:p w14:paraId="5887C56C" w14:textId="77777777" w:rsidR="00A12B00" w:rsidRPr="00A12B00" w:rsidRDefault="00A12B00" w:rsidP="00A12B00">
            <w:pPr>
              <w:jc w:val="center"/>
              <w:rPr>
                <w:rFonts w:ascii="Arial" w:eastAsia="Calibri" w:hAnsi="Arial" w:cs="Arial"/>
                <w:b/>
                <w:bCs/>
                <w:sz w:val="20"/>
                <w:szCs w:val="20"/>
              </w:rPr>
            </w:pPr>
            <w:r w:rsidRPr="00A12B00">
              <w:rPr>
                <w:rFonts w:ascii="Arial" w:eastAsia="Calibri" w:hAnsi="Arial" w:cs="Arial"/>
                <w:b/>
                <w:bCs/>
                <w:sz w:val="20"/>
                <w:szCs w:val="20"/>
              </w:rPr>
              <w:t>Northern Territory</w:t>
            </w:r>
          </w:p>
        </w:tc>
        <w:tc>
          <w:tcPr>
            <w:tcW w:w="6186" w:type="dxa"/>
          </w:tcPr>
          <w:p w14:paraId="6BADA875" w14:textId="77777777" w:rsidR="00A12B00" w:rsidRPr="00A12B00" w:rsidRDefault="00A12B00" w:rsidP="00A12B00">
            <w:pPr>
              <w:rPr>
                <w:rFonts w:ascii="Arial" w:eastAsia="Calibri" w:hAnsi="Arial" w:cs="Arial"/>
                <w:i/>
                <w:sz w:val="20"/>
                <w:szCs w:val="20"/>
              </w:rPr>
            </w:pPr>
            <w:r w:rsidRPr="00A12B00">
              <w:rPr>
                <w:rFonts w:ascii="Arial" w:eastAsia="Calibri" w:hAnsi="Arial" w:cs="Arial"/>
                <w:i/>
                <w:sz w:val="20"/>
                <w:szCs w:val="20"/>
              </w:rPr>
              <w:t>Dangerous Goods Act 2012</w:t>
            </w:r>
          </w:p>
          <w:p w14:paraId="002483BF" w14:textId="77777777" w:rsidR="00A12B00" w:rsidRPr="00A12B00" w:rsidRDefault="00A12B00" w:rsidP="00A12B00">
            <w:pPr>
              <w:rPr>
                <w:rFonts w:ascii="Arial" w:eastAsia="Calibri" w:hAnsi="Arial" w:cs="Arial"/>
                <w:sz w:val="20"/>
                <w:szCs w:val="20"/>
              </w:rPr>
            </w:pPr>
            <w:r w:rsidRPr="00A12B00">
              <w:rPr>
                <w:rFonts w:ascii="Arial" w:eastAsia="Calibri" w:hAnsi="Arial" w:cs="Arial"/>
                <w:i/>
                <w:sz w:val="20"/>
                <w:szCs w:val="20"/>
              </w:rPr>
              <w:t>Dangerous Goods Regulations 2018</w:t>
            </w:r>
          </w:p>
        </w:tc>
      </w:tr>
      <w:tr w:rsidR="00A12B00" w:rsidRPr="00A12B00" w14:paraId="62E5D8FF" w14:textId="77777777" w:rsidTr="00A12B00">
        <w:tc>
          <w:tcPr>
            <w:tcW w:w="2830" w:type="dxa"/>
            <w:shd w:val="clear" w:color="auto" w:fill="FDE5CC"/>
            <w:vAlign w:val="center"/>
          </w:tcPr>
          <w:p w14:paraId="6BDAFCA5" w14:textId="77777777" w:rsidR="00A12B00" w:rsidRPr="00A12B00" w:rsidRDefault="00A12B00" w:rsidP="00A12B00">
            <w:pPr>
              <w:jc w:val="center"/>
              <w:rPr>
                <w:rFonts w:ascii="Arial" w:eastAsia="Calibri" w:hAnsi="Arial" w:cs="Arial"/>
                <w:b/>
                <w:bCs/>
                <w:sz w:val="20"/>
                <w:szCs w:val="20"/>
              </w:rPr>
            </w:pPr>
            <w:r w:rsidRPr="00A12B00">
              <w:rPr>
                <w:rFonts w:ascii="Arial" w:eastAsia="Calibri" w:hAnsi="Arial" w:cs="Arial"/>
                <w:b/>
                <w:bCs/>
                <w:sz w:val="20"/>
                <w:szCs w:val="20"/>
              </w:rPr>
              <w:t>Queensland</w:t>
            </w:r>
          </w:p>
        </w:tc>
        <w:tc>
          <w:tcPr>
            <w:tcW w:w="6186" w:type="dxa"/>
          </w:tcPr>
          <w:p w14:paraId="4B1B2635" w14:textId="77777777" w:rsidR="00A12B00" w:rsidRPr="00A12B00" w:rsidRDefault="00A12B00" w:rsidP="00A12B00">
            <w:pPr>
              <w:tabs>
                <w:tab w:val="left" w:pos="987"/>
              </w:tabs>
              <w:rPr>
                <w:rFonts w:ascii="Arial" w:eastAsia="Calibri" w:hAnsi="Arial" w:cs="Arial"/>
                <w:i/>
                <w:sz w:val="20"/>
                <w:szCs w:val="20"/>
              </w:rPr>
            </w:pPr>
            <w:r w:rsidRPr="00A12B00">
              <w:rPr>
                <w:rFonts w:ascii="Arial" w:eastAsia="Calibri" w:hAnsi="Arial" w:cs="Arial"/>
                <w:i/>
                <w:sz w:val="20"/>
                <w:szCs w:val="20"/>
              </w:rPr>
              <w:t>Explosives Act 1999</w:t>
            </w:r>
            <w:r w:rsidRPr="00A12B00">
              <w:rPr>
                <w:rFonts w:ascii="Arial" w:eastAsia="Calibri" w:hAnsi="Arial" w:cs="Arial"/>
                <w:i/>
                <w:sz w:val="20"/>
                <w:szCs w:val="20"/>
                <w:vertAlign w:val="superscript"/>
              </w:rPr>
              <w:footnoteReference w:id="2"/>
            </w:r>
          </w:p>
          <w:p w14:paraId="6B958A41" w14:textId="77777777" w:rsidR="00A12B00" w:rsidRPr="00A12B00" w:rsidRDefault="00A12B00" w:rsidP="00A12B00">
            <w:pPr>
              <w:tabs>
                <w:tab w:val="left" w:pos="987"/>
              </w:tabs>
              <w:rPr>
                <w:rFonts w:ascii="Arial" w:eastAsia="Calibri" w:hAnsi="Arial" w:cs="Arial"/>
                <w:sz w:val="20"/>
                <w:szCs w:val="20"/>
              </w:rPr>
            </w:pPr>
            <w:r w:rsidRPr="00A12B00">
              <w:rPr>
                <w:rFonts w:ascii="Arial" w:eastAsia="Calibri" w:hAnsi="Arial" w:cs="Arial"/>
                <w:i/>
                <w:sz w:val="20"/>
                <w:szCs w:val="20"/>
              </w:rPr>
              <w:t>Explosives Regulations 2017</w:t>
            </w:r>
          </w:p>
        </w:tc>
      </w:tr>
      <w:tr w:rsidR="00A12B00" w:rsidRPr="00A12B00" w14:paraId="313DDD02" w14:textId="77777777" w:rsidTr="00A12B00">
        <w:tc>
          <w:tcPr>
            <w:tcW w:w="2830" w:type="dxa"/>
            <w:shd w:val="clear" w:color="auto" w:fill="FDE5CC"/>
            <w:vAlign w:val="center"/>
          </w:tcPr>
          <w:p w14:paraId="26C2925E" w14:textId="77777777" w:rsidR="00A12B00" w:rsidRPr="00A12B00" w:rsidRDefault="00A12B00" w:rsidP="00A12B00">
            <w:pPr>
              <w:jc w:val="center"/>
              <w:rPr>
                <w:rFonts w:ascii="Arial" w:eastAsia="Calibri" w:hAnsi="Arial" w:cs="Arial"/>
                <w:b/>
                <w:bCs/>
                <w:sz w:val="20"/>
                <w:szCs w:val="20"/>
              </w:rPr>
            </w:pPr>
            <w:r w:rsidRPr="00A12B00">
              <w:rPr>
                <w:rFonts w:ascii="Arial" w:eastAsia="Calibri" w:hAnsi="Arial" w:cs="Arial"/>
                <w:b/>
                <w:bCs/>
                <w:sz w:val="20"/>
                <w:szCs w:val="20"/>
              </w:rPr>
              <w:t>South Australia</w:t>
            </w:r>
          </w:p>
        </w:tc>
        <w:tc>
          <w:tcPr>
            <w:tcW w:w="6186" w:type="dxa"/>
          </w:tcPr>
          <w:p w14:paraId="1175F0ED" w14:textId="77777777" w:rsidR="00A12B00" w:rsidRPr="00A12B00" w:rsidRDefault="00A12B00" w:rsidP="00A12B00">
            <w:pPr>
              <w:rPr>
                <w:rFonts w:ascii="Arial" w:eastAsia="Calibri" w:hAnsi="Arial" w:cs="Arial"/>
                <w:i/>
                <w:sz w:val="20"/>
                <w:szCs w:val="20"/>
              </w:rPr>
            </w:pPr>
            <w:r w:rsidRPr="00A12B00">
              <w:rPr>
                <w:rFonts w:ascii="Arial" w:eastAsia="Calibri" w:hAnsi="Arial" w:cs="Arial"/>
                <w:i/>
                <w:sz w:val="20"/>
                <w:szCs w:val="20"/>
              </w:rPr>
              <w:t>Explosives Act 1936</w:t>
            </w:r>
          </w:p>
          <w:p w14:paraId="74A8603A" w14:textId="77777777" w:rsidR="00A12B00" w:rsidRPr="00A12B00" w:rsidRDefault="00A12B00" w:rsidP="00A12B00">
            <w:pPr>
              <w:rPr>
                <w:rFonts w:ascii="Arial" w:eastAsia="Calibri" w:hAnsi="Arial" w:cs="Arial"/>
                <w:i/>
                <w:sz w:val="20"/>
                <w:szCs w:val="20"/>
              </w:rPr>
            </w:pPr>
            <w:r w:rsidRPr="00A12B00">
              <w:rPr>
                <w:rFonts w:ascii="Arial" w:eastAsia="Calibri" w:hAnsi="Arial" w:cs="Arial"/>
                <w:i/>
                <w:sz w:val="20"/>
                <w:szCs w:val="20"/>
              </w:rPr>
              <w:t>Explosives Regulations 2011</w:t>
            </w:r>
          </w:p>
          <w:p w14:paraId="7A8090BF" w14:textId="77777777" w:rsidR="00A12B00" w:rsidRPr="00A12B00" w:rsidRDefault="00A12B00" w:rsidP="00A12B00">
            <w:pPr>
              <w:rPr>
                <w:rFonts w:ascii="Arial" w:eastAsia="Calibri" w:hAnsi="Arial" w:cs="Arial"/>
                <w:sz w:val="20"/>
                <w:szCs w:val="20"/>
              </w:rPr>
            </w:pPr>
            <w:r w:rsidRPr="00A12B00">
              <w:rPr>
                <w:rFonts w:ascii="Arial" w:eastAsia="Calibri" w:hAnsi="Arial" w:cs="Arial"/>
                <w:i/>
                <w:sz w:val="20"/>
                <w:szCs w:val="20"/>
              </w:rPr>
              <w:t>Explosives (Security Sensitive Substances) Regulations 2006</w:t>
            </w:r>
          </w:p>
        </w:tc>
      </w:tr>
      <w:tr w:rsidR="00A12B00" w:rsidRPr="00A12B00" w14:paraId="6DB60074" w14:textId="77777777" w:rsidTr="00A12B00">
        <w:tc>
          <w:tcPr>
            <w:tcW w:w="2830" w:type="dxa"/>
            <w:shd w:val="clear" w:color="auto" w:fill="FDE5CC"/>
            <w:vAlign w:val="center"/>
          </w:tcPr>
          <w:p w14:paraId="2D5465AD" w14:textId="77777777" w:rsidR="00A12B00" w:rsidRPr="00A12B00" w:rsidRDefault="00A12B00" w:rsidP="00A12B00">
            <w:pPr>
              <w:jc w:val="center"/>
              <w:rPr>
                <w:rFonts w:ascii="Arial" w:eastAsia="Calibri" w:hAnsi="Arial" w:cs="Arial"/>
                <w:b/>
                <w:bCs/>
                <w:sz w:val="20"/>
                <w:szCs w:val="20"/>
              </w:rPr>
            </w:pPr>
            <w:r w:rsidRPr="00A12B00">
              <w:rPr>
                <w:rFonts w:ascii="Arial" w:eastAsia="Calibri" w:hAnsi="Arial" w:cs="Arial"/>
                <w:b/>
                <w:bCs/>
                <w:sz w:val="20"/>
                <w:szCs w:val="20"/>
              </w:rPr>
              <w:t>Tasmania</w:t>
            </w:r>
          </w:p>
        </w:tc>
        <w:tc>
          <w:tcPr>
            <w:tcW w:w="6186" w:type="dxa"/>
          </w:tcPr>
          <w:p w14:paraId="19CD706C" w14:textId="77777777" w:rsidR="00A12B00" w:rsidRPr="00A12B00" w:rsidRDefault="00A12B00" w:rsidP="00A12B00">
            <w:pPr>
              <w:rPr>
                <w:rFonts w:ascii="Arial" w:eastAsia="Calibri" w:hAnsi="Arial" w:cs="Arial"/>
                <w:i/>
                <w:sz w:val="20"/>
                <w:szCs w:val="20"/>
              </w:rPr>
            </w:pPr>
            <w:r w:rsidRPr="00A12B00">
              <w:rPr>
                <w:rFonts w:ascii="Arial" w:eastAsia="Calibri" w:hAnsi="Arial" w:cs="Arial"/>
                <w:i/>
                <w:sz w:val="20"/>
                <w:szCs w:val="20"/>
              </w:rPr>
              <w:t>Explosives Act 2012</w:t>
            </w:r>
          </w:p>
          <w:p w14:paraId="795E9927" w14:textId="77777777" w:rsidR="00A12B00" w:rsidRPr="00A12B00" w:rsidRDefault="00A12B00" w:rsidP="00A12B00">
            <w:pPr>
              <w:rPr>
                <w:rFonts w:ascii="Arial" w:eastAsia="Calibri" w:hAnsi="Arial" w:cs="Arial"/>
                <w:i/>
                <w:sz w:val="20"/>
                <w:szCs w:val="20"/>
              </w:rPr>
            </w:pPr>
            <w:r w:rsidRPr="00A12B00">
              <w:rPr>
                <w:rFonts w:ascii="Arial" w:eastAsia="Calibri" w:hAnsi="Arial" w:cs="Arial"/>
                <w:i/>
                <w:sz w:val="20"/>
                <w:szCs w:val="20"/>
              </w:rPr>
              <w:t>Explosives Regulations 2012</w:t>
            </w:r>
          </w:p>
          <w:p w14:paraId="3D2656AB" w14:textId="77777777" w:rsidR="00A12B00" w:rsidRPr="00A12B00" w:rsidRDefault="00A12B00" w:rsidP="00A12B00">
            <w:pPr>
              <w:rPr>
                <w:rFonts w:ascii="Arial" w:eastAsia="Calibri" w:hAnsi="Arial" w:cs="Arial"/>
                <w:i/>
                <w:sz w:val="20"/>
                <w:szCs w:val="20"/>
              </w:rPr>
            </w:pPr>
            <w:r w:rsidRPr="00A12B00">
              <w:rPr>
                <w:rFonts w:ascii="Arial" w:eastAsia="Calibri" w:hAnsi="Arial" w:cs="Arial"/>
                <w:i/>
                <w:sz w:val="20"/>
                <w:szCs w:val="20"/>
              </w:rPr>
              <w:t>Dangerous Goods (Road and Rail Transport) Act 2010</w:t>
            </w:r>
          </w:p>
          <w:p w14:paraId="02D7AE60" w14:textId="77777777" w:rsidR="00A12B00" w:rsidRPr="00A12B00" w:rsidRDefault="00A12B00" w:rsidP="00A12B00">
            <w:pPr>
              <w:rPr>
                <w:rFonts w:ascii="Arial" w:eastAsia="Calibri" w:hAnsi="Arial" w:cs="Arial"/>
                <w:i/>
                <w:sz w:val="20"/>
                <w:szCs w:val="20"/>
              </w:rPr>
            </w:pPr>
            <w:r w:rsidRPr="00A12B00">
              <w:rPr>
                <w:rFonts w:ascii="Arial" w:eastAsia="Calibri" w:hAnsi="Arial" w:cs="Arial"/>
                <w:i/>
                <w:sz w:val="20"/>
                <w:szCs w:val="20"/>
              </w:rPr>
              <w:t>Dangerous Goods (Road and Rail Transport) Regulations 2010</w:t>
            </w:r>
          </w:p>
          <w:p w14:paraId="27493A98" w14:textId="77777777" w:rsidR="00A12B00" w:rsidRPr="00A12B00" w:rsidRDefault="00A12B00" w:rsidP="00A12B00">
            <w:pPr>
              <w:rPr>
                <w:rFonts w:ascii="Arial" w:eastAsia="Calibri" w:hAnsi="Arial" w:cs="Arial"/>
                <w:i/>
                <w:sz w:val="20"/>
                <w:szCs w:val="20"/>
              </w:rPr>
            </w:pPr>
            <w:r w:rsidRPr="00A12B00">
              <w:rPr>
                <w:rFonts w:ascii="Arial" w:eastAsia="Calibri" w:hAnsi="Arial" w:cs="Arial"/>
                <w:i/>
                <w:sz w:val="20"/>
                <w:szCs w:val="20"/>
              </w:rPr>
              <w:t>Security-sensitive Dangerous Substances Act 2005</w:t>
            </w:r>
          </w:p>
          <w:p w14:paraId="3F59A905" w14:textId="77777777" w:rsidR="00A12B00" w:rsidRPr="00A12B00" w:rsidRDefault="00A12B00" w:rsidP="00A12B00">
            <w:pPr>
              <w:rPr>
                <w:rFonts w:ascii="Arial" w:eastAsia="Calibri" w:hAnsi="Arial" w:cs="Arial"/>
                <w:sz w:val="20"/>
                <w:szCs w:val="20"/>
              </w:rPr>
            </w:pPr>
            <w:r w:rsidRPr="00A12B00">
              <w:rPr>
                <w:rFonts w:ascii="Arial" w:eastAsia="Calibri" w:hAnsi="Arial" w:cs="Arial"/>
                <w:i/>
                <w:sz w:val="20"/>
                <w:szCs w:val="20"/>
              </w:rPr>
              <w:t>Security-sensitive Dangerous Substances Regulations 2015</w:t>
            </w:r>
          </w:p>
        </w:tc>
      </w:tr>
      <w:tr w:rsidR="00A12B00" w:rsidRPr="00A12B00" w14:paraId="12844676" w14:textId="77777777" w:rsidTr="00A12B00">
        <w:tc>
          <w:tcPr>
            <w:tcW w:w="2830" w:type="dxa"/>
            <w:shd w:val="clear" w:color="auto" w:fill="FDE5CC"/>
            <w:vAlign w:val="center"/>
          </w:tcPr>
          <w:p w14:paraId="7A3C4199" w14:textId="77777777" w:rsidR="00A12B00" w:rsidRPr="00A12B00" w:rsidRDefault="00A12B00" w:rsidP="00A12B00">
            <w:pPr>
              <w:jc w:val="center"/>
              <w:rPr>
                <w:rFonts w:ascii="Arial" w:eastAsia="Calibri" w:hAnsi="Arial" w:cs="Arial"/>
                <w:b/>
                <w:bCs/>
                <w:sz w:val="20"/>
                <w:szCs w:val="20"/>
              </w:rPr>
            </w:pPr>
            <w:r w:rsidRPr="00A12B00">
              <w:rPr>
                <w:rFonts w:ascii="Arial" w:eastAsia="Calibri" w:hAnsi="Arial" w:cs="Arial"/>
                <w:b/>
                <w:bCs/>
                <w:sz w:val="20"/>
                <w:szCs w:val="20"/>
              </w:rPr>
              <w:t>Victoria</w:t>
            </w:r>
          </w:p>
        </w:tc>
        <w:tc>
          <w:tcPr>
            <w:tcW w:w="6186" w:type="dxa"/>
          </w:tcPr>
          <w:p w14:paraId="74AD744E" w14:textId="77777777" w:rsidR="00A12B00" w:rsidRPr="00A12B00" w:rsidRDefault="00A12B00" w:rsidP="00A12B00">
            <w:pPr>
              <w:rPr>
                <w:rFonts w:ascii="Arial" w:eastAsia="Calibri" w:hAnsi="Arial" w:cs="Arial"/>
                <w:i/>
                <w:sz w:val="20"/>
                <w:szCs w:val="20"/>
              </w:rPr>
            </w:pPr>
            <w:r w:rsidRPr="00A12B00">
              <w:rPr>
                <w:rFonts w:ascii="Arial" w:eastAsia="Calibri" w:hAnsi="Arial" w:cs="Arial"/>
                <w:i/>
                <w:sz w:val="20"/>
                <w:szCs w:val="20"/>
              </w:rPr>
              <w:t>Dangerous Goods Act 1985</w:t>
            </w:r>
          </w:p>
          <w:p w14:paraId="3D53B991" w14:textId="77777777" w:rsidR="00A12B00" w:rsidRPr="00A12B00" w:rsidRDefault="00A12B00" w:rsidP="00A12B00">
            <w:pPr>
              <w:rPr>
                <w:rFonts w:ascii="Arial" w:eastAsia="Calibri" w:hAnsi="Arial" w:cs="Arial"/>
                <w:i/>
                <w:sz w:val="20"/>
                <w:szCs w:val="20"/>
              </w:rPr>
            </w:pPr>
            <w:r w:rsidRPr="00A12B00">
              <w:rPr>
                <w:rFonts w:ascii="Arial" w:eastAsia="Calibri" w:hAnsi="Arial" w:cs="Arial"/>
                <w:i/>
                <w:sz w:val="20"/>
                <w:szCs w:val="20"/>
              </w:rPr>
              <w:t>Dangerous Goods (Explosives) Regulations 2011</w:t>
            </w:r>
          </w:p>
          <w:p w14:paraId="5002B270" w14:textId="77777777" w:rsidR="00A12B00" w:rsidRPr="00A12B00" w:rsidRDefault="00A12B00" w:rsidP="00A12B00">
            <w:pPr>
              <w:rPr>
                <w:rFonts w:ascii="Arial" w:eastAsia="Calibri" w:hAnsi="Arial" w:cs="Arial"/>
                <w:sz w:val="20"/>
                <w:szCs w:val="20"/>
              </w:rPr>
            </w:pPr>
            <w:r w:rsidRPr="00A12B00">
              <w:rPr>
                <w:rFonts w:ascii="Arial" w:eastAsia="Calibri" w:hAnsi="Arial" w:cs="Arial"/>
                <w:i/>
                <w:sz w:val="20"/>
                <w:szCs w:val="20"/>
              </w:rPr>
              <w:t>Dangerous Goods (HCDG) Regulations 2016</w:t>
            </w:r>
          </w:p>
        </w:tc>
      </w:tr>
      <w:tr w:rsidR="00A12B00" w:rsidRPr="00A12B00" w14:paraId="5D7E64EB" w14:textId="77777777" w:rsidTr="00A12B00">
        <w:tc>
          <w:tcPr>
            <w:tcW w:w="2830" w:type="dxa"/>
            <w:shd w:val="clear" w:color="auto" w:fill="FDE5CC"/>
            <w:vAlign w:val="center"/>
          </w:tcPr>
          <w:p w14:paraId="778FD330" w14:textId="77777777" w:rsidR="00A12B00" w:rsidRPr="00A12B00" w:rsidRDefault="00A12B00" w:rsidP="00A12B00">
            <w:pPr>
              <w:jc w:val="center"/>
              <w:rPr>
                <w:rFonts w:ascii="Arial" w:eastAsia="Calibri" w:hAnsi="Arial" w:cs="Arial"/>
                <w:b/>
                <w:bCs/>
                <w:sz w:val="20"/>
                <w:szCs w:val="20"/>
              </w:rPr>
            </w:pPr>
            <w:r w:rsidRPr="00A12B00">
              <w:rPr>
                <w:rFonts w:ascii="Arial" w:eastAsia="Calibri" w:hAnsi="Arial" w:cs="Arial"/>
                <w:b/>
                <w:bCs/>
                <w:sz w:val="20"/>
                <w:szCs w:val="20"/>
              </w:rPr>
              <w:t>Western Australia</w:t>
            </w:r>
          </w:p>
        </w:tc>
        <w:tc>
          <w:tcPr>
            <w:tcW w:w="6186" w:type="dxa"/>
          </w:tcPr>
          <w:p w14:paraId="63A5CCB9" w14:textId="77777777" w:rsidR="00A12B00" w:rsidRPr="00A12B00" w:rsidRDefault="00A12B00" w:rsidP="00A12B00">
            <w:pPr>
              <w:rPr>
                <w:rFonts w:ascii="Arial" w:eastAsia="Calibri" w:hAnsi="Arial" w:cs="Arial"/>
                <w:i/>
                <w:sz w:val="20"/>
                <w:szCs w:val="20"/>
              </w:rPr>
            </w:pPr>
            <w:r w:rsidRPr="00A12B00">
              <w:rPr>
                <w:rFonts w:ascii="Arial" w:eastAsia="Calibri" w:hAnsi="Arial" w:cs="Arial"/>
                <w:i/>
                <w:sz w:val="20"/>
                <w:szCs w:val="20"/>
              </w:rPr>
              <w:t>Dangerous Goods (HCDG) Regulations 2016</w:t>
            </w:r>
          </w:p>
          <w:p w14:paraId="6AABD1CF" w14:textId="77777777" w:rsidR="00A12B00" w:rsidRPr="00A12B00" w:rsidRDefault="00A12B00" w:rsidP="00A12B00">
            <w:pPr>
              <w:rPr>
                <w:rFonts w:ascii="Arial" w:eastAsia="Calibri" w:hAnsi="Arial" w:cs="Arial"/>
                <w:i/>
                <w:sz w:val="20"/>
                <w:szCs w:val="20"/>
              </w:rPr>
            </w:pPr>
            <w:r w:rsidRPr="00A12B00">
              <w:rPr>
                <w:rFonts w:ascii="Arial" w:eastAsia="Calibri" w:hAnsi="Arial" w:cs="Arial"/>
                <w:i/>
                <w:sz w:val="20"/>
                <w:szCs w:val="20"/>
              </w:rPr>
              <w:t>Dangerous Goods Safety (General) Regulations 2007</w:t>
            </w:r>
          </w:p>
          <w:p w14:paraId="5C9CF506" w14:textId="77777777" w:rsidR="00A12B00" w:rsidRPr="00A12B00" w:rsidRDefault="00A12B00" w:rsidP="00A12B00">
            <w:pPr>
              <w:rPr>
                <w:rFonts w:ascii="Arial" w:eastAsia="Calibri" w:hAnsi="Arial" w:cs="Arial"/>
                <w:i/>
                <w:sz w:val="20"/>
                <w:szCs w:val="20"/>
              </w:rPr>
            </w:pPr>
            <w:r w:rsidRPr="00A12B00">
              <w:rPr>
                <w:rFonts w:ascii="Arial" w:eastAsia="Calibri" w:hAnsi="Arial" w:cs="Arial"/>
                <w:i/>
                <w:sz w:val="20"/>
                <w:szCs w:val="20"/>
              </w:rPr>
              <w:t>Dangerous Goods Safety (Explosives) Regulations 2007</w:t>
            </w:r>
          </w:p>
          <w:p w14:paraId="0C70C691" w14:textId="77777777" w:rsidR="00A12B00" w:rsidRPr="00A12B00" w:rsidRDefault="00A12B00" w:rsidP="00A12B00">
            <w:pPr>
              <w:rPr>
                <w:rFonts w:ascii="Arial" w:eastAsia="Calibri" w:hAnsi="Arial" w:cs="Arial"/>
                <w:sz w:val="20"/>
                <w:szCs w:val="20"/>
              </w:rPr>
            </w:pPr>
            <w:r w:rsidRPr="00A12B00">
              <w:rPr>
                <w:rFonts w:ascii="Arial" w:eastAsia="Calibri" w:hAnsi="Arial" w:cs="Arial"/>
                <w:i/>
                <w:sz w:val="20"/>
                <w:szCs w:val="20"/>
              </w:rPr>
              <w:t>Dangerous Goods Safety (Security Sensitive Ammonium Nitrate) Regulations 2007</w:t>
            </w:r>
          </w:p>
        </w:tc>
      </w:tr>
    </w:tbl>
    <w:p w14:paraId="54F266B5" w14:textId="77777777" w:rsidR="00A12B00" w:rsidRPr="00A12B00" w:rsidRDefault="00A12B00" w:rsidP="00A12B00">
      <w:pPr>
        <w:spacing w:before="160" w:line="240" w:lineRule="auto"/>
        <w:rPr>
          <w:rFonts w:ascii="Arial" w:eastAsia="Calibri" w:hAnsi="Arial" w:cs="Arial"/>
        </w:rPr>
      </w:pPr>
      <w:r w:rsidRPr="00A12B00">
        <w:rPr>
          <w:rFonts w:ascii="Arial" w:eastAsia="Calibri" w:hAnsi="Arial" w:cs="Arial"/>
        </w:rPr>
        <w:lastRenderedPageBreak/>
        <w:t xml:space="preserve">These instruments, in many instances, diverge from the Commonwealth explosives regulatory regime and from each other in several ways, including across: </w:t>
      </w:r>
    </w:p>
    <w:p w14:paraId="725B17B3" w14:textId="77777777" w:rsidR="00A12B00" w:rsidRPr="00A12B00" w:rsidRDefault="00A12B00" w:rsidP="00A16B8A">
      <w:pPr>
        <w:numPr>
          <w:ilvl w:val="0"/>
          <w:numId w:val="19"/>
        </w:numPr>
        <w:spacing w:before="160" w:line="240" w:lineRule="auto"/>
        <w:ind w:left="357" w:hanging="357"/>
        <w:contextualSpacing/>
        <w:rPr>
          <w:rFonts w:ascii="Arial" w:eastAsia="Calibri" w:hAnsi="Arial" w:cs="Arial"/>
        </w:rPr>
      </w:pPr>
      <w:r w:rsidRPr="00A12B00">
        <w:rPr>
          <w:rFonts w:ascii="Arial" w:eastAsia="Calibri" w:hAnsi="Arial" w:cs="Arial"/>
        </w:rPr>
        <w:t xml:space="preserve">The definition of explosives; </w:t>
      </w:r>
    </w:p>
    <w:p w14:paraId="2BA92816" w14:textId="77777777" w:rsidR="00A12B00" w:rsidRPr="00A12B00" w:rsidRDefault="00A12B00" w:rsidP="00A16B8A">
      <w:pPr>
        <w:numPr>
          <w:ilvl w:val="0"/>
          <w:numId w:val="19"/>
        </w:numPr>
        <w:spacing w:before="240" w:line="240" w:lineRule="auto"/>
        <w:contextualSpacing/>
        <w:rPr>
          <w:rFonts w:ascii="Arial" w:eastAsia="Calibri" w:hAnsi="Arial" w:cs="Arial"/>
        </w:rPr>
      </w:pPr>
      <w:r w:rsidRPr="00A12B00">
        <w:rPr>
          <w:rFonts w:ascii="Arial" w:eastAsia="Calibri" w:hAnsi="Arial" w:cs="Arial"/>
        </w:rPr>
        <w:t xml:space="preserve">Licensing arrangements; </w:t>
      </w:r>
    </w:p>
    <w:p w14:paraId="1373A9CA" w14:textId="77777777" w:rsidR="00A12B00" w:rsidRPr="00A12B00" w:rsidRDefault="00A12B00" w:rsidP="00A16B8A">
      <w:pPr>
        <w:numPr>
          <w:ilvl w:val="0"/>
          <w:numId w:val="19"/>
        </w:numPr>
        <w:spacing w:before="240" w:line="240" w:lineRule="auto"/>
        <w:contextualSpacing/>
        <w:rPr>
          <w:rFonts w:ascii="Arial" w:eastAsia="Calibri" w:hAnsi="Arial" w:cs="Arial"/>
        </w:rPr>
      </w:pPr>
      <w:r w:rsidRPr="00A12B00">
        <w:rPr>
          <w:rFonts w:ascii="Arial" w:eastAsia="Calibri" w:hAnsi="Arial" w:cs="Arial"/>
        </w:rPr>
        <w:t xml:space="preserve">Rules about conduct; </w:t>
      </w:r>
    </w:p>
    <w:p w14:paraId="57455D09" w14:textId="77777777" w:rsidR="00A12B00" w:rsidRPr="00A12B00" w:rsidRDefault="00A12B00" w:rsidP="00A16B8A">
      <w:pPr>
        <w:numPr>
          <w:ilvl w:val="0"/>
          <w:numId w:val="19"/>
        </w:numPr>
        <w:spacing w:before="240" w:line="240" w:lineRule="auto"/>
        <w:contextualSpacing/>
        <w:rPr>
          <w:rFonts w:ascii="Arial" w:eastAsia="Calibri" w:hAnsi="Arial" w:cs="Arial"/>
        </w:rPr>
      </w:pPr>
      <w:r w:rsidRPr="00A12B00">
        <w:rPr>
          <w:rFonts w:ascii="Arial" w:eastAsia="Calibri" w:hAnsi="Arial" w:cs="Arial"/>
        </w:rPr>
        <w:t xml:space="preserve">Recognition of interstate licenses and permits; </w:t>
      </w:r>
    </w:p>
    <w:p w14:paraId="1B0EF405" w14:textId="77777777" w:rsidR="00A12B00" w:rsidRPr="00A12B00" w:rsidRDefault="00A12B00" w:rsidP="00A16B8A">
      <w:pPr>
        <w:numPr>
          <w:ilvl w:val="0"/>
          <w:numId w:val="19"/>
        </w:numPr>
        <w:spacing w:before="240" w:line="240" w:lineRule="auto"/>
        <w:contextualSpacing/>
        <w:rPr>
          <w:rFonts w:ascii="Arial" w:eastAsia="Calibri" w:hAnsi="Arial" w:cs="Arial"/>
        </w:rPr>
      </w:pPr>
      <w:r w:rsidRPr="00A12B00">
        <w:rPr>
          <w:rFonts w:ascii="Arial" w:eastAsia="Calibri" w:hAnsi="Arial" w:cs="Arial"/>
        </w:rPr>
        <w:t xml:space="preserve">Notification processes; and </w:t>
      </w:r>
    </w:p>
    <w:p w14:paraId="5FFEC6FB" w14:textId="698A28F0" w:rsidR="00E44A22" w:rsidRPr="00E44A22" w:rsidRDefault="00A12B00" w:rsidP="00A16B8A">
      <w:pPr>
        <w:numPr>
          <w:ilvl w:val="0"/>
          <w:numId w:val="19"/>
        </w:numPr>
        <w:spacing w:line="240" w:lineRule="auto"/>
        <w:ind w:left="357" w:hanging="357"/>
        <w:rPr>
          <w:rFonts w:ascii="Arial" w:eastAsia="Calibri" w:hAnsi="Arial" w:cs="Arial"/>
        </w:rPr>
      </w:pPr>
      <w:r w:rsidRPr="00A12B00">
        <w:rPr>
          <w:rFonts w:ascii="Arial" w:eastAsia="Calibri" w:hAnsi="Arial" w:cs="Arial"/>
        </w:rPr>
        <w:t xml:space="preserve">The application of standards and codes. </w:t>
      </w:r>
    </w:p>
    <w:p w14:paraId="43E87EAB" w14:textId="016C883F" w:rsidR="00A12B00" w:rsidRPr="00A12B00" w:rsidRDefault="00A12B00" w:rsidP="00E44A22">
      <w:pPr>
        <w:spacing w:before="160" w:line="240" w:lineRule="auto"/>
        <w:rPr>
          <w:rFonts w:ascii="Arial" w:eastAsia="Calibri" w:hAnsi="Arial" w:cs="Arial"/>
        </w:rPr>
      </w:pPr>
      <w:r w:rsidRPr="00A12B00">
        <w:rPr>
          <w:rFonts w:ascii="Arial" w:eastAsia="Calibri" w:hAnsi="Arial" w:cs="Arial"/>
        </w:rPr>
        <w:t xml:space="preserve">The implications of these inconsistencies are discussed </w:t>
      </w:r>
      <w:r w:rsidR="00130215">
        <w:rPr>
          <w:rFonts w:ascii="Arial" w:eastAsia="Calibri" w:hAnsi="Arial" w:cs="Arial"/>
        </w:rPr>
        <w:t>further in Section 1</w:t>
      </w:r>
      <w:r w:rsidRPr="00A12B00">
        <w:rPr>
          <w:rFonts w:ascii="Arial" w:eastAsia="Calibri" w:hAnsi="Arial" w:cs="Arial"/>
        </w:rPr>
        <w:t xml:space="preserve"> below. </w:t>
      </w:r>
    </w:p>
    <w:p w14:paraId="4950323F" w14:textId="3B6C5788" w:rsidR="00A12B00" w:rsidRPr="00A12B00" w:rsidRDefault="00A12B00" w:rsidP="00A12B00">
      <w:pPr>
        <w:spacing w:before="120" w:after="120" w:line="240" w:lineRule="auto"/>
        <w:rPr>
          <w:rFonts w:ascii="Arial" w:eastAsia="Calibri" w:hAnsi="Arial" w:cs="Arial"/>
        </w:rPr>
      </w:pPr>
      <w:r w:rsidRPr="00A12B00">
        <w:rPr>
          <w:rFonts w:ascii="Arial" w:eastAsia="Calibri" w:hAnsi="Arial" w:cs="Arial"/>
        </w:rPr>
        <w:t xml:space="preserve">In addition to the specific explosives regimes administered by each state and territory, these jurisdictions’ work health and safety (WHS), or occupational health and safety (OHS) regimes also apply, at times, to Commonwealth explosives. The </w:t>
      </w:r>
      <w:r w:rsidRPr="00A12B00">
        <w:rPr>
          <w:rFonts w:ascii="Arial" w:eastAsia="Calibri" w:hAnsi="Arial" w:cs="Arial"/>
          <w:i/>
          <w:iCs/>
        </w:rPr>
        <w:t>Work Health and Safety Act 2011</w:t>
      </w:r>
      <w:r w:rsidRPr="00A12B00">
        <w:rPr>
          <w:rFonts w:ascii="Arial" w:eastAsia="Calibri" w:hAnsi="Arial" w:cs="Arial"/>
        </w:rPr>
        <w:t xml:space="preserve"> (</w:t>
      </w:r>
      <w:proofErr w:type="spellStart"/>
      <w:r w:rsidRPr="00A12B00">
        <w:rPr>
          <w:rFonts w:ascii="Arial" w:eastAsia="Calibri" w:hAnsi="Arial" w:cs="Arial"/>
        </w:rPr>
        <w:t>Cth</w:t>
      </w:r>
      <w:proofErr w:type="spellEnd"/>
      <w:r w:rsidRPr="00A12B00">
        <w:rPr>
          <w:rFonts w:ascii="Arial" w:eastAsia="Calibri" w:hAnsi="Arial" w:cs="Arial"/>
        </w:rPr>
        <w:t>) (‘the WHS Act’) implements model WHS laws within the Commonwealth jurisdiction. To date, the Australian Capital Territory, New South Wales, the Northern Territory, Queensland, South Australia, and Tasmania have passed laws (with some variations) to mirror the WHS Act. Western Australia’s WHS Act is expected to commenc</w:t>
      </w:r>
      <w:r w:rsidR="00DD1B24">
        <w:rPr>
          <w:rFonts w:ascii="Arial" w:eastAsia="Calibri" w:hAnsi="Arial" w:cs="Arial"/>
        </w:rPr>
        <w:t>e</w:t>
      </w:r>
      <w:r w:rsidRPr="00A12B00">
        <w:rPr>
          <w:rFonts w:ascii="Arial" w:eastAsia="Calibri" w:hAnsi="Arial" w:cs="Arial"/>
        </w:rPr>
        <w:t xml:space="preserve"> in January 2022 and mirror</w:t>
      </w:r>
      <w:r w:rsidR="00DD1B24">
        <w:rPr>
          <w:rFonts w:ascii="Arial" w:eastAsia="Calibri" w:hAnsi="Arial" w:cs="Arial"/>
        </w:rPr>
        <w:t>s</w:t>
      </w:r>
      <w:r w:rsidRPr="00A12B00">
        <w:rPr>
          <w:rFonts w:ascii="Arial" w:eastAsia="Calibri" w:hAnsi="Arial" w:cs="Arial"/>
        </w:rPr>
        <w:t xml:space="preserve"> (at least in part) the Commonwealth WHS Act.</w:t>
      </w:r>
    </w:p>
    <w:p w14:paraId="5AEB564C" w14:textId="4FE50C22" w:rsidR="00A12B00" w:rsidRPr="00A12B00" w:rsidRDefault="00242104" w:rsidP="00242104">
      <w:pPr>
        <w:spacing w:before="160" w:line="240" w:lineRule="auto"/>
        <w:rPr>
          <w:rFonts w:ascii="Arial" w:eastAsia="Calibri" w:hAnsi="Arial" w:cs="Arial"/>
        </w:rPr>
      </w:pPr>
      <w:r w:rsidRPr="00A12B00">
        <w:rPr>
          <w:rFonts w:ascii="Calibri" w:eastAsia="Calibri" w:hAnsi="Calibri" w:cs="Times New Roman"/>
          <w:noProof/>
          <w:lang w:eastAsia="en-AU"/>
        </w:rPr>
        <mc:AlternateContent>
          <mc:Choice Requires="wps">
            <w:drawing>
              <wp:anchor distT="0" distB="0" distL="114300" distR="114300" simplePos="0" relativeHeight="251664384" behindDoc="0" locked="0" layoutInCell="1" allowOverlap="1" wp14:anchorId="0E85DC42" wp14:editId="33E2F936">
                <wp:simplePos x="0" y="0"/>
                <wp:positionH relativeFrom="margin">
                  <wp:align>left</wp:align>
                </wp:positionH>
                <wp:positionV relativeFrom="paragraph">
                  <wp:posOffset>751205</wp:posOffset>
                </wp:positionV>
                <wp:extent cx="4351655" cy="151765"/>
                <wp:effectExtent l="0" t="0" r="0" b="635"/>
                <wp:wrapSquare wrapText="bothSides"/>
                <wp:docPr id="19" name="Text Box 19"/>
                <wp:cNvGraphicFramePr/>
                <a:graphic xmlns:a="http://schemas.openxmlformats.org/drawingml/2006/main">
                  <a:graphicData uri="http://schemas.microsoft.com/office/word/2010/wordprocessingShape">
                    <wps:wsp>
                      <wps:cNvSpPr txBox="1"/>
                      <wps:spPr>
                        <a:xfrm>
                          <a:off x="0" y="0"/>
                          <a:ext cx="4351655" cy="151765"/>
                        </a:xfrm>
                        <a:prstGeom prst="rect">
                          <a:avLst/>
                        </a:prstGeom>
                        <a:solidFill>
                          <a:prstClr val="white"/>
                        </a:solidFill>
                        <a:ln>
                          <a:noFill/>
                        </a:ln>
                      </wps:spPr>
                      <wps:txbx>
                        <w:txbxContent>
                          <w:p w14:paraId="12FA9F01" w14:textId="5E01C8E4" w:rsidR="00B3427F" w:rsidRPr="00242104" w:rsidRDefault="00B3427F" w:rsidP="00A12B00">
                            <w:pPr>
                              <w:pStyle w:val="Caption1"/>
                              <w:spacing w:after="0"/>
                              <w:rPr>
                                <w:rFonts w:ascii="Arial" w:hAnsi="Arial" w:cs="Arial"/>
                                <w:noProof/>
                                <w:color w:val="auto"/>
                                <w:sz w:val="16"/>
                                <w:szCs w:val="16"/>
                              </w:rPr>
                            </w:pPr>
                            <w:bookmarkStart w:id="9" w:name="_Toc90385831"/>
                            <w:r w:rsidRPr="00242104">
                              <w:rPr>
                                <w:rFonts w:ascii="Arial" w:hAnsi="Arial" w:cs="Arial"/>
                                <w:b/>
                                <w:bCs/>
                                <w:color w:val="auto"/>
                                <w:sz w:val="16"/>
                                <w:szCs w:val="16"/>
                              </w:rPr>
                              <w:t xml:space="preserve">Figure </w:t>
                            </w:r>
                            <w:r>
                              <w:rPr>
                                <w:rFonts w:ascii="Arial" w:hAnsi="Arial" w:cs="Arial"/>
                                <w:b/>
                                <w:bCs/>
                                <w:color w:val="auto"/>
                                <w:sz w:val="16"/>
                                <w:szCs w:val="16"/>
                              </w:rPr>
                              <w:fldChar w:fldCharType="begin"/>
                            </w:r>
                            <w:r>
                              <w:rPr>
                                <w:rFonts w:ascii="Arial" w:hAnsi="Arial" w:cs="Arial"/>
                                <w:b/>
                                <w:bCs/>
                                <w:color w:val="auto"/>
                                <w:sz w:val="16"/>
                                <w:szCs w:val="16"/>
                              </w:rPr>
                              <w:instrText xml:space="preserve"> SEQ Figure \* ARABIC </w:instrText>
                            </w:r>
                            <w:r>
                              <w:rPr>
                                <w:rFonts w:ascii="Arial" w:hAnsi="Arial" w:cs="Arial"/>
                                <w:b/>
                                <w:bCs/>
                                <w:color w:val="auto"/>
                                <w:sz w:val="16"/>
                                <w:szCs w:val="16"/>
                              </w:rPr>
                              <w:fldChar w:fldCharType="separate"/>
                            </w:r>
                            <w:r>
                              <w:rPr>
                                <w:rFonts w:ascii="Arial" w:hAnsi="Arial" w:cs="Arial"/>
                                <w:b/>
                                <w:bCs/>
                                <w:noProof/>
                                <w:color w:val="auto"/>
                                <w:sz w:val="16"/>
                                <w:szCs w:val="16"/>
                              </w:rPr>
                              <w:t>3</w:t>
                            </w:r>
                            <w:r>
                              <w:rPr>
                                <w:rFonts w:ascii="Arial" w:hAnsi="Arial" w:cs="Arial"/>
                                <w:b/>
                                <w:bCs/>
                                <w:color w:val="auto"/>
                                <w:sz w:val="16"/>
                                <w:szCs w:val="16"/>
                              </w:rPr>
                              <w:fldChar w:fldCharType="end"/>
                            </w:r>
                            <w:r w:rsidRPr="00242104">
                              <w:rPr>
                                <w:rFonts w:ascii="Arial" w:hAnsi="Arial" w:cs="Arial"/>
                                <w:b/>
                                <w:bCs/>
                                <w:color w:val="auto"/>
                                <w:sz w:val="16"/>
                                <w:szCs w:val="16"/>
                              </w:rPr>
                              <w:t>:</w:t>
                            </w:r>
                            <w:r w:rsidRPr="00242104">
                              <w:rPr>
                                <w:rFonts w:ascii="Arial" w:hAnsi="Arial" w:cs="Arial"/>
                                <w:color w:val="auto"/>
                                <w:sz w:val="16"/>
                                <w:szCs w:val="16"/>
                              </w:rPr>
                              <w:t xml:space="preserve"> Overview of Model WHS Law Development</w:t>
                            </w:r>
                            <w:bookmarkEnd w:id="9"/>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E85DC42" id="Text Box 19" o:spid="_x0000_s1031" type="#_x0000_t202" style="position:absolute;margin-left:0;margin-top:59.15pt;width:342.65pt;height:11.9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" stroked="f">
                <v:textbox inset="0,0,0,0">
                  <w:txbxContent>
                    <w:p w14:paraId="12FA9F01" w14:textId="5E01C8E4" w:rsidR="00B3427F" w:rsidRPr="00242104" w:rsidRDefault="00B3427F" w:rsidP="00A12B00">
                      <w:pPr>
                        <w:pStyle w:val="Caption1"/>
                        <w:spacing w:after="0"/>
                        <w:rPr>
                          <w:rFonts w:ascii="Arial" w:hAnsi="Arial" w:cs="Arial"/>
                          <w:noProof/>
                          <w:color w:val="auto"/>
                          <w:sz w:val="16"/>
                          <w:szCs w:val="16"/>
                        </w:rPr>
                      </w:pPr>
                      <w:bookmarkStart w:id="11" w:name="_Toc90385831"/>
                      <w:r w:rsidRPr="00242104">
                        <w:rPr>
                          <w:rFonts w:ascii="Arial" w:hAnsi="Arial" w:cs="Arial"/>
                          <w:b/>
                          <w:bCs/>
                          <w:color w:val="auto"/>
                          <w:sz w:val="16"/>
                          <w:szCs w:val="16"/>
                        </w:rPr>
                        <w:t xml:space="preserve">Figure </w:t>
                      </w:r>
                      <w:r>
                        <w:rPr>
                          <w:rFonts w:ascii="Arial" w:hAnsi="Arial" w:cs="Arial"/>
                          <w:b/>
                          <w:bCs/>
                          <w:color w:val="auto"/>
                          <w:sz w:val="16"/>
                          <w:szCs w:val="16"/>
                        </w:rPr>
                        <w:fldChar w:fldCharType="begin"/>
                      </w:r>
                      <w:r>
                        <w:rPr>
                          <w:rFonts w:ascii="Arial" w:hAnsi="Arial" w:cs="Arial"/>
                          <w:b/>
                          <w:bCs/>
                          <w:color w:val="auto"/>
                          <w:sz w:val="16"/>
                          <w:szCs w:val="16"/>
                        </w:rPr>
                        <w:instrText xml:space="preserve"> SEQ Figure \* ARABIC </w:instrText>
                      </w:r>
                      <w:r>
                        <w:rPr>
                          <w:rFonts w:ascii="Arial" w:hAnsi="Arial" w:cs="Arial"/>
                          <w:b/>
                          <w:bCs/>
                          <w:color w:val="auto"/>
                          <w:sz w:val="16"/>
                          <w:szCs w:val="16"/>
                        </w:rPr>
                        <w:fldChar w:fldCharType="separate"/>
                      </w:r>
                      <w:r>
                        <w:rPr>
                          <w:rFonts w:ascii="Arial" w:hAnsi="Arial" w:cs="Arial"/>
                          <w:b/>
                          <w:bCs/>
                          <w:noProof/>
                          <w:color w:val="auto"/>
                          <w:sz w:val="16"/>
                          <w:szCs w:val="16"/>
                        </w:rPr>
                        <w:t>3</w:t>
                      </w:r>
                      <w:r>
                        <w:rPr>
                          <w:rFonts w:ascii="Arial" w:hAnsi="Arial" w:cs="Arial"/>
                          <w:b/>
                          <w:bCs/>
                          <w:color w:val="auto"/>
                          <w:sz w:val="16"/>
                          <w:szCs w:val="16"/>
                        </w:rPr>
                        <w:fldChar w:fldCharType="end"/>
                      </w:r>
                      <w:r w:rsidRPr="00242104">
                        <w:rPr>
                          <w:rFonts w:ascii="Arial" w:hAnsi="Arial" w:cs="Arial"/>
                          <w:b/>
                          <w:bCs/>
                          <w:color w:val="auto"/>
                          <w:sz w:val="16"/>
                          <w:szCs w:val="16"/>
                        </w:rPr>
                        <w:t>:</w:t>
                      </w:r>
                      <w:r w:rsidRPr="00242104">
                        <w:rPr>
                          <w:rFonts w:ascii="Arial" w:hAnsi="Arial" w:cs="Arial"/>
                          <w:color w:val="auto"/>
                          <w:sz w:val="16"/>
                          <w:szCs w:val="16"/>
                        </w:rPr>
                        <w:t xml:space="preserve"> Overview of Model WHS Law Development</w:t>
                      </w:r>
                      <w:bookmarkEnd w:id="11"/>
                    </w:p>
                  </w:txbxContent>
                </v:textbox>
                <w10:wrap type="square" anchorx="margin"/>
              </v:shape>
            </w:pict>
          </mc:Fallback>
        </mc:AlternateContent>
      </w:r>
      <w:r w:rsidR="00FA2AAE" w:rsidRPr="00A12B00">
        <w:rPr>
          <w:rFonts w:ascii="Arial" w:eastAsia="Calibri" w:hAnsi="Arial" w:cs="Arial"/>
          <w:noProof/>
          <w:lang w:eastAsia="en-AU"/>
        </w:rPr>
        <w:drawing>
          <wp:anchor distT="0" distB="0" distL="114300" distR="114300" simplePos="0" relativeHeight="251667456" behindDoc="0" locked="0" layoutInCell="1" allowOverlap="1" wp14:anchorId="00D5FE8A" wp14:editId="53242A56">
            <wp:simplePos x="0" y="0"/>
            <wp:positionH relativeFrom="margin">
              <wp:posOffset>132080</wp:posOffset>
            </wp:positionH>
            <wp:positionV relativeFrom="paragraph">
              <wp:posOffset>748242</wp:posOffset>
            </wp:positionV>
            <wp:extent cx="5462270" cy="234696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0">
                      <a:extLst>
                        <a:ext uri="{28A0092B-C50C-407E-A947-70E740481C1C}">
                          <a14:useLocalDpi xmlns:a14="http://schemas.microsoft.com/office/drawing/2010/main" val="0"/>
                        </a:ext>
                      </a:extLst>
                    </a:blip>
                    <a:srcRect/>
                    <a:stretch/>
                  </pic:blipFill>
                  <pic:spPr bwMode="auto">
                    <a:xfrm>
                      <a:off x="0" y="0"/>
                      <a:ext cx="5462270" cy="2346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2B00" w:rsidRPr="00A12B00">
        <w:rPr>
          <w:rFonts w:ascii="Arial" w:eastAsia="Calibri" w:hAnsi="Arial" w:cs="Arial"/>
        </w:rPr>
        <w:t xml:space="preserve">The development of the model WHS laws, </w:t>
      </w:r>
      <w:r w:rsidR="00855899">
        <w:rPr>
          <w:rFonts w:ascii="Arial" w:eastAsia="Calibri" w:hAnsi="Arial" w:cs="Arial"/>
        </w:rPr>
        <w:t>described</w:t>
      </w:r>
      <w:r w:rsidR="00A12B00" w:rsidRPr="00A12B00">
        <w:rPr>
          <w:rFonts w:ascii="Arial" w:eastAsia="Calibri" w:hAnsi="Arial" w:cs="Arial"/>
        </w:rPr>
        <w:t xml:space="preserve"> </w:t>
      </w:r>
      <w:r w:rsidR="00A12B00" w:rsidRPr="00855899">
        <w:rPr>
          <w:rFonts w:ascii="Arial" w:eastAsia="Calibri" w:hAnsi="Arial" w:cs="Arial"/>
        </w:rPr>
        <w:t xml:space="preserve">in Figure </w:t>
      </w:r>
      <w:r w:rsidR="00855899" w:rsidRPr="00855899">
        <w:rPr>
          <w:rFonts w:ascii="Arial" w:eastAsia="Calibri" w:hAnsi="Arial" w:cs="Arial"/>
        </w:rPr>
        <w:t>3</w:t>
      </w:r>
      <w:r w:rsidR="00A12B00" w:rsidRPr="00855899">
        <w:rPr>
          <w:rFonts w:ascii="Arial" w:eastAsia="Calibri" w:hAnsi="Arial" w:cs="Arial"/>
        </w:rPr>
        <w:t>,</w:t>
      </w:r>
      <w:r w:rsidR="00A12B00" w:rsidRPr="00A12B00">
        <w:rPr>
          <w:rFonts w:ascii="Arial" w:eastAsia="Calibri" w:hAnsi="Arial" w:cs="Arial"/>
        </w:rPr>
        <w:t xml:space="preserve"> included a range of specific and general safety duties, applicable to workplaces that deal with explosives, and addressed issues relevant to the safe use of explosives, in specified circumstances. </w:t>
      </w:r>
    </w:p>
    <w:p w14:paraId="115A8C03" w14:textId="77777777" w:rsidR="00A12B00" w:rsidRPr="00A12B00" w:rsidRDefault="00A12B00" w:rsidP="00A16B8A">
      <w:pPr>
        <w:keepNext/>
        <w:keepLines/>
        <w:numPr>
          <w:ilvl w:val="0"/>
          <w:numId w:val="14"/>
        </w:numPr>
        <w:spacing w:before="40" w:after="0"/>
        <w:outlineLvl w:val="1"/>
        <w:rPr>
          <w:rFonts w:ascii="Arial" w:eastAsia="Times New Roman" w:hAnsi="Arial" w:cs="Arial"/>
          <w:color w:val="B35E06"/>
          <w:sz w:val="26"/>
          <w:szCs w:val="26"/>
        </w:rPr>
      </w:pPr>
      <w:bookmarkStart w:id="10" w:name="_Toc101961109"/>
      <w:r w:rsidRPr="00A12B00">
        <w:rPr>
          <w:rFonts w:ascii="Arial" w:eastAsia="Times New Roman" w:hAnsi="Arial" w:cs="Arial"/>
          <w:color w:val="B35E06"/>
          <w:sz w:val="26"/>
          <w:szCs w:val="26"/>
        </w:rPr>
        <w:t>Background to the Explosives Act Thematic Review</w:t>
      </w:r>
      <w:bookmarkEnd w:id="10"/>
    </w:p>
    <w:p w14:paraId="4F99CB01" w14:textId="53D34E47" w:rsidR="00A12B00" w:rsidRPr="00A10553" w:rsidRDefault="00A12B00" w:rsidP="00A10553">
      <w:pPr>
        <w:spacing w:after="120" w:line="240" w:lineRule="auto"/>
        <w:rPr>
          <w:rFonts w:ascii="Arial" w:eastAsia="Calibri" w:hAnsi="Arial" w:cs="Arial"/>
        </w:rPr>
      </w:pPr>
      <w:r w:rsidRPr="00A12B00">
        <w:rPr>
          <w:rFonts w:ascii="Arial" w:eastAsia="Calibri" w:hAnsi="Arial" w:cs="Arial"/>
        </w:rPr>
        <w:t xml:space="preserve">The Areas Regulations and the Transport Regulations were originally due to sunset on 1 October 2019 and 1 April 2020. </w:t>
      </w:r>
      <w:r w:rsidR="00CF745C">
        <w:rPr>
          <w:rFonts w:ascii="Arial" w:eastAsia="Calibri" w:hAnsi="Arial" w:cs="Arial"/>
        </w:rPr>
        <w:t xml:space="preserve">Following an initial review and </w:t>
      </w:r>
      <w:r w:rsidR="00A10553">
        <w:rPr>
          <w:rFonts w:ascii="Arial" w:eastAsia="Calibri" w:hAnsi="Arial" w:cs="Arial"/>
        </w:rPr>
        <w:t xml:space="preserve">conclusion by Defence that the Regulations should be remade with amendment, the </w:t>
      </w:r>
      <w:r w:rsidRPr="00A12B00">
        <w:rPr>
          <w:rFonts w:ascii="Arial" w:eastAsia="Calibri" w:hAnsi="Arial" w:cs="Arial"/>
        </w:rPr>
        <w:t xml:space="preserve">Commonwealth Attorney-General approved Defence’s request to extend and align the </w:t>
      </w:r>
      <w:proofErr w:type="spellStart"/>
      <w:r w:rsidRPr="00A12B00">
        <w:rPr>
          <w:rFonts w:ascii="Arial" w:eastAsia="Calibri" w:hAnsi="Arial" w:cs="Arial"/>
        </w:rPr>
        <w:t>sunsetting</w:t>
      </w:r>
      <w:proofErr w:type="spellEnd"/>
      <w:r w:rsidRPr="00A12B00">
        <w:rPr>
          <w:rFonts w:ascii="Arial" w:eastAsia="Calibri" w:hAnsi="Arial" w:cs="Arial"/>
        </w:rPr>
        <w:t xml:space="preserve"> dates of both Explosives Regulations to 1 October 2024, to facilitate a single thematic review.  This approval was given legislative effect through the </w:t>
      </w:r>
      <w:hyperlink r:id="rId11" w:history="1">
        <w:r w:rsidRPr="00A12B00">
          <w:rPr>
            <w:rFonts w:ascii="Arial" w:eastAsia="Calibri" w:hAnsi="Arial" w:cs="Arial"/>
            <w:i/>
            <w:iCs/>
            <w:color w:val="000000"/>
            <w:u w:val="single"/>
          </w:rPr>
          <w:t>Legislation (Explosives Instruments) Sunset-</w:t>
        </w:r>
        <w:r w:rsidR="00242104">
          <w:rPr>
            <w:rFonts w:ascii="Arial" w:eastAsia="Calibri" w:hAnsi="Arial" w:cs="Arial"/>
            <w:i/>
            <w:iCs/>
            <w:color w:val="000000"/>
            <w:u w:val="single"/>
          </w:rPr>
          <w:t>A</w:t>
        </w:r>
        <w:r w:rsidRPr="00A12B00">
          <w:rPr>
            <w:rFonts w:ascii="Arial" w:eastAsia="Calibri" w:hAnsi="Arial" w:cs="Arial"/>
            <w:i/>
            <w:iCs/>
            <w:color w:val="000000"/>
            <w:u w:val="single"/>
          </w:rPr>
          <w:t>ltering Declaration 2019</w:t>
        </w:r>
      </w:hyperlink>
      <w:r w:rsidRPr="00A12B00">
        <w:rPr>
          <w:rFonts w:ascii="Arial" w:eastAsia="Calibri" w:hAnsi="Arial" w:cs="Arial"/>
          <w:i/>
          <w:iCs/>
        </w:rPr>
        <w:t xml:space="preserve">.  </w:t>
      </w:r>
    </w:p>
    <w:p w14:paraId="7C3A74CA" w14:textId="64E69F6B" w:rsidR="00A12B00" w:rsidRDefault="001B352F" w:rsidP="001B352F">
      <w:pPr>
        <w:spacing w:before="160" w:line="240" w:lineRule="auto"/>
        <w:rPr>
          <w:rFonts w:ascii="Arial" w:eastAsia="Calibri" w:hAnsi="Arial" w:cs="Arial"/>
        </w:rPr>
      </w:pPr>
      <w:r>
        <w:rPr>
          <w:rFonts w:ascii="Arial" w:eastAsia="Calibri" w:hAnsi="Arial" w:cs="Arial"/>
        </w:rPr>
        <w:t>I</w:t>
      </w:r>
      <w:r w:rsidR="00A10DB7">
        <w:rPr>
          <w:rFonts w:ascii="Arial" w:eastAsia="Calibri" w:hAnsi="Arial" w:cs="Arial"/>
        </w:rPr>
        <w:t xml:space="preserve">n early 2019, </w:t>
      </w:r>
      <w:r w:rsidR="00A12B00" w:rsidRPr="00A12B00">
        <w:rPr>
          <w:rFonts w:ascii="Arial" w:eastAsia="Calibri" w:hAnsi="Arial" w:cs="Arial"/>
        </w:rPr>
        <w:t>Defence initiated a comprehensive review of the explosives regulatory regime, known as the Explosives Act Thematic Review (EATR) Project. The purpose of the comprehensive review was to</w:t>
      </w:r>
      <w:r>
        <w:rPr>
          <w:rFonts w:ascii="Arial" w:eastAsia="Calibri" w:hAnsi="Arial" w:cs="Arial"/>
        </w:rPr>
        <w:t xml:space="preserve"> g</w:t>
      </w:r>
      <w:r w:rsidR="00A12B00" w:rsidRPr="00A12B00">
        <w:rPr>
          <w:rFonts w:ascii="Arial" w:eastAsia="Calibri" w:hAnsi="Arial" w:cs="Arial"/>
        </w:rPr>
        <w:t>ain a detailed understanding of the current explosives legislative frameworks applicable or adjacent to the Commonwealth</w:t>
      </w:r>
      <w:r>
        <w:rPr>
          <w:rFonts w:ascii="Arial" w:eastAsia="Calibri" w:hAnsi="Arial" w:cs="Arial"/>
        </w:rPr>
        <w:t>, and i</w:t>
      </w:r>
      <w:r w:rsidR="00A12B00" w:rsidRPr="00A12B00">
        <w:rPr>
          <w:rFonts w:ascii="Arial" w:eastAsia="Calibri" w:hAnsi="Arial" w:cs="Arial"/>
        </w:rPr>
        <w:t>dentify issues and gaps in that framework that warrant legislative reform.</w:t>
      </w:r>
    </w:p>
    <w:p w14:paraId="264DED17" w14:textId="55CFDFD3" w:rsidR="00A10DB7" w:rsidRPr="000F70CC" w:rsidRDefault="00A10DB7" w:rsidP="000F70CC">
      <w:pPr>
        <w:spacing w:before="160" w:line="240" w:lineRule="auto"/>
        <w:rPr>
          <w:rFonts w:ascii="Arial" w:eastAsia="Calibri" w:hAnsi="Arial" w:cs="Arial"/>
        </w:rPr>
      </w:pPr>
      <w:r w:rsidRPr="007E0331">
        <w:rPr>
          <w:rFonts w:ascii="Arial" w:eastAsia="Calibri" w:hAnsi="Arial" w:cs="Arial"/>
        </w:rPr>
        <w:lastRenderedPageBreak/>
        <w:t xml:space="preserve">These insights were tabled in the Comprehensive </w:t>
      </w:r>
      <w:r w:rsidR="00586442" w:rsidRPr="007E0331">
        <w:rPr>
          <w:rFonts w:ascii="Arial" w:eastAsia="Calibri" w:hAnsi="Arial" w:cs="Arial"/>
        </w:rPr>
        <w:t>Review Paper (CRP)</w:t>
      </w:r>
      <w:r w:rsidR="007E0331">
        <w:rPr>
          <w:rFonts w:ascii="Arial" w:eastAsia="Calibri" w:hAnsi="Arial" w:cs="Arial"/>
        </w:rPr>
        <w:t xml:space="preserve">, which </w:t>
      </w:r>
      <w:r w:rsidR="007E0331" w:rsidRPr="000F70CC">
        <w:rPr>
          <w:rFonts w:ascii="Arial" w:eastAsia="Calibri" w:hAnsi="Arial" w:cs="Arial"/>
        </w:rPr>
        <w:t>made several high-level recommendations for discussion with a wide range of stakeholders</w:t>
      </w:r>
      <w:r w:rsidR="000F70CC" w:rsidRPr="000F70CC">
        <w:rPr>
          <w:rFonts w:ascii="Arial" w:eastAsia="Calibri" w:hAnsi="Arial" w:cs="Arial"/>
        </w:rPr>
        <w:t xml:space="preserve">. </w:t>
      </w:r>
      <w:r w:rsidR="007E0331" w:rsidRPr="000F70CC">
        <w:rPr>
          <w:rFonts w:ascii="Arial" w:eastAsia="Calibri" w:hAnsi="Arial" w:cs="Arial"/>
        </w:rPr>
        <w:t xml:space="preserve"> </w:t>
      </w:r>
      <w:r w:rsidR="000F70CC" w:rsidRPr="000F70CC">
        <w:rPr>
          <w:rFonts w:ascii="Arial" w:eastAsia="Calibri" w:hAnsi="Arial" w:cs="Arial"/>
        </w:rPr>
        <w:t xml:space="preserve">The recommendations were drafted in such a way </w:t>
      </w:r>
      <w:r w:rsidR="000F70CC">
        <w:rPr>
          <w:rFonts w:ascii="Arial" w:eastAsia="Calibri" w:hAnsi="Arial" w:cs="Arial"/>
        </w:rPr>
        <w:t xml:space="preserve">as </w:t>
      </w:r>
      <w:r w:rsidR="000F70CC" w:rsidRPr="000F70CC">
        <w:rPr>
          <w:rFonts w:ascii="Arial" w:eastAsia="Calibri" w:hAnsi="Arial" w:cs="Arial"/>
        </w:rPr>
        <w:t xml:space="preserve">to support the evolution and refinement of the proposed reforms throughout consultation. </w:t>
      </w:r>
    </w:p>
    <w:p w14:paraId="501D4296" w14:textId="4FDCC930" w:rsidR="00242104" w:rsidRDefault="00A12B00" w:rsidP="00242104">
      <w:pPr>
        <w:spacing w:after="0" w:line="240" w:lineRule="auto"/>
        <w:rPr>
          <w:rFonts w:ascii="Arial" w:eastAsia="Calibri" w:hAnsi="Arial" w:cs="Arial"/>
        </w:rPr>
      </w:pPr>
      <w:r w:rsidRPr="00A12B00">
        <w:rPr>
          <w:rFonts w:ascii="Arial" w:eastAsia="Calibri" w:hAnsi="Arial" w:cs="Arial"/>
        </w:rPr>
        <w:t>The activities already undertaken by the Project, and those to be completed in future, are set out i</w:t>
      </w:r>
      <w:r w:rsidRPr="00855899">
        <w:rPr>
          <w:rFonts w:ascii="Arial" w:eastAsia="Calibri" w:hAnsi="Arial" w:cs="Arial"/>
        </w:rPr>
        <w:t xml:space="preserve">n Figure </w:t>
      </w:r>
      <w:r w:rsidR="00855899" w:rsidRPr="00855899">
        <w:rPr>
          <w:rFonts w:ascii="Arial" w:eastAsia="Calibri" w:hAnsi="Arial" w:cs="Arial"/>
        </w:rPr>
        <w:t>4</w:t>
      </w:r>
      <w:r w:rsidRPr="00A12B00">
        <w:rPr>
          <w:rFonts w:ascii="Arial" w:eastAsia="Calibri" w:hAnsi="Arial" w:cs="Arial"/>
        </w:rPr>
        <w:t xml:space="preserve"> below. RIS development will occur alongside completion of the outstanding activities below, and in line with milestones specified by the Office of Best Practice Regulation (OBPR).</w:t>
      </w:r>
    </w:p>
    <w:p w14:paraId="27381F7C" w14:textId="15AD9365" w:rsidR="00242104" w:rsidRPr="00242104" w:rsidRDefault="001B352F" w:rsidP="00242104">
      <w:pPr>
        <w:spacing w:after="0" w:line="240" w:lineRule="auto"/>
        <w:rPr>
          <w:rFonts w:ascii="Arial" w:eastAsia="Times New Roman" w:hAnsi="Arial" w:cs="Arial"/>
          <w:color w:val="B35E06"/>
          <w:sz w:val="26"/>
          <w:szCs w:val="26"/>
        </w:rPr>
      </w:pPr>
      <w:r w:rsidRPr="00A12B00">
        <w:rPr>
          <w:rFonts w:ascii="Calibri" w:eastAsia="Calibri" w:hAnsi="Calibri" w:cs="Times New Roman"/>
          <w:noProof/>
          <w:lang w:eastAsia="en-AU"/>
        </w:rPr>
        <mc:AlternateContent>
          <mc:Choice Requires="wps">
            <w:drawing>
              <wp:anchor distT="0" distB="0" distL="114300" distR="114300" simplePos="0" relativeHeight="251666432" behindDoc="0" locked="0" layoutInCell="1" allowOverlap="1" wp14:anchorId="2B0ABD56" wp14:editId="3EFC3826">
                <wp:simplePos x="0" y="0"/>
                <wp:positionH relativeFrom="margin">
                  <wp:align>left</wp:align>
                </wp:positionH>
                <wp:positionV relativeFrom="paragraph">
                  <wp:posOffset>244051</wp:posOffset>
                </wp:positionV>
                <wp:extent cx="6488430" cy="127000"/>
                <wp:effectExtent l="0" t="0" r="7620" b="6350"/>
                <wp:wrapSquare wrapText="bothSides"/>
                <wp:docPr id="22" name="Text Box 22"/>
                <wp:cNvGraphicFramePr/>
                <a:graphic xmlns:a="http://schemas.openxmlformats.org/drawingml/2006/main">
                  <a:graphicData uri="http://schemas.microsoft.com/office/word/2010/wordprocessingShape">
                    <wps:wsp>
                      <wps:cNvSpPr txBox="1"/>
                      <wps:spPr>
                        <a:xfrm>
                          <a:off x="0" y="0"/>
                          <a:ext cx="6488430" cy="127000"/>
                        </a:xfrm>
                        <a:prstGeom prst="rect">
                          <a:avLst/>
                        </a:prstGeom>
                        <a:solidFill>
                          <a:prstClr val="white"/>
                        </a:solidFill>
                        <a:ln>
                          <a:noFill/>
                        </a:ln>
                      </wps:spPr>
                      <wps:txbx>
                        <w:txbxContent>
                          <w:p w14:paraId="33B2AEAC" w14:textId="6C25C57C" w:rsidR="00B3427F" w:rsidRPr="001B352F" w:rsidRDefault="00B3427F" w:rsidP="00A12B00">
                            <w:pPr>
                              <w:pStyle w:val="Caption1"/>
                              <w:rPr>
                                <w:rFonts w:ascii="Arial" w:hAnsi="Arial" w:cs="Arial"/>
                                <w:noProof/>
                                <w:color w:val="auto"/>
                                <w:sz w:val="16"/>
                                <w:szCs w:val="16"/>
                              </w:rPr>
                            </w:pPr>
                            <w:bookmarkStart w:id="11" w:name="_Toc90385832"/>
                            <w:r w:rsidRPr="001B352F">
                              <w:rPr>
                                <w:rFonts w:ascii="Arial" w:hAnsi="Arial" w:cs="Arial"/>
                                <w:b/>
                                <w:bCs/>
                                <w:color w:val="auto"/>
                                <w:sz w:val="16"/>
                                <w:szCs w:val="16"/>
                              </w:rPr>
                              <w:t xml:space="preserve">Figure </w:t>
                            </w:r>
                            <w:r>
                              <w:rPr>
                                <w:rFonts w:ascii="Arial" w:hAnsi="Arial" w:cs="Arial"/>
                                <w:b/>
                                <w:bCs/>
                                <w:color w:val="auto"/>
                                <w:sz w:val="16"/>
                                <w:szCs w:val="16"/>
                              </w:rPr>
                              <w:fldChar w:fldCharType="begin"/>
                            </w:r>
                            <w:r>
                              <w:rPr>
                                <w:rFonts w:ascii="Arial" w:hAnsi="Arial" w:cs="Arial"/>
                                <w:b/>
                                <w:bCs/>
                                <w:color w:val="auto"/>
                                <w:sz w:val="16"/>
                                <w:szCs w:val="16"/>
                              </w:rPr>
                              <w:instrText xml:space="preserve"> SEQ Figure \* ARABIC </w:instrText>
                            </w:r>
                            <w:r>
                              <w:rPr>
                                <w:rFonts w:ascii="Arial" w:hAnsi="Arial" w:cs="Arial"/>
                                <w:b/>
                                <w:bCs/>
                                <w:color w:val="auto"/>
                                <w:sz w:val="16"/>
                                <w:szCs w:val="16"/>
                              </w:rPr>
                              <w:fldChar w:fldCharType="separate"/>
                            </w:r>
                            <w:r>
                              <w:rPr>
                                <w:rFonts w:ascii="Arial" w:hAnsi="Arial" w:cs="Arial"/>
                                <w:b/>
                                <w:bCs/>
                                <w:noProof/>
                                <w:color w:val="auto"/>
                                <w:sz w:val="16"/>
                                <w:szCs w:val="16"/>
                              </w:rPr>
                              <w:t>4</w:t>
                            </w:r>
                            <w:r>
                              <w:rPr>
                                <w:rFonts w:ascii="Arial" w:hAnsi="Arial" w:cs="Arial"/>
                                <w:b/>
                                <w:bCs/>
                                <w:color w:val="auto"/>
                                <w:sz w:val="16"/>
                                <w:szCs w:val="16"/>
                              </w:rPr>
                              <w:fldChar w:fldCharType="end"/>
                            </w:r>
                            <w:r w:rsidRPr="001B352F">
                              <w:rPr>
                                <w:rFonts w:ascii="Arial" w:hAnsi="Arial" w:cs="Arial"/>
                                <w:color w:val="auto"/>
                                <w:sz w:val="16"/>
                                <w:szCs w:val="16"/>
                              </w:rPr>
                              <w:t>: EATR Project Timeline</w:t>
                            </w:r>
                            <w:bookmarkEnd w:id="1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B0ABD56" id="Text Box 22" o:spid="_x0000_s1032" type="#_x0000_t202" style="position:absolute;margin-left:0;margin-top:19.2pt;width:510.9pt;height:10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" stroked="f">
                <v:textbox inset="0,0,0,0">
                  <w:txbxContent>
                    <w:p w14:paraId="33B2AEAC" w14:textId="6C25C57C" w:rsidR="00B3427F" w:rsidRPr="001B352F" w:rsidRDefault="00B3427F" w:rsidP="00A12B00">
                      <w:pPr>
                        <w:pStyle w:val="Caption1"/>
                        <w:rPr>
                          <w:rFonts w:ascii="Arial" w:hAnsi="Arial" w:cs="Arial"/>
                          <w:noProof/>
                          <w:color w:val="auto"/>
                          <w:sz w:val="16"/>
                          <w:szCs w:val="16"/>
                        </w:rPr>
                      </w:pPr>
                      <w:bookmarkStart w:id="14" w:name="_Toc90385832"/>
                      <w:r w:rsidRPr="001B352F">
                        <w:rPr>
                          <w:rFonts w:ascii="Arial" w:hAnsi="Arial" w:cs="Arial"/>
                          <w:b/>
                          <w:bCs/>
                          <w:color w:val="auto"/>
                          <w:sz w:val="16"/>
                          <w:szCs w:val="16"/>
                        </w:rPr>
                        <w:t xml:space="preserve">Figure </w:t>
                      </w:r>
                      <w:r>
                        <w:rPr>
                          <w:rFonts w:ascii="Arial" w:hAnsi="Arial" w:cs="Arial"/>
                          <w:b/>
                          <w:bCs/>
                          <w:color w:val="auto"/>
                          <w:sz w:val="16"/>
                          <w:szCs w:val="16"/>
                        </w:rPr>
                        <w:fldChar w:fldCharType="begin"/>
                      </w:r>
                      <w:r>
                        <w:rPr>
                          <w:rFonts w:ascii="Arial" w:hAnsi="Arial" w:cs="Arial"/>
                          <w:b/>
                          <w:bCs/>
                          <w:color w:val="auto"/>
                          <w:sz w:val="16"/>
                          <w:szCs w:val="16"/>
                        </w:rPr>
                        <w:instrText xml:space="preserve"> SEQ Figure \* ARABIC </w:instrText>
                      </w:r>
                      <w:r>
                        <w:rPr>
                          <w:rFonts w:ascii="Arial" w:hAnsi="Arial" w:cs="Arial"/>
                          <w:b/>
                          <w:bCs/>
                          <w:color w:val="auto"/>
                          <w:sz w:val="16"/>
                          <w:szCs w:val="16"/>
                        </w:rPr>
                        <w:fldChar w:fldCharType="separate"/>
                      </w:r>
                      <w:r>
                        <w:rPr>
                          <w:rFonts w:ascii="Arial" w:hAnsi="Arial" w:cs="Arial"/>
                          <w:b/>
                          <w:bCs/>
                          <w:noProof/>
                          <w:color w:val="auto"/>
                          <w:sz w:val="16"/>
                          <w:szCs w:val="16"/>
                        </w:rPr>
                        <w:t>4</w:t>
                      </w:r>
                      <w:r>
                        <w:rPr>
                          <w:rFonts w:ascii="Arial" w:hAnsi="Arial" w:cs="Arial"/>
                          <w:b/>
                          <w:bCs/>
                          <w:color w:val="auto"/>
                          <w:sz w:val="16"/>
                          <w:szCs w:val="16"/>
                        </w:rPr>
                        <w:fldChar w:fldCharType="end"/>
                      </w:r>
                      <w:r w:rsidRPr="001B352F">
                        <w:rPr>
                          <w:rFonts w:ascii="Arial" w:hAnsi="Arial" w:cs="Arial"/>
                          <w:color w:val="auto"/>
                          <w:sz w:val="16"/>
                          <w:szCs w:val="16"/>
                        </w:rPr>
                        <w:t>: EATR Project Timeline</w:t>
                      </w:r>
                      <w:bookmarkEnd w:id="14"/>
                    </w:p>
                  </w:txbxContent>
                </v:textbox>
                <w10:wrap type="square" anchorx="margin"/>
              </v:shape>
            </w:pict>
          </mc:Fallback>
        </mc:AlternateContent>
      </w:r>
      <w:r w:rsidRPr="00A12B00">
        <w:rPr>
          <w:rFonts w:ascii="Arial" w:eastAsia="Calibri" w:hAnsi="Arial" w:cs="Arial"/>
          <w:noProof/>
          <w:lang w:eastAsia="en-AU"/>
        </w:rPr>
        <w:drawing>
          <wp:anchor distT="0" distB="0" distL="114300" distR="114300" simplePos="0" relativeHeight="251665408" behindDoc="0" locked="0" layoutInCell="1" allowOverlap="1" wp14:anchorId="7F0AC0D8" wp14:editId="5829607A">
            <wp:simplePos x="0" y="0"/>
            <wp:positionH relativeFrom="margin">
              <wp:align>center</wp:align>
            </wp:positionH>
            <wp:positionV relativeFrom="paragraph">
              <wp:posOffset>501015</wp:posOffset>
            </wp:positionV>
            <wp:extent cx="6521450" cy="1718310"/>
            <wp:effectExtent l="0" t="0" r="0"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rotWithShape="1">
                    <a:blip r:embed="rId12" cstate="print">
                      <a:extLst>
                        <a:ext uri="{28A0092B-C50C-407E-A947-70E740481C1C}">
                          <a14:useLocalDpi xmlns:a14="http://schemas.microsoft.com/office/drawing/2010/main" val="0"/>
                        </a:ext>
                      </a:extLst>
                    </a:blip>
                    <a:srcRect b="2859"/>
                    <a:stretch/>
                  </pic:blipFill>
                  <pic:spPr bwMode="auto">
                    <a:xfrm>
                      <a:off x="0" y="0"/>
                      <a:ext cx="6521450" cy="1718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B09BF7" w14:textId="77777777" w:rsidR="001B352F" w:rsidRDefault="001B352F" w:rsidP="001B352F">
      <w:pPr>
        <w:pStyle w:val="ListParagraph"/>
        <w:spacing w:after="0" w:line="240" w:lineRule="auto"/>
        <w:ind w:left="360"/>
        <w:rPr>
          <w:rFonts w:ascii="Arial" w:eastAsia="Times New Roman" w:hAnsi="Arial" w:cs="Arial"/>
          <w:color w:val="B35E06"/>
          <w:sz w:val="26"/>
          <w:szCs w:val="26"/>
        </w:rPr>
      </w:pPr>
    </w:p>
    <w:p w14:paraId="5B42AB96" w14:textId="6D02D4F5" w:rsidR="00242104" w:rsidRDefault="00F70CDC" w:rsidP="00A16B8A">
      <w:pPr>
        <w:pStyle w:val="ListParagraph"/>
        <w:numPr>
          <w:ilvl w:val="0"/>
          <w:numId w:val="14"/>
        </w:numPr>
        <w:spacing w:after="0" w:line="240" w:lineRule="auto"/>
        <w:rPr>
          <w:rFonts w:ascii="Arial" w:eastAsia="Times New Roman" w:hAnsi="Arial" w:cs="Arial"/>
          <w:color w:val="B35E06"/>
          <w:sz w:val="26"/>
          <w:szCs w:val="26"/>
        </w:rPr>
      </w:pPr>
      <w:r w:rsidRPr="00242104">
        <w:rPr>
          <w:rFonts w:ascii="Arial" w:eastAsia="Times New Roman" w:hAnsi="Arial" w:cs="Arial"/>
          <w:color w:val="B35E06"/>
          <w:sz w:val="26"/>
          <w:szCs w:val="26"/>
        </w:rPr>
        <w:t>A Note on Consultation</w:t>
      </w:r>
    </w:p>
    <w:p w14:paraId="1531FD06" w14:textId="195E0756" w:rsidR="00F70CDC" w:rsidRPr="00242104" w:rsidRDefault="00943E04" w:rsidP="00242104">
      <w:pPr>
        <w:spacing w:after="0" w:line="240" w:lineRule="auto"/>
        <w:rPr>
          <w:rFonts w:ascii="Arial" w:eastAsia="Times New Roman" w:hAnsi="Arial" w:cs="Arial"/>
          <w:color w:val="B35E06"/>
          <w:sz w:val="26"/>
          <w:szCs w:val="26"/>
        </w:rPr>
      </w:pPr>
      <w:r w:rsidRPr="00242104">
        <w:rPr>
          <w:rFonts w:ascii="Arial" w:eastAsia="Calibri" w:hAnsi="Arial" w:cs="Arial"/>
        </w:rPr>
        <w:t>The following analysis refers to, at various points, consultation insights gathered through a recent series of workshops with Commonwealth, State, Territory and industry stakeholders. This workshop series focussed its discussions on the analysis and recommendations outlined in the CRP</w:t>
      </w:r>
      <w:r w:rsidR="00B9793E" w:rsidRPr="00242104">
        <w:rPr>
          <w:rFonts w:ascii="Arial" w:eastAsia="Calibri" w:hAnsi="Arial" w:cs="Arial"/>
        </w:rPr>
        <w:t xml:space="preserve"> and canvassed throughout this RIS. </w:t>
      </w:r>
      <w:r w:rsidR="00B9793E" w:rsidRPr="00855899">
        <w:rPr>
          <w:rFonts w:ascii="Arial" w:eastAsia="Calibri" w:hAnsi="Arial" w:cs="Arial"/>
        </w:rPr>
        <w:t xml:space="preserve">Figure </w:t>
      </w:r>
      <w:r w:rsidR="00855899" w:rsidRPr="00855899">
        <w:rPr>
          <w:rFonts w:ascii="Arial" w:eastAsia="Calibri" w:hAnsi="Arial" w:cs="Arial"/>
        </w:rPr>
        <w:t>5</w:t>
      </w:r>
      <w:r w:rsidR="00B9793E" w:rsidRPr="00855899">
        <w:rPr>
          <w:rFonts w:ascii="Arial" w:eastAsia="Calibri" w:hAnsi="Arial" w:cs="Arial"/>
        </w:rPr>
        <w:t xml:space="preserve"> below</w:t>
      </w:r>
      <w:r w:rsidR="00B9793E">
        <w:rPr>
          <w:rFonts w:ascii="Arial" w:eastAsia="Calibri" w:hAnsi="Arial" w:cs="Arial"/>
        </w:rPr>
        <w:t xml:space="preserve"> </w:t>
      </w:r>
      <w:r w:rsidR="00193281">
        <w:rPr>
          <w:rFonts w:ascii="Arial" w:eastAsia="Calibri" w:hAnsi="Arial" w:cs="Arial"/>
        </w:rPr>
        <w:t xml:space="preserve">provides a timeline of recent consultations, including the topics discussed with stakeholders at each stage. </w:t>
      </w:r>
      <w:r w:rsidR="0066664F">
        <w:rPr>
          <w:rFonts w:ascii="Arial" w:eastAsia="Calibri" w:hAnsi="Arial" w:cs="Arial"/>
        </w:rPr>
        <w:t xml:space="preserve">An outline of the </w:t>
      </w:r>
      <w:r w:rsidR="00B1422B">
        <w:rPr>
          <w:rFonts w:ascii="Arial" w:eastAsia="Calibri" w:hAnsi="Arial" w:cs="Arial"/>
        </w:rPr>
        <w:t>insights gained</w:t>
      </w:r>
      <w:r w:rsidR="0066664F">
        <w:rPr>
          <w:rFonts w:ascii="Arial" w:eastAsia="Calibri" w:hAnsi="Arial" w:cs="Arial"/>
        </w:rPr>
        <w:t xml:space="preserve"> throughout this consultation period are set out in Appendix D. </w:t>
      </w:r>
    </w:p>
    <w:p w14:paraId="53FC53E5" w14:textId="66F89C10" w:rsidR="00593920" w:rsidRPr="001E6487" w:rsidRDefault="001B352F" w:rsidP="00524ABB">
      <w:pPr>
        <w:rPr>
          <w:rFonts w:ascii="Arial" w:eastAsia="Calibri" w:hAnsi="Arial" w:cs="Arial"/>
        </w:rPr>
      </w:pPr>
      <w:r>
        <w:rPr>
          <w:rFonts w:ascii="Arial" w:eastAsia="Calibri" w:hAnsi="Arial" w:cs="Arial"/>
          <w:noProof/>
          <w:lang w:eastAsia="en-AU"/>
        </w:rPr>
        <w:drawing>
          <wp:anchor distT="0" distB="0" distL="114300" distR="114300" simplePos="0" relativeHeight="251689984" behindDoc="0" locked="0" layoutInCell="1" allowOverlap="1" wp14:anchorId="292FDDF9" wp14:editId="107ADFC1">
            <wp:simplePos x="0" y="0"/>
            <wp:positionH relativeFrom="margin">
              <wp:align>center</wp:align>
            </wp:positionH>
            <wp:positionV relativeFrom="paragraph">
              <wp:posOffset>423122</wp:posOffset>
            </wp:positionV>
            <wp:extent cx="6284595" cy="3081655"/>
            <wp:effectExtent l="0" t="0" r="1905" b="444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84595" cy="308165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92032" behindDoc="0" locked="0" layoutInCell="1" allowOverlap="1" wp14:anchorId="2F844F8C" wp14:editId="6D24EAA7">
                <wp:simplePos x="0" y="0"/>
                <wp:positionH relativeFrom="margin">
                  <wp:align>left</wp:align>
                </wp:positionH>
                <wp:positionV relativeFrom="paragraph">
                  <wp:posOffset>220769</wp:posOffset>
                </wp:positionV>
                <wp:extent cx="6106795" cy="167640"/>
                <wp:effectExtent l="0" t="0" r="8255" b="3810"/>
                <wp:wrapSquare wrapText="bothSides"/>
                <wp:docPr id="11" name="Text Box 11"/>
                <wp:cNvGraphicFramePr/>
                <a:graphic xmlns:a="http://schemas.openxmlformats.org/drawingml/2006/main">
                  <a:graphicData uri="http://schemas.microsoft.com/office/word/2010/wordprocessingShape">
                    <wps:wsp>
                      <wps:cNvSpPr txBox="1"/>
                      <wps:spPr>
                        <a:xfrm>
                          <a:off x="0" y="0"/>
                          <a:ext cx="6106795" cy="167640"/>
                        </a:xfrm>
                        <a:prstGeom prst="rect">
                          <a:avLst/>
                        </a:prstGeom>
                        <a:solidFill>
                          <a:prstClr val="white"/>
                        </a:solidFill>
                        <a:ln>
                          <a:noFill/>
                        </a:ln>
                      </wps:spPr>
                      <wps:txbx>
                        <w:txbxContent>
                          <w:p w14:paraId="79DB8B7C" w14:textId="4B639D18" w:rsidR="00B3427F" w:rsidRPr="001B352F" w:rsidRDefault="00B3427F" w:rsidP="00DD205E">
                            <w:pPr>
                              <w:pStyle w:val="Caption"/>
                              <w:rPr>
                                <w:rFonts w:ascii="Arial" w:eastAsia="Calibri" w:hAnsi="Arial" w:cs="Arial"/>
                                <w:noProof/>
                                <w:color w:val="auto"/>
                                <w:sz w:val="16"/>
                                <w:szCs w:val="16"/>
                              </w:rPr>
                            </w:pPr>
                            <w:bookmarkStart w:id="12" w:name="_Toc90385833"/>
                            <w:r w:rsidRPr="001B352F">
                              <w:rPr>
                                <w:rFonts w:ascii="Arial" w:hAnsi="Arial" w:cs="Arial"/>
                                <w:b/>
                                <w:bCs/>
                                <w:color w:val="auto"/>
                                <w:sz w:val="16"/>
                                <w:szCs w:val="16"/>
                              </w:rPr>
                              <w:t xml:space="preserve">Figure </w:t>
                            </w:r>
                            <w:r>
                              <w:rPr>
                                <w:rFonts w:ascii="Arial" w:hAnsi="Arial" w:cs="Arial"/>
                                <w:b/>
                                <w:bCs/>
                                <w:color w:val="auto"/>
                                <w:sz w:val="16"/>
                                <w:szCs w:val="16"/>
                              </w:rPr>
                              <w:fldChar w:fldCharType="begin"/>
                            </w:r>
                            <w:r>
                              <w:rPr>
                                <w:rFonts w:ascii="Arial" w:hAnsi="Arial" w:cs="Arial"/>
                                <w:b/>
                                <w:bCs/>
                                <w:color w:val="auto"/>
                                <w:sz w:val="16"/>
                                <w:szCs w:val="16"/>
                              </w:rPr>
                              <w:instrText xml:space="preserve"> SEQ Figure \* ARABIC </w:instrText>
                            </w:r>
                            <w:r>
                              <w:rPr>
                                <w:rFonts w:ascii="Arial" w:hAnsi="Arial" w:cs="Arial"/>
                                <w:b/>
                                <w:bCs/>
                                <w:color w:val="auto"/>
                                <w:sz w:val="16"/>
                                <w:szCs w:val="16"/>
                              </w:rPr>
                              <w:fldChar w:fldCharType="separate"/>
                            </w:r>
                            <w:r>
                              <w:rPr>
                                <w:rFonts w:ascii="Arial" w:hAnsi="Arial" w:cs="Arial"/>
                                <w:b/>
                                <w:bCs/>
                                <w:noProof/>
                                <w:color w:val="auto"/>
                                <w:sz w:val="16"/>
                                <w:szCs w:val="16"/>
                              </w:rPr>
                              <w:t>5</w:t>
                            </w:r>
                            <w:r>
                              <w:rPr>
                                <w:rFonts w:ascii="Arial" w:hAnsi="Arial" w:cs="Arial"/>
                                <w:b/>
                                <w:bCs/>
                                <w:color w:val="auto"/>
                                <w:sz w:val="16"/>
                                <w:szCs w:val="16"/>
                              </w:rPr>
                              <w:fldChar w:fldCharType="end"/>
                            </w:r>
                            <w:r w:rsidRPr="001B352F">
                              <w:rPr>
                                <w:rFonts w:ascii="Arial" w:hAnsi="Arial" w:cs="Arial"/>
                                <w:b/>
                                <w:bCs/>
                                <w:color w:val="auto"/>
                                <w:sz w:val="16"/>
                                <w:szCs w:val="16"/>
                              </w:rPr>
                              <w:t>:</w:t>
                            </w:r>
                            <w:r w:rsidRPr="001B352F">
                              <w:rPr>
                                <w:rFonts w:ascii="Arial" w:hAnsi="Arial" w:cs="Arial"/>
                                <w:color w:val="auto"/>
                                <w:sz w:val="16"/>
                                <w:szCs w:val="16"/>
                              </w:rPr>
                              <w:t xml:space="preserve"> Consultation Roadmap</w:t>
                            </w:r>
                            <w:bookmarkEnd w:id="1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F844F8C" id="Text Box 11" o:spid="_x0000_s1033" type="#_x0000_t202" style="position:absolute;margin-left:0;margin-top:17.4pt;width:480.85pt;height:13.2pt;z-index:2516920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" stroked="f">
                <v:textbox inset="0,0,0,0">
                  <w:txbxContent>
                    <w:p w14:paraId="79DB8B7C" w14:textId="4B639D18" w:rsidR="00B3427F" w:rsidRPr="001B352F" w:rsidRDefault="00B3427F" w:rsidP="00DD205E">
                      <w:pPr>
                        <w:pStyle w:val="Caption"/>
                        <w:rPr>
                          <w:rFonts w:ascii="Arial" w:eastAsia="Calibri" w:hAnsi="Arial" w:cs="Arial"/>
                          <w:noProof/>
                          <w:color w:val="auto"/>
                          <w:sz w:val="16"/>
                          <w:szCs w:val="16"/>
                        </w:rPr>
                      </w:pPr>
                      <w:bookmarkStart w:id="16" w:name="_Toc90385833"/>
                      <w:r w:rsidRPr="001B352F">
                        <w:rPr>
                          <w:rFonts w:ascii="Arial" w:hAnsi="Arial" w:cs="Arial"/>
                          <w:b/>
                          <w:bCs/>
                          <w:color w:val="auto"/>
                          <w:sz w:val="16"/>
                          <w:szCs w:val="16"/>
                        </w:rPr>
                        <w:t xml:space="preserve">Figure </w:t>
                      </w:r>
                      <w:r>
                        <w:rPr>
                          <w:rFonts w:ascii="Arial" w:hAnsi="Arial" w:cs="Arial"/>
                          <w:b/>
                          <w:bCs/>
                          <w:color w:val="auto"/>
                          <w:sz w:val="16"/>
                          <w:szCs w:val="16"/>
                        </w:rPr>
                        <w:fldChar w:fldCharType="begin"/>
                      </w:r>
                      <w:r>
                        <w:rPr>
                          <w:rFonts w:ascii="Arial" w:hAnsi="Arial" w:cs="Arial"/>
                          <w:b/>
                          <w:bCs/>
                          <w:color w:val="auto"/>
                          <w:sz w:val="16"/>
                          <w:szCs w:val="16"/>
                        </w:rPr>
                        <w:instrText xml:space="preserve"> SEQ Figure \* ARABIC </w:instrText>
                      </w:r>
                      <w:r>
                        <w:rPr>
                          <w:rFonts w:ascii="Arial" w:hAnsi="Arial" w:cs="Arial"/>
                          <w:b/>
                          <w:bCs/>
                          <w:color w:val="auto"/>
                          <w:sz w:val="16"/>
                          <w:szCs w:val="16"/>
                        </w:rPr>
                        <w:fldChar w:fldCharType="separate"/>
                      </w:r>
                      <w:r>
                        <w:rPr>
                          <w:rFonts w:ascii="Arial" w:hAnsi="Arial" w:cs="Arial"/>
                          <w:b/>
                          <w:bCs/>
                          <w:noProof/>
                          <w:color w:val="auto"/>
                          <w:sz w:val="16"/>
                          <w:szCs w:val="16"/>
                        </w:rPr>
                        <w:t>5</w:t>
                      </w:r>
                      <w:r>
                        <w:rPr>
                          <w:rFonts w:ascii="Arial" w:hAnsi="Arial" w:cs="Arial"/>
                          <w:b/>
                          <w:bCs/>
                          <w:color w:val="auto"/>
                          <w:sz w:val="16"/>
                          <w:szCs w:val="16"/>
                        </w:rPr>
                        <w:fldChar w:fldCharType="end"/>
                      </w:r>
                      <w:r w:rsidRPr="001B352F">
                        <w:rPr>
                          <w:rFonts w:ascii="Arial" w:hAnsi="Arial" w:cs="Arial"/>
                          <w:b/>
                          <w:bCs/>
                          <w:color w:val="auto"/>
                          <w:sz w:val="16"/>
                          <w:szCs w:val="16"/>
                        </w:rPr>
                        <w:t>:</w:t>
                      </w:r>
                      <w:r w:rsidRPr="001B352F">
                        <w:rPr>
                          <w:rFonts w:ascii="Arial" w:hAnsi="Arial" w:cs="Arial"/>
                          <w:color w:val="auto"/>
                          <w:sz w:val="16"/>
                          <w:szCs w:val="16"/>
                        </w:rPr>
                        <w:t xml:space="preserve"> Consultation Roadmap</w:t>
                      </w:r>
                      <w:bookmarkEnd w:id="16"/>
                    </w:p>
                  </w:txbxContent>
                </v:textbox>
                <w10:wrap type="square" anchorx="margin"/>
              </v:shape>
            </w:pict>
          </mc:Fallback>
        </mc:AlternateContent>
      </w:r>
      <w:r w:rsidR="00524ABB">
        <w:rPr>
          <w:rFonts w:ascii="Arial" w:eastAsia="Calibri" w:hAnsi="Arial" w:cs="Arial"/>
        </w:rPr>
        <w:br w:type="page"/>
      </w:r>
    </w:p>
    <w:p w14:paraId="237D12FF" w14:textId="775BBB6B" w:rsidR="00A12B00" w:rsidRPr="00A12B00" w:rsidRDefault="00A12B00" w:rsidP="00A12B00">
      <w:pPr>
        <w:keepNext/>
        <w:keepLines/>
        <w:numPr>
          <w:ilvl w:val="0"/>
          <w:numId w:val="1"/>
        </w:numPr>
        <w:spacing w:before="240" w:after="0" w:line="240" w:lineRule="auto"/>
        <w:outlineLvl w:val="0"/>
        <w:rPr>
          <w:rFonts w:ascii="Georgia" w:eastAsia="Times New Roman" w:hAnsi="Georgia" w:cs="Arial"/>
          <w:b/>
          <w:bCs/>
          <w:color w:val="E86D1F"/>
          <w:sz w:val="32"/>
          <w:szCs w:val="32"/>
        </w:rPr>
      </w:pPr>
      <w:bookmarkStart w:id="13" w:name="_Toc101961110"/>
      <w:r w:rsidRPr="00A12B00">
        <w:rPr>
          <w:rFonts w:ascii="Georgia" w:eastAsia="Times New Roman" w:hAnsi="Georgia" w:cs="Arial"/>
          <w:b/>
          <w:bCs/>
          <w:color w:val="E86D1F"/>
          <w:sz w:val="32"/>
          <w:szCs w:val="32"/>
        </w:rPr>
        <w:lastRenderedPageBreak/>
        <w:t>What is the policy problem you are trying to solve?</w:t>
      </w:r>
      <w:bookmarkEnd w:id="13"/>
    </w:p>
    <w:p w14:paraId="104E90D0" w14:textId="7FB8926D" w:rsidR="00A12B00" w:rsidRPr="00A12B00" w:rsidRDefault="00A12B00" w:rsidP="00A12B00">
      <w:pPr>
        <w:spacing w:line="240" w:lineRule="auto"/>
        <w:rPr>
          <w:rFonts w:ascii="Arial" w:eastAsia="Calibri" w:hAnsi="Arial" w:cs="Arial"/>
        </w:rPr>
      </w:pPr>
      <w:r w:rsidRPr="00A12B00">
        <w:rPr>
          <w:rFonts w:ascii="Arial" w:eastAsia="Calibri" w:hAnsi="Arial" w:cs="Arial"/>
        </w:rPr>
        <w:t>The ability to access, transport and use explosives in a safe and secure manner is essential for fulfilling the unique operational requirements of the Commonwealth Government. Agencies such as the Department of Defence (including visiting for</w:t>
      </w:r>
      <w:r w:rsidR="00AB4CE0">
        <w:rPr>
          <w:rFonts w:ascii="Arial" w:eastAsia="Calibri" w:hAnsi="Arial" w:cs="Arial"/>
        </w:rPr>
        <w:t>eign government officials</w:t>
      </w:r>
      <w:r w:rsidRPr="00A12B00">
        <w:rPr>
          <w:rFonts w:ascii="Arial" w:eastAsia="Calibri" w:hAnsi="Arial" w:cs="Arial"/>
        </w:rPr>
        <w:t xml:space="preserve">), the Department of Home Affairs, the Australian Federal Police, and contractors, acting on the behalf of Commonwealth </w:t>
      </w:r>
      <w:r w:rsidR="001551B9">
        <w:rPr>
          <w:rFonts w:ascii="Arial" w:eastAsia="Calibri" w:hAnsi="Arial" w:cs="Arial"/>
        </w:rPr>
        <w:t>a</w:t>
      </w:r>
      <w:r w:rsidRPr="00A12B00">
        <w:rPr>
          <w:rFonts w:ascii="Arial" w:eastAsia="Calibri" w:hAnsi="Arial" w:cs="Arial"/>
        </w:rPr>
        <w:t>gencies</w:t>
      </w:r>
      <w:r w:rsidR="00A97C81">
        <w:rPr>
          <w:rFonts w:ascii="Arial" w:eastAsia="Calibri" w:hAnsi="Arial" w:cs="Arial"/>
        </w:rPr>
        <w:t xml:space="preserve">. These stakeholders </w:t>
      </w:r>
      <w:r w:rsidRPr="00A12B00">
        <w:rPr>
          <w:rFonts w:ascii="Arial" w:eastAsia="Calibri" w:hAnsi="Arial" w:cs="Arial"/>
        </w:rPr>
        <w:t xml:space="preserve">use explosives for training, operations, research and development, and various other purposes. The importance of explosives in achieving Commonwealth objectives creates the need for a consistent, legally entrenched, modernised explosives regulatory regime. This regime must meet the needs of the Commonwealth, as well as other impacted stakeholders, including individuals, the community, </w:t>
      </w:r>
      <w:proofErr w:type="gramStart"/>
      <w:r w:rsidRPr="00A12B00">
        <w:rPr>
          <w:rFonts w:ascii="Arial" w:eastAsia="Calibri" w:hAnsi="Arial" w:cs="Arial"/>
        </w:rPr>
        <w:t>industry</w:t>
      </w:r>
      <w:proofErr w:type="gramEnd"/>
      <w:r w:rsidRPr="00A12B00">
        <w:rPr>
          <w:rFonts w:ascii="Arial" w:eastAsia="Calibri" w:hAnsi="Arial" w:cs="Arial"/>
        </w:rPr>
        <w:t xml:space="preserve">, </w:t>
      </w:r>
      <w:r w:rsidR="00A97C81">
        <w:rPr>
          <w:rFonts w:ascii="Arial" w:eastAsia="Calibri" w:hAnsi="Arial" w:cs="Arial"/>
        </w:rPr>
        <w:t>S</w:t>
      </w:r>
      <w:r w:rsidRPr="00A12B00">
        <w:rPr>
          <w:rFonts w:ascii="Arial" w:eastAsia="Calibri" w:hAnsi="Arial" w:cs="Arial"/>
        </w:rPr>
        <w:t xml:space="preserve">tate, and </w:t>
      </w:r>
      <w:r w:rsidR="00A97C81">
        <w:rPr>
          <w:rFonts w:ascii="Arial" w:eastAsia="Calibri" w:hAnsi="Arial" w:cs="Arial"/>
        </w:rPr>
        <w:t>T</w:t>
      </w:r>
      <w:r w:rsidRPr="00A12B00">
        <w:rPr>
          <w:rFonts w:ascii="Arial" w:eastAsia="Calibri" w:hAnsi="Arial" w:cs="Arial"/>
        </w:rPr>
        <w:t xml:space="preserve">erritory governments. </w:t>
      </w:r>
    </w:p>
    <w:p w14:paraId="31163CAD" w14:textId="140696AD" w:rsidR="00A12B00" w:rsidRPr="00A12B00" w:rsidRDefault="00A12B00" w:rsidP="00A12B00">
      <w:pPr>
        <w:spacing w:line="240" w:lineRule="auto"/>
        <w:rPr>
          <w:rFonts w:ascii="Arial" w:eastAsia="Calibri" w:hAnsi="Arial" w:cs="Arial"/>
        </w:rPr>
      </w:pPr>
      <w:r w:rsidRPr="00A12B00">
        <w:rPr>
          <w:rFonts w:ascii="Arial" w:eastAsia="Calibri" w:hAnsi="Arial" w:cs="Arial"/>
        </w:rPr>
        <w:t xml:space="preserve">There are four problem elements which exist for the current Commonwealth explosives regulatory regime. These are described </w:t>
      </w:r>
      <w:r w:rsidRPr="00A97C81">
        <w:rPr>
          <w:rFonts w:ascii="Arial" w:eastAsia="Calibri" w:hAnsi="Arial" w:cs="Arial"/>
        </w:rPr>
        <w:t xml:space="preserve">in Table </w:t>
      </w:r>
      <w:r w:rsidR="00A97C81" w:rsidRPr="00A97C81">
        <w:rPr>
          <w:rFonts w:ascii="Arial" w:eastAsia="Calibri" w:hAnsi="Arial" w:cs="Arial"/>
        </w:rPr>
        <w:t>2</w:t>
      </w:r>
      <w:r w:rsidRPr="00A97C81">
        <w:rPr>
          <w:rFonts w:ascii="Arial" w:eastAsia="Calibri" w:hAnsi="Arial" w:cs="Arial"/>
        </w:rPr>
        <w:t xml:space="preserve"> below</w:t>
      </w:r>
      <w:r w:rsidRPr="00A12B00">
        <w:rPr>
          <w:rFonts w:ascii="Arial" w:eastAsia="Calibri" w:hAnsi="Arial" w:cs="Arial"/>
        </w:rPr>
        <w:t xml:space="preserve"> and discussed in more detail in the following sections. </w:t>
      </w:r>
    </w:p>
    <w:p w14:paraId="3D228CC5" w14:textId="1DC18EF9" w:rsidR="00A12B00" w:rsidRPr="001B352F" w:rsidRDefault="00A12B00" w:rsidP="00A12B00">
      <w:pPr>
        <w:keepNext/>
        <w:spacing w:after="0" w:line="240" w:lineRule="auto"/>
        <w:rPr>
          <w:rFonts w:ascii="Arial" w:eastAsia="Calibri" w:hAnsi="Arial" w:cs="Arial"/>
          <w:i/>
          <w:iCs/>
          <w:color w:val="323232"/>
          <w:sz w:val="16"/>
          <w:szCs w:val="16"/>
        </w:rPr>
      </w:pPr>
      <w:bookmarkStart w:id="14" w:name="_Toc90385854"/>
      <w:r w:rsidRPr="001B352F">
        <w:rPr>
          <w:rFonts w:ascii="Arial" w:eastAsia="Calibri" w:hAnsi="Arial" w:cs="Arial"/>
          <w:b/>
          <w:bCs/>
          <w:i/>
          <w:iCs/>
          <w:sz w:val="16"/>
          <w:szCs w:val="16"/>
        </w:rPr>
        <w:t xml:space="preserve">Table </w:t>
      </w:r>
      <w:r w:rsidRPr="001B352F">
        <w:rPr>
          <w:rFonts w:ascii="Arial" w:eastAsia="Calibri" w:hAnsi="Arial" w:cs="Arial"/>
          <w:b/>
          <w:bCs/>
          <w:i/>
          <w:iCs/>
          <w:sz w:val="16"/>
          <w:szCs w:val="16"/>
        </w:rPr>
        <w:fldChar w:fldCharType="begin"/>
      </w:r>
      <w:r w:rsidRPr="001B352F">
        <w:rPr>
          <w:rFonts w:ascii="Arial" w:eastAsia="Calibri" w:hAnsi="Arial" w:cs="Arial"/>
          <w:b/>
          <w:bCs/>
          <w:i/>
          <w:iCs/>
          <w:sz w:val="16"/>
          <w:szCs w:val="16"/>
        </w:rPr>
        <w:instrText xml:space="preserve"> SEQ Table \* ARABIC </w:instrText>
      </w:r>
      <w:r w:rsidRPr="001B352F">
        <w:rPr>
          <w:rFonts w:ascii="Arial" w:eastAsia="Calibri" w:hAnsi="Arial" w:cs="Arial"/>
          <w:b/>
          <w:bCs/>
          <w:i/>
          <w:iCs/>
          <w:sz w:val="16"/>
          <w:szCs w:val="16"/>
        </w:rPr>
        <w:fldChar w:fldCharType="separate"/>
      </w:r>
      <w:r w:rsidR="00486329">
        <w:rPr>
          <w:rFonts w:ascii="Arial" w:eastAsia="Calibri" w:hAnsi="Arial" w:cs="Arial"/>
          <w:b/>
          <w:bCs/>
          <w:i/>
          <w:iCs/>
          <w:noProof/>
          <w:sz w:val="16"/>
          <w:szCs w:val="16"/>
        </w:rPr>
        <w:t>2</w:t>
      </w:r>
      <w:r w:rsidRPr="001B352F">
        <w:rPr>
          <w:rFonts w:ascii="Arial" w:eastAsia="Calibri" w:hAnsi="Arial" w:cs="Arial"/>
          <w:b/>
          <w:bCs/>
          <w:i/>
          <w:iCs/>
          <w:sz w:val="16"/>
          <w:szCs w:val="16"/>
        </w:rPr>
        <w:fldChar w:fldCharType="end"/>
      </w:r>
      <w:r w:rsidRPr="001B352F">
        <w:rPr>
          <w:rFonts w:ascii="Arial" w:eastAsia="Calibri" w:hAnsi="Arial" w:cs="Arial"/>
          <w:b/>
          <w:bCs/>
          <w:i/>
          <w:iCs/>
          <w:sz w:val="16"/>
          <w:szCs w:val="16"/>
        </w:rPr>
        <w:t>:</w:t>
      </w:r>
      <w:r w:rsidRPr="001B352F">
        <w:rPr>
          <w:rFonts w:ascii="Arial" w:eastAsia="Calibri" w:hAnsi="Arial" w:cs="Arial"/>
          <w:i/>
          <w:iCs/>
          <w:sz w:val="16"/>
          <w:szCs w:val="16"/>
        </w:rPr>
        <w:t xml:space="preserve"> Summary of Problem Elements</w:t>
      </w:r>
      <w:bookmarkEnd w:id="14"/>
    </w:p>
    <w:tbl>
      <w:tblPr>
        <w:tblStyle w:val="TableGrid"/>
        <w:tblW w:w="0" w:type="auto"/>
        <w:tblLook w:val="04A0" w:firstRow="1" w:lastRow="0" w:firstColumn="1" w:lastColumn="0" w:noHBand="0" w:noVBand="1"/>
      </w:tblPr>
      <w:tblGrid>
        <w:gridCol w:w="1011"/>
        <w:gridCol w:w="8005"/>
      </w:tblGrid>
      <w:tr w:rsidR="00A12B00" w:rsidRPr="00A12B00" w14:paraId="2CF6D92C" w14:textId="77777777" w:rsidTr="00A12B00">
        <w:tc>
          <w:tcPr>
            <w:tcW w:w="988" w:type="dxa"/>
            <w:shd w:val="clear" w:color="auto" w:fill="F07F09"/>
          </w:tcPr>
          <w:p w14:paraId="717F25D3" w14:textId="77777777" w:rsidR="00A12B00" w:rsidRPr="00A12B00" w:rsidRDefault="00A12B00" w:rsidP="00A12B00">
            <w:pPr>
              <w:jc w:val="center"/>
              <w:rPr>
                <w:rFonts w:ascii="Arial" w:eastAsia="Calibri" w:hAnsi="Arial" w:cs="Arial"/>
                <w:b/>
                <w:bCs/>
                <w:color w:val="FFFFFF"/>
              </w:rPr>
            </w:pPr>
            <w:r w:rsidRPr="00A12B00">
              <w:rPr>
                <w:rFonts w:ascii="Arial" w:eastAsia="Calibri" w:hAnsi="Arial" w:cs="Arial"/>
                <w:b/>
                <w:bCs/>
                <w:color w:val="FFFFFF"/>
              </w:rPr>
              <w:t>Section</w:t>
            </w:r>
          </w:p>
        </w:tc>
        <w:tc>
          <w:tcPr>
            <w:tcW w:w="8028" w:type="dxa"/>
            <w:shd w:val="clear" w:color="auto" w:fill="F07F09"/>
          </w:tcPr>
          <w:p w14:paraId="35DAFBB3" w14:textId="77777777" w:rsidR="00A12B00" w:rsidRPr="00A12B00" w:rsidRDefault="00A12B00" w:rsidP="00A12B00">
            <w:pPr>
              <w:jc w:val="center"/>
              <w:rPr>
                <w:rFonts w:ascii="Arial" w:eastAsia="Calibri" w:hAnsi="Arial" w:cs="Arial"/>
                <w:b/>
                <w:bCs/>
                <w:color w:val="FFFFFF"/>
              </w:rPr>
            </w:pPr>
            <w:r w:rsidRPr="00A12B00">
              <w:rPr>
                <w:rFonts w:ascii="Arial" w:eastAsia="Calibri" w:hAnsi="Arial" w:cs="Arial"/>
                <w:b/>
                <w:bCs/>
                <w:color w:val="FFFFFF"/>
              </w:rPr>
              <w:t>Problem Element</w:t>
            </w:r>
          </w:p>
        </w:tc>
      </w:tr>
      <w:tr w:rsidR="00A12B00" w:rsidRPr="00A12B00" w14:paraId="3C03AFA3" w14:textId="77777777" w:rsidTr="00A12B00">
        <w:tc>
          <w:tcPr>
            <w:tcW w:w="988" w:type="dxa"/>
            <w:shd w:val="clear" w:color="auto" w:fill="D9D9D9"/>
            <w:vAlign w:val="center"/>
          </w:tcPr>
          <w:p w14:paraId="14F629FB" w14:textId="77777777" w:rsidR="00A12B00" w:rsidRPr="00A12B00" w:rsidRDefault="00A12B00" w:rsidP="00A12B00">
            <w:pPr>
              <w:jc w:val="center"/>
              <w:rPr>
                <w:rFonts w:ascii="Arial" w:eastAsia="Calibri" w:hAnsi="Arial" w:cs="Arial"/>
                <w:b/>
                <w:bCs/>
              </w:rPr>
            </w:pPr>
            <w:r w:rsidRPr="00A12B00">
              <w:rPr>
                <w:rFonts w:ascii="Arial" w:eastAsia="Calibri" w:hAnsi="Arial" w:cs="Arial"/>
                <w:b/>
                <w:bCs/>
              </w:rPr>
              <w:t>1.1</w:t>
            </w:r>
          </w:p>
        </w:tc>
        <w:tc>
          <w:tcPr>
            <w:tcW w:w="8028" w:type="dxa"/>
          </w:tcPr>
          <w:p w14:paraId="42B5301D" w14:textId="77777777" w:rsidR="00A12B00" w:rsidRPr="00A12B00" w:rsidRDefault="00A12B00" w:rsidP="00A12B00">
            <w:pPr>
              <w:rPr>
                <w:rFonts w:ascii="Arial" w:eastAsia="Calibri" w:hAnsi="Arial" w:cs="Arial"/>
              </w:rPr>
            </w:pPr>
            <w:r w:rsidRPr="00A12B00">
              <w:rPr>
                <w:rFonts w:ascii="Arial" w:eastAsia="Calibri" w:hAnsi="Arial" w:cs="Arial"/>
              </w:rPr>
              <w:t xml:space="preserve">Expansions in the use and integration of Commonwealth explosives, as well as Australia’s changing security environment and increased focus on domestic manufacturing capabilities, have created a new and changing risk environment. The current explosives regulatory regime, established in response to challenges faced during World War II, does not accommodate this risk profile. </w:t>
            </w:r>
          </w:p>
        </w:tc>
      </w:tr>
      <w:tr w:rsidR="00A12B00" w:rsidRPr="00A12B00" w14:paraId="75FDDB83" w14:textId="77777777" w:rsidTr="00A12B00">
        <w:tc>
          <w:tcPr>
            <w:tcW w:w="988" w:type="dxa"/>
            <w:shd w:val="clear" w:color="auto" w:fill="D9D9D9"/>
            <w:vAlign w:val="center"/>
          </w:tcPr>
          <w:p w14:paraId="7475D7A7" w14:textId="77777777" w:rsidR="00A12B00" w:rsidRPr="00A12B00" w:rsidRDefault="00A12B00" w:rsidP="00A12B00">
            <w:pPr>
              <w:jc w:val="center"/>
              <w:rPr>
                <w:rFonts w:ascii="Arial" w:eastAsia="Calibri" w:hAnsi="Arial" w:cs="Arial"/>
                <w:b/>
                <w:bCs/>
              </w:rPr>
            </w:pPr>
            <w:r w:rsidRPr="00A12B00">
              <w:rPr>
                <w:rFonts w:ascii="Arial" w:eastAsia="Calibri" w:hAnsi="Arial" w:cs="Arial"/>
                <w:b/>
                <w:bCs/>
              </w:rPr>
              <w:t>1.2</w:t>
            </w:r>
          </w:p>
        </w:tc>
        <w:tc>
          <w:tcPr>
            <w:tcW w:w="8028" w:type="dxa"/>
          </w:tcPr>
          <w:p w14:paraId="67DF20E5" w14:textId="77777777" w:rsidR="00A12B00" w:rsidRPr="00A12B00" w:rsidRDefault="00A12B00" w:rsidP="00A12B00">
            <w:pPr>
              <w:rPr>
                <w:rFonts w:ascii="Arial" w:eastAsia="Calibri" w:hAnsi="Arial" w:cs="Arial"/>
              </w:rPr>
            </w:pPr>
            <w:r w:rsidRPr="00A12B00">
              <w:rPr>
                <w:rFonts w:ascii="Arial" w:eastAsia="Calibri" w:hAnsi="Arial" w:cs="Arial"/>
              </w:rPr>
              <w:t>The current regulatory regime has insufficiently clear safety and security requirements and lacks an independent governance structure capable of enforcing compliance with these requirements.  This undermines the safety of persons involved in explosives activities and the security of Commonwealth explosives themselves.</w:t>
            </w:r>
          </w:p>
        </w:tc>
      </w:tr>
      <w:tr w:rsidR="00A12B00" w:rsidRPr="00A12B00" w14:paraId="77F31F1A" w14:textId="77777777" w:rsidTr="00A12B00">
        <w:tc>
          <w:tcPr>
            <w:tcW w:w="988" w:type="dxa"/>
            <w:shd w:val="clear" w:color="auto" w:fill="D9D9D9"/>
            <w:vAlign w:val="center"/>
          </w:tcPr>
          <w:p w14:paraId="26DB2721" w14:textId="77777777" w:rsidR="00A12B00" w:rsidRPr="00A12B00" w:rsidRDefault="00A12B00" w:rsidP="00A12B00">
            <w:pPr>
              <w:jc w:val="center"/>
              <w:rPr>
                <w:rFonts w:ascii="Arial" w:eastAsia="Calibri" w:hAnsi="Arial" w:cs="Arial"/>
                <w:b/>
                <w:bCs/>
              </w:rPr>
            </w:pPr>
            <w:r w:rsidRPr="00A12B00">
              <w:rPr>
                <w:rFonts w:ascii="Arial" w:eastAsia="Calibri" w:hAnsi="Arial" w:cs="Arial"/>
                <w:b/>
                <w:bCs/>
              </w:rPr>
              <w:t>1.3</w:t>
            </w:r>
          </w:p>
        </w:tc>
        <w:tc>
          <w:tcPr>
            <w:tcW w:w="8028" w:type="dxa"/>
          </w:tcPr>
          <w:p w14:paraId="4078DE40" w14:textId="23E12880" w:rsidR="00A12B00" w:rsidRPr="00A12B00" w:rsidRDefault="00A12B00" w:rsidP="00A12B00">
            <w:pPr>
              <w:rPr>
                <w:rFonts w:ascii="Arial" w:eastAsia="Calibri" w:hAnsi="Arial" w:cs="Arial"/>
              </w:rPr>
            </w:pPr>
            <w:r w:rsidRPr="00A12B00">
              <w:rPr>
                <w:rFonts w:ascii="Arial" w:eastAsia="Calibri" w:hAnsi="Arial" w:cs="Arial"/>
              </w:rPr>
              <w:t xml:space="preserve">Significant ambiguities and a lack of clarity in regulatory requirements complicates Commonwealth contractors’ ability to navigate </w:t>
            </w:r>
            <w:r w:rsidR="00A97C81">
              <w:rPr>
                <w:rFonts w:ascii="Arial" w:eastAsia="Calibri" w:hAnsi="Arial" w:cs="Arial"/>
              </w:rPr>
              <w:t>varying</w:t>
            </w:r>
            <w:r w:rsidRPr="00A12B00">
              <w:rPr>
                <w:rFonts w:ascii="Arial" w:eastAsia="Calibri" w:hAnsi="Arial" w:cs="Arial"/>
              </w:rPr>
              <w:t xml:space="preserve"> explosives regulatory regimes across Australia, leading to a high regulatory burden and increased risk of non-compliance</w:t>
            </w:r>
          </w:p>
        </w:tc>
      </w:tr>
      <w:tr w:rsidR="00A12B00" w:rsidRPr="00A12B00" w14:paraId="14D40C9E" w14:textId="77777777" w:rsidTr="00A12B00">
        <w:tc>
          <w:tcPr>
            <w:tcW w:w="988" w:type="dxa"/>
            <w:shd w:val="clear" w:color="auto" w:fill="D9D9D9"/>
            <w:vAlign w:val="center"/>
          </w:tcPr>
          <w:p w14:paraId="44FD3131" w14:textId="77777777" w:rsidR="00A12B00" w:rsidRPr="00A12B00" w:rsidRDefault="00A12B00" w:rsidP="00A12B00">
            <w:pPr>
              <w:jc w:val="center"/>
              <w:rPr>
                <w:rFonts w:ascii="Arial" w:eastAsia="Calibri" w:hAnsi="Arial" w:cs="Arial"/>
                <w:b/>
                <w:bCs/>
              </w:rPr>
            </w:pPr>
            <w:r w:rsidRPr="00A12B00">
              <w:rPr>
                <w:rFonts w:ascii="Arial" w:eastAsia="Calibri" w:hAnsi="Arial" w:cs="Arial"/>
                <w:b/>
                <w:bCs/>
              </w:rPr>
              <w:t>1.4</w:t>
            </w:r>
          </w:p>
        </w:tc>
        <w:tc>
          <w:tcPr>
            <w:tcW w:w="8028" w:type="dxa"/>
          </w:tcPr>
          <w:p w14:paraId="4054EB4F" w14:textId="0FDB69E7" w:rsidR="00A12B00" w:rsidRPr="00A12B00" w:rsidRDefault="00A12B00" w:rsidP="00A12B00">
            <w:pPr>
              <w:rPr>
                <w:rFonts w:ascii="Arial" w:eastAsia="Calibri" w:hAnsi="Arial" w:cs="Arial"/>
              </w:rPr>
            </w:pPr>
            <w:r w:rsidRPr="00A12B00">
              <w:rPr>
                <w:rFonts w:ascii="Arial" w:eastAsia="Calibri" w:hAnsi="Arial" w:cs="Arial"/>
              </w:rPr>
              <w:t>The Commonwealth explosives regulatory regime’s failure to maintain pace with modern legislative developments has resulted in a lack of harmony, which undermines the Commonwealth’s ability to regulate and assure the safety and security of explosives activities.</w:t>
            </w:r>
          </w:p>
        </w:tc>
      </w:tr>
    </w:tbl>
    <w:p w14:paraId="25F4D7DA" w14:textId="77777777" w:rsidR="00A12B00" w:rsidRPr="00A12B00" w:rsidRDefault="00A12B00" w:rsidP="00A12B00">
      <w:pPr>
        <w:spacing w:after="0" w:line="240" w:lineRule="auto"/>
        <w:rPr>
          <w:rFonts w:ascii="Arial" w:eastAsia="Calibri" w:hAnsi="Arial" w:cs="Arial"/>
        </w:rPr>
      </w:pPr>
    </w:p>
    <w:p w14:paraId="3D09807D" w14:textId="77777777" w:rsidR="00A12B00" w:rsidRPr="003501E7" w:rsidRDefault="00A12B00" w:rsidP="003501E7">
      <w:pPr>
        <w:keepNext/>
        <w:keepLines/>
        <w:spacing w:before="120" w:after="0" w:line="240" w:lineRule="auto"/>
        <w:outlineLvl w:val="1"/>
        <w:rPr>
          <w:rFonts w:ascii="Arial" w:eastAsia="Times New Roman" w:hAnsi="Arial" w:cs="Arial"/>
          <w:color w:val="E86D1F"/>
          <w:sz w:val="26"/>
          <w:szCs w:val="26"/>
        </w:rPr>
      </w:pPr>
      <w:bookmarkStart w:id="15" w:name="_Toc101961111"/>
      <w:r w:rsidRPr="003501E7">
        <w:rPr>
          <w:rFonts w:ascii="Arial" w:eastAsia="Times New Roman" w:hAnsi="Arial" w:cs="Arial"/>
          <w:color w:val="E86D1F"/>
          <w:sz w:val="26"/>
          <w:szCs w:val="26"/>
        </w:rPr>
        <w:t>1.1 New and Evolving Risk Profile</w:t>
      </w:r>
      <w:bookmarkEnd w:id="15"/>
    </w:p>
    <w:p w14:paraId="30932164" w14:textId="77777777" w:rsidR="00A12B00" w:rsidRPr="00A12B00" w:rsidRDefault="00A12B00" w:rsidP="00A12B00">
      <w:pPr>
        <w:spacing w:line="240" w:lineRule="auto"/>
        <w:rPr>
          <w:rFonts w:ascii="Arial" w:eastAsia="Calibri" w:hAnsi="Arial" w:cs="Arial"/>
        </w:rPr>
      </w:pPr>
      <w:r w:rsidRPr="00A12B00">
        <w:rPr>
          <w:rFonts w:ascii="Arial" w:eastAsia="Calibri" w:hAnsi="Arial" w:cs="Arial"/>
        </w:rPr>
        <w:t xml:space="preserve">The current explosives regulatory regime, as established in the aftermath of World War II, was reflective of the circumstances, challenges and risks associated with Commonwealth explosives at that time. While, since then, the applicable legislation has remained largely static, the risk environment in which the Commonwealth operates, has evolved substantially.   </w:t>
      </w:r>
    </w:p>
    <w:p w14:paraId="1774B4F9" w14:textId="77777777" w:rsidR="00A12B00" w:rsidRPr="00A12B00" w:rsidRDefault="00A12B00" w:rsidP="00A12B00">
      <w:pPr>
        <w:spacing w:line="240" w:lineRule="auto"/>
        <w:rPr>
          <w:rFonts w:ascii="Arial" w:eastAsia="Calibri" w:hAnsi="Arial" w:cs="Arial"/>
        </w:rPr>
      </w:pPr>
      <w:r w:rsidRPr="00A12B00">
        <w:rPr>
          <w:rFonts w:ascii="Arial" w:eastAsia="Calibri" w:hAnsi="Arial" w:cs="Arial"/>
        </w:rPr>
        <w:t xml:space="preserve">There has been a significant expansion in the use and integration of Commonwealth explosives since the development of the current Commonwealth explosives regulatory regime. This expansion has occurred in conjunction with broader changes in Australia’s domestic and international security landscape, and an increased focus on expanding Australia’s domestic manufacturing capabilities. </w:t>
      </w:r>
    </w:p>
    <w:p w14:paraId="734F7E69" w14:textId="77777777" w:rsidR="00A12B00" w:rsidRPr="00A12B00" w:rsidRDefault="00A12B00" w:rsidP="00A12B00">
      <w:pPr>
        <w:spacing w:after="0" w:line="240" w:lineRule="auto"/>
        <w:rPr>
          <w:rFonts w:ascii="Arial" w:eastAsia="Calibri" w:hAnsi="Arial" w:cs="Arial"/>
          <w:color w:val="C19859"/>
        </w:rPr>
      </w:pPr>
      <w:r w:rsidRPr="00A12B00">
        <w:rPr>
          <w:rFonts w:ascii="Arial" w:eastAsia="Calibri" w:hAnsi="Arial" w:cs="Arial"/>
          <w:color w:val="C19859"/>
        </w:rPr>
        <w:t>1.1.1 Expanded and Integrated Use of Commonwealth Explosives</w:t>
      </w:r>
    </w:p>
    <w:p w14:paraId="4BB166B3" w14:textId="016D25F2" w:rsidR="00A12B00" w:rsidRPr="00A12B00" w:rsidRDefault="00A12B00" w:rsidP="00A12B00">
      <w:pPr>
        <w:autoSpaceDE w:val="0"/>
        <w:autoSpaceDN w:val="0"/>
        <w:adjustRightInd w:val="0"/>
        <w:spacing w:after="0" w:line="240" w:lineRule="auto"/>
        <w:rPr>
          <w:rFonts w:ascii="Arial" w:eastAsia="Calibri" w:hAnsi="Arial" w:cs="Arial"/>
        </w:rPr>
      </w:pPr>
      <w:r w:rsidRPr="00A12B00">
        <w:rPr>
          <w:rFonts w:ascii="Arial" w:eastAsia="Calibri" w:hAnsi="Arial" w:cs="Arial"/>
        </w:rPr>
        <w:t xml:space="preserve">At the time of the current explosives regulatory regimes creation, in the aftermath of World War II, Commonwealth explosives were primarily dealt with by uniformed Defence personnel. However, in recent decades, Commonwealth departments and agencies (including the Department of Home Affairs, the ABF, and the AFP, in addition to the Department of Defence), </w:t>
      </w:r>
      <w:r w:rsidR="00AB4CE0">
        <w:rPr>
          <w:rFonts w:ascii="Arial" w:eastAsia="Calibri" w:hAnsi="Arial" w:cs="Arial"/>
        </w:rPr>
        <w:t>foreign government officials</w:t>
      </w:r>
      <w:r w:rsidRPr="00A12B00">
        <w:rPr>
          <w:rFonts w:ascii="Arial" w:eastAsia="Calibri" w:hAnsi="Arial" w:cs="Arial"/>
        </w:rPr>
        <w:t xml:space="preserve"> and associated contractors all use, </w:t>
      </w:r>
      <w:r w:rsidRPr="00A12B00">
        <w:rPr>
          <w:rFonts w:ascii="Arial" w:eastAsia="Calibri" w:hAnsi="Arial" w:cs="Arial"/>
        </w:rPr>
        <w:lastRenderedPageBreak/>
        <w:t xml:space="preserve">interact with, and rely on Commonwealth explosives in a substantially more expanded and integrated manner. This expansion creates new and evolving risks, including the third-party handling of Commonwealth explosives, which are inadequately contemplated by the current regime. </w:t>
      </w:r>
    </w:p>
    <w:p w14:paraId="6FBDB1DF" w14:textId="7701ACE7" w:rsidR="00A12B00" w:rsidRPr="00A12B00" w:rsidRDefault="00A12B00" w:rsidP="00A12B00">
      <w:pPr>
        <w:autoSpaceDE w:val="0"/>
        <w:autoSpaceDN w:val="0"/>
        <w:adjustRightInd w:val="0"/>
        <w:spacing w:before="160" w:line="240" w:lineRule="auto"/>
        <w:rPr>
          <w:rFonts w:ascii="Arial" w:eastAsia="Calibri" w:hAnsi="Arial" w:cs="Arial"/>
        </w:rPr>
      </w:pPr>
      <w:r w:rsidRPr="00A12B00">
        <w:rPr>
          <w:rFonts w:ascii="Arial" w:eastAsia="Calibri" w:hAnsi="Arial" w:cs="Arial"/>
        </w:rPr>
        <w:t>Further, the purposes for and activities in which the Commonwealth now seeks to use explosives ha</w:t>
      </w:r>
      <w:r w:rsidR="00A97C81">
        <w:rPr>
          <w:rFonts w:ascii="Arial" w:eastAsia="Calibri" w:hAnsi="Arial" w:cs="Arial"/>
        </w:rPr>
        <w:t xml:space="preserve">ve </w:t>
      </w:r>
      <w:r w:rsidRPr="00A12B00">
        <w:rPr>
          <w:rFonts w:ascii="Arial" w:eastAsia="Calibri" w:hAnsi="Arial" w:cs="Arial"/>
        </w:rPr>
        <w:t>also expanded significantly, beyond handling and transport. Research and development, manufacturing, testing, evaluation, long-term storage, and display are all activities which involve explosives and fall within the Commonwealth’s remit. However, many of these activities did not occur, occurred less frequently or to a lesser extent at the time of the current explosives regulatory regime’s inception. As such, the current regime has</w:t>
      </w:r>
      <w:r w:rsidR="00A97C81">
        <w:rPr>
          <w:rFonts w:ascii="Arial" w:eastAsia="Calibri" w:hAnsi="Arial" w:cs="Arial"/>
        </w:rPr>
        <w:t xml:space="preserve"> a</w:t>
      </w:r>
      <w:r w:rsidRPr="00A12B00">
        <w:rPr>
          <w:rFonts w:ascii="Arial" w:eastAsia="Calibri" w:hAnsi="Arial" w:cs="Arial"/>
        </w:rPr>
        <w:t xml:space="preserve"> limited </w:t>
      </w:r>
      <w:r w:rsidR="00A97C81">
        <w:rPr>
          <w:rFonts w:ascii="Arial" w:eastAsia="Calibri" w:hAnsi="Arial" w:cs="Arial"/>
        </w:rPr>
        <w:t>e</w:t>
      </w:r>
      <w:r w:rsidR="00A97C81" w:rsidRPr="00A12B00">
        <w:rPr>
          <w:rFonts w:ascii="Arial" w:eastAsia="Calibri" w:hAnsi="Arial" w:cs="Arial"/>
        </w:rPr>
        <w:t>ffect</w:t>
      </w:r>
      <w:r w:rsidRPr="00A12B00">
        <w:rPr>
          <w:rFonts w:ascii="Arial" w:eastAsia="Calibri" w:hAnsi="Arial" w:cs="Arial"/>
        </w:rPr>
        <w:t xml:space="preserve"> on tempering the risks arising because of these activities. </w:t>
      </w:r>
    </w:p>
    <w:p w14:paraId="5B5DB7D7" w14:textId="77777777" w:rsidR="00A12B00" w:rsidRPr="00A12B00" w:rsidRDefault="00A12B00" w:rsidP="00A12B00">
      <w:pPr>
        <w:autoSpaceDE w:val="0"/>
        <w:autoSpaceDN w:val="0"/>
        <w:adjustRightInd w:val="0"/>
        <w:spacing w:before="160" w:line="240" w:lineRule="auto"/>
        <w:rPr>
          <w:rFonts w:ascii="Arial" w:eastAsia="Calibri" w:hAnsi="Arial" w:cs="Arial"/>
        </w:rPr>
      </w:pPr>
      <w:r w:rsidRPr="00A12B00">
        <w:rPr>
          <w:rFonts w:ascii="Calibri" w:eastAsia="Calibri" w:hAnsi="Calibri" w:cs="Times New Roman"/>
          <w:noProof/>
          <w:lang w:eastAsia="en-AU"/>
        </w:rPr>
        <mc:AlternateContent>
          <mc:Choice Requires="wps">
            <w:drawing>
              <wp:anchor distT="0" distB="0" distL="114300" distR="114300" simplePos="0" relativeHeight="251669504" behindDoc="0" locked="0" layoutInCell="1" allowOverlap="1" wp14:anchorId="2505E6D3" wp14:editId="6E74E73E">
                <wp:simplePos x="0" y="0"/>
                <wp:positionH relativeFrom="margin">
                  <wp:align>left</wp:align>
                </wp:positionH>
                <wp:positionV relativeFrom="paragraph">
                  <wp:posOffset>8255</wp:posOffset>
                </wp:positionV>
                <wp:extent cx="5528310" cy="1524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5528310" cy="152400"/>
                        </a:xfrm>
                        <a:prstGeom prst="rect">
                          <a:avLst/>
                        </a:prstGeom>
                        <a:solidFill>
                          <a:prstClr val="white"/>
                        </a:solidFill>
                        <a:ln>
                          <a:noFill/>
                        </a:ln>
                      </wps:spPr>
                      <wps:txbx>
                        <w:txbxContent>
                          <w:p w14:paraId="68E3D6FF" w14:textId="0DA36991" w:rsidR="00B3427F" w:rsidRPr="001B352F" w:rsidRDefault="00B3427F" w:rsidP="00A12B00">
                            <w:pPr>
                              <w:pStyle w:val="Caption1"/>
                              <w:rPr>
                                <w:rFonts w:ascii="Arial" w:hAnsi="Arial" w:cs="Arial"/>
                                <w:noProof/>
                                <w:color w:val="auto"/>
                                <w:sz w:val="16"/>
                                <w:szCs w:val="16"/>
                              </w:rPr>
                            </w:pPr>
                            <w:bookmarkStart w:id="16" w:name="_Toc90385834"/>
                            <w:r w:rsidRPr="001B352F">
                              <w:rPr>
                                <w:rFonts w:ascii="Arial" w:hAnsi="Arial" w:cs="Arial"/>
                                <w:b/>
                                <w:bCs/>
                                <w:color w:val="auto"/>
                                <w:sz w:val="16"/>
                                <w:szCs w:val="16"/>
                              </w:rPr>
                              <w:t xml:space="preserve">Figure </w:t>
                            </w:r>
                            <w:r>
                              <w:rPr>
                                <w:rFonts w:ascii="Arial" w:hAnsi="Arial" w:cs="Arial"/>
                                <w:b/>
                                <w:bCs/>
                                <w:color w:val="auto"/>
                                <w:sz w:val="16"/>
                                <w:szCs w:val="16"/>
                              </w:rPr>
                              <w:fldChar w:fldCharType="begin"/>
                            </w:r>
                            <w:r>
                              <w:rPr>
                                <w:rFonts w:ascii="Arial" w:hAnsi="Arial" w:cs="Arial"/>
                                <w:b/>
                                <w:bCs/>
                                <w:color w:val="auto"/>
                                <w:sz w:val="16"/>
                                <w:szCs w:val="16"/>
                              </w:rPr>
                              <w:instrText xml:space="preserve"> SEQ Figure \* ARABIC </w:instrText>
                            </w:r>
                            <w:r>
                              <w:rPr>
                                <w:rFonts w:ascii="Arial" w:hAnsi="Arial" w:cs="Arial"/>
                                <w:b/>
                                <w:bCs/>
                                <w:color w:val="auto"/>
                                <w:sz w:val="16"/>
                                <w:szCs w:val="16"/>
                              </w:rPr>
                              <w:fldChar w:fldCharType="separate"/>
                            </w:r>
                            <w:r>
                              <w:rPr>
                                <w:rFonts w:ascii="Arial" w:hAnsi="Arial" w:cs="Arial"/>
                                <w:b/>
                                <w:bCs/>
                                <w:noProof/>
                                <w:color w:val="auto"/>
                                <w:sz w:val="16"/>
                                <w:szCs w:val="16"/>
                              </w:rPr>
                              <w:t>6</w:t>
                            </w:r>
                            <w:r>
                              <w:rPr>
                                <w:rFonts w:ascii="Arial" w:hAnsi="Arial" w:cs="Arial"/>
                                <w:b/>
                                <w:bCs/>
                                <w:color w:val="auto"/>
                                <w:sz w:val="16"/>
                                <w:szCs w:val="16"/>
                              </w:rPr>
                              <w:fldChar w:fldCharType="end"/>
                            </w:r>
                            <w:r w:rsidRPr="001B352F">
                              <w:rPr>
                                <w:rFonts w:ascii="Arial" w:hAnsi="Arial" w:cs="Arial"/>
                                <w:b/>
                                <w:bCs/>
                                <w:color w:val="auto"/>
                                <w:sz w:val="16"/>
                                <w:szCs w:val="16"/>
                              </w:rPr>
                              <w:t>:</w:t>
                            </w:r>
                            <w:r w:rsidRPr="001B352F">
                              <w:rPr>
                                <w:rFonts w:ascii="Arial" w:hAnsi="Arial" w:cs="Arial"/>
                                <w:color w:val="auto"/>
                                <w:sz w:val="16"/>
                                <w:szCs w:val="16"/>
                              </w:rPr>
                              <w:t xml:space="preserve"> Consultation Insights</w:t>
                            </w:r>
                            <w:bookmarkEnd w:id="1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505E6D3" id="Text Box 24" o:spid="_x0000_s1034" type="#_x0000_t202" style="position:absolute;margin-left:0;margin-top:.65pt;width:435.3pt;height:12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" stroked="f">
                <v:textbox inset="0,0,0,0">
                  <w:txbxContent>
                    <w:p w14:paraId="68E3D6FF" w14:textId="0DA36991" w:rsidR="00B3427F" w:rsidRPr="001B352F" w:rsidRDefault="00B3427F" w:rsidP="00A12B00">
                      <w:pPr>
                        <w:pStyle w:val="Caption1"/>
                        <w:rPr>
                          <w:rFonts w:ascii="Arial" w:hAnsi="Arial" w:cs="Arial"/>
                          <w:noProof/>
                          <w:color w:val="auto"/>
                          <w:sz w:val="16"/>
                          <w:szCs w:val="16"/>
                        </w:rPr>
                      </w:pPr>
                      <w:bookmarkStart w:id="21" w:name="_Toc90385834"/>
                      <w:r w:rsidRPr="001B352F">
                        <w:rPr>
                          <w:rFonts w:ascii="Arial" w:hAnsi="Arial" w:cs="Arial"/>
                          <w:b/>
                          <w:bCs/>
                          <w:color w:val="auto"/>
                          <w:sz w:val="16"/>
                          <w:szCs w:val="16"/>
                        </w:rPr>
                        <w:t xml:space="preserve">Figure </w:t>
                      </w:r>
                      <w:r>
                        <w:rPr>
                          <w:rFonts w:ascii="Arial" w:hAnsi="Arial" w:cs="Arial"/>
                          <w:b/>
                          <w:bCs/>
                          <w:color w:val="auto"/>
                          <w:sz w:val="16"/>
                          <w:szCs w:val="16"/>
                        </w:rPr>
                        <w:fldChar w:fldCharType="begin"/>
                      </w:r>
                      <w:r>
                        <w:rPr>
                          <w:rFonts w:ascii="Arial" w:hAnsi="Arial" w:cs="Arial"/>
                          <w:b/>
                          <w:bCs/>
                          <w:color w:val="auto"/>
                          <w:sz w:val="16"/>
                          <w:szCs w:val="16"/>
                        </w:rPr>
                        <w:instrText xml:space="preserve"> SEQ Figure \* ARABIC </w:instrText>
                      </w:r>
                      <w:r>
                        <w:rPr>
                          <w:rFonts w:ascii="Arial" w:hAnsi="Arial" w:cs="Arial"/>
                          <w:b/>
                          <w:bCs/>
                          <w:color w:val="auto"/>
                          <w:sz w:val="16"/>
                          <w:szCs w:val="16"/>
                        </w:rPr>
                        <w:fldChar w:fldCharType="separate"/>
                      </w:r>
                      <w:r>
                        <w:rPr>
                          <w:rFonts w:ascii="Arial" w:hAnsi="Arial" w:cs="Arial"/>
                          <w:b/>
                          <w:bCs/>
                          <w:noProof/>
                          <w:color w:val="auto"/>
                          <w:sz w:val="16"/>
                          <w:szCs w:val="16"/>
                        </w:rPr>
                        <w:t>6</w:t>
                      </w:r>
                      <w:r>
                        <w:rPr>
                          <w:rFonts w:ascii="Arial" w:hAnsi="Arial" w:cs="Arial"/>
                          <w:b/>
                          <w:bCs/>
                          <w:color w:val="auto"/>
                          <w:sz w:val="16"/>
                          <w:szCs w:val="16"/>
                        </w:rPr>
                        <w:fldChar w:fldCharType="end"/>
                      </w:r>
                      <w:r w:rsidRPr="001B352F">
                        <w:rPr>
                          <w:rFonts w:ascii="Arial" w:hAnsi="Arial" w:cs="Arial"/>
                          <w:b/>
                          <w:bCs/>
                          <w:color w:val="auto"/>
                          <w:sz w:val="16"/>
                          <w:szCs w:val="16"/>
                        </w:rPr>
                        <w:t>:</w:t>
                      </w:r>
                      <w:r w:rsidRPr="001B352F">
                        <w:rPr>
                          <w:rFonts w:ascii="Arial" w:hAnsi="Arial" w:cs="Arial"/>
                          <w:color w:val="auto"/>
                          <w:sz w:val="16"/>
                          <w:szCs w:val="16"/>
                        </w:rPr>
                        <w:t xml:space="preserve"> Consultation Insights</w:t>
                      </w:r>
                      <w:bookmarkEnd w:id="21"/>
                    </w:p>
                  </w:txbxContent>
                </v:textbox>
                <w10:wrap anchorx="margin"/>
              </v:shape>
            </w:pict>
          </mc:Fallback>
        </mc:AlternateContent>
      </w:r>
      <w:r w:rsidRPr="00A12B00">
        <w:rPr>
          <w:rFonts w:ascii="Arial" w:eastAsia="Calibri" w:hAnsi="Arial" w:cs="Arial"/>
          <w:noProof/>
          <w:lang w:eastAsia="en-AU"/>
        </w:rPr>
        <mc:AlternateContent>
          <mc:Choice Requires="wps">
            <w:drawing>
              <wp:anchor distT="0" distB="0" distL="114300" distR="114300" simplePos="0" relativeHeight="251668480" behindDoc="0" locked="0" layoutInCell="1" allowOverlap="1" wp14:anchorId="15D83761" wp14:editId="22D12F79">
                <wp:simplePos x="0" y="0"/>
                <wp:positionH relativeFrom="margin">
                  <wp:posOffset>0</wp:posOffset>
                </wp:positionH>
                <wp:positionV relativeFrom="paragraph">
                  <wp:posOffset>223943</wp:posOffset>
                </wp:positionV>
                <wp:extent cx="5528310" cy="626110"/>
                <wp:effectExtent l="0" t="0" r="15240" b="21590"/>
                <wp:wrapNone/>
                <wp:docPr id="23" name="Rectangle: Rounded Corners 23"/>
                <wp:cNvGraphicFramePr/>
                <a:graphic xmlns:a="http://schemas.openxmlformats.org/drawingml/2006/main">
                  <a:graphicData uri="http://schemas.microsoft.com/office/word/2010/wordprocessingShape">
                    <wps:wsp>
                      <wps:cNvSpPr/>
                      <wps:spPr>
                        <a:xfrm>
                          <a:off x="0" y="0"/>
                          <a:ext cx="5528310" cy="626110"/>
                        </a:xfrm>
                        <a:prstGeom prst="roundRect">
                          <a:avLst/>
                        </a:prstGeom>
                        <a:solidFill>
                          <a:srgbClr val="C19859">
                            <a:lumMod val="20000"/>
                            <a:lumOff val="80000"/>
                          </a:srgbClr>
                        </a:solidFill>
                        <a:ln w="12700" cap="flat" cmpd="sng" algn="ctr">
                          <a:solidFill>
                            <a:srgbClr val="C19859"/>
                          </a:solidFill>
                          <a:prstDash val="solid"/>
                          <a:miter lim="800000"/>
                        </a:ln>
                        <a:effectLst/>
                      </wps:spPr>
                      <wps:txbx>
                        <w:txbxContent>
                          <w:p w14:paraId="07BBDEAA" w14:textId="77777777" w:rsidR="00B3427F" w:rsidRDefault="00B3427F" w:rsidP="00A12B00">
                            <w:pPr>
                              <w:jc w:val="center"/>
                              <w:rPr>
                                <w:rFonts w:ascii="Arial" w:hAnsi="Arial" w:cs="Arial"/>
                                <w:i/>
                                <w:iCs/>
                                <w:sz w:val="20"/>
                                <w:szCs w:val="20"/>
                              </w:rPr>
                            </w:pPr>
                            <w:r w:rsidRPr="001633E4">
                              <w:rPr>
                                <w:rFonts w:ascii="Arial" w:hAnsi="Arial" w:cs="Arial"/>
                                <w:i/>
                                <w:iCs/>
                                <w:sz w:val="20"/>
                                <w:szCs w:val="20"/>
                              </w:rPr>
                              <w:t xml:space="preserve">“The current Commonwealth EO regime fails to capture the EO research &amp; development environment, </w:t>
                            </w:r>
                            <w:r w:rsidRPr="001633E4">
                              <w:rPr>
                                <w:rFonts w:ascii="Arial" w:hAnsi="Arial" w:cs="Arial"/>
                                <w:b/>
                                <w:bCs/>
                                <w:i/>
                                <w:iCs/>
                                <w:sz w:val="20"/>
                                <w:szCs w:val="20"/>
                              </w:rPr>
                              <w:t>where risks are potentially greater or even unknown</w:t>
                            </w:r>
                            <w:r w:rsidRPr="001633E4">
                              <w:rPr>
                                <w:rFonts w:ascii="Arial" w:hAnsi="Arial" w:cs="Arial"/>
                                <w:i/>
                                <w:iCs/>
                                <w:sz w:val="20"/>
                                <w:szCs w:val="20"/>
                              </w:rPr>
                              <w:t>. It</w:t>
                            </w:r>
                            <w:r>
                              <w:rPr>
                                <w:rFonts w:ascii="Arial" w:hAnsi="Arial" w:cs="Arial"/>
                                <w:i/>
                                <w:iCs/>
                                <w:sz w:val="20"/>
                                <w:szCs w:val="20"/>
                              </w:rPr>
                              <w:t>’</w:t>
                            </w:r>
                            <w:r w:rsidRPr="001633E4">
                              <w:rPr>
                                <w:rFonts w:ascii="Arial" w:hAnsi="Arial" w:cs="Arial"/>
                                <w:i/>
                                <w:iCs/>
                                <w:sz w:val="20"/>
                                <w:szCs w:val="20"/>
                              </w:rPr>
                              <w:t>s built around a uniform "off the shelf model" where everything fits neatly into place.”</w:t>
                            </w:r>
                          </w:p>
                          <w:p w14:paraId="4D59D40F" w14:textId="77777777" w:rsidR="00B3427F" w:rsidRPr="001633E4" w:rsidRDefault="00B3427F" w:rsidP="00A12B00">
                            <w:pPr>
                              <w:rPr>
                                <w:rFonts w:ascii="Arial" w:hAnsi="Arial" w:cs="Arial"/>
                                <w:b/>
                                <w:bCs/>
                                <w:i/>
                                <w:i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15D83761" id="Rectangle: Rounded Corners 23" o:spid="_x0000_s1035" style="position:absolute;margin-left:0;margin-top:17.65pt;width:435.3pt;height:49.3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" fillcolor="#f3eade" strokecolor="#c19859" strokeweight="1pt">
                <v:stroke joinstyle="miter"/>
                <v:textbox>
                  <w:txbxContent>
                    <w:p w14:paraId="07BBDEAA" w14:textId="77777777" w:rsidR="00B3427F" w:rsidRDefault="00B3427F" w:rsidP="00A12B00">
                      <w:pPr>
                        <w:jc w:val="center"/>
                        <w:rPr>
                          <w:rFonts w:ascii="Arial" w:hAnsi="Arial" w:cs="Arial"/>
                          <w:i/>
                          <w:iCs/>
                          <w:sz w:val="20"/>
                          <w:szCs w:val="20"/>
                        </w:rPr>
                      </w:pPr>
                      <w:r w:rsidRPr="001633E4">
                        <w:rPr>
                          <w:rFonts w:ascii="Arial" w:hAnsi="Arial" w:cs="Arial"/>
                          <w:i/>
                          <w:iCs/>
                          <w:sz w:val="20"/>
                          <w:szCs w:val="20"/>
                        </w:rPr>
                        <w:t xml:space="preserve">“The current Commonwealth EO regime fails to capture the EO research &amp; development environment, </w:t>
                      </w:r>
                      <w:r w:rsidRPr="001633E4">
                        <w:rPr>
                          <w:rFonts w:ascii="Arial" w:hAnsi="Arial" w:cs="Arial"/>
                          <w:b/>
                          <w:bCs/>
                          <w:i/>
                          <w:iCs/>
                          <w:sz w:val="20"/>
                          <w:szCs w:val="20"/>
                        </w:rPr>
                        <w:t>where risks are potentially greater or even unknown</w:t>
                      </w:r>
                      <w:r w:rsidRPr="001633E4">
                        <w:rPr>
                          <w:rFonts w:ascii="Arial" w:hAnsi="Arial" w:cs="Arial"/>
                          <w:i/>
                          <w:iCs/>
                          <w:sz w:val="20"/>
                          <w:szCs w:val="20"/>
                        </w:rPr>
                        <w:t>. It</w:t>
                      </w:r>
                      <w:r>
                        <w:rPr>
                          <w:rFonts w:ascii="Arial" w:hAnsi="Arial" w:cs="Arial"/>
                          <w:i/>
                          <w:iCs/>
                          <w:sz w:val="20"/>
                          <w:szCs w:val="20"/>
                        </w:rPr>
                        <w:t>’</w:t>
                      </w:r>
                      <w:r w:rsidRPr="001633E4">
                        <w:rPr>
                          <w:rFonts w:ascii="Arial" w:hAnsi="Arial" w:cs="Arial"/>
                          <w:i/>
                          <w:iCs/>
                          <w:sz w:val="20"/>
                          <w:szCs w:val="20"/>
                        </w:rPr>
                        <w:t>s built around a uniform "off the shelf model" where everything fits neatly into place.”</w:t>
                      </w:r>
                    </w:p>
                    <w:p w14:paraId="4D59D40F" w14:textId="77777777" w:rsidR="00B3427F" w:rsidRPr="001633E4" w:rsidRDefault="00B3427F" w:rsidP="00A12B00">
                      <w:pPr>
                        <w:rPr>
                          <w:rFonts w:ascii="Arial" w:hAnsi="Arial" w:cs="Arial"/>
                          <w:b/>
                          <w:bCs/>
                          <w:i/>
                          <w:iCs/>
                          <w:sz w:val="20"/>
                          <w:szCs w:val="20"/>
                        </w:rPr>
                      </w:pPr>
                    </w:p>
                  </w:txbxContent>
                </v:textbox>
                <w10:wrap anchorx="margin"/>
              </v:roundrect>
            </w:pict>
          </mc:Fallback>
        </mc:AlternateContent>
      </w:r>
    </w:p>
    <w:p w14:paraId="35628873" w14:textId="77777777" w:rsidR="00A12B00" w:rsidRPr="00A12B00" w:rsidRDefault="00A12B00" w:rsidP="00A12B00">
      <w:pPr>
        <w:spacing w:after="0" w:line="240" w:lineRule="auto"/>
        <w:rPr>
          <w:rFonts w:ascii="Arial" w:eastAsia="Calibri" w:hAnsi="Arial" w:cs="Arial"/>
          <w:color w:val="C19859"/>
        </w:rPr>
      </w:pPr>
    </w:p>
    <w:p w14:paraId="20197959" w14:textId="77777777" w:rsidR="00A12B00" w:rsidRPr="00A12B00" w:rsidRDefault="00A12B00" w:rsidP="00A12B00">
      <w:pPr>
        <w:spacing w:after="0" w:line="240" w:lineRule="auto"/>
        <w:rPr>
          <w:rFonts w:ascii="Arial" w:eastAsia="Calibri" w:hAnsi="Arial" w:cs="Arial"/>
          <w:color w:val="C19859"/>
        </w:rPr>
      </w:pPr>
    </w:p>
    <w:p w14:paraId="0C510F72" w14:textId="77777777" w:rsidR="00A12B00" w:rsidRPr="00A12B00" w:rsidRDefault="00A12B00" w:rsidP="00A12B00">
      <w:pPr>
        <w:spacing w:after="0" w:line="240" w:lineRule="auto"/>
        <w:rPr>
          <w:rFonts w:ascii="Arial" w:eastAsia="Calibri" w:hAnsi="Arial" w:cs="Arial"/>
          <w:color w:val="C19859"/>
        </w:rPr>
      </w:pPr>
    </w:p>
    <w:p w14:paraId="1CCA402A" w14:textId="77777777" w:rsidR="00A12B00" w:rsidRPr="00A12B00" w:rsidRDefault="00A12B00" w:rsidP="00A12B00">
      <w:pPr>
        <w:spacing w:after="0" w:line="240" w:lineRule="auto"/>
        <w:rPr>
          <w:rFonts w:ascii="Arial" w:eastAsia="Calibri" w:hAnsi="Arial" w:cs="Arial"/>
          <w:color w:val="C19859"/>
        </w:rPr>
      </w:pPr>
    </w:p>
    <w:p w14:paraId="160C4422" w14:textId="77777777" w:rsidR="00A12B00" w:rsidRPr="00A12B00" w:rsidRDefault="00A12B00" w:rsidP="00A12B00">
      <w:pPr>
        <w:spacing w:after="0" w:line="240" w:lineRule="auto"/>
        <w:rPr>
          <w:rFonts w:ascii="Arial" w:eastAsia="Calibri" w:hAnsi="Arial" w:cs="Arial"/>
          <w:color w:val="C19859"/>
        </w:rPr>
      </w:pPr>
      <w:r w:rsidRPr="00A12B00">
        <w:rPr>
          <w:rFonts w:ascii="Arial" w:eastAsia="Calibri" w:hAnsi="Arial" w:cs="Arial"/>
          <w:color w:val="C19859"/>
        </w:rPr>
        <w:t>1.1.2 Changing Security Landscape and Domestic Manufacturing Capabilities</w:t>
      </w:r>
    </w:p>
    <w:p w14:paraId="6F9E7AA8" w14:textId="43262179" w:rsidR="00A12B00" w:rsidRPr="00A12B00" w:rsidRDefault="00A12B00" w:rsidP="00A12B00">
      <w:pPr>
        <w:spacing w:line="240" w:lineRule="auto"/>
        <w:rPr>
          <w:rFonts w:ascii="Arial" w:eastAsia="Calibri" w:hAnsi="Arial" w:cs="Arial"/>
        </w:rPr>
      </w:pPr>
      <w:r w:rsidRPr="00A12B00">
        <w:rPr>
          <w:rFonts w:ascii="Arial" w:eastAsia="Calibri" w:hAnsi="Arial" w:cs="Arial"/>
        </w:rPr>
        <w:t>In recent years, risks to Australia’s national interest, including national security, have increased because of changing international relations, the international security environment, and rapid technological evolution.</w:t>
      </w:r>
      <w:r w:rsidRPr="00A12B00">
        <w:rPr>
          <w:rFonts w:ascii="Arial" w:eastAsia="Calibri" w:hAnsi="Arial" w:cs="Arial"/>
          <w:vertAlign w:val="superscript"/>
        </w:rPr>
        <w:footnoteReference w:id="3"/>
      </w:r>
      <w:r w:rsidRPr="00A12B00">
        <w:rPr>
          <w:rFonts w:ascii="Arial" w:eastAsia="Calibri" w:hAnsi="Arial" w:cs="Arial"/>
        </w:rPr>
        <w:t xml:space="preserve"> Safeguarding Australia’s national security and sovereignty </w:t>
      </w:r>
      <w:r w:rsidR="002A2EAD">
        <w:rPr>
          <w:rFonts w:ascii="Arial" w:eastAsia="Calibri" w:hAnsi="Arial" w:cs="Arial"/>
        </w:rPr>
        <w:t>relies</w:t>
      </w:r>
      <w:r w:rsidRPr="00A12B00">
        <w:rPr>
          <w:rFonts w:ascii="Arial" w:eastAsia="Calibri" w:hAnsi="Arial" w:cs="Arial"/>
        </w:rPr>
        <w:t xml:space="preserve"> on a strong Defence industry, underpinned by independent and resilient domestic manufacturing capabilities. </w:t>
      </w:r>
    </w:p>
    <w:p w14:paraId="2DD4629D" w14:textId="27CA517A" w:rsidR="00A12B00" w:rsidRPr="00A12B00" w:rsidRDefault="00A12B00" w:rsidP="00A12B00">
      <w:pPr>
        <w:autoSpaceDE w:val="0"/>
        <w:autoSpaceDN w:val="0"/>
        <w:adjustRightInd w:val="0"/>
        <w:spacing w:before="160" w:line="240" w:lineRule="auto"/>
        <w:rPr>
          <w:rFonts w:ascii="Arial" w:eastAsia="Calibri" w:hAnsi="Arial" w:cs="Arial"/>
        </w:rPr>
      </w:pPr>
      <w:r w:rsidRPr="00A12B00">
        <w:rPr>
          <w:rFonts w:ascii="Arial" w:eastAsia="Calibri" w:hAnsi="Arial" w:cs="Arial"/>
        </w:rPr>
        <w:t>The Department of Defence’s 2020 Strategic Update (‘the Strategic Update’) provides that, increasingly, ‘…emerging and disruptive technologies will be rapidly translated into weapons systems – such as sophisticated sensors, autonomous systems and long-range and high-speed weapons…’</w:t>
      </w:r>
      <w:r w:rsidRPr="00A12B00">
        <w:rPr>
          <w:rFonts w:ascii="Arial" w:eastAsia="Calibri" w:hAnsi="Arial" w:cs="Arial"/>
          <w:vertAlign w:val="superscript"/>
        </w:rPr>
        <w:footnoteReference w:id="4"/>
      </w:r>
      <w:r w:rsidRPr="00A12B00">
        <w:rPr>
          <w:rFonts w:ascii="Arial" w:eastAsia="Calibri" w:hAnsi="Arial" w:cs="Arial"/>
        </w:rPr>
        <w:t xml:space="preserve"> While educated, mobile and qualified workforces are sought to facilitate such developments, the pace with which technology is changing inevitably increases risk. Such risks require a dynamic, adaptable regulatory framework, capable of maintaining pace </w:t>
      </w:r>
      <w:r w:rsidR="00A97C81">
        <w:rPr>
          <w:rFonts w:ascii="Arial" w:eastAsia="Calibri" w:hAnsi="Arial" w:cs="Arial"/>
        </w:rPr>
        <w:t xml:space="preserve">with </w:t>
      </w:r>
      <w:r w:rsidRPr="00A12B00">
        <w:rPr>
          <w:rFonts w:ascii="Arial" w:eastAsia="Calibri" w:hAnsi="Arial" w:cs="Arial"/>
        </w:rPr>
        <w:t>relevant developments and ensuring the safety and security of those involved with Commonwealth explosives. The increasing profile and volatility of non-state actors, including terrorists, has also complicated Australia’s security environment and heighten the need to prioritise preparedness, and the safe and expeditious movement of Commonwealth explosives.</w:t>
      </w:r>
      <w:r w:rsidRPr="00A12B00">
        <w:rPr>
          <w:rFonts w:ascii="Arial" w:eastAsia="Calibri" w:hAnsi="Arial" w:cs="Arial"/>
          <w:vertAlign w:val="superscript"/>
        </w:rPr>
        <w:footnoteReference w:id="5"/>
      </w:r>
    </w:p>
    <w:p w14:paraId="1F719862" w14:textId="5BE992CA" w:rsidR="007F42FC" w:rsidRPr="00A12B00" w:rsidRDefault="00A12B00" w:rsidP="00A12B00">
      <w:pPr>
        <w:spacing w:line="240" w:lineRule="auto"/>
        <w:rPr>
          <w:rFonts w:ascii="Arial" w:eastAsia="Calibri" w:hAnsi="Arial" w:cs="Arial"/>
        </w:rPr>
      </w:pPr>
      <w:r w:rsidRPr="00A12B00">
        <w:rPr>
          <w:rFonts w:ascii="Arial" w:eastAsia="Calibri" w:hAnsi="Arial" w:cs="Arial"/>
        </w:rPr>
        <w:t>On the issue of reform, the Strategic Update suggests it is an ongoing and purposeful process, with evolution and adaptability essential ‘…to meet Australia’s changing strategic environment and maintain alignment of strategy, capability, and resources.’</w:t>
      </w:r>
      <w:r w:rsidRPr="00A12B00">
        <w:rPr>
          <w:rFonts w:ascii="Arial" w:eastAsia="Calibri" w:hAnsi="Arial" w:cs="Arial"/>
          <w:vertAlign w:val="superscript"/>
        </w:rPr>
        <w:footnoteReference w:id="6"/>
      </w:r>
      <w:r w:rsidRPr="00A12B00">
        <w:rPr>
          <w:rFonts w:ascii="Arial" w:eastAsia="Calibri" w:hAnsi="Arial" w:cs="Arial"/>
        </w:rPr>
        <w:t xml:space="preserve"> Readiness and supply surety </w:t>
      </w:r>
      <w:r w:rsidR="002A2EAD">
        <w:rPr>
          <w:rFonts w:ascii="Arial" w:eastAsia="Calibri" w:hAnsi="Arial" w:cs="Arial"/>
        </w:rPr>
        <w:t xml:space="preserve">depend </w:t>
      </w:r>
      <w:r w:rsidRPr="00A12B00">
        <w:rPr>
          <w:rFonts w:ascii="Arial" w:eastAsia="Calibri" w:hAnsi="Arial" w:cs="Arial"/>
        </w:rPr>
        <w:t>on safe and compliant operations, best achieved through a fit</w:t>
      </w:r>
      <w:r w:rsidR="002A2EAD">
        <w:rPr>
          <w:rFonts w:ascii="Arial" w:eastAsia="Calibri" w:hAnsi="Arial" w:cs="Arial"/>
        </w:rPr>
        <w:t xml:space="preserve"> </w:t>
      </w:r>
      <w:r w:rsidRPr="00A12B00">
        <w:rPr>
          <w:rFonts w:ascii="Arial" w:eastAsia="Calibri" w:hAnsi="Arial" w:cs="Arial"/>
        </w:rPr>
        <w:t>for</w:t>
      </w:r>
      <w:r w:rsidR="002A2EAD">
        <w:rPr>
          <w:rFonts w:ascii="Arial" w:eastAsia="Calibri" w:hAnsi="Arial" w:cs="Arial"/>
        </w:rPr>
        <w:t xml:space="preserve"> </w:t>
      </w:r>
      <w:r w:rsidRPr="00A12B00">
        <w:rPr>
          <w:rFonts w:ascii="Arial" w:eastAsia="Calibri" w:hAnsi="Arial" w:cs="Arial"/>
        </w:rPr>
        <w:t>purpose and comprehensive regulatory regime.</w:t>
      </w:r>
      <w:r w:rsidRPr="00A12B00">
        <w:rPr>
          <w:rFonts w:ascii="Arial" w:eastAsia="Calibri" w:hAnsi="Arial" w:cs="Arial"/>
          <w:vertAlign w:val="superscript"/>
        </w:rPr>
        <w:footnoteReference w:id="7"/>
      </w:r>
      <w:r w:rsidRPr="00A12B00">
        <w:rPr>
          <w:rFonts w:ascii="Arial" w:eastAsia="Calibri" w:hAnsi="Arial" w:cs="Arial"/>
        </w:rPr>
        <w:t xml:space="preserve"> </w:t>
      </w:r>
    </w:p>
    <w:p w14:paraId="40509C9F" w14:textId="77777777" w:rsidR="00A12B00" w:rsidRPr="00A12B00" w:rsidRDefault="00A12B00" w:rsidP="00A12B00">
      <w:pPr>
        <w:keepNext/>
        <w:keepLines/>
        <w:spacing w:before="120" w:after="0" w:line="240" w:lineRule="auto"/>
        <w:outlineLvl w:val="1"/>
        <w:rPr>
          <w:rFonts w:ascii="Arial" w:eastAsia="Times New Roman" w:hAnsi="Arial" w:cs="Arial"/>
          <w:color w:val="E86D1F"/>
          <w:sz w:val="26"/>
          <w:szCs w:val="26"/>
        </w:rPr>
      </w:pPr>
      <w:bookmarkStart w:id="17" w:name="_Toc101961112"/>
      <w:r w:rsidRPr="00A12B00">
        <w:rPr>
          <w:rFonts w:ascii="Arial" w:eastAsia="Times New Roman" w:hAnsi="Arial" w:cs="Arial"/>
          <w:color w:val="E86D1F"/>
          <w:sz w:val="26"/>
          <w:szCs w:val="26"/>
        </w:rPr>
        <w:t>1.2 Absence of Clear, Enforceable Safety and Security Standards</w:t>
      </w:r>
      <w:bookmarkEnd w:id="17"/>
    </w:p>
    <w:p w14:paraId="6F955434" w14:textId="0D2699D8" w:rsidR="00A12B00" w:rsidRPr="00A12B00" w:rsidRDefault="00A12B00" w:rsidP="00A12B00">
      <w:pPr>
        <w:spacing w:line="240" w:lineRule="auto"/>
        <w:rPr>
          <w:rFonts w:ascii="Arial" w:eastAsia="Calibri" w:hAnsi="Arial" w:cs="Arial"/>
        </w:rPr>
      </w:pPr>
      <w:r w:rsidRPr="00A12B00">
        <w:rPr>
          <w:rFonts w:ascii="Arial" w:eastAsia="Calibri" w:hAnsi="Arial" w:cs="Arial"/>
        </w:rPr>
        <w:t xml:space="preserve">Within the Commonwealth, various </w:t>
      </w:r>
      <w:r w:rsidR="002A2EAD">
        <w:rPr>
          <w:rFonts w:ascii="Arial" w:eastAsia="Calibri" w:hAnsi="Arial" w:cs="Arial"/>
        </w:rPr>
        <w:t>a</w:t>
      </w:r>
      <w:r w:rsidRPr="00A12B00">
        <w:rPr>
          <w:rFonts w:ascii="Arial" w:eastAsia="Calibri" w:hAnsi="Arial" w:cs="Arial"/>
        </w:rPr>
        <w:t xml:space="preserve">gencies are allocated responsibility for explosives, munitions and systems (containing explosives) which are not generally available to the public or industry. This is due to the inherent dangers associated with such items. Where Commonwealth explosives are not comprehensively regulated by clear safety and security standards, community and environmental safety and security, along with the safety and security of Commonwealth explosives activities, may be compromised. </w:t>
      </w:r>
    </w:p>
    <w:p w14:paraId="4ECC43EE" w14:textId="2A6AD379" w:rsidR="00A12B00" w:rsidRPr="00A12B00" w:rsidRDefault="00A12B00" w:rsidP="00A12B00">
      <w:pPr>
        <w:spacing w:after="0"/>
        <w:rPr>
          <w:rFonts w:ascii="Arial" w:eastAsia="Calibri" w:hAnsi="Arial" w:cs="Arial"/>
          <w:color w:val="997339"/>
        </w:rPr>
      </w:pPr>
      <w:bookmarkStart w:id="18" w:name="_Toc83804535"/>
      <w:r w:rsidRPr="00A12B00">
        <w:rPr>
          <w:rFonts w:ascii="Arial" w:eastAsia="Calibri" w:hAnsi="Arial" w:cs="Arial"/>
          <w:color w:val="997339"/>
        </w:rPr>
        <w:lastRenderedPageBreak/>
        <w:t xml:space="preserve">1.2.1 Explosives </w:t>
      </w:r>
      <w:r w:rsidR="001B352F">
        <w:rPr>
          <w:rFonts w:ascii="Arial" w:eastAsia="Calibri" w:hAnsi="Arial" w:cs="Arial"/>
          <w:color w:val="997339"/>
        </w:rPr>
        <w:t>P</w:t>
      </w:r>
      <w:r w:rsidRPr="00A12B00">
        <w:rPr>
          <w:rFonts w:ascii="Arial" w:eastAsia="Calibri" w:hAnsi="Arial" w:cs="Arial"/>
          <w:color w:val="997339"/>
        </w:rPr>
        <w:t xml:space="preserve">ose </w:t>
      </w:r>
      <w:r w:rsidR="001B352F">
        <w:rPr>
          <w:rFonts w:ascii="Arial" w:eastAsia="Calibri" w:hAnsi="Arial" w:cs="Arial"/>
          <w:color w:val="997339"/>
        </w:rPr>
        <w:t>I</w:t>
      </w:r>
      <w:r w:rsidRPr="00A12B00">
        <w:rPr>
          <w:rFonts w:ascii="Arial" w:eastAsia="Calibri" w:hAnsi="Arial" w:cs="Arial"/>
          <w:color w:val="997339"/>
        </w:rPr>
        <w:t xml:space="preserve">nherent </w:t>
      </w:r>
      <w:r w:rsidR="001B352F">
        <w:rPr>
          <w:rFonts w:ascii="Arial" w:eastAsia="Calibri" w:hAnsi="Arial" w:cs="Arial"/>
          <w:color w:val="997339"/>
        </w:rPr>
        <w:t>Safety R</w:t>
      </w:r>
      <w:r w:rsidRPr="00A12B00">
        <w:rPr>
          <w:rFonts w:ascii="Arial" w:eastAsia="Calibri" w:hAnsi="Arial" w:cs="Arial"/>
          <w:color w:val="997339"/>
        </w:rPr>
        <w:t xml:space="preserve">isks to the </w:t>
      </w:r>
      <w:r w:rsidR="001B352F">
        <w:rPr>
          <w:rFonts w:ascii="Arial" w:eastAsia="Calibri" w:hAnsi="Arial" w:cs="Arial"/>
          <w:color w:val="997339"/>
        </w:rPr>
        <w:t>C</w:t>
      </w:r>
      <w:r w:rsidRPr="00A12B00">
        <w:rPr>
          <w:rFonts w:ascii="Arial" w:eastAsia="Calibri" w:hAnsi="Arial" w:cs="Arial"/>
          <w:color w:val="997339"/>
        </w:rPr>
        <w:t xml:space="preserve">ommunity and </w:t>
      </w:r>
      <w:r w:rsidR="001B352F">
        <w:rPr>
          <w:rFonts w:ascii="Arial" w:eastAsia="Calibri" w:hAnsi="Arial" w:cs="Arial"/>
          <w:color w:val="997339"/>
        </w:rPr>
        <w:t>P</w:t>
      </w:r>
      <w:r w:rsidRPr="00A12B00">
        <w:rPr>
          <w:rFonts w:ascii="Arial" w:eastAsia="Calibri" w:hAnsi="Arial" w:cs="Arial"/>
          <w:color w:val="997339"/>
        </w:rPr>
        <w:t>ublic</w:t>
      </w:r>
      <w:bookmarkEnd w:id="18"/>
      <w:r w:rsidRPr="00A12B00">
        <w:rPr>
          <w:rFonts w:ascii="Arial" w:eastAsia="Calibri" w:hAnsi="Arial" w:cs="Arial"/>
          <w:color w:val="997339"/>
        </w:rPr>
        <w:t xml:space="preserve"> </w:t>
      </w:r>
    </w:p>
    <w:p w14:paraId="0D56D0D0" w14:textId="5D52DCD0" w:rsidR="00A12B00" w:rsidRPr="00A12B00" w:rsidRDefault="00A12B00" w:rsidP="00A12B00">
      <w:pPr>
        <w:autoSpaceDE w:val="0"/>
        <w:autoSpaceDN w:val="0"/>
        <w:adjustRightInd w:val="0"/>
        <w:spacing w:line="240" w:lineRule="auto"/>
        <w:rPr>
          <w:rFonts w:ascii="Arial" w:eastAsia="Calibri" w:hAnsi="Arial" w:cs="Arial"/>
        </w:rPr>
      </w:pPr>
      <w:r w:rsidRPr="00A12B00">
        <w:rPr>
          <w:rFonts w:ascii="Arial" w:eastAsia="Calibri" w:hAnsi="Arial" w:cs="Arial"/>
        </w:rPr>
        <w:t xml:space="preserve">Explosives, designed to explode or ignite in a violent manner, are inherently hazardous. They vary in their sensitivity to heat, friction, shock, and impact, with their volatility susceptible to changes in climate and their rate of deterioration. Despite an identified need to design and manufacture explosives with safety and stability in mind, poor packaging, storage, or transportation can lead to degradation, increased sensitivity, and a heightened risk of unintended detonation, endangering nearby persons and environments. Recognising this risk, each Australian </w:t>
      </w:r>
      <w:r w:rsidR="00A34CF2">
        <w:rPr>
          <w:rFonts w:ascii="Arial" w:eastAsia="Calibri" w:hAnsi="Arial" w:cs="Arial"/>
        </w:rPr>
        <w:t>S</w:t>
      </w:r>
      <w:r w:rsidRPr="00A12B00">
        <w:rPr>
          <w:rFonts w:ascii="Arial" w:eastAsia="Calibri" w:hAnsi="Arial" w:cs="Arial"/>
        </w:rPr>
        <w:t xml:space="preserve">tate and </w:t>
      </w:r>
      <w:r w:rsidR="00A34CF2">
        <w:rPr>
          <w:rFonts w:ascii="Arial" w:eastAsia="Calibri" w:hAnsi="Arial" w:cs="Arial"/>
        </w:rPr>
        <w:t>T</w:t>
      </w:r>
      <w:r w:rsidRPr="00A12B00">
        <w:rPr>
          <w:rFonts w:ascii="Arial" w:eastAsia="Calibri" w:hAnsi="Arial" w:cs="Arial"/>
        </w:rPr>
        <w:t xml:space="preserve">erritory has developed and introduced its own suite of explosives safety and security regulation, aimed at reducing the risk of serious injury or death for persons engaged in explosives activities, and mitigating the potentially adverse environmental and public safety impacts of explosives. </w:t>
      </w:r>
      <w:r w:rsidR="00B222BA">
        <w:rPr>
          <w:rFonts w:ascii="Arial" w:eastAsia="Calibri" w:hAnsi="Arial" w:cs="Arial"/>
        </w:rPr>
        <w:t xml:space="preserve">The Commonwealth legislation, however, has not evolved in line with national and international good practice in regulation of these safety and security risks. </w:t>
      </w:r>
    </w:p>
    <w:p w14:paraId="56957CC0" w14:textId="77777777" w:rsidR="00A12B00" w:rsidRPr="00A12B00" w:rsidRDefault="00A12B00" w:rsidP="00A12B00">
      <w:pPr>
        <w:autoSpaceDE w:val="0"/>
        <w:autoSpaceDN w:val="0"/>
        <w:adjustRightInd w:val="0"/>
        <w:spacing w:line="240" w:lineRule="auto"/>
        <w:rPr>
          <w:rFonts w:ascii="Arial" w:eastAsia="Calibri" w:hAnsi="Arial" w:cs="Arial"/>
        </w:rPr>
      </w:pPr>
      <w:r w:rsidRPr="00A12B00">
        <w:rPr>
          <w:rFonts w:ascii="Arial" w:eastAsia="Calibri" w:hAnsi="Arial" w:cs="Arial"/>
        </w:rPr>
        <w:t xml:space="preserve">The case studies below provide examples of explosives incidents, their contributing or causal factors, and the regulatory lessons learned.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12B00" w:rsidRPr="00A12B00" w14:paraId="02EECFB9" w14:textId="77777777" w:rsidTr="00A12B00">
        <w:tc>
          <w:tcPr>
            <w:tcW w:w="9016" w:type="dxa"/>
            <w:shd w:val="clear" w:color="auto" w:fill="F07F09"/>
          </w:tcPr>
          <w:p w14:paraId="3FDFACA3" w14:textId="77777777" w:rsidR="00A12B00" w:rsidRPr="00A12B00" w:rsidRDefault="00A12B00" w:rsidP="00A12B00">
            <w:pPr>
              <w:jc w:val="center"/>
              <w:rPr>
                <w:rFonts w:ascii="Arial" w:eastAsia="Calibri" w:hAnsi="Arial" w:cs="Arial"/>
                <w:b/>
                <w:bCs/>
                <w:color w:val="FFFFFF"/>
                <w:sz w:val="20"/>
                <w:szCs w:val="20"/>
              </w:rPr>
            </w:pPr>
            <w:proofErr w:type="spellStart"/>
            <w:r w:rsidRPr="00A12B00">
              <w:rPr>
                <w:rFonts w:ascii="Arial" w:eastAsia="Calibri" w:hAnsi="Arial" w:cs="Arial"/>
                <w:b/>
                <w:bCs/>
                <w:color w:val="FFFFFF"/>
                <w:sz w:val="20"/>
                <w:szCs w:val="20"/>
              </w:rPr>
              <w:t>Evangelos</w:t>
            </w:r>
            <w:proofErr w:type="spellEnd"/>
            <w:r w:rsidRPr="00A12B00">
              <w:rPr>
                <w:rFonts w:ascii="Arial" w:eastAsia="Calibri" w:hAnsi="Arial" w:cs="Arial"/>
                <w:b/>
                <w:bCs/>
                <w:color w:val="FFFFFF"/>
                <w:sz w:val="20"/>
                <w:szCs w:val="20"/>
              </w:rPr>
              <w:t xml:space="preserve"> </w:t>
            </w:r>
            <w:proofErr w:type="spellStart"/>
            <w:r w:rsidRPr="00A12B00">
              <w:rPr>
                <w:rFonts w:ascii="Arial" w:eastAsia="Calibri" w:hAnsi="Arial" w:cs="Arial"/>
                <w:b/>
                <w:bCs/>
                <w:color w:val="FFFFFF"/>
                <w:sz w:val="20"/>
                <w:szCs w:val="20"/>
              </w:rPr>
              <w:t>Florakis</w:t>
            </w:r>
            <w:proofErr w:type="spellEnd"/>
            <w:r w:rsidRPr="00A12B00">
              <w:rPr>
                <w:rFonts w:ascii="Arial" w:eastAsia="Calibri" w:hAnsi="Arial" w:cs="Arial"/>
                <w:b/>
                <w:bCs/>
                <w:color w:val="FFFFFF"/>
                <w:sz w:val="20"/>
                <w:szCs w:val="20"/>
              </w:rPr>
              <w:t xml:space="preserve"> Naval Base, Cyprus (2011)</w:t>
            </w:r>
            <w:r w:rsidRPr="00A12B00">
              <w:rPr>
                <w:rFonts w:ascii="Arial" w:eastAsia="Calibri" w:hAnsi="Arial" w:cs="Arial"/>
                <w:b/>
                <w:bCs/>
                <w:color w:val="FFFFFF"/>
                <w:sz w:val="20"/>
                <w:szCs w:val="20"/>
                <w:vertAlign w:val="superscript"/>
              </w:rPr>
              <w:footnoteReference w:id="8"/>
            </w:r>
          </w:p>
        </w:tc>
      </w:tr>
      <w:tr w:rsidR="00A12B00" w:rsidRPr="00A12B00" w14:paraId="033AF065" w14:textId="77777777" w:rsidTr="00A12B00">
        <w:tc>
          <w:tcPr>
            <w:tcW w:w="9016" w:type="dxa"/>
            <w:shd w:val="clear" w:color="auto" w:fill="FDE5CC"/>
          </w:tcPr>
          <w:p w14:paraId="1EA38BE7" w14:textId="5B704B4E" w:rsidR="00A12B00" w:rsidRPr="00A12B00" w:rsidRDefault="00A12B00" w:rsidP="00A12B00">
            <w:pPr>
              <w:autoSpaceDE w:val="0"/>
              <w:autoSpaceDN w:val="0"/>
              <w:adjustRightInd w:val="0"/>
              <w:rPr>
                <w:rFonts w:ascii="Arial" w:eastAsia="Calibri" w:hAnsi="Arial" w:cs="Arial"/>
                <w:color w:val="323232"/>
                <w:sz w:val="20"/>
                <w:szCs w:val="20"/>
              </w:rPr>
            </w:pPr>
            <w:r w:rsidRPr="00A12B00">
              <w:rPr>
                <w:rFonts w:ascii="Arial" w:eastAsia="Calibri" w:hAnsi="Arial" w:cs="Arial"/>
                <w:b/>
                <w:bCs/>
                <w:color w:val="323232"/>
                <w:sz w:val="20"/>
                <w:szCs w:val="20"/>
              </w:rPr>
              <w:t>Situation:</w:t>
            </w:r>
            <w:r w:rsidRPr="00A12B00">
              <w:rPr>
                <w:rFonts w:ascii="Arial" w:eastAsia="Calibri" w:hAnsi="Arial" w:cs="Arial"/>
                <w:color w:val="323232"/>
                <w:sz w:val="20"/>
                <w:szCs w:val="20"/>
              </w:rPr>
              <w:t xml:space="preserve"> In 2009, the US Navy intercepted the Cypriot-flagged, Russian-owned vessel, </w:t>
            </w:r>
            <w:proofErr w:type="spellStart"/>
            <w:r w:rsidRPr="00A12B00">
              <w:rPr>
                <w:rFonts w:ascii="Arial" w:eastAsia="Calibri" w:hAnsi="Arial" w:cs="Arial"/>
                <w:color w:val="323232"/>
                <w:sz w:val="20"/>
                <w:szCs w:val="20"/>
              </w:rPr>
              <w:t>Monchegorsk</w:t>
            </w:r>
            <w:proofErr w:type="spellEnd"/>
            <w:r w:rsidRPr="00A12B00">
              <w:rPr>
                <w:rFonts w:ascii="Arial" w:eastAsia="Calibri" w:hAnsi="Arial" w:cs="Arial"/>
                <w:color w:val="323232"/>
                <w:sz w:val="20"/>
                <w:szCs w:val="20"/>
              </w:rPr>
              <w:t xml:space="preserve">, travelling from Iran to Syria in the Red Sea. The ship contained a significant quantity of high explosive artillery shells, shell casings, compressed gunpowder, primers, and magnesium primers. Following pressure from the United Nations, who noted the shipment was in direct violation of UN Security Council sanctions against Iran, the ship was escorted to a Cypriot port. The Cyprian Navy took responsibility for the explosives, storing them in 98 ISO shipping containers. In 2011, it was discovered that a minor explosion and fire had occurred in one container. One week later, a fire was reported in the containers, with the containers </w:t>
            </w:r>
            <w:r w:rsidR="003B5049" w:rsidRPr="00A12B00">
              <w:rPr>
                <w:rFonts w:ascii="Arial" w:eastAsia="Calibri" w:hAnsi="Arial" w:cs="Arial"/>
                <w:color w:val="323232"/>
                <w:sz w:val="20"/>
                <w:szCs w:val="20"/>
              </w:rPr>
              <w:t>detonating</w:t>
            </w:r>
            <w:r w:rsidRPr="00A12B00">
              <w:rPr>
                <w:rFonts w:ascii="Arial" w:eastAsia="Calibri" w:hAnsi="Arial" w:cs="Arial"/>
                <w:color w:val="323232"/>
                <w:sz w:val="20"/>
                <w:szCs w:val="20"/>
              </w:rPr>
              <w:t xml:space="preserve"> a short time after. </w:t>
            </w:r>
          </w:p>
        </w:tc>
      </w:tr>
      <w:tr w:rsidR="00A12B00" w:rsidRPr="00A12B00" w14:paraId="321CD4CA" w14:textId="77777777" w:rsidTr="00FD7A5B">
        <w:trPr>
          <w:cantSplit/>
        </w:trPr>
        <w:tc>
          <w:tcPr>
            <w:tcW w:w="9016" w:type="dxa"/>
          </w:tcPr>
          <w:p w14:paraId="07250426" w14:textId="77777777" w:rsidR="00A12B00" w:rsidRPr="00A12B00" w:rsidRDefault="00A12B00" w:rsidP="00A12B00">
            <w:pPr>
              <w:autoSpaceDE w:val="0"/>
              <w:autoSpaceDN w:val="0"/>
              <w:adjustRightInd w:val="0"/>
              <w:rPr>
                <w:rFonts w:ascii="Arial" w:eastAsia="Calibri" w:hAnsi="Arial" w:cs="Arial"/>
                <w:color w:val="323232"/>
                <w:sz w:val="20"/>
                <w:szCs w:val="20"/>
              </w:rPr>
            </w:pPr>
            <w:r w:rsidRPr="00A12B00">
              <w:rPr>
                <w:rFonts w:ascii="Arial" w:eastAsia="Calibri" w:hAnsi="Arial" w:cs="Arial"/>
                <w:b/>
                <w:bCs/>
                <w:color w:val="323232"/>
                <w:sz w:val="20"/>
                <w:szCs w:val="20"/>
              </w:rPr>
              <w:t xml:space="preserve">Outcome: </w:t>
            </w:r>
            <w:r w:rsidRPr="00A12B00">
              <w:rPr>
                <w:rFonts w:ascii="Arial" w:eastAsia="Calibri" w:hAnsi="Arial" w:cs="Arial"/>
                <w:color w:val="323232"/>
                <w:sz w:val="20"/>
                <w:szCs w:val="20"/>
              </w:rPr>
              <w:t>The explosion killed a total of 13 people and injured 62 others. It</w:t>
            </w:r>
            <w:r w:rsidRPr="00A12B00">
              <w:rPr>
                <w:rFonts w:ascii="Arial" w:eastAsia="Calibri" w:hAnsi="Arial" w:cs="Arial"/>
                <w:b/>
                <w:bCs/>
                <w:color w:val="323232"/>
                <w:sz w:val="20"/>
                <w:szCs w:val="20"/>
              </w:rPr>
              <w:t xml:space="preserve"> </w:t>
            </w:r>
            <w:r w:rsidRPr="00A12B00">
              <w:rPr>
                <w:rFonts w:ascii="Arial" w:eastAsia="Calibri" w:hAnsi="Arial" w:cs="Arial"/>
                <w:color w:val="323232"/>
                <w:sz w:val="20"/>
                <w:szCs w:val="20"/>
              </w:rPr>
              <w:t>also caused extensive damage in the surrounding area. The largest power facility on Cyprus, which provided approximately half the island’s electricity, was severely damaged. This caused widespread power outages in the Cypriot capital of Nicosia, more than 65km from the site of the explosion. The cost of the damage caused by the blast was estimated at €2 billion with the loss of power supplies expected to cause ongoing economic loss.</w:t>
            </w:r>
          </w:p>
        </w:tc>
      </w:tr>
      <w:tr w:rsidR="00A12B00" w:rsidRPr="00A12B00" w14:paraId="2A8E994A" w14:textId="77777777" w:rsidTr="00A12B00">
        <w:tc>
          <w:tcPr>
            <w:tcW w:w="9016" w:type="dxa"/>
            <w:shd w:val="clear" w:color="auto" w:fill="FDE5CC"/>
          </w:tcPr>
          <w:p w14:paraId="171C0F96" w14:textId="77777777" w:rsidR="00A12B00" w:rsidRPr="00A12B00" w:rsidRDefault="00A12B00" w:rsidP="00A12B00">
            <w:pPr>
              <w:rPr>
                <w:rFonts w:ascii="Arial" w:eastAsia="Calibri" w:hAnsi="Arial" w:cs="Arial"/>
                <w:color w:val="323232"/>
                <w:sz w:val="20"/>
                <w:szCs w:val="20"/>
              </w:rPr>
            </w:pPr>
            <w:r w:rsidRPr="00A12B00">
              <w:rPr>
                <w:rFonts w:ascii="Arial" w:eastAsia="Calibri" w:hAnsi="Arial" w:cs="Arial"/>
                <w:b/>
                <w:bCs/>
                <w:color w:val="323232"/>
                <w:sz w:val="20"/>
                <w:szCs w:val="20"/>
              </w:rPr>
              <w:t xml:space="preserve">Lesson Learned: </w:t>
            </w:r>
            <w:r w:rsidRPr="00A12B00">
              <w:rPr>
                <w:rFonts w:ascii="Arial" w:eastAsia="Calibri" w:hAnsi="Arial" w:cs="Arial"/>
                <w:color w:val="323232"/>
                <w:sz w:val="20"/>
                <w:szCs w:val="20"/>
              </w:rPr>
              <w:t>This case study highlights the potential instability of explosives materials and the importance of safe, secure explosives storage requirements. Without these, there is a high likelihood that death, significant injury, and environmental damage will eventuate.</w:t>
            </w:r>
          </w:p>
        </w:tc>
      </w:tr>
      <w:tr w:rsidR="00A12B00" w:rsidRPr="00A12B00" w14:paraId="567EA1CC" w14:textId="77777777" w:rsidTr="00A12B00">
        <w:tc>
          <w:tcPr>
            <w:tcW w:w="9016" w:type="dxa"/>
            <w:shd w:val="clear" w:color="auto" w:fill="FFFFFF"/>
          </w:tcPr>
          <w:p w14:paraId="3B9B7906" w14:textId="77777777" w:rsidR="00A12B00" w:rsidRPr="00A12B00" w:rsidRDefault="00A12B00" w:rsidP="00A12B00">
            <w:pPr>
              <w:rPr>
                <w:rFonts w:ascii="Arial" w:eastAsia="Calibri" w:hAnsi="Arial" w:cs="Arial"/>
                <w:b/>
                <w:bCs/>
                <w:color w:val="323232"/>
              </w:rPr>
            </w:pPr>
          </w:p>
        </w:tc>
      </w:tr>
      <w:tr w:rsidR="00A12B00" w:rsidRPr="00A12B00" w14:paraId="7524B5C7" w14:textId="77777777" w:rsidTr="00A12B00">
        <w:tc>
          <w:tcPr>
            <w:tcW w:w="9016" w:type="dxa"/>
            <w:shd w:val="clear" w:color="auto" w:fill="F07F09"/>
          </w:tcPr>
          <w:p w14:paraId="531203B2" w14:textId="77777777" w:rsidR="00A12B00" w:rsidRPr="00A12B00" w:rsidRDefault="00A12B00" w:rsidP="00A12B00">
            <w:pPr>
              <w:jc w:val="center"/>
              <w:rPr>
                <w:rFonts w:ascii="Arial" w:eastAsia="Calibri" w:hAnsi="Arial" w:cs="Arial"/>
                <w:b/>
                <w:bCs/>
                <w:color w:val="FFFFFF"/>
                <w:sz w:val="20"/>
                <w:szCs w:val="20"/>
              </w:rPr>
            </w:pPr>
            <w:r w:rsidRPr="00A12B00">
              <w:rPr>
                <w:rFonts w:ascii="Arial" w:eastAsia="Calibri" w:hAnsi="Arial" w:cs="Arial"/>
                <w:b/>
                <w:bCs/>
                <w:color w:val="FFFFFF"/>
                <w:sz w:val="20"/>
                <w:szCs w:val="20"/>
              </w:rPr>
              <w:t>Truck Carrying Ammonium Nitrate Explodes in Queensland (2014)</w:t>
            </w:r>
          </w:p>
        </w:tc>
      </w:tr>
      <w:tr w:rsidR="00A12B00" w:rsidRPr="00A12B00" w14:paraId="713978E2" w14:textId="77777777" w:rsidTr="00A12B00">
        <w:tc>
          <w:tcPr>
            <w:tcW w:w="9016" w:type="dxa"/>
            <w:shd w:val="clear" w:color="auto" w:fill="FDE5CC"/>
          </w:tcPr>
          <w:p w14:paraId="1C5E85A3" w14:textId="77777777" w:rsidR="00A12B00" w:rsidRPr="00A12B00" w:rsidRDefault="00A12B00" w:rsidP="00A12B00">
            <w:pPr>
              <w:autoSpaceDE w:val="0"/>
              <w:autoSpaceDN w:val="0"/>
              <w:adjustRightInd w:val="0"/>
              <w:rPr>
                <w:rFonts w:ascii="Calibri" w:eastAsia="Calibri" w:hAnsi="Calibri" w:cs="Calibri"/>
                <w:color w:val="000000"/>
                <w:sz w:val="20"/>
                <w:szCs w:val="20"/>
              </w:rPr>
            </w:pPr>
            <w:r w:rsidRPr="00A12B00">
              <w:rPr>
                <w:rFonts w:ascii="Arial" w:eastAsia="Calibri" w:hAnsi="Arial" w:cs="Arial"/>
                <w:b/>
                <w:bCs/>
                <w:color w:val="323232"/>
                <w:sz w:val="20"/>
                <w:szCs w:val="20"/>
              </w:rPr>
              <w:t xml:space="preserve">Situation: </w:t>
            </w:r>
            <w:r w:rsidRPr="00A12B00">
              <w:rPr>
                <w:rFonts w:ascii="Arial" w:eastAsia="Calibri" w:hAnsi="Arial" w:cs="Arial"/>
                <w:color w:val="323232"/>
                <w:sz w:val="20"/>
                <w:szCs w:val="20"/>
              </w:rPr>
              <w:t xml:space="preserve">In 2014, a vehicle transporting ammonium nitrate in south-west Queensland rolled over and became alight. While firefighters attempted to distinguish the blaze, the truck exploded. </w:t>
            </w:r>
          </w:p>
        </w:tc>
      </w:tr>
      <w:tr w:rsidR="00A12B00" w:rsidRPr="00A12B00" w14:paraId="47553380" w14:textId="77777777" w:rsidTr="00FD7A5B">
        <w:trPr>
          <w:cantSplit/>
        </w:trPr>
        <w:tc>
          <w:tcPr>
            <w:tcW w:w="9016" w:type="dxa"/>
          </w:tcPr>
          <w:p w14:paraId="44DF588F" w14:textId="77777777" w:rsidR="00A12B00" w:rsidRPr="00A12B00" w:rsidRDefault="00A12B00" w:rsidP="00A12B00">
            <w:pPr>
              <w:rPr>
                <w:rFonts w:ascii="Arial" w:eastAsia="Calibri" w:hAnsi="Arial" w:cs="Arial"/>
                <w:b/>
                <w:bCs/>
                <w:color w:val="323232"/>
                <w:sz w:val="20"/>
                <w:szCs w:val="20"/>
              </w:rPr>
            </w:pPr>
            <w:r w:rsidRPr="00A12B00">
              <w:rPr>
                <w:rFonts w:ascii="Arial" w:eastAsia="Calibri" w:hAnsi="Arial" w:cs="Arial"/>
                <w:b/>
                <w:bCs/>
                <w:color w:val="323232"/>
                <w:sz w:val="20"/>
                <w:szCs w:val="20"/>
              </w:rPr>
              <w:t xml:space="preserve">Outcome: </w:t>
            </w:r>
            <w:r w:rsidRPr="00A12B00">
              <w:rPr>
                <w:rFonts w:ascii="Arial" w:eastAsia="Calibri" w:hAnsi="Arial" w:cs="Arial"/>
                <w:color w:val="323232"/>
                <w:sz w:val="20"/>
                <w:szCs w:val="20"/>
              </w:rPr>
              <w:t>Eight people, including the truck’s driver and seven bystanders, were seriously injured and required hospitalisation. The explosion was so powerful that it caused the truck itself to ‘disintegrate’ and destroy two nearby firefighting trucks.</w:t>
            </w:r>
            <w:r w:rsidRPr="00A12B00">
              <w:rPr>
                <w:rFonts w:ascii="Arial" w:eastAsia="Calibri" w:hAnsi="Arial" w:cs="Arial"/>
                <w:color w:val="323232"/>
                <w:sz w:val="20"/>
                <w:szCs w:val="20"/>
                <w:vertAlign w:val="superscript"/>
              </w:rPr>
              <w:footnoteReference w:id="9"/>
            </w:r>
            <w:r w:rsidRPr="00A12B00">
              <w:rPr>
                <w:rFonts w:ascii="Arial" w:eastAsia="Calibri" w:hAnsi="Arial" w:cs="Arial"/>
                <w:color w:val="323232"/>
                <w:sz w:val="20"/>
                <w:szCs w:val="20"/>
              </w:rPr>
              <w:t xml:space="preserve"> The incident also caused significant damage to the Mitchell Highway, including the destruction of two road bridges and a major section of the highway, which remained closed for more than a week. In the explosion’s aftermath, it was hypothesized that the truck’s diesel fuel had inadvertently mixed with the ammonium nitrate, causing the explosion. </w:t>
            </w:r>
          </w:p>
        </w:tc>
      </w:tr>
      <w:tr w:rsidR="00A12B00" w:rsidRPr="00A12B00" w14:paraId="2C75EE68" w14:textId="77777777" w:rsidTr="00A12B00">
        <w:trPr>
          <w:cantSplit/>
        </w:trPr>
        <w:tc>
          <w:tcPr>
            <w:tcW w:w="9016" w:type="dxa"/>
            <w:shd w:val="clear" w:color="auto" w:fill="FDE5CC"/>
          </w:tcPr>
          <w:p w14:paraId="2AA58F44" w14:textId="77777777" w:rsidR="00A12B00" w:rsidRPr="00A12B00" w:rsidRDefault="00A12B00" w:rsidP="00A12B00">
            <w:pPr>
              <w:rPr>
                <w:rFonts w:ascii="Arial" w:eastAsia="Calibri" w:hAnsi="Arial" w:cs="Arial"/>
                <w:color w:val="323232"/>
                <w:sz w:val="20"/>
                <w:szCs w:val="20"/>
              </w:rPr>
            </w:pPr>
            <w:r w:rsidRPr="00A12B00">
              <w:rPr>
                <w:rFonts w:ascii="Arial" w:eastAsia="Calibri" w:hAnsi="Arial" w:cs="Arial"/>
                <w:b/>
                <w:bCs/>
                <w:color w:val="323232"/>
                <w:sz w:val="20"/>
                <w:szCs w:val="20"/>
              </w:rPr>
              <w:t xml:space="preserve">Lesson Learned: </w:t>
            </w:r>
            <w:r w:rsidRPr="00A12B00">
              <w:rPr>
                <w:rFonts w:ascii="Arial" w:eastAsia="Calibri" w:hAnsi="Arial" w:cs="Arial"/>
                <w:color w:val="323232"/>
                <w:sz w:val="20"/>
                <w:szCs w:val="20"/>
              </w:rPr>
              <w:t>While officials commented, following the incident, that there were no concerns with such ‘volatile’ material being transported on trucks, this case study highlights the potential instability of explosives materials.</w:t>
            </w:r>
            <w:r w:rsidRPr="00A12B00">
              <w:rPr>
                <w:rFonts w:ascii="Arial" w:eastAsia="Calibri" w:hAnsi="Arial" w:cs="Arial"/>
                <w:color w:val="323232"/>
                <w:sz w:val="20"/>
                <w:szCs w:val="20"/>
                <w:vertAlign w:val="superscript"/>
              </w:rPr>
              <w:footnoteReference w:id="10"/>
            </w:r>
            <w:r w:rsidRPr="00A12B00">
              <w:rPr>
                <w:rFonts w:ascii="Arial" w:eastAsia="Calibri" w:hAnsi="Arial" w:cs="Arial"/>
                <w:color w:val="323232"/>
                <w:sz w:val="20"/>
                <w:szCs w:val="20"/>
              </w:rPr>
              <w:t xml:space="preserve"> Where such precarious materials are transported on public roads without consistent, effective mitigations, there is a high likelihood that significant injury and environmental damage may eventuate.</w:t>
            </w:r>
          </w:p>
        </w:tc>
      </w:tr>
    </w:tbl>
    <w:p w14:paraId="4347E94B" w14:textId="77777777" w:rsidR="00A12B00" w:rsidRPr="00A12B00" w:rsidRDefault="00A12B00" w:rsidP="00A12B00">
      <w:pPr>
        <w:spacing w:after="0" w:line="240" w:lineRule="auto"/>
        <w:rPr>
          <w:rFonts w:ascii="Arial" w:eastAsia="Calibri" w:hAnsi="Arial" w:cs="Arial"/>
        </w:rPr>
      </w:pPr>
    </w:p>
    <w:p w14:paraId="45E97E5B" w14:textId="28452BF0" w:rsidR="00A12B00" w:rsidRPr="00A12B00" w:rsidRDefault="00A12B00" w:rsidP="00AB4CE0">
      <w:pPr>
        <w:autoSpaceDE w:val="0"/>
        <w:autoSpaceDN w:val="0"/>
        <w:adjustRightInd w:val="0"/>
        <w:spacing w:line="240" w:lineRule="auto"/>
        <w:rPr>
          <w:rFonts w:ascii="Arial" w:eastAsia="Calibri" w:hAnsi="Arial" w:cs="Arial"/>
        </w:rPr>
      </w:pPr>
      <w:r w:rsidRPr="00A12B00">
        <w:rPr>
          <w:rFonts w:ascii="Arial" w:eastAsia="Calibri" w:hAnsi="Arial" w:cs="Arial"/>
        </w:rPr>
        <w:t>While the realisation of catastrophic explosives incidents is infrequently reported</w:t>
      </w:r>
      <w:r w:rsidR="00B222BA">
        <w:rPr>
          <w:rFonts w:ascii="Arial" w:eastAsia="Calibri" w:hAnsi="Arial" w:cs="Arial"/>
        </w:rPr>
        <w:t xml:space="preserve"> the examples above illustrate the scale and nature of the consequences when incidents occur.  T</w:t>
      </w:r>
      <w:r w:rsidRPr="00A12B00">
        <w:rPr>
          <w:rFonts w:ascii="Arial" w:eastAsia="Calibri" w:hAnsi="Arial" w:cs="Arial"/>
        </w:rPr>
        <w:t xml:space="preserve">he evolving risk profile attached to Commonwealth explosives (as outlined above) means </w:t>
      </w:r>
      <w:r w:rsidRPr="00A12B00">
        <w:rPr>
          <w:rFonts w:ascii="Arial" w:eastAsia="Calibri" w:hAnsi="Arial" w:cs="Arial"/>
        </w:rPr>
        <w:lastRenderedPageBreak/>
        <w:t xml:space="preserve">there is an increasing </w:t>
      </w:r>
      <w:r w:rsidR="00B222BA">
        <w:rPr>
          <w:rFonts w:ascii="Arial" w:eastAsia="Calibri" w:hAnsi="Arial" w:cs="Arial"/>
        </w:rPr>
        <w:t xml:space="preserve">presence, movement and usage of explosives within the Commonwealth thus increasing the potential exposure </w:t>
      </w:r>
      <w:r w:rsidR="003B5049">
        <w:rPr>
          <w:rFonts w:ascii="Arial" w:eastAsia="Calibri" w:hAnsi="Arial" w:cs="Arial"/>
        </w:rPr>
        <w:t xml:space="preserve">to </w:t>
      </w:r>
      <w:r w:rsidR="003B5049" w:rsidRPr="00A12B00">
        <w:rPr>
          <w:rFonts w:ascii="Arial" w:eastAsia="Calibri" w:hAnsi="Arial" w:cs="Arial"/>
        </w:rPr>
        <w:t>such</w:t>
      </w:r>
      <w:r w:rsidRPr="00A12B00">
        <w:rPr>
          <w:rFonts w:ascii="Arial" w:eastAsia="Calibri" w:hAnsi="Arial" w:cs="Arial"/>
        </w:rPr>
        <w:t xml:space="preserve"> events</w:t>
      </w:r>
      <w:r w:rsidR="00B222BA">
        <w:rPr>
          <w:rFonts w:ascii="Arial" w:eastAsia="Calibri" w:hAnsi="Arial" w:cs="Arial"/>
        </w:rPr>
        <w:t xml:space="preserve">.  This demonstrates </w:t>
      </w:r>
      <w:r w:rsidRPr="00A12B00">
        <w:rPr>
          <w:rFonts w:ascii="Arial" w:eastAsia="Calibri" w:hAnsi="Arial" w:cs="Arial"/>
        </w:rPr>
        <w:t xml:space="preserve">a growing need for a legislative framework commensurate with this level of risk. This sentiment is reflected in the opinion of Commonwealth, State, Territory, and industry stakeholders, </w:t>
      </w:r>
      <w:r w:rsidR="009B4E1E" w:rsidRPr="00A12B00">
        <w:rPr>
          <w:rFonts w:ascii="Arial" w:eastAsia="Calibri" w:hAnsi="Arial" w:cs="Arial"/>
          <w:noProof/>
          <w:lang w:eastAsia="en-AU"/>
        </w:rPr>
        <w:drawing>
          <wp:anchor distT="0" distB="0" distL="114300" distR="114300" simplePos="0" relativeHeight="251687936" behindDoc="0" locked="0" layoutInCell="1" allowOverlap="1" wp14:anchorId="4E170761" wp14:editId="6C15B812">
            <wp:simplePos x="0" y="0"/>
            <wp:positionH relativeFrom="margin">
              <wp:posOffset>884555</wp:posOffset>
            </wp:positionH>
            <wp:positionV relativeFrom="paragraph">
              <wp:posOffset>824956</wp:posOffset>
            </wp:positionV>
            <wp:extent cx="3954780" cy="2644140"/>
            <wp:effectExtent l="0" t="0" r="7620" b="3810"/>
            <wp:wrapTopAndBottom/>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A34CF2">
        <w:rPr>
          <w:rFonts w:ascii="Arial" w:eastAsia="Calibri" w:hAnsi="Arial" w:cs="Arial"/>
        </w:rPr>
        <w:t xml:space="preserve">surveyed </w:t>
      </w:r>
      <w:r w:rsidR="00C0253E">
        <w:rPr>
          <w:rFonts w:ascii="Arial" w:eastAsia="Calibri" w:hAnsi="Arial" w:cs="Arial"/>
        </w:rPr>
        <w:t xml:space="preserve">during recent consultation, </w:t>
      </w:r>
      <w:r w:rsidRPr="00A12B00">
        <w:rPr>
          <w:rFonts w:ascii="Arial" w:eastAsia="Calibri" w:hAnsi="Arial" w:cs="Arial"/>
        </w:rPr>
        <w:t xml:space="preserve">as demonstrated by </w:t>
      </w:r>
      <w:r w:rsidR="00C0253E">
        <w:rPr>
          <w:rFonts w:ascii="Arial" w:eastAsia="Calibri" w:hAnsi="Arial" w:cs="Arial"/>
        </w:rPr>
        <w:t>the graph</w:t>
      </w:r>
      <w:r w:rsidRPr="00A12B00">
        <w:rPr>
          <w:rFonts w:ascii="Arial" w:eastAsia="Calibri" w:hAnsi="Arial" w:cs="Arial"/>
        </w:rPr>
        <w:t xml:space="preserve"> below. </w:t>
      </w:r>
    </w:p>
    <w:p w14:paraId="29A149A5" w14:textId="725752F7" w:rsidR="00A12B00" w:rsidRPr="00A12B00" w:rsidRDefault="00A12B00" w:rsidP="00AC4631">
      <w:pPr>
        <w:jc w:val="center"/>
        <w:rPr>
          <w:rFonts w:ascii="Arial" w:eastAsia="Calibri" w:hAnsi="Arial" w:cs="Arial"/>
          <w:sz w:val="14"/>
          <w:szCs w:val="14"/>
        </w:rPr>
      </w:pPr>
      <w:r w:rsidRPr="00A12B00">
        <w:rPr>
          <w:rFonts w:ascii="Arial" w:eastAsia="Calibri" w:hAnsi="Arial" w:cs="Arial"/>
          <w:b/>
          <w:bCs/>
          <w:sz w:val="14"/>
          <w:szCs w:val="14"/>
        </w:rPr>
        <w:t>*</w:t>
      </w:r>
      <w:r w:rsidRPr="00A12B00">
        <w:rPr>
          <w:rFonts w:ascii="Arial" w:eastAsia="Calibri" w:hAnsi="Arial" w:cs="Arial"/>
          <w:sz w:val="14"/>
          <w:szCs w:val="14"/>
        </w:rPr>
        <w:t xml:space="preserve">The above </w:t>
      </w:r>
      <w:r w:rsidR="00EF376A">
        <w:rPr>
          <w:rFonts w:ascii="Arial" w:eastAsia="Calibri" w:hAnsi="Arial" w:cs="Arial"/>
          <w:sz w:val="14"/>
          <w:szCs w:val="14"/>
        </w:rPr>
        <w:t>relates to current Commonwealth regulation</w:t>
      </w:r>
      <w:r w:rsidR="00281FB7">
        <w:rPr>
          <w:rFonts w:ascii="Arial" w:eastAsia="Calibri" w:hAnsi="Arial" w:cs="Arial"/>
          <w:sz w:val="14"/>
          <w:szCs w:val="14"/>
        </w:rPr>
        <w:t xml:space="preserve"> and includes r</w:t>
      </w:r>
      <w:r w:rsidRPr="00A12B00">
        <w:rPr>
          <w:rFonts w:ascii="Arial" w:eastAsia="Calibri" w:hAnsi="Arial" w:cs="Arial"/>
          <w:sz w:val="14"/>
          <w:szCs w:val="14"/>
        </w:rPr>
        <w:t xml:space="preserve">esponses </w:t>
      </w:r>
      <w:r w:rsidR="00281FB7">
        <w:rPr>
          <w:rFonts w:ascii="Arial" w:eastAsia="Calibri" w:hAnsi="Arial" w:cs="Arial"/>
          <w:sz w:val="14"/>
          <w:szCs w:val="14"/>
        </w:rPr>
        <w:t>from</w:t>
      </w:r>
      <w:r w:rsidRPr="00A12B00">
        <w:rPr>
          <w:rFonts w:ascii="Arial" w:eastAsia="Calibri" w:hAnsi="Arial" w:cs="Arial"/>
          <w:sz w:val="14"/>
          <w:szCs w:val="14"/>
        </w:rPr>
        <w:t xml:space="preserve"> 7 industry respondents, 6 Commonwealth respondents, and 5 state and territory respondents.</w:t>
      </w:r>
    </w:p>
    <w:p w14:paraId="2B92F797" w14:textId="77777777" w:rsidR="00A12B00" w:rsidRPr="00A12B00" w:rsidRDefault="00A12B00" w:rsidP="001C2288">
      <w:pPr>
        <w:spacing w:line="240" w:lineRule="auto"/>
        <w:rPr>
          <w:rFonts w:ascii="Arial" w:eastAsia="Calibri" w:hAnsi="Arial" w:cs="Arial"/>
        </w:rPr>
      </w:pPr>
      <w:r w:rsidRPr="00A12B00">
        <w:rPr>
          <w:rFonts w:ascii="Arial" w:eastAsia="Calibri" w:hAnsi="Arial" w:cs="Arial"/>
        </w:rPr>
        <w:t>In querying whether the current regulatory regime’s safety and security requirements, and the governance structure enforcing them, are sufficiently clear and effective:</w:t>
      </w:r>
    </w:p>
    <w:p w14:paraId="40311B9F" w14:textId="77777777" w:rsidR="00A12B00" w:rsidRPr="00A12B00" w:rsidRDefault="00A12B00" w:rsidP="00A16B8A">
      <w:pPr>
        <w:numPr>
          <w:ilvl w:val="0"/>
          <w:numId w:val="21"/>
        </w:numPr>
        <w:spacing w:after="0" w:line="240" w:lineRule="auto"/>
        <w:ind w:left="357" w:hanging="357"/>
        <w:contextualSpacing/>
        <w:rPr>
          <w:rFonts w:ascii="Arial" w:eastAsia="Calibri" w:hAnsi="Arial" w:cs="Arial"/>
        </w:rPr>
      </w:pPr>
      <w:r w:rsidRPr="00A12B00">
        <w:rPr>
          <w:rFonts w:ascii="Arial" w:eastAsia="Calibri" w:hAnsi="Arial" w:cs="Arial"/>
        </w:rPr>
        <w:t xml:space="preserve">Approximately 65% of respondents (a majority) suggested current arrangements are insufficiently clear and effective; </w:t>
      </w:r>
    </w:p>
    <w:p w14:paraId="36FD6C58" w14:textId="77777777" w:rsidR="00A12B00" w:rsidRPr="00A12B00" w:rsidRDefault="00A12B00" w:rsidP="00A16B8A">
      <w:pPr>
        <w:numPr>
          <w:ilvl w:val="0"/>
          <w:numId w:val="21"/>
        </w:numPr>
        <w:spacing w:after="0" w:line="240" w:lineRule="auto"/>
        <w:contextualSpacing/>
        <w:rPr>
          <w:rFonts w:ascii="Arial" w:eastAsia="Calibri" w:hAnsi="Arial" w:cs="Arial"/>
        </w:rPr>
      </w:pPr>
      <w:r w:rsidRPr="00A12B00">
        <w:rPr>
          <w:rFonts w:ascii="Arial" w:eastAsia="Calibri" w:hAnsi="Arial" w:cs="Arial"/>
        </w:rPr>
        <w:t xml:space="preserve">Approximately 13% of respondents felt that current arrangements are sufficiently clear and effective; and </w:t>
      </w:r>
    </w:p>
    <w:p w14:paraId="33322DAF" w14:textId="548F366D" w:rsidR="00A12B00" w:rsidRDefault="00A12B00" w:rsidP="00A16B8A">
      <w:pPr>
        <w:numPr>
          <w:ilvl w:val="0"/>
          <w:numId w:val="21"/>
        </w:numPr>
        <w:spacing w:line="240" w:lineRule="auto"/>
        <w:ind w:left="357" w:hanging="357"/>
        <w:rPr>
          <w:rFonts w:ascii="Arial" w:eastAsia="Calibri" w:hAnsi="Arial" w:cs="Arial"/>
        </w:rPr>
      </w:pPr>
      <w:r w:rsidRPr="00A12B00">
        <w:rPr>
          <w:rFonts w:ascii="Arial" w:eastAsia="Calibri" w:hAnsi="Arial" w:cs="Arial"/>
        </w:rPr>
        <w:t xml:space="preserve">Approximately 23% of respondents were unsure. </w:t>
      </w:r>
    </w:p>
    <w:p w14:paraId="1527D528" w14:textId="220A8662" w:rsidR="0057671D" w:rsidRPr="00A12B00" w:rsidRDefault="0057671D" w:rsidP="0057671D">
      <w:pPr>
        <w:spacing w:line="240" w:lineRule="auto"/>
        <w:rPr>
          <w:rFonts w:ascii="Arial" w:eastAsia="Calibri" w:hAnsi="Arial" w:cs="Arial"/>
        </w:rPr>
      </w:pPr>
      <w:r>
        <w:rPr>
          <w:rFonts w:ascii="Arial" w:eastAsia="Calibri" w:hAnsi="Arial" w:cs="Arial"/>
        </w:rPr>
        <w:t xml:space="preserve">Examples of stakeholder identified gaps in the Commonwealth regulations include storage regulations and adoption of the Global Harmonised System of Classification and Labelling of Chemicals. </w:t>
      </w:r>
    </w:p>
    <w:p w14:paraId="11B6FE9C" w14:textId="77777777" w:rsidR="00A12B00" w:rsidRPr="00A12B00" w:rsidRDefault="00A12B00" w:rsidP="001C2288">
      <w:pPr>
        <w:spacing w:after="0" w:line="240" w:lineRule="auto"/>
        <w:rPr>
          <w:rFonts w:ascii="Arial" w:eastAsia="Calibri" w:hAnsi="Arial" w:cs="Arial"/>
          <w:color w:val="997339"/>
        </w:rPr>
      </w:pPr>
      <w:r w:rsidRPr="00A12B00">
        <w:rPr>
          <w:rFonts w:ascii="Arial" w:eastAsia="Calibri" w:hAnsi="Arial" w:cs="Arial"/>
          <w:color w:val="997339"/>
        </w:rPr>
        <w:t xml:space="preserve">1.2.2 Commonwealth Explosives Pose Additional, Unique Risks </w:t>
      </w:r>
    </w:p>
    <w:p w14:paraId="77895351" w14:textId="7006CBBE" w:rsidR="00A27704" w:rsidRDefault="00A12B00" w:rsidP="009E5EDB">
      <w:pPr>
        <w:autoSpaceDE w:val="0"/>
        <w:autoSpaceDN w:val="0"/>
        <w:adjustRightInd w:val="0"/>
        <w:spacing w:line="240" w:lineRule="auto"/>
        <w:rPr>
          <w:rFonts w:ascii="Arial" w:eastAsia="Calibri" w:hAnsi="Arial" w:cs="Arial"/>
        </w:rPr>
      </w:pPr>
      <w:r w:rsidRPr="00A12B00">
        <w:rPr>
          <w:rFonts w:ascii="Arial" w:eastAsia="Calibri" w:hAnsi="Arial" w:cs="Arial"/>
        </w:rPr>
        <w:t xml:space="preserve">In addition to the general risks associated with all explosives as outlined above, there are </w:t>
      </w:r>
      <w:r w:rsidR="001C2288">
        <w:rPr>
          <w:rFonts w:ascii="Arial" w:eastAsia="Calibri" w:hAnsi="Arial" w:cs="Arial"/>
        </w:rPr>
        <w:t>specific</w:t>
      </w:r>
      <w:r w:rsidRPr="00A12B00">
        <w:rPr>
          <w:rFonts w:ascii="Arial" w:eastAsia="Calibri" w:hAnsi="Arial" w:cs="Arial"/>
        </w:rPr>
        <w:t xml:space="preserve">, unique risks which arise in the case of Commonwealth explosives. Due to their broad commercial unavailability, Commonwealth explosives may be particularly attractive targets for inappropriate access and illicit diversion, if they are not adequately protected or secured. </w:t>
      </w:r>
      <w:r w:rsidR="00405C07">
        <w:rPr>
          <w:rFonts w:ascii="Arial" w:eastAsia="Calibri" w:hAnsi="Arial" w:cs="Arial"/>
        </w:rPr>
        <w:t>For example, t</w:t>
      </w:r>
      <w:r w:rsidRPr="00A12B00">
        <w:rPr>
          <w:rFonts w:ascii="Arial" w:eastAsia="Calibri" w:hAnsi="Arial" w:cs="Arial"/>
        </w:rPr>
        <w:t>here is a heightened likelihood</w:t>
      </w:r>
      <w:r w:rsidR="00405C07">
        <w:rPr>
          <w:rFonts w:ascii="Arial" w:eastAsia="Calibri" w:hAnsi="Arial" w:cs="Arial"/>
        </w:rPr>
        <w:t xml:space="preserve">, given the current global security </w:t>
      </w:r>
      <w:r w:rsidR="003B5049">
        <w:rPr>
          <w:rFonts w:ascii="Arial" w:eastAsia="Calibri" w:hAnsi="Arial" w:cs="Arial"/>
        </w:rPr>
        <w:t>climate that</w:t>
      </w:r>
      <w:r w:rsidRPr="00A12B00">
        <w:rPr>
          <w:rFonts w:ascii="Arial" w:eastAsia="Calibri" w:hAnsi="Arial" w:cs="Arial"/>
        </w:rPr>
        <w:t xml:space="preserve"> extremist or criminal elements may seek to target explosives storage or transportation facilities, with a desire to acquire such commercially unavailable explosives. </w:t>
      </w:r>
      <w:r w:rsidR="00405C07">
        <w:rPr>
          <w:rFonts w:ascii="Arial" w:eastAsia="Calibri" w:hAnsi="Arial" w:cs="Arial"/>
        </w:rPr>
        <w:t>The Global Terrori</w:t>
      </w:r>
      <w:r w:rsidR="002B42FA">
        <w:rPr>
          <w:rFonts w:ascii="Arial" w:eastAsia="Calibri" w:hAnsi="Arial" w:cs="Arial"/>
        </w:rPr>
        <w:t>sm Index’s</w:t>
      </w:r>
      <w:r w:rsidR="00F61886">
        <w:rPr>
          <w:rFonts w:ascii="Arial" w:eastAsia="Calibri" w:hAnsi="Arial" w:cs="Arial"/>
        </w:rPr>
        <w:t xml:space="preserve"> (GTI)</w:t>
      </w:r>
      <w:r w:rsidR="002B42FA">
        <w:rPr>
          <w:rFonts w:ascii="Arial" w:eastAsia="Calibri" w:hAnsi="Arial" w:cs="Arial"/>
        </w:rPr>
        <w:t xml:space="preserve"> report that global terrorism incidents increased by 17% in 2021 (from 4</w:t>
      </w:r>
      <w:r w:rsidR="002B42FA" w:rsidRPr="00EC3AF3">
        <w:rPr>
          <w:rFonts w:ascii="Arial" w:eastAsia="Calibri" w:hAnsi="Arial" w:cs="Arial"/>
        </w:rPr>
        <w:t>,458 attack in 2020 to 5,226 in 2021</w:t>
      </w:r>
      <w:r w:rsidR="00873D68" w:rsidRPr="00EC3AF3">
        <w:rPr>
          <w:rFonts w:ascii="Arial" w:eastAsia="Calibri" w:hAnsi="Arial" w:cs="Arial"/>
        </w:rPr>
        <w:t>, representing the highest number of attacks recovered since 2007</w:t>
      </w:r>
      <w:r w:rsidR="002B42FA" w:rsidRPr="00EC3AF3">
        <w:rPr>
          <w:rFonts w:ascii="Arial" w:eastAsia="Calibri" w:hAnsi="Arial" w:cs="Arial"/>
        </w:rPr>
        <w:t>)</w:t>
      </w:r>
      <w:r w:rsidR="00320E82" w:rsidRPr="00EC3AF3">
        <w:rPr>
          <w:rFonts w:ascii="Arial" w:eastAsia="Calibri" w:hAnsi="Arial" w:cs="Arial"/>
        </w:rPr>
        <w:t xml:space="preserve">. </w:t>
      </w:r>
      <w:r w:rsidR="00F61886" w:rsidRPr="00EC3AF3">
        <w:rPr>
          <w:rFonts w:ascii="Arial" w:eastAsia="Calibri" w:hAnsi="Arial" w:cs="Arial"/>
        </w:rPr>
        <w:t>Between 2007 and 2021, the GTI reports that explosives were the second most common weapon of choice for terrorists, behind firear</w:t>
      </w:r>
      <w:r w:rsidR="00C23B9A" w:rsidRPr="00EC3AF3">
        <w:rPr>
          <w:rFonts w:ascii="Arial" w:eastAsia="Calibri" w:hAnsi="Arial" w:cs="Arial"/>
        </w:rPr>
        <w:t>ms.</w:t>
      </w:r>
      <w:r w:rsidR="0049224C" w:rsidRPr="00EC3AF3">
        <w:rPr>
          <w:rFonts w:ascii="Arial" w:eastAsia="Calibri" w:hAnsi="Arial" w:cs="Arial"/>
          <w:vertAlign w:val="superscript"/>
        </w:rPr>
        <w:footnoteReference w:id="11"/>
      </w:r>
      <w:r w:rsidR="007978F6" w:rsidRPr="00EC3AF3">
        <w:rPr>
          <w:rFonts w:ascii="Arial" w:eastAsia="Calibri" w:hAnsi="Arial" w:cs="Arial"/>
        </w:rPr>
        <w:t xml:space="preserve"> In Australia, the Australian Security Intelligence Organisation (ASIO) provides that the national terrorism threat remains at ‘probable’, with </w:t>
      </w:r>
      <w:r w:rsidR="00246EB1" w:rsidRPr="00EC3AF3">
        <w:rPr>
          <w:rFonts w:ascii="Arial" w:eastAsia="Calibri" w:hAnsi="Arial" w:cs="Arial"/>
        </w:rPr>
        <w:t xml:space="preserve">‘…credible intelligence, assessed to represent a plausible scenario, </w:t>
      </w:r>
      <w:proofErr w:type="spellStart"/>
      <w:r w:rsidR="00246EB1" w:rsidRPr="00EC3AF3">
        <w:rPr>
          <w:rFonts w:ascii="Arial" w:eastAsia="Calibri" w:hAnsi="Arial" w:cs="Arial"/>
        </w:rPr>
        <w:t>indicat</w:t>
      </w:r>
      <w:proofErr w:type="spellEnd"/>
      <w:r w:rsidR="00246EB1" w:rsidRPr="00EC3AF3">
        <w:rPr>
          <w:rFonts w:ascii="Arial" w:eastAsia="Calibri" w:hAnsi="Arial" w:cs="Arial"/>
        </w:rPr>
        <w:t>[</w:t>
      </w:r>
      <w:proofErr w:type="spellStart"/>
      <w:r w:rsidR="00246EB1" w:rsidRPr="00EC3AF3">
        <w:rPr>
          <w:rFonts w:ascii="Arial" w:eastAsia="Calibri" w:hAnsi="Arial" w:cs="Arial"/>
        </w:rPr>
        <w:t>ing</w:t>
      </w:r>
      <w:proofErr w:type="spellEnd"/>
      <w:r w:rsidR="00246EB1" w:rsidRPr="00EC3AF3">
        <w:rPr>
          <w:rFonts w:ascii="Arial" w:eastAsia="Calibri" w:hAnsi="Arial" w:cs="Arial"/>
        </w:rPr>
        <w:t>] an intention and capability to conduct a terrorist attack in Australia</w:t>
      </w:r>
      <w:r w:rsidR="00DF2179" w:rsidRPr="00EC3AF3">
        <w:rPr>
          <w:rFonts w:ascii="Arial" w:eastAsia="Calibri" w:hAnsi="Arial" w:cs="Arial"/>
        </w:rPr>
        <w:t>.’</w:t>
      </w:r>
      <w:r w:rsidR="00DF2179" w:rsidRPr="00EC3AF3">
        <w:rPr>
          <w:rFonts w:ascii="Arial" w:eastAsia="Calibri" w:hAnsi="Arial" w:cs="Arial"/>
          <w:vertAlign w:val="superscript"/>
        </w:rPr>
        <w:footnoteReference w:id="12"/>
      </w:r>
    </w:p>
    <w:p w14:paraId="34526F5A" w14:textId="156C51C3" w:rsidR="00A12B00" w:rsidRPr="00A12B00" w:rsidRDefault="00A12B00" w:rsidP="009E5EDB">
      <w:pPr>
        <w:autoSpaceDE w:val="0"/>
        <w:autoSpaceDN w:val="0"/>
        <w:adjustRightInd w:val="0"/>
        <w:spacing w:line="240" w:lineRule="auto"/>
        <w:rPr>
          <w:rFonts w:ascii="Arial" w:eastAsia="Calibri" w:hAnsi="Arial" w:cs="Arial"/>
        </w:rPr>
      </w:pPr>
      <w:r w:rsidRPr="00A12B00">
        <w:rPr>
          <w:rFonts w:ascii="Arial" w:eastAsia="Calibri" w:hAnsi="Arial" w:cs="Arial"/>
        </w:rPr>
        <w:lastRenderedPageBreak/>
        <w:t xml:space="preserve">Further, theft by trusted insider personnel, including Commonwealth personnel and contractors, remains a risk that can materialise in circumstances where supervision and inventory management procedures are lacking. </w:t>
      </w:r>
    </w:p>
    <w:p w14:paraId="6CE557B9" w14:textId="6E2506BF" w:rsidR="00A12B00" w:rsidRPr="00A12B00" w:rsidRDefault="00A12B00" w:rsidP="009E5EDB">
      <w:pPr>
        <w:spacing w:line="240" w:lineRule="auto"/>
        <w:rPr>
          <w:rFonts w:ascii="Arial" w:eastAsia="Calibri" w:hAnsi="Arial" w:cs="Arial"/>
        </w:rPr>
      </w:pPr>
      <w:r w:rsidRPr="00A12B00">
        <w:rPr>
          <w:rFonts w:ascii="Arial" w:eastAsia="Calibri" w:hAnsi="Arial" w:cs="Arial"/>
        </w:rPr>
        <w:t xml:space="preserve">The case studies below highlight some of the risks associated with explosives of the nature used by the Commonwealth, particularly those that may be targets of illicit diversion or theft.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12B00" w:rsidRPr="00A12B00" w14:paraId="3CAD48DC" w14:textId="77777777" w:rsidTr="00A12B00">
        <w:tc>
          <w:tcPr>
            <w:tcW w:w="9016" w:type="dxa"/>
            <w:shd w:val="clear" w:color="auto" w:fill="F07F09"/>
          </w:tcPr>
          <w:p w14:paraId="35634726" w14:textId="77777777" w:rsidR="00A12B00" w:rsidRPr="00A12B00" w:rsidRDefault="00A12B00" w:rsidP="00A12B00">
            <w:pPr>
              <w:jc w:val="center"/>
              <w:rPr>
                <w:rFonts w:ascii="Arial" w:eastAsia="Calibri" w:hAnsi="Arial" w:cs="Arial"/>
                <w:b/>
                <w:bCs/>
                <w:color w:val="323232"/>
                <w:sz w:val="20"/>
                <w:szCs w:val="20"/>
              </w:rPr>
            </w:pPr>
            <w:r w:rsidRPr="00A12B00">
              <w:rPr>
                <w:rFonts w:ascii="Arial" w:eastAsia="Calibri" w:hAnsi="Arial" w:cs="Arial"/>
                <w:b/>
                <w:bCs/>
                <w:color w:val="FFFFFF"/>
                <w:sz w:val="20"/>
                <w:szCs w:val="20"/>
              </w:rPr>
              <w:t>Former Army Captain Steals Rocket Launchers (2002-2003)</w:t>
            </w:r>
          </w:p>
        </w:tc>
      </w:tr>
      <w:tr w:rsidR="00A12B00" w:rsidRPr="00A12B00" w14:paraId="0E64498C" w14:textId="77777777" w:rsidTr="00A12B00">
        <w:tc>
          <w:tcPr>
            <w:tcW w:w="9016" w:type="dxa"/>
            <w:shd w:val="clear" w:color="auto" w:fill="FDE5CC"/>
          </w:tcPr>
          <w:p w14:paraId="5ED0E168" w14:textId="77777777" w:rsidR="00A12B00" w:rsidRPr="00A12B00" w:rsidRDefault="00A12B00" w:rsidP="00A12B00">
            <w:pPr>
              <w:autoSpaceDE w:val="0"/>
              <w:autoSpaceDN w:val="0"/>
              <w:adjustRightInd w:val="0"/>
              <w:rPr>
                <w:rFonts w:ascii="Arial" w:eastAsia="Calibri" w:hAnsi="Arial" w:cs="Arial"/>
                <w:sz w:val="20"/>
                <w:szCs w:val="20"/>
              </w:rPr>
            </w:pPr>
            <w:r w:rsidRPr="00A12B00">
              <w:rPr>
                <w:rFonts w:ascii="Arial" w:eastAsia="Calibri" w:hAnsi="Arial" w:cs="Arial"/>
                <w:b/>
                <w:bCs/>
                <w:sz w:val="20"/>
                <w:szCs w:val="20"/>
              </w:rPr>
              <w:t>Situation</w:t>
            </w:r>
            <w:r w:rsidRPr="00A12B00">
              <w:rPr>
                <w:rFonts w:ascii="Arial" w:eastAsia="Calibri" w:hAnsi="Arial" w:cs="Arial"/>
                <w:sz w:val="20"/>
                <w:szCs w:val="20"/>
              </w:rPr>
              <w:t xml:space="preserve">: </w:t>
            </w:r>
            <w:r w:rsidRPr="00A12B00">
              <w:rPr>
                <w:rFonts w:ascii="Arial" w:eastAsia="Calibri" w:hAnsi="Arial" w:cs="Arial"/>
                <w:color w:val="323232"/>
                <w:sz w:val="20"/>
                <w:szCs w:val="20"/>
              </w:rPr>
              <w:t>Between July 2002 and February 2003, a former army captain and munitions expert with 27 years of military experience, stole ten M72 rocket launchers from military stocks. The individual is alleged to have received $60,000 from selling the single-use weapons to members of a Sydney terrorist organisation.</w:t>
            </w:r>
            <w:r w:rsidRPr="00A12B00">
              <w:rPr>
                <w:rFonts w:ascii="Arial" w:eastAsia="Calibri" w:hAnsi="Arial" w:cs="Arial"/>
                <w:color w:val="323232"/>
                <w:sz w:val="20"/>
                <w:szCs w:val="20"/>
                <w:vertAlign w:val="superscript"/>
              </w:rPr>
              <w:footnoteReference w:id="13"/>
            </w:r>
            <w:r w:rsidRPr="00A12B00">
              <w:rPr>
                <w:rFonts w:ascii="Arial" w:eastAsia="Calibri" w:hAnsi="Arial" w:cs="Arial"/>
                <w:color w:val="323232"/>
                <w:sz w:val="20"/>
                <w:szCs w:val="20"/>
                <w:vertAlign w:val="superscript"/>
              </w:rPr>
              <w:t xml:space="preserve"> </w:t>
            </w:r>
            <w:r w:rsidRPr="00A12B00">
              <w:rPr>
                <w:rFonts w:ascii="Arial" w:eastAsia="Calibri" w:hAnsi="Arial" w:cs="Arial"/>
                <w:color w:val="323232"/>
                <w:sz w:val="20"/>
                <w:szCs w:val="20"/>
              </w:rPr>
              <w:t>In the almost twenty years since the theft, only a single rocket launcher has been able to be recovered by police.</w:t>
            </w:r>
          </w:p>
        </w:tc>
      </w:tr>
      <w:tr w:rsidR="00A12B00" w:rsidRPr="00A12B00" w14:paraId="4339A283" w14:textId="77777777" w:rsidTr="00FD7A5B">
        <w:tc>
          <w:tcPr>
            <w:tcW w:w="9016" w:type="dxa"/>
          </w:tcPr>
          <w:p w14:paraId="38662F84" w14:textId="77777777" w:rsidR="00A12B00" w:rsidRPr="00A12B00" w:rsidRDefault="00A12B00" w:rsidP="00A12B00">
            <w:pPr>
              <w:rPr>
                <w:rFonts w:ascii="Arial" w:eastAsia="Calibri" w:hAnsi="Arial" w:cs="Arial"/>
                <w:color w:val="323232"/>
                <w:sz w:val="20"/>
                <w:szCs w:val="20"/>
              </w:rPr>
            </w:pPr>
            <w:r w:rsidRPr="00A12B00">
              <w:rPr>
                <w:rFonts w:ascii="Arial" w:eastAsia="Calibri" w:hAnsi="Arial" w:cs="Arial"/>
                <w:b/>
                <w:bCs/>
                <w:color w:val="323232"/>
                <w:sz w:val="20"/>
                <w:szCs w:val="20"/>
              </w:rPr>
              <w:t xml:space="preserve">Outcome: </w:t>
            </w:r>
            <w:r w:rsidRPr="00A12B00">
              <w:rPr>
                <w:rFonts w:ascii="Arial" w:eastAsia="Calibri" w:hAnsi="Arial" w:cs="Arial"/>
                <w:color w:val="323232"/>
                <w:sz w:val="20"/>
                <w:szCs w:val="20"/>
              </w:rPr>
              <w:t>At one stage, police believed the launchers had been buried in Sydney bushland by a terror cell linked to ISIL terrorists. The cell had planned to attack high-profile Sydney targets before being intercepted by police and sentenced to prison. New South Wales and Federal police remain focussed on locating the missing launchers, in response to an ongoing national terror alert level of ‘high’.</w:t>
            </w:r>
            <w:r w:rsidRPr="00A12B00">
              <w:rPr>
                <w:rFonts w:ascii="Arial" w:eastAsia="Calibri" w:hAnsi="Arial" w:cs="Arial"/>
                <w:color w:val="323232"/>
                <w:sz w:val="20"/>
                <w:szCs w:val="20"/>
                <w:vertAlign w:val="superscript"/>
              </w:rPr>
              <w:footnoteReference w:id="14"/>
            </w:r>
          </w:p>
        </w:tc>
      </w:tr>
      <w:tr w:rsidR="00A12B00" w:rsidRPr="00A12B00" w14:paraId="77F571F0" w14:textId="77777777" w:rsidTr="00A12B00">
        <w:tc>
          <w:tcPr>
            <w:tcW w:w="9016" w:type="dxa"/>
            <w:shd w:val="clear" w:color="auto" w:fill="FDE5CC"/>
          </w:tcPr>
          <w:p w14:paraId="151C40FA" w14:textId="77777777" w:rsidR="00A12B00" w:rsidRPr="00A12B00" w:rsidRDefault="00A12B00" w:rsidP="00A12B00">
            <w:pPr>
              <w:rPr>
                <w:rFonts w:ascii="Arial" w:eastAsia="Calibri" w:hAnsi="Arial" w:cs="Arial"/>
                <w:color w:val="323232"/>
                <w:sz w:val="20"/>
                <w:szCs w:val="20"/>
              </w:rPr>
            </w:pPr>
            <w:r w:rsidRPr="00A12B00">
              <w:rPr>
                <w:rFonts w:ascii="Arial" w:eastAsia="Calibri" w:hAnsi="Arial" w:cs="Arial"/>
                <w:b/>
                <w:bCs/>
                <w:color w:val="323232"/>
                <w:sz w:val="20"/>
                <w:szCs w:val="20"/>
              </w:rPr>
              <w:t xml:space="preserve">Identified Gap: </w:t>
            </w:r>
            <w:r w:rsidRPr="00A12B00">
              <w:rPr>
                <w:rFonts w:ascii="Arial" w:eastAsia="Calibri" w:hAnsi="Arial" w:cs="Arial"/>
                <w:color w:val="323232"/>
                <w:sz w:val="20"/>
                <w:szCs w:val="20"/>
              </w:rPr>
              <w:t>This case study demonstrates the risk posed by not only known criminal threats, but by trusted insider personnel. Without sufficient safeguards, dangerous explosives can be intercepted and become a significant risk to the public.</w:t>
            </w:r>
          </w:p>
        </w:tc>
      </w:tr>
    </w:tbl>
    <w:p w14:paraId="1E20EA18" w14:textId="77777777" w:rsidR="00A12B00" w:rsidRPr="00A12B00" w:rsidRDefault="00A12B00" w:rsidP="00A12B00">
      <w:pPr>
        <w:spacing w:after="0" w:line="240" w:lineRule="auto"/>
        <w:rPr>
          <w:rFonts w:ascii="Arial" w:eastAsia="Calibri" w:hAnsi="Arial" w:cs="Arial"/>
          <w:color w:val="3232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12B00" w:rsidRPr="00A12B00" w14:paraId="660FA3C4" w14:textId="77777777" w:rsidTr="00A12B00">
        <w:tc>
          <w:tcPr>
            <w:tcW w:w="9016" w:type="dxa"/>
            <w:shd w:val="clear" w:color="auto" w:fill="F07F09"/>
          </w:tcPr>
          <w:p w14:paraId="6FC14F64" w14:textId="77777777" w:rsidR="00A12B00" w:rsidRPr="00A12B00" w:rsidRDefault="00A12B00" w:rsidP="00A12B00">
            <w:pPr>
              <w:jc w:val="center"/>
              <w:rPr>
                <w:rFonts w:ascii="Arial" w:eastAsia="Calibri" w:hAnsi="Arial" w:cs="Arial"/>
                <w:b/>
                <w:bCs/>
                <w:color w:val="323232"/>
                <w:sz w:val="20"/>
                <w:szCs w:val="20"/>
              </w:rPr>
            </w:pPr>
            <w:r w:rsidRPr="00A12B00">
              <w:rPr>
                <w:rFonts w:ascii="Arial" w:eastAsia="Calibri" w:hAnsi="Arial" w:cs="Arial"/>
                <w:b/>
                <w:bCs/>
                <w:color w:val="FFFFFF"/>
                <w:sz w:val="20"/>
                <w:szCs w:val="20"/>
              </w:rPr>
              <w:t>Allegations of Stolen Ammunitions and Explosives at California Marine Base (2021)</w:t>
            </w:r>
          </w:p>
        </w:tc>
      </w:tr>
      <w:tr w:rsidR="00A12B00" w:rsidRPr="00A12B00" w14:paraId="0A0B9591" w14:textId="77777777" w:rsidTr="00A12B00">
        <w:tc>
          <w:tcPr>
            <w:tcW w:w="9016" w:type="dxa"/>
            <w:shd w:val="clear" w:color="auto" w:fill="FDE5CC"/>
          </w:tcPr>
          <w:p w14:paraId="010A7A89" w14:textId="77777777" w:rsidR="00A12B00" w:rsidRPr="00A12B00" w:rsidRDefault="00A12B00" w:rsidP="00A12B00">
            <w:pPr>
              <w:autoSpaceDE w:val="0"/>
              <w:autoSpaceDN w:val="0"/>
              <w:adjustRightInd w:val="0"/>
              <w:rPr>
                <w:rFonts w:ascii="Calibri" w:eastAsia="Calibri" w:hAnsi="Calibri" w:cs="Calibri"/>
                <w:color w:val="000000"/>
                <w:sz w:val="20"/>
                <w:szCs w:val="20"/>
              </w:rPr>
            </w:pPr>
            <w:r w:rsidRPr="00A12B00">
              <w:rPr>
                <w:rFonts w:ascii="Arial" w:eastAsia="Calibri" w:hAnsi="Arial" w:cs="Arial"/>
                <w:b/>
                <w:bCs/>
                <w:color w:val="323232"/>
                <w:sz w:val="20"/>
                <w:szCs w:val="20"/>
              </w:rPr>
              <w:t>Situation:</w:t>
            </w:r>
            <w:r w:rsidRPr="00A12B00">
              <w:rPr>
                <w:rFonts w:ascii="Arial" w:eastAsia="Calibri" w:hAnsi="Arial" w:cs="Arial"/>
                <w:color w:val="323232"/>
                <w:sz w:val="20"/>
                <w:szCs w:val="20"/>
              </w:rPr>
              <w:t xml:space="preserve"> In June 2021, a US Marine Corporal was faced federal investigation, following a probe into several service members for allegedly stealing ammunition and explosives from a California Marine Base. The stolen materials were discovered after one Marine Corporal attempted to sell the ammunition and explosives to federal authorities in early 2021.</w:t>
            </w:r>
            <w:r w:rsidRPr="00A12B00">
              <w:rPr>
                <w:rFonts w:ascii="Arial" w:eastAsia="Calibri" w:hAnsi="Arial" w:cs="Calibri"/>
                <w:color w:val="000000"/>
                <w:sz w:val="20"/>
                <w:szCs w:val="20"/>
                <w:vertAlign w:val="superscript"/>
              </w:rPr>
              <w:footnoteReference w:id="15"/>
            </w:r>
            <w:r w:rsidRPr="00A12B00">
              <w:rPr>
                <w:rFonts w:ascii="Calibri" w:eastAsia="Calibri" w:hAnsi="Calibri" w:cs="Arial"/>
                <w:color w:val="323232"/>
                <w:sz w:val="24"/>
                <w:szCs w:val="24"/>
                <w:vertAlign w:val="superscript"/>
              </w:rPr>
              <w:t xml:space="preserve"> </w:t>
            </w:r>
          </w:p>
        </w:tc>
      </w:tr>
      <w:tr w:rsidR="00A12B00" w:rsidRPr="00A12B00" w14:paraId="2DB6EBB5" w14:textId="77777777" w:rsidTr="00FD7A5B">
        <w:tc>
          <w:tcPr>
            <w:tcW w:w="9016" w:type="dxa"/>
          </w:tcPr>
          <w:p w14:paraId="79758D34" w14:textId="77777777" w:rsidR="00A12B00" w:rsidRPr="00A12B00" w:rsidRDefault="00A12B00" w:rsidP="00A12B00">
            <w:pPr>
              <w:rPr>
                <w:rFonts w:ascii="Arial" w:eastAsia="Calibri" w:hAnsi="Arial" w:cs="Arial"/>
                <w:color w:val="323232"/>
                <w:sz w:val="20"/>
                <w:szCs w:val="20"/>
              </w:rPr>
            </w:pPr>
            <w:r w:rsidRPr="00A12B00">
              <w:rPr>
                <w:rFonts w:ascii="Arial" w:eastAsia="Calibri" w:hAnsi="Arial" w:cs="Arial"/>
                <w:b/>
                <w:bCs/>
                <w:color w:val="323232"/>
                <w:sz w:val="20"/>
                <w:szCs w:val="20"/>
              </w:rPr>
              <w:t>Outcome:</w:t>
            </w:r>
            <w:r w:rsidRPr="00A12B00">
              <w:rPr>
                <w:rFonts w:ascii="Arial" w:eastAsia="Calibri" w:hAnsi="Arial" w:cs="Arial"/>
                <w:color w:val="323232"/>
                <w:sz w:val="20"/>
                <w:szCs w:val="20"/>
              </w:rPr>
              <w:t xml:space="preserve"> The Marine was charged with offences relating to stealing ammunition and explosives. The individual admitted that, while on duty, he sought to steal the materials for recreational use. The Marine was sentenced to 16-months confinement, a rank reduction and eventual disbarment from the military.</w:t>
            </w:r>
            <w:r w:rsidRPr="00A12B00">
              <w:rPr>
                <w:rFonts w:ascii="Arial" w:eastAsia="Calibri" w:hAnsi="Arial" w:cs="Calibri"/>
                <w:color w:val="000000"/>
                <w:sz w:val="20"/>
                <w:szCs w:val="20"/>
                <w:vertAlign w:val="superscript"/>
              </w:rPr>
              <w:footnoteReference w:id="16"/>
            </w:r>
          </w:p>
        </w:tc>
      </w:tr>
      <w:tr w:rsidR="00A12B00" w:rsidRPr="00A12B00" w14:paraId="27EE483E" w14:textId="77777777" w:rsidTr="00A12B00">
        <w:tc>
          <w:tcPr>
            <w:tcW w:w="9016" w:type="dxa"/>
            <w:shd w:val="clear" w:color="auto" w:fill="FDE5CC"/>
          </w:tcPr>
          <w:p w14:paraId="5D7D3886" w14:textId="77777777" w:rsidR="00A12B00" w:rsidRPr="00A12B00" w:rsidRDefault="00A12B00" w:rsidP="00A12B00">
            <w:pPr>
              <w:rPr>
                <w:rFonts w:ascii="Arial" w:eastAsia="Calibri" w:hAnsi="Arial" w:cs="Arial"/>
                <w:color w:val="323232"/>
                <w:sz w:val="20"/>
                <w:szCs w:val="20"/>
              </w:rPr>
            </w:pPr>
            <w:r w:rsidRPr="00A12B00">
              <w:rPr>
                <w:rFonts w:ascii="Arial" w:eastAsia="Calibri" w:hAnsi="Arial" w:cs="Arial"/>
                <w:b/>
                <w:bCs/>
                <w:color w:val="323232"/>
                <w:sz w:val="20"/>
                <w:szCs w:val="20"/>
              </w:rPr>
              <w:t>Identified Gap:</w:t>
            </w:r>
            <w:r w:rsidRPr="00A12B00">
              <w:rPr>
                <w:rFonts w:ascii="Arial" w:eastAsia="Calibri" w:hAnsi="Arial" w:cs="Arial"/>
                <w:color w:val="323232"/>
                <w:sz w:val="20"/>
                <w:szCs w:val="20"/>
              </w:rPr>
              <w:t xml:space="preserve"> This case study demonstrates the ease with which dangerous explosives materials can be stolen, if inadequate protections are in place, putting individuals, communities and the environment at significant risk. This risk remains even where the individual in question does not seek to cause harm using the explosive materials. </w:t>
            </w:r>
          </w:p>
        </w:tc>
      </w:tr>
    </w:tbl>
    <w:p w14:paraId="3AC73C4E" w14:textId="3265A835" w:rsidR="001A22DA" w:rsidRDefault="00A12B00" w:rsidP="00A12B00">
      <w:pPr>
        <w:autoSpaceDE w:val="0"/>
        <w:autoSpaceDN w:val="0"/>
        <w:adjustRightInd w:val="0"/>
        <w:spacing w:before="160" w:after="0" w:line="240" w:lineRule="auto"/>
        <w:rPr>
          <w:rFonts w:ascii="Arial" w:eastAsia="Calibri" w:hAnsi="Arial" w:cs="Arial"/>
        </w:rPr>
      </w:pPr>
      <w:r w:rsidRPr="00A12B00">
        <w:rPr>
          <w:rFonts w:ascii="Arial" w:eastAsia="Calibri" w:hAnsi="Arial" w:cs="Arial"/>
        </w:rPr>
        <w:t>In addition to the heightened risk of illicit diversion and theft, described in the case studies above, Commonwealth explosives are fundamentally different from commercial or industrial explosives, creating an additional set of risks</w:t>
      </w:r>
      <w:r w:rsidR="00FE79F2">
        <w:rPr>
          <w:rFonts w:ascii="Arial" w:eastAsia="Calibri" w:hAnsi="Arial" w:cs="Arial"/>
        </w:rPr>
        <w:t xml:space="preserve"> which are not currently contemplated by the </w:t>
      </w:r>
      <w:r w:rsidR="00F655CC">
        <w:rPr>
          <w:rFonts w:ascii="Arial" w:eastAsia="Calibri" w:hAnsi="Arial" w:cs="Arial"/>
        </w:rPr>
        <w:t xml:space="preserve">Commonwealth </w:t>
      </w:r>
      <w:r w:rsidR="00FE79F2">
        <w:rPr>
          <w:rFonts w:ascii="Arial" w:eastAsia="Calibri" w:hAnsi="Arial" w:cs="Arial"/>
        </w:rPr>
        <w:t xml:space="preserve">explosives regulatory regime (given the point in time </w:t>
      </w:r>
      <w:r w:rsidR="00F655CC">
        <w:rPr>
          <w:rFonts w:ascii="Arial" w:eastAsia="Calibri" w:hAnsi="Arial" w:cs="Arial"/>
        </w:rPr>
        <w:t xml:space="preserve">at </w:t>
      </w:r>
      <w:r w:rsidR="00FE79F2">
        <w:rPr>
          <w:rFonts w:ascii="Arial" w:eastAsia="Calibri" w:hAnsi="Arial" w:cs="Arial"/>
        </w:rPr>
        <w:t>which it was written, and the limited amendments which have since occurred)</w:t>
      </w:r>
      <w:r w:rsidRPr="00A12B00">
        <w:rPr>
          <w:rFonts w:ascii="Arial" w:eastAsia="Calibri" w:hAnsi="Arial" w:cs="Arial"/>
        </w:rPr>
        <w:t>. Commonwealth explosives often take the form of a weaponised system, containing its own means of initiation. The explosives are designed to produce high detonation velocity, necessary for destroying targets with brisance. The risks associated with the use, transport, and long-term storage of Commonwealth explosives</w:t>
      </w:r>
      <w:r w:rsidR="00C0253E">
        <w:rPr>
          <w:rFonts w:ascii="Arial" w:eastAsia="Calibri" w:hAnsi="Arial" w:cs="Arial"/>
        </w:rPr>
        <w:t xml:space="preserve"> </w:t>
      </w:r>
      <w:r w:rsidRPr="00A12B00">
        <w:rPr>
          <w:rFonts w:ascii="Arial" w:eastAsia="Calibri" w:hAnsi="Arial" w:cs="Arial"/>
        </w:rPr>
        <w:t>require a regulatory lens of a distinctly different kind to that applied to commercial and industrial applications. Further, it is necessary that Commonwealth defence capabilities, including details on weapon effectiveness, performance parameters and guidance software, are guarded. This is essential for the maintenance of Australia’s defence partnerships, ally relationships, and ensuring the integrity of Commonwealth explosives throughout their lifecycle.</w:t>
      </w:r>
    </w:p>
    <w:p w14:paraId="52C6277E" w14:textId="526F7056" w:rsidR="00DF7063" w:rsidRPr="001A22DA" w:rsidRDefault="00DF7063" w:rsidP="00A12B00">
      <w:pPr>
        <w:autoSpaceDE w:val="0"/>
        <w:autoSpaceDN w:val="0"/>
        <w:adjustRightInd w:val="0"/>
        <w:spacing w:before="160" w:after="0" w:line="240" w:lineRule="auto"/>
        <w:rPr>
          <w:rFonts w:ascii="Arial" w:eastAsia="Calibri" w:hAnsi="Arial" w:cs="Arial"/>
        </w:rPr>
      </w:pPr>
      <w:r w:rsidRPr="001A22DA">
        <w:rPr>
          <w:rFonts w:ascii="Arial" w:eastAsia="Calibri" w:hAnsi="Arial" w:cs="Arial"/>
          <w:b/>
          <w:bCs/>
          <w:i/>
          <w:iCs/>
          <w:color w:val="997339"/>
        </w:rPr>
        <w:t>Risk</w:t>
      </w:r>
      <w:r w:rsidR="001A22DA">
        <w:rPr>
          <w:rFonts w:ascii="Arial" w:eastAsia="Calibri" w:hAnsi="Arial" w:cs="Arial"/>
          <w:b/>
          <w:bCs/>
          <w:i/>
          <w:iCs/>
          <w:color w:val="997339"/>
        </w:rPr>
        <w:t>s</w:t>
      </w:r>
      <w:r w:rsidRPr="001A22DA">
        <w:rPr>
          <w:rFonts w:ascii="Arial" w:eastAsia="Calibri" w:hAnsi="Arial" w:cs="Arial"/>
          <w:b/>
          <w:bCs/>
          <w:i/>
          <w:iCs/>
          <w:color w:val="997339"/>
        </w:rPr>
        <w:t xml:space="preserve"> </w:t>
      </w:r>
      <w:r w:rsidR="00565924">
        <w:rPr>
          <w:rFonts w:ascii="Arial" w:eastAsia="Calibri" w:hAnsi="Arial" w:cs="Arial"/>
          <w:b/>
          <w:bCs/>
          <w:i/>
          <w:iCs/>
          <w:color w:val="997339"/>
        </w:rPr>
        <w:t>in the Defence Context</w:t>
      </w:r>
      <w:r w:rsidRPr="001A22DA">
        <w:rPr>
          <w:rFonts w:ascii="Arial" w:eastAsia="Calibri" w:hAnsi="Arial" w:cs="Arial"/>
          <w:b/>
          <w:bCs/>
          <w:i/>
          <w:iCs/>
          <w:color w:val="997339"/>
        </w:rPr>
        <w:t xml:space="preserve"> </w:t>
      </w:r>
    </w:p>
    <w:p w14:paraId="2CC5BE49" w14:textId="6D9117A3" w:rsidR="002020D1" w:rsidRDefault="00220E55" w:rsidP="00DA10CF">
      <w:pPr>
        <w:spacing w:line="240" w:lineRule="auto"/>
        <w:rPr>
          <w:rFonts w:ascii="Arial" w:eastAsia="Calibri" w:hAnsi="Arial" w:cs="Arial"/>
        </w:rPr>
      </w:pPr>
      <w:r>
        <w:rPr>
          <w:noProof/>
          <w:lang w:eastAsia="en-AU"/>
        </w:rPr>
        <w:lastRenderedPageBreak/>
        <mc:AlternateContent>
          <mc:Choice Requires="wps">
            <w:drawing>
              <wp:anchor distT="0" distB="0" distL="114300" distR="114300" simplePos="0" relativeHeight="251663872" behindDoc="0" locked="0" layoutInCell="1" allowOverlap="1" wp14:anchorId="2B48C71D" wp14:editId="5E671711">
                <wp:simplePos x="0" y="0"/>
                <wp:positionH relativeFrom="column">
                  <wp:posOffset>449580</wp:posOffset>
                </wp:positionH>
                <wp:positionV relativeFrom="paragraph">
                  <wp:posOffset>4759416</wp:posOffset>
                </wp:positionV>
                <wp:extent cx="4572000" cy="635"/>
                <wp:effectExtent l="0" t="0" r="0" b="3810"/>
                <wp:wrapTopAndBottom/>
                <wp:docPr id="37" name="Text Box 37"/>
                <wp:cNvGraphicFramePr/>
                <a:graphic xmlns:a="http://schemas.openxmlformats.org/drawingml/2006/main">
                  <a:graphicData uri="http://schemas.microsoft.com/office/word/2010/wordprocessingShape">
                    <wps:wsp>
                      <wps:cNvSpPr txBox="1"/>
                      <wps:spPr>
                        <a:xfrm>
                          <a:off x="0" y="0"/>
                          <a:ext cx="4572000" cy="635"/>
                        </a:xfrm>
                        <a:prstGeom prst="rect">
                          <a:avLst/>
                        </a:prstGeom>
                        <a:solidFill>
                          <a:prstClr val="white"/>
                        </a:solidFill>
                        <a:ln>
                          <a:noFill/>
                        </a:ln>
                      </wps:spPr>
                      <wps:txbx>
                        <w:txbxContent>
                          <w:p w14:paraId="67877236" w14:textId="63B5731C" w:rsidR="00B3427F" w:rsidRPr="00166449" w:rsidRDefault="00B3427F" w:rsidP="00606FE6">
                            <w:pPr>
                              <w:pStyle w:val="Caption"/>
                              <w:rPr>
                                <w:rFonts w:ascii="Arial" w:eastAsia="Calibri" w:hAnsi="Arial" w:cs="Arial"/>
                                <w:color w:val="323232"/>
                                <w:sz w:val="16"/>
                                <w:szCs w:val="16"/>
                              </w:rPr>
                            </w:pPr>
                            <w:r w:rsidRPr="00166449">
                              <w:rPr>
                                <w:rFonts w:ascii="Arial" w:eastAsia="Calibri" w:hAnsi="Arial" w:cs="Arial"/>
                                <w:b/>
                                <w:bCs/>
                                <w:color w:val="323232"/>
                                <w:sz w:val="16"/>
                                <w:szCs w:val="16"/>
                              </w:rPr>
                              <w:t xml:space="preserve">Figure </w:t>
                            </w:r>
                            <w:r>
                              <w:rPr>
                                <w:rFonts w:ascii="Arial" w:eastAsia="Calibri" w:hAnsi="Arial" w:cs="Arial"/>
                                <w:b/>
                                <w:bCs/>
                                <w:color w:val="323232"/>
                                <w:sz w:val="16"/>
                                <w:szCs w:val="16"/>
                              </w:rPr>
                              <w:fldChar w:fldCharType="begin"/>
                            </w:r>
                            <w:r>
                              <w:rPr>
                                <w:rFonts w:ascii="Arial" w:eastAsia="Calibri" w:hAnsi="Arial" w:cs="Arial"/>
                                <w:b/>
                                <w:bCs/>
                                <w:color w:val="323232"/>
                                <w:sz w:val="16"/>
                                <w:szCs w:val="16"/>
                              </w:rPr>
                              <w:instrText xml:space="preserve"> SEQ Figure \* ARABIC </w:instrText>
                            </w:r>
                            <w:r>
                              <w:rPr>
                                <w:rFonts w:ascii="Arial" w:eastAsia="Calibri" w:hAnsi="Arial" w:cs="Arial"/>
                                <w:b/>
                                <w:bCs/>
                                <w:color w:val="323232"/>
                                <w:sz w:val="16"/>
                                <w:szCs w:val="16"/>
                              </w:rPr>
                              <w:fldChar w:fldCharType="separate"/>
                            </w:r>
                            <w:r>
                              <w:rPr>
                                <w:rFonts w:ascii="Arial" w:eastAsia="Calibri" w:hAnsi="Arial" w:cs="Arial"/>
                                <w:b/>
                                <w:bCs/>
                                <w:noProof/>
                                <w:color w:val="323232"/>
                                <w:sz w:val="16"/>
                                <w:szCs w:val="16"/>
                              </w:rPr>
                              <w:t>7</w:t>
                            </w:r>
                            <w:r>
                              <w:rPr>
                                <w:rFonts w:ascii="Arial" w:eastAsia="Calibri" w:hAnsi="Arial" w:cs="Arial"/>
                                <w:b/>
                                <w:bCs/>
                                <w:color w:val="323232"/>
                                <w:sz w:val="16"/>
                                <w:szCs w:val="16"/>
                              </w:rPr>
                              <w:fldChar w:fldCharType="end"/>
                            </w:r>
                            <w:r w:rsidRPr="00166449">
                              <w:rPr>
                                <w:rFonts w:ascii="Arial" w:eastAsia="Calibri" w:hAnsi="Arial" w:cs="Arial"/>
                                <w:b/>
                                <w:bCs/>
                                <w:color w:val="323232"/>
                                <w:sz w:val="16"/>
                                <w:szCs w:val="16"/>
                              </w:rPr>
                              <w:t>:</w:t>
                            </w:r>
                            <w:r w:rsidRPr="00166449">
                              <w:rPr>
                                <w:rFonts w:ascii="Arial" w:eastAsia="Calibri" w:hAnsi="Arial" w:cs="Arial"/>
                                <w:color w:val="323232"/>
                                <w:sz w:val="16"/>
                                <w:szCs w:val="16"/>
                              </w:rPr>
                              <w:t xml:space="preserve"> Accidents vs. Near Misses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B48C71D" id="_x0000_t202" coordsize="21600,21600" o:spt="202" path="m,l,21600r21600,l21600,xe">
                <v:stroke joinstyle="miter"/>
                <v:path gradientshapeok="t" o:connecttype="rect"/>
              </v:shapetype>
              <v:shape id="Text Box 37" o:spid="_x0000_s1036" type="#_x0000_t202" style="position:absolute;margin-left:35.4pt;margin-top:374.75pt;width:5in;height:.0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" stroked="f">
                <v:textbox style="mso-fit-shape-to-text:t" inset="0,0,0,0">
                  <w:txbxContent>
                    <w:p w14:paraId="67877236" w14:textId="63B5731C" w:rsidR="00B3427F" w:rsidRPr="00166449" w:rsidRDefault="00B3427F" w:rsidP="00606FE6">
                      <w:pPr>
                        <w:pStyle w:val="Caption"/>
                        <w:rPr>
                          <w:rFonts w:ascii="Arial" w:eastAsia="Calibri" w:hAnsi="Arial" w:cs="Arial"/>
                          <w:color w:val="323232"/>
                          <w:sz w:val="16"/>
                          <w:szCs w:val="16"/>
                        </w:rPr>
                      </w:pPr>
                      <w:r w:rsidRPr="00166449">
                        <w:rPr>
                          <w:rFonts w:ascii="Arial" w:eastAsia="Calibri" w:hAnsi="Arial" w:cs="Arial"/>
                          <w:b/>
                          <w:bCs/>
                          <w:color w:val="323232"/>
                          <w:sz w:val="16"/>
                          <w:szCs w:val="16"/>
                        </w:rPr>
                        <w:t xml:space="preserve">Figure </w:t>
                      </w:r>
                      <w:r>
                        <w:rPr>
                          <w:rFonts w:ascii="Arial" w:eastAsia="Calibri" w:hAnsi="Arial" w:cs="Arial"/>
                          <w:b/>
                          <w:bCs/>
                          <w:color w:val="323232"/>
                          <w:sz w:val="16"/>
                          <w:szCs w:val="16"/>
                        </w:rPr>
                        <w:fldChar w:fldCharType="begin"/>
                      </w:r>
                      <w:r>
                        <w:rPr>
                          <w:rFonts w:ascii="Arial" w:eastAsia="Calibri" w:hAnsi="Arial" w:cs="Arial"/>
                          <w:b/>
                          <w:bCs/>
                          <w:color w:val="323232"/>
                          <w:sz w:val="16"/>
                          <w:szCs w:val="16"/>
                        </w:rPr>
                        <w:instrText xml:space="preserve"> SEQ Figure \* ARABIC </w:instrText>
                      </w:r>
                      <w:r>
                        <w:rPr>
                          <w:rFonts w:ascii="Arial" w:eastAsia="Calibri" w:hAnsi="Arial" w:cs="Arial"/>
                          <w:b/>
                          <w:bCs/>
                          <w:color w:val="323232"/>
                          <w:sz w:val="16"/>
                          <w:szCs w:val="16"/>
                        </w:rPr>
                        <w:fldChar w:fldCharType="separate"/>
                      </w:r>
                      <w:r>
                        <w:rPr>
                          <w:rFonts w:ascii="Arial" w:eastAsia="Calibri" w:hAnsi="Arial" w:cs="Arial"/>
                          <w:b/>
                          <w:bCs/>
                          <w:noProof/>
                          <w:color w:val="323232"/>
                          <w:sz w:val="16"/>
                          <w:szCs w:val="16"/>
                        </w:rPr>
                        <w:t>7</w:t>
                      </w:r>
                      <w:r>
                        <w:rPr>
                          <w:rFonts w:ascii="Arial" w:eastAsia="Calibri" w:hAnsi="Arial" w:cs="Arial"/>
                          <w:b/>
                          <w:bCs/>
                          <w:color w:val="323232"/>
                          <w:sz w:val="16"/>
                          <w:szCs w:val="16"/>
                        </w:rPr>
                        <w:fldChar w:fldCharType="end"/>
                      </w:r>
                      <w:r w:rsidRPr="00166449">
                        <w:rPr>
                          <w:rFonts w:ascii="Arial" w:eastAsia="Calibri" w:hAnsi="Arial" w:cs="Arial"/>
                          <w:b/>
                          <w:bCs/>
                          <w:color w:val="323232"/>
                          <w:sz w:val="16"/>
                          <w:szCs w:val="16"/>
                        </w:rPr>
                        <w:t>:</w:t>
                      </w:r>
                      <w:r w:rsidRPr="00166449">
                        <w:rPr>
                          <w:rFonts w:ascii="Arial" w:eastAsia="Calibri" w:hAnsi="Arial" w:cs="Arial"/>
                          <w:color w:val="323232"/>
                          <w:sz w:val="16"/>
                          <w:szCs w:val="16"/>
                        </w:rPr>
                        <w:t xml:space="preserve"> Accidents vs. Near Misses</w:t>
                      </w:r>
                    </w:p>
                  </w:txbxContent>
                </v:textbox>
                <w10:wrap type="topAndBottom"/>
              </v:shape>
            </w:pict>
          </mc:Fallback>
        </mc:AlternateContent>
      </w:r>
      <w:r>
        <w:rPr>
          <w:noProof/>
          <w:lang w:eastAsia="en-AU"/>
        </w:rPr>
        <w:drawing>
          <wp:anchor distT="0" distB="0" distL="114300" distR="114300" simplePos="0" relativeHeight="251656704" behindDoc="0" locked="0" layoutInCell="1" allowOverlap="1" wp14:anchorId="7206FBDA" wp14:editId="7244BF6C">
            <wp:simplePos x="0" y="0"/>
            <wp:positionH relativeFrom="column">
              <wp:posOffset>433705</wp:posOffset>
            </wp:positionH>
            <wp:positionV relativeFrom="paragraph">
              <wp:posOffset>1950811</wp:posOffset>
            </wp:positionV>
            <wp:extent cx="4572000" cy="2743200"/>
            <wp:effectExtent l="0" t="0" r="0" b="0"/>
            <wp:wrapTopAndBottom/>
            <wp:docPr id="20" name="Chart 20">
              <a:extLst xmlns:a="http://schemas.openxmlformats.org/drawingml/2006/main">
                <a:ext uri="{FF2B5EF4-FFF2-40B4-BE49-F238E27FC236}">
                  <a16:creationId xmlns:a16="http://schemas.microsoft.com/office/drawing/2014/main" id="{884BF935-B385-4EE0-B4FD-DB550A1538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4825A8">
        <w:rPr>
          <w:rFonts w:ascii="Arial" w:eastAsia="Calibri" w:hAnsi="Arial" w:cs="Arial"/>
        </w:rPr>
        <w:t xml:space="preserve">While the </w:t>
      </w:r>
      <w:r w:rsidR="00067DFF">
        <w:rPr>
          <w:rFonts w:ascii="Arial" w:eastAsia="Calibri" w:hAnsi="Arial" w:cs="Arial"/>
        </w:rPr>
        <w:t>presence of</w:t>
      </w:r>
      <w:r w:rsidR="004825A8">
        <w:rPr>
          <w:rFonts w:ascii="Arial" w:eastAsia="Calibri" w:hAnsi="Arial" w:cs="Arial"/>
        </w:rPr>
        <w:t xml:space="preserve"> Commonwealth explosives </w:t>
      </w:r>
      <w:r w:rsidR="00BB75FA">
        <w:rPr>
          <w:rFonts w:ascii="Arial" w:eastAsia="Calibri" w:hAnsi="Arial" w:cs="Arial"/>
        </w:rPr>
        <w:t xml:space="preserve">across Australia is expanding, the Department of Defence </w:t>
      </w:r>
      <w:r w:rsidR="00067DFF">
        <w:rPr>
          <w:rFonts w:ascii="Arial" w:eastAsia="Calibri" w:hAnsi="Arial" w:cs="Arial"/>
        </w:rPr>
        <w:t xml:space="preserve">has historically been the primary user and of such explosives. </w:t>
      </w:r>
      <w:r w:rsidR="00A12B00" w:rsidRPr="00A12B00">
        <w:rPr>
          <w:rFonts w:ascii="Arial" w:eastAsia="Calibri" w:hAnsi="Arial" w:cs="Arial"/>
        </w:rPr>
        <w:t xml:space="preserve">The </w:t>
      </w:r>
      <w:r w:rsidR="008C779D">
        <w:rPr>
          <w:rFonts w:ascii="Arial" w:eastAsia="Calibri" w:hAnsi="Arial" w:cs="Arial"/>
        </w:rPr>
        <w:t xml:space="preserve">Department recognises the </w:t>
      </w:r>
      <w:r w:rsidR="00A12B00" w:rsidRPr="00A12B00">
        <w:rPr>
          <w:rFonts w:ascii="Arial" w:eastAsia="Calibri" w:hAnsi="Arial" w:cs="Arial"/>
        </w:rPr>
        <w:t>unique risks attached to Commonwealth explosives, including their enhanced attractiveness as targets of illicit diversion, theft and their differences from commercial and industrial explosives</w:t>
      </w:r>
      <w:r w:rsidR="00925633">
        <w:rPr>
          <w:rFonts w:ascii="Arial" w:eastAsia="Calibri" w:hAnsi="Arial" w:cs="Arial"/>
        </w:rPr>
        <w:t xml:space="preserve">, but also the inherent safety risks attached to such explosives. </w:t>
      </w:r>
      <w:r w:rsidR="00B3427F">
        <w:rPr>
          <w:rFonts w:ascii="Arial" w:eastAsia="Calibri" w:hAnsi="Arial" w:cs="Arial"/>
        </w:rPr>
        <w:t>Defence has a departmental governance and assurance system for explosives safety management based on international military good practice standards</w:t>
      </w:r>
      <w:r w:rsidR="00845DC4">
        <w:rPr>
          <w:rFonts w:ascii="Arial" w:eastAsia="Calibri" w:hAnsi="Arial" w:cs="Arial"/>
        </w:rPr>
        <w:t xml:space="preserve"> which represent a proactive self-regulatory regime</w:t>
      </w:r>
      <w:r w:rsidR="00B3427F">
        <w:rPr>
          <w:rFonts w:ascii="Arial" w:eastAsia="Calibri" w:hAnsi="Arial" w:cs="Arial"/>
        </w:rPr>
        <w:t>. Data drawn from</w:t>
      </w:r>
      <w:r w:rsidR="00845DC4">
        <w:rPr>
          <w:rFonts w:ascii="Arial" w:eastAsia="Calibri" w:hAnsi="Arial" w:cs="Arial"/>
        </w:rPr>
        <w:t xml:space="preserve"> the</w:t>
      </w:r>
      <w:r w:rsidR="00B3427F">
        <w:rPr>
          <w:rFonts w:ascii="Arial" w:eastAsia="Calibri" w:hAnsi="Arial" w:cs="Arial"/>
        </w:rPr>
        <w:t xml:space="preserve"> </w:t>
      </w:r>
      <w:r w:rsidR="00BC5890">
        <w:rPr>
          <w:rFonts w:ascii="Arial" w:eastAsia="Calibri" w:hAnsi="Arial" w:cs="Arial"/>
        </w:rPr>
        <w:t xml:space="preserve">Department’s </w:t>
      </w:r>
      <w:r w:rsidR="002020D1">
        <w:rPr>
          <w:rFonts w:ascii="Arial" w:eastAsia="Calibri" w:hAnsi="Arial" w:cs="Arial"/>
        </w:rPr>
        <w:t xml:space="preserve">Explosives Ordnance Incident Reporting &amp; Management reports from the preceding five years, </w:t>
      </w:r>
      <w:r w:rsidR="00B3427F">
        <w:rPr>
          <w:rFonts w:ascii="Arial" w:eastAsia="Calibri" w:hAnsi="Arial" w:cs="Arial"/>
        </w:rPr>
        <w:t>illustrate</w:t>
      </w:r>
      <w:r w:rsidR="00DA10CF">
        <w:rPr>
          <w:rFonts w:ascii="Arial" w:eastAsia="Calibri" w:hAnsi="Arial" w:cs="Arial"/>
        </w:rPr>
        <w:t>s</w:t>
      </w:r>
      <w:r w:rsidR="00B3427F">
        <w:rPr>
          <w:rFonts w:ascii="Arial" w:eastAsia="Calibri" w:hAnsi="Arial" w:cs="Arial"/>
        </w:rPr>
        <w:t xml:space="preserve"> that accidents</w:t>
      </w:r>
      <w:r w:rsidR="00845DC4">
        <w:rPr>
          <w:rStyle w:val="FootnoteReference"/>
          <w:rFonts w:ascii="Arial" w:eastAsia="Calibri" w:hAnsi="Arial" w:cs="Arial"/>
        </w:rPr>
        <w:footnoteReference w:id="17"/>
      </w:r>
      <w:r w:rsidR="00845DC4">
        <w:rPr>
          <w:rStyle w:val="EndnoteReference"/>
          <w:rFonts w:ascii="Arial" w:eastAsia="Calibri" w:hAnsi="Arial" w:cs="Arial"/>
        </w:rPr>
        <w:t xml:space="preserve"> </w:t>
      </w:r>
      <w:r w:rsidR="00B3427F">
        <w:rPr>
          <w:rFonts w:ascii="Arial" w:eastAsia="Calibri" w:hAnsi="Arial" w:cs="Arial"/>
        </w:rPr>
        <w:t>are low frequency</w:t>
      </w:r>
      <w:r w:rsidR="00DA10CF">
        <w:rPr>
          <w:rFonts w:ascii="Arial" w:eastAsia="Calibri" w:hAnsi="Arial" w:cs="Arial"/>
        </w:rPr>
        <w:t xml:space="preserve"> incidents.  However </w:t>
      </w:r>
      <w:r w:rsidR="00B3427F">
        <w:rPr>
          <w:rFonts w:ascii="Arial" w:eastAsia="Calibri" w:hAnsi="Arial" w:cs="Arial"/>
        </w:rPr>
        <w:t xml:space="preserve">the </w:t>
      </w:r>
      <w:r w:rsidR="00DA10CF">
        <w:rPr>
          <w:rFonts w:ascii="Arial" w:eastAsia="Calibri" w:hAnsi="Arial" w:cs="Arial"/>
        </w:rPr>
        <w:t xml:space="preserve">higher rate of </w:t>
      </w:r>
      <w:r w:rsidR="00B3427F">
        <w:rPr>
          <w:rFonts w:ascii="Arial" w:eastAsia="Calibri" w:hAnsi="Arial" w:cs="Arial"/>
        </w:rPr>
        <w:t>proactive reporting of near misses</w:t>
      </w:r>
      <w:r w:rsidR="00845DC4">
        <w:rPr>
          <w:rStyle w:val="FootnoteReference"/>
          <w:rFonts w:ascii="Arial" w:eastAsia="Calibri" w:hAnsi="Arial" w:cs="Arial"/>
        </w:rPr>
        <w:footnoteReference w:id="18"/>
      </w:r>
      <w:r w:rsidR="00B3427F">
        <w:rPr>
          <w:rFonts w:ascii="Arial" w:eastAsia="Calibri" w:hAnsi="Arial" w:cs="Arial"/>
        </w:rPr>
        <w:t xml:space="preserve"> </w:t>
      </w:r>
      <w:r w:rsidR="00DA10CF">
        <w:rPr>
          <w:rFonts w:ascii="Arial" w:eastAsia="Calibri" w:hAnsi="Arial" w:cs="Arial"/>
        </w:rPr>
        <w:t xml:space="preserve">illustrates the need for ongoing monitoring for risk controls and their effectiveness.  </w:t>
      </w:r>
    </w:p>
    <w:p w14:paraId="3B2C35B6" w14:textId="52FCB075" w:rsidR="00080945" w:rsidRDefault="000277F7" w:rsidP="000277F7">
      <w:pPr>
        <w:spacing w:line="240" w:lineRule="auto"/>
        <w:rPr>
          <w:rFonts w:ascii="Arial" w:eastAsia="Calibri" w:hAnsi="Arial" w:cs="Arial"/>
        </w:rPr>
      </w:pPr>
      <w:r>
        <w:rPr>
          <w:rFonts w:ascii="Arial" w:eastAsia="Calibri" w:hAnsi="Arial" w:cs="Arial"/>
        </w:rPr>
        <w:t xml:space="preserve">It is necessary to </w:t>
      </w:r>
      <w:r w:rsidR="00EA11D4">
        <w:rPr>
          <w:rFonts w:ascii="Arial" w:eastAsia="Calibri" w:hAnsi="Arial" w:cs="Arial"/>
        </w:rPr>
        <w:t>set out</w:t>
      </w:r>
      <w:r>
        <w:rPr>
          <w:rFonts w:ascii="Arial" w:eastAsia="Calibri" w:hAnsi="Arial" w:cs="Arial"/>
        </w:rPr>
        <w:t xml:space="preserve"> the limitations of this data. </w:t>
      </w:r>
      <w:r w:rsidR="00BB5989">
        <w:rPr>
          <w:rFonts w:ascii="Arial" w:eastAsia="Calibri" w:hAnsi="Arial" w:cs="Arial"/>
        </w:rPr>
        <w:t xml:space="preserve">The Department’s safety and security database captures incidents reported by the Department and a limited range of Defence contractors (primarily Thales Australia) only. </w:t>
      </w:r>
      <w:r w:rsidR="00F61C0C">
        <w:rPr>
          <w:rFonts w:ascii="Arial" w:eastAsia="Calibri" w:hAnsi="Arial" w:cs="Arial"/>
        </w:rPr>
        <w:t>Most</w:t>
      </w:r>
      <w:r>
        <w:rPr>
          <w:rFonts w:ascii="Arial" w:eastAsia="Calibri" w:hAnsi="Arial" w:cs="Arial"/>
        </w:rPr>
        <w:t xml:space="preserve"> </w:t>
      </w:r>
      <w:r w:rsidR="00EA11D4">
        <w:rPr>
          <w:rFonts w:ascii="Arial" w:eastAsia="Calibri" w:hAnsi="Arial" w:cs="Arial"/>
        </w:rPr>
        <w:t xml:space="preserve">notably, </w:t>
      </w:r>
      <w:r w:rsidR="00377B7B">
        <w:rPr>
          <w:rFonts w:ascii="Arial" w:eastAsia="Calibri" w:hAnsi="Arial" w:cs="Arial"/>
        </w:rPr>
        <w:t xml:space="preserve">the Department’s activities are largely constrained to the storage, transport and military employment of explosives. As such, while this data is useful to develop an understanding of the efficacy of the Department’s </w:t>
      </w:r>
      <w:r w:rsidR="0075432F">
        <w:rPr>
          <w:rFonts w:ascii="Arial" w:eastAsia="Calibri" w:hAnsi="Arial" w:cs="Arial"/>
        </w:rPr>
        <w:t xml:space="preserve">handling of explosives inventory, it lacks utility in </w:t>
      </w:r>
      <w:r w:rsidR="00054BE8">
        <w:rPr>
          <w:rFonts w:ascii="Arial" w:eastAsia="Calibri" w:hAnsi="Arial" w:cs="Arial"/>
        </w:rPr>
        <w:t xml:space="preserve">facilitating </w:t>
      </w:r>
      <w:r w:rsidR="0075432F">
        <w:rPr>
          <w:rFonts w:ascii="Arial" w:eastAsia="Calibri" w:hAnsi="Arial" w:cs="Arial"/>
        </w:rPr>
        <w:t xml:space="preserve">understanding the breadth of Commonwealth explosives activities and the envisaged increase in Commonwealth explosives activities into the future. </w:t>
      </w:r>
    </w:p>
    <w:p w14:paraId="754B8599" w14:textId="378DB9B5" w:rsidR="00054BE8" w:rsidRPr="000277F7" w:rsidRDefault="000729E0" w:rsidP="000277F7">
      <w:pPr>
        <w:spacing w:line="240" w:lineRule="auto"/>
        <w:rPr>
          <w:rFonts w:ascii="Arial" w:eastAsia="Calibri" w:hAnsi="Arial" w:cs="Arial"/>
        </w:rPr>
      </w:pPr>
      <w:r>
        <w:rPr>
          <w:rFonts w:ascii="Arial" w:eastAsia="Calibri" w:hAnsi="Arial" w:cs="Arial"/>
        </w:rPr>
        <w:t xml:space="preserve">The relative static nature of the explosives industry in Australia over the last two </w:t>
      </w:r>
      <w:r w:rsidR="005B00E8">
        <w:rPr>
          <w:rFonts w:ascii="Arial" w:eastAsia="Calibri" w:hAnsi="Arial" w:cs="Arial"/>
        </w:rPr>
        <w:t>decades (both in terms of the kinds of explosives being manufactured, and the consistency of players within the ecosystem</w:t>
      </w:r>
      <w:r w:rsidR="00B8566D">
        <w:rPr>
          <w:rFonts w:ascii="Arial" w:eastAsia="Calibri" w:hAnsi="Arial" w:cs="Arial"/>
        </w:rPr>
        <w:t>) means historic incident rates and identifiable trends offer little insight into the kind of regulation required.</w:t>
      </w:r>
      <w:r w:rsidR="00D24855">
        <w:rPr>
          <w:rFonts w:ascii="Arial" w:eastAsia="Calibri" w:hAnsi="Arial" w:cs="Arial"/>
        </w:rPr>
        <w:t xml:space="preserve"> </w:t>
      </w:r>
      <w:r>
        <w:rPr>
          <w:rFonts w:ascii="Arial" w:eastAsia="Calibri" w:hAnsi="Arial" w:cs="Arial"/>
        </w:rPr>
        <w:t xml:space="preserve"> </w:t>
      </w:r>
    </w:p>
    <w:p w14:paraId="38889FC9" w14:textId="56F936C2" w:rsidR="00A12B00" w:rsidRDefault="00FB67BF" w:rsidP="001A22DA">
      <w:pPr>
        <w:spacing w:line="240" w:lineRule="auto"/>
        <w:rPr>
          <w:rFonts w:ascii="Arial" w:eastAsia="Calibri" w:hAnsi="Arial" w:cs="Arial"/>
        </w:rPr>
      </w:pPr>
      <w:r>
        <w:rPr>
          <w:rFonts w:ascii="Arial" w:eastAsia="Calibri" w:hAnsi="Arial" w:cs="Arial"/>
        </w:rPr>
        <w:lastRenderedPageBreak/>
        <w:t xml:space="preserve">Outside of the Department, </w:t>
      </w:r>
      <w:r w:rsidR="00FF5096">
        <w:rPr>
          <w:rFonts w:ascii="Arial" w:eastAsia="Calibri" w:hAnsi="Arial" w:cs="Arial"/>
        </w:rPr>
        <w:t>data</w:t>
      </w:r>
      <w:r>
        <w:rPr>
          <w:rFonts w:ascii="Arial" w:eastAsia="Calibri" w:hAnsi="Arial" w:cs="Arial"/>
        </w:rPr>
        <w:t xml:space="preserve"> on explosives</w:t>
      </w:r>
      <w:r w:rsidR="00FF5096">
        <w:rPr>
          <w:rFonts w:ascii="Arial" w:eastAsia="Calibri" w:hAnsi="Arial" w:cs="Arial"/>
        </w:rPr>
        <w:t>-related</w:t>
      </w:r>
      <w:r>
        <w:rPr>
          <w:rFonts w:ascii="Arial" w:eastAsia="Calibri" w:hAnsi="Arial" w:cs="Arial"/>
        </w:rPr>
        <w:t xml:space="preserve"> incident</w:t>
      </w:r>
      <w:r w:rsidR="00FF5096">
        <w:rPr>
          <w:rFonts w:ascii="Arial" w:eastAsia="Calibri" w:hAnsi="Arial" w:cs="Arial"/>
        </w:rPr>
        <w:t>s</w:t>
      </w:r>
      <w:r>
        <w:rPr>
          <w:rFonts w:ascii="Arial" w:eastAsia="Calibri" w:hAnsi="Arial" w:cs="Arial"/>
        </w:rPr>
        <w:t xml:space="preserve"> is </w:t>
      </w:r>
      <w:r w:rsidR="00FF5096">
        <w:rPr>
          <w:rFonts w:ascii="Arial" w:eastAsia="Calibri" w:hAnsi="Arial" w:cs="Arial"/>
        </w:rPr>
        <w:t xml:space="preserve">extremely </w:t>
      </w:r>
      <w:r>
        <w:rPr>
          <w:rFonts w:ascii="Arial" w:eastAsia="Calibri" w:hAnsi="Arial" w:cs="Arial"/>
        </w:rPr>
        <w:t xml:space="preserve">limited. </w:t>
      </w:r>
      <w:r w:rsidR="004B1B4D">
        <w:rPr>
          <w:rFonts w:ascii="Arial" w:eastAsia="Calibri" w:hAnsi="Arial" w:cs="Arial"/>
        </w:rPr>
        <w:t xml:space="preserve">One additional data source is the </w:t>
      </w:r>
      <w:r w:rsidR="00E85FC2" w:rsidRPr="00E85FC2">
        <w:rPr>
          <w:rFonts w:ascii="Arial" w:eastAsia="Calibri" w:hAnsi="Arial" w:cs="Arial"/>
        </w:rPr>
        <w:t>Queensland Government Explosives Incident Database</w:t>
      </w:r>
      <w:r w:rsidR="004B1B4D">
        <w:rPr>
          <w:rFonts w:ascii="Arial" w:eastAsia="Calibri" w:hAnsi="Arial" w:cs="Arial"/>
        </w:rPr>
        <w:t xml:space="preserve">, which offers a </w:t>
      </w:r>
      <w:r w:rsidR="00E85FC2" w:rsidRPr="00E85FC2">
        <w:rPr>
          <w:rFonts w:ascii="Arial" w:eastAsia="Calibri" w:hAnsi="Arial" w:cs="Arial"/>
        </w:rPr>
        <w:t xml:space="preserve">monthly snapshot of ‘significant incidents’. </w:t>
      </w:r>
      <w:r w:rsidR="004B1B4D">
        <w:rPr>
          <w:rFonts w:ascii="Arial" w:eastAsia="Calibri" w:hAnsi="Arial" w:cs="Arial"/>
        </w:rPr>
        <w:t>Its December 2021 report</w:t>
      </w:r>
      <w:r w:rsidR="004970B4">
        <w:rPr>
          <w:rFonts w:ascii="Arial" w:eastAsia="Calibri" w:hAnsi="Arial" w:cs="Arial"/>
        </w:rPr>
        <w:t xml:space="preserve">’s </w:t>
      </w:r>
      <w:r w:rsidR="004B1B4D">
        <w:rPr>
          <w:rFonts w:ascii="Arial" w:eastAsia="Calibri" w:hAnsi="Arial" w:cs="Arial"/>
        </w:rPr>
        <w:t>annual snapshot</w:t>
      </w:r>
      <w:r w:rsidR="004970B4">
        <w:rPr>
          <w:rFonts w:ascii="Arial" w:eastAsia="Calibri" w:hAnsi="Arial" w:cs="Arial"/>
        </w:rPr>
        <w:t xml:space="preserve"> identified </w:t>
      </w:r>
      <w:r w:rsidR="00E85FC2" w:rsidRPr="00E85FC2">
        <w:rPr>
          <w:rFonts w:ascii="Arial" w:eastAsia="Calibri" w:hAnsi="Arial" w:cs="Arial"/>
        </w:rPr>
        <w:t xml:space="preserve">a total of 380 incidents, of which 244 were misfires (predominantly occurring during mining activities). Excluding misfires, the most common incident types were </w:t>
      </w:r>
      <w:r w:rsidR="004D1C94">
        <w:rPr>
          <w:rFonts w:ascii="Arial" w:eastAsia="Calibri" w:hAnsi="Arial" w:cs="Arial"/>
        </w:rPr>
        <w:t>v</w:t>
      </w:r>
      <w:r w:rsidR="00E85FC2" w:rsidRPr="00E85FC2">
        <w:rPr>
          <w:rFonts w:ascii="Arial" w:eastAsia="Calibri" w:hAnsi="Arial" w:cs="Arial"/>
        </w:rPr>
        <w:t xml:space="preserve">ehicle incidents, unsecured explosives, explosives discrepancies (stock accounting), </w:t>
      </w:r>
      <w:r w:rsidR="004970B4">
        <w:rPr>
          <w:rFonts w:ascii="Arial" w:eastAsia="Calibri" w:hAnsi="Arial" w:cs="Arial"/>
        </w:rPr>
        <w:t xml:space="preserve">and </w:t>
      </w:r>
      <w:r w:rsidR="00E85FC2" w:rsidRPr="00E85FC2">
        <w:rPr>
          <w:rFonts w:ascii="Arial" w:eastAsia="Calibri" w:hAnsi="Arial" w:cs="Arial"/>
        </w:rPr>
        <w:t xml:space="preserve">exclusion zone breaches, </w:t>
      </w:r>
      <w:r w:rsidR="004970B4">
        <w:rPr>
          <w:rFonts w:ascii="Arial" w:eastAsia="Calibri" w:hAnsi="Arial" w:cs="Arial"/>
        </w:rPr>
        <w:t xml:space="preserve">among others. </w:t>
      </w:r>
    </w:p>
    <w:p w14:paraId="31B69721" w14:textId="414BA36F" w:rsidR="00AA36D5" w:rsidRDefault="00AA36D5" w:rsidP="001A22DA">
      <w:pPr>
        <w:spacing w:line="240" w:lineRule="auto"/>
        <w:rPr>
          <w:rFonts w:ascii="Arial" w:eastAsia="Calibri" w:hAnsi="Arial" w:cs="Arial"/>
        </w:rPr>
      </w:pPr>
      <w:r>
        <w:rPr>
          <w:rFonts w:ascii="Arial" w:eastAsia="Calibri" w:hAnsi="Arial" w:cs="Arial"/>
        </w:rPr>
        <w:t xml:space="preserve">Similarly, explosives incident databases external to Defence </w:t>
      </w:r>
      <w:r w:rsidR="005E3716">
        <w:rPr>
          <w:rFonts w:ascii="Arial" w:eastAsia="Calibri" w:hAnsi="Arial" w:cs="Arial"/>
        </w:rPr>
        <w:t xml:space="preserve">offer limited insight, highlighting the following as </w:t>
      </w:r>
      <w:r w:rsidR="00D51CD1">
        <w:rPr>
          <w:rFonts w:ascii="Arial" w:eastAsia="Calibri" w:hAnsi="Arial" w:cs="Arial"/>
        </w:rPr>
        <w:t>noteworthy</w:t>
      </w:r>
      <w:r w:rsidR="005E3716">
        <w:rPr>
          <w:rFonts w:ascii="Arial" w:eastAsia="Calibri" w:hAnsi="Arial" w:cs="Arial"/>
        </w:rPr>
        <w:t xml:space="preserve"> incidents occurring between June 2019 and present: </w:t>
      </w:r>
    </w:p>
    <w:p w14:paraId="295A5E0A" w14:textId="3FD8BA74" w:rsidR="00D51CD1" w:rsidRPr="00D51CD1" w:rsidRDefault="00D51CD1" w:rsidP="00A16B8A">
      <w:pPr>
        <w:pStyle w:val="ListParagraph"/>
        <w:numPr>
          <w:ilvl w:val="0"/>
          <w:numId w:val="42"/>
        </w:numPr>
        <w:spacing w:line="252" w:lineRule="auto"/>
        <w:rPr>
          <w:rFonts w:ascii="Arial" w:eastAsia="Calibri" w:hAnsi="Arial" w:cs="Arial"/>
        </w:rPr>
      </w:pPr>
      <w:r w:rsidRPr="00D51CD1">
        <w:rPr>
          <w:rFonts w:ascii="Arial" w:eastAsia="Calibri" w:hAnsi="Arial" w:cs="Arial"/>
        </w:rPr>
        <w:t>7 explosive events in manufacturing facilities</w:t>
      </w:r>
      <w:r>
        <w:rPr>
          <w:rFonts w:ascii="Arial" w:eastAsia="Calibri" w:hAnsi="Arial" w:cs="Arial"/>
        </w:rPr>
        <w:t>;</w:t>
      </w:r>
    </w:p>
    <w:p w14:paraId="0AD67B48" w14:textId="2AFE8324" w:rsidR="00D51CD1" w:rsidRPr="00D51CD1" w:rsidRDefault="00D51CD1" w:rsidP="00A16B8A">
      <w:pPr>
        <w:pStyle w:val="ListParagraph"/>
        <w:numPr>
          <w:ilvl w:val="0"/>
          <w:numId w:val="42"/>
        </w:numPr>
        <w:spacing w:line="252" w:lineRule="auto"/>
        <w:rPr>
          <w:rFonts w:ascii="Arial" w:eastAsia="Calibri" w:hAnsi="Arial" w:cs="Arial"/>
        </w:rPr>
      </w:pPr>
      <w:r w:rsidRPr="00D51CD1">
        <w:rPr>
          <w:rFonts w:ascii="Arial" w:eastAsia="Calibri" w:hAnsi="Arial" w:cs="Arial"/>
        </w:rPr>
        <w:t>5 explosive events in storage depots</w:t>
      </w:r>
      <w:r>
        <w:rPr>
          <w:rFonts w:ascii="Arial" w:eastAsia="Calibri" w:hAnsi="Arial" w:cs="Arial"/>
        </w:rPr>
        <w:t>;</w:t>
      </w:r>
    </w:p>
    <w:p w14:paraId="61441DDF" w14:textId="56E013BA" w:rsidR="00D51CD1" w:rsidRPr="00D51CD1" w:rsidRDefault="00D51CD1" w:rsidP="00A16B8A">
      <w:pPr>
        <w:pStyle w:val="ListParagraph"/>
        <w:numPr>
          <w:ilvl w:val="0"/>
          <w:numId w:val="42"/>
        </w:numPr>
        <w:spacing w:line="252" w:lineRule="auto"/>
        <w:rPr>
          <w:rFonts w:ascii="Arial" w:eastAsia="Calibri" w:hAnsi="Arial" w:cs="Arial"/>
        </w:rPr>
      </w:pPr>
      <w:r w:rsidRPr="00D51CD1">
        <w:rPr>
          <w:rFonts w:ascii="Arial" w:eastAsia="Calibri" w:hAnsi="Arial" w:cs="Arial"/>
        </w:rPr>
        <w:t>4 events during ‘use’</w:t>
      </w:r>
      <w:r>
        <w:rPr>
          <w:rFonts w:ascii="Arial" w:eastAsia="Calibri" w:hAnsi="Arial" w:cs="Arial"/>
        </w:rPr>
        <w:t>,</w:t>
      </w:r>
      <w:r w:rsidRPr="00D51CD1">
        <w:rPr>
          <w:rFonts w:ascii="Arial" w:eastAsia="Calibri" w:hAnsi="Arial" w:cs="Arial"/>
        </w:rPr>
        <w:t xml:space="preserve"> including rocket motor test and weaponised drone use</w:t>
      </w:r>
      <w:r>
        <w:rPr>
          <w:rFonts w:ascii="Arial" w:eastAsia="Calibri" w:hAnsi="Arial" w:cs="Arial"/>
        </w:rPr>
        <w:t>;</w:t>
      </w:r>
    </w:p>
    <w:p w14:paraId="0D3ACE01" w14:textId="70D712BA" w:rsidR="00D51CD1" w:rsidRPr="00D51CD1" w:rsidRDefault="00D51CD1" w:rsidP="00A16B8A">
      <w:pPr>
        <w:pStyle w:val="ListParagraph"/>
        <w:numPr>
          <w:ilvl w:val="0"/>
          <w:numId w:val="42"/>
        </w:numPr>
        <w:spacing w:line="252" w:lineRule="auto"/>
        <w:rPr>
          <w:rFonts w:ascii="Arial" w:eastAsia="Calibri" w:hAnsi="Arial" w:cs="Arial"/>
        </w:rPr>
      </w:pPr>
      <w:r w:rsidRPr="00D51CD1">
        <w:rPr>
          <w:rFonts w:ascii="Arial" w:eastAsia="Calibri" w:hAnsi="Arial" w:cs="Arial"/>
        </w:rPr>
        <w:t>4 vehicle accidents involving explosives</w:t>
      </w:r>
      <w:r>
        <w:rPr>
          <w:rFonts w:ascii="Arial" w:eastAsia="Calibri" w:hAnsi="Arial" w:cs="Arial"/>
        </w:rPr>
        <w:t>; and</w:t>
      </w:r>
    </w:p>
    <w:p w14:paraId="23FDB59C" w14:textId="77777777" w:rsidR="00D51CD1" w:rsidRPr="00D51CD1" w:rsidRDefault="00D51CD1" w:rsidP="00A16B8A">
      <w:pPr>
        <w:pStyle w:val="ListParagraph"/>
        <w:numPr>
          <w:ilvl w:val="0"/>
          <w:numId w:val="42"/>
        </w:numPr>
        <w:spacing w:line="252" w:lineRule="auto"/>
        <w:rPr>
          <w:rFonts w:ascii="Arial" w:eastAsia="Calibri" w:hAnsi="Arial" w:cs="Arial"/>
        </w:rPr>
      </w:pPr>
      <w:r w:rsidRPr="00D51CD1">
        <w:rPr>
          <w:rFonts w:ascii="Arial" w:eastAsia="Calibri" w:hAnsi="Arial" w:cs="Arial"/>
        </w:rPr>
        <w:t>1 mobile explosive disposal facility accident.</w:t>
      </w:r>
    </w:p>
    <w:p w14:paraId="466B3C53" w14:textId="043D20B3" w:rsidR="005E3716" w:rsidRPr="00A12B00" w:rsidRDefault="008532A1" w:rsidP="001A22DA">
      <w:pPr>
        <w:spacing w:line="240" w:lineRule="auto"/>
        <w:rPr>
          <w:rFonts w:ascii="Arial" w:eastAsia="Calibri" w:hAnsi="Arial" w:cs="Arial"/>
        </w:rPr>
      </w:pPr>
      <w:r>
        <w:rPr>
          <w:rFonts w:ascii="Arial" w:eastAsia="Calibri" w:hAnsi="Arial" w:cs="Arial"/>
        </w:rPr>
        <w:t xml:space="preserve">Many of the above incidents occurred within components of the explosives ecosystem where the Commonwealth explosives regime is, as it currently stands, largely silent. </w:t>
      </w:r>
    </w:p>
    <w:p w14:paraId="6C66B8DC" w14:textId="77777777" w:rsidR="00A12B00" w:rsidRPr="00A12B00" w:rsidRDefault="00A12B00" w:rsidP="00A12B00">
      <w:pPr>
        <w:spacing w:before="160" w:after="0" w:line="240" w:lineRule="auto"/>
        <w:rPr>
          <w:rFonts w:ascii="Arial" w:eastAsia="Calibri" w:hAnsi="Arial" w:cs="Arial"/>
        </w:rPr>
      </w:pPr>
      <w:r w:rsidRPr="00A12B00">
        <w:rPr>
          <w:rFonts w:ascii="Arial" w:eastAsia="Calibri" w:hAnsi="Arial" w:cs="Arial"/>
          <w:color w:val="997339"/>
        </w:rPr>
        <w:t xml:space="preserve">1.2.3 Insufficiently Clear, </w:t>
      </w:r>
      <w:proofErr w:type="spellStart"/>
      <w:r w:rsidRPr="00A12B00">
        <w:rPr>
          <w:rFonts w:ascii="Arial" w:eastAsia="Calibri" w:hAnsi="Arial" w:cs="Arial"/>
          <w:color w:val="997339"/>
        </w:rPr>
        <w:t>Unentrenched</w:t>
      </w:r>
      <w:proofErr w:type="spellEnd"/>
      <w:r w:rsidRPr="00A12B00">
        <w:rPr>
          <w:rFonts w:ascii="Arial" w:eastAsia="Calibri" w:hAnsi="Arial" w:cs="Arial"/>
          <w:color w:val="997339"/>
        </w:rPr>
        <w:t xml:space="preserve"> Safety and Security Requirements</w:t>
      </w:r>
      <w:bookmarkStart w:id="19" w:name="_Toc83804536"/>
    </w:p>
    <w:p w14:paraId="3BCEBDC4" w14:textId="77777777" w:rsidR="00A12B00" w:rsidRPr="00A12B00" w:rsidRDefault="00A12B00" w:rsidP="00A12B00">
      <w:pPr>
        <w:spacing w:line="240" w:lineRule="auto"/>
        <w:rPr>
          <w:rFonts w:ascii="Arial" w:eastAsia="Calibri" w:hAnsi="Arial" w:cs="Arial"/>
        </w:rPr>
      </w:pPr>
      <w:r w:rsidRPr="00A12B00">
        <w:rPr>
          <w:rFonts w:ascii="Arial" w:eastAsia="Calibri" w:hAnsi="Arial" w:cs="Arial"/>
        </w:rPr>
        <w:t>Existing Commonwealth explosives legislation is designed to provide the Commonwealth Government with certain powers to oversee the safe and expeditious movement of Commonwealth explosives (by road and rail), as distinct from commercial explosives. This supports the activities of the Commonwealth, including across Australia’s Defence Force, Border Force and Federal Police Force</w:t>
      </w:r>
      <w:bookmarkEnd w:id="19"/>
      <w:r w:rsidRPr="00A12B00">
        <w:rPr>
          <w:rFonts w:ascii="Arial" w:eastAsia="Calibri" w:hAnsi="Arial" w:cs="Arial"/>
        </w:rPr>
        <w:t>. However, the current regulatory framework does not include clear safety and security requirements, entrenched through an effective legislative governance structure.</w:t>
      </w:r>
    </w:p>
    <w:p w14:paraId="0552ED23" w14:textId="77777777" w:rsidR="00A12B00" w:rsidRPr="00A12B00" w:rsidRDefault="00A12B00" w:rsidP="00A12B00">
      <w:pPr>
        <w:autoSpaceDE w:val="0"/>
        <w:autoSpaceDN w:val="0"/>
        <w:adjustRightInd w:val="0"/>
        <w:spacing w:after="0" w:line="240" w:lineRule="auto"/>
        <w:rPr>
          <w:rFonts w:ascii="Arial" w:eastAsia="Calibri" w:hAnsi="Arial" w:cs="Arial"/>
        </w:rPr>
      </w:pPr>
      <w:r w:rsidRPr="00A12B00">
        <w:rPr>
          <w:rFonts w:ascii="Arial" w:eastAsia="Calibri" w:hAnsi="Arial" w:cs="Arial"/>
        </w:rPr>
        <w:t xml:space="preserve">This omission of a legally entrenched governance structure, capable of enforcing consistently high standards of regulatory compliance, means the regime lacks the authority to establish and enforce safety and security requirements, which are suitable for the entities and activities involved in dealing with Commonwealth explosives. For example, the Transport Regulations make provision for a Competent Authority. However, its role in monitoring and enforcing compliance with applicable safety and security regulations and codes is restricted to monitoring compliance with and granting exemptions from the provisions of the Regulations. Additionally, unlike its contemporary equivalents, the current enforcement framework contains no legislative measures that secure the Competent Authority’s independence, transparency, and accountability. As such, this role has been largely underutilised in the current regulatory framework. </w:t>
      </w:r>
    </w:p>
    <w:p w14:paraId="595FFE87" w14:textId="131BC9CD" w:rsidR="00A12B00" w:rsidRPr="00A12B00" w:rsidRDefault="00C0253E" w:rsidP="00A12B00">
      <w:pPr>
        <w:autoSpaceDE w:val="0"/>
        <w:autoSpaceDN w:val="0"/>
        <w:adjustRightInd w:val="0"/>
        <w:spacing w:before="160" w:after="0" w:line="240" w:lineRule="auto"/>
        <w:rPr>
          <w:rFonts w:ascii="Arial" w:eastAsia="Calibri" w:hAnsi="Arial" w:cs="Arial"/>
        </w:rPr>
      </w:pPr>
      <w:r>
        <w:rPr>
          <w:rFonts w:ascii="Arial" w:eastAsia="Calibri" w:hAnsi="Arial" w:cs="Arial"/>
        </w:rPr>
        <w:t>Table 3</w:t>
      </w:r>
      <w:r w:rsidR="00A12B00" w:rsidRPr="00A12B00">
        <w:rPr>
          <w:rFonts w:ascii="Arial" w:eastAsia="Calibri" w:hAnsi="Arial" w:cs="Arial"/>
        </w:rPr>
        <w:t xml:space="preserve"> below lists identified gaps in the Explosives Instruments’ current approach to safety and security, compliance, enforcement, and its lack of specification as to the role of an overarching governance structure.</w:t>
      </w:r>
    </w:p>
    <w:p w14:paraId="52B45E54" w14:textId="77777777" w:rsidR="00A12B00" w:rsidRPr="001B352F" w:rsidRDefault="00A12B00" w:rsidP="00A12B00">
      <w:pPr>
        <w:autoSpaceDE w:val="0"/>
        <w:autoSpaceDN w:val="0"/>
        <w:adjustRightInd w:val="0"/>
        <w:spacing w:after="0" w:line="240" w:lineRule="auto"/>
        <w:rPr>
          <w:rFonts w:ascii="Arial" w:eastAsia="Calibri" w:hAnsi="Arial" w:cs="Arial"/>
          <w:sz w:val="20"/>
          <w:szCs w:val="20"/>
        </w:rPr>
      </w:pPr>
    </w:p>
    <w:p w14:paraId="6C939BD2" w14:textId="449C8F3E" w:rsidR="00A12B00" w:rsidRPr="001B352F" w:rsidRDefault="00A12B00" w:rsidP="00A12B00">
      <w:pPr>
        <w:spacing w:after="0" w:line="240" w:lineRule="auto"/>
        <w:rPr>
          <w:rFonts w:ascii="Arial" w:eastAsia="Calibri" w:hAnsi="Arial" w:cs="Arial"/>
          <w:i/>
          <w:iCs/>
          <w:color w:val="323232"/>
          <w:sz w:val="16"/>
          <w:szCs w:val="16"/>
        </w:rPr>
      </w:pPr>
      <w:bookmarkStart w:id="20" w:name="_Toc90385855"/>
      <w:r w:rsidRPr="001B352F">
        <w:rPr>
          <w:rFonts w:ascii="Arial" w:eastAsia="Calibri" w:hAnsi="Arial" w:cs="Arial"/>
          <w:b/>
          <w:bCs/>
          <w:i/>
          <w:iCs/>
          <w:color w:val="323232"/>
          <w:sz w:val="16"/>
          <w:szCs w:val="16"/>
        </w:rPr>
        <w:t xml:space="preserve">Table </w:t>
      </w:r>
      <w:r w:rsidRPr="001B352F">
        <w:rPr>
          <w:rFonts w:ascii="Arial" w:eastAsia="Calibri" w:hAnsi="Arial" w:cs="Arial"/>
          <w:b/>
          <w:bCs/>
          <w:i/>
          <w:iCs/>
          <w:color w:val="323232"/>
          <w:sz w:val="16"/>
          <w:szCs w:val="16"/>
        </w:rPr>
        <w:fldChar w:fldCharType="begin"/>
      </w:r>
      <w:r w:rsidRPr="001B352F">
        <w:rPr>
          <w:rFonts w:ascii="Arial" w:eastAsia="Calibri" w:hAnsi="Arial" w:cs="Arial"/>
          <w:b/>
          <w:bCs/>
          <w:i/>
          <w:iCs/>
          <w:color w:val="323232"/>
          <w:sz w:val="16"/>
          <w:szCs w:val="16"/>
        </w:rPr>
        <w:instrText xml:space="preserve"> SEQ Table \* ARABIC </w:instrText>
      </w:r>
      <w:r w:rsidRPr="001B352F">
        <w:rPr>
          <w:rFonts w:ascii="Arial" w:eastAsia="Calibri" w:hAnsi="Arial" w:cs="Arial"/>
          <w:b/>
          <w:bCs/>
          <w:i/>
          <w:iCs/>
          <w:color w:val="323232"/>
          <w:sz w:val="16"/>
          <w:szCs w:val="16"/>
        </w:rPr>
        <w:fldChar w:fldCharType="separate"/>
      </w:r>
      <w:r w:rsidR="00486329">
        <w:rPr>
          <w:rFonts w:ascii="Arial" w:eastAsia="Calibri" w:hAnsi="Arial" w:cs="Arial"/>
          <w:b/>
          <w:bCs/>
          <w:i/>
          <w:iCs/>
          <w:noProof/>
          <w:color w:val="323232"/>
          <w:sz w:val="16"/>
          <w:szCs w:val="16"/>
        </w:rPr>
        <w:t>3</w:t>
      </w:r>
      <w:r w:rsidRPr="001B352F">
        <w:rPr>
          <w:rFonts w:ascii="Arial" w:eastAsia="Calibri" w:hAnsi="Arial" w:cs="Arial"/>
          <w:b/>
          <w:bCs/>
          <w:i/>
          <w:iCs/>
          <w:color w:val="323232"/>
          <w:sz w:val="16"/>
          <w:szCs w:val="16"/>
        </w:rPr>
        <w:fldChar w:fldCharType="end"/>
      </w:r>
      <w:r w:rsidR="00AB4CE0" w:rsidRPr="001B352F">
        <w:rPr>
          <w:rFonts w:ascii="Arial" w:eastAsia="Calibri" w:hAnsi="Arial" w:cs="Arial"/>
          <w:b/>
          <w:bCs/>
          <w:i/>
          <w:iCs/>
          <w:color w:val="323232"/>
          <w:sz w:val="16"/>
          <w:szCs w:val="16"/>
        </w:rPr>
        <w:t>:</w:t>
      </w:r>
      <w:r w:rsidRPr="001B352F">
        <w:rPr>
          <w:rFonts w:ascii="Arial" w:eastAsia="Calibri" w:hAnsi="Arial" w:cs="Arial"/>
          <w:i/>
          <w:iCs/>
          <w:color w:val="323232"/>
          <w:sz w:val="16"/>
          <w:szCs w:val="16"/>
        </w:rPr>
        <w:t xml:space="preserve"> Gaps in Current Safety, Security, Compliance and Enforcement Regime</w:t>
      </w:r>
      <w:bookmarkEnd w:id="20"/>
    </w:p>
    <w:tbl>
      <w:tblPr>
        <w:tblStyle w:val="TableGrid"/>
        <w:tblW w:w="9918" w:type="dxa"/>
        <w:jc w:val="center"/>
        <w:tblLook w:val="04A0" w:firstRow="1" w:lastRow="0" w:firstColumn="1" w:lastColumn="0" w:noHBand="0" w:noVBand="1"/>
      </w:tblPr>
      <w:tblGrid>
        <w:gridCol w:w="3397"/>
        <w:gridCol w:w="6521"/>
      </w:tblGrid>
      <w:tr w:rsidR="00A12B00" w:rsidRPr="00A12B00" w14:paraId="644D0220" w14:textId="77777777" w:rsidTr="00A12B00">
        <w:trPr>
          <w:jc w:val="center"/>
        </w:trPr>
        <w:tc>
          <w:tcPr>
            <w:tcW w:w="3397" w:type="dxa"/>
            <w:shd w:val="clear" w:color="auto" w:fill="F07F09"/>
          </w:tcPr>
          <w:p w14:paraId="75CDC949" w14:textId="77777777" w:rsidR="00A12B00" w:rsidRPr="00A12B00" w:rsidRDefault="00A12B00" w:rsidP="00A12B00">
            <w:pPr>
              <w:autoSpaceDE w:val="0"/>
              <w:autoSpaceDN w:val="0"/>
              <w:adjustRightInd w:val="0"/>
              <w:jc w:val="center"/>
              <w:rPr>
                <w:rFonts w:ascii="Arial" w:eastAsia="Calibri" w:hAnsi="Arial" w:cs="Arial"/>
                <w:b/>
                <w:bCs/>
                <w:color w:val="FFFFFF"/>
              </w:rPr>
            </w:pPr>
            <w:r w:rsidRPr="00A12B00">
              <w:rPr>
                <w:rFonts w:ascii="Arial" w:eastAsia="Calibri" w:hAnsi="Arial" w:cs="Arial"/>
                <w:b/>
                <w:bCs/>
                <w:color w:val="FFFFFF"/>
              </w:rPr>
              <w:t>Identified Gap</w:t>
            </w:r>
          </w:p>
        </w:tc>
        <w:tc>
          <w:tcPr>
            <w:tcW w:w="6521" w:type="dxa"/>
            <w:shd w:val="clear" w:color="auto" w:fill="F07F09"/>
          </w:tcPr>
          <w:p w14:paraId="72AFFB6A" w14:textId="77777777" w:rsidR="00A12B00" w:rsidRPr="00A12B00" w:rsidRDefault="00A12B00" w:rsidP="00A12B00">
            <w:pPr>
              <w:autoSpaceDE w:val="0"/>
              <w:autoSpaceDN w:val="0"/>
              <w:adjustRightInd w:val="0"/>
              <w:jc w:val="center"/>
              <w:rPr>
                <w:rFonts w:ascii="Arial" w:eastAsia="Calibri" w:hAnsi="Arial" w:cs="Arial"/>
                <w:b/>
                <w:bCs/>
                <w:color w:val="FFFFFF"/>
              </w:rPr>
            </w:pPr>
            <w:r w:rsidRPr="00A12B00">
              <w:rPr>
                <w:rFonts w:ascii="Arial" w:eastAsia="Calibri" w:hAnsi="Arial" w:cs="Arial"/>
                <w:b/>
                <w:bCs/>
                <w:color w:val="FFFFFF"/>
              </w:rPr>
              <w:t>Related Impact</w:t>
            </w:r>
          </w:p>
        </w:tc>
      </w:tr>
      <w:tr w:rsidR="00A12B00" w:rsidRPr="00A12B00" w14:paraId="69797BF3" w14:textId="77777777" w:rsidTr="00A12B00">
        <w:trPr>
          <w:jc w:val="center"/>
        </w:trPr>
        <w:tc>
          <w:tcPr>
            <w:tcW w:w="3397" w:type="dxa"/>
            <w:shd w:val="clear" w:color="auto" w:fill="FDE5CC"/>
            <w:vAlign w:val="center"/>
          </w:tcPr>
          <w:p w14:paraId="79575FC3" w14:textId="77777777" w:rsidR="00A12B00" w:rsidRPr="00A12B00" w:rsidRDefault="00A12B00" w:rsidP="00A12B00">
            <w:pPr>
              <w:autoSpaceDE w:val="0"/>
              <w:autoSpaceDN w:val="0"/>
              <w:adjustRightInd w:val="0"/>
              <w:rPr>
                <w:rFonts w:ascii="Arial" w:eastAsia="Calibri" w:hAnsi="Arial" w:cs="Arial"/>
              </w:rPr>
            </w:pPr>
            <w:r w:rsidRPr="00A12B00">
              <w:rPr>
                <w:rFonts w:ascii="Arial" w:eastAsia="Calibri" w:hAnsi="Arial" w:cs="Arial"/>
              </w:rPr>
              <w:t>The Explosives Instruments, including the Transport Regulations’ appointment of a competent authority, do not employ a comprehensive, risk-based approach to securing compliance with desired safety and security outcomes.</w:t>
            </w:r>
          </w:p>
        </w:tc>
        <w:tc>
          <w:tcPr>
            <w:tcW w:w="6521" w:type="dxa"/>
          </w:tcPr>
          <w:p w14:paraId="2801A963" w14:textId="77777777" w:rsidR="00A12B00" w:rsidRPr="00A12B00" w:rsidRDefault="00A12B00" w:rsidP="00A12B00">
            <w:pPr>
              <w:autoSpaceDE w:val="0"/>
              <w:autoSpaceDN w:val="0"/>
              <w:adjustRightInd w:val="0"/>
              <w:rPr>
                <w:rFonts w:ascii="Arial" w:eastAsia="Calibri" w:hAnsi="Arial" w:cs="Arial"/>
              </w:rPr>
            </w:pPr>
            <w:r w:rsidRPr="00A12B00">
              <w:rPr>
                <w:rFonts w:ascii="Arial" w:eastAsia="Calibri" w:hAnsi="Arial" w:cs="Arial"/>
              </w:rPr>
              <w:t>While section 20 of the Explosives Act makes punishable by a term of imprisonment any contravention of the Act, it does not permit consideration of an alternative, non-criminal penalty. The current regime does not allow for:</w:t>
            </w:r>
          </w:p>
          <w:p w14:paraId="62CC0405" w14:textId="77777777" w:rsidR="00A12B00" w:rsidRPr="00A12B00" w:rsidRDefault="00A12B00" w:rsidP="002176AF">
            <w:pPr>
              <w:numPr>
                <w:ilvl w:val="0"/>
                <w:numId w:val="3"/>
              </w:numPr>
              <w:autoSpaceDE w:val="0"/>
              <w:autoSpaceDN w:val="0"/>
              <w:adjustRightInd w:val="0"/>
              <w:contextualSpacing/>
              <w:rPr>
                <w:rFonts w:ascii="Arial" w:eastAsia="Calibri" w:hAnsi="Arial" w:cs="Arial"/>
              </w:rPr>
            </w:pPr>
            <w:r w:rsidRPr="00A12B00">
              <w:rPr>
                <w:rFonts w:ascii="Arial" w:eastAsia="Calibri" w:hAnsi="Arial" w:cs="Arial"/>
              </w:rPr>
              <w:t>The appointed Competent Authority to engage with Commonwealth contractors on an education basis in the event of apparent non-compliance;</w:t>
            </w:r>
          </w:p>
          <w:p w14:paraId="47C3117A" w14:textId="77777777" w:rsidR="00A12B00" w:rsidRPr="00A12B00" w:rsidRDefault="00A12B00" w:rsidP="002176AF">
            <w:pPr>
              <w:numPr>
                <w:ilvl w:val="0"/>
                <w:numId w:val="3"/>
              </w:numPr>
              <w:autoSpaceDE w:val="0"/>
              <w:autoSpaceDN w:val="0"/>
              <w:adjustRightInd w:val="0"/>
              <w:contextualSpacing/>
              <w:rPr>
                <w:rFonts w:ascii="Arial" w:eastAsia="Calibri" w:hAnsi="Arial" w:cs="Arial"/>
              </w:rPr>
            </w:pPr>
            <w:r w:rsidRPr="00A12B00">
              <w:rPr>
                <w:rFonts w:ascii="Arial" w:eastAsia="Calibri" w:hAnsi="Arial" w:cs="Arial"/>
              </w:rPr>
              <w:t xml:space="preserve">The consideration of graduated, proportionate administrative sanctions; </w:t>
            </w:r>
          </w:p>
          <w:p w14:paraId="2182511C" w14:textId="77777777" w:rsidR="00A12B00" w:rsidRPr="00A12B00" w:rsidRDefault="00A12B00" w:rsidP="002176AF">
            <w:pPr>
              <w:numPr>
                <w:ilvl w:val="0"/>
                <w:numId w:val="3"/>
              </w:numPr>
              <w:autoSpaceDE w:val="0"/>
              <w:autoSpaceDN w:val="0"/>
              <w:adjustRightInd w:val="0"/>
              <w:contextualSpacing/>
              <w:rPr>
                <w:rFonts w:ascii="Arial" w:eastAsia="Calibri" w:hAnsi="Arial" w:cs="Arial"/>
              </w:rPr>
            </w:pPr>
            <w:r w:rsidRPr="00A12B00">
              <w:rPr>
                <w:rFonts w:ascii="Arial" w:eastAsia="Calibri" w:hAnsi="Arial" w:cs="Arial"/>
              </w:rPr>
              <w:lastRenderedPageBreak/>
              <w:t xml:space="preserve">Continual reassessment of the appropriate approach to regulatory risk, including the ability to change priorities to reflect a fluid, evolving safety and security environment; </w:t>
            </w:r>
          </w:p>
          <w:p w14:paraId="1F6E6635" w14:textId="77777777" w:rsidR="00A12B00" w:rsidRPr="00A12B00" w:rsidRDefault="00A12B00" w:rsidP="002176AF">
            <w:pPr>
              <w:numPr>
                <w:ilvl w:val="0"/>
                <w:numId w:val="3"/>
              </w:numPr>
              <w:autoSpaceDE w:val="0"/>
              <w:autoSpaceDN w:val="0"/>
              <w:adjustRightInd w:val="0"/>
              <w:contextualSpacing/>
              <w:rPr>
                <w:rFonts w:ascii="Arial" w:eastAsia="Calibri" w:hAnsi="Arial" w:cs="Arial"/>
              </w:rPr>
            </w:pPr>
            <w:r w:rsidRPr="00A12B00">
              <w:rPr>
                <w:rFonts w:ascii="Arial" w:eastAsia="Calibri" w:hAnsi="Arial" w:cs="Arial"/>
              </w:rPr>
              <w:t xml:space="preserve">Recognition of the compliance record of regulated entities, including using earned autonomy where appropriate; </w:t>
            </w:r>
          </w:p>
          <w:p w14:paraId="6953BA38" w14:textId="77777777" w:rsidR="00A12B00" w:rsidRPr="00A12B00" w:rsidRDefault="00A12B00" w:rsidP="002176AF">
            <w:pPr>
              <w:numPr>
                <w:ilvl w:val="0"/>
                <w:numId w:val="3"/>
              </w:numPr>
              <w:autoSpaceDE w:val="0"/>
              <w:autoSpaceDN w:val="0"/>
              <w:adjustRightInd w:val="0"/>
              <w:ind w:left="357" w:hanging="357"/>
              <w:rPr>
                <w:rFonts w:ascii="Arial" w:eastAsia="Calibri" w:hAnsi="Arial" w:cs="Arial"/>
              </w:rPr>
            </w:pPr>
            <w:r w:rsidRPr="00A12B00">
              <w:rPr>
                <w:rFonts w:ascii="Arial" w:eastAsia="Calibri" w:hAnsi="Arial" w:cs="Arial"/>
              </w:rPr>
              <w:t xml:space="preserve">Management of explosives in a manner consistent with the model WHS laws, including through: </w:t>
            </w:r>
          </w:p>
          <w:p w14:paraId="4C1BF4AC" w14:textId="77777777" w:rsidR="00A12B00" w:rsidRPr="00A12B00" w:rsidRDefault="00A12B00" w:rsidP="002176AF">
            <w:pPr>
              <w:numPr>
                <w:ilvl w:val="1"/>
                <w:numId w:val="3"/>
              </w:numPr>
              <w:autoSpaceDE w:val="0"/>
              <w:autoSpaceDN w:val="0"/>
              <w:adjustRightInd w:val="0"/>
              <w:contextualSpacing/>
              <w:rPr>
                <w:rFonts w:ascii="Arial" w:eastAsia="Calibri" w:hAnsi="Arial" w:cs="Arial"/>
              </w:rPr>
            </w:pPr>
            <w:r w:rsidRPr="00A12B00">
              <w:rPr>
                <w:rFonts w:ascii="Arial" w:eastAsia="Calibri" w:hAnsi="Arial" w:cs="Arial"/>
              </w:rPr>
              <w:t xml:space="preserve">monitoring and enforcing compliance with obligations arising under the WHS Act; </w:t>
            </w:r>
          </w:p>
          <w:p w14:paraId="67864DC3" w14:textId="77777777" w:rsidR="00A12B00" w:rsidRPr="00A12B00" w:rsidRDefault="00A12B00" w:rsidP="002176AF">
            <w:pPr>
              <w:numPr>
                <w:ilvl w:val="1"/>
                <w:numId w:val="3"/>
              </w:numPr>
              <w:autoSpaceDE w:val="0"/>
              <w:autoSpaceDN w:val="0"/>
              <w:adjustRightInd w:val="0"/>
              <w:contextualSpacing/>
              <w:rPr>
                <w:rFonts w:ascii="Arial" w:eastAsia="Calibri" w:hAnsi="Arial" w:cs="Arial"/>
              </w:rPr>
            </w:pPr>
            <w:r w:rsidRPr="00A12B00">
              <w:rPr>
                <w:rFonts w:ascii="Arial" w:eastAsia="Calibri" w:hAnsi="Arial" w:cs="Arial"/>
              </w:rPr>
              <w:t xml:space="preserve">providing advice and information to duty holders and the community; </w:t>
            </w:r>
          </w:p>
          <w:p w14:paraId="26622588" w14:textId="77777777" w:rsidR="00A12B00" w:rsidRPr="00A12B00" w:rsidRDefault="00A12B00" w:rsidP="002176AF">
            <w:pPr>
              <w:numPr>
                <w:ilvl w:val="1"/>
                <w:numId w:val="3"/>
              </w:numPr>
              <w:autoSpaceDE w:val="0"/>
              <w:autoSpaceDN w:val="0"/>
              <w:adjustRightInd w:val="0"/>
              <w:contextualSpacing/>
              <w:rPr>
                <w:rFonts w:ascii="Arial" w:eastAsia="Calibri" w:hAnsi="Arial" w:cs="Arial"/>
              </w:rPr>
            </w:pPr>
            <w:r w:rsidRPr="00A12B00">
              <w:rPr>
                <w:rFonts w:ascii="Arial" w:eastAsia="Calibri" w:hAnsi="Arial" w:cs="Arial"/>
              </w:rPr>
              <w:t xml:space="preserve">fostering a cooperative, consultative relationship between duty holders, workers, and their representatives; </w:t>
            </w:r>
          </w:p>
          <w:p w14:paraId="1E469745" w14:textId="77777777" w:rsidR="00A12B00" w:rsidRPr="00A12B00" w:rsidRDefault="00A12B00" w:rsidP="002176AF">
            <w:pPr>
              <w:numPr>
                <w:ilvl w:val="1"/>
                <w:numId w:val="3"/>
              </w:numPr>
              <w:autoSpaceDE w:val="0"/>
              <w:autoSpaceDN w:val="0"/>
              <w:adjustRightInd w:val="0"/>
              <w:contextualSpacing/>
              <w:rPr>
                <w:rFonts w:ascii="Arial" w:eastAsia="Calibri" w:hAnsi="Arial" w:cs="Arial"/>
              </w:rPr>
            </w:pPr>
            <w:r w:rsidRPr="00A12B00">
              <w:rPr>
                <w:rFonts w:ascii="Arial" w:eastAsia="Calibri" w:hAnsi="Arial" w:cs="Arial"/>
              </w:rPr>
              <w:t>promoting and supporting education and training on matters relating to WHS; and</w:t>
            </w:r>
          </w:p>
          <w:p w14:paraId="1525E2C6" w14:textId="77777777" w:rsidR="00A12B00" w:rsidRPr="00A12B00" w:rsidRDefault="00A12B00" w:rsidP="002176AF">
            <w:pPr>
              <w:numPr>
                <w:ilvl w:val="1"/>
                <w:numId w:val="3"/>
              </w:numPr>
              <w:autoSpaceDE w:val="0"/>
              <w:autoSpaceDN w:val="0"/>
              <w:adjustRightInd w:val="0"/>
              <w:contextualSpacing/>
              <w:rPr>
                <w:rFonts w:ascii="Calibri" w:eastAsia="Calibri" w:hAnsi="Calibri" w:cs="Times New Roman"/>
              </w:rPr>
            </w:pPr>
            <w:proofErr w:type="gramStart"/>
            <w:r w:rsidRPr="00A12B00">
              <w:rPr>
                <w:rFonts w:ascii="Arial" w:eastAsia="Calibri" w:hAnsi="Arial" w:cs="Arial"/>
              </w:rPr>
              <w:t>engaging</w:t>
            </w:r>
            <w:proofErr w:type="gramEnd"/>
            <w:r w:rsidRPr="00A12B00">
              <w:rPr>
                <w:rFonts w:ascii="Arial" w:eastAsia="Calibri" w:hAnsi="Arial" w:cs="Arial"/>
              </w:rPr>
              <w:t xml:space="preserve"> in, promoting, and coordinating the sharing of information to achieve the objectives of the WHS Act, including the sharing of information with other health and safety regulators.</w:t>
            </w:r>
          </w:p>
        </w:tc>
      </w:tr>
      <w:tr w:rsidR="00A12B00" w:rsidRPr="00A12B00" w14:paraId="2D40819A" w14:textId="77777777" w:rsidTr="00A12B00">
        <w:trPr>
          <w:jc w:val="center"/>
        </w:trPr>
        <w:tc>
          <w:tcPr>
            <w:tcW w:w="3397" w:type="dxa"/>
            <w:shd w:val="clear" w:color="auto" w:fill="FDE5CC"/>
            <w:vAlign w:val="center"/>
          </w:tcPr>
          <w:p w14:paraId="7495180E" w14:textId="77777777" w:rsidR="00A12B00" w:rsidRPr="00A12B00" w:rsidRDefault="00A12B00" w:rsidP="00A12B00">
            <w:pPr>
              <w:autoSpaceDE w:val="0"/>
              <w:autoSpaceDN w:val="0"/>
              <w:adjustRightInd w:val="0"/>
              <w:rPr>
                <w:rFonts w:ascii="Arial" w:eastAsia="Calibri" w:hAnsi="Arial" w:cs="Arial"/>
              </w:rPr>
            </w:pPr>
            <w:r w:rsidRPr="00A12B00">
              <w:rPr>
                <w:rFonts w:ascii="Arial" w:eastAsia="Calibri" w:hAnsi="Arial" w:cs="Arial"/>
              </w:rPr>
              <w:lastRenderedPageBreak/>
              <w:t xml:space="preserve">Currently, explosives activities outside the transport of explosives by road and rail are not subject to the exercise of regulatory and compliance functions. </w:t>
            </w:r>
          </w:p>
        </w:tc>
        <w:tc>
          <w:tcPr>
            <w:tcW w:w="6521" w:type="dxa"/>
            <w:vAlign w:val="center"/>
          </w:tcPr>
          <w:p w14:paraId="16C8B7D1" w14:textId="77777777" w:rsidR="00A12B00" w:rsidRPr="00A12B00" w:rsidRDefault="00A12B00" w:rsidP="00A12B00">
            <w:pPr>
              <w:autoSpaceDE w:val="0"/>
              <w:autoSpaceDN w:val="0"/>
              <w:adjustRightInd w:val="0"/>
              <w:rPr>
                <w:rFonts w:ascii="Arial" w:eastAsia="Calibri" w:hAnsi="Arial" w:cs="Arial"/>
              </w:rPr>
            </w:pPr>
            <w:r w:rsidRPr="00A12B00">
              <w:rPr>
                <w:rFonts w:ascii="Arial" w:eastAsia="Calibri" w:hAnsi="Arial" w:cs="Arial"/>
              </w:rPr>
              <w:t>The limited functions of the Competent Authority under the current regime means there is an absence of specific regulatory oversight across the range of explosives activities involving Commonwealth explosives, agencies and visiting forces. Where the current governance structure lacks comprehensive oversight and compliance capabilities, it is not possible to ensure the ongoing safety and security of Commonwealth explosives activities.</w:t>
            </w:r>
          </w:p>
        </w:tc>
      </w:tr>
      <w:tr w:rsidR="00A12B00" w:rsidRPr="00A12B00" w14:paraId="7A6A38DA" w14:textId="77777777" w:rsidTr="008B7D8C">
        <w:trPr>
          <w:cantSplit/>
          <w:jc w:val="center"/>
        </w:trPr>
        <w:tc>
          <w:tcPr>
            <w:tcW w:w="3397" w:type="dxa"/>
            <w:shd w:val="clear" w:color="auto" w:fill="FDE5CC"/>
            <w:vAlign w:val="center"/>
          </w:tcPr>
          <w:p w14:paraId="1EB8BF06" w14:textId="77777777" w:rsidR="00A12B00" w:rsidRPr="00A12B00" w:rsidRDefault="00A12B00" w:rsidP="00A12B00">
            <w:pPr>
              <w:autoSpaceDE w:val="0"/>
              <w:autoSpaceDN w:val="0"/>
              <w:adjustRightInd w:val="0"/>
              <w:rPr>
                <w:rFonts w:ascii="Arial" w:eastAsia="Calibri" w:hAnsi="Arial" w:cs="Arial"/>
              </w:rPr>
            </w:pPr>
            <w:r w:rsidRPr="00A12B00">
              <w:rPr>
                <w:rFonts w:ascii="Arial" w:eastAsia="Calibri" w:hAnsi="Arial" w:cs="Arial"/>
              </w:rPr>
              <w:t>The current explosives regulatory regime’s provision for compliance auditors is inadequate, and does not support effective, tailored decision-making, undermining the safety and security of explosives.</w:t>
            </w:r>
          </w:p>
        </w:tc>
        <w:tc>
          <w:tcPr>
            <w:tcW w:w="6521" w:type="dxa"/>
          </w:tcPr>
          <w:p w14:paraId="308506FF" w14:textId="77777777" w:rsidR="00A12B00" w:rsidRPr="00A12B00" w:rsidRDefault="00A12B00" w:rsidP="00A12B00">
            <w:pPr>
              <w:autoSpaceDE w:val="0"/>
              <w:autoSpaceDN w:val="0"/>
              <w:adjustRightInd w:val="0"/>
              <w:rPr>
                <w:rFonts w:ascii="Arial" w:eastAsia="Calibri" w:hAnsi="Arial" w:cs="Arial"/>
              </w:rPr>
            </w:pPr>
            <w:r w:rsidRPr="00A12B00">
              <w:rPr>
                <w:rFonts w:ascii="Arial" w:eastAsia="Calibri" w:hAnsi="Arial" w:cs="Arial"/>
              </w:rPr>
              <w:t>The current regime prevents compliance auditors from taking immediate action to ensure the safety and security of explosives, including prohibiting or directing the conduct of persons engaged in explosives activities. Compliance auditors’ exercise of power is dependent on their attainment of consent from the occupier of the premises and their agreement to the conduct of the audit. This approach significantly limits the current regime’s effectiveness in ensuring the safety and security of explosives.</w:t>
            </w:r>
          </w:p>
        </w:tc>
      </w:tr>
      <w:tr w:rsidR="00A12B00" w:rsidRPr="00A12B00" w14:paraId="499BB784" w14:textId="77777777" w:rsidTr="00A12B00">
        <w:trPr>
          <w:jc w:val="center"/>
        </w:trPr>
        <w:tc>
          <w:tcPr>
            <w:tcW w:w="3397" w:type="dxa"/>
            <w:shd w:val="clear" w:color="auto" w:fill="FDE5CC"/>
            <w:vAlign w:val="center"/>
          </w:tcPr>
          <w:p w14:paraId="581409B1" w14:textId="77777777" w:rsidR="00A12B00" w:rsidRPr="00A12B00" w:rsidRDefault="00A12B00" w:rsidP="00A12B00">
            <w:pPr>
              <w:autoSpaceDE w:val="0"/>
              <w:autoSpaceDN w:val="0"/>
              <w:adjustRightInd w:val="0"/>
              <w:rPr>
                <w:rFonts w:ascii="Arial" w:eastAsia="Calibri" w:hAnsi="Arial" w:cs="Arial"/>
              </w:rPr>
            </w:pPr>
            <w:r w:rsidRPr="00A12B00">
              <w:rPr>
                <w:rFonts w:ascii="Arial" w:eastAsia="Calibri" w:hAnsi="Arial" w:cs="Arial"/>
              </w:rPr>
              <w:t>The current explosives regulatory regime does not make provision for a regulatory authority to prescribe alternative measures of compliance, where appropriate, to achieve a commensurate level of risk reduction.</w:t>
            </w:r>
          </w:p>
        </w:tc>
        <w:tc>
          <w:tcPr>
            <w:tcW w:w="6521" w:type="dxa"/>
            <w:vAlign w:val="center"/>
          </w:tcPr>
          <w:p w14:paraId="13C4A6F1" w14:textId="77777777" w:rsidR="00A12B00" w:rsidRPr="00A12B00" w:rsidRDefault="00A12B00" w:rsidP="00A12B00">
            <w:pPr>
              <w:autoSpaceDE w:val="0"/>
              <w:autoSpaceDN w:val="0"/>
              <w:adjustRightInd w:val="0"/>
              <w:rPr>
                <w:rFonts w:ascii="Arial" w:eastAsia="Calibri" w:hAnsi="Arial" w:cs="Arial"/>
              </w:rPr>
            </w:pPr>
            <w:r w:rsidRPr="00A12B00">
              <w:rPr>
                <w:rFonts w:ascii="Arial" w:eastAsia="Calibri" w:hAnsi="Arial" w:cs="Arial"/>
              </w:rPr>
              <w:t xml:space="preserve">Under the current regime, if domestic and international requirements related to explosives activities are deemed unfit for purpose, the regulatory authority does not have the ability to approve an alternative approach. This is the case even where such measures would enable a level of risk reduction that is equal to or better than the risk level achieved by compliance with those standards. </w:t>
            </w:r>
          </w:p>
          <w:p w14:paraId="7A4524A5" w14:textId="77777777" w:rsidR="00A12B00" w:rsidRPr="00A12B00" w:rsidRDefault="00A12B00" w:rsidP="00A12B00">
            <w:pPr>
              <w:autoSpaceDE w:val="0"/>
              <w:autoSpaceDN w:val="0"/>
              <w:adjustRightInd w:val="0"/>
              <w:spacing w:before="160"/>
              <w:rPr>
                <w:rFonts w:ascii="Arial" w:eastAsia="Calibri" w:hAnsi="Arial" w:cs="Arial"/>
              </w:rPr>
            </w:pPr>
            <w:r w:rsidRPr="00A12B00">
              <w:rPr>
                <w:rFonts w:ascii="Arial" w:eastAsia="Calibri" w:hAnsi="Arial" w:cs="Arial"/>
              </w:rPr>
              <w:t xml:space="preserve">This approach is currently permitted in certain areas of the model WHS law. For example, the model WHS law imposes a ‘duty to test’ on importers, to ensure that an imported material complies with applicable work health and safety requirements. However, if an importer does not have the means to conduct the requisite testing themselves, the model law supports an alternative course of action – </w:t>
            </w:r>
            <w:proofErr w:type="gramStart"/>
            <w:r w:rsidRPr="00A12B00">
              <w:rPr>
                <w:rFonts w:ascii="Arial" w:eastAsia="Calibri" w:hAnsi="Arial" w:cs="Arial"/>
              </w:rPr>
              <w:t>that</w:t>
            </w:r>
            <w:proofErr w:type="gramEnd"/>
            <w:r w:rsidRPr="00A12B00">
              <w:rPr>
                <w:rFonts w:ascii="Arial" w:eastAsia="Calibri" w:hAnsi="Arial" w:cs="Arial"/>
              </w:rPr>
              <w:t xml:space="preserve"> the importer can ensure that these tests are carried out elsewhere.</w:t>
            </w:r>
            <w:r w:rsidRPr="00A12B00">
              <w:rPr>
                <w:rFonts w:ascii="Arial" w:eastAsia="Calibri" w:hAnsi="Arial" w:cs="Arial"/>
                <w:vertAlign w:val="superscript"/>
              </w:rPr>
              <w:footnoteReference w:id="19"/>
            </w:r>
          </w:p>
        </w:tc>
      </w:tr>
      <w:tr w:rsidR="00A12B00" w:rsidRPr="00A12B00" w14:paraId="0E20E2E3" w14:textId="77777777" w:rsidTr="00A12B00">
        <w:trPr>
          <w:cantSplit/>
          <w:jc w:val="center"/>
        </w:trPr>
        <w:tc>
          <w:tcPr>
            <w:tcW w:w="3397" w:type="dxa"/>
            <w:shd w:val="clear" w:color="auto" w:fill="FDE5CC"/>
            <w:vAlign w:val="center"/>
          </w:tcPr>
          <w:p w14:paraId="75DC1A3E" w14:textId="77777777" w:rsidR="00A12B00" w:rsidRPr="00A12B00" w:rsidRDefault="00A12B00" w:rsidP="00A12B00">
            <w:pPr>
              <w:autoSpaceDE w:val="0"/>
              <w:autoSpaceDN w:val="0"/>
              <w:adjustRightInd w:val="0"/>
              <w:rPr>
                <w:rFonts w:ascii="Arial" w:eastAsia="Calibri" w:hAnsi="Arial" w:cs="Arial"/>
              </w:rPr>
            </w:pPr>
          </w:p>
          <w:p w14:paraId="17E7ADD1" w14:textId="77777777" w:rsidR="00A12B00" w:rsidRPr="00A12B00" w:rsidRDefault="00A12B00" w:rsidP="00A12B00">
            <w:pPr>
              <w:autoSpaceDE w:val="0"/>
              <w:autoSpaceDN w:val="0"/>
              <w:adjustRightInd w:val="0"/>
              <w:rPr>
                <w:rFonts w:ascii="Arial" w:eastAsia="Calibri" w:hAnsi="Arial" w:cs="Arial"/>
              </w:rPr>
            </w:pPr>
            <w:r w:rsidRPr="00A12B00">
              <w:rPr>
                <w:rFonts w:ascii="Arial" w:eastAsia="Calibri" w:hAnsi="Arial" w:cs="Arial"/>
              </w:rPr>
              <w:t>The current explosives regulatory regime does not impose specific safety and security duties on the full range of explosives activities and the persons involved in such activities.</w:t>
            </w:r>
          </w:p>
          <w:p w14:paraId="2E03F6FB" w14:textId="77777777" w:rsidR="00A12B00" w:rsidRPr="00A12B00" w:rsidRDefault="00A12B00" w:rsidP="00A12B00">
            <w:pPr>
              <w:autoSpaceDE w:val="0"/>
              <w:autoSpaceDN w:val="0"/>
              <w:adjustRightInd w:val="0"/>
              <w:rPr>
                <w:rFonts w:ascii="Arial" w:eastAsia="Calibri" w:hAnsi="Arial" w:cs="Arial"/>
                <w:b/>
                <w:bCs/>
                <w:i/>
                <w:iCs/>
              </w:rPr>
            </w:pPr>
          </w:p>
        </w:tc>
        <w:tc>
          <w:tcPr>
            <w:tcW w:w="6521" w:type="dxa"/>
          </w:tcPr>
          <w:p w14:paraId="6926BCAB" w14:textId="77777777" w:rsidR="00A12B00" w:rsidRPr="00A12B00" w:rsidRDefault="00A12B00" w:rsidP="00A12B00">
            <w:pPr>
              <w:autoSpaceDE w:val="0"/>
              <w:autoSpaceDN w:val="0"/>
              <w:adjustRightInd w:val="0"/>
              <w:rPr>
                <w:rFonts w:ascii="Arial" w:eastAsia="Calibri" w:hAnsi="Arial" w:cs="Arial"/>
              </w:rPr>
            </w:pPr>
            <w:r w:rsidRPr="00A12B00">
              <w:rPr>
                <w:rFonts w:ascii="Arial" w:eastAsia="Calibri" w:hAnsi="Arial" w:cs="Arial"/>
              </w:rPr>
              <w:t xml:space="preserve">Persons or entities dealing with Commonwealth explosives, including those employed as or engaged by contractors, are not obliged to comply with specified safety and security duties, nor does the current framework specify the circumstances in which safety and security duties apply. For example, under the current Commonwealth explosives regulatory regime, Commonwealth contractors are not required to implement, maintain or comply with a safety and security management system that aims to ensure, so far as reasonably practicable, that explosives activities are safe and secure. </w:t>
            </w:r>
          </w:p>
        </w:tc>
      </w:tr>
      <w:tr w:rsidR="00A12B00" w:rsidRPr="00A12B00" w14:paraId="624C37AC" w14:textId="77777777" w:rsidTr="00A12B00">
        <w:trPr>
          <w:cantSplit/>
          <w:jc w:val="center"/>
        </w:trPr>
        <w:tc>
          <w:tcPr>
            <w:tcW w:w="3397" w:type="dxa"/>
            <w:shd w:val="clear" w:color="auto" w:fill="FDE5CC"/>
            <w:vAlign w:val="center"/>
          </w:tcPr>
          <w:p w14:paraId="1EACCE1F" w14:textId="77777777" w:rsidR="00A12B00" w:rsidRPr="00A12B00" w:rsidRDefault="00A12B00" w:rsidP="00A12B00">
            <w:pPr>
              <w:autoSpaceDE w:val="0"/>
              <w:autoSpaceDN w:val="0"/>
              <w:adjustRightInd w:val="0"/>
              <w:rPr>
                <w:rFonts w:ascii="Arial" w:eastAsia="Calibri" w:hAnsi="Arial" w:cs="Arial"/>
              </w:rPr>
            </w:pPr>
            <w:r w:rsidRPr="00A12B00">
              <w:rPr>
                <w:rFonts w:ascii="Arial" w:eastAsia="Calibri" w:hAnsi="Arial" w:cs="Arial"/>
              </w:rPr>
              <w:t xml:space="preserve">The current explosives regulatory regime imposes no reporting requirements on the Competent Authority, and no measures to legally entrench its independence. </w:t>
            </w:r>
          </w:p>
        </w:tc>
        <w:tc>
          <w:tcPr>
            <w:tcW w:w="6521" w:type="dxa"/>
          </w:tcPr>
          <w:p w14:paraId="666C42D1" w14:textId="77777777" w:rsidR="00A12B00" w:rsidRPr="00A12B00" w:rsidRDefault="00A12B00" w:rsidP="00A12B00">
            <w:pPr>
              <w:autoSpaceDE w:val="0"/>
              <w:autoSpaceDN w:val="0"/>
              <w:adjustRightInd w:val="0"/>
              <w:rPr>
                <w:rFonts w:ascii="Arial" w:eastAsia="Calibri" w:hAnsi="Arial" w:cs="Arial"/>
              </w:rPr>
            </w:pPr>
            <w:r w:rsidRPr="00A12B00">
              <w:rPr>
                <w:rFonts w:ascii="Arial" w:eastAsia="Calibri" w:hAnsi="Arial" w:cs="Arial"/>
              </w:rPr>
              <w:t>The absence of a legislative governance framework which, among other things, entrenches independence, accountability and transparency, may lead to reduced confidence in the integrity of the current legislative system. Modern enforcement frameworks recognise this, with legislative requirements to report on their activities (for example, through an annual report tabled in Parliament, or alternatively to a Minister), and independence measures to enhance public confidence (for example, clear conditions on conflict of interest, and circumstances in which staff can be appointed and removed).</w:t>
            </w:r>
          </w:p>
        </w:tc>
      </w:tr>
    </w:tbl>
    <w:p w14:paraId="2100A2F8" w14:textId="12F8BB99" w:rsidR="00A12B00" w:rsidRPr="00A12B00" w:rsidRDefault="00A12B00" w:rsidP="00A12B00">
      <w:pPr>
        <w:spacing w:before="160" w:line="240" w:lineRule="auto"/>
        <w:rPr>
          <w:rFonts w:ascii="Calibri" w:eastAsia="Calibri" w:hAnsi="Calibri" w:cs="Times New Roman"/>
        </w:rPr>
      </w:pPr>
      <w:r w:rsidRPr="00A12B00">
        <w:rPr>
          <w:rFonts w:ascii="Arial" w:eastAsia="Calibri" w:hAnsi="Arial" w:cs="Arial"/>
        </w:rPr>
        <w:t xml:space="preserve">The table above demonstrates the significant vulnerabilities </w:t>
      </w:r>
      <w:r w:rsidR="004C746F">
        <w:rPr>
          <w:rFonts w:ascii="Arial" w:eastAsia="Calibri" w:hAnsi="Arial" w:cs="Arial"/>
        </w:rPr>
        <w:t>evident</w:t>
      </w:r>
      <w:r w:rsidRPr="00A12B00">
        <w:rPr>
          <w:rFonts w:ascii="Arial" w:eastAsia="Calibri" w:hAnsi="Arial" w:cs="Arial"/>
        </w:rPr>
        <w:t xml:space="preserve"> in the existing compliance and enforcement framework. Even where the current regime provides avenues for compliance and monitoring activities, these are not underpinned by a legally entrenched, independent and accountable regulator. Without sufficiently rigorous legislative standards for safety, security, compliance and enforcement, the individuals and entities engaged in Commonwealth explosives activities face the realisation, and associated consequences, of a major explosives incident.  </w:t>
      </w:r>
    </w:p>
    <w:p w14:paraId="3078C3A2" w14:textId="77777777" w:rsidR="00A12B00" w:rsidRPr="00A12B00" w:rsidRDefault="00A12B00" w:rsidP="00A12B00">
      <w:pPr>
        <w:keepNext/>
        <w:keepLines/>
        <w:spacing w:before="40" w:after="0" w:line="240" w:lineRule="auto"/>
        <w:outlineLvl w:val="1"/>
        <w:rPr>
          <w:rFonts w:ascii="Arial" w:eastAsia="Times New Roman" w:hAnsi="Arial" w:cs="Arial"/>
          <w:color w:val="E86D1F"/>
          <w:sz w:val="26"/>
          <w:szCs w:val="26"/>
        </w:rPr>
      </w:pPr>
      <w:bookmarkStart w:id="21" w:name="_Toc101961113"/>
      <w:r w:rsidRPr="00A12B00">
        <w:rPr>
          <w:rFonts w:ascii="Arial" w:eastAsia="Times New Roman" w:hAnsi="Arial" w:cs="Arial"/>
          <w:color w:val="E86D1F"/>
          <w:sz w:val="26"/>
          <w:szCs w:val="26"/>
        </w:rPr>
        <w:t>1.3 Ambiguity Leads to High Regulatory Burdens</w:t>
      </w:r>
      <w:bookmarkEnd w:id="21"/>
      <w:r w:rsidRPr="00A12B00">
        <w:rPr>
          <w:rFonts w:ascii="Arial" w:eastAsia="Times New Roman" w:hAnsi="Arial" w:cs="Arial"/>
          <w:color w:val="E86D1F"/>
          <w:sz w:val="26"/>
          <w:szCs w:val="26"/>
        </w:rPr>
        <w:t xml:space="preserve"> </w:t>
      </w:r>
    </w:p>
    <w:p w14:paraId="23F5F8E4" w14:textId="3467EE17" w:rsidR="00A12B00" w:rsidRPr="00A12B00" w:rsidRDefault="00A12B00" w:rsidP="00A12B00">
      <w:pPr>
        <w:autoSpaceDE w:val="0"/>
        <w:autoSpaceDN w:val="0"/>
        <w:adjustRightInd w:val="0"/>
        <w:spacing w:line="240" w:lineRule="auto"/>
        <w:rPr>
          <w:rFonts w:ascii="Arial" w:eastAsia="Calibri" w:hAnsi="Arial" w:cs="Arial"/>
        </w:rPr>
      </w:pPr>
      <w:r w:rsidRPr="00A12B00">
        <w:rPr>
          <w:rFonts w:ascii="Arial" w:eastAsia="Calibri" w:hAnsi="Arial" w:cs="Arial"/>
        </w:rPr>
        <w:t xml:space="preserve">Ambiguity in the current Commonwealth explosives regulatory regime means that activities conducted outside of declared Commonwealth explosives areas are subject to relevant </w:t>
      </w:r>
      <w:r w:rsidR="00596B30">
        <w:rPr>
          <w:rFonts w:ascii="Arial" w:eastAsia="Calibri" w:hAnsi="Arial" w:cs="Arial"/>
        </w:rPr>
        <w:t>S</w:t>
      </w:r>
      <w:r w:rsidRPr="00A12B00">
        <w:rPr>
          <w:rFonts w:ascii="Arial" w:eastAsia="Calibri" w:hAnsi="Arial" w:cs="Arial"/>
        </w:rPr>
        <w:t xml:space="preserve">tate or </w:t>
      </w:r>
      <w:r w:rsidR="00596B30">
        <w:rPr>
          <w:rFonts w:ascii="Arial" w:eastAsia="Calibri" w:hAnsi="Arial" w:cs="Arial"/>
        </w:rPr>
        <w:t>T</w:t>
      </w:r>
      <w:r w:rsidRPr="00A12B00">
        <w:rPr>
          <w:rFonts w:ascii="Arial" w:eastAsia="Calibri" w:hAnsi="Arial" w:cs="Arial"/>
        </w:rPr>
        <w:t xml:space="preserve">erritory explosives laws – notwithstanding that they may involve Commonwealth entities and explosive items. There is significant variability across Australian jurisdictions in safety and security standards and enforcement powers, including corresponding penalties. This variance undermines the extent to which a nationally consistent standard for safety and security-related conduct can be developed and enforced. This is particularly important in the context of Commonwealth explosives, for which ease of movement across and beyond jurisdictional boundaries is a pivotal requirement, due to the Commonwealth’s need to operate at a national level to discharge its functions including border protection, defence and national security. </w:t>
      </w:r>
    </w:p>
    <w:p w14:paraId="2E5A10E8" w14:textId="77777777" w:rsidR="00A12B00" w:rsidRPr="00A12B00" w:rsidRDefault="00A12B00" w:rsidP="00A12B00">
      <w:pPr>
        <w:autoSpaceDE w:val="0"/>
        <w:autoSpaceDN w:val="0"/>
        <w:adjustRightInd w:val="0"/>
        <w:spacing w:line="240" w:lineRule="auto"/>
        <w:rPr>
          <w:rFonts w:ascii="Arial" w:eastAsia="Calibri" w:hAnsi="Arial" w:cs="Arial"/>
        </w:rPr>
      </w:pPr>
      <w:r w:rsidRPr="00A12B00">
        <w:rPr>
          <w:rFonts w:ascii="Arial" w:eastAsia="Calibri" w:hAnsi="Arial" w:cs="Arial"/>
        </w:rPr>
        <w:t>This variation in requirements, when a Commonwealth activity happens to occur or require cross-border movement, also poses significant challenges for Commonwealth contractors seeking to navigate each system. The explosives regulatory inconsistencies between the Commonwealth and Australia’s states and territories are known to have a significant cost, both direct and indirect, on the private sector.</w:t>
      </w:r>
      <w:r w:rsidRPr="00A12B00">
        <w:rPr>
          <w:rFonts w:ascii="Arial" w:eastAsia="Calibri" w:hAnsi="Arial" w:cs="Arial"/>
          <w:vertAlign w:val="superscript"/>
        </w:rPr>
        <w:footnoteReference w:id="20"/>
      </w:r>
      <w:r w:rsidRPr="00A12B00">
        <w:rPr>
          <w:rFonts w:ascii="Arial" w:eastAsia="Calibri" w:hAnsi="Arial" w:cs="Arial"/>
        </w:rPr>
        <w:t xml:space="preserve"> The need to navigate several diverging regimes imposes a significant administrative, financial and regulatory burden on those Commonwealth contractors who are required to comply with each system. In addition to the added regulatory burden, this complexity increases the risk of inadvertent regulatory non-compliance from entities that lack the resources, knowledge or financial means to fully understand the numerous requirements and ensure their compliance with each regulatory scheme. This affects the free flow of all explosives (whether intended for Commonwealth or </w:t>
      </w:r>
      <w:r w:rsidRPr="00A12B00">
        <w:rPr>
          <w:rFonts w:ascii="Arial" w:eastAsia="Calibri" w:hAnsi="Arial" w:cs="Arial"/>
        </w:rPr>
        <w:lastRenderedPageBreak/>
        <w:t xml:space="preserve">non-Commonwealth use) across jurisdictional borders, with particularly significant potential consequences for nationwide Commonwealth operations. </w:t>
      </w:r>
    </w:p>
    <w:p w14:paraId="50475219" w14:textId="77777777" w:rsidR="00A12B00" w:rsidRPr="00A12B00" w:rsidRDefault="00A12B00" w:rsidP="00A12B00">
      <w:pPr>
        <w:spacing w:line="240" w:lineRule="auto"/>
        <w:rPr>
          <w:rFonts w:ascii="Arial" w:eastAsia="Calibri" w:hAnsi="Arial" w:cs="Arial"/>
        </w:rPr>
      </w:pPr>
      <w:r w:rsidRPr="00A12B00">
        <w:rPr>
          <w:rFonts w:ascii="Arial" w:eastAsia="Calibri" w:hAnsi="Arial" w:cs="Arial"/>
        </w:rPr>
        <w:t>The above inconsistencies and ambiguities were recognised in 2012, when the Council of Australian Government directed work health and safety ministers to proceed with reform work, targeted at achieving greater consistency across state and territory explosives regulation, with clear benefits to be derived.</w:t>
      </w:r>
      <w:r w:rsidRPr="00A12B00">
        <w:rPr>
          <w:rFonts w:ascii="Arial" w:eastAsia="Calibri" w:hAnsi="Arial" w:cs="Arial"/>
          <w:vertAlign w:val="superscript"/>
        </w:rPr>
        <w:footnoteReference w:id="21"/>
      </w:r>
      <w:r w:rsidRPr="00A12B00">
        <w:rPr>
          <w:rFonts w:ascii="Arial" w:eastAsia="Calibri" w:hAnsi="Arial" w:cs="Arial"/>
        </w:rPr>
        <w:t xml:space="preserve"> These benefits were outlined in a 2016 Decision RIS, titled ‘Explosives Regulation in Australia’ and included: </w:t>
      </w:r>
    </w:p>
    <w:p w14:paraId="5B255D4D" w14:textId="77777777" w:rsidR="00A12B00" w:rsidRPr="00A12B00" w:rsidRDefault="00A12B00" w:rsidP="002176AF">
      <w:pPr>
        <w:numPr>
          <w:ilvl w:val="0"/>
          <w:numId w:val="4"/>
        </w:numPr>
        <w:spacing w:line="240" w:lineRule="auto"/>
        <w:contextualSpacing/>
        <w:rPr>
          <w:rFonts w:ascii="Arial" w:eastAsia="Calibri" w:hAnsi="Arial" w:cs="Arial"/>
        </w:rPr>
      </w:pPr>
      <w:r w:rsidRPr="00A12B00">
        <w:rPr>
          <w:rFonts w:ascii="Arial" w:eastAsia="Calibri" w:hAnsi="Arial" w:cs="Arial"/>
        </w:rPr>
        <w:t xml:space="preserve">Significant cost savings, totalling approximately $13.83 million, when consistency is achieved across the identified reform areas of definitions, licensing, notification arrangements and authorisation processes; </w:t>
      </w:r>
    </w:p>
    <w:p w14:paraId="4379331B" w14:textId="77777777" w:rsidR="00A12B00" w:rsidRPr="00A12B00" w:rsidRDefault="00A12B00" w:rsidP="002176AF">
      <w:pPr>
        <w:numPr>
          <w:ilvl w:val="0"/>
          <w:numId w:val="4"/>
        </w:numPr>
        <w:spacing w:line="240" w:lineRule="auto"/>
        <w:contextualSpacing/>
        <w:rPr>
          <w:rFonts w:ascii="Arial" w:eastAsia="Calibri" w:hAnsi="Arial" w:cs="Arial"/>
        </w:rPr>
      </w:pPr>
      <w:r w:rsidRPr="00A12B00">
        <w:rPr>
          <w:rFonts w:ascii="Arial" w:eastAsia="Calibri" w:hAnsi="Arial" w:cs="Arial"/>
        </w:rPr>
        <w:t>Improved business confidence and resource capacity where Commonwealth contractors are no longer required to research and identify the regulations applicable in each jurisdiction and across their relevant activities; and</w:t>
      </w:r>
    </w:p>
    <w:p w14:paraId="1BAA6E60" w14:textId="77777777" w:rsidR="00A12B00" w:rsidRPr="00A12B00" w:rsidRDefault="00A12B00" w:rsidP="002176AF">
      <w:pPr>
        <w:numPr>
          <w:ilvl w:val="0"/>
          <w:numId w:val="4"/>
        </w:numPr>
        <w:spacing w:line="240" w:lineRule="auto"/>
        <w:ind w:left="357" w:hanging="357"/>
        <w:rPr>
          <w:rFonts w:ascii="Arial" w:eastAsia="Calibri" w:hAnsi="Arial" w:cs="Arial"/>
        </w:rPr>
      </w:pPr>
      <w:r w:rsidRPr="00A12B00">
        <w:rPr>
          <w:rFonts w:ascii="Arial" w:eastAsia="Calibri" w:hAnsi="Arial" w:cs="Arial"/>
        </w:rPr>
        <w:t>Reduced complexity associated with obtaining multiple licenses to work across multiple jurisdictions.</w:t>
      </w:r>
      <w:r w:rsidRPr="00A12B00">
        <w:rPr>
          <w:rFonts w:ascii="Arial" w:eastAsia="Calibri" w:hAnsi="Arial" w:cs="Arial"/>
          <w:vertAlign w:val="superscript"/>
        </w:rPr>
        <w:footnoteReference w:id="22"/>
      </w:r>
    </w:p>
    <w:p w14:paraId="74590B00" w14:textId="004A6E29" w:rsidR="00A12B00" w:rsidRPr="00A12B00" w:rsidRDefault="00A12B00" w:rsidP="00A12B00">
      <w:pPr>
        <w:spacing w:line="240" w:lineRule="auto"/>
        <w:rPr>
          <w:rFonts w:ascii="Arial" w:eastAsia="Calibri" w:hAnsi="Arial" w:cs="Arial"/>
        </w:rPr>
      </w:pPr>
      <w:r w:rsidRPr="00A12B00">
        <w:rPr>
          <w:rFonts w:ascii="Arial" w:eastAsia="Calibri" w:hAnsi="Arial" w:cs="Arial"/>
        </w:rPr>
        <w:t>In-principal reforms agreed during the above reform process are currently being implemented (with varying stages of progress) by each State and Territory</w:t>
      </w:r>
      <w:r w:rsidR="006D5FD4">
        <w:rPr>
          <w:rFonts w:ascii="Arial" w:eastAsia="Calibri" w:hAnsi="Arial" w:cs="Arial"/>
        </w:rPr>
        <w:t>.</w:t>
      </w:r>
      <w:r w:rsidRPr="00A12B00">
        <w:rPr>
          <w:rFonts w:ascii="Arial" w:eastAsia="Calibri" w:hAnsi="Arial" w:cs="Arial"/>
          <w:vertAlign w:val="superscript"/>
        </w:rPr>
        <w:footnoteReference w:id="23"/>
      </w:r>
      <w:r w:rsidRPr="00A12B00">
        <w:rPr>
          <w:rFonts w:ascii="Arial" w:eastAsia="Calibri" w:hAnsi="Arial" w:cs="Arial"/>
        </w:rPr>
        <w:t xml:space="preserve"> However, these reforms focus primarily on streamlining regulatory requirements for commercial and industrial explosives across States and Territories. Consideration of problems and improvement opportunities in the Commonwealth explosives regime were not within scope, nor was clarifying ambiguities at the many points of intersection between Commonwealth explosives and jurisdictional laws.</w:t>
      </w:r>
    </w:p>
    <w:p w14:paraId="1707ECB3" w14:textId="1CE9B657" w:rsidR="00A12B00" w:rsidRPr="00A12B00" w:rsidRDefault="00A12B00" w:rsidP="00A12B00">
      <w:pPr>
        <w:spacing w:line="240" w:lineRule="auto"/>
        <w:rPr>
          <w:rFonts w:ascii="Arial" w:eastAsia="Calibri" w:hAnsi="Arial" w:cs="Arial"/>
        </w:rPr>
      </w:pPr>
      <w:r w:rsidRPr="00A12B00">
        <w:rPr>
          <w:rFonts w:ascii="Arial" w:eastAsia="Calibri" w:hAnsi="Arial" w:cs="Arial"/>
        </w:rPr>
        <w:t xml:space="preserve">As a result, notwithstanding recent promising harmonisation initiatives for the commercial and industrial sector, significant inconsistencies remain when dealing with Commonwealth explosives. </w:t>
      </w:r>
      <w:r w:rsidR="00211C68">
        <w:rPr>
          <w:rFonts w:ascii="Arial" w:eastAsia="Calibri" w:hAnsi="Arial" w:cs="Arial"/>
        </w:rPr>
        <w:t>Such harmonisation is essential, given the large number of industry stakeholders who are required to engage with both the Commonwealth and relevant (yet often diverging) state or territory explosives regimes</w:t>
      </w:r>
      <w:r w:rsidR="00B501D1">
        <w:rPr>
          <w:rFonts w:ascii="Arial" w:eastAsia="Calibri" w:hAnsi="Arial" w:cs="Arial"/>
        </w:rPr>
        <w:t xml:space="preserve"> applicable to their commercial activities</w:t>
      </w:r>
      <w:r w:rsidR="00211C68">
        <w:rPr>
          <w:rFonts w:ascii="Arial" w:eastAsia="Calibri" w:hAnsi="Arial" w:cs="Arial"/>
        </w:rPr>
        <w:t xml:space="preserve">. </w:t>
      </w:r>
      <w:r w:rsidRPr="00A12B00">
        <w:rPr>
          <w:rFonts w:ascii="Arial" w:eastAsia="Calibri" w:hAnsi="Arial" w:cs="Arial"/>
        </w:rPr>
        <w:t>The following subsections discuss these inconsistencies and the impediments they present to the safe, secure, and expedient conduct of Commonwealth explosives activities.</w:t>
      </w:r>
    </w:p>
    <w:p w14:paraId="26103F82" w14:textId="17709C51" w:rsidR="00A12B00" w:rsidRPr="00A12B00" w:rsidRDefault="00A12B00" w:rsidP="00A12B00">
      <w:pPr>
        <w:spacing w:after="0"/>
        <w:rPr>
          <w:rFonts w:ascii="Arial" w:eastAsia="Calibri" w:hAnsi="Arial" w:cs="Arial"/>
          <w:color w:val="997339"/>
        </w:rPr>
      </w:pPr>
      <w:bookmarkStart w:id="22" w:name="_Toc83804538"/>
      <w:r w:rsidRPr="00A12B00">
        <w:rPr>
          <w:rFonts w:ascii="Arial" w:eastAsia="Calibri" w:hAnsi="Arial" w:cs="Arial"/>
          <w:color w:val="997339"/>
        </w:rPr>
        <w:t>1.3.1 Definition of ‘</w:t>
      </w:r>
      <w:r w:rsidR="00511C2E">
        <w:rPr>
          <w:rFonts w:ascii="Arial" w:eastAsia="Calibri" w:hAnsi="Arial" w:cs="Arial"/>
          <w:color w:val="997339"/>
        </w:rPr>
        <w:t>E</w:t>
      </w:r>
      <w:r w:rsidRPr="00A12B00">
        <w:rPr>
          <w:rFonts w:ascii="Arial" w:eastAsia="Calibri" w:hAnsi="Arial" w:cs="Arial"/>
          <w:color w:val="997339"/>
        </w:rPr>
        <w:t>xplosives’</w:t>
      </w:r>
      <w:bookmarkEnd w:id="22"/>
      <w:r w:rsidRPr="00A12B00">
        <w:rPr>
          <w:rFonts w:ascii="Arial" w:eastAsia="Calibri" w:hAnsi="Arial" w:cs="Arial"/>
          <w:color w:val="997339"/>
        </w:rPr>
        <w:t xml:space="preserve"> and </w:t>
      </w:r>
      <w:r w:rsidR="00511C2E">
        <w:rPr>
          <w:rFonts w:ascii="Arial" w:eastAsia="Calibri" w:hAnsi="Arial" w:cs="Arial"/>
          <w:color w:val="997339"/>
        </w:rPr>
        <w:t>L</w:t>
      </w:r>
      <w:r w:rsidRPr="00A12B00">
        <w:rPr>
          <w:rFonts w:ascii="Arial" w:eastAsia="Calibri" w:hAnsi="Arial" w:cs="Arial"/>
          <w:color w:val="997339"/>
        </w:rPr>
        <w:t xml:space="preserve">icensing </w:t>
      </w:r>
      <w:r w:rsidR="00511C2E">
        <w:rPr>
          <w:rFonts w:ascii="Arial" w:eastAsia="Calibri" w:hAnsi="Arial" w:cs="Arial"/>
          <w:color w:val="997339"/>
        </w:rPr>
        <w:t>A</w:t>
      </w:r>
      <w:r w:rsidRPr="00A12B00">
        <w:rPr>
          <w:rFonts w:ascii="Arial" w:eastAsia="Calibri" w:hAnsi="Arial" w:cs="Arial"/>
          <w:color w:val="997339"/>
        </w:rPr>
        <w:t xml:space="preserve">rrangements </w:t>
      </w:r>
    </w:p>
    <w:p w14:paraId="586125B5" w14:textId="1F6F5A38" w:rsidR="00A12B00" w:rsidRPr="00A12B00" w:rsidRDefault="00A12B00" w:rsidP="00A12B00">
      <w:pPr>
        <w:spacing w:line="240" w:lineRule="auto"/>
        <w:rPr>
          <w:rFonts w:ascii="Arial" w:eastAsia="Calibri" w:hAnsi="Arial" w:cs="Arial"/>
        </w:rPr>
      </w:pPr>
      <w:r w:rsidRPr="00A12B00">
        <w:rPr>
          <w:rFonts w:ascii="Arial" w:eastAsia="Calibri" w:hAnsi="Arial" w:cs="Arial"/>
        </w:rPr>
        <w:t xml:space="preserve">The explosives laws of the Commonwealth and each Australian </w:t>
      </w:r>
      <w:r w:rsidR="00BC7BDA">
        <w:rPr>
          <w:rFonts w:ascii="Arial" w:eastAsia="Calibri" w:hAnsi="Arial" w:cs="Arial"/>
        </w:rPr>
        <w:t>S</w:t>
      </w:r>
      <w:r w:rsidRPr="00A12B00">
        <w:rPr>
          <w:rFonts w:ascii="Arial" w:eastAsia="Calibri" w:hAnsi="Arial" w:cs="Arial"/>
        </w:rPr>
        <w:t xml:space="preserve">tate and </w:t>
      </w:r>
      <w:r w:rsidR="00BC7BDA">
        <w:rPr>
          <w:rFonts w:ascii="Arial" w:eastAsia="Calibri" w:hAnsi="Arial" w:cs="Arial"/>
        </w:rPr>
        <w:t>T</w:t>
      </w:r>
      <w:r w:rsidRPr="00A12B00">
        <w:rPr>
          <w:rFonts w:ascii="Arial" w:eastAsia="Calibri" w:hAnsi="Arial" w:cs="Arial"/>
        </w:rPr>
        <w:t xml:space="preserve">erritory apply different meanings to the word ‘explosives’. The term is typically defined in one of the following ways across each of the regimes: </w:t>
      </w:r>
    </w:p>
    <w:p w14:paraId="21F07589" w14:textId="77777777" w:rsidR="00A12B00" w:rsidRPr="00A12B00" w:rsidRDefault="00A12B00" w:rsidP="002176AF">
      <w:pPr>
        <w:numPr>
          <w:ilvl w:val="0"/>
          <w:numId w:val="5"/>
        </w:numPr>
        <w:spacing w:line="240" w:lineRule="auto"/>
        <w:contextualSpacing/>
        <w:rPr>
          <w:rFonts w:ascii="Arial" w:eastAsia="Calibri" w:hAnsi="Arial" w:cs="Arial"/>
        </w:rPr>
      </w:pPr>
      <w:r w:rsidRPr="00A12B00">
        <w:rPr>
          <w:rFonts w:ascii="Arial" w:eastAsia="Calibri" w:hAnsi="Arial" w:cs="Arial"/>
        </w:rPr>
        <w:t xml:space="preserve">By adopting the definition contained in a relevant code; </w:t>
      </w:r>
    </w:p>
    <w:p w14:paraId="20D9C803" w14:textId="77777777" w:rsidR="00A12B00" w:rsidRPr="00A12B00" w:rsidRDefault="00A12B00" w:rsidP="002176AF">
      <w:pPr>
        <w:numPr>
          <w:ilvl w:val="0"/>
          <w:numId w:val="5"/>
        </w:numPr>
        <w:spacing w:line="240" w:lineRule="auto"/>
        <w:contextualSpacing/>
        <w:rPr>
          <w:rFonts w:ascii="Arial" w:eastAsia="Calibri" w:hAnsi="Arial" w:cs="Arial"/>
        </w:rPr>
      </w:pPr>
      <w:r w:rsidRPr="00A12B00">
        <w:rPr>
          <w:rFonts w:ascii="Arial" w:eastAsia="Calibri" w:hAnsi="Arial" w:cs="Arial"/>
        </w:rPr>
        <w:t xml:space="preserve">By prescribing a list of substances or articles that are explosives; or </w:t>
      </w:r>
    </w:p>
    <w:p w14:paraId="5DDADA41" w14:textId="77777777" w:rsidR="00A12B00" w:rsidRPr="00A12B00" w:rsidRDefault="00A12B00" w:rsidP="002176AF">
      <w:pPr>
        <w:numPr>
          <w:ilvl w:val="0"/>
          <w:numId w:val="5"/>
        </w:numPr>
        <w:spacing w:line="240" w:lineRule="auto"/>
        <w:ind w:left="357" w:hanging="357"/>
        <w:rPr>
          <w:rFonts w:ascii="Arial" w:eastAsia="Calibri" w:hAnsi="Arial" w:cs="Arial"/>
        </w:rPr>
      </w:pPr>
      <w:r w:rsidRPr="00A12B00">
        <w:rPr>
          <w:rFonts w:ascii="Arial" w:eastAsia="Calibri" w:hAnsi="Arial" w:cs="Arial"/>
        </w:rPr>
        <w:t xml:space="preserve">By applying an outcomes-based definition. </w:t>
      </w:r>
    </w:p>
    <w:p w14:paraId="2FF3CE2D" w14:textId="77777777" w:rsidR="00A12B00" w:rsidRPr="00A12B00" w:rsidRDefault="00A12B00" w:rsidP="00A12B00">
      <w:pPr>
        <w:spacing w:line="240" w:lineRule="auto"/>
        <w:rPr>
          <w:rFonts w:ascii="Arial" w:eastAsia="Calibri" w:hAnsi="Arial" w:cs="Arial"/>
        </w:rPr>
      </w:pPr>
      <w:r w:rsidRPr="00A12B00">
        <w:rPr>
          <w:rFonts w:ascii="Arial" w:eastAsia="Calibri" w:hAnsi="Arial" w:cs="Arial"/>
        </w:rPr>
        <w:t xml:space="preserve">This complexity requires Commonwealth contractors to identify the relevant definition and consider the attached compliance requirements. It also creates complexity in reconciling the prevailing definition, where conflict arises between a Commonwealth definition and that imposed by a state or territory. </w:t>
      </w:r>
    </w:p>
    <w:p w14:paraId="373950AA" w14:textId="605FA603" w:rsidR="00A12B00" w:rsidRPr="00A12B00" w:rsidRDefault="00A12B00" w:rsidP="00A12B00">
      <w:pPr>
        <w:autoSpaceDE w:val="0"/>
        <w:autoSpaceDN w:val="0"/>
        <w:adjustRightInd w:val="0"/>
        <w:spacing w:line="240" w:lineRule="auto"/>
        <w:rPr>
          <w:rFonts w:ascii="Calibri" w:eastAsia="Calibri" w:hAnsi="Calibri" w:cs="Calibri"/>
          <w:color w:val="000000"/>
        </w:rPr>
      </w:pPr>
      <w:r w:rsidRPr="00A12B00">
        <w:rPr>
          <w:rFonts w:ascii="Arial" w:eastAsia="Calibri" w:hAnsi="Arial" w:cs="Arial"/>
        </w:rPr>
        <w:t xml:space="preserve">Similarly, the explosives laws of each Australian state and territory prescribe separate licencing and accreditation regimes. While such regimes generally seek to exempt ADF members, AFP employees and </w:t>
      </w:r>
      <w:r w:rsidR="00AB4CE0">
        <w:rPr>
          <w:rFonts w:ascii="Arial" w:eastAsia="Calibri" w:hAnsi="Arial" w:cs="Arial"/>
        </w:rPr>
        <w:t>foreign government officials</w:t>
      </w:r>
      <w:r w:rsidRPr="00A12B00">
        <w:rPr>
          <w:rFonts w:ascii="Arial" w:eastAsia="Calibri" w:hAnsi="Arial" w:cs="Arial"/>
        </w:rPr>
        <w:t xml:space="preserve"> from compliance, they remain applicable to employees of the Australian Public Service (including those in the ABF) and Commonwealth contractors.</w:t>
      </w:r>
      <w:r w:rsidRPr="00A12B00">
        <w:rPr>
          <w:rFonts w:ascii="Calibri" w:eastAsia="Calibri" w:hAnsi="Calibri" w:cs="Calibri"/>
          <w:color w:val="000000"/>
        </w:rPr>
        <w:t xml:space="preserve"> </w:t>
      </w:r>
    </w:p>
    <w:p w14:paraId="2CD86C11" w14:textId="77777777" w:rsidR="00A12B00" w:rsidRPr="00A12B00" w:rsidRDefault="00A12B00" w:rsidP="00A12B00">
      <w:pPr>
        <w:autoSpaceDE w:val="0"/>
        <w:autoSpaceDN w:val="0"/>
        <w:adjustRightInd w:val="0"/>
        <w:spacing w:line="240" w:lineRule="auto"/>
        <w:rPr>
          <w:rFonts w:ascii="Arial" w:eastAsia="Calibri" w:hAnsi="Arial" w:cs="Arial"/>
        </w:rPr>
      </w:pPr>
      <w:r w:rsidRPr="00A12B00">
        <w:rPr>
          <w:rFonts w:ascii="Arial" w:eastAsia="Calibri" w:hAnsi="Arial" w:cs="Arial"/>
        </w:rPr>
        <w:lastRenderedPageBreak/>
        <w:t xml:space="preserve">As such, when involved in multi-jurisdictional operations, Commonwealth contractors are required to identify and comply with the distinct licensing arrangements imposed by the relevant jurisdiction. As the application of relevant jurisdictional requirements is largely dependent on the drafting of that jurisdiction’s licencing clause (which have not been definitively legally tested), entities are required to consult the particular law and determine its applicability. This complexity is compounded by the existing lack in reciprocity arrangements across each of Australia’s jurisdictions which, in many cases, means a specific licence is required for operation in each individual state or territory (see Appendix A). </w:t>
      </w:r>
    </w:p>
    <w:p w14:paraId="05B687A5" w14:textId="77777777" w:rsidR="00A12B00" w:rsidRPr="00A12B00" w:rsidRDefault="00A12B00" w:rsidP="00A12B00">
      <w:pPr>
        <w:autoSpaceDE w:val="0"/>
        <w:autoSpaceDN w:val="0"/>
        <w:adjustRightInd w:val="0"/>
        <w:spacing w:after="240" w:line="240" w:lineRule="auto"/>
        <w:rPr>
          <w:rFonts w:ascii="Arial" w:eastAsia="Calibri" w:hAnsi="Arial" w:cs="Arial"/>
        </w:rPr>
      </w:pPr>
      <w:r w:rsidRPr="00A12B00">
        <w:rPr>
          <w:rFonts w:ascii="Calibri" w:eastAsia="Calibri" w:hAnsi="Calibri" w:cs="Calibri"/>
          <w:noProof/>
          <w:color w:val="000000"/>
          <w:sz w:val="24"/>
          <w:szCs w:val="24"/>
          <w:lang w:eastAsia="en-AU"/>
        </w:rPr>
        <mc:AlternateContent>
          <mc:Choice Requires="wps">
            <w:drawing>
              <wp:anchor distT="0" distB="0" distL="114300" distR="114300" simplePos="0" relativeHeight="251671552" behindDoc="0" locked="0" layoutInCell="1" allowOverlap="1" wp14:anchorId="0CD4D3E0" wp14:editId="5BD0E182">
                <wp:simplePos x="0" y="0"/>
                <wp:positionH relativeFrom="margin">
                  <wp:posOffset>0</wp:posOffset>
                </wp:positionH>
                <wp:positionV relativeFrom="paragraph">
                  <wp:posOffset>1069340</wp:posOffset>
                </wp:positionV>
                <wp:extent cx="5528310" cy="13716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5528310" cy="137160"/>
                        </a:xfrm>
                        <a:prstGeom prst="rect">
                          <a:avLst/>
                        </a:prstGeom>
                        <a:solidFill>
                          <a:prstClr val="white"/>
                        </a:solidFill>
                        <a:ln>
                          <a:noFill/>
                        </a:ln>
                      </wps:spPr>
                      <wps:txbx>
                        <w:txbxContent>
                          <w:p w14:paraId="0A29150D" w14:textId="4068665E" w:rsidR="00B3427F" w:rsidRPr="001B352F" w:rsidRDefault="00B3427F" w:rsidP="00A12B00">
                            <w:pPr>
                              <w:pStyle w:val="Caption1"/>
                              <w:rPr>
                                <w:rFonts w:ascii="Arial" w:hAnsi="Arial" w:cs="Arial"/>
                                <w:noProof/>
                                <w:color w:val="auto"/>
                                <w:sz w:val="16"/>
                                <w:szCs w:val="16"/>
                              </w:rPr>
                            </w:pPr>
                            <w:bookmarkStart w:id="23" w:name="_Toc90385835"/>
                            <w:r w:rsidRPr="001B352F">
                              <w:rPr>
                                <w:rFonts w:ascii="Arial" w:hAnsi="Arial" w:cs="Arial"/>
                                <w:b/>
                                <w:bCs/>
                                <w:color w:val="auto"/>
                                <w:sz w:val="16"/>
                                <w:szCs w:val="16"/>
                              </w:rPr>
                              <w:t xml:space="preserve">Figure </w:t>
                            </w:r>
                            <w:r>
                              <w:rPr>
                                <w:rFonts w:ascii="Arial" w:hAnsi="Arial" w:cs="Arial"/>
                                <w:b/>
                                <w:bCs/>
                                <w:color w:val="auto"/>
                                <w:sz w:val="16"/>
                                <w:szCs w:val="16"/>
                              </w:rPr>
                              <w:fldChar w:fldCharType="begin"/>
                            </w:r>
                            <w:r>
                              <w:rPr>
                                <w:rFonts w:ascii="Arial" w:hAnsi="Arial" w:cs="Arial"/>
                                <w:b/>
                                <w:bCs/>
                                <w:color w:val="auto"/>
                                <w:sz w:val="16"/>
                                <w:szCs w:val="16"/>
                              </w:rPr>
                              <w:instrText xml:space="preserve"> SEQ Figure \* ARABIC </w:instrText>
                            </w:r>
                            <w:r>
                              <w:rPr>
                                <w:rFonts w:ascii="Arial" w:hAnsi="Arial" w:cs="Arial"/>
                                <w:b/>
                                <w:bCs/>
                                <w:color w:val="auto"/>
                                <w:sz w:val="16"/>
                                <w:szCs w:val="16"/>
                              </w:rPr>
                              <w:fldChar w:fldCharType="separate"/>
                            </w:r>
                            <w:r>
                              <w:rPr>
                                <w:rFonts w:ascii="Arial" w:hAnsi="Arial" w:cs="Arial"/>
                                <w:b/>
                                <w:bCs/>
                                <w:noProof/>
                                <w:color w:val="auto"/>
                                <w:sz w:val="16"/>
                                <w:szCs w:val="16"/>
                              </w:rPr>
                              <w:t>8</w:t>
                            </w:r>
                            <w:r>
                              <w:rPr>
                                <w:rFonts w:ascii="Arial" w:hAnsi="Arial" w:cs="Arial"/>
                                <w:b/>
                                <w:bCs/>
                                <w:color w:val="auto"/>
                                <w:sz w:val="16"/>
                                <w:szCs w:val="16"/>
                              </w:rPr>
                              <w:fldChar w:fldCharType="end"/>
                            </w:r>
                            <w:r w:rsidRPr="001B352F">
                              <w:rPr>
                                <w:rFonts w:ascii="Arial" w:hAnsi="Arial" w:cs="Arial"/>
                                <w:b/>
                                <w:bCs/>
                                <w:color w:val="auto"/>
                                <w:sz w:val="16"/>
                                <w:szCs w:val="16"/>
                              </w:rPr>
                              <w:t>:</w:t>
                            </w:r>
                            <w:r w:rsidRPr="001B352F">
                              <w:rPr>
                                <w:rFonts w:ascii="Arial" w:hAnsi="Arial" w:cs="Arial"/>
                                <w:color w:val="auto"/>
                                <w:sz w:val="16"/>
                                <w:szCs w:val="16"/>
                              </w:rPr>
                              <w:t xml:space="preserve"> Consultation Insights</w:t>
                            </w:r>
                            <w:bookmarkEnd w:id="2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CD4D3E0" id="Text Box 26" o:spid="_x0000_s1037" type="#_x0000_t202" style="position:absolute;margin-left:0;margin-top:84.2pt;width:435.3pt;height:10.8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" stroked="f">
                <v:textbox inset="0,0,0,0">
                  <w:txbxContent>
                    <w:p w14:paraId="0A29150D" w14:textId="4068665E" w:rsidR="00B3427F" w:rsidRPr="001B352F" w:rsidRDefault="00B3427F" w:rsidP="00A12B00">
                      <w:pPr>
                        <w:pStyle w:val="Caption1"/>
                        <w:rPr>
                          <w:rFonts w:ascii="Arial" w:hAnsi="Arial" w:cs="Arial"/>
                          <w:noProof/>
                          <w:color w:val="auto"/>
                          <w:sz w:val="16"/>
                          <w:szCs w:val="16"/>
                        </w:rPr>
                      </w:pPr>
                      <w:bookmarkStart w:id="80" w:name="_Toc90385835"/>
                      <w:r w:rsidRPr="001B352F">
                        <w:rPr>
                          <w:rFonts w:ascii="Arial" w:hAnsi="Arial" w:cs="Arial"/>
                          <w:b/>
                          <w:bCs/>
                          <w:color w:val="auto"/>
                          <w:sz w:val="16"/>
                          <w:szCs w:val="16"/>
                        </w:rPr>
                        <w:t xml:space="preserve">Figure </w:t>
                      </w:r>
                      <w:r>
                        <w:rPr>
                          <w:rFonts w:ascii="Arial" w:hAnsi="Arial" w:cs="Arial"/>
                          <w:b/>
                          <w:bCs/>
                          <w:color w:val="auto"/>
                          <w:sz w:val="16"/>
                          <w:szCs w:val="16"/>
                        </w:rPr>
                        <w:fldChar w:fldCharType="begin"/>
                      </w:r>
                      <w:r>
                        <w:rPr>
                          <w:rFonts w:ascii="Arial" w:hAnsi="Arial" w:cs="Arial"/>
                          <w:b/>
                          <w:bCs/>
                          <w:color w:val="auto"/>
                          <w:sz w:val="16"/>
                          <w:szCs w:val="16"/>
                        </w:rPr>
                        <w:instrText xml:space="preserve"> SEQ Figure \* ARABIC </w:instrText>
                      </w:r>
                      <w:r>
                        <w:rPr>
                          <w:rFonts w:ascii="Arial" w:hAnsi="Arial" w:cs="Arial"/>
                          <w:b/>
                          <w:bCs/>
                          <w:color w:val="auto"/>
                          <w:sz w:val="16"/>
                          <w:szCs w:val="16"/>
                        </w:rPr>
                        <w:fldChar w:fldCharType="separate"/>
                      </w:r>
                      <w:r>
                        <w:rPr>
                          <w:rFonts w:ascii="Arial" w:hAnsi="Arial" w:cs="Arial"/>
                          <w:b/>
                          <w:bCs/>
                          <w:noProof/>
                          <w:color w:val="auto"/>
                          <w:sz w:val="16"/>
                          <w:szCs w:val="16"/>
                        </w:rPr>
                        <w:t>8</w:t>
                      </w:r>
                      <w:r>
                        <w:rPr>
                          <w:rFonts w:ascii="Arial" w:hAnsi="Arial" w:cs="Arial"/>
                          <w:b/>
                          <w:bCs/>
                          <w:color w:val="auto"/>
                          <w:sz w:val="16"/>
                          <w:szCs w:val="16"/>
                        </w:rPr>
                        <w:fldChar w:fldCharType="end"/>
                      </w:r>
                      <w:r w:rsidRPr="001B352F">
                        <w:rPr>
                          <w:rFonts w:ascii="Arial" w:hAnsi="Arial" w:cs="Arial"/>
                          <w:b/>
                          <w:bCs/>
                          <w:color w:val="auto"/>
                          <w:sz w:val="16"/>
                          <w:szCs w:val="16"/>
                        </w:rPr>
                        <w:t>:</w:t>
                      </w:r>
                      <w:r w:rsidRPr="001B352F">
                        <w:rPr>
                          <w:rFonts w:ascii="Arial" w:hAnsi="Arial" w:cs="Arial"/>
                          <w:color w:val="auto"/>
                          <w:sz w:val="16"/>
                          <w:szCs w:val="16"/>
                        </w:rPr>
                        <w:t xml:space="preserve"> Consultation Insights</w:t>
                      </w:r>
                      <w:bookmarkEnd w:id="80"/>
                    </w:p>
                  </w:txbxContent>
                </v:textbox>
                <w10:wrap anchorx="margin"/>
              </v:shape>
            </w:pict>
          </mc:Fallback>
        </mc:AlternateContent>
      </w:r>
      <w:r w:rsidRPr="00A12B00">
        <w:rPr>
          <w:rFonts w:ascii="Arial" w:eastAsia="Calibri" w:hAnsi="Arial" w:cs="Arial"/>
        </w:rPr>
        <w:t xml:space="preserve">Onerous licensing arrangements, where compliance is required across several systems, creates a significant </w:t>
      </w:r>
      <w:r w:rsidRPr="00A12B00">
        <w:rPr>
          <w:rFonts w:ascii="Arial" w:eastAsia="Calibri" w:hAnsi="Arial" w:cs="Arial"/>
          <w:color w:val="000000"/>
        </w:rPr>
        <w:t>administrative, financial and regulatory burden on those Commonwealth contractors who need to comply with each system. Alternatively, a high regulatory burden increases the risk that stakeholders may inadvertently forego compliance where they do not have the requisite resources or financial means – particularly when there is ambiguity in the applicable regulatory requirements.</w:t>
      </w:r>
    </w:p>
    <w:p w14:paraId="467E72A6" w14:textId="77777777" w:rsidR="00A12B00" w:rsidRPr="00A12B00" w:rsidRDefault="00A12B00" w:rsidP="00A12B00">
      <w:pPr>
        <w:spacing w:after="0"/>
        <w:rPr>
          <w:rFonts w:ascii="Arial" w:eastAsia="Calibri" w:hAnsi="Arial" w:cs="Arial"/>
          <w:i/>
          <w:iCs/>
          <w:color w:val="9F2936"/>
        </w:rPr>
      </w:pPr>
      <w:r w:rsidRPr="00A12B00">
        <w:rPr>
          <w:rFonts w:ascii="Arial" w:eastAsia="Calibri" w:hAnsi="Arial" w:cs="Arial"/>
          <w:noProof/>
          <w:lang w:eastAsia="en-AU"/>
        </w:rPr>
        <mc:AlternateContent>
          <mc:Choice Requires="wps">
            <w:drawing>
              <wp:anchor distT="0" distB="0" distL="114300" distR="114300" simplePos="0" relativeHeight="251670528" behindDoc="0" locked="0" layoutInCell="1" allowOverlap="1" wp14:anchorId="77682DB6" wp14:editId="72AE9820">
                <wp:simplePos x="0" y="0"/>
                <wp:positionH relativeFrom="margin">
                  <wp:align>left</wp:align>
                </wp:positionH>
                <wp:positionV relativeFrom="paragraph">
                  <wp:posOffset>122555</wp:posOffset>
                </wp:positionV>
                <wp:extent cx="5528310" cy="812800"/>
                <wp:effectExtent l="0" t="0" r="15240" b="25400"/>
                <wp:wrapNone/>
                <wp:docPr id="25" name="Rectangle: Rounded Corners 25"/>
                <wp:cNvGraphicFramePr/>
                <a:graphic xmlns:a="http://schemas.openxmlformats.org/drawingml/2006/main">
                  <a:graphicData uri="http://schemas.microsoft.com/office/word/2010/wordprocessingShape">
                    <wps:wsp>
                      <wps:cNvSpPr/>
                      <wps:spPr>
                        <a:xfrm>
                          <a:off x="0" y="0"/>
                          <a:ext cx="5528310" cy="812800"/>
                        </a:xfrm>
                        <a:prstGeom prst="roundRect">
                          <a:avLst/>
                        </a:prstGeom>
                        <a:solidFill>
                          <a:srgbClr val="C19859">
                            <a:lumMod val="20000"/>
                            <a:lumOff val="80000"/>
                          </a:srgbClr>
                        </a:solidFill>
                        <a:ln w="12700" cap="flat" cmpd="sng" algn="ctr">
                          <a:solidFill>
                            <a:srgbClr val="C19859"/>
                          </a:solidFill>
                          <a:prstDash val="solid"/>
                          <a:miter lim="800000"/>
                        </a:ln>
                        <a:effectLst/>
                      </wps:spPr>
                      <wps:txbx>
                        <w:txbxContent>
                          <w:p w14:paraId="65193FC7" w14:textId="77777777" w:rsidR="00B3427F" w:rsidRPr="001633E4" w:rsidRDefault="00B3427F" w:rsidP="00A12B00">
                            <w:pPr>
                              <w:jc w:val="center"/>
                              <w:rPr>
                                <w:rFonts w:ascii="Arial" w:hAnsi="Arial" w:cs="Arial"/>
                                <w:b/>
                                <w:bCs/>
                                <w:i/>
                                <w:iCs/>
                                <w:sz w:val="20"/>
                                <w:szCs w:val="20"/>
                              </w:rPr>
                            </w:pPr>
                            <w:r>
                              <w:rPr>
                                <w:rFonts w:ascii="Arial" w:hAnsi="Arial" w:cs="Arial"/>
                                <w:b/>
                                <w:bCs/>
                                <w:i/>
                                <w:iCs/>
                                <w:sz w:val="20"/>
                                <w:szCs w:val="20"/>
                              </w:rPr>
                              <w:t>“The r</w:t>
                            </w:r>
                            <w:r w:rsidRPr="00982A2A">
                              <w:rPr>
                                <w:rFonts w:ascii="Arial" w:hAnsi="Arial" w:cs="Arial"/>
                                <w:b/>
                                <w:bCs/>
                                <w:i/>
                                <w:iCs/>
                                <w:sz w:val="20"/>
                                <w:szCs w:val="20"/>
                              </w:rPr>
                              <w:t>equirement to hold variety of transport licences and licences for differing work activities</w:t>
                            </w:r>
                            <w:r>
                              <w:rPr>
                                <w:rFonts w:ascii="Arial" w:hAnsi="Arial" w:cs="Arial"/>
                                <w:i/>
                                <w:iCs/>
                                <w:sz w:val="20"/>
                                <w:szCs w:val="20"/>
                              </w:rPr>
                              <w:t>,</w:t>
                            </w:r>
                            <w:r w:rsidRPr="003D5F6D">
                              <w:rPr>
                                <w:rFonts w:ascii="Arial" w:hAnsi="Arial" w:cs="Arial"/>
                                <w:i/>
                                <w:iCs/>
                                <w:sz w:val="20"/>
                                <w:szCs w:val="20"/>
                              </w:rPr>
                              <w:t xml:space="preserve"> for example</w:t>
                            </w:r>
                            <w:r>
                              <w:rPr>
                                <w:rFonts w:ascii="Arial" w:hAnsi="Arial" w:cs="Arial"/>
                                <w:i/>
                                <w:iCs/>
                                <w:sz w:val="20"/>
                                <w:szCs w:val="20"/>
                              </w:rPr>
                              <w:t>,</w:t>
                            </w:r>
                            <w:r w:rsidRPr="003D5F6D">
                              <w:rPr>
                                <w:rFonts w:ascii="Arial" w:hAnsi="Arial" w:cs="Arial"/>
                                <w:i/>
                                <w:iCs/>
                                <w:sz w:val="20"/>
                                <w:szCs w:val="20"/>
                              </w:rPr>
                              <w:t xml:space="preserve"> storage and handling and transport</w:t>
                            </w:r>
                            <w:r>
                              <w:rPr>
                                <w:rFonts w:ascii="Arial" w:hAnsi="Arial" w:cs="Arial"/>
                                <w:i/>
                                <w:iCs/>
                                <w:sz w:val="20"/>
                                <w:szCs w:val="20"/>
                              </w:rPr>
                              <w:t xml:space="preserve"> [creates issues when dealing with differing regulatory requirements across jurisdictions]</w:t>
                            </w:r>
                            <w:r w:rsidRPr="003D5F6D">
                              <w:rPr>
                                <w:rFonts w:ascii="Arial" w:hAnsi="Arial" w:cs="Arial"/>
                                <w:i/>
                                <w:iCs/>
                                <w:sz w:val="20"/>
                                <w:szCs w:val="20"/>
                              </w:rPr>
                              <w:t xml:space="preserve">. </w:t>
                            </w:r>
                            <w:r w:rsidRPr="000018E8">
                              <w:rPr>
                                <w:rFonts w:ascii="Arial" w:hAnsi="Arial" w:cs="Arial"/>
                                <w:b/>
                                <w:bCs/>
                                <w:i/>
                                <w:iCs/>
                                <w:sz w:val="20"/>
                                <w:szCs w:val="20"/>
                              </w:rPr>
                              <w:t>Surely one accreditation should be considered.</w:t>
                            </w:r>
                            <w:r>
                              <w:rPr>
                                <w:rFonts w:ascii="Arial" w:hAnsi="Arial" w:cs="Arial"/>
                                <w:i/>
                                <w:iCs/>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77682DB6" id="Rectangle: Rounded Corners 25" o:spid="_x0000_s1038" style="position:absolute;margin-left:0;margin-top:9.65pt;width:435.3pt;height:64pt;z-index:251670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" fillcolor="#f3eade" strokecolor="#c19859" strokeweight="1pt">
                <v:stroke joinstyle="miter"/>
                <v:textbox>
                  <w:txbxContent>
                    <w:p w14:paraId="65193FC7" w14:textId="77777777" w:rsidR="00B3427F" w:rsidRPr="001633E4" w:rsidRDefault="00B3427F" w:rsidP="00A12B00">
                      <w:pPr>
                        <w:jc w:val="center"/>
                        <w:rPr>
                          <w:rFonts w:ascii="Arial" w:hAnsi="Arial" w:cs="Arial"/>
                          <w:b/>
                          <w:bCs/>
                          <w:i/>
                          <w:iCs/>
                          <w:sz w:val="20"/>
                          <w:szCs w:val="20"/>
                        </w:rPr>
                      </w:pPr>
                      <w:r>
                        <w:rPr>
                          <w:rFonts w:ascii="Arial" w:hAnsi="Arial" w:cs="Arial"/>
                          <w:b/>
                          <w:bCs/>
                          <w:i/>
                          <w:iCs/>
                          <w:sz w:val="20"/>
                          <w:szCs w:val="20"/>
                        </w:rPr>
                        <w:t>“The r</w:t>
                      </w:r>
                      <w:r w:rsidRPr="00982A2A">
                        <w:rPr>
                          <w:rFonts w:ascii="Arial" w:hAnsi="Arial" w:cs="Arial"/>
                          <w:b/>
                          <w:bCs/>
                          <w:i/>
                          <w:iCs/>
                          <w:sz w:val="20"/>
                          <w:szCs w:val="20"/>
                        </w:rPr>
                        <w:t>equirement to hold variety of transport licences and licences for differing work activities</w:t>
                      </w:r>
                      <w:r>
                        <w:rPr>
                          <w:rFonts w:ascii="Arial" w:hAnsi="Arial" w:cs="Arial"/>
                          <w:i/>
                          <w:iCs/>
                          <w:sz w:val="20"/>
                          <w:szCs w:val="20"/>
                        </w:rPr>
                        <w:t>,</w:t>
                      </w:r>
                      <w:r w:rsidRPr="003D5F6D">
                        <w:rPr>
                          <w:rFonts w:ascii="Arial" w:hAnsi="Arial" w:cs="Arial"/>
                          <w:i/>
                          <w:iCs/>
                          <w:sz w:val="20"/>
                          <w:szCs w:val="20"/>
                        </w:rPr>
                        <w:t xml:space="preserve"> for example</w:t>
                      </w:r>
                      <w:r>
                        <w:rPr>
                          <w:rFonts w:ascii="Arial" w:hAnsi="Arial" w:cs="Arial"/>
                          <w:i/>
                          <w:iCs/>
                          <w:sz w:val="20"/>
                          <w:szCs w:val="20"/>
                        </w:rPr>
                        <w:t>,</w:t>
                      </w:r>
                      <w:r w:rsidRPr="003D5F6D">
                        <w:rPr>
                          <w:rFonts w:ascii="Arial" w:hAnsi="Arial" w:cs="Arial"/>
                          <w:i/>
                          <w:iCs/>
                          <w:sz w:val="20"/>
                          <w:szCs w:val="20"/>
                        </w:rPr>
                        <w:t xml:space="preserve"> storage and handling and transport</w:t>
                      </w:r>
                      <w:r>
                        <w:rPr>
                          <w:rFonts w:ascii="Arial" w:hAnsi="Arial" w:cs="Arial"/>
                          <w:i/>
                          <w:iCs/>
                          <w:sz w:val="20"/>
                          <w:szCs w:val="20"/>
                        </w:rPr>
                        <w:t xml:space="preserve"> [creates issues when dealing with differing regulatory requirements across jurisdictions]</w:t>
                      </w:r>
                      <w:r w:rsidRPr="003D5F6D">
                        <w:rPr>
                          <w:rFonts w:ascii="Arial" w:hAnsi="Arial" w:cs="Arial"/>
                          <w:i/>
                          <w:iCs/>
                          <w:sz w:val="20"/>
                          <w:szCs w:val="20"/>
                        </w:rPr>
                        <w:t xml:space="preserve">. </w:t>
                      </w:r>
                      <w:r w:rsidRPr="000018E8">
                        <w:rPr>
                          <w:rFonts w:ascii="Arial" w:hAnsi="Arial" w:cs="Arial"/>
                          <w:b/>
                          <w:bCs/>
                          <w:i/>
                          <w:iCs/>
                          <w:sz w:val="20"/>
                          <w:szCs w:val="20"/>
                        </w:rPr>
                        <w:t>Surely one accreditation should be considered.</w:t>
                      </w:r>
                      <w:r>
                        <w:rPr>
                          <w:rFonts w:ascii="Arial" w:hAnsi="Arial" w:cs="Arial"/>
                          <w:i/>
                          <w:iCs/>
                          <w:sz w:val="20"/>
                          <w:szCs w:val="20"/>
                        </w:rPr>
                        <w:t>”</w:t>
                      </w:r>
                    </w:p>
                  </w:txbxContent>
                </v:textbox>
                <w10:wrap anchorx="margin"/>
              </v:roundrect>
            </w:pict>
          </mc:Fallback>
        </mc:AlternateContent>
      </w:r>
    </w:p>
    <w:p w14:paraId="7C011C7F" w14:textId="77777777" w:rsidR="00A12B00" w:rsidRPr="00A12B00" w:rsidRDefault="00A12B00" w:rsidP="00A12B00">
      <w:pPr>
        <w:spacing w:after="0"/>
        <w:rPr>
          <w:rFonts w:ascii="Arial" w:eastAsia="Calibri" w:hAnsi="Arial" w:cs="Arial"/>
          <w:color w:val="997339"/>
        </w:rPr>
      </w:pPr>
    </w:p>
    <w:p w14:paraId="51AF3E4E" w14:textId="77777777" w:rsidR="00A12B00" w:rsidRPr="00A12B00" w:rsidRDefault="00A12B00" w:rsidP="00A12B00">
      <w:pPr>
        <w:spacing w:after="0"/>
        <w:rPr>
          <w:rFonts w:ascii="Arial" w:eastAsia="Calibri" w:hAnsi="Arial" w:cs="Arial"/>
          <w:color w:val="997339"/>
        </w:rPr>
      </w:pPr>
    </w:p>
    <w:p w14:paraId="4AF60E14" w14:textId="77777777" w:rsidR="00A12B00" w:rsidRPr="00A12B00" w:rsidRDefault="00A12B00" w:rsidP="00A12B00">
      <w:pPr>
        <w:spacing w:after="0"/>
        <w:rPr>
          <w:rFonts w:ascii="Arial" w:eastAsia="Calibri" w:hAnsi="Arial" w:cs="Arial"/>
          <w:color w:val="997339"/>
        </w:rPr>
      </w:pPr>
    </w:p>
    <w:p w14:paraId="5C86E3A4" w14:textId="77777777" w:rsidR="00A12B00" w:rsidRPr="00A12B00" w:rsidRDefault="00A12B00" w:rsidP="00A12B00">
      <w:pPr>
        <w:spacing w:after="0"/>
        <w:rPr>
          <w:rFonts w:ascii="Arial" w:eastAsia="Calibri" w:hAnsi="Arial" w:cs="Arial"/>
          <w:color w:val="997339"/>
        </w:rPr>
      </w:pPr>
    </w:p>
    <w:p w14:paraId="2FEADF7A" w14:textId="4D04E8B8" w:rsidR="001C2288" w:rsidRDefault="001C2288" w:rsidP="00A12B00">
      <w:pPr>
        <w:spacing w:after="0"/>
        <w:rPr>
          <w:rFonts w:ascii="Arial" w:eastAsia="Calibri" w:hAnsi="Arial" w:cs="Arial"/>
          <w:color w:val="997339"/>
        </w:rPr>
      </w:pPr>
    </w:p>
    <w:p w14:paraId="5060AEC3" w14:textId="77777777" w:rsidR="00B501D1" w:rsidRDefault="00B501D1" w:rsidP="00A12B00">
      <w:pPr>
        <w:spacing w:after="0"/>
        <w:rPr>
          <w:rFonts w:ascii="Arial" w:eastAsia="Calibri" w:hAnsi="Arial" w:cs="Arial"/>
          <w:color w:val="997339"/>
        </w:rPr>
      </w:pPr>
    </w:p>
    <w:p w14:paraId="3DD7E445" w14:textId="7B12EFDC" w:rsidR="00A12B00" w:rsidRPr="00A12B00" w:rsidRDefault="00A12B00" w:rsidP="00A12B00">
      <w:pPr>
        <w:spacing w:after="0"/>
        <w:rPr>
          <w:rFonts w:ascii="Arial" w:eastAsia="Calibri" w:hAnsi="Arial" w:cs="Arial"/>
          <w:color w:val="997339"/>
        </w:rPr>
      </w:pPr>
      <w:r w:rsidRPr="00A12B00">
        <w:rPr>
          <w:rFonts w:ascii="Arial" w:eastAsia="Calibri" w:hAnsi="Arial" w:cs="Arial"/>
          <w:color w:val="997339"/>
        </w:rPr>
        <w:t xml:space="preserve">1.3.3 </w:t>
      </w:r>
      <w:r w:rsidR="00511C2E">
        <w:rPr>
          <w:rFonts w:ascii="Arial" w:eastAsia="Calibri" w:hAnsi="Arial" w:cs="Arial"/>
          <w:color w:val="997339"/>
        </w:rPr>
        <w:t>Conduct Rules</w:t>
      </w:r>
    </w:p>
    <w:p w14:paraId="1E5CEECE" w14:textId="7B1B4771" w:rsidR="00A12B00" w:rsidRPr="00A12B00" w:rsidRDefault="00A12B00" w:rsidP="00A12B00">
      <w:pPr>
        <w:spacing w:line="240" w:lineRule="auto"/>
        <w:rPr>
          <w:rFonts w:ascii="Arial" w:eastAsia="Calibri" w:hAnsi="Arial" w:cs="Arial"/>
        </w:rPr>
      </w:pPr>
      <w:r w:rsidRPr="00A12B00">
        <w:rPr>
          <w:rFonts w:ascii="Arial" w:eastAsia="Calibri" w:hAnsi="Arial" w:cs="Arial"/>
        </w:rPr>
        <w:t xml:space="preserve">Each Australian </w:t>
      </w:r>
      <w:r w:rsidR="00CB0533">
        <w:rPr>
          <w:rFonts w:ascii="Arial" w:eastAsia="Calibri" w:hAnsi="Arial" w:cs="Arial"/>
        </w:rPr>
        <w:t>S</w:t>
      </w:r>
      <w:r w:rsidRPr="00A12B00">
        <w:rPr>
          <w:rFonts w:ascii="Arial" w:eastAsia="Calibri" w:hAnsi="Arial" w:cs="Arial"/>
        </w:rPr>
        <w:t xml:space="preserve">tate and </w:t>
      </w:r>
      <w:r w:rsidR="00CB0533">
        <w:rPr>
          <w:rFonts w:ascii="Arial" w:eastAsia="Calibri" w:hAnsi="Arial" w:cs="Arial"/>
        </w:rPr>
        <w:t>T</w:t>
      </w:r>
      <w:r w:rsidRPr="00A12B00">
        <w:rPr>
          <w:rFonts w:ascii="Arial" w:eastAsia="Calibri" w:hAnsi="Arial" w:cs="Arial"/>
        </w:rPr>
        <w:t xml:space="preserve">erritory have developed and implemented their own distinct rules, offences and penalties for individuals who interact with explosives which, although intended to capture primarily industrial and commercial explosives, in some circumstances inadvertently capture Commonwealth entities and activities as described above. These rules vary considerably in severity between jurisdictions. </w:t>
      </w:r>
    </w:p>
    <w:p w14:paraId="6E42101A" w14:textId="6CB6F306" w:rsidR="00A12B00" w:rsidRPr="00A12B00" w:rsidRDefault="00A12B00" w:rsidP="00A12B00">
      <w:pPr>
        <w:spacing w:line="240" w:lineRule="auto"/>
        <w:rPr>
          <w:rFonts w:ascii="Arial" w:eastAsia="Calibri" w:hAnsi="Arial" w:cs="Arial"/>
        </w:rPr>
      </w:pPr>
      <w:r w:rsidRPr="00A12B00">
        <w:rPr>
          <w:rFonts w:ascii="Arial" w:eastAsia="Calibri" w:hAnsi="Arial" w:cs="Arial"/>
        </w:rPr>
        <w:t xml:space="preserve">This inconsistency requires Commonwealth contractors, when involved in multi-jurisdictional operations, to be aware of and comply with all relevant rules. It also undermines the development of nationally consistent, comprehensive safety and security standards, which, as previously noted, is imperative for facilitating the multi-jurisdictional and often time sensitive nature of Commonwealth explosives activities. </w:t>
      </w:r>
    </w:p>
    <w:p w14:paraId="7770A948" w14:textId="3C051ED0" w:rsidR="00A12B00" w:rsidRPr="00A12B00" w:rsidRDefault="008B7D8C" w:rsidP="00A12B00">
      <w:pPr>
        <w:spacing w:line="240" w:lineRule="auto"/>
        <w:rPr>
          <w:rFonts w:ascii="Arial" w:eastAsia="Calibri" w:hAnsi="Arial" w:cs="Arial"/>
        </w:rPr>
      </w:pPr>
      <w:r w:rsidRPr="00A12B00">
        <w:rPr>
          <w:rFonts w:ascii="Arial" w:eastAsia="Calibri" w:hAnsi="Arial" w:cs="Arial"/>
          <w:noProof/>
          <w:lang w:eastAsia="en-AU"/>
        </w:rPr>
        <mc:AlternateContent>
          <mc:Choice Requires="wps">
            <w:drawing>
              <wp:anchor distT="0" distB="0" distL="114300" distR="114300" simplePos="0" relativeHeight="251672576" behindDoc="0" locked="0" layoutInCell="1" allowOverlap="1" wp14:anchorId="5A4F9E7F" wp14:editId="13150AD9">
                <wp:simplePos x="0" y="0"/>
                <wp:positionH relativeFrom="margin">
                  <wp:posOffset>0</wp:posOffset>
                </wp:positionH>
                <wp:positionV relativeFrom="paragraph">
                  <wp:posOffset>173778</wp:posOffset>
                </wp:positionV>
                <wp:extent cx="5528310" cy="812800"/>
                <wp:effectExtent l="0" t="0" r="15240" b="25400"/>
                <wp:wrapNone/>
                <wp:docPr id="27" name="Rectangle: Rounded Corners 27"/>
                <wp:cNvGraphicFramePr/>
                <a:graphic xmlns:a="http://schemas.openxmlformats.org/drawingml/2006/main">
                  <a:graphicData uri="http://schemas.microsoft.com/office/word/2010/wordprocessingShape">
                    <wps:wsp>
                      <wps:cNvSpPr/>
                      <wps:spPr>
                        <a:xfrm>
                          <a:off x="0" y="0"/>
                          <a:ext cx="5528310" cy="812800"/>
                        </a:xfrm>
                        <a:prstGeom prst="roundRect">
                          <a:avLst/>
                        </a:prstGeom>
                        <a:solidFill>
                          <a:srgbClr val="C19859">
                            <a:lumMod val="20000"/>
                            <a:lumOff val="80000"/>
                          </a:srgbClr>
                        </a:solidFill>
                        <a:ln w="12700" cap="flat" cmpd="sng" algn="ctr">
                          <a:solidFill>
                            <a:srgbClr val="C19859"/>
                          </a:solidFill>
                          <a:prstDash val="solid"/>
                          <a:miter lim="800000"/>
                        </a:ln>
                        <a:effectLst/>
                      </wps:spPr>
                      <wps:txbx>
                        <w:txbxContent>
                          <w:p w14:paraId="591027BD" w14:textId="77777777" w:rsidR="00B3427F" w:rsidRPr="00CA5D7E" w:rsidRDefault="00B3427F" w:rsidP="00A12B00">
                            <w:pPr>
                              <w:jc w:val="center"/>
                              <w:rPr>
                                <w:rFonts w:ascii="Arial" w:hAnsi="Arial" w:cs="Arial"/>
                                <w:i/>
                                <w:iCs/>
                                <w:sz w:val="20"/>
                                <w:szCs w:val="20"/>
                              </w:rPr>
                            </w:pPr>
                            <w:r>
                              <w:rPr>
                                <w:rFonts w:ascii="Arial" w:hAnsi="Arial" w:cs="Arial"/>
                                <w:i/>
                                <w:iCs/>
                                <w:sz w:val="20"/>
                                <w:szCs w:val="20"/>
                              </w:rPr>
                              <w:t>“</w:t>
                            </w:r>
                            <w:r w:rsidRPr="00CA5D7E">
                              <w:rPr>
                                <w:rFonts w:ascii="Arial" w:hAnsi="Arial" w:cs="Arial"/>
                                <w:i/>
                                <w:iCs/>
                                <w:sz w:val="20"/>
                                <w:szCs w:val="20"/>
                              </w:rPr>
                              <w:t>[The current regime creates] confusion between industry and regulators about</w:t>
                            </w:r>
                            <w:r w:rsidRPr="00CA5D7E">
                              <w:rPr>
                                <w:rFonts w:ascii="Arial" w:hAnsi="Arial" w:cs="Arial"/>
                                <w:b/>
                                <w:bCs/>
                                <w:i/>
                                <w:iCs/>
                                <w:sz w:val="20"/>
                                <w:szCs w:val="20"/>
                              </w:rPr>
                              <w:t xml:space="preserve"> where the current Commonwealth legislation stops, and the states' legislation starts. </w:t>
                            </w:r>
                            <w:r w:rsidRPr="00CA5D7E">
                              <w:rPr>
                                <w:rFonts w:ascii="Arial" w:hAnsi="Arial" w:cs="Arial"/>
                                <w:i/>
                                <w:iCs/>
                                <w:sz w:val="20"/>
                                <w:szCs w:val="20"/>
                              </w:rPr>
                              <w:t>Blurring of the lines of what is under the control of Defence when they contract out activities to non-government organisations.</w:t>
                            </w:r>
                            <w:r>
                              <w:rPr>
                                <w:rFonts w:ascii="Arial" w:hAnsi="Arial" w:cs="Arial"/>
                                <w:i/>
                                <w:iCs/>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5A4F9E7F" id="Rectangle: Rounded Corners 27" o:spid="_x0000_s1039" style="position:absolute;margin-left:0;margin-top:13.7pt;width:435.3pt;height:64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" fillcolor="#f3eade" strokecolor="#c19859" strokeweight="1pt">
                <v:stroke joinstyle="miter"/>
                <v:textbox>
                  <w:txbxContent>
                    <w:p w14:paraId="591027BD" w14:textId="77777777" w:rsidR="00B3427F" w:rsidRPr="00CA5D7E" w:rsidRDefault="00B3427F" w:rsidP="00A12B00">
                      <w:pPr>
                        <w:jc w:val="center"/>
                        <w:rPr>
                          <w:rFonts w:ascii="Arial" w:hAnsi="Arial" w:cs="Arial"/>
                          <w:i/>
                          <w:iCs/>
                          <w:sz w:val="20"/>
                          <w:szCs w:val="20"/>
                        </w:rPr>
                      </w:pPr>
                      <w:r>
                        <w:rPr>
                          <w:rFonts w:ascii="Arial" w:hAnsi="Arial" w:cs="Arial"/>
                          <w:i/>
                          <w:iCs/>
                          <w:sz w:val="20"/>
                          <w:szCs w:val="20"/>
                        </w:rPr>
                        <w:t>“</w:t>
                      </w:r>
                      <w:r w:rsidRPr="00CA5D7E">
                        <w:rPr>
                          <w:rFonts w:ascii="Arial" w:hAnsi="Arial" w:cs="Arial"/>
                          <w:i/>
                          <w:iCs/>
                          <w:sz w:val="20"/>
                          <w:szCs w:val="20"/>
                        </w:rPr>
                        <w:t>[The current regime creates] confusion between industry and regulators about</w:t>
                      </w:r>
                      <w:r w:rsidRPr="00CA5D7E">
                        <w:rPr>
                          <w:rFonts w:ascii="Arial" w:hAnsi="Arial" w:cs="Arial"/>
                          <w:b/>
                          <w:bCs/>
                          <w:i/>
                          <w:iCs/>
                          <w:sz w:val="20"/>
                          <w:szCs w:val="20"/>
                        </w:rPr>
                        <w:t xml:space="preserve"> where the current Commonwealth legislation stops, and the states' legislation starts. </w:t>
                      </w:r>
                      <w:r w:rsidRPr="00CA5D7E">
                        <w:rPr>
                          <w:rFonts w:ascii="Arial" w:hAnsi="Arial" w:cs="Arial"/>
                          <w:i/>
                          <w:iCs/>
                          <w:sz w:val="20"/>
                          <w:szCs w:val="20"/>
                        </w:rPr>
                        <w:t>Blurring of the lines of what is under the control of Defence when they contract out activities to non-government organisations.</w:t>
                      </w:r>
                      <w:r>
                        <w:rPr>
                          <w:rFonts w:ascii="Arial" w:hAnsi="Arial" w:cs="Arial"/>
                          <w:i/>
                          <w:iCs/>
                          <w:sz w:val="20"/>
                          <w:szCs w:val="20"/>
                        </w:rPr>
                        <w:t>”</w:t>
                      </w:r>
                    </w:p>
                  </w:txbxContent>
                </v:textbox>
                <w10:wrap anchorx="margin"/>
              </v:roundrect>
            </w:pict>
          </mc:Fallback>
        </mc:AlternateContent>
      </w:r>
      <w:r w:rsidRPr="00A12B00">
        <w:rPr>
          <w:rFonts w:ascii="Calibri" w:eastAsia="Calibri" w:hAnsi="Calibri" w:cs="Times New Roman"/>
          <w:noProof/>
          <w:lang w:eastAsia="en-AU"/>
        </w:rPr>
        <mc:AlternateContent>
          <mc:Choice Requires="wps">
            <w:drawing>
              <wp:anchor distT="0" distB="0" distL="114300" distR="114300" simplePos="0" relativeHeight="251673600" behindDoc="0" locked="0" layoutInCell="1" allowOverlap="1" wp14:anchorId="2F0EEAF4" wp14:editId="78F8B52D">
                <wp:simplePos x="0" y="0"/>
                <wp:positionH relativeFrom="margin">
                  <wp:align>left</wp:align>
                </wp:positionH>
                <wp:positionV relativeFrom="paragraph">
                  <wp:posOffset>8255</wp:posOffset>
                </wp:positionV>
                <wp:extent cx="5528310" cy="135467"/>
                <wp:effectExtent l="0" t="0" r="0" b="0"/>
                <wp:wrapNone/>
                <wp:docPr id="28" name="Text Box 28"/>
                <wp:cNvGraphicFramePr/>
                <a:graphic xmlns:a="http://schemas.openxmlformats.org/drawingml/2006/main">
                  <a:graphicData uri="http://schemas.microsoft.com/office/word/2010/wordprocessingShape">
                    <wps:wsp>
                      <wps:cNvSpPr txBox="1"/>
                      <wps:spPr>
                        <a:xfrm>
                          <a:off x="0" y="0"/>
                          <a:ext cx="5528310" cy="135467"/>
                        </a:xfrm>
                        <a:prstGeom prst="rect">
                          <a:avLst/>
                        </a:prstGeom>
                        <a:solidFill>
                          <a:prstClr val="white"/>
                        </a:solidFill>
                        <a:ln>
                          <a:noFill/>
                        </a:ln>
                      </wps:spPr>
                      <wps:txbx>
                        <w:txbxContent>
                          <w:p w14:paraId="14B0AE01" w14:textId="6E2296DA" w:rsidR="00B3427F" w:rsidRPr="001B352F" w:rsidRDefault="00B3427F" w:rsidP="00A12B00">
                            <w:pPr>
                              <w:pStyle w:val="Caption1"/>
                              <w:rPr>
                                <w:rFonts w:ascii="Arial" w:hAnsi="Arial" w:cs="Arial"/>
                                <w:noProof/>
                                <w:color w:val="auto"/>
                                <w:sz w:val="16"/>
                                <w:szCs w:val="16"/>
                              </w:rPr>
                            </w:pPr>
                            <w:bookmarkStart w:id="24" w:name="_Toc90385836"/>
                            <w:r w:rsidRPr="001B352F">
                              <w:rPr>
                                <w:rFonts w:ascii="Arial" w:hAnsi="Arial" w:cs="Arial"/>
                                <w:b/>
                                <w:bCs/>
                                <w:color w:val="auto"/>
                                <w:sz w:val="16"/>
                                <w:szCs w:val="16"/>
                              </w:rPr>
                              <w:t xml:space="preserve">Figure </w:t>
                            </w:r>
                            <w:r>
                              <w:rPr>
                                <w:rFonts w:ascii="Arial" w:hAnsi="Arial" w:cs="Arial"/>
                                <w:b/>
                                <w:bCs/>
                                <w:color w:val="auto"/>
                                <w:sz w:val="16"/>
                                <w:szCs w:val="16"/>
                              </w:rPr>
                              <w:fldChar w:fldCharType="begin"/>
                            </w:r>
                            <w:r>
                              <w:rPr>
                                <w:rFonts w:ascii="Arial" w:hAnsi="Arial" w:cs="Arial"/>
                                <w:b/>
                                <w:bCs/>
                                <w:color w:val="auto"/>
                                <w:sz w:val="16"/>
                                <w:szCs w:val="16"/>
                              </w:rPr>
                              <w:instrText xml:space="preserve"> SEQ Figure \* ARABIC </w:instrText>
                            </w:r>
                            <w:r>
                              <w:rPr>
                                <w:rFonts w:ascii="Arial" w:hAnsi="Arial" w:cs="Arial"/>
                                <w:b/>
                                <w:bCs/>
                                <w:color w:val="auto"/>
                                <w:sz w:val="16"/>
                                <w:szCs w:val="16"/>
                              </w:rPr>
                              <w:fldChar w:fldCharType="separate"/>
                            </w:r>
                            <w:r>
                              <w:rPr>
                                <w:rFonts w:ascii="Arial" w:hAnsi="Arial" w:cs="Arial"/>
                                <w:b/>
                                <w:bCs/>
                                <w:noProof/>
                                <w:color w:val="auto"/>
                                <w:sz w:val="16"/>
                                <w:szCs w:val="16"/>
                              </w:rPr>
                              <w:t>9</w:t>
                            </w:r>
                            <w:r>
                              <w:rPr>
                                <w:rFonts w:ascii="Arial" w:hAnsi="Arial" w:cs="Arial"/>
                                <w:b/>
                                <w:bCs/>
                                <w:color w:val="auto"/>
                                <w:sz w:val="16"/>
                                <w:szCs w:val="16"/>
                              </w:rPr>
                              <w:fldChar w:fldCharType="end"/>
                            </w:r>
                            <w:r w:rsidRPr="001B352F">
                              <w:rPr>
                                <w:rFonts w:ascii="Arial" w:hAnsi="Arial" w:cs="Arial"/>
                                <w:b/>
                                <w:bCs/>
                                <w:color w:val="auto"/>
                                <w:sz w:val="16"/>
                                <w:szCs w:val="16"/>
                              </w:rPr>
                              <w:t>:</w:t>
                            </w:r>
                            <w:r w:rsidRPr="001B352F">
                              <w:rPr>
                                <w:rFonts w:ascii="Arial" w:hAnsi="Arial" w:cs="Arial"/>
                                <w:color w:val="auto"/>
                                <w:sz w:val="16"/>
                                <w:szCs w:val="16"/>
                              </w:rPr>
                              <w:t xml:space="preserve"> Consultation Insights</w:t>
                            </w:r>
                            <w:bookmarkEnd w:id="2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F0EEAF4" id="Text Box 28" o:spid="_x0000_s1040" type="#_x0000_t202" style="position:absolute;margin-left:0;margin-top:.65pt;width:435.3pt;height:10.65pt;z-index:2516736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" stroked="f">
                <v:textbox inset="0,0,0,0">
                  <w:txbxContent>
                    <w:p w14:paraId="14B0AE01" w14:textId="6E2296DA" w:rsidR="00B3427F" w:rsidRPr="001B352F" w:rsidRDefault="00B3427F" w:rsidP="00A12B00">
                      <w:pPr>
                        <w:pStyle w:val="Caption1"/>
                        <w:rPr>
                          <w:rFonts w:ascii="Arial" w:hAnsi="Arial" w:cs="Arial"/>
                          <w:noProof/>
                          <w:color w:val="auto"/>
                          <w:sz w:val="16"/>
                          <w:szCs w:val="16"/>
                        </w:rPr>
                      </w:pPr>
                      <w:bookmarkStart w:id="82" w:name="_Toc90385836"/>
                      <w:r w:rsidRPr="001B352F">
                        <w:rPr>
                          <w:rFonts w:ascii="Arial" w:hAnsi="Arial" w:cs="Arial"/>
                          <w:b/>
                          <w:bCs/>
                          <w:color w:val="auto"/>
                          <w:sz w:val="16"/>
                          <w:szCs w:val="16"/>
                        </w:rPr>
                        <w:t xml:space="preserve">Figure </w:t>
                      </w:r>
                      <w:r>
                        <w:rPr>
                          <w:rFonts w:ascii="Arial" w:hAnsi="Arial" w:cs="Arial"/>
                          <w:b/>
                          <w:bCs/>
                          <w:color w:val="auto"/>
                          <w:sz w:val="16"/>
                          <w:szCs w:val="16"/>
                        </w:rPr>
                        <w:fldChar w:fldCharType="begin"/>
                      </w:r>
                      <w:r>
                        <w:rPr>
                          <w:rFonts w:ascii="Arial" w:hAnsi="Arial" w:cs="Arial"/>
                          <w:b/>
                          <w:bCs/>
                          <w:color w:val="auto"/>
                          <w:sz w:val="16"/>
                          <w:szCs w:val="16"/>
                        </w:rPr>
                        <w:instrText xml:space="preserve"> SEQ Figure \* ARABIC </w:instrText>
                      </w:r>
                      <w:r>
                        <w:rPr>
                          <w:rFonts w:ascii="Arial" w:hAnsi="Arial" w:cs="Arial"/>
                          <w:b/>
                          <w:bCs/>
                          <w:color w:val="auto"/>
                          <w:sz w:val="16"/>
                          <w:szCs w:val="16"/>
                        </w:rPr>
                        <w:fldChar w:fldCharType="separate"/>
                      </w:r>
                      <w:r>
                        <w:rPr>
                          <w:rFonts w:ascii="Arial" w:hAnsi="Arial" w:cs="Arial"/>
                          <w:b/>
                          <w:bCs/>
                          <w:noProof/>
                          <w:color w:val="auto"/>
                          <w:sz w:val="16"/>
                          <w:szCs w:val="16"/>
                        </w:rPr>
                        <w:t>9</w:t>
                      </w:r>
                      <w:r>
                        <w:rPr>
                          <w:rFonts w:ascii="Arial" w:hAnsi="Arial" w:cs="Arial"/>
                          <w:b/>
                          <w:bCs/>
                          <w:color w:val="auto"/>
                          <w:sz w:val="16"/>
                          <w:szCs w:val="16"/>
                        </w:rPr>
                        <w:fldChar w:fldCharType="end"/>
                      </w:r>
                      <w:r w:rsidRPr="001B352F">
                        <w:rPr>
                          <w:rFonts w:ascii="Arial" w:hAnsi="Arial" w:cs="Arial"/>
                          <w:b/>
                          <w:bCs/>
                          <w:color w:val="auto"/>
                          <w:sz w:val="16"/>
                          <w:szCs w:val="16"/>
                        </w:rPr>
                        <w:t>:</w:t>
                      </w:r>
                      <w:r w:rsidRPr="001B352F">
                        <w:rPr>
                          <w:rFonts w:ascii="Arial" w:hAnsi="Arial" w:cs="Arial"/>
                          <w:color w:val="auto"/>
                          <w:sz w:val="16"/>
                          <w:szCs w:val="16"/>
                        </w:rPr>
                        <w:t xml:space="preserve"> Consultation Insights</w:t>
                      </w:r>
                      <w:bookmarkEnd w:id="82"/>
                    </w:p>
                  </w:txbxContent>
                </v:textbox>
                <w10:wrap anchorx="margin"/>
              </v:shape>
            </w:pict>
          </mc:Fallback>
        </mc:AlternateContent>
      </w:r>
    </w:p>
    <w:p w14:paraId="381B2877" w14:textId="78A3B935" w:rsidR="00A12B00" w:rsidRPr="00A12B00" w:rsidRDefault="00A12B00" w:rsidP="00A12B00">
      <w:pPr>
        <w:spacing w:line="240" w:lineRule="auto"/>
        <w:rPr>
          <w:rFonts w:ascii="Arial" w:eastAsia="Calibri" w:hAnsi="Arial" w:cs="Arial"/>
        </w:rPr>
      </w:pPr>
    </w:p>
    <w:p w14:paraId="04EC3A12" w14:textId="54C4303B" w:rsidR="00A12B00" w:rsidRPr="00A12B00" w:rsidRDefault="00A12B00" w:rsidP="00A12B00">
      <w:pPr>
        <w:spacing w:line="240" w:lineRule="auto"/>
        <w:rPr>
          <w:rFonts w:ascii="Arial" w:eastAsia="Calibri" w:hAnsi="Arial" w:cs="Arial"/>
          <w:i/>
          <w:iCs/>
          <w:color w:val="9F2936"/>
        </w:rPr>
      </w:pPr>
    </w:p>
    <w:p w14:paraId="43629FA2" w14:textId="5D00D3B6" w:rsidR="00A12B00" w:rsidRDefault="00A12B00" w:rsidP="00A12B00">
      <w:pPr>
        <w:spacing w:after="0"/>
        <w:rPr>
          <w:rFonts w:ascii="Arial" w:eastAsia="Calibri" w:hAnsi="Arial" w:cs="Arial"/>
          <w:color w:val="997339"/>
        </w:rPr>
      </w:pPr>
    </w:p>
    <w:p w14:paraId="03C6DECA" w14:textId="77777777" w:rsidR="00000726" w:rsidRPr="00A12B00" w:rsidRDefault="00000726" w:rsidP="00A12B00">
      <w:pPr>
        <w:spacing w:after="0"/>
        <w:rPr>
          <w:rFonts w:ascii="Arial" w:eastAsia="Calibri" w:hAnsi="Arial" w:cs="Arial"/>
          <w:color w:val="997339"/>
        </w:rPr>
      </w:pPr>
    </w:p>
    <w:p w14:paraId="3992E723" w14:textId="0FB8C2C8" w:rsidR="00A12B00" w:rsidRPr="00A12B00" w:rsidRDefault="00A12B00" w:rsidP="00A12B00">
      <w:pPr>
        <w:spacing w:after="0"/>
        <w:rPr>
          <w:rFonts w:ascii="Arial" w:eastAsia="Calibri" w:hAnsi="Arial" w:cs="Arial"/>
          <w:color w:val="997339"/>
        </w:rPr>
      </w:pPr>
      <w:r w:rsidRPr="00A12B00">
        <w:rPr>
          <w:rFonts w:ascii="Arial" w:eastAsia="Calibri" w:hAnsi="Arial" w:cs="Arial"/>
          <w:color w:val="997339"/>
        </w:rPr>
        <w:t xml:space="preserve">1.3.4 Notification </w:t>
      </w:r>
      <w:r w:rsidR="00511C2E">
        <w:rPr>
          <w:rFonts w:ascii="Arial" w:eastAsia="Calibri" w:hAnsi="Arial" w:cs="Arial"/>
          <w:color w:val="997339"/>
        </w:rPr>
        <w:t>R</w:t>
      </w:r>
      <w:r w:rsidRPr="00A12B00">
        <w:rPr>
          <w:rFonts w:ascii="Arial" w:eastAsia="Calibri" w:hAnsi="Arial" w:cs="Arial"/>
          <w:color w:val="997339"/>
        </w:rPr>
        <w:t xml:space="preserve">equirements </w:t>
      </w:r>
    </w:p>
    <w:p w14:paraId="53BA0906" w14:textId="5429DB6C" w:rsidR="00A12B00" w:rsidRPr="00A12B00" w:rsidRDefault="00A12B00" w:rsidP="00A12B00">
      <w:pPr>
        <w:spacing w:line="240" w:lineRule="auto"/>
        <w:rPr>
          <w:rFonts w:ascii="Arial" w:eastAsia="Calibri" w:hAnsi="Arial" w:cs="Arial"/>
        </w:rPr>
      </w:pPr>
      <w:r w:rsidRPr="00A12B00">
        <w:rPr>
          <w:rFonts w:ascii="Arial" w:eastAsia="Calibri" w:hAnsi="Arial" w:cs="Arial"/>
        </w:rPr>
        <w:t xml:space="preserve">The explosives laws of each state and territory each require notice of the importation of explosives to be given to the relevant authority responsible for the regulation of explosives. However, the timeframe, format and other requirements for notice differs in each jurisdiction. These variances: </w:t>
      </w:r>
    </w:p>
    <w:p w14:paraId="22F906D2" w14:textId="584DD8E7" w:rsidR="00A12B00" w:rsidRPr="00A12B00" w:rsidRDefault="00A12B00" w:rsidP="002176AF">
      <w:pPr>
        <w:numPr>
          <w:ilvl w:val="0"/>
          <w:numId w:val="10"/>
        </w:numPr>
        <w:spacing w:line="240" w:lineRule="auto"/>
        <w:contextualSpacing/>
        <w:rPr>
          <w:rFonts w:ascii="Arial" w:eastAsia="Calibri" w:hAnsi="Arial" w:cs="Arial"/>
        </w:rPr>
      </w:pPr>
      <w:r w:rsidRPr="00A12B00">
        <w:rPr>
          <w:rFonts w:ascii="Arial" w:eastAsia="Calibri" w:hAnsi="Arial" w:cs="Arial"/>
        </w:rPr>
        <w:t>Impede the development and implementation of a nationally consistent approach to explosives activities;</w:t>
      </w:r>
    </w:p>
    <w:p w14:paraId="46875F62" w14:textId="0DBBA538" w:rsidR="00A12B00" w:rsidRPr="00A12B00" w:rsidRDefault="00A12B00" w:rsidP="002176AF">
      <w:pPr>
        <w:numPr>
          <w:ilvl w:val="0"/>
          <w:numId w:val="6"/>
        </w:numPr>
        <w:contextualSpacing/>
        <w:rPr>
          <w:rFonts w:ascii="Arial" w:eastAsia="Calibri" w:hAnsi="Arial" w:cs="Arial"/>
        </w:rPr>
      </w:pPr>
      <w:r w:rsidRPr="00A12B00">
        <w:rPr>
          <w:rFonts w:ascii="Arial" w:eastAsia="Calibri" w:hAnsi="Arial" w:cs="Arial"/>
        </w:rPr>
        <w:t xml:space="preserve">Affect the fulfilment of the operational requirements of the Commonwealth and </w:t>
      </w:r>
      <w:r w:rsidR="00AB4CE0">
        <w:rPr>
          <w:rFonts w:ascii="Arial" w:eastAsia="Calibri" w:hAnsi="Arial" w:cs="Arial"/>
        </w:rPr>
        <w:t>foreign government officials</w:t>
      </w:r>
      <w:r w:rsidRPr="00A12B00">
        <w:rPr>
          <w:rFonts w:ascii="Arial" w:eastAsia="Calibri" w:hAnsi="Arial" w:cs="Arial"/>
        </w:rPr>
        <w:t xml:space="preserve"> in Australia; and </w:t>
      </w:r>
    </w:p>
    <w:p w14:paraId="52631C2D" w14:textId="6C854CFB" w:rsidR="00A12B00" w:rsidRPr="00A12B00" w:rsidRDefault="00A12B00" w:rsidP="002176AF">
      <w:pPr>
        <w:numPr>
          <w:ilvl w:val="0"/>
          <w:numId w:val="6"/>
        </w:numPr>
        <w:ind w:left="357" w:hanging="357"/>
        <w:rPr>
          <w:rFonts w:ascii="Arial" w:eastAsia="Calibri" w:hAnsi="Arial" w:cs="Arial"/>
        </w:rPr>
      </w:pPr>
      <w:r w:rsidRPr="00A12B00">
        <w:rPr>
          <w:rFonts w:ascii="Arial" w:eastAsia="Calibri" w:hAnsi="Arial" w:cs="Arial"/>
        </w:rPr>
        <w:t>Increase the resourced required to ensure compliance with differences in regimes, which might otherwise be allocated to ensure the safety and security of explosives.</w:t>
      </w:r>
    </w:p>
    <w:p w14:paraId="3F3CC191" w14:textId="23A51037" w:rsidR="00A12B00" w:rsidRPr="00A12B00" w:rsidRDefault="00A12B00" w:rsidP="00A12B00">
      <w:pPr>
        <w:spacing w:after="0"/>
        <w:rPr>
          <w:rFonts w:ascii="Arial" w:eastAsia="Calibri" w:hAnsi="Arial" w:cs="Arial"/>
          <w:color w:val="997339"/>
        </w:rPr>
      </w:pPr>
      <w:r w:rsidRPr="00A12B00">
        <w:rPr>
          <w:rFonts w:ascii="Arial" w:eastAsia="Calibri" w:hAnsi="Arial" w:cs="Arial"/>
          <w:color w:val="997339"/>
        </w:rPr>
        <w:lastRenderedPageBreak/>
        <w:t xml:space="preserve">1.3.5 Application of </w:t>
      </w:r>
      <w:r w:rsidR="00511C2E">
        <w:rPr>
          <w:rFonts w:ascii="Arial" w:eastAsia="Calibri" w:hAnsi="Arial" w:cs="Arial"/>
          <w:color w:val="997339"/>
        </w:rPr>
        <w:t>S</w:t>
      </w:r>
      <w:r w:rsidRPr="00A12B00">
        <w:rPr>
          <w:rFonts w:ascii="Arial" w:eastAsia="Calibri" w:hAnsi="Arial" w:cs="Arial"/>
          <w:color w:val="997339"/>
        </w:rPr>
        <w:t xml:space="preserve">tandards and </w:t>
      </w:r>
      <w:r w:rsidR="00511C2E">
        <w:rPr>
          <w:rFonts w:ascii="Arial" w:eastAsia="Calibri" w:hAnsi="Arial" w:cs="Arial"/>
          <w:color w:val="997339"/>
        </w:rPr>
        <w:t>C</w:t>
      </w:r>
      <w:r w:rsidRPr="00A12B00">
        <w:rPr>
          <w:rFonts w:ascii="Arial" w:eastAsia="Calibri" w:hAnsi="Arial" w:cs="Arial"/>
          <w:color w:val="997339"/>
        </w:rPr>
        <w:t>odes</w:t>
      </w:r>
    </w:p>
    <w:p w14:paraId="18DA9BA3" w14:textId="116E6CF7" w:rsidR="00A12B00" w:rsidRPr="00A12B00" w:rsidRDefault="00A12B00" w:rsidP="00A12B00">
      <w:pPr>
        <w:spacing w:line="240" w:lineRule="auto"/>
        <w:rPr>
          <w:rFonts w:ascii="Arial" w:eastAsia="Calibri" w:hAnsi="Arial" w:cs="Arial"/>
        </w:rPr>
      </w:pPr>
      <w:r w:rsidRPr="00A12B00">
        <w:rPr>
          <w:rFonts w:ascii="Arial" w:eastAsia="Calibri" w:hAnsi="Arial" w:cs="Arial"/>
        </w:rPr>
        <w:t>The application of relevant explosives standards and codes is inconsistent across all Australian jurisdictions and, in some cases, outdated. This includes exemptions applicable to Commonwealth explosives (in this case, for Defence-specific purposes). For example, Australian Standard 2187 provides that it ‘…does not apply to explosives and explosives ordnance for defence purposes which comply with the Defence Explosives Safety Manual’. However, despite this exemption, in practice this standard is often applied to explosives used in a Defence context, because of their incorporation in the applicable state or territory law. This lack of uniformity undermines the capacity of current standards and codes to support the safe and secure handling of explosives, and forgoes a critical opportunity for alignment with recognised international standards.</w:t>
      </w:r>
    </w:p>
    <w:p w14:paraId="2845D139" w14:textId="18DD496D" w:rsidR="001B352F" w:rsidRDefault="00AB4CE0" w:rsidP="009C7954">
      <w:pPr>
        <w:rPr>
          <w:rFonts w:ascii="Arial" w:eastAsia="Calibri" w:hAnsi="Arial" w:cs="Arial"/>
        </w:rPr>
      </w:pPr>
      <w:r w:rsidRPr="00A12B00">
        <w:rPr>
          <w:rFonts w:ascii="Arial" w:eastAsia="Calibri" w:hAnsi="Arial" w:cs="Arial"/>
          <w:noProof/>
          <w:lang w:eastAsia="en-AU"/>
        </w:rPr>
        <mc:AlternateContent>
          <mc:Choice Requires="wps">
            <w:drawing>
              <wp:anchor distT="0" distB="0" distL="114300" distR="114300" simplePos="0" relativeHeight="251682816" behindDoc="0" locked="0" layoutInCell="1" allowOverlap="1" wp14:anchorId="0E07B794" wp14:editId="1EB606CE">
                <wp:simplePos x="0" y="0"/>
                <wp:positionH relativeFrom="margin">
                  <wp:align>left</wp:align>
                </wp:positionH>
                <wp:positionV relativeFrom="paragraph">
                  <wp:posOffset>274955</wp:posOffset>
                </wp:positionV>
                <wp:extent cx="5528310" cy="698500"/>
                <wp:effectExtent l="0" t="0" r="15240" b="25400"/>
                <wp:wrapNone/>
                <wp:docPr id="6" name="Rectangle: Rounded Corners 6"/>
                <wp:cNvGraphicFramePr/>
                <a:graphic xmlns:a="http://schemas.openxmlformats.org/drawingml/2006/main">
                  <a:graphicData uri="http://schemas.microsoft.com/office/word/2010/wordprocessingShape">
                    <wps:wsp>
                      <wps:cNvSpPr/>
                      <wps:spPr>
                        <a:xfrm>
                          <a:off x="0" y="0"/>
                          <a:ext cx="5528310" cy="698500"/>
                        </a:xfrm>
                        <a:prstGeom prst="roundRect">
                          <a:avLst/>
                        </a:prstGeom>
                        <a:solidFill>
                          <a:srgbClr val="C19859">
                            <a:lumMod val="20000"/>
                            <a:lumOff val="80000"/>
                          </a:srgbClr>
                        </a:solidFill>
                        <a:ln w="12700" cap="flat" cmpd="sng" algn="ctr">
                          <a:solidFill>
                            <a:srgbClr val="C19859"/>
                          </a:solidFill>
                          <a:prstDash val="solid"/>
                          <a:miter lim="800000"/>
                        </a:ln>
                        <a:effectLst/>
                      </wps:spPr>
                      <wps:txbx>
                        <w:txbxContent>
                          <w:p w14:paraId="0D49AACF" w14:textId="77777777" w:rsidR="00B3427F" w:rsidRPr="00CA5D7E" w:rsidRDefault="00B3427F" w:rsidP="00A12B00">
                            <w:pPr>
                              <w:jc w:val="center"/>
                              <w:rPr>
                                <w:rFonts w:ascii="Arial" w:hAnsi="Arial" w:cs="Arial"/>
                                <w:i/>
                                <w:iCs/>
                                <w:sz w:val="20"/>
                                <w:szCs w:val="20"/>
                              </w:rPr>
                            </w:pPr>
                            <w:r>
                              <w:rPr>
                                <w:rFonts w:ascii="Arial" w:hAnsi="Arial" w:cs="Arial"/>
                                <w:i/>
                                <w:iCs/>
                                <w:sz w:val="20"/>
                                <w:szCs w:val="20"/>
                              </w:rPr>
                              <w:t xml:space="preserve">“[The current regime’s] reference to exemption from the Australian Explosives Code is </w:t>
                            </w:r>
                            <w:r w:rsidRPr="003D2E90">
                              <w:rPr>
                                <w:rFonts w:ascii="Arial" w:hAnsi="Arial" w:cs="Arial"/>
                                <w:b/>
                                <w:bCs/>
                                <w:i/>
                                <w:iCs/>
                                <w:sz w:val="20"/>
                                <w:szCs w:val="20"/>
                              </w:rPr>
                              <w:t xml:space="preserve">very problematic </w:t>
                            </w:r>
                            <w:r w:rsidRPr="003D2E90">
                              <w:rPr>
                                <w:rFonts w:ascii="Arial" w:hAnsi="Arial" w:cs="Arial"/>
                                <w:i/>
                                <w:iCs/>
                                <w:sz w:val="20"/>
                                <w:szCs w:val="20"/>
                              </w:rPr>
                              <w:t>as the Code is</w:t>
                            </w:r>
                            <w:r w:rsidRPr="003D2E90">
                              <w:rPr>
                                <w:rFonts w:ascii="Arial" w:hAnsi="Arial" w:cs="Arial"/>
                                <w:b/>
                                <w:bCs/>
                                <w:i/>
                                <w:iCs/>
                                <w:sz w:val="20"/>
                                <w:szCs w:val="20"/>
                              </w:rPr>
                              <w:t xml:space="preserve"> significantly out of date</w:t>
                            </w:r>
                            <w:r>
                              <w:rPr>
                                <w:rFonts w:ascii="Arial" w:hAnsi="Arial" w:cs="Arial"/>
                                <w:i/>
                                <w:iCs/>
                                <w:sz w:val="20"/>
                                <w:szCs w:val="20"/>
                              </w:rPr>
                              <w:t xml:space="preserve"> and </w:t>
                            </w:r>
                            <w:r w:rsidRPr="003D2E90">
                              <w:rPr>
                                <w:rFonts w:ascii="Arial" w:hAnsi="Arial" w:cs="Arial"/>
                                <w:b/>
                                <w:bCs/>
                                <w:i/>
                                <w:iCs/>
                                <w:sz w:val="20"/>
                                <w:szCs w:val="20"/>
                              </w:rPr>
                              <w:t>out of alignment</w:t>
                            </w:r>
                            <w:r>
                              <w:rPr>
                                <w:rFonts w:ascii="Arial" w:hAnsi="Arial" w:cs="Arial"/>
                                <w:i/>
                                <w:iCs/>
                                <w:sz w:val="20"/>
                                <w:szCs w:val="20"/>
                              </w:rPr>
                              <w:t xml:space="preserve"> with international standards.”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0E07B794" id="Rectangle: Rounded Corners 6" o:spid="_x0000_s1041" style="position:absolute;margin-left:0;margin-top:21.65pt;width:435.3pt;height:55pt;z-index:2516828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" fillcolor="#f3eade" strokecolor="#c19859" strokeweight="1pt">
                <v:stroke joinstyle="miter"/>
                <v:textbox>
                  <w:txbxContent>
                    <w:p w14:paraId="0D49AACF" w14:textId="77777777" w:rsidR="00B3427F" w:rsidRPr="00CA5D7E" w:rsidRDefault="00B3427F" w:rsidP="00A12B00">
                      <w:pPr>
                        <w:jc w:val="center"/>
                        <w:rPr>
                          <w:rFonts w:ascii="Arial" w:hAnsi="Arial" w:cs="Arial"/>
                          <w:i/>
                          <w:iCs/>
                          <w:sz w:val="20"/>
                          <w:szCs w:val="20"/>
                        </w:rPr>
                      </w:pPr>
                      <w:r>
                        <w:rPr>
                          <w:rFonts w:ascii="Arial" w:hAnsi="Arial" w:cs="Arial"/>
                          <w:i/>
                          <w:iCs/>
                          <w:sz w:val="20"/>
                          <w:szCs w:val="20"/>
                        </w:rPr>
                        <w:t xml:space="preserve">“[The current regime’s] reference to exemption from the Australian Explosives Code is </w:t>
                      </w:r>
                      <w:r w:rsidRPr="003D2E90">
                        <w:rPr>
                          <w:rFonts w:ascii="Arial" w:hAnsi="Arial" w:cs="Arial"/>
                          <w:b/>
                          <w:bCs/>
                          <w:i/>
                          <w:iCs/>
                          <w:sz w:val="20"/>
                          <w:szCs w:val="20"/>
                        </w:rPr>
                        <w:t xml:space="preserve">very problematic </w:t>
                      </w:r>
                      <w:r w:rsidRPr="003D2E90">
                        <w:rPr>
                          <w:rFonts w:ascii="Arial" w:hAnsi="Arial" w:cs="Arial"/>
                          <w:i/>
                          <w:iCs/>
                          <w:sz w:val="20"/>
                          <w:szCs w:val="20"/>
                        </w:rPr>
                        <w:t>as the Code is</w:t>
                      </w:r>
                      <w:r w:rsidRPr="003D2E90">
                        <w:rPr>
                          <w:rFonts w:ascii="Arial" w:hAnsi="Arial" w:cs="Arial"/>
                          <w:b/>
                          <w:bCs/>
                          <w:i/>
                          <w:iCs/>
                          <w:sz w:val="20"/>
                          <w:szCs w:val="20"/>
                        </w:rPr>
                        <w:t xml:space="preserve"> significantly out of date</w:t>
                      </w:r>
                      <w:r>
                        <w:rPr>
                          <w:rFonts w:ascii="Arial" w:hAnsi="Arial" w:cs="Arial"/>
                          <w:i/>
                          <w:iCs/>
                          <w:sz w:val="20"/>
                          <w:szCs w:val="20"/>
                        </w:rPr>
                        <w:t xml:space="preserve"> and </w:t>
                      </w:r>
                      <w:r w:rsidRPr="003D2E90">
                        <w:rPr>
                          <w:rFonts w:ascii="Arial" w:hAnsi="Arial" w:cs="Arial"/>
                          <w:b/>
                          <w:bCs/>
                          <w:i/>
                          <w:iCs/>
                          <w:sz w:val="20"/>
                          <w:szCs w:val="20"/>
                        </w:rPr>
                        <w:t>out of alignment</w:t>
                      </w:r>
                      <w:r>
                        <w:rPr>
                          <w:rFonts w:ascii="Arial" w:hAnsi="Arial" w:cs="Arial"/>
                          <w:i/>
                          <w:iCs/>
                          <w:sz w:val="20"/>
                          <w:szCs w:val="20"/>
                        </w:rPr>
                        <w:t xml:space="preserve"> with international standards.”</w:t>
                      </w:r>
                    </w:p>
                  </w:txbxContent>
                </v:textbox>
                <w10:wrap anchorx="margin"/>
              </v:roundrect>
            </w:pict>
          </mc:Fallback>
        </mc:AlternateContent>
      </w:r>
      <w:r w:rsidR="00A12B00" w:rsidRPr="00A12B00">
        <w:rPr>
          <w:rFonts w:ascii="Calibri" w:eastAsia="Calibri" w:hAnsi="Calibri" w:cs="Times New Roman"/>
          <w:noProof/>
          <w:lang w:eastAsia="en-AU"/>
        </w:rPr>
        <mc:AlternateContent>
          <mc:Choice Requires="wps">
            <w:drawing>
              <wp:anchor distT="0" distB="0" distL="114300" distR="114300" simplePos="0" relativeHeight="251683840" behindDoc="0" locked="0" layoutInCell="1" allowOverlap="1" wp14:anchorId="4555BC79" wp14:editId="5A0FBBF1">
                <wp:simplePos x="0" y="0"/>
                <wp:positionH relativeFrom="margin">
                  <wp:align>left</wp:align>
                </wp:positionH>
                <wp:positionV relativeFrom="paragraph">
                  <wp:posOffset>92075</wp:posOffset>
                </wp:positionV>
                <wp:extent cx="5528310" cy="1752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528310" cy="175260"/>
                        </a:xfrm>
                        <a:prstGeom prst="rect">
                          <a:avLst/>
                        </a:prstGeom>
                        <a:solidFill>
                          <a:prstClr val="white"/>
                        </a:solidFill>
                        <a:ln>
                          <a:noFill/>
                        </a:ln>
                      </wps:spPr>
                      <wps:txbx>
                        <w:txbxContent>
                          <w:p w14:paraId="5BD17385" w14:textId="0D31D7CA" w:rsidR="00B3427F" w:rsidRPr="001B352F" w:rsidRDefault="00B3427F" w:rsidP="00A12B00">
                            <w:pPr>
                              <w:pStyle w:val="Caption1"/>
                              <w:rPr>
                                <w:rFonts w:ascii="Arial" w:hAnsi="Arial" w:cs="Arial"/>
                                <w:noProof/>
                                <w:sz w:val="16"/>
                                <w:szCs w:val="16"/>
                              </w:rPr>
                            </w:pPr>
                            <w:bookmarkStart w:id="25" w:name="_Toc90385837"/>
                            <w:r w:rsidRPr="001B352F">
                              <w:rPr>
                                <w:rFonts w:ascii="Arial" w:hAnsi="Arial" w:cs="Arial"/>
                                <w:b/>
                                <w:bCs/>
                                <w:sz w:val="16"/>
                                <w:szCs w:val="16"/>
                              </w:rPr>
                              <w:t xml:space="preserve">Figure </w:t>
                            </w:r>
                            <w:r>
                              <w:rPr>
                                <w:rFonts w:ascii="Arial" w:hAnsi="Arial" w:cs="Arial"/>
                                <w:b/>
                                <w:bCs/>
                                <w:sz w:val="16"/>
                                <w:szCs w:val="16"/>
                              </w:rPr>
                              <w:fldChar w:fldCharType="begin"/>
                            </w:r>
                            <w:r>
                              <w:rPr>
                                <w:rFonts w:ascii="Arial" w:hAnsi="Arial" w:cs="Arial"/>
                                <w:b/>
                                <w:bCs/>
                                <w:sz w:val="16"/>
                                <w:szCs w:val="16"/>
                              </w:rPr>
                              <w:instrText xml:space="preserve"> SEQ Figure \* ARABIC </w:instrText>
                            </w:r>
                            <w:r>
                              <w:rPr>
                                <w:rFonts w:ascii="Arial" w:hAnsi="Arial" w:cs="Arial"/>
                                <w:b/>
                                <w:bCs/>
                                <w:sz w:val="16"/>
                                <w:szCs w:val="16"/>
                              </w:rPr>
                              <w:fldChar w:fldCharType="separate"/>
                            </w:r>
                            <w:r>
                              <w:rPr>
                                <w:rFonts w:ascii="Arial" w:hAnsi="Arial" w:cs="Arial"/>
                                <w:b/>
                                <w:bCs/>
                                <w:noProof/>
                                <w:sz w:val="16"/>
                                <w:szCs w:val="16"/>
                              </w:rPr>
                              <w:t>10</w:t>
                            </w:r>
                            <w:r>
                              <w:rPr>
                                <w:rFonts w:ascii="Arial" w:hAnsi="Arial" w:cs="Arial"/>
                                <w:b/>
                                <w:bCs/>
                                <w:sz w:val="16"/>
                                <w:szCs w:val="16"/>
                              </w:rPr>
                              <w:fldChar w:fldCharType="end"/>
                            </w:r>
                            <w:r w:rsidRPr="001B352F">
                              <w:rPr>
                                <w:rFonts w:ascii="Arial" w:hAnsi="Arial" w:cs="Arial"/>
                                <w:b/>
                                <w:bCs/>
                                <w:sz w:val="16"/>
                                <w:szCs w:val="16"/>
                              </w:rPr>
                              <w:t>:</w:t>
                            </w:r>
                            <w:r w:rsidRPr="001B352F">
                              <w:rPr>
                                <w:rFonts w:ascii="Arial" w:hAnsi="Arial" w:cs="Arial"/>
                                <w:sz w:val="16"/>
                                <w:szCs w:val="16"/>
                              </w:rPr>
                              <w:t xml:space="preserve"> Consultation Insights</w:t>
                            </w:r>
                            <w:bookmarkEnd w:id="2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555BC79" id="Text Box 10" o:spid="_x0000_s1042" type="#_x0000_t202" style="position:absolute;margin-left:0;margin-top:7.25pt;width:435.3pt;height:13.8pt;z-index:2516838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" stroked="f">
                <v:textbox inset="0,0,0,0">
                  <w:txbxContent>
                    <w:p w14:paraId="5BD17385" w14:textId="0D31D7CA" w:rsidR="00B3427F" w:rsidRPr="001B352F" w:rsidRDefault="00B3427F" w:rsidP="00A12B00">
                      <w:pPr>
                        <w:pStyle w:val="Caption1"/>
                        <w:rPr>
                          <w:rFonts w:ascii="Arial" w:hAnsi="Arial" w:cs="Arial"/>
                          <w:noProof/>
                          <w:sz w:val="16"/>
                          <w:szCs w:val="16"/>
                        </w:rPr>
                      </w:pPr>
                      <w:bookmarkStart w:id="84" w:name="_Toc90385837"/>
                      <w:r w:rsidRPr="001B352F">
                        <w:rPr>
                          <w:rFonts w:ascii="Arial" w:hAnsi="Arial" w:cs="Arial"/>
                          <w:b/>
                          <w:bCs/>
                          <w:sz w:val="16"/>
                          <w:szCs w:val="16"/>
                        </w:rPr>
                        <w:t xml:space="preserve">Figure </w:t>
                      </w:r>
                      <w:r>
                        <w:rPr>
                          <w:rFonts w:ascii="Arial" w:hAnsi="Arial" w:cs="Arial"/>
                          <w:b/>
                          <w:bCs/>
                          <w:sz w:val="16"/>
                          <w:szCs w:val="16"/>
                        </w:rPr>
                        <w:fldChar w:fldCharType="begin"/>
                      </w:r>
                      <w:r>
                        <w:rPr>
                          <w:rFonts w:ascii="Arial" w:hAnsi="Arial" w:cs="Arial"/>
                          <w:b/>
                          <w:bCs/>
                          <w:sz w:val="16"/>
                          <w:szCs w:val="16"/>
                        </w:rPr>
                        <w:instrText xml:space="preserve"> SEQ Figure \* ARABIC </w:instrText>
                      </w:r>
                      <w:r>
                        <w:rPr>
                          <w:rFonts w:ascii="Arial" w:hAnsi="Arial" w:cs="Arial"/>
                          <w:b/>
                          <w:bCs/>
                          <w:sz w:val="16"/>
                          <w:szCs w:val="16"/>
                        </w:rPr>
                        <w:fldChar w:fldCharType="separate"/>
                      </w:r>
                      <w:r>
                        <w:rPr>
                          <w:rFonts w:ascii="Arial" w:hAnsi="Arial" w:cs="Arial"/>
                          <w:b/>
                          <w:bCs/>
                          <w:noProof/>
                          <w:sz w:val="16"/>
                          <w:szCs w:val="16"/>
                        </w:rPr>
                        <w:t>10</w:t>
                      </w:r>
                      <w:r>
                        <w:rPr>
                          <w:rFonts w:ascii="Arial" w:hAnsi="Arial" w:cs="Arial"/>
                          <w:b/>
                          <w:bCs/>
                          <w:sz w:val="16"/>
                          <w:szCs w:val="16"/>
                        </w:rPr>
                        <w:fldChar w:fldCharType="end"/>
                      </w:r>
                      <w:r w:rsidRPr="001B352F">
                        <w:rPr>
                          <w:rFonts w:ascii="Arial" w:hAnsi="Arial" w:cs="Arial"/>
                          <w:b/>
                          <w:bCs/>
                          <w:sz w:val="16"/>
                          <w:szCs w:val="16"/>
                        </w:rPr>
                        <w:t>:</w:t>
                      </w:r>
                      <w:r w:rsidRPr="001B352F">
                        <w:rPr>
                          <w:rFonts w:ascii="Arial" w:hAnsi="Arial" w:cs="Arial"/>
                          <w:sz w:val="16"/>
                          <w:szCs w:val="16"/>
                        </w:rPr>
                        <w:t xml:space="preserve"> Consultation Insights</w:t>
                      </w:r>
                      <w:bookmarkEnd w:id="84"/>
                    </w:p>
                  </w:txbxContent>
                </v:textbox>
                <w10:wrap anchorx="margin"/>
              </v:shape>
            </w:pict>
          </mc:Fallback>
        </mc:AlternateContent>
      </w:r>
    </w:p>
    <w:p w14:paraId="37E01967" w14:textId="4327ADB2" w:rsidR="001B352F" w:rsidRDefault="001B352F" w:rsidP="009C7954">
      <w:pPr>
        <w:rPr>
          <w:rFonts w:ascii="Arial" w:eastAsia="Calibri" w:hAnsi="Arial" w:cs="Arial"/>
        </w:rPr>
      </w:pPr>
    </w:p>
    <w:p w14:paraId="1EEC838A" w14:textId="6AF8D926" w:rsidR="001B352F" w:rsidRDefault="001B352F" w:rsidP="009C7954">
      <w:pPr>
        <w:rPr>
          <w:rFonts w:ascii="Arial" w:eastAsia="Calibri" w:hAnsi="Arial" w:cs="Arial"/>
        </w:rPr>
      </w:pPr>
    </w:p>
    <w:p w14:paraId="0F308686" w14:textId="6346855D" w:rsidR="001B352F" w:rsidRDefault="001B352F" w:rsidP="009C7954">
      <w:pPr>
        <w:rPr>
          <w:rFonts w:ascii="Arial" w:eastAsia="Calibri" w:hAnsi="Arial" w:cs="Arial"/>
        </w:rPr>
      </w:pPr>
    </w:p>
    <w:p w14:paraId="0BC39972" w14:textId="0D38E70B" w:rsidR="00A12B00" w:rsidRPr="00A12B00" w:rsidRDefault="00A12B00" w:rsidP="009C7954">
      <w:pPr>
        <w:rPr>
          <w:rFonts w:ascii="Arial" w:eastAsia="Calibri" w:hAnsi="Arial" w:cs="Arial"/>
        </w:rPr>
      </w:pPr>
      <w:r w:rsidRPr="00A12B00">
        <w:rPr>
          <w:rFonts w:ascii="Arial" w:eastAsia="Calibri" w:hAnsi="Arial" w:cs="Arial"/>
        </w:rPr>
        <w:t xml:space="preserve">The identified inconsistencies and ambiguities impose a substantial burden on Commonwealth contractors, and those who are not currently exempt from compliance with state and territory explosives regulatory regimes, including ABF employees. To ensure their compliance, these stakeholders are forced to engage significant resources to understand and comply with the relevant regulations, or run the risk of inadvertent non-compliance due to lack of awareness of applicable regulations. </w:t>
      </w:r>
    </w:p>
    <w:p w14:paraId="7E8EB726" w14:textId="2D0F0A2D" w:rsidR="00B501D1" w:rsidRDefault="00B501D1" w:rsidP="00B501D1">
      <w:pPr>
        <w:autoSpaceDE w:val="0"/>
        <w:autoSpaceDN w:val="0"/>
        <w:adjustRightInd w:val="0"/>
        <w:spacing w:before="160" w:after="240" w:line="240" w:lineRule="auto"/>
        <w:rPr>
          <w:rFonts w:ascii="Arial" w:eastAsia="Calibri" w:hAnsi="Arial" w:cs="Arial"/>
        </w:rPr>
      </w:pPr>
      <w:r w:rsidRPr="00A12B00">
        <w:rPr>
          <w:rFonts w:ascii="Calibri" w:eastAsia="Calibri" w:hAnsi="Calibri" w:cs="Calibri"/>
          <w:noProof/>
          <w:color w:val="000000"/>
          <w:sz w:val="24"/>
          <w:szCs w:val="24"/>
          <w:lang w:eastAsia="en-AU"/>
        </w:rPr>
        <mc:AlternateContent>
          <mc:Choice Requires="wps">
            <w:drawing>
              <wp:anchor distT="0" distB="0" distL="114300" distR="114300" simplePos="0" relativeHeight="251675648" behindDoc="0" locked="0" layoutInCell="1" allowOverlap="1" wp14:anchorId="6500B4CB" wp14:editId="12BB3B18">
                <wp:simplePos x="0" y="0"/>
                <wp:positionH relativeFrom="margin">
                  <wp:posOffset>0</wp:posOffset>
                </wp:positionH>
                <wp:positionV relativeFrom="paragraph">
                  <wp:posOffset>593725</wp:posOffset>
                </wp:positionV>
                <wp:extent cx="5528310" cy="129540"/>
                <wp:effectExtent l="0" t="0" r="0" b="3810"/>
                <wp:wrapNone/>
                <wp:docPr id="30" name="Text Box 30"/>
                <wp:cNvGraphicFramePr/>
                <a:graphic xmlns:a="http://schemas.openxmlformats.org/drawingml/2006/main">
                  <a:graphicData uri="http://schemas.microsoft.com/office/word/2010/wordprocessingShape">
                    <wps:wsp>
                      <wps:cNvSpPr txBox="1"/>
                      <wps:spPr>
                        <a:xfrm>
                          <a:off x="0" y="0"/>
                          <a:ext cx="5528310" cy="129540"/>
                        </a:xfrm>
                        <a:prstGeom prst="rect">
                          <a:avLst/>
                        </a:prstGeom>
                        <a:solidFill>
                          <a:prstClr val="white"/>
                        </a:solidFill>
                        <a:ln>
                          <a:noFill/>
                        </a:ln>
                      </wps:spPr>
                      <wps:txbx>
                        <w:txbxContent>
                          <w:p w14:paraId="5E2A737B" w14:textId="3B86A032" w:rsidR="00B3427F" w:rsidRPr="001B352F" w:rsidRDefault="00B3427F" w:rsidP="00A12B00">
                            <w:pPr>
                              <w:pStyle w:val="Caption1"/>
                              <w:rPr>
                                <w:rFonts w:ascii="Arial" w:hAnsi="Arial" w:cs="Arial"/>
                                <w:noProof/>
                                <w:color w:val="auto"/>
                                <w:sz w:val="22"/>
                                <w:szCs w:val="22"/>
                              </w:rPr>
                            </w:pPr>
                            <w:bookmarkStart w:id="26" w:name="_Toc90385838"/>
                            <w:r w:rsidRPr="001B352F">
                              <w:rPr>
                                <w:rFonts w:ascii="Arial" w:hAnsi="Arial" w:cs="Arial"/>
                                <w:b/>
                                <w:bCs/>
                                <w:color w:val="auto"/>
                                <w:sz w:val="16"/>
                                <w:szCs w:val="16"/>
                              </w:rPr>
                              <w:t xml:space="preserve">Figure </w:t>
                            </w:r>
                            <w:r>
                              <w:rPr>
                                <w:rFonts w:ascii="Arial" w:hAnsi="Arial" w:cs="Arial"/>
                                <w:b/>
                                <w:bCs/>
                                <w:color w:val="auto"/>
                                <w:sz w:val="16"/>
                                <w:szCs w:val="16"/>
                              </w:rPr>
                              <w:fldChar w:fldCharType="begin"/>
                            </w:r>
                            <w:r>
                              <w:rPr>
                                <w:rFonts w:ascii="Arial" w:hAnsi="Arial" w:cs="Arial"/>
                                <w:b/>
                                <w:bCs/>
                                <w:color w:val="auto"/>
                                <w:sz w:val="16"/>
                                <w:szCs w:val="16"/>
                              </w:rPr>
                              <w:instrText xml:space="preserve"> SEQ Figure \* ARABIC </w:instrText>
                            </w:r>
                            <w:r>
                              <w:rPr>
                                <w:rFonts w:ascii="Arial" w:hAnsi="Arial" w:cs="Arial"/>
                                <w:b/>
                                <w:bCs/>
                                <w:color w:val="auto"/>
                                <w:sz w:val="16"/>
                                <w:szCs w:val="16"/>
                              </w:rPr>
                              <w:fldChar w:fldCharType="separate"/>
                            </w:r>
                            <w:r>
                              <w:rPr>
                                <w:rFonts w:ascii="Arial" w:hAnsi="Arial" w:cs="Arial"/>
                                <w:b/>
                                <w:bCs/>
                                <w:noProof/>
                                <w:color w:val="auto"/>
                                <w:sz w:val="16"/>
                                <w:szCs w:val="16"/>
                              </w:rPr>
                              <w:t>11</w:t>
                            </w:r>
                            <w:r>
                              <w:rPr>
                                <w:rFonts w:ascii="Arial" w:hAnsi="Arial" w:cs="Arial"/>
                                <w:b/>
                                <w:bCs/>
                                <w:color w:val="auto"/>
                                <w:sz w:val="16"/>
                                <w:szCs w:val="16"/>
                              </w:rPr>
                              <w:fldChar w:fldCharType="end"/>
                            </w:r>
                            <w:r w:rsidRPr="001B352F">
                              <w:rPr>
                                <w:rFonts w:ascii="Arial" w:hAnsi="Arial" w:cs="Arial"/>
                                <w:b/>
                                <w:bCs/>
                                <w:color w:val="auto"/>
                                <w:sz w:val="16"/>
                                <w:szCs w:val="16"/>
                              </w:rPr>
                              <w:t>:</w:t>
                            </w:r>
                            <w:r w:rsidRPr="001B352F">
                              <w:rPr>
                                <w:rFonts w:ascii="Arial" w:hAnsi="Arial" w:cs="Arial"/>
                                <w:color w:val="auto"/>
                                <w:sz w:val="16"/>
                                <w:szCs w:val="16"/>
                              </w:rPr>
                              <w:t xml:space="preserve"> Consultation Insights</w:t>
                            </w:r>
                            <w:bookmarkEnd w:id="2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500B4CB" id="Text Box 30" o:spid="_x0000_s1043" type="#_x0000_t202" style="position:absolute;margin-left:0;margin-top:46.75pt;width:435.3pt;height:10.2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" stroked="f">
                <v:textbox inset="0,0,0,0">
                  <w:txbxContent>
                    <w:p w14:paraId="5E2A737B" w14:textId="3B86A032" w:rsidR="00B3427F" w:rsidRPr="001B352F" w:rsidRDefault="00B3427F" w:rsidP="00A12B00">
                      <w:pPr>
                        <w:pStyle w:val="Caption1"/>
                        <w:rPr>
                          <w:rFonts w:ascii="Arial" w:hAnsi="Arial" w:cs="Arial"/>
                          <w:noProof/>
                          <w:color w:val="auto"/>
                          <w:sz w:val="22"/>
                          <w:szCs w:val="22"/>
                        </w:rPr>
                      </w:pPr>
                      <w:bookmarkStart w:id="86" w:name="_Toc90385838"/>
                      <w:r w:rsidRPr="001B352F">
                        <w:rPr>
                          <w:rFonts w:ascii="Arial" w:hAnsi="Arial" w:cs="Arial"/>
                          <w:b/>
                          <w:bCs/>
                          <w:color w:val="auto"/>
                          <w:sz w:val="16"/>
                          <w:szCs w:val="16"/>
                        </w:rPr>
                        <w:t xml:space="preserve">Figure </w:t>
                      </w:r>
                      <w:r>
                        <w:rPr>
                          <w:rFonts w:ascii="Arial" w:hAnsi="Arial" w:cs="Arial"/>
                          <w:b/>
                          <w:bCs/>
                          <w:color w:val="auto"/>
                          <w:sz w:val="16"/>
                          <w:szCs w:val="16"/>
                        </w:rPr>
                        <w:fldChar w:fldCharType="begin"/>
                      </w:r>
                      <w:r>
                        <w:rPr>
                          <w:rFonts w:ascii="Arial" w:hAnsi="Arial" w:cs="Arial"/>
                          <w:b/>
                          <w:bCs/>
                          <w:color w:val="auto"/>
                          <w:sz w:val="16"/>
                          <w:szCs w:val="16"/>
                        </w:rPr>
                        <w:instrText xml:space="preserve"> SEQ Figure \* ARABIC </w:instrText>
                      </w:r>
                      <w:r>
                        <w:rPr>
                          <w:rFonts w:ascii="Arial" w:hAnsi="Arial" w:cs="Arial"/>
                          <w:b/>
                          <w:bCs/>
                          <w:color w:val="auto"/>
                          <w:sz w:val="16"/>
                          <w:szCs w:val="16"/>
                        </w:rPr>
                        <w:fldChar w:fldCharType="separate"/>
                      </w:r>
                      <w:r>
                        <w:rPr>
                          <w:rFonts w:ascii="Arial" w:hAnsi="Arial" w:cs="Arial"/>
                          <w:b/>
                          <w:bCs/>
                          <w:noProof/>
                          <w:color w:val="auto"/>
                          <w:sz w:val="16"/>
                          <w:szCs w:val="16"/>
                        </w:rPr>
                        <w:t>11</w:t>
                      </w:r>
                      <w:r>
                        <w:rPr>
                          <w:rFonts w:ascii="Arial" w:hAnsi="Arial" w:cs="Arial"/>
                          <w:b/>
                          <w:bCs/>
                          <w:color w:val="auto"/>
                          <w:sz w:val="16"/>
                          <w:szCs w:val="16"/>
                        </w:rPr>
                        <w:fldChar w:fldCharType="end"/>
                      </w:r>
                      <w:r w:rsidRPr="001B352F">
                        <w:rPr>
                          <w:rFonts w:ascii="Arial" w:hAnsi="Arial" w:cs="Arial"/>
                          <w:b/>
                          <w:bCs/>
                          <w:color w:val="auto"/>
                          <w:sz w:val="16"/>
                          <w:szCs w:val="16"/>
                        </w:rPr>
                        <w:t>:</w:t>
                      </w:r>
                      <w:r w:rsidRPr="001B352F">
                        <w:rPr>
                          <w:rFonts w:ascii="Arial" w:hAnsi="Arial" w:cs="Arial"/>
                          <w:color w:val="auto"/>
                          <w:sz w:val="16"/>
                          <w:szCs w:val="16"/>
                        </w:rPr>
                        <w:t xml:space="preserve"> Consultation Insights</w:t>
                      </w:r>
                      <w:bookmarkEnd w:id="86"/>
                    </w:p>
                  </w:txbxContent>
                </v:textbox>
                <w10:wrap anchorx="margin"/>
              </v:shape>
            </w:pict>
          </mc:Fallback>
        </mc:AlternateContent>
      </w:r>
      <w:r w:rsidR="00A12B00" w:rsidRPr="00A12B00">
        <w:rPr>
          <w:rFonts w:ascii="Arial" w:eastAsia="Calibri" w:hAnsi="Arial" w:cs="Arial"/>
        </w:rPr>
        <w:t>More broadly, the identified variations prevent the</w:t>
      </w:r>
      <w:r w:rsidR="00A12B00" w:rsidRPr="00A12B00">
        <w:rPr>
          <w:rFonts w:ascii="Calibri" w:eastAsia="Calibri" w:hAnsi="Calibri" w:cs="Calibri"/>
          <w:color w:val="000000"/>
        </w:rPr>
        <w:t xml:space="preserve"> </w:t>
      </w:r>
      <w:r w:rsidR="00A12B00" w:rsidRPr="00A12B00">
        <w:rPr>
          <w:rFonts w:ascii="Arial" w:eastAsia="Calibri" w:hAnsi="Arial" w:cs="Arial"/>
        </w:rPr>
        <w:t xml:space="preserve">development and implementation of a nationally consistent set of standards for the safe, secure, and expedient movement of explosives across Australia and negatively impact on the fulfilment of key operations. </w:t>
      </w:r>
    </w:p>
    <w:p w14:paraId="0F0B9EB0" w14:textId="2D22D9EC" w:rsidR="00A12B00" w:rsidRPr="00A12B00" w:rsidRDefault="001B352F" w:rsidP="00A12B00">
      <w:pPr>
        <w:autoSpaceDE w:val="0"/>
        <w:autoSpaceDN w:val="0"/>
        <w:adjustRightInd w:val="0"/>
        <w:spacing w:before="160" w:after="240" w:line="240" w:lineRule="auto"/>
        <w:rPr>
          <w:rFonts w:ascii="Arial" w:eastAsia="Calibri" w:hAnsi="Arial" w:cs="Arial"/>
        </w:rPr>
      </w:pPr>
      <w:r w:rsidRPr="00A12B00">
        <w:rPr>
          <w:rFonts w:ascii="Arial" w:eastAsia="Calibri" w:hAnsi="Arial" w:cs="Arial"/>
          <w:noProof/>
          <w:color w:val="000000"/>
          <w:sz w:val="24"/>
          <w:szCs w:val="24"/>
          <w:lang w:eastAsia="en-AU"/>
        </w:rPr>
        <mc:AlternateContent>
          <mc:Choice Requires="wps">
            <w:drawing>
              <wp:anchor distT="0" distB="0" distL="114300" distR="114300" simplePos="0" relativeHeight="251674624" behindDoc="0" locked="0" layoutInCell="1" allowOverlap="1" wp14:anchorId="0992773B" wp14:editId="35063937">
                <wp:simplePos x="0" y="0"/>
                <wp:positionH relativeFrom="margin">
                  <wp:posOffset>0</wp:posOffset>
                </wp:positionH>
                <wp:positionV relativeFrom="paragraph">
                  <wp:posOffset>127635</wp:posOffset>
                </wp:positionV>
                <wp:extent cx="5528310" cy="965200"/>
                <wp:effectExtent l="0" t="0" r="15240" b="25400"/>
                <wp:wrapNone/>
                <wp:docPr id="29" name="Rectangle: Rounded Corners 29"/>
                <wp:cNvGraphicFramePr/>
                <a:graphic xmlns:a="http://schemas.openxmlformats.org/drawingml/2006/main">
                  <a:graphicData uri="http://schemas.microsoft.com/office/word/2010/wordprocessingShape">
                    <wps:wsp>
                      <wps:cNvSpPr/>
                      <wps:spPr>
                        <a:xfrm>
                          <a:off x="0" y="0"/>
                          <a:ext cx="5528310" cy="965200"/>
                        </a:xfrm>
                        <a:prstGeom prst="roundRect">
                          <a:avLst/>
                        </a:prstGeom>
                        <a:solidFill>
                          <a:srgbClr val="C19859">
                            <a:lumMod val="20000"/>
                            <a:lumOff val="80000"/>
                          </a:srgbClr>
                        </a:solidFill>
                        <a:ln w="12700" cap="flat" cmpd="sng" algn="ctr">
                          <a:solidFill>
                            <a:srgbClr val="C19859"/>
                          </a:solidFill>
                          <a:prstDash val="solid"/>
                          <a:miter lim="800000"/>
                        </a:ln>
                        <a:effectLst/>
                      </wps:spPr>
                      <wps:txbx>
                        <w:txbxContent>
                          <w:p w14:paraId="1D9D1CF0" w14:textId="77777777" w:rsidR="00B3427F" w:rsidRPr="00CA5D7E" w:rsidRDefault="00B3427F" w:rsidP="00A12B00">
                            <w:pPr>
                              <w:jc w:val="center"/>
                              <w:rPr>
                                <w:rFonts w:ascii="Arial" w:hAnsi="Arial" w:cs="Arial"/>
                                <w:i/>
                                <w:iCs/>
                                <w:sz w:val="20"/>
                                <w:szCs w:val="20"/>
                              </w:rPr>
                            </w:pPr>
                            <w:r>
                              <w:rPr>
                                <w:rFonts w:ascii="Arial" w:hAnsi="Arial" w:cs="Arial"/>
                                <w:i/>
                                <w:iCs/>
                                <w:sz w:val="20"/>
                                <w:szCs w:val="20"/>
                              </w:rPr>
                              <w:t>“</w:t>
                            </w:r>
                            <w:r w:rsidRPr="006D165D">
                              <w:rPr>
                                <w:rFonts w:ascii="Arial" w:hAnsi="Arial" w:cs="Arial"/>
                                <w:i/>
                                <w:iCs/>
                                <w:sz w:val="20"/>
                                <w:szCs w:val="20"/>
                              </w:rPr>
                              <w:t xml:space="preserve">Various things need clarification in the legislation but </w:t>
                            </w:r>
                            <w:r w:rsidRPr="00637412">
                              <w:rPr>
                                <w:rFonts w:ascii="Arial" w:hAnsi="Arial" w:cs="Arial"/>
                                <w:b/>
                                <w:bCs/>
                                <w:i/>
                                <w:iCs/>
                                <w:sz w:val="20"/>
                                <w:szCs w:val="20"/>
                              </w:rPr>
                              <w:t>alignment to international standards for the classification of explosives is needed</w:t>
                            </w:r>
                            <w:r w:rsidRPr="006D165D">
                              <w:rPr>
                                <w:rFonts w:ascii="Arial" w:hAnsi="Arial" w:cs="Arial"/>
                                <w:i/>
                                <w:iCs/>
                                <w:sz w:val="20"/>
                                <w:szCs w:val="20"/>
                              </w:rPr>
                              <w:t>. Reference to the international requirements for the marking of plastic explosives is also needed. Classification that aligns with the international system of classification for the air transport of explosives is needed for transport of Commonwealth explosives on civil aircraft and all civil transport modes.</w:t>
                            </w:r>
                            <w:r>
                              <w:rPr>
                                <w:rFonts w:ascii="Arial" w:hAnsi="Arial" w:cs="Arial"/>
                                <w:i/>
                                <w:iCs/>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0992773B" id="Rectangle: Rounded Corners 29" o:spid="_x0000_s1044" style="position:absolute;margin-left:0;margin-top:10.05pt;width:435.3pt;height:76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" fillcolor="#f3eade" strokecolor="#c19859" strokeweight="1pt">
                <v:stroke joinstyle="miter"/>
                <v:textbox>
                  <w:txbxContent>
                    <w:p w14:paraId="1D9D1CF0" w14:textId="77777777" w:rsidR="00B3427F" w:rsidRPr="00CA5D7E" w:rsidRDefault="00B3427F" w:rsidP="00A12B00">
                      <w:pPr>
                        <w:jc w:val="center"/>
                        <w:rPr>
                          <w:rFonts w:ascii="Arial" w:hAnsi="Arial" w:cs="Arial"/>
                          <w:i/>
                          <w:iCs/>
                          <w:sz w:val="20"/>
                          <w:szCs w:val="20"/>
                        </w:rPr>
                      </w:pPr>
                      <w:r>
                        <w:rPr>
                          <w:rFonts w:ascii="Arial" w:hAnsi="Arial" w:cs="Arial"/>
                          <w:i/>
                          <w:iCs/>
                          <w:sz w:val="20"/>
                          <w:szCs w:val="20"/>
                        </w:rPr>
                        <w:t>“</w:t>
                      </w:r>
                      <w:r w:rsidRPr="006D165D">
                        <w:rPr>
                          <w:rFonts w:ascii="Arial" w:hAnsi="Arial" w:cs="Arial"/>
                          <w:i/>
                          <w:iCs/>
                          <w:sz w:val="20"/>
                          <w:szCs w:val="20"/>
                        </w:rPr>
                        <w:t xml:space="preserve">Various things need clarification in the legislation but </w:t>
                      </w:r>
                      <w:r w:rsidRPr="00637412">
                        <w:rPr>
                          <w:rFonts w:ascii="Arial" w:hAnsi="Arial" w:cs="Arial"/>
                          <w:b/>
                          <w:bCs/>
                          <w:i/>
                          <w:iCs/>
                          <w:sz w:val="20"/>
                          <w:szCs w:val="20"/>
                        </w:rPr>
                        <w:t>alignment to international standards for the classification of explosives is needed</w:t>
                      </w:r>
                      <w:r w:rsidRPr="006D165D">
                        <w:rPr>
                          <w:rFonts w:ascii="Arial" w:hAnsi="Arial" w:cs="Arial"/>
                          <w:i/>
                          <w:iCs/>
                          <w:sz w:val="20"/>
                          <w:szCs w:val="20"/>
                        </w:rPr>
                        <w:t>. Reference to the international requirements for the marking of plastic explosives is also needed. Classification that aligns with the international system of classification for the air transport of explosives is needed for transport of Commonwealth explosives on civil aircraft and all civil transport modes.</w:t>
                      </w:r>
                      <w:r>
                        <w:rPr>
                          <w:rFonts w:ascii="Arial" w:hAnsi="Arial" w:cs="Arial"/>
                          <w:i/>
                          <w:iCs/>
                          <w:sz w:val="20"/>
                          <w:szCs w:val="20"/>
                        </w:rPr>
                        <w:t>”</w:t>
                      </w:r>
                    </w:p>
                  </w:txbxContent>
                </v:textbox>
                <w10:wrap anchorx="margin"/>
              </v:roundrect>
            </w:pict>
          </mc:Fallback>
        </mc:AlternateContent>
      </w:r>
    </w:p>
    <w:p w14:paraId="2B55AFB8" w14:textId="6FD95FC6" w:rsidR="00A12B00" w:rsidRPr="00A12B00" w:rsidRDefault="00A12B00" w:rsidP="00A12B00">
      <w:pPr>
        <w:autoSpaceDE w:val="0"/>
        <w:autoSpaceDN w:val="0"/>
        <w:adjustRightInd w:val="0"/>
        <w:spacing w:before="160" w:after="240" w:line="240" w:lineRule="auto"/>
        <w:rPr>
          <w:rFonts w:ascii="Arial" w:eastAsia="Calibri" w:hAnsi="Arial" w:cs="Arial"/>
        </w:rPr>
      </w:pPr>
    </w:p>
    <w:p w14:paraId="1142EB88" w14:textId="77777777" w:rsidR="00A12B00" w:rsidRPr="00A12B00" w:rsidRDefault="00A12B00" w:rsidP="00A12B00">
      <w:pPr>
        <w:autoSpaceDE w:val="0"/>
        <w:autoSpaceDN w:val="0"/>
        <w:adjustRightInd w:val="0"/>
        <w:spacing w:before="160" w:after="240" w:line="240" w:lineRule="auto"/>
        <w:rPr>
          <w:rFonts w:ascii="Arial" w:eastAsia="Calibri" w:hAnsi="Arial" w:cs="Arial"/>
        </w:rPr>
      </w:pPr>
    </w:p>
    <w:p w14:paraId="4F527109" w14:textId="5741686D" w:rsidR="00A12B00" w:rsidRPr="00A12B00" w:rsidRDefault="001B352F" w:rsidP="00A12B00">
      <w:pPr>
        <w:autoSpaceDE w:val="0"/>
        <w:autoSpaceDN w:val="0"/>
        <w:adjustRightInd w:val="0"/>
        <w:spacing w:before="160" w:after="240" w:line="240" w:lineRule="auto"/>
        <w:rPr>
          <w:rFonts w:ascii="Arial" w:eastAsia="Calibri" w:hAnsi="Arial" w:cs="Arial"/>
        </w:rPr>
      </w:pPr>
      <w:r w:rsidRPr="00A12B00">
        <w:rPr>
          <w:rFonts w:ascii="Arial" w:eastAsia="Calibri" w:hAnsi="Arial" w:cs="Arial"/>
          <w:noProof/>
          <w:lang w:eastAsia="en-AU"/>
        </w:rPr>
        <mc:AlternateContent>
          <mc:Choice Requires="wps">
            <w:drawing>
              <wp:anchor distT="0" distB="0" distL="114300" distR="114300" simplePos="0" relativeHeight="251684864" behindDoc="0" locked="0" layoutInCell="1" allowOverlap="1" wp14:anchorId="1290165F" wp14:editId="5350BC64">
                <wp:simplePos x="0" y="0"/>
                <wp:positionH relativeFrom="margin">
                  <wp:posOffset>0</wp:posOffset>
                </wp:positionH>
                <wp:positionV relativeFrom="paragraph">
                  <wp:posOffset>191770</wp:posOffset>
                </wp:positionV>
                <wp:extent cx="5528310" cy="624840"/>
                <wp:effectExtent l="0" t="0" r="15240" b="22860"/>
                <wp:wrapNone/>
                <wp:docPr id="12" name="Rectangle: Rounded Corners 12"/>
                <wp:cNvGraphicFramePr/>
                <a:graphic xmlns:a="http://schemas.openxmlformats.org/drawingml/2006/main">
                  <a:graphicData uri="http://schemas.microsoft.com/office/word/2010/wordprocessingShape">
                    <wps:wsp>
                      <wps:cNvSpPr/>
                      <wps:spPr>
                        <a:xfrm>
                          <a:off x="0" y="0"/>
                          <a:ext cx="5528310" cy="624840"/>
                        </a:xfrm>
                        <a:prstGeom prst="roundRect">
                          <a:avLst/>
                        </a:prstGeom>
                        <a:solidFill>
                          <a:srgbClr val="C19859">
                            <a:lumMod val="20000"/>
                            <a:lumOff val="80000"/>
                          </a:srgbClr>
                        </a:solidFill>
                        <a:ln w="12700" cap="flat" cmpd="sng" algn="ctr">
                          <a:solidFill>
                            <a:srgbClr val="C19859"/>
                          </a:solidFill>
                          <a:prstDash val="solid"/>
                          <a:miter lim="800000"/>
                        </a:ln>
                        <a:effectLst/>
                      </wps:spPr>
                      <wps:txbx>
                        <w:txbxContent>
                          <w:p w14:paraId="2F6BE234" w14:textId="77777777" w:rsidR="00B3427F" w:rsidRPr="00CA5D7E" w:rsidRDefault="00B3427F" w:rsidP="00A12B00">
                            <w:pPr>
                              <w:jc w:val="center"/>
                              <w:rPr>
                                <w:rFonts w:ascii="Arial" w:hAnsi="Arial" w:cs="Arial"/>
                                <w:i/>
                                <w:iCs/>
                                <w:sz w:val="20"/>
                                <w:szCs w:val="20"/>
                              </w:rPr>
                            </w:pPr>
                            <w:r>
                              <w:rPr>
                                <w:rFonts w:ascii="Arial" w:hAnsi="Arial" w:cs="Arial"/>
                                <w:i/>
                                <w:iCs/>
                                <w:sz w:val="20"/>
                                <w:szCs w:val="20"/>
                              </w:rPr>
                              <w:t xml:space="preserve">“If standards adopted are accepted international standards, </w:t>
                            </w:r>
                            <w:r w:rsidRPr="006F3AC9">
                              <w:rPr>
                                <w:rFonts w:ascii="Arial" w:hAnsi="Arial" w:cs="Arial"/>
                                <w:b/>
                                <w:bCs/>
                                <w:i/>
                                <w:iCs/>
                                <w:sz w:val="20"/>
                                <w:szCs w:val="20"/>
                              </w:rPr>
                              <w:t>it sets a good baseline for international harmonisation</w:t>
                            </w:r>
                            <w:r>
                              <w:rPr>
                                <w:rFonts w:ascii="Arial" w:hAnsi="Arial" w:cs="Arial"/>
                                <w:i/>
                                <w:iCs/>
                                <w:sz w:val="20"/>
                                <w:szCs w:val="20"/>
                              </w:rPr>
                              <w:t>, with recognised best practice for safety and security.”</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1290165F" id="Rectangle: Rounded Corners 12" o:spid="_x0000_s1045" style="position:absolute;margin-left:0;margin-top:15.1pt;width:435.3pt;height:49.2pt;z-index:251684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" fillcolor="#f3eade" strokecolor="#c19859" strokeweight="1pt">
                <v:stroke joinstyle="miter"/>
                <v:textbox>
                  <w:txbxContent>
                    <w:p w14:paraId="2F6BE234" w14:textId="77777777" w:rsidR="00B3427F" w:rsidRPr="00CA5D7E" w:rsidRDefault="00B3427F" w:rsidP="00A12B00">
                      <w:pPr>
                        <w:jc w:val="center"/>
                        <w:rPr>
                          <w:rFonts w:ascii="Arial" w:hAnsi="Arial" w:cs="Arial"/>
                          <w:i/>
                          <w:iCs/>
                          <w:sz w:val="20"/>
                          <w:szCs w:val="20"/>
                        </w:rPr>
                      </w:pPr>
                      <w:r>
                        <w:rPr>
                          <w:rFonts w:ascii="Arial" w:hAnsi="Arial" w:cs="Arial"/>
                          <w:i/>
                          <w:iCs/>
                          <w:sz w:val="20"/>
                          <w:szCs w:val="20"/>
                        </w:rPr>
                        <w:t xml:space="preserve">“If standards adopted are accepted international standards, </w:t>
                      </w:r>
                      <w:r w:rsidRPr="006F3AC9">
                        <w:rPr>
                          <w:rFonts w:ascii="Arial" w:hAnsi="Arial" w:cs="Arial"/>
                          <w:b/>
                          <w:bCs/>
                          <w:i/>
                          <w:iCs/>
                          <w:sz w:val="20"/>
                          <w:szCs w:val="20"/>
                        </w:rPr>
                        <w:t>it sets a good baseline for international harmonisation</w:t>
                      </w:r>
                      <w:r>
                        <w:rPr>
                          <w:rFonts w:ascii="Arial" w:hAnsi="Arial" w:cs="Arial"/>
                          <w:i/>
                          <w:iCs/>
                          <w:sz w:val="20"/>
                          <w:szCs w:val="20"/>
                        </w:rPr>
                        <w:t>, with recognised best practice for safety and security.”</w:t>
                      </w:r>
                    </w:p>
                  </w:txbxContent>
                </v:textbox>
                <w10:wrap anchorx="margin"/>
              </v:roundrect>
            </w:pict>
          </mc:Fallback>
        </mc:AlternateContent>
      </w:r>
    </w:p>
    <w:p w14:paraId="28C73BB1" w14:textId="4972E17E" w:rsidR="00A12B00" w:rsidRPr="00A12B00" w:rsidRDefault="00A12B00" w:rsidP="00A12B00">
      <w:pPr>
        <w:rPr>
          <w:rFonts w:ascii="Calibri" w:eastAsia="Calibri" w:hAnsi="Calibri" w:cs="Times New Roman"/>
        </w:rPr>
      </w:pPr>
    </w:p>
    <w:p w14:paraId="30A4E056" w14:textId="0DB73AA7" w:rsidR="00A12B00" w:rsidRDefault="00A12B00" w:rsidP="00A12B00">
      <w:pPr>
        <w:spacing w:after="0"/>
        <w:rPr>
          <w:rFonts w:ascii="Calibri" w:eastAsia="Calibri" w:hAnsi="Calibri" w:cs="Times New Roman"/>
        </w:rPr>
      </w:pPr>
    </w:p>
    <w:p w14:paraId="4951CC25" w14:textId="77777777" w:rsidR="001B352F" w:rsidRPr="00A12B00" w:rsidRDefault="001B352F" w:rsidP="00A12B00">
      <w:pPr>
        <w:spacing w:after="0"/>
        <w:rPr>
          <w:rFonts w:ascii="Calibri" w:eastAsia="Calibri" w:hAnsi="Calibri" w:cs="Times New Roman"/>
        </w:rPr>
      </w:pPr>
    </w:p>
    <w:p w14:paraId="403F069A" w14:textId="799D05DA" w:rsidR="00A12B00" w:rsidRPr="00A12B00" w:rsidRDefault="00A12B00" w:rsidP="00A12B00">
      <w:pPr>
        <w:keepNext/>
        <w:keepLines/>
        <w:spacing w:before="40" w:after="0" w:line="240" w:lineRule="auto"/>
        <w:outlineLvl w:val="1"/>
        <w:rPr>
          <w:rFonts w:ascii="Arial" w:eastAsia="Times New Roman" w:hAnsi="Arial" w:cs="Arial"/>
          <w:color w:val="E86D1F"/>
          <w:sz w:val="26"/>
          <w:szCs w:val="26"/>
        </w:rPr>
      </w:pPr>
      <w:bookmarkStart w:id="27" w:name="_Toc101961114"/>
      <w:r w:rsidRPr="00A12B00">
        <w:rPr>
          <w:rFonts w:ascii="Arial" w:eastAsia="Times New Roman" w:hAnsi="Arial" w:cs="Arial"/>
          <w:color w:val="E86D1F"/>
          <w:sz w:val="26"/>
          <w:szCs w:val="26"/>
        </w:rPr>
        <w:t xml:space="preserve">1.4 Failure to </w:t>
      </w:r>
      <w:r w:rsidR="00511C2E">
        <w:rPr>
          <w:rFonts w:ascii="Arial" w:eastAsia="Times New Roman" w:hAnsi="Arial" w:cs="Arial"/>
          <w:color w:val="E86D1F"/>
          <w:sz w:val="26"/>
          <w:szCs w:val="26"/>
        </w:rPr>
        <w:t>M</w:t>
      </w:r>
      <w:r w:rsidRPr="00A12B00">
        <w:rPr>
          <w:rFonts w:ascii="Arial" w:eastAsia="Times New Roman" w:hAnsi="Arial" w:cs="Arial"/>
          <w:color w:val="E86D1F"/>
          <w:sz w:val="26"/>
          <w:szCs w:val="26"/>
        </w:rPr>
        <w:t xml:space="preserve">aintain </w:t>
      </w:r>
      <w:r w:rsidR="00511C2E">
        <w:rPr>
          <w:rFonts w:ascii="Arial" w:eastAsia="Times New Roman" w:hAnsi="Arial" w:cs="Arial"/>
          <w:color w:val="E86D1F"/>
          <w:sz w:val="26"/>
          <w:szCs w:val="26"/>
        </w:rPr>
        <w:t>Pac</w:t>
      </w:r>
      <w:r w:rsidRPr="00A12B00">
        <w:rPr>
          <w:rFonts w:ascii="Arial" w:eastAsia="Times New Roman" w:hAnsi="Arial" w:cs="Arial"/>
          <w:color w:val="E86D1F"/>
          <w:sz w:val="26"/>
          <w:szCs w:val="26"/>
        </w:rPr>
        <w:t xml:space="preserve">e with </w:t>
      </w:r>
      <w:r w:rsidR="00511C2E">
        <w:rPr>
          <w:rFonts w:ascii="Arial" w:eastAsia="Times New Roman" w:hAnsi="Arial" w:cs="Arial"/>
          <w:color w:val="E86D1F"/>
          <w:sz w:val="26"/>
          <w:szCs w:val="26"/>
        </w:rPr>
        <w:t>M</w:t>
      </w:r>
      <w:r w:rsidRPr="00A12B00">
        <w:rPr>
          <w:rFonts w:ascii="Arial" w:eastAsia="Times New Roman" w:hAnsi="Arial" w:cs="Arial"/>
          <w:color w:val="E86D1F"/>
          <w:sz w:val="26"/>
          <w:szCs w:val="26"/>
        </w:rPr>
        <w:t xml:space="preserve">odern </w:t>
      </w:r>
      <w:r w:rsidR="00511C2E">
        <w:rPr>
          <w:rFonts w:ascii="Arial" w:eastAsia="Times New Roman" w:hAnsi="Arial" w:cs="Arial"/>
          <w:color w:val="E86D1F"/>
          <w:sz w:val="26"/>
          <w:szCs w:val="26"/>
        </w:rPr>
        <w:t>L</w:t>
      </w:r>
      <w:r w:rsidRPr="00A12B00">
        <w:rPr>
          <w:rFonts w:ascii="Arial" w:eastAsia="Times New Roman" w:hAnsi="Arial" w:cs="Arial"/>
          <w:color w:val="E86D1F"/>
          <w:sz w:val="26"/>
          <w:szCs w:val="26"/>
        </w:rPr>
        <w:t xml:space="preserve">egislative </w:t>
      </w:r>
      <w:r w:rsidR="00511C2E">
        <w:rPr>
          <w:rFonts w:ascii="Arial" w:eastAsia="Times New Roman" w:hAnsi="Arial" w:cs="Arial"/>
          <w:color w:val="E86D1F"/>
          <w:sz w:val="26"/>
          <w:szCs w:val="26"/>
        </w:rPr>
        <w:t>D</w:t>
      </w:r>
      <w:r w:rsidRPr="00A12B00">
        <w:rPr>
          <w:rFonts w:ascii="Arial" w:eastAsia="Times New Roman" w:hAnsi="Arial" w:cs="Arial"/>
          <w:color w:val="E86D1F"/>
          <w:sz w:val="26"/>
          <w:szCs w:val="26"/>
        </w:rPr>
        <w:t>evelopments</w:t>
      </w:r>
      <w:bookmarkEnd w:id="27"/>
    </w:p>
    <w:p w14:paraId="4CED2719" w14:textId="77777777" w:rsidR="00A12B00" w:rsidRPr="00A12B00" w:rsidRDefault="00A12B00" w:rsidP="00A12B00">
      <w:pPr>
        <w:spacing w:line="240" w:lineRule="auto"/>
        <w:rPr>
          <w:rFonts w:ascii="Arial" w:eastAsia="Calibri" w:hAnsi="Arial" w:cs="Arial"/>
        </w:rPr>
      </w:pPr>
      <w:r w:rsidRPr="00A12B00">
        <w:rPr>
          <w:rFonts w:ascii="Arial" w:eastAsia="Calibri" w:hAnsi="Arial" w:cs="Arial"/>
        </w:rPr>
        <w:t xml:space="preserve">Australia’s current explosives regulatory regime is silent on many critical matters relating to modern explosives activities, or offers outdated, </w:t>
      </w:r>
      <w:proofErr w:type="spellStart"/>
      <w:r w:rsidRPr="00A12B00">
        <w:rPr>
          <w:rFonts w:ascii="Arial" w:eastAsia="Calibri" w:hAnsi="Arial" w:cs="Arial"/>
        </w:rPr>
        <w:t>unharmonized</w:t>
      </w:r>
      <w:proofErr w:type="spellEnd"/>
      <w:r w:rsidRPr="00A12B00">
        <w:rPr>
          <w:rFonts w:ascii="Arial" w:eastAsia="Calibri" w:hAnsi="Arial" w:cs="Arial"/>
        </w:rPr>
        <w:t xml:space="preserve"> regulation, which fails to leverage modern safety and security standards, potentially impacting the operational requirements of the Commonwealth. This issue is particularly evident in the examples of explosives storage and major hazard facilities (MHF), work health and safety, and visiting forces.  </w:t>
      </w:r>
    </w:p>
    <w:p w14:paraId="4101CC2A" w14:textId="03351122" w:rsidR="00A12B00" w:rsidRPr="00A12B00" w:rsidRDefault="00A12B00" w:rsidP="00A12B00">
      <w:pPr>
        <w:spacing w:after="0"/>
        <w:rPr>
          <w:rFonts w:ascii="Arial" w:eastAsia="Calibri" w:hAnsi="Arial" w:cs="Arial"/>
          <w:color w:val="997339"/>
        </w:rPr>
      </w:pPr>
      <w:r w:rsidRPr="00A12B00">
        <w:rPr>
          <w:rFonts w:ascii="Arial" w:eastAsia="Calibri" w:hAnsi="Arial" w:cs="Arial"/>
          <w:color w:val="997339"/>
        </w:rPr>
        <w:t xml:space="preserve">1.4.1 Explosives </w:t>
      </w:r>
      <w:r w:rsidR="00511C2E">
        <w:rPr>
          <w:rFonts w:ascii="Arial" w:eastAsia="Calibri" w:hAnsi="Arial" w:cs="Arial"/>
          <w:color w:val="997339"/>
        </w:rPr>
        <w:t>S</w:t>
      </w:r>
      <w:r w:rsidRPr="00A12B00">
        <w:rPr>
          <w:rFonts w:ascii="Arial" w:eastAsia="Calibri" w:hAnsi="Arial" w:cs="Arial"/>
          <w:color w:val="997339"/>
        </w:rPr>
        <w:t xml:space="preserve">torage and </w:t>
      </w:r>
      <w:r w:rsidR="00511C2E">
        <w:rPr>
          <w:rFonts w:ascii="Arial" w:eastAsia="Calibri" w:hAnsi="Arial" w:cs="Arial"/>
          <w:color w:val="997339"/>
        </w:rPr>
        <w:t>M</w:t>
      </w:r>
      <w:r w:rsidRPr="00A12B00">
        <w:rPr>
          <w:rFonts w:ascii="Arial" w:eastAsia="Calibri" w:hAnsi="Arial" w:cs="Arial"/>
          <w:color w:val="997339"/>
        </w:rPr>
        <w:t xml:space="preserve">ajor </w:t>
      </w:r>
      <w:r w:rsidR="00511C2E">
        <w:rPr>
          <w:rFonts w:ascii="Arial" w:eastAsia="Calibri" w:hAnsi="Arial" w:cs="Arial"/>
          <w:color w:val="997339"/>
        </w:rPr>
        <w:t>H</w:t>
      </w:r>
      <w:r w:rsidRPr="00A12B00">
        <w:rPr>
          <w:rFonts w:ascii="Arial" w:eastAsia="Calibri" w:hAnsi="Arial" w:cs="Arial"/>
          <w:color w:val="997339"/>
        </w:rPr>
        <w:t xml:space="preserve">azard </w:t>
      </w:r>
      <w:r w:rsidR="00511C2E">
        <w:rPr>
          <w:rFonts w:ascii="Arial" w:eastAsia="Calibri" w:hAnsi="Arial" w:cs="Arial"/>
          <w:color w:val="997339"/>
        </w:rPr>
        <w:t>F</w:t>
      </w:r>
      <w:r w:rsidRPr="00A12B00">
        <w:rPr>
          <w:rFonts w:ascii="Arial" w:eastAsia="Calibri" w:hAnsi="Arial" w:cs="Arial"/>
          <w:color w:val="997339"/>
        </w:rPr>
        <w:t xml:space="preserve">acilities (MHF) </w:t>
      </w:r>
    </w:p>
    <w:p w14:paraId="725069BA" w14:textId="4A71FAB3" w:rsidR="00AD3956" w:rsidRDefault="00A12B00" w:rsidP="00A12B00">
      <w:pPr>
        <w:autoSpaceDE w:val="0"/>
        <w:autoSpaceDN w:val="0"/>
        <w:adjustRightInd w:val="0"/>
        <w:spacing w:line="240" w:lineRule="auto"/>
        <w:rPr>
          <w:rFonts w:ascii="Arial" w:eastAsia="Calibri" w:hAnsi="Arial" w:cs="Arial"/>
        </w:rPr>
      </w:pPr>
      <w:r w:rsidRPr="00A12B00">
        <w:rPr>
          <w:rFonts w:ascii="Arial" w:eastAsia="Calibri" w:hAnsi="Arial" w:cs="Arial"/>
        </w:rPr>
        <w:t xml:space="preserve">The current Commonwealth explosives regime makes no provision for the storage of explosives. This means there is no specific Commonwealth legislative standard for the storage of explosives in quantities that do not exceed the threshold quantity specified in Schedule 15 of the </w:t>
      </w:r>
      <w:r w:rsidRPr="00A12B00">
        <w:rPr>
          <w:rFonts w:ascii="Arial" w:eastAsia="Calibri" w:hAnsi="Arial" w:cs="Arial"/>
          <w:i/>
          <w:iCs/>
        </w:rPr>
        <w:t>Work Health and Safety Regulations 2011</w:t>
      </w:r>
      <w:r w:rsidRPr="00A12B00">
        <w:rPr>
          <w:rFonts w:ascii="Arial" w:eastAsia="Calibri" w:hAnsi="Arial" w:cs="Arial"/>
        </w:rPr>
        <w:t xml:space="preserve"> (</w:t>
      </w:r>
      <w:proofErr w:type="spellStart"/>
      <w:r w:rsidRPr="00A12B00">
        <w:rPr>
          <w:rFonts w:ascii="Arial" w:eastAsia="Calibri" w:hAnsi="Arial" w:cs="Arial"/>
        </w:rPr>
        <w:t>Cth</w:t>
      </w:r>
      <w:proofErr w:type="spellEnd"/>
      <w:r w:rsidRPr="00A12B00">
        <w:rPr>
          <w:rFonts w:ascii="Arial" w:eastAsia="Calibri" w:hAnsi="Arial" w:cs="Arial"/>
        </w:rPr>
        <w:t xml:space="preserve">) (‘WHS Regulations’). </w:t>
      </w:r>
      <w:r w:rsidRPr="00A12B00">
        <w:rPr>
          <w:rFonts w:ascii="Arial" w:eastAsia="Calibri" w:hAnsi="Arial" w:cs="Arial"/>
        </w:rPr>
        <w:lastRenderedPageBreak/>
        <w:t xml:space="preserve">The nature of Commonwealth explosives activities and associated operational needs means the Commonwealth is likely to store varying quantities of explosives including, in some cases, quantities which fall short of the quantities specified by the WHS Regulations. </w:t>
      </w:r>
    </w:p>
    <w:p w14:paraId="7D02382D" w14:textId="39D923F1" w:rsidR="00A12B00" w:rsidRPr="00A12B00" w:rsidRDefault="00A12B00" w:rsidP="00A12B00">
      <w:pPr>
        <w:autoSpaceDE w:val="0"/>
        <w:autoSpaceDN w:val="0"/>
        <w:adjustRightInd w:val="0"/>
        <w:spacing w:line="240" w:lineRule="auto"/>
        <w:rPr>
          <w:rFonts w:ascii="Arial" w:eastAsia="Calibri" w:hAnsi="Arial" w:cs="Arial"/>
        </w:rPr>
      </w:pPr>
      <w:r w:rsidRPr="00A12B00">
        <w:rPr>
          <w:rFonts w:ascii="Arial" w:eastAsia="Calibri" w:hAnsi="Arial" w:cs="Arial"/>
        </w:rPr>
        <w:t xml:space="preserve">This legislative gap undermines the safety and security of Commonwealth explosives which, due to their inherent vulnerabilities and attached risks, remains a prominent concern regardless of the quantity of explosives to be stored. </w:t>
      </w:r>
      <w:r w:rsidR="008B7D8C">
        <w:rPr>
          <w:rFonts w:ascii="Arial" w:eastAsia="Calibri" w:hAnsi="Arial" w:cs="Arial"/>
        </w:rPr>
        <w:t xml:space="preserve">Further, with technological developments in the composition of explosives materials, even small quantities of Commonwealth explosives can cause considerable destruction. </w:t>
      </w:r>
      <w:r w:rsidRPr="00A12B00">
        <w:rPr>
          <w:rFonts w:ascii="Arial" w:eastAsia="Calibri" w:hAnsi="Arial" w:cs="Arial"/>
        </w:rPr>
        <w:t>As demonstrated through the case studies earlier in this section, explosives storage – if not undertaken in accordance with high safety and security standards – poses risks to individuals and the broader community.</w:t>
      </w:r>
    </w:p>
    <w:p w14:paraId="59321D24" w14:textId="646E4E42" w:rsidR="00A12B00" w:rsidRPr="00A12B00" w:rsidRDefault="00AD3956" w:rsidP="00A12B00">
      <w:pPr>
        <w:autoSpaceDE w:val="0"/>
        <w:autoSpaceDN w:val="0"/>
        <w:adjustRightInd w:val="0"/>
        <w:spacing w:line="240" w:lineRule="auto"/>
        <w:rPr>
          <w:rFonts w:ascii="Arial" w:eastAsia="Calibri" w:hAnsi="Arial" w:cs="Arial"/>
        </w:rPr>
      </w:pPr>
      <w:r w:rsidRPr="00A12B00">
        <w:rPr>
          <w:rFonts w:ascii="Calibri" w:eastAsia="Calibri" w:hAnsi="Calibri" w:cs="Times New Roman"/>
          <w:noProof/>
          <w:lang w:eastAsia="en-AU"/>
        </w:rPr>
        <mc:AlternateContent>
          <mc:Choice Requires="wps">
            <w:drawing>
              <wp:anchor distT="0" distB="0" distL="114300" distR="114300" simplePos="0" relativeHeight="251686912" behindDoc="0" locked="0" layoutInCell="1" allowOverlap="1" wp14:anchorId="53C032F5" wp14:editId="76BD1B4E">
                <wp:simplePos x="0" y="0"/>
                <wp:positionH relativeFrom="margin">
                  <wp:align>left</wp:align>
                </wp:positionH>
                <wp:positionV relativeFrom="paragraph">
                  <wp:posOffset>-8255</wp:posOffset>
                </wp:positionV>
                <wp:extent cx="5528310" cy="129540"/>
                <wp:effectExtent l="0" t="0" r="0" b="3810"/>
                <wp:wrapNone/>
                <wp:docPr id="16" name="Text Box 16"/>
                <wp:cNvGraphicFramePr/>
                <a:graphic xmlns:a="http://schemas.openxmlformats.org/drawingml/2006/main">
                  <a:graphicData uri="http://schemas.microsoft.com/office/word/2010/wordprocessingShape">
                    <wps:wsp>
                      <wps:cNvSpPr txBox="1"/>
                      <wps:spPr>
                        <a:xfrm>
                          <a:off x="0" y="0"/>
                          <a:ext cx="5528310" cy="129540"/>
                        </a:xfrm>
                        <a:prstGeom prst="rect">
                          <a:avLst/>
                        </a:prstGeom>
                        <a:solidFill>
                          <a:prstClr val="white"/>
                        </a:solidFill>
                        <a:ln>
                          <a:noFill/>
                        </a:ln>
                      </wps:spPr>
                      <wps:txbx>
                        <w:txbxContent>
                          <w:p w14:paraId="58D1B583" w14:textId="14B721C4" w:rsidR="00B3427F" w:rsidRPr="001B352F" w:rsidRDefault="00B3427F" w:rsidP="00A12B00">
                            <w:pPr>
                              <w:pStyle w:val="Caption1"/>
                              <w:rPr>
                                <w:rFonts w:ascii="Arial" w:hAnsi="Arial" w:cs="Arial"/>
                                <w:noProof/>
                                <w:sz w:val="14"/>
                                <w:szCs w:val="14"/>
                              </w:rPr>
                            </w:pPr>
                            <w:bookmarkStart w:id="28" w:name="_Toc90385839"/>
                            <w:r w:rsidRPr="001B352F">
                              <w:rPr>
                                <w:rFonts w:ascii="Arial" w:hAnsi="Arial" w:cs="Arial"/>
                                <w:b/>
                                <w:bCs/>
                                <w:sz w:val="16"/>
                                <w:szCs w:val="16"/>
                              </w:rPr>
                              <w:t xml:space="preserve">Figure </w:t>
                            </w:r>
                            <w:r>
                              <w:rPr>
                                <w:rFonts w:ascii="Arial" w:hAnsi="Arial" w:cs="Arial"/>
                                <w:b/>
                                <w:bCs/>
                                <w:sz w:val="16"/>
                                <w:szCs w:val="16"/>
                              </w:rPr>
                              <w:fldChar w:fldCharType="begin"/>
                            </w:r>
                            <w:r>
                              <w:rPr>
                                <w:rFonts w:ascii="Arial" w:hAnsi="Arial" w:cs="Arial"/>
                                <w:b/>
                                <w:bCs/>
                                <w:sz w:val="16"/>
                                <w:szCs w:val="16"/>
                              </w:rPr>
                              <w:instrText xml:space="preserve"> SEQ Figure \* ARABIC </w:instrText>
                            </w:r>
                            <w:r>
                              <w:rPr>
                                <w:rFonts w:ascii="Arial" w:hAnsi="Arial" w:cs="Arial"/>
                                <w:b/>
                                <w:bCs/>
                                <w:sz w:val="16"/>
                                <w:szCs w:val="16"/>
                              </w:rPr>
                              <w:fldChar w:fldCharType="separate"/>
                            </w:r>
                            <w:r>
                              <w:rPr>
                                <w:rFonts w:ascii="Arial" w:hAnsi="Arial" w:cs="Arial"/>
                                <w:b/>
                                <w:bCs/>
                                <w:noProof/>
                                <w:sz w:val="16"/>
                                <w:szCs w:val="16"/>
                              </w:rPr>
                              <w:t>12</w:t>
                            </w:r>
                            <w:r>
                              <w:rPr>
                                <w:rFonts w:ascii="Arial" w:hAnsi="Arial" w:cs="Arial"/>
                                <w:b/>
                                <w:bCs/>
                                <w:sz w:val="16"/>
                                <w:szCs w:val="16"/>
                              </w:rPr>
                              <w:fldChar w:fldCharType="end"/>
                            </w:r>
                            <w:r w:rsidRPr="001B352F">
                              <w:rPr>
                                <w:rFonts w:ascii="Arial" w:hAnsi="Arial" w:cs="Arial"/>
                                <w:b/>
                                <w:bCs/>
                                <w:sz w:val="16"/>
                                <w:szCs w:val="16"/>
                              </w:rPr>
                              <w:t>:</w:t>
                            </w:r>
                            <w:r w:rsidRPr="001B352F">
                              <w:rPr>
                                <w:rFonts w:ascii="Arial" w:hAnsi="Arial" w:cs="Arial"/>
                                <w:sz w:val="16"/>
                                <w:szCs w:val="16"/>
                              </w:rPr>
                              <w:t xml:space="preserve"> Consultation Insights</w:t>
                            </w:r>
                            <w:bookmarkEnd w:id="28"/>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3C032F5" id="Text Box 16" o:spid="_x0000_s1046" type="#_x0000_t202" style="position:absolute;margin-left:0;margin-top:-.65pt;width:435.3pt;height:10.2pt;z-index:2516869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" stroked="f">
                <v:textbox inset="0,0,0,0">
                  <w:txbxContent>
                    <w:p w14:paraId="58D1B583" w14:textId="14B721C4" w:rsidR="00B3427F" w:rsidRPr="001B352F" w:rsidRDefault="00B3427F" w:rsidP="00A12B00">
                      <w:pPr>
                        <w:pStyle w:val="Caption1"/>
                        <w:rPr>
                          <w:rFonts w:ascii="Arial" w:hAnsi="Arial" w:cs="Arial"/>
                          <w:noProof/>
                          <w:sz w:val="14"/>
                          <w:szCs w:val="14"/>
                        </w:rPr>
                      </w:pPr>
                      <w:bookmarkStart w:id="89" w:name="_Toc90385839"/>
                      <w:r w:rsidRPr="001B352F">
                        <w:rPr>
                          <w:rFonts w:ascii="Arial" w:hAnsi="Arial" w:cs="Arial"/>
                          <w:b/>
                          <w:bCs/>
                          <w:sz w:val="16"/>
                          <w:szCs w:val="16"/>
                        </w:rPr>
                        <w:t xml:space="preserve">Figure </w:t>
                      </w:r>
                      <w:r>
                        <w:rPr>
                          <w:rFonts w:ascii="Arial" w:hAnsi="Arial" w:cs="Arial"/>
                          <w:b/>
                          <w:bCs/>
                          <w:sz w:val="16"/>
                          <w:szCs w:val="16"/>
                        </w:rPr>
                        <w:fldChar w:fldCharType="begin"/>
                      </w:r>
                      <w:r>
                        <w:rPr>
                          <w:rFonts w:ascii="Arial" w:hAnsi="Arial" w:cs="Arial"/>
                          <w:b/>
                          <w:bCs/>
                          <w:sz w:val="16"/>
                          <w:szCs w:val="16"/>
                        </w:rPr>
                        <w:instrText xml:space="preserve"> SEQ Figure \* ARABIC </w:instrText>
                      </w:r>
                      <w:r>
                        <w:rPr>
                          <w:rFonts w:ascii="Arial" w:hAnsi="Arial" w:cs="Arial"/>
                          <w:b/>
                          <w:bCs/>
                          <w:sz w:val="16"/>
                          <w:szCs w:val="16"/>
                        </w:rPr>
                        <w:fldChar w:fldCharType="separate"/>
                      </w:r>
                      <w:r>
                        <w:rPr>
                          <w:rFonts w:ascii="Arial" w:hAnsi="Arial" w:cs="Arial"/>
                          <w:b/>
                          <w:bCs/>
                          <w:noProof/>
                          <w:sz w:val="16"/>
                          <w:szCs w:val="16"/>
                        </w:rPr>
                        <w:t>12</w:t>
                      </w:r>
                      <w:r>
                        <w:rPr>
                          <w:rFonts w:ascii="Arial" w:hAnsi="Arial" w:cs="Arial"/>
                          <w:b/>
                          <w:bCs/>
                          <w:sz w:val="16"/>
                          <w:szCs w:val="16"/>
                        </w:rPr>
                        <w:fldChar w:fldCharType="end"/>
                      </w:r>
                      <w:r w:rsidRPr="001B352F">
                        <w:rPr>
                          <w:rFonts w:ascii="Arial" w:hAnsi="Arial" w:cs="Arial"/>
                          <w:b/>
                          <w:bCs/>
                          <w:sz w:val="16"/>
                          <w:szCs w:val="16"/>
                        </w:rPr>
                        <w:t>:</w:t>
                      </w:r>
                      <w:r w:rsidRPr="001B352F">
                        <w:rPr>
                          <w:rFonts w:ascii="Arial" w:hAnsi="Arial" w:cs="Arial"/>
                          <w:sz w:val="16"/>
                          <w:szCs w:val="16"/>
                        </w:rPr>
                        <w:t xml:space="preserve"> Consultation Insights</w:t>
                      </w:r>
                      <w:bookmarkEnd w:id="89"/>
                    </w:p>
                  </w:txbxContent>
                </v:textbox>
                <w10:wrap anchorx="margin"/>
              </v:shape>
            </w:pict>
          </mc:Fallback>
        </mc:AlternateContent>
      </w:r>
      <w:r w:rsidR="00A12B00" w:rsidRPr="00A12B00">
        <w:rPr>
          <w:rFonts w:ascii="Arial" w:eastAsia="Calibri" w:hAnsi="Arial" w:cs="Arial"/>
          <w:noProof/>
          <w:lang w:eastAsia="en-AU"/>
        </w:rPr>
        <mc:AlternateContent>
          <mc:Choice Requires="wps">
            <w:drawing>
              <wp:anchor distT="0" distB="0" distL="114300" distR="114300" simplePos="0" relativeHeight="251685888" behindDoc="0" locked="0" layoutInCell="1" allowOverlap="1" wp14:anchorId="4CB5FE43" wp14:editId="388FAE0E">
                <wp:simplePos x="0" y="0"/>
                <wp:positionH relativeFrom="margin">
                  <wp:align>left</wp:align>
                </wp:positionH>
                <wp:positionV relativeFrom="paragraph">
                  <wp:posOffset>146685</wp:posOffset>
                </wp:positionV>
                <wp:extent cx="5528310" cy="624840"/>
                <wp:effectExtent l="0" t="0" r="15240" b="22860"/>
                <wp:wrapNone/>
                <wp:docPr id="15" name="Rectangle: Rounded Corners 15"/>
                <wp:cNvGraphicFramePr/>
                <a:graphic xmlns:a="http://schemas.openxmlformats.org/drawingml/2006/main">
                  <a:graphicData uri="http://schemas.microsoft.com/office/word/2010/wordprocessingShape">
                    <wps:wsp>
                      <wps:cNvSpPr/>
                      <wps:spPr>
                        <a:xfrm>
                          <a:off x="0" y="0"/>
                          <a:ext cx="5528310" cy="624840"/>
                        </a:xfrm>
                        <a:prstGeom prst="roundRect">
                          <a:avLst/>
                        </a:prstGeom>
                        <a:solidFill>
                          <a:srgbClr val="C19859">
                            <a:lumMod val="20000"/>
                            <a:lumOff val="80000"/>
                          </a:srgbClr>
                        </a:solidFill>
                        <a:ln w="12700" cap="flat" cmpd="sng" algn="ctr">
                          <a:solidFill>
                            <a:srgbClr val="C19859"/>
                          </a:solidFill>
                          <a:prstDash val="solid"/>
                          <a:miter lim="800000"/>
                        </a:ln>
                        <a:effectLst/>
                      </wps:spPr>
                      <wps:txbx>
                        <w:txbxContent>
                          <w:p w14:paraId="002D4D84" w14:textId="77777777" w:rsidR="00B3427F" w:rsidRPr="00CA5D7E" w:rsidRDefault="00B3427F" w:rsidP="00A12B00">
                            <w:pPr>
                              <w:jc w:val="center"/>
                              <w:rPr>
                                <w:rFonts w:ascii="Arial" w:hAnsi="Arial" w:cs="Arial"/>
                                <w:i/>
                                <w:iCs/>
                                <w:sz w:val="20"/>
                                <w:szCs w:val="20"/>
                              </w:rPr>
                            </w:pPr>
                            <w:r>
                              <w:rPr>
                                <w:rFonts w:ascii="Arial" w:hAnsi="Arial" w:cs="Arial"/>
                                <w:i/>
                                <w:iCs/>
                                <w:sz w:val="20"/>
                                <w:szCs w:val="20"/>
                              </w:rPr>
                              <w:t xml:space="preserve">“The consequences from [issues with] security or storage even below MHF thresholds </w:t>
                            </w:r>
                            <w:r w:rsidRPr="007D3CD4">
                              <w:rPr>
                                <w:rFonts w:ascii="Arial" w:hAnsi="Arial" w:cs="Arial"/>
                                <w:b/>
                                <w:bCs/>
                                <w:i/>
                                <w:iCs/>
                                <w:sz w:val="20"/>
                                <w:szCs w:val="20"/>
                              </w:rPr>
                              <w:t>is a significant risk</w:t>
                            </w:r>
                            <w:r>
                              <w:rPr>
                                <w:rFonts w:ascii="Arial" w:hAnsi="Arial" w:cs="Arial"/>
                                <w:i/>
                                <w:iCs/>
                                <w:sz w:val="20"/>
                                <w:szCs w:val="20"/>
                              </w:rPr>
                              <w:t xml:space="preserve">. Public perception is also a factor. </w:t>
                            </w:r>
                            <w:r w:rsidRPr="007D3CD4">
                              <w:rPr>
                                <w:rFonts w:ascii="Arial" w:hAnsi="Arial" w:cs="Arial"/>
                                <w:b/>
                                <w:bCs/>
                                <w:i/>
                                <w:iCs/>
                                <w:sz w:val="20"/>
                                <w:szCs w:val="20"/>
                              </w:rPr>
                              <w:t>How many people can you kill and have the risk level tolerable?</w:t>
                            </w:r>
                            <w:r>
                              <w:rPr>
                                <w:rFonts w:ascii="Arial" w:hAnsi="Arial" w:cs="Arial"/>
                                <w:i/>
                                <w:iCs/>
                                <w:sz w:val="20"/>
                                <w:szCs w:val="20"/>
                              </w:rPr>
                              <w:t xml:space="preserve"> Storage below MHF thresholds is very important.”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4CB5FE43" id="Rectangle: Rounded Corners 15" o:spid="_x0000_s1047" style="position:absolute;margin-left:0;margin-top:11.55pt;width:435.3pt;height:49.2pt;z-index:2516858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" fillcolor="#f3eade" strokecolor="#c19859" strokeweight="1pt">
                <v:stroke joinstyle="miter"/>
                <v:textbox>
                  <w:txbxContent>
                    <w:p w14:paraId="002D4D84" w14:textId="77777777" w:rsidR="00B3427F" w:rsidRPr="00CA5D7E" w:rsidRDefault="00B3427F" w:rsidP="00A12B00">
                      <w:pPr>
                        <w:jc w:val="center"/>
                        <w:rPr>
                          <w:rFonts w:ascii="Arial" w:hAnsi="Arial" w:cs="Arial"/>
                          <w:i/>
                          <w:iCs/>
                          <w:sz w:val="20"/>
                          <w:szCs w:val="20"/>
                        </w:rPr>
                      </w:pPr>
                      <w:r>
                        <w:rPr>
                          <w:rFonts w:ascii="Arial" w:hAnsi="Arial" w:cs="Arial"/>
                          <w:i/>
                          <w:iCs/>
                          <w:sz w:val="20"/>
                          <w:szCs w:val="20"/>
                        </w:rPr>
                        <w:t xml:space="preserve">“The consequences from [issues with] security or storage even below MHF thresholds </w:t>
                      </w:r>
                      <w:r w:rsidRPr="007D3CD4">
                        <w:rPr>
                          <w:rFonts w:ascii="Arial" w:hAnsi="Arial" w:cs="Arial"/>
                          <w:b/>
                          <w:bCs/>
                          <w:i/>
                          <w:iCs/>
                          <w:sz w:val="20"/>
                          <w:szCs w:val="20"/>
                        </w:rPr>
                        <w:t>is a significant risk</w:t>
                      </w:r>
                      <w:r>
                        <w:rPr>
                          <w:rFonts w:ascii="Arial" w:hAnsi="Arial" w:cs="Arial"/>
                          <w:i/>
                          <w:iCs/>
                          <w:sz w:val="20"/>
                          <w:szCs w:val="20"/>
                        </w:rPr>
                        <w:t xml:space="preserve">. Public perception is also a factor. </w:t>
                      </w:r>
                      <w:r w:rsidRPr="007D3CD4">
                        <w:rPr>
                          <w:rFonts w:ascii="Arial" w:hAnsi="Arial" w:cs="Arial"/>
                          <w:b/>
                          <w:bCs/>
                          <w:i/>
                          <w:iCs/>
                          <w:sz w:val="20"/>
                          <w:szCs w:val="20"/>
                        </w:rPr>
                        <w:t>How many people can you kill and have the risk level tolerable?</w:t>
                      </w:r>
                      <w:r>
                        <w:rPr>
                          <w:rFonts w:ascii="Arial" w:hAnsi="Arial" w:cs="Arial"/>
                          <w:i/>
                          <w:iCs/>
                          <w:sz w:val="20"/>
                          <w:szCs w:val="20"/>
                        </w:rPr>
                        <w:t xml:space="preserve"> Storage below MHF thresholds is very important.”</w:t>
                      </w:r>
                    </w:p>
                  </w:txbxContent>
                </v:textbox>
                <w10:wrap anchorx="margin"/>
              </v:roundrect>
            </w:pict>
          </mc:Fallback>
        </mc:AlternateContent>
      </w:r>
    </w:p>
    <w:p w14:paraId="7294E596" w14:textId="77777777" w:rsidR="00A12B00" w:rsidRPr="00A12B00" w:rsidRDefault="00A12B00" w:rsidP="00A12B00">
      <w:pPr>
        <w:autoSpaceDE w:val="0"/>
        <w:autoSpaceDN w:val="0"/>
        <w:adjustRightInd w:val="0"/>
        <w:spacing w:line="240" w:lineRule="auto"/>
        <w:rPr>
          <w:rFonts w:ascii="Arial" w:eastAsia="Calibri" w:hAnsi="Arial" w:cs="Arial"/>
        </w:rPr>
      </w:pPr>
    </w:p>
    <w:p w14:paraId="1D5D2E59" w14:textId="77777777" w:rsidR="001B352F" w:rsidRDefault="001B352F" w:rsidP="00A12B00">
      <w:pPr>
        <w:autoSpaceDE w:val="0"/>
        <w:autoSpaceDN w:val="0"/>
        <w:adjustRightInd w:val="0"/>
        <w:spacing w:before="240" w:line="240" w:lineRule="auto"/>
        <w:rPr>
          <w:rFonts w:ascii="Arial" w:eastAsia="Calibri" w:hAnsi="Arial" w:cs="Arial"/>
        </w:rPr>
      </w:pPr>
    </w:p>
    <w:p w14:paraId="787ED03C" w14:textId="24018731" w:rsidR="00A12B00" w:rsidRPr="00A12B00" w:rsidRDefault="00A12B00" w:rsidP="00A12B00">
      <w:pPr>
        <w:autoSpaceDE w:val="0"/>
        <w:autoSpaceDN w:val="0"/>
        <w:adjustRightInd w:val="0"/>
        <w:spacing w:before="240" w:line="240" w:lineRule="auto"/>
        <w:rPr>
          <w:rFonts w:ascii="Arial" w:eastAsia="Calibri" w:hAnsi="Arial" w:cs="Arial"/>
        </w:rPr>
      </w:pPr>
      <w:r w:rsidRPr="00A12B00">
        <w:rPr>
          <w:rFonts w:ascii="Arial" w:eastAsia="Calibri" w:hAnsi="Arial" w:cs="Arial"/>
        </w:rPr>
        <w:t xml:space="preserve">Currently, the storage of quantities of explosives below the WHS Regulation specifications is left to </w:t>
      </w:r>
      <w:r w:rsidR="00E3505F">
        <w:rPr>
          <w:rFonts w:ascii="Arial" w:eastAsia="Calibri" w:hAnsi="Arial" w:cs="Arial"/>
        </w:rPr>
        <w:t>the a</w:t>
      </w:r>
      <w:r w:rsidRPr="00A12B00">
        <w:rPr>
          <w:rFonts w:ascii="Arial" w:eastAsia="Calibri" w:hAnsi="Arial" w:cs="Arial"/>
        </w:rPr>
        <w:t xml:space="preserve">pplication of </w:t>
      </w:r>
      <w:r w:rsidR="00CB0533">
        <w:rPr>
          <w:rFonts w:ascii="Arial" w:eastAsia="Calibri" w:hAnsi="Arial" w:cs="Arial"/>
        </w:rPr>
        <w:t>S</w:t>
      </w:r>
      <w:r w:rsidRPr="00A12B00">
        <w:rPr>
          <w:rFonts w:ascii="Arial" w:eastAsia="Calibri" w:hAnsi="Arial" w:cs="Arial"/>
        </w:rPr>
        <w:t xml:space="preserve">tate and </w:t>
      </w:r>
      <w:r w:rsidR="00CB0533">
        <w:rPr>
          <w:rFonts w:ascii="Arial" w:eastAsia="Calibri" w:hAnsi="Arial" w:cs="Arial"/>
        </w:rPr>
        <w:t>T</w:t>
      </w:r>
      <w:r w:rsidRPr="00A12B00">
        <w:rPr>
          <w:rFonts w:ascii="Arial" w:eastAsia="Calibri" w:hAnsi="Arial" w:cs="Arial"/>
        </w:rPr>
        <w:t xml:space="preserve">erritory explosives laws, to the extent they apply to that activity and are not displaced by a Commonwealth exemption. Where the relevant </w:t>
      </w:r>
      <w:r w:rsidR="00CB0533">
        <w:rPr>
          <w:rFonts w:ascii="Arial" w:eastAsia="Calibri" w:hAnsi="Arial" w:cs="Arial"/>
        </w:rPr>
        <w:t>S</w:t>
      </w:r>
      <w:r w:rsidRPr="00A12B00">
        <w:rPr>
          <w:rFonts w:ascii="Arial" w:eastAsia="Calibri" w:hAnsi="Arial" w:cs="Arial"/>
        </w:rPr>
        <w:t xml:space="preserve">tate or </w:t>
      </w:r>
      <w:r w:rsidR="00CB0533">
        <w:rPr>
          <w:rFonts w:ascii="Arial" w:eastAsia="Calibri" w:hAnsi="Arial" w:cs="Arial"/>
        </w:rPr>
        <w:t>T</w:t>
      </w:r>
      <w:r w:rsidRPr="00A12B00">
        <w:rPr>
          <w:rFonts w:ascii="Arial" w:eastAsia="Calibri" w:hAnsi="Arial" w:cs="Arial"/>
        </w:rPr>
        <w:t>erritory law is displaced (or otherwise not applicable), it is arguable that no specific regulatory measures will apply to the storage of explosives.</w:t>
      </w:r>
    </w:p>
    <w:p w14:paraId="34078B3A" w14:textId="2899AE9A" w:rsidR="00A12B00" w:rsidRPr="00A12B00" w:rsidRDefault="00A12B00" w:rsidP="00A12B00">
      <w:pPr>
        <w:autoSpaceDE w:val="0"/>
        <w:autoSpaceDN w:val="0"/>
        <w:adjustRightInd w:val="0"/>
        <w:spacing w:line="240" w:lineRule="auto"/>
        <w:rPr>
          <w:rFonts w:ascii="Arial" w:eastAsia="Calibri" w:hAnsi="Arial" w:cs="Arial"/>
        </w:rPr>
      </w:pPr>
      <w:r w:rsidRPr="00A12B00">
        <w:rPr>
          <w:rFonts w:ascii="Arial" w:eastAsia="Calibri" w:hAnsi="Arial" w:cs="Arial"/>
        </w:rPr>
        <w:t xml:space="preserve">In addition, where </w:t>
      </w:r>
      <w:r w:rsidR="0008052B">
        <w:rPr>
          <w:rFonts w:ascii="Arial" w:eastAsia="Calibri" w:hAnsi="Arial" w:cs="Arial"/>
        </w:rPr>
        <w:t>S</w:t>
      </w:r>
      <w:r w:rsidRPr="00A12B00">
        <w:rPr>
          <w:rFonts w:ascii="Arial" w:eastAsia="Calibri" w:hAnsi="Arial" w:cs="Arial"/>
        </w:rPr>
        <w:t xml:space="preserve">tate and </w:t>
      </w:r>
      <w:r w:rsidR="0008052B">
        <w:rPr>
          <w:rFonts w:ascii="Arial" w:eastAsia="Calibri" w:hAnsi="Arial" w:cs="Arial"/>
        </w:rPr>
        <w:t>T</w:t>
      </w:r>
      <w:r w:rsidRPr="00A12B00">
        <w:rPr>
          <w:rFonts w:ascii="Arial" w:eastAsia="Calibri" w:hAnsi="Arial" w:cs="Arial"/>
        </w:rPr>
        <w:t xml:space="preserve">erritory laws do apply, there are significant inconsistencies across each jurisdictions’ regime. In some jurisdictions, storage is regulated under the relevant state or territory’s WHS regime. While, in other jurisdictions such as Queensland and South Australia, storage regulation falls to the </w:t>
      </w:r>
      <w:r w:rsidR="0008052B">
        <w:rPr>
          <w:rFonts w:ascii="Arial" w:eastAsia="Calibri" w:hAnsi="Arial" w:cs="Arial"/>
        </w:rPr>
        <w:t>S</w:t>
      </w:r>
      <w:r w:rsidRPr="00A12B00">
        <w:rPr>
          <w:rFonts w:ascii="Arial" w:eastAsia="Calibri" w:hAnsi="Arial" w:cs="Arial"/>
        </w:rPr>
        <w:t xml:space="preserve">tate or </w:t>
      </w:r>
      <w:r w:rsidR="0008052B">
        <w:rPr>
          <w:rFonts w:ascii="Arial" w:eastAsia="Calibri" w:hAnsi="Arial" w:cs="Arial"/>
        </w:rPr>
        <w:t>T</w:t>
      </w:r>
      <w:r w:rsidRPr="00A12B00">
        <w:rPr>
          <w:rFonts w:ascii="Arial" w:eastAsia="Calibri" w:hAnsi="Arial" w:cs="Arial"/>
        </w:rPr>
        <w:t xml:space="preserve">erritory’s explosives legislation. </w:t>
      </w:r>
    </w:p>
    <w:p w14:paraId="20750C9C" w14:textId="0A7E775A" w:rsidR="00A12B00" w:rsidRPr="00A12B00" w:rsidRDefault="00A12B00" w:rsidP="00A12B00">
      <w:pPr>
        <w:autoSpaceDE w:val="0"/>
        <w:autoSpaceDN w:val="0"/>
        <w:adjustRightInd w:val="0"/>
        <w:spacing w:after="240" w:line="240" w:lineRule="auto"/>
        <w:rPr>
          <w:rFonts w:ascii="Arial" w:eastAsia="Calibri" w:hAnsi="Arial" w:cs="Arial"/>
        </w:rPr>
      </w:pPr>
      <w:r w:rsidRPr="00A12B00">
        <w:rPr>
          <w:rFonts w:ascii="Arial" w:eastAsia="Calibri" w:hAnsi="Arial" w:cs="Arial"/>
        </w:rPr>
        <w:t xml:space="preserve">Further inconsistency arises in the specific application of each </w:t>
      </w:r>
      <w:r w:rsidR="009D71E2">
        <w:rPr>
          <w:rFonts w:ascii="Arial" w:eastAsia="Calibri" w:hAnsi="Arial" w:cs="Arial"/>
        </w:rPr>
        <w:t>S</w:t>
      </w:r>
      <w:r w:rsidRPr="00A12B00">
        <w:rPr>
          <w:rFonts w:ascii="Arial" w:eastAsia="Calibri" w:hAnsi="Arial" w:cs="Arial"/>
        </w:rPr>
        <w:t xml:space="preserve">tate and </w:t>
      </w:r>
      <w:r w:rsidR="009D71E2">
        <w:rPr>
          <w:rFonts w:ascii="Arial" w:eastAsia="Calibri" w:hAnsi="Arial" w:cs="Arial"/>
        </w:rPr>
        <w:t>T</w:t>
      </w:r>
      <w:r w:rsidRPr="00A12B00">
        <w:rPr>
          <w:rFonts w:ascii="Arial" w:eastAsia="Calibri" w:hAnsi="Arial" w:cs="Arial"/>
        </w:rPr>
        <w:t xml:space="preserve">erritory’s storage regulation. For example, in Western Australia, the </w:t>
      </w:r>
      <w:r w:rsidRPr="00A12B00">
        <w:rPr>
          <w:rFonts w:ascii="Arial" w:eastAsia="Calibri" w:hAnsi="Arial" w:cs="Arial"/>
          <w:i/>
          <w:iCs/>
        </w:rPr>
        <w:t>Dangerous Goods Safety (Major Hazard Facilities) Regulations 2007</w:t>
      </w:r>
      <w:r w:rsidRPr="00A12B00">
        <w:rPr>
          <w:rFonts w:ascii="Arial" w:eastAsia="Calibri" w:hAnsi="Arial" w:cs="Arial"/>
        </w:rPr>
        <w:t xml:space="preserve">, do not apply to a storage facility if the only dangerous goods that are or are likely to be present are explosives, in circumstances where an explosives storage licence is already required. In other jurisdictions, compliance with storage regulations is required in addition to, or instead of, a storage licence. These regulatory gaps create significant complexity, for Commonwealth contractors operating across multiple jurisdictions, and for Commonwealth stakeholders seeking to ensure the safety and security of explosives through compliance. </w:t>
      </w:r>
    </w:p>
    <w:p w14:paraId="45717CA9" w14:textId="5EEACCB6" w:rsidR="00A12B00" w:rsidRPr="00A12B00" w:rsidRDefault="00A12B00" w:rsidP="00A12B00">
      <w:pPr>
        <w:spacing w:after="0"/>
        <w:rPr>
          <w:rFonts w:ascii="Arial" w:eastAsia="Calibri" w:hAnsi="Arial" w:cs="Arial"/>
        </w:rPr>
      </w:pPr>
      <w:r w:rsidRPr="00A12B00">
        <w:rPr>
          <w:rFonts w:ascii="Arial" w:eastAsia="Calibri" w:hAnsi="Arial" w:cs="Arial"/>
          <w:color w:val="997339"/>
        </w:rPr>
        <w:t xml:space="preserve">1.4.2 Work </w:t>
      </w:r>
      <w:r w:rsidR="00511C2E">
        <w:rPr>
          <w:rFonts w:ascii="Arial" w:eastAsia="Calibri" w:hAnsi="Arial" w:cs="Arial"/>
          <w:color w:val="997339"/>
        </w:rPr>
        <w:t>H</w:t>
      </w:r>
      <w:r w:rsidRPr="00A12B00">
        <w:rPr>
          <w:rFonts w:ascii="Arial" w:eastAsia="Calibri" w:hAnsi="Arial" w:cs="Arial"/>
          <w:color w:val="997339"/>
        </w:rPr>
        <w:t xml:space="preserve">ealth and </w:t>
      </w:r>
      <w:r w:rsidR="00511C2E">
        <w:rPr>
          <w:rFonts w:ascii="Arial" w:eastAsia="Calibri" w:hAnsi="Arial" w:cs="Arial"/>
          <w:color w:val="997339"/>
        </w:rPr>
        <w:t>S</w:t>
      </w:r>
      <w:r w:rsidRPr="00A12B00">
        <w:rPr>
          <w:rFonts w:ascii="Arial" w:eastAsia="Calibri" w:hAnsi="Arial" w:cs="Arial"/>
          <w:color w:val="997339"/>
        </w:rPr>
        <w:t>afety</w:t>
      </w:r>
    </w:p>
    <w:p w14:paraId="2DC83DE1" w14:textId="77777777" w:rsidR="00A12B00" w:rsidRPr="00A12B00" w:rsidRDefault="00A12B00" w:rsidP="00A12B00">
      <w:pPr>
        <w:autoSpaceDE w:val="0"/>
        <w:autoSpaceDN w:val="0"/>
        <w:adjustRightInd w:val="0"/>
        <w:spacing w:line="240" w:lineRule="auto"/>
        <w:rPr>
          <w:rFonts w:ascii="Arial" w:eastAsia="Calibri" w:hAnsi="Arial" w:cs="Arial"/>
        </w:rPr>
      </w:pPr>
      <w:r w:rsidRPr="00A12B00">
        <w:rPr>
          <w:rFonts w:ascii="Arial" w:eastAsia="Calibri" w:hAnsi="Arial" w:cs="Arial"/>
        </w:rPr>
        <w:t xml:space="preserve">The introduction and subsequent adoption of the model WHS laws by Australia’s states and territories (excluding Victoria) occurred after the most recent amendments to Australia’s current explosives regulatory regime. As a result, the Commonwealth explosives regulatory regime does not reflect the modern legislative developments contained in the model WHS law, nor does it leverage the safety and security standards it contains. </w:t>
      </w:r>
    </w:p>
    <w:p w14:paraId="75FABC73" w14:textId="77777777" w:rsidR="00A12B00" w:rsidRPr="00A12B00" w:rsidRDefault="00A12B00" w:rsidP="00A12B00">
      <w:pPr>
        <w:autoSpaceDE w:val="0"/>
        <w:autoSpaceDN w:val="0"/>
        <w:adjustRightInd w:val="0"/>
        <w:spacing w:line="240" w:lineRule="auto"/>
        <w:rPr>
          <w:rFonts w:ascii="Arial" w:eastAsia="Calibri" w:hAnsi="Arial" w:cs="Arial"/>
        </w:rPr>
      </w:pPr>
      <w:r w:rsidRPr="00A12B00">
        <w:rPr>
          <w:rFonts w:ascii="Arial" w:eastAsia="Calibri" w:hAnsi="Arial" w:cs="Arial"/>
        </w:rPr>
        <w:t xml:space="preserve">For example, the </w:t>
      </w:r>
      <w:r w:rsidRPr="00A12B00">
        <w:rPr>
          <w:rFonts w:ascii="Arial" w:eastAsia="Calibri" w:hAnsi="Arial" w:cs="Arial"/>
          <w:i/>
          <w:iCs/>
        </w:rPr>
        <w:t>Work Health and Safety Act 2011</w:t>
      </w:r>
      <w:r w:rsidRPr="00A12B00">
        <w:rPr>
          <w:rFonts w:ascii="Arial" w:eastAsia="Calibri" w:hAnsi="Arial" w:cs="Arial"/>
        </w:rPr>
        <w:t xml:space="preserve"> (</w:t>
      </w:r>
      <w:proofErr w:type="spellStart"/>
      <w:r w:rsidRPr="00A12B00">
        <w:rPr>
          <w:rFonts w:ascii="Arial" w:eastAsia="Calibri" w:hAnsi="Arial" w:cs="Arial"/>
        </w:rPr>
        <w:t>Cth</w:t>
      </w:r>
      <w:proofErr w:type="spellEnd"/>
      <w:r w:rsidRPr="00A12B00">
        <w:rPr>
          <w:rFonts w:ascii="Arial" w:eastAsia="Calibri" w:hAnsi="Arial" w:cs="Arial"/>
        </w:rPr>
        <w:t xml:space="preserve">) makes provision for: </w:t>
      </w:r>
    </w:p>
    <w:p w14:paraId="2F1C6E35" w14:textId="77777777" w:rsidR="00A12B00" w:rsidRPr="00A12B00" w:rsidRDefault="00A12B00" w:rsidP="002176AF">
      <w:pPr>
        <w:numPr>
          <w:ilvl w:val="0"/>
          <w:numId w:val="7"/>
        </w:numPr>
        <w:autoSpaceDE w:val="0"/>
        <w:autoSpaceDN w:val="0"/>
        <w:adjustRightInd w:val="0"/>
        <w:spacing w:after="0" w:line="240" w:lineRule="auto"/>
        <w:contextualSpacing/>
        <w:rPr>
          <w:rFonts w:ascii="Arial" w:eastAsia="Calibri" w:hAnsi="Arial" w:cs="Arial"/>
        </w:rPr>
      </w:pPr>
      <w:r w:rsidRPr="00A12B00">
        <w:rPr>
          <w:rFonts w:ascii="Arial" w:eastAsia="Calibri" w:hAnsi="Arial" w:cs="Arial"/>
        </w:rPr>
        <w:t xml:space="preserve">Part 8: Functions and Powers of a Regulator; </w:t>
      </w:r>
    </w:p>
    <w:p w14:paraId="70BCA66A" w14:textId="77777777" w:rsidR="00A12B00" w:rsidRPr="00A12B00" w:rsidRDefault="00A12B00" w:rsidP="002176AF">
      <w:pPr>
        <w:numPr>
          <w:ilvl w:val="0"/>
          <w:numId w:val="7"/>
        </w:numPr>
        <w:autoSpaceDE w:val="0"/>
        <w:autoSpaceDN w:val="0"/>
        <w:adjustRightInd w:val="0"/>
        <w:spacing w:after="0" w:line="240" w:lineRule="auto"/>
        <w:contextualSpacing/>
        <w:rPr>
          <w:rFonts w:ascii="Arial" w:eastAsia="Calibri" w:hAnsi="Arial" w:cs="Arial"/>
        </w:rPr>
      </w:pPr>
      <w:r w:rsidRPr="00A12B00">
        <w:rPr>
          <w:rFonts w:ascii="Arial" w:eastAsia="Calibri" w:hAnsi="Arial" w:cs="Arial"/>
        </w:rPr>
        <w:t xml:space="preserve">Part 9: Security Compliance – Appointment, Functions and Powers of Inspectors; Powers Relating to Entry, Damage and Compensation; and </w:t>
      </w:r>
    </w:p>
    <w:p w14:paraId="1049356F" w14:textId="77777777" w:rsidR="00A12B00" w:rsidRPr="00A12B00" w:rsidRDefault="00A12B00" w:rsidP="002176AF">
      <w:pPr>
        <w:numPr>
          <w:ilvl w:val="0"/>
          <w:numId w:val="7"/>
        </w:numPr>
        <w:autoSpaceDE w:val="0"/>
        <w:autoSpaceDN w:val="0"/>
        <w:adjustRightInd w:val="0"/>
        <w:spacing w:line="240" w:lineRule="auto"/>
        <w:ind w:left="357" w:hanging="357"/>
        <w:rPr>
          <w:rFonts w:ascii="Arial" w:eastAsia="Calibri" w:hAnsi="Arial" w:cs="Arial"/>
        </w:rPr>
      </w:pPr>
      <w:r w:rsidRPr="00A12B00">
        <w:rPr>
          <w:rFonts w:ascii="Arial" w:eastAsia="Calibri" w:hAnsi="Arial" w:cs="Arial"/>
        </w:rPr>
        <w:t xml:space="preserve">Part 10: Enforcement Measures – Improvement and Prohibition Notices; Remedial Action. </w:t>
      </w:r>
    </w:p>
    <w:p w14:paraId="63939FCA" w14:textId="00AD5081" w:rsidR="00A12B00" w:rsidRPr="00A12B00" w:rsidRDefault="00A12B00" w:rsidP="00F00BEB">
      <w:pPr>
        <w:autoSpaceDE w:val="0"/>
        <w:autoSpaceDN w:val="0"/>
        <w:adjustRightInd w:val="0"/>
        <w:spacing w:before="160" w:line="240" w:lineRule="auto"/>
        <w:rPr>
          <w:rFonts w:ascii="Arial" w:eastAsia="Calibri" w:hAnsi="Arial" w:cs="Arial"/>
        </w:rPr>
      </w:pPr>
      <w:r w:rsidRPr="00A12B00">
        <w:rPr>
          <w:rFonts w:ascii="Arial" w:eastAsia="Calibri" w:hAnsi="Arial" w:cs="Arial"/>
        </w:rPr>
        <w:t xml:space="preserve">These sections, focussed on promoting compliance with safety and security requirements, and reflective of Australia’s modern approach to safety regulation, are not recognised in the current Commonwealth explosives regulatory regime. Instead, there exists a significant gap </w:t>
      </w:r>
      <w:r w:rsidRPr="00A12B00">
        <w:rPr>
          <w:rFonts w:ascii="Arial" w:eastAsia="Calibri" w:hAnsi="Arial" w:cs="Arial"/>
        </w:rPr>
        <w:lastRenderedPageBreak/>
        <w:t xml:space="preserve">in the monitoring and compliance tools available to the Competent Authority, whose own position is largely undefined (as detailed </w:t>
      </w:r>
      <w:r w:rsidR="00F00BEB">
        <w:rPr>
          <w:rFonts w:ascii="Arial" w:eastAsia="Calibri" w:hAnsi="Arial" w:cs="Arial"/>
        </w:rPr>
        <w:t>below</w:t>
      </w:r>
      <w:r w:rsidRPr="00A12B00">
        <w:rPr>
          <w:rFonts w:ascii="Arial" w:eastAsia="Calibri" w:hAnsi="Arial" w:cs="Arial"/>
        </w:rPr>
        <w:t xml:space="preserve">). </w:t>
      </w:r>
    </w:p>
    <w:p w14:paraId="3165F8A0" w14:textId="77777777" w:rsidR="00A12B00" w:rsidRPr="00A12B00" w:rsidRDefault="00A12B00" w:rsidP="00A12B00">
      <w:pPr>
        <w:autoSpaceDE w:val="0"/>
        <w:autoSpaceDN w:val="0"/>
        <w:adjustRightInd w:val="0"/>
        <w:spacing w:line="240" w:lineRule="auto"/>
        <w:rPr>
          <w:rFonts w:ascii="Arial" w:eastAsia="Calibri" w:hAnsi="Arial" w:cs="Arial"/>
        </w:rPr>
      </w:pPr>
      <w:r w:rsidRPr="00A12B00">
        <w:rPr>
          <w:rFonts w:ascii="Arial" w:eastAsia="Calibri" w:hAnsi="Arial" w:cs="Arial"/>
        </w:rPr>
        <w:t xml:space="preserve">Similarly, where modern developments in the WHS regime does not adequately address or accommodate the needs of persons or activities involving Commonwealth explosives, the current explosives regulatory regime fails to provide adequate clarification. For example, regulation 329 of the WHS Regulations specifies: </w:t>
      </w:r>
    </w:p>
    <w:p w14:paraId="2FFFEFB6" w14:textId="77777777" w:rsidR="00A12B00" w:rsidRPr="00A12B00" w:rsidRDefault="00A12B00" w:rsidP="002476D0">
      <w:pPr>
        <w:autoSpaceDE w:val="0"/>
        <w:autoSpaceDN w:val="0"/>
        <w:adjustRightInd w:val="0"/>
        <w:spacing w:line="240" w:lineRule="auto"/>
        <w:rPr>
          <w:rFonts w:ascii="Arial" w:eastAsia="Calibri" w:hAnsi="Arial" w:cs="Arial"/>
          <w:i/>
          <w:iCs/>
        </w:rPr>
      </w:pPr>
      <w:r w:rsidRPr="00A12B00">
        <w:rPr>
          <w:rFonts w:ascii="Arial" w:eastAsia="Calibri" w:hAnsi="Arial" w:cs="Arial"/>
          <w:i/>
          <w:iCs/>
        </w:rPr>
        <w:t xml:space="preserve">The manufacturer or importer of a substance, mixture or article must, before first supplying it to a workplace: </w:t>
      </w:r>
    </w:p>
    <w:p w14:paraId="089BEDF1" w14:textId="77777777" w:rsidR="00A12B00" w:rsidRPr="00A12B00" w:rsidRDefault="00A12B00" w:rsidP="002176AF">
      <w:pPr>
        <w:numPr>
          <w:ilvl w:val="0"/>
          <w:numId w:val="8"/>
        </w:numPr>
        <w:autoSpaceDE w:val="0"/>
        <w:autoSpaceDN w:val="0"/>
        <w:adjustRightInd w:val="0"/>
        <w:spacing w:after="0" w:line="240" w:lineRule="auto"/>
        <w:ind w:left="720"/>
        <w:contextualSpacing/>
        <w:rPr>
          <w:rFonts w:ascii="Arial" w:eastAsia="Calibri" w:hAnsi="Arial" w:cs="Arial"/>
          <w:i/>
          <w:iCs/>
        </w:rPr>
      </w:pPr>
      <w:r w:rsidRPr="00A12B00">
        <w:rPr>
          <w:rFonts w:ascii="Arial" w:eastAsia="Calibri" w:hAnsi="Arial" w:cs="Arial"/>
          <w:i/>
          <w:iCs/>
        </w:rPr>
        <w:t xml:space="preserve">Determine whether the substance, mixture or article is a hazardous chemical; and </w:t>
      </w:r>
    </w:p>
    <w:p w14:paraId="6103DB57" w14:textId="77777777" w:rsidR="00A12B00" w:rsidRPr="00A12B00" w:rsidRDefault="00A12B00" w:rsidP="002176AF">
      <w:pPr>
        <w:numPr>
          <w:ilvl w:val="0"/>
          <w:numId w:val="8"/>
        </w:numPr>
        <w:autoSpaceDE w:val="0"/>
        <w:autoSpaceDN w:val="0"/>
        <w:adjustRightInd w:val="0"/>
        <w:spacing w:line="240" w:lineRule="auto"/>
        <w:ind w:left="714" w:hanging="357"/>
        <w:rPr>
          <w:rFonts w:ascii="Arial" w:eastAsia="Calibri" w:hAnsi="Arial" w:cs="Arial"/>
          <w:i/>
          <w:iCs/>
        </w:rPr>
      </w:pPr>
      <w:r w:rsidRPr="00A12B00">
        <w:rPr>
          <w:rFonts w:ascii="Arial" w:eastAsia="Calibri" w:hAnsi="Arial" w:cs="Arial"/>
          <w:i/>
          <w:iCs/>
        </w:rPr>
        <w:t xml:space="preserve">If the substance, mixture or article is a hazardous chemical – ensure that the hazardous chemical is correctly classified in accordance with Part 1 of Schedule 9. </w:t>
      </w:r>
    </w:p>
    <w:p w14:paraId="3DB27279" w14:textId="17FD08E7" w:rsidR="00511C2E" w:rsidRDefault="00A12B00" w:rsidP="00A20E06">
      <w:pPr>
        <w:autoSpaceDE w:val="0"/>
        <w:autoSpaceDN w:val="0"/>
        <w:adjustRightInd w:val="0"/>
        <w:spacing w:after="0" w:line="240" w:lineRule="auto"/>
        <w:rPr>
          <w:rFonts w:ascii="Arial" w:eastAsia="Calibri" w:hAnsi="Arial" w:cs="Arial"/>
        </w:rPr>
      </w:pPr>
      <w:r w:rsidRPr="00A12B00">
        <w:rPr>
          <w:rFonts w:ascii="Arial" w:eastAsia="Calibri" w:hAnsi="Arial" w:cs="Arial"/>
        </w:rPr>
        <w:t xml:space="preserve">However, regulation 328(3) of the WHS Regulations provides that this obligation does not apply to explosives being transport by road, rail, sea, or air if the transport is regulated under a relevant law of a state or territory specified in a corresponding WHS Law. This means the requirement to classify explosives for transport is typically left for Australia’s </w:t>
      </w:r>
      <w:r w:rsidR="0088048B">
        <w:rPr>
          <w:rFonts w:ascii="Arial" w:eastAsia="Calibri" w:hAnsi="Arial" w:cs="Arial"/>
        </w:rPr>
        <w:t>S</w:t>
      </w:r>
      <w:r w:rsidRPr="00A12B00">
        <w:rPr>
          <w:rFonts w:ascii="Arial" w:eastAsia="Calibri" w:hAnsi="Arial" w:cs="Arial"/>
        </w:rPr>
        <w:t xml:space="preserve">tate and </w:t>
      </w:r>
      <w:r w:rsidR="0088048B">
        <w:rPr>
          <w:rFonts w:ascii="Arial" w:eastAsia="Calibri" w:hAnsi="Arial" w:cs="Arial"/>
        </w:rPr>
        <w:t>T</w:t>
      </w:r>
      <w:r w:rsidRPr="00A12B00">
        <w:rPr>
          <w:rFonts w:ascii="Arial" w:eastAsia="Calibri" w:hAnsi="Arial" w:cs="Arial"/>
        </w:rPr>
        <w:t xml:space="preserve">erritory explosives laws, which, as detailed in </w:t>
      </w:r>
      <w:r w:rsidR="0088048B">
        <w:rPr>
          <w:rFonts w:ascii="Arial" w:eastAsia="Calibri" w:hAnsi="Arial" w:cs="Arial"/>
        </w:rPr>
        <w:t>preceding sections</w:t>
      </w:r>
      <w:r w:rsidRPr="00A12B00">
        <w:rPr>
          <w:rFonts w:ascii="Arial" w:eastAsia="Calibri" w:hAnsi="Arial" w:cs="Arial"/>
        </w:rPr>
        <w:t xml:space="preserve">, are not consistent in their approach to explosives regulation. </w:t>
      </w:r>
    </w:p>
    <w:p w14:paraId="614B37F8" w14:textId="77777777" w:rsidR="00A20E06" w:rsidRPr="00A12B00" w:rsidRDefault="00A20E06" w:rsidP="00A20E06">
      <w:pPr>
        <w:autoSpaceDE w:val="0"/>
        <w:autoSpaceDN w:val="0"/>
        <w:adjustRightInd w:val="0"/>
        <w:spacing w:after="0" w:line="240" w:lineRule="auto"/>
        <w:rPr>
          <w:rFonts w:ascii="Arial" w:eastAsia="Calibri" w:hAnsi="Arial" w:cs="Arial"/>
        </w:rPr>
      </w:pPr>
    </w:p>
    <w:p w14:paraId="13D91657" w14:textId="384825A2" w:rsidR="00E3505F" w:rsidRDefault="00E3505F" w:rsidP="00A12B00">
      <w:pPr>
        <w:autoSpaceDE w:val="0"/>
        <w:autoSpaceDN w:val="0"/>
        <w:adjustRightInd w:val="0"/>
        <w:spacing w:before="160" w:line="240" w:lineRule="auto"/>
        <w:rPr>
          <w:rFonts w:ascii="Arial" w:eastAsia="Calibri" w:hAnsi="Arial" w:cs="Arial"/>
        </w:rPr>
      </w:pPr>
      <w:r w:rsidRPr="00A12B00">
        <w:rPr>
          <w:rFonts w:ascii="Calibri" w:eastAsia="Calibri" w:hAnsi="Calibri" w:cs="Calibri"/>
          <w:noProof/>
          <w:color w:val="000000"/>
          <w:sz w:val="24"/>
          <w:szCs w:val="24"/>
          <w:lang w:eastAsia="en-AU"/>
        </w:rPr>
        <mc:AlternateContent>
          <mc:Choice Requires="wps">
            <w:drawing>
              <wp:anchor distT="0" distB="0" distL="114300" distR="114300" simplePos="0" relativeHeight="251681792" behindDoc="0" locked="0" layoutInCell="1" allowOverlap="1" wp14:anchorId="704E07E6" wp14:editId="42D898CF">
                <wp:simplePos x="0" y="0"/>
                <wp:positionH relativeFrom="margin">
                  <wp:align>center</wp:align>
                </wp:positionH>
                <wp:positionV relativeFrom="paragraph">
                  <wp:posOffset>-30480</wp:posOffset>
                </wp:positionV>
                <wp:extent cx="5528310" cy="167640"/>
                <wp:effectExtent l="0" t="0" r="0" b="3810"/>
                <wp:wrapNone/>
                <wp:docPr id="36" name="Text Box 36"/>
                <wp:cNvGraphicFramePr/>
                <a:graphic xmlns:a="http://schemas.openxmlformats.org/drawingml/2006/main">
                  <a:graphicData uri="http://schemas.microsoft.com/office/word/2010/wordprocessingShape">
                    <wps:wsp>
                      <wps:cNvSpPr txBox="1"/>
                      <wps:spPr>
                        <a:xfrm>
                          <a:off x="0" y="0"/>
                          <a:ext cx="5528310" cy="167640"/>
                        </a:xfrm>
                        <a:prstGeom prst="rect">
                          <a:avLst/>
                        </a:prstGeom>
                        <a:solidFill>
                          <a:prstClr val="white"/>
                        </a:solidFill>
                        <a:ln>
                          <a:noFill/>
                        </a:ln>
                      </wps:spPr>
                      <wps:txbx>
                        <w:txbxContent>
                          <w:p w14:paraId="65037C25" w14:textId="0439FEBD" w:rsidR="00B3427F" w:rsidRPr="001B352F" w:rsidRDefault="00B3427F" w:rsidP="00A12B00">
                            <w:pPr>
                              <w:pStyle w:val="Caption1"/>
                              <w:rPr>
                                <w:rFonts w:ascii="Arial" w:hAnsi="Arial" w:cs="Arial"/>
                                <w:noProof/>
                                <w:color w:val="000000"/>
                                <w:sz w:val="22"/>
                                <w:szCs w:val="22"/>
                              </w:rPr>
                            </w:pPr>
                            <w:bookmarkStart w:id="29" w:name="_Toc90385840"/>
                            <w:r w:rsidRPr="001B352F">
                              <w:rPr>
                                <w:rFonts w:ascii="Arial" w:hAnsi="Arial" w:cs="Arial"/>
                                <w:b/>
                                <w:bCs/>
                                <w:sz w:val="16"/>
                                <w:szCs w:val="16"/>
                              </w:rPr>
                              <w:t xml:space="preserve">Figure </w:t>
                            </w:r>
                            <w:r>
                              <w:rPr>
                                <w:rFonts w:ascii="Arial" w:hAnsi="Arial" w:cs="Arial"/>
                                <w:b/>
                                <w:bCs/>
                                <w:sz w:val="16"/>
                                <w:szCs w:val="16"/>
                              </w:rPr>
                              <w:fldChar w:fldCharType="begin"/>
                            </w:r>
                            <w:r>
                              <w:rPr>
                                <w:rFonts w:ascii="Arial" w:hAnsi="Arial" w:cs="Arial"/>
                                <w:b/>
                                <w:bCs/>
                                <w:sz w:val="16"/>
                                <w:szCs w:val="16"/>
                              </w:rPr>
                              <w:instrText xml:space="preserve"> SEQ Figure \* ARABIC </w:instrText>
                            </w:r>
                            <w:r>
                              <w:rPr>
                                <w:rFonts w:ascii="Arial" w:hAnsi="Arial" w:cs="Arial"/>
                                <w:b/>
                                <w:bCs/>
                                <w:sz w:val="16"/>
                                <w:szCs w:val="16"/>
                              </w:rPr>
                              <w:fldChar w:fldCharType="separate"/>
                            </w:r>
                            <w:r>
                              <w:rPr>
                                <w:rFonts w:ascii="Arial" w:hAnsi="Arial" w:cs="Arial"/>
                                <w:b/>
                                <w:bCs/>
                                <w:noProof/>
                                <w:sz w:val="16"/>
                                <w:szCs w:val="16"/>
                              </w:rPr>
                              <w:t>13</w:t>
                            </w:r>
                            <w:r>
                              <w:rPr>
                                <w:rFonts w:ascii="Arial" w:hAnsi="Arial" w:cs="Arial"/>
                                <w:b/>
                                <w:bCs/>
                                <w:sz w:val="16"/>
                                <w:szCs w:val="16"/>
                              </w:rPr>
                              <w:fldChar w:fldCharType="end"/>
                            </w:r>
                            <w:r w:rsidRPr="001B352F">
                              <w:rPr>
                                <w:rFonts w:ascii="Arial" w:hAnsi="Arial" w:cs="Arial"/>
                                <w:b/>
                                <w:bCs/>
                                <w:sz w:val="16"/>
                                <w:szCs w:val="16"/>
                              </w:rPr>
                              <w:t>:</w:t>
                            </w:r>
                            <w:r w:rsidRPr="001B352F">
                              <w:rPr>
                                <w:rFonts w:ascii="Arial" w:hAnsi="Arial" w:cs="Arial"/>
                                <w:sz w:val="16"/>
                                <w:szCs w:val="16"/>
                              </w:rPr>
                              <w:t xml:space="preserve"> Consultation Insights</w:t>
                            </w:r>
                            <w:bookmarkEnd w:id="29"/>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04E07E6" id="Text Box 36" o:spid="_x0000_s1048" type="#_x0000_t202" style="position:absolute;margin-left:0;margin-top:-2.4pt;width:435.3pt;height:13.2pt;z-index:2516817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" stroked="f">
                <v:textbox inset="0,0,0,0">
                  <w:txbxContent>
                    <w:p w14:paraId="65037C25" w14:textId="0439FEBD" w:rsidR="00B3427F" w:rsidRPr="001B352F" w:rsidRDefault="00B3427F" w:rsidP="00A12B00">
                      <w:pPr>
                        <w:pStyle w:val="Caption1"/>
                        <w:rPr>
                          <w:rFonts w:ascii="Arial" w:hAnsi="Arial" w:cs="Arial"/>
                          <w:noProof/>
                          <w:color w:val="000000"/>
                          <w:sz w:val="22"/>
                          <w:szCs w:val="22"/>
                        </w:rPr>
                      </w:pPr>
                      <w:bookmarkStart w:id="91" w:name="_Toc90385840"/>
                      <w:r w:rsidRPr="001B352F">
                        <w:rPr>
                          <w:rFonts w:ascii="Arial" w:hAnsi="Arial" w:cs="Arial"/>
                          <w:b/>
                          <w:bCs/>
                          <w:sz w:val="16"/>
                          <w:szCs w:val="16"/>
                        </w:rPr>
                        <w:t xml:space="preserve">Figure </w:t>
                      </w:r>
                      <w:r>
                        <w:rPr>
                          <w:rFonts w:ascii="Arial" w:hAnsi="Arial" w:cs="Arial"/>
                          <w:b/>
                          <w:bCs/>
                          <w:sz w:val="16"/>
                          <w:szCs w:val="16"/>
                        </w:rPr>
                        <w:fldChar w:fldCharType="begin"/>
                      </w:r>
                      <w:r>
                        <w:rPr>
                          <w:rFonts w:ascii="Arial" w:hAnsi="Arial" w:cs="Arial"/>
                          <w:b/>
                          <w:bCs/>
                          <w:sz w:val="16"/>
                          <w:szCs w:val="16"/>
                        </w:rPr>
                        <w:instrText xml:space="preserve"> SEQ Figure \* ARABIC </w:instrText>
                      </w:r>
                      <w:r>
                        <w:rPr>
                          <w:rFonts w:ascii="Arial" w:hAnsi="Arial" w:cs="Arial"/>
                          <w:b/>
                          <w:bCs/>
                          <w:sz w:val="16"/>
                          <w:szCs w:val="16"/>
                        </w:rPr>
                        <w:fldChar w:fldCharType="separate"/>
                      </w:r>
                      <w:r>
                        <w:rPr>
                          <w:rFonts w:ascii="Arial" w:hAnsi="Arial" w:cs="Arial"/>
                          <w:b/>
                          <w:bCs/>
                          <w:noProof/>
                          <w:sz w:val="16"/>
                          <w:szCs w:val="16"/>
                        </w:rPr>
                        <w:t>13</w:t>
                      </w:r>
                      <w:r>
                        <w:rPr>
                          <w:rFonts w:ascii="Arial" w:hAnsi="Arial" w:cs="Arial"/>
                          <w:b/>
                          <w:bCs/>
                          <w:sz w:val="16"/>
                          <w:szCs w:val="16"/>
                        </w:rPr>
                        <w:fldChar w:fldCharType="end"/>
                      </w:r>
                      <w:r w:rsidRPr="001B352F">
                        <w:rPr>
                          <w:rFonts w:ascii="Arial" w:hAnsi="Arial" w:cs="Arial"/>
                          <w:b/>
                          <w:bCs/>
                          <w:sz w:val="16"/>
                          <w:szCs w:val="16"/>
                        </w:rPr>
                        <w:t>:</w:t>
                      </w:r>
                      <w:r w:rsidRPr="001B352F">
                        <w:rPr>
                          <w:rFonts w:ascii="Arial" w:hAnsi="Arial" w:cs="Arial"/>
                          <w:sz w:val="16"/>
                          <w:szCs w:val="16"/>
                        </w:rPr>
                        <w:t xml:space="preserve"> Consultation Insights</w:t>
                      </w:r>
                      <w:bookmarkEnd w:id="91"/>
                    </w:p>
                  </w:txbxContent>
                </v:textbox>
                <w10:wrap anchorx="margin"/>
              </v:shape>
            </w:pict>
          </mc:Fallback>
        </mc:AlternateContent>
      </w:r>
      <w:r w:rsidRPr="00A12B00">
        <w:rPr>
          <w:rFonts w:ascii="Arial" w:eastAsia="Calibri" w:hAnsi="Arial" w:cs="Arial"/>
          <w:noProof/>
          <w:color w:val="000000"/>
          <w:sz w:val="24"/>
          <w:szCs w:val="24"/>
          <w:lang w:eastAsia="en-AU"/>
        </w:rPr>
        <mc:AlternateContent>
          <mc:Choice Requires="wps">
            <w:drawing>
              <wp:anchor distT="0" distB="0" distL="114300" distR="114300" simplePos="0" relativeHeight="251680768" behindDoc="0" locked="0" layoutInCell="1" allowOverlap="1" wp14:anchorId="07D425FD" wp14:editId="1943B464">
                <wp:simplePos x="0" y="0"/>
                <wp:positionH relativeFrom="margin">
                  <wp:align>center</wp:align>
                </wp:positionH>
                <wp:positionV relativeFrom="paragraph">
                  <wp:posOffset>168275</wp:posOffset>
                </wp:positionV>
                <wp:extent cx="5528310" cy="807720"/>
                <wp:effectExtent l="0" t="0" r="15240" b="11430"/>
                <wp:wrapNone/>
                <wp:docPr id="35" name="Rectangle: Rounded Corners 35"/>
                <wp:cNvGraphicFramePr/>
                <a:graphic xmlns:a="http://schemas.openxmlformats.org/drawingml/2006/main">
                  <a:graphicData uri="http://schemas.microsoft.com/office/word/2010/wordprocessingShape">
                    <wps:wsp>
                      <wps:cNvSpPr/>
                      <wps:spPr>
                        <a:xfrm>
                          <a:off x="0" y="0"/>
                          <a:ext cx="5528310" cy="807720"/>
                        </a:xfrm>
                        <a:prstGeom prst="roundRect">
                          <a:avLst/>
                        </a:prstGeom>
                        <a:solidFill>
                          <a:srgbClr val="C19859">
                            <a:lumMod val="20000"/>
                            <a:lumOff val="80000"/>
                          </a:srgbClr>
                        </a:solidFill>
                        <a:ln w="12700" cap="flat" cmpd="sng" algn="ctr">
                          <a:solidFill>
                            <a:srgbClr val="C19859"/>
                          </a:solidFill>
                          <a:prstDash val="solid"/>
                          <a:miter lim="800000"/>
                        </a:ln>
                        <a:effectLst/>
                      </wps:spPr>
                      <wps:txbx>
                        <w:txbxContent>
                          <w:p w14:paraId="51BE8450" w14:textId="77777777" w:rsidR="00B3427F" w:rsidRPr="00CA5D7E" w:rsidRDefault="00B3427F" w:rsidP="00A12B00">
                            <w:pPr>
                              <w:jc w:val="center"/>
                              <w:rPr>
                                <w:rFonts w:ascii="Arial" w:hAnsi="Arial" w:cs="Arial"/>
                                <w:i/>
                                <w:iCs/>
                                <w:sz w:val="20"/>
                                <w:szCs w:val="20"/>
                              </w:rPr>
                            </w:pPr>
                            <w:r>
                              <w:rPr>
                                <w:rFonts w:ascii="Arial" w:hAnsi="Arial" w:cs="Arial"/>
                                <w:i/>
                                <w:iCs/>
                                <w:sz w:val="20"/>
                                <w:szCs w:val="20"/>
                              </w:rPr>
                              <w:t xml:space="preserve">“[The current system, with respect to current Commonwealth, State and Territory WHS regimes] </w:t>
                            </w:r>
                            <w:r w:rsidRPr="0055367F">
                              <w:rPr>
                                <w:rFonts w:ascii="Arial" w:hAnsi="Arial" w:cs="Arial"/>
                                <w:b/>
                                <w:bCs/>
                                <w:i/>
                                <w:iCs/>
                                <w:sz w:val="20"/>
                                <w:szCs w:val="20"/>
                              </w:rPr>
                              <w:t>means an additional burden</w:t>
                            </w:r>
                            <w:r>
                              <w:rPr>
                                <w:rFonts w:ascii="Arial" w:hAnsi="Arial" w:cs="Arial"/>
                                <w:i/>
                                <w:iCs/>
                                <w:sz w:val="20"/>
                                <w:szCs w:val="20"/>
                              </w:rPr>
                              <w:t xml:space="preserve"> ensuring staff are aware of state or territory specific requirements. It also becomes an issue if staff are sent to work in another State / Territory</w:t>
                            </w:r>
                            <w:r w:rsidRPr="006D165D">
                              <w:rPr>
                                <w:rFonts w:ascii="Arial" w:hAnsi="Arial" w:cs="Arial"/>
                                <w:i/>
                                <w:iCs/>
                                <w:sz w:val="20"/>
                                <w:szCs w:val="20"/>
                              </w:rPr>
                              <w:t>.</w:t>
                            </w:r>
                            <w:r>
                              <w:rPr>
                                <w:rFonts w:ascii="Arial" w:hAnsi="Arial" w:cs="Arial"/>
                                <w:i/>
                                <w:iCs/>
                                <w:sz w:val="20"/>
                                <w:szCs w:val="20"/>
                              </w:rPr>
                              <w:t xml:space="preserve"> While Commonwealth law takes precedence, it doesn’t always apply.”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07D425FD" id="Rectangle: Rounded Corners 35" o:spid="_x0000_s1049" style="position:absolute;margin-left:0;margin-top:13.25pt;width:435.3pt;height:63.6pt;z-index:2516807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" fillcolor="#f3eade" strokecolor="#c19859" strokeweight="1pt">
                <v:stroke joinstyle="miter"/>
                <v:textbox>
                  <w:txbxContent>
                    <w:p w14:paraId="51BE8450" w14:textId="77777777" w:rsidR="00B3427F" w:rsidRPr="00CA5D7E" w:rsidRDefault="00B3427F" w:rsidP="00A12B00">
                      <w:pPr>
                        <w:jc w:val="center"/>
                        <w:rPr>
                          <w:rFonts w:ascii="Arial" w:hAnsi="Arial" w:cs="Arial"/>
                          <w:i/>
                          <w:iCs/>
                          <w:sz w:val="20"/>
                          <w:szCs w:val="20"/>
                        </w:rPr>
                      </w:pPr>
                      <w:r>
                        <w:rPr>
                          <w:rFonts w:ascii="Arial" w:hAnsi="Arial" w:cs="Arial"/>
                          <w:i/>
                          <w:iCs/>
                          <w:sz w:val="20"/>
                          <w:szCs w:val="20"/>
                        </w:rPr>
                        <w:t xml:space="preserve">“[The current system, with respect to current Commonwealth, State and Territory WHS regimes] </w:t>
                      </w:r>
                      <w:r w:rsidRPr="0055367F">
                        <w:rPr>
                          <w:rFonts w:ascii="Arial" w:hAnsi="Arial" w:cs="Arial"/>
                          <w:b/>
                          <w:bCs/>
                          <w:i/>
                          <w:iCs/>
                          <w:sz w:val="20"/>
                          <w:szCs w:val="20"/>
                        </w:rPr>
                        <w:t>means an additional burden</w:t>
                      </w:r>
                      <w:r>
                        <w:rPr>
                          <w:rFonts w:ascii="Arial" w:hAnsi="Arial" w:cs="Arial"/>
                          <w:i/>
                          <w:iCs/>
                          <w:sz w:val="20"/>
                          <w:szCs w:val="20"/>
                        </w:rPr>
                        <w:t xml:space="preserve"> ensuring staff are aware of state or territory specific requirements. It also becomes an issue if staff are sent to work in another State / Territory</w:t>
                      </w:r>
                      <w:r w:rsidRPr="006D165D">
                        <w:rPr>
                          <w:rFonts w:ascii="Arial" w:hAnsi="Arial" w:cs="Arial"/>
                          <w:i/>
                          <w:iCs/>
                          <w:sz w:val="20"/>
                          <w:szCs w:val="20"/>
                        </w:rPr>
                        <w:t>.</w:t>
                      </w:r>
                      <w:r>
                        <w:rPr>
                          <w:rFonts w:ascii="Arial" w:hAnsi="Arial" w:cs="Arial"/>
                          <w:i/>
                          <w:iCs/>
                          <w:sz w:val="20"/>
                          <w:szCs w:val="20"/>
                        </w:rPr>
                        <w:t xml:space="preserve"> While Commonwealth law takes precedence, it doesn’t always apply.”</w:t>
                      </w:r>
                    </w:p>
                  </w:txbxContent>
                </v:textbox>
                <w10:wrap anchorx="margin"/>
              </v:roundrect>
            </w:pict>
          </mc:Fallback>
        </mc:AlternateContent>
      </w:r>
    </w:p>
    <w:p w14:paraId="0B80D6C9" w14:textId="41F70A3B" w:rsidR="00E3505F" w:rsidRDefault="00E3505F" w:rsidP="00A12B00">
      <w:pPr>
        <w:autoSpaceDE w:val="0"/>
        <w:autoSpaceDN w:val="0"/>
        <w:adjustRightInd w:val="0"/>
        <w:spacing w:before="160" w:line="240" w:lineRule="auto"/>
        <w:rPr>
          <w:rFonts w:ascii="Arial" w:eastAsia="Calibri" w:hAnsi="Arial" w:cs="Arial"/>
        </w:rPr>
      </w:pPr>
    </w:p>
    <w:p w14:paraId="258FE358" w14:textId="77777777" w:rsidR="00E3505F" w:rsidRDefault="00E3505F" w:rsidP="00A12B00">
      <w:pPr>
        <w:autoSpaceDE w:val="0"/>
        <w:autoSpaceDN w:val="0"/>
        <w:adjustRightInd w:val="0"/>
        <w:spacing w:before="160" w:line="240" w:lineRule="auto"/>
        <w:rPr>
          <w:rFonts w:ascii="Arial" w:eastAsia="Calibri" w:hAnsi="Arial" w:cs="Arial"/>
        </w:rPr>
      </w:pPr>
    </w:p>
    <w:p w14:paraId="6453F038" w14:textId="067F3E83" w:rsidR="00E3505F" w:rsidRDefault="00E3505F" w:rsidP="00A12B00">
      <w:pPr>
        <w:autoSpaceDE w:val="0"/>
        <w:autoSpaceDN w:val="0"/>
        <w:adjustRightInd w:val="0"/>
        <w:spacing w:before="160" w:line="240" w:lineRule="auto"/>
        <w:rPr>
          <w:rFonts w:ascii="Arial" w:eastAsia="Calibri" w:hAnsi="Arial" w:cs="Arial"/>
        </w:rPr>
      </w:pPr>
    </w:p>
    <w:p w14:paraId="15AC2D5D" w14:textId="72FC6C01" w:rsidR="00A12B00" w:rsidRPr="00A12B00" w:rsidRDefault="00A12B00" w:rsidP="00A12B00">
      <w:pPr>
        <w:autoSpaceDE w:val="0"/>
        <w:autoSpaceDN w:val="0"/>
        <w:adjustRightInd w:val="0"/>
        <w:spacing w:before="160" w:line="240" w:lineRule="auto"/>
        <w:rPr>
          <w:rFonts w:ascii="Arial" w:eastAsia="Calibri" w:hAnsi="Arial" w:cs="Arial"/>
        </w:rPr>
      </w:pPr>
      <w:r w:rsidRPr="00A12B00">
        <w:rPr>
          <w:rFonts w:ascii="Arial" w:eastAsia="Calibri" w:hAnsi="Arial" w:cs="Arial"/>
        </w:rPr>
        <w:t>This need for clarification of the inter-relationship between these legislative regimes is further evidenced in the Commonwealth explosive regime’s application to Australia’s territorial sea and airspace. While the Commonwealth routinely uses explosives outside of those limits, there is not a specific Commonwealth regime which applies. The WHS Act may apply in those circumstances. However, such application would not address the hazards of Commonwealth explosives, as compared with other general workplace hazards. Currently, the Explosives Instruments fail to address this distinction.</w:t>
      </w:r>
    </w:p>
    <w:p w14:paraId="0954F512" w14:textId="77777777" w:rsidR="00A12B00" w:rsidRPr="00A12B00" w:rsidRDefault="00A12B00" w:rsidP="00A12B00">
      <w:pPr>
        <w:autoSpaceDE w:val="0"/>
        <w:autoSpaceDN w:val="0"/>
        <w:adjustRightInd w:val="0"/>
        <w:spacing w:line="240" w:lineRule="auto"/>
        <w:rPr>
          <w:rFonts w:ascii="Arial" w:eastAsia="Calibri" w:hAnsi="Arial" w:cs="Arial"/>
        </w:rPr>
      </w:pPr>
      <w:r w:rsidRPr="00A12B00">
        <w:rPr>
          <w:rFonts w:ascii="Arial" w:eastAsia="Calibri" w:hAnsi="Arial" w:cs="Arial"/>
        </w:rPr>
        <w:t xml:space="preserve">Ultimately, these examples demonstrate that there is a clear lack of harmony and clarity on the relationship between the Explosives Instruments and Australia’s state and territory WHS laws. Under the current regime, it is not clear: </w:t>
      </w:r>
    </w:p>
    <w:p w14:paraId="1B4A746E" w14:textId="77777777" w:rsidR="00A12B00" w:rsidRPr="00A12B00" w:rsidRDefault="00A12B00" w:rsidP="002176AF">
      <w:pPr>
        <w:numPr>
          <w:ilvl w:val="0"/>
          <w:numId w:val="9"/>
        </w:numPr>
        <w:autoSpaceDE w:val="0"/>
        <w:autoSpaceDN w:val="0"/>
        <w:adjustRightInd w:val="0"/>
        <w:spacing w:after="0" w:line="240" w:lineRule="auto"/>
        <w:rPr>
          <w:rFonts w:ascii="Arial" w:eastAsia="Calibri" w:hAnsi="Arial" w:cs="Arial"/>
        </w:rPr>
      </w:pPr>
      <w:r w:rsidRPr="00A12B00">
        <w:rPr>
          <w:rFonts w:ascii="Arial" w:eastAsia="Calibri" w:hAnsi="Arial" w:cs="Arial"/>
        </w:rPr>
        <w:t xml:space="preserve">Whether the Commonwealth Explosives Instruments apply in addition to, or instead of, the requirements contained in the Commonwealth WHS Act and state and territory WHS laws; </w:t>
      </w:r>
    </w:p>
    <w:p w14:paraId="12615EFB" w14:textId="77777777" w:rsidR="00A12B00" w:rsidRPr="00A12B00" w:rsidRDefault="00A12B00" w:rsidP="002176AF">
      <w:pPr>
        <w:numPr>
          <w:ilvl w:val="0"/>
          <w:numId w:val="9"/>
        </w:numPr>
        <w:autoSpaceDE w:val="0"/>
        <w:autoSpaceDN w:val="0"/>
        <w:adjustRightInd w:val="0"/>
        <w:spacing w:after="0" w:line="240" w:lineRule="auto"/>
        <w:rPr>
          <w:rFonts w:ascii="Arial" w:eastAsia="Calibri" w:hAnsi="Arial" w:cs="Arial"/>
        </w:rPr>
      </w:pPr>
      <w:r w:rsidRPr="00A12B00">
        <w:rPr>
          <w:rFonts w:ascii="Arial" w:eastAsia="Calibri" w:hAnsi="Arial" w:cs="Arial"/>
        </w:rPr>
        <w:t xml:space="preserve">If the Commonwealth WHS Act, state and territory WHS laws, or the Commonwealth Explosives Instruments prevail when an inconsistency arises (and if it is intended to be the former, this should be specified given the operation of s 109 of the Commonwealth Constitution); </w:t>
      </w:r>
    </w:p>
    <w:p w14:paraId="3C856D72" w14:textId="77777777" w:rsidR="00A12B00" w:rsidRPr="00A12B00" w:rsidRDefault="00A12B00" w:rsidP="002176AF">
      <w:pPr>
        <w:numPr>
          <w:ilvl w:val="0"/>
          <w:numId w:val="9"/>
        </w:numPr>
        <w:autoSpaceDE w:val="0"/>
        <w:autoSpaceDN w:val="0"/>
        <w:adjustRightInd w:val="0"/>
        <w:spacing w:line="240" w:lineRule="auto"/>
        <w:ind w:left="357" w:hanging="357"/>
        <w:rPr>
          <w:rFonts w:ascii="Arial" w:eastAsia="Calibri" w:hAnsi="Arial" w:cs="Arial"/>
        </w:rPr>
      </w:pPr>
      <w:r w:rsidRPr="00A12B00">
        <w:rPr>
          <w:rFonts w:ascii="Arial" w:eastAsia="Calibri" w:hAnsi="Arial" w:cs="Arial"/>
        </w:rPr>
        <w:t xml:space="preserve">Whether an offence which falls under both the Commonwealth Explosives Instruments, and the Commonwealth WHS Act or state and territory WHS laws is punishable under each regime, or only one. </w:t>
      </w:r>
    </w:p>
    <w:p w14:paraId="65C472F9" w14:textId="77777777" w:rsidR="00A12B00" w:rsidRPr="00A12B00" w:rsidRDefault="00A12B00" w:rsidP="00A12B00">
      <w:pPr>
        <w:autoSpaceDE w:val="0"/>
        <w:autoSpaceDN w:val="0"/>
        <w:adjustRightInd w:val="0"/>
        <w:spacing w:before="160" w:after="240" w:line="240" w:lineRule="auto"/>
        <w:rPr>
          <w:rFonts w:ascii="Arial" w:eastAsia="Calibri" w:hAnsi="Arial" w:cs="Arial"/>
        </w:rPr>
      </w:pPr>
      <w:r w:rsidRPr="00A12B00">
        <w:rPr>
          <w:rFonts w:ascii="Arial" w:eastAsia="Calibri" w:hAnsi="Arial" w:cs="Arial"/>
        </w:rPr>
        <w:t xml:space="preserve">Resolution of these ambiguities, and reconciliation between the Explosives Instruments and the modern legislative developments contained in the model WHS law, is necessary to ensure the ongoing safety, security and expedient movement of Commonwealth explosives, essential for Australia’s defence, border protection and other Commonwealth activities. </w:t>
      </w:r>
    </w:p>
    <w:p w14:paraId="3C7B9C04" w14:textId="786AF0E8" w:rsidR="00A12B00" w:rsidRPr="00A12B00" w:rsidRDefault="00A12B00" w:rsidP="00A12B00">
      <w:pPr>
        <w:spacing w:after="0"/>
        <w:rPr>
          <w:rFonts w:ascii="Arial" w:eastAsia="Calibri" w:hAnsi="Arial" w:cs="Arial"/>
          <w:color w:val="997339"/>
        </w:rPr>
      </w:pPr>
      <w:bookmarkStart w:id="30" w:name="_Toc83804541"/>
      <w:r w:rsidRPr="00A12B00">
        <w:rPr>
          <w:rFonts w:ascii="Arial" w:eastAsia="Calibri" w:hAnsi="Arial" w:cs="Arial"/>
          <w:color w:val="997339"/>
        </w:rPr>
        <w:lastRenderedPageBreak/>
        <w:t xml:space="preserve">1.4.3 Visiting </w:t>
      </w:r>
      <w:bookmarkEnd w:id="30"/>
      <w:r w:rsidR="003C2CDB">
        <w:rPr>
          <w:rFonts w:ascii="Arial" w:eastAsia="Calibri" w:hAnsi="Arial" w:cs="Arial"/>
          <w:color w:val="997339"/>
        </w:rPr>
        <w:t xml:space="preserve">Foreign Government Officials </w:t>
      </w:r>
    </w:p>
    <w:p w14:paraId="7BE837F1" w14:textId="5E861F60" w:rsidR="007F67D2" w:rsidRDefault="00A12B00" w:rsidP="00A12B00">
      <w:pPr>
        <w:autoSpaceDE w:val="0"/>
        <w:autoSpaceDN w:val="0"/>
        <w:adjustRightInd w:val="0"/>
        <w:spacing w:after="0" w:line="240" w:lineRule="auto"/>
        <w:rPr>
          <w:rFonts w:ascii="Arial" w:eastAsia="Calibri" w:hAnsi="Arial" w:cs="Arial"/>
          <w:color w:val="000000"/>
        </w:rPr>
      </w:pPr>
      <w:r w:rsidRPr="00A12B00">
        <w:rPr>
          <w:rFonts w:ascii="Arial" w:eastAsia="Calibri" w:hAnsi="Arial" w:cs="Arial"/>
          <w:color w:val="000000"/>
        </w:rPr>
        <w:t xml:space="preserve">Currently, the Explosives Act only contemplates the presence of </w:t>
      </w:r>
      <w:r w:rsidR="00AB4CE0">
        <w:rPr>
          <w:rFonts w:ascii="Arial" w:eastAsia="Calibri" w:hAnsi="Arial" w:cs="Arial"/>
          <w:color w:val="000000"/>
        </w:rPr>
        <w:t>‘</w:t>
      </w:r>
      <w:r w:rsidRPr="00A12B00">
        <w:rPr>
          <w:rFonts w:ascii="Arial" w:eastAsia="Calibri" w:hAnsi="Arial" w:cs="Arial"/>
          <w:color w:val="000000"/>
        </w:rPr>
        <w:t>visiting forces</w:t>
      </w:r>
      <w:r w:rsidR="00AB4CE0">
        <w:rPr>
          <w:rFonts w:ascii="Arial" w:eastAsia="Calibri" w:hAnsi="Arial" w:cs="Arial"/>
          <w:color w:val="000000"/>
        </w:rPr>
        <w:t>’</w:t>
      </w:r>
      <w:r w:rsidRPr="00A12B00">
        <w:rPr>
          <w:rFonts w:ascii="Arial" w:eastAsia="Calibri" w:hAnsi="Arial" w:cs="Arial"/>
          <w:color w:val="000000"/>
        </w:rPr>
        <w:t xml:space="preserve"> in Australia for the purpose of, or related to, </w:t>
      </w:r>
      <w:r w:rsidR="00AB4CE0">
        <w:rPr>
          <w:rFonts w:ascii="Arial" w:eastAsia="Calibri" w:hAnsi="Arial" w:cs="Arial"/>
          <w:color w:val="000000"/>
        </w:rPr>
        <w:t>‘</w:t>
      </w:r>
      <w:r w:rsidRPr="00A12B00">
        <w:rPr>
          <w:rFonts w:ascii="Arial" w:eastAsia="Calibri" w:hAnsi="Arial" w:cs="Arial"/>
          <w:color w:val="000000"/>
        </w:rPr>
        <w:t>the defence of the Commonwealth</w:t>
      </w:r>
      <w:r w:rsidR="00AB4CE0">
        <w:rPr>
          <w:rFonts w:ascii="Arial" w:eastAsia="Calibri" w:hAnsi="Arial" w:cs="Arial"/>
          <w:color w:val="000000"/>
        </w:rPr>
        <w:t>’.</w:t>
      </w:r>
      <w:r w:rsidRPr="00A12B00">
        <w:rPr>
          <w:rFonts w:ascii="Arial" w:eastAsia="Calibri" w:hAnsi="Arial" w:cs="Arial"/>
          <w:color w:val="000000"/>
          <w:vertAlign w:val="superscript"/>
        </w:rPr>
        <w:footnoteReference w:id="24"/>
      </w:r>
      <w:r w:rsidR="00AB4CE0">
        <w:rPr>
          <w:rFonts w:ascii="Arial" w:eastAsia="Calibri" w:hAnsi="Arial" w:cs="Arial"/>
          <w:color w:val="000000"/>
        </w:rPr>
        <w:t xml:space="preserve"> </w:t>
      </w:r>
      <w:r w:rsidR="007F67D2">
        <w:rPr>
          <w:rFonts w:ascii="Arial" w:eastAsia="Calibri" w:hAnsi="Arial" w:cs="Arial"/>
          <w:color w:val="000000"/>
        </w:rPr>
        <w:t>While t</w:t>
      </w:r>
      <w:r w:rsidRPr="00A12B00">
        <w:rPr>
          <w:rFonts w:ascii="Arial" w:eastAsia="Calibri" w:hAnsi="Arial" w:cs="Arial"/>
          <w:color w:val="000000"/>
        </w:rPr>
        <w:t xml:space="preserve">he legal meaning and boundaries of this phrase has not been definitively clarified nor tested, a plain English interpretation </w:t>
      </w:r>
      <w:r w:rsidR="007F67D2">
        <w:rPr>
          <w:rFonts w:ascii="Arial" w:eastAsia="Calibri" w:hAnsi="Arial" w:cs="Arial"/>
          <w:color w:val="000000"/>
        </w:rPr>
        <w:t>indicates it is too narrow to accommodate Australia’s relationships, in both a military and non-military context, with foreign government officials.</w:t>
      </w:r>
      <w:r w:rsidR="00A9171A">
        <w:rPr>
          <w:rFonts w:ascii="Arial" w:eastAsia="Calibri" w:hAnsi="Arial" w:cs="Arial"/>
          <w:color w:val="000000"/>
        </w:rPr>
        <w:t xml:space="preserve"> For example, </w:t>
      </w:r>
      <w:r w:rsidR="008E3AD5">
        <w:rPr>
          <w:rFonts w:ascii="Arial" w:eastAsia="Calibri" w:hAnsi="Arial" w:cs="Arial"/>
          <w:color w:val="000000"/>
        </w:rPr>
        <w:t xml:space="preserve">Australia’s </w:t>
      </w:r>
      <w:r w:rsidR="00C21E54">
        <w:rPr>
          <w:rFonts w:ascii="Arial" w:eastAsia="Calibri" w:hAnsi="Arial" w:cs="Arial"/>
          <w:color w:val="000000"/>
        </w:rPr>
        <w:t xml:space="preserve">rotation of US Marines </w:t>
      </w:r>
      <w:r w:rsidR="001019C3">
        <w:rPr>
          <w:rFonts w:ascii="Arial" w:eastAsia="Calibri" w:hAnsi="Arial" w:cs="Arial"/>
          <w:color w:val="000000"/>
        </w:rPr>
        <w:t>through military bases in</w:t>
      </w:r>
      <w:r w:rsidR="00C21E54">
        <w:rPr>
          <w:rFonts w:ascii="Arial" w:eastAsia="Calibri" w:hAnsi="Arial" w:cs="Arial"/>
          <w:color w:val="000000"/>
        </w:rPr>
        <w:t xml:space="preserve"> Darwin, to support air and maritime capabilities and overall force posture, </w:t>
      </w:r>
      <w:r w:rsidR="000541CF">
        <w:rPr>
          <w:rFonts w:ascii="Arial" w:eastAsia="Calibri" w:hAnsi="Arial" w:cs="Arial"/>
          <w:color w:val="000000"/>
        </w:rPr>
        <w:t>will be ‘significantly enhanced’ in the coming years.</w:t>
      </w:r>
      <w:r w:rsidR="007D3155">
        <w:rPr>
          <w:rStyle w:val="FootnoteReference"/>
          <w:rFonts w:ascii="Arial" w:eastAsia="Calibri" w:hAnsi="Arial" w:cs="Arial"/>
          <w:color w:val="000000"/>
        </w:rPr>
        <w:footnoteReference w:id="25"/>
      </w:r>
      <w:r w:rsidR="007D3155">
        <w:rPr>
          <w:rFonts w:ascii="Arial" w:eastAsia="Calibri" w:hAnsi="Arial" w:cs="Arial"/>
          <w:color w:val="000000"/>
        </w:rPr>
        <w:t xml:space="preserve"> </w:t>
      </w:r>
      <w:r w:rsidR="003820D0">
        <w:rPr>
          <w:rFonts w:ascii="Arial" w:eastAsia="Calibri" w:hAnsi="Arial" w:cs="Arial"/>
          <w:color w:val="000000"/>
        </w:rPr>
        <w:t>In 2021, 2,200 US Marines participated in exercised in Darwin, the number reflecting strict limitations in place due to COVID-19.</w:t>
      </w:r>
      <w:r w:rsidR="003820D0">
        <w:rPr>
          <w:rStyle w:val="FootnoteReference"/>
          <w:rFonts w:ascii="Arial" w:eastAsia="Calibri" w:hAnsi="Arial" w:cs="Arial"/>
          <w:color w:val="000000"/>
        </w:rPr>
        <w:footnoteReference w:id="26"/>
      </w:r>
      <w:r w:rsidR="003820D0">
        <w:rPr>
          <w:rFonts w:ascii="Arial" w:eastAsia="Calibri" w:hAnsi="Arial" w:cs="Arial"/>
          <w:color w:val="000000"/>
        </w:rPr>
        <w:t xml:space="preserve"> </w:t>
      </w:r>
      <w:r w:rsidR="007D3155">
        <w:rPr>
          <w:rFonts w:ascii="Arial" w:eastAsia="Calibri" w:hAnsi="Arial" w:cs="Arial"/>
          <w:color w:val="000000"/>
        </w:rPr>
        <w:t xml:space="preserve">Comparable initiatives across Australia are likely to expand in the face </w:t>
      </w:r>
      <w:r w:rsidR="003820D0">
        <w:rPr>
          <w:rFonts w:ascii="Arial" w:eastAsia="Calibri" w:hAnsi="Arial" w:cs="Arial"/>
          <w:color w:val="000000"/>
        </w:rPr>
        <w:t xml:space="preserve">of Australia’s changing security environment. </w:t>
      </w:r>
    </w:p>
    <w:p w14:paraId="68E1E8CC" w14:textId="77777777" w:rsidR="002035F0" w:rsidRDefault="007F67D2" w:rsidP="007F67D2">
      <w:pPr>
        <w:autoSpaceDE w:val="0"/>
        <w:autoSpaceDN w:val="0"/>
        <w:adjustRightInd w:val="0"/>
        <w:spacing w:before="160" w:after="0" w:line="240" w:lineRule="auto"/>
        <w:rPr>
          <w:rFonts w:ascii="Arial" w:eastAsia="Calibri" w:hAnsi="Arial" w:cs="Arial"/>
          <w:color w:val="000000"/>
        </w:rPr>
      </w:pPr>
      <w:r>
        <w:rPr>
          <w:rFonts w:ascii="Arial" w:eastAsia="Calibri" w:hAnsi="Arial" w:cs="Arial"/>
          <w:color w:val="000000"/>
        </w:rPr>
        <w:t>Since</w:t>
      </w:r>
      <w:r w:rsidR="00A12B00" w:rsidRPr="00A12B00">
        <w:rPr>
          <w:rFonts w:ascii="Arial" w:eastAsia="Calibri" w:hAnsi="Arial" w:cs="Arial"/>
          <w:color w:val="000000"/>
        </w:rPr>
        <w:t xml:space="preserve"> the Explosives Act’s drafting, Australia’s strategic partnerships have evolved. As such, it is likely that</w:t>
      </w:r>
      <w:r w:rsidR="002035F0">
        <w:rPr>
          <w:rFonts w:ascii="Arial" w:eastAsia="Calibri" w:hAnsi="Arial" w:cs="Arial"/>
          <w:color w:val="000000"/>
        </w:rPr>
        <w:t xml:space="preserve">: </w:t>
      </w:r>
    </w:p>
    <w:p w14:paraId="170544D1" w14:textId="13A29A96" w:rsidR="002035F0" w:rsidRDefault="002035F0" w:rsidP="00A16B8A">
      <w:pPr>
        <w:pStyle w:val="ListParagraph"/>
        <w:numPr>
          <w:ilvl w:val="0"/>
          <w:numId w:val="24"/>
        </w:numPr>
        <w:autoSpaceDE w:val="0"/>
        <w:autoSpaceDN w:val="0"/>
        <w:adjustRightInd w:val="0"/>
        <w:spacing w:before="160" w:after="0" w:line="240" w:lineRule="auto"/>
        <w:ind w:left="360"/>
        <w:rPr>
          <w:rFonts w:ascii="Arial" w:eastAsia="Calibri" w:hAnsi="Arial" w:cs="Arial"/>
          <w:color w:val="000000"/>
        </w:rPr>
      </w:pPr>
      <w:r>
        <w:rPr>
          <w:rFonts w:ascii="Arial" w:eastAsia="Calibri" w:hAnsi="Arial" w:cs="Arial"/>
          <w:color w:val="000000"/>
        </w:rPr>
        <w:t>V</w:t>
      </w:r>
      <w:r w:rsidR="00A12B00" w:rsidRPr="002035F0">
        <w:rPr>
          <w:rFonts w:ascii="Arial" w:eastAsia="Calibri" w:hAnsi="Arial" w:cs="Arial"/>
          <w:color w:val="000000"/>
        </w:rPr>
        <w:t xml:space="preserve">isiting forces </w:t>
      </w:r>
      <w:r w:rsidR="00E764D0">
        <w:rPr>
          <w:rFonts w:ascii="Arial" w:eastAsia="Calibri" w:hAnsi="Arial" w:cs="Arial"/>
          <w:color w:val="000000"/>
        </w:rPr>
        <w:t xml:space="preserve">(as a subset of foreign government officials) </w:t>
      </w:r>
      <w:r w:rsidR="00A12B00" w:rsidRPr="002035F0">
        <w:rPr>
          <w:rFonts w:ascii="Arial" w:eastAsia="Calibri" w:hAnsi="Arial" w:cs="Arial"/>
          <w:color w:val="000000"/>
        </w:rPr>
        <w:t xml:space="preserve">are, or may be, present in Australia for a broader range of purposes not captured by </w:t>
      </w:r>
      <w:r w:rsidRPr="002035F0">
        <w:rPr>
          <w:rFonts w:ascii="Arial" w:eastAsia="Calibri" w:hAnsi="Arial" w:cs="Arial"/>
          <w:color w:val="000000"/>
        </w:rPr>
        <w:t>‘</w:t>
      </w:r>
      <w:r w:rsidR="00A12B00" w:rsidRPr="002035F0">
        <w:rPr>
          <w:rFonts w:ascii="Arial" w:eastAsia="Calibri" w:hAnsi="Arial" w:cs="Arial"/>
          <w:color w:val="000000"/>
        </w:rPr>
        <w:t>defence of the Commonwealth</w:t>
      </w:r>
      <w:r w:rsidRPr="002035F0">
        <w:rPr>
          <w:rFonts w:ascii="Arial" w:eastAsia="Calibri" w:hAnsi="Arial" w:cs="Arial"/>
          <w:color w:val="000000"/>
        </w:rPr>
        <w:t>’</w:t>
      </w:r>
      <w:r>
        <w:rPr>
          <w:rFonts w:ascii="Arial" w:eastAsia="Calibri" w:hAnsi="Arial" w:cs="Arial"/>
          <w:color w:val="000000"/>
        </w:rPr>
        <w:t xml:space="preserve">; and </w:t>
      </w:r>
    </w:p>
    <w:p w14:paraId="1A187ECD" w14:textId="48338E8B" w:rsidR="00FB263F" w:rsidRDefault="00FB263F" w:rsidP="00A16B8A">
      <w:pPr>
        <w:pStyle w:val="ListParagraph"/>
        <w:numPr>
          <w:ilvl w:val="0"/>
          <w:numId w:val="24"/>
        </w:numPr>
        <w:autoSpaceDE w:val="0"/>
        <w:autoSpaceDN w:val="0"/>
        <w:adjustRightInd w:val="0"/>
        <w:spacing w:before="160" w:after="0" w:line="240" w:lineRule="auto"/>
        <w:ind w:left="360"/>
        <w:rPr>
          <w:rFonts w:ascii="Arial" w:eastAsia="Calibri" w:hAnsi="Arial" w:cs="Arial"/>
          <w:color w:val="000000"/>
        </w:rPr>
      </w:pPr>
      <w:r>
        <w:rPr>
          <w:rFonts w:ascii="Arial" w:eastAsia="Calibri" w:hAnsi="Arial" w:cs="Arial"/>
          <w:color w:val="000000"/>
        </w:rPr>
        <w:t xml:space="preserve">Foreign personnel, other than those part of a visiting foreign force, are or may be present in Australia for purposes not contemplated by the current regulatory regime. </w:t>
      </w:r>
    </w:p>
    <w:p w14:paraId="6D1D0BF5" w14:textId="3454C9F9" w:rsidR="00A12B00" w:rsidRPr="00FB263F" w:rsidRDefault="00A12B00" w:rsidP="00FB263F">
      <w:pPr>
        <w:autoSpaceDE w:val="0"/>
        <w:autoSpaceDN w:val="0"/>
        <w:adjustRightInd w:val="0"/>
        <w:spacing w:before="160" w:after="0" w:line="240" w:lineRule="auto"/>
        <w:rPr>
          <w:rFonts w:ascii="Arial" w:eastAsia="Calibri" w:hAnsi="Arial" w:cs="Arial"/>
          <w:color w:val="000000"/>
        </w:rPr>
      </w:pPr>
      <w:r w:rsidRPr="00FB263F">
        <w:rPr>
          <w:rFonts w:ascii="Arial" w:eastAsia="Calibri" w:hAnsi="Arial" w:cs="Arial"/>
          <w:color w:val="000000"/>
        </w:rPr>
        <w:t>Th</w:t>
      </w:r>
      <w:r w:rsidR="00FB263F">
        <w:rPr>
          <w:rFonts w:ascii="Arial" w:eastAsia="Calibri" w:hAnsi="Arial" w:cs="Arial"/>
          <w:color w:val="000000"/>
        </w:rPr>
        <w:t>ese circumstances include</w:t>
      </w:r>
      <w:r w:rsidRPr="00FB263F">
        <w:rPr>
          <w:rFonts w:ascii="Arial" w:eastAsia="Calibri" w:hAnsi="Arial" w:cs="Arial"/>
          <w:color w:val="000000"/>
        </w:rPr>
        <w:t xml:space="preserve">, for example, where Australia hosts </w:t>
      </w:r>
      <w:r w:rsidR="00AB4CE0" w:rsidRPr="00FB263F">
        <w:rPr>
          <w:rFonts w:ascii="Arial" w:eastAsia="Calibri" w:hAnsi="Arial" w:cs="Arial"/>
          <w:color w:val="000000"/>
        </w:rPr>
        <w:t xml:space="preserve">foreign </w:t>
      </w:r>
      <w:r w:rsidR="009D49DF">
        <w:rPr>
          <w:rFonts w:ascii="Arial" w:eastAsia="Calibri" w:hAnsi="Arial" w:cs="Arial"/>
          <w:color w:val="000000"/>
        </w:rPr>
        <w:t xml:space="preserve">forces in </w:t>
      </w:r>
      <w:r w:rsidRPr="00FB263F">
        <w:rPr>
          <w:rFonts w:ascii="Arial" w:eastAsia="Calibri" w:hAnsi="Arial" w:cs="Arial"/>
          <w:color w:val="000000"/>
        </w:rPr>
        <w:t>Australia for training purposes</w:t>
      </w:r>
      <w:r w:rsidR="009D49DF">
        <w:rPr>
          <w:rFonts w:ascii="Arial" w:eastAsia="Calibri" w:hAnsi="Arial" w:cs="Arial"/>
          <w:color w:val="000000"/>
        </w:rPr>
        <w:t xml:space="preserve"> or, more broadly, where foreign government officials </w:t>
      </w:r>
      <w:r w:rsidR="0066375E">
        <w:rPr>
          <w:rFonts w:ascii="Arial" w:eastAsia="Calibri" w:hAnsi="Arial" w:cs="Arial"/>
          <w:color w:val="000000"/>
        </w:rPr>
        <w:t xml:space="preserve">are present in Australia </w:t>
      </w:r>
      <w:r w:rsidR="00526561">
        <w:rPr>
          <w:rFonts w:ascii="Arial" w:eastAsia="Calibri" w:hAnsi="Arial" w:cs="Arial"/>
          <w:color w:val="000000"/>
        </w:rPr>
        <w:t xml:space="preserve">for non-military purposes (for example, for policing or space related matters). </w:t>
      </w:r>
      <w:r w:rsidRPr="00FB263F">
        <w:rPr>
          <w:rFonts w:ascii="Arial" w:eastAsia="Calibri" w:hAnsi="Arial" w:cs="Arial"/>
          <w:color w:val="000000"/>
        </w:rPr>
        <w:t xml:space="preserve">While these purposes are clearly aligned with Australia’s </w:t>
      </w:r>
      <w:r w:rsidR="00AB1080">
        <w:rPr>
          <w:rFonts w:ascii="Arial" w:eastAsia="Calibri" w:hAnsi="Arial" w:cs="Arial"/>
          <w:color w:val="000000"/>
        </w:rPr>
        <w:t>growing strategic</w:t>
      </w:r>
      <w:r w:rsidRPr="00FB263F">
        <w:rPr>
          <w:rFonts w:ascii="Arial" w:eastAsia="Calibri" w:hAnsi="Arial" w:cs="Arial"/>
          <w:color w:val="000000"/>
        </w:rPr>
        <w:t xml:space="preserve"> interests, they are </w:t>
      </w:r>
      <w:r w:rsidR="00AB1080">
        <w:rPr>
          <w:rFonts w:ascii="Arial" w:eastAsia="Calibri" w:hAnsi="Arial" w:cs="Arial"/>
          <w:color w:val="000000"/>
        </w:rPr>
        <w:t>unlikely to be supported by</w:t>
      </w:r>
      <w:r w:rsidRPr="00FB263F">
        <w:rPr>
          <w:rFonts w:ascii="Arial" w:eastAsia="Calibri" w:hAnsi="Arial" w:cs="Arial"/>
          <w:color w:val="000000"/>
        </w:rPr>
        <w:t xml:space="preserve"> the current explosives regulatory regime. </w:t>
      </w:r>
    </w:p>
    <w:p w14:paraId="0E60B34A" w14:textId="6785F3DD" w:rsidR="00A12B00" w:rsidRPr="00A12B00" w:rsidRDefault="00A12B00" w:rsidP="00A12B00">
      <w:pPr>
        <w:autoSpaceDE w:val="0"/>
        <w:autoSpaceDN w:val="0"/>
        <w:adjustRightInd w:val="0"/>
        <w:spacing w:before="160" w:line="240" w:lineRule="auto"/>
        <w:rPr>
          <w:rFonts w:ascii="Arial" w:eastAsia="Calibri" w:hAnsi="Arial" w:cs="Arial"/>
        </w:rPr>
      </w:pPr>
      <w:r w:rsidRPr="00A12B00">
        <w:rPr>
          <w:rFonts w:ascii="Arial" w:eastAsia="Calibri" w:hAnsi="Arial" w:cs="Arial"/>
        </w:rPr>
        <w:t xml:space="preserve">Consequently, the use of explosives by </w:t>
      </w:r>
      <w:r w:rsidR="00AB4CE0">
        <w:rPr>
          <w:rFonts w:ascii="Arial" w:eastAsia="Calibri" w:hAnsi="Arial" w:cs="Arial"/>
        </w:rPr>
        <w:t>foreign government officials</w:t>
      </w:r>
      <w:r w:rsidRPr="00A12B00">
        <w:rPr>
          <w:rFonts w:ascii="Arial" w:eastAsia="Calibri" w:hAnsi="Arial" w:cs="Arial"/>
        </w:rPr>
        <w:t xml:space="preserve"> in Australia for purposes other than the defence of the Commonwealth may not be subject to the application of the Explosives Instruments, but nevertheless subject to applicable explosives laws of the States and Territories as well as Commonwealth WHS laws. This result exacerbates inconsistencies, ambiguities and regulatory gaps identified throughout this section. Specifically, under the current Commonwealth regime, the operations of visiting </w:t>
      </w:r>
      <w:r w:rsidR="00F1010F">
        <w:rPr>
          <w:rFonts w:ascii="Arial" w:eastAsia="Calibri" w:hAnsi="Arial" w:cs="Arial"/>
        </w:rPr>
        <w:t xml:space="preserve">foreign government officials </w:t>
      </w:r>
      <w:r w:rsidRPr="00A12B00">
        <w:rPr>
          <w:rFonts w:ascii="Arial" w:eastAsia="Calibri" w:hAnsi="Arial" w:cs="Arial"/>
        </w:rPr>
        <w:t xml:space="preserve">in Australia are impeded by the </w:t>
      </w:r>
      <w:proofErr w:type="gramStart"/>
      <w:r w:rsidRPr="00A12B00">
        <w:rPr>
          <w:rFonts w:ascii="Arial" w:eastAsia="Calibri" w:hAnsi="Arial" w:cs="Arial"/>
        </w:rPr>
        <w:t>regime’s</w:t>
      </w:r>
      <w:proofErr w:type="gramEnd"/>
      <w:r w:rsidRPr="00A12B00">
        <w:rPr>
          <w:rFonts w:ascii="Arial" w:eastAsia="Calibri" w:hAnsi="Arial" w:cs="Arial"/>
        </w:rPr>
        <w:t xml:space="preserve">: </w:t>
      </w:r>
    </w:p>
    <w:p w14:paraId="2ECAC5F9" w14:textId="77777777" w:rsidR="00A12B00" w:rsidRPr="00A12B00" w:rsidRDefault="00A12B00" w:rsidP="002176AF">
      <w:pPr>
        <w:numPr>
          <w:ilvl w:val="0"/>
          <w:numId w:val="11"/>
        </w:numPr>
        <w:autoSpaceDE w:val="0"/>
        <w:autoSpaceDN w:val="0"/>
        <w:adjustRightInd w:val="0"/>
        <w:spacing w:line="240" w:lineRule="auto"/>
        <w:contextualSpacing/>
        <w:rPr>
          <w:rFonts w:ascii="Arial" w:eastAsia="Calibri" w:hAnsi="Arial" w:cs="Arial"/>
        </w:rPr>
      </w:pPr>
      <w:r w:rsidRPr="00A12B00">
        <w:rPr>
          <w:rFonts w:ascii="Arial" w:eastAsia="Calibri" w:hAnsi="Arial" w:cs="Arial"/>
        </w:rPr>
        <w:t xml:space="preserve">Lack of explicit provision for visiting forces in Australia, including their authorisation to engage in Commonwealth explosives activities in the course of their duties; </w:t>
      </w:r>
    </w:p>
    <w:p w14:paraId="34199BC1" w14:textId="4CA82660" w:rsidR="00A12B00" w:rsidRPr="00A12B00" w:rsidRDefault="00A12B00" w:rsidP="002176AF">
      <w:pPr>
        <w:numPr>
          <w:ilvl w:val="0"/>
          <w:numId w:val="11"/>
        </w:numPr>
        <w:autoSpaceDE w:val="0"/>
        <w:autoSpaceDN w:val="0"/>
        <w:adjustRightInd w:val="0"/>
        <w:spacing w:line="240" w:lineRule="auto"/>
        <w:contextualSpacing/>
        <w:rPr>
          <w:rFonts w:ascii="Arial" w:eastAsia="Calibri" w:hAnsi="Arial" w:cs="Arial"/>
        </w:rPr>
      </w:pPr>
      <w:r w:rsidRPr="00A12B00">
        <w:rPr>
          <w:rFonts w:ascii="Arial" w:eastAsia="Calibri" w:hAnsi="Arial" w:cs="Arial"/>
        </w:rPr>
        <w:t xml:space="preserve">Complex approach to authorising Commonwealth explosives for use by </w:t>
      </w:r>
      <w:r w:rsidR="00AB4CE0">
        <w:rPr>
          <w:rFonts w:ascii="Arial" w:eastAsia="Calibri" w:hAnsi="Arial" w:cs="Arial"/>
        </w:rPr>
        <w:t>foreign government officials</w:t>
      </w:r>
      <w:r w:rsidRPr="00A12B00">
        <w:rPr>
          <w:rFonts w:ascii="Arial" w:eastAsia="Calibri" w:hAnsi="Arial" w:cs="Arial"/>
        </w:rPr>
        <w:t xml:space="preserve"> in Australia; and</w:t>
      </w:r>
    </w:p>
    <w:p w14:paraId="5578FABA" w14:textId="77777777" w:rsidR="00A12B00" w:rsidRPr="00A12B00" w:rsidRDefault="00A12B00" w:rsidP="002176AF">
      <w:pPr>
        <w:numPr>
          <w:ilvl w:val="0"/>
          <w:numId w:val="11"/>
        </w:numPr>
        <w:autoSpaceDE w:val="0"/>
        <w:autoSpaceDN w:val="0"/>
        <w:adjustRightInd w:val="0"/>
        <w:spacing w:line="240" w:lineRule="auto"/>
        <w:ind w:left="357" w:hanging="357"/>
        <w:rPr>
          <w:rFonts w:ascii="Arial" w:eastAsia="Calibri" w:hAnsi="Arial" w:cs="Arial"/>
        </w:rPr>
      </w:pPr>
      <w:r w:rsidRPr="00A12B00">
        <w:rPr>
          <w:rFonts w:ascii="Arial" w:eastAsia="Calibri" w:hAnsi="Arial" w:cs="Arial"/>
        </w:rPr>
        <w:t>Lack of explicit provision for monitoring and enforcement tools applicable to visiting forces in Australia, including the ability to assess their competence and capacity to safety and securely conduct Commonwealth explosives activities.</w:t>
      </w:r>
    </w:p>
    <w:p w14:paraId="1D379394" w14:textId="77777777" w:rsidR="00A12B00" w:rsidRPr="00A12B00" w:rsidRDefault="00A12B00" w:rsidP="00A12B00">
      <w:pPr>
        <w:autoSpaceDE w:val="0"/>
        <w:autoSpaceDN w:val="0"/>
        <w:adjustRightInd w:val="0"/>
        <w:spacing w:line="240" w:lineRule="auto"/>
        <w:rPr>
          <w:rFonts w:ascii="Arial" w:eastAsia="Calibri" w:hAnsi="Arial" w:cs="Arial"/>
        </w:rPr>
      </w:pPr>
      <w:r w:rsidRPr="00A12B00">
        <w:rPr>
          <w:rFonts w:ascii="Arial" w:eastAsia="Calibri" w:hAnsi="Arial" w:cs="Arial"/>
        </w:rPr>
        <w:t xml:space="preserve">These impediments highlight additional vulnerabilities in the current Commonwealth explosives regulatory regime and its unfitness for the purpose of regulating the explosives activities of visiting forces in Australia. </w:t>
      </w:r>
    </w:p>
    <w:p w14:paraId="78255EB7" w14:textId="065389B6" w:rsidR="00A12B00" w:rsidRPr="00A12B00" w:rsidRDefault="001B352F" w:rsidP="00A12B00">
      <w:pPr>
        <w:autoSpaceDE w:val="0"/>
        <w:autoSpaceDN w:val="0"/>
        <w:adjustRightInd w:val="0"/>
        <w:spacing w:line="240" w:lineRule="auto"/>
        <w:rPr>
          <w:rFonts w:ascii="Arial" w:eastAsia="Calibri" w:hAnsi="Arial" w:cs="Arial"/>
        </w:rPr>
      </w:pPr>
      <w:r w:rsidRPr="00A12B00">
        <w:rPr>
          <w:rFonts w:ascii="Calibri" w:eastAsia="Calibri" w:hAnsi="Calibri" w:cs="Times New Roman"/>
          <w:noProof/>
          <w:lang w:eastAsia="en-AU"/>
        </w:rPr>
        <mc:AlternateContent>
          <mc:Choice Requires="wps">
            <w:drawing>
              <wp:anchor distT="0" distB="0" distL="114300" distR="114300" simplePos="0" relativeHeight="251679744" behindDoc="0" locked="0" layoutInCell="1" allowOverlap="1" wp14:anchorId="1E663389" wp14:editId="4DD6B201">
                <wp:simplePos x="0" y="0"/>
                <wp:positionH relativeFrom="margin">
                  <wp:align>left</wp:align>
                </wp:positionH>
                <wp:positionV relativeFrom="paragraph">
                  <wp:posOffset>11430</wp:posOffset>
                </wp:positionV>
                <wp:extent cx="5528310" cy="182880"/>
                <wp:effectExtent l="0" t="0" r="0" b="7620"/>
                <wp:wrapNone/>
                <wp:docPr id="34" name="Text Box 34"/>
                <wp:cNvGraphicFramePr/>
                <a:graphic xmlns:a="http://schemas.openxmlformats.org/drawingml/2006/main">
                  <a:graphicData uri="http://schemas.microsoft.com/office/word/2010/wordprocessingShape">
                    <wps:wsp>
                      <wps:cNvSpPr txBox="1"/>
                      <wps:spPr>
                        <a:xfrm>
                          <a:off x="0" y="0"/>
                          <a:ext cx="5528310" cy="182880"/>
                        </a:xfrm>
                        <a:prstGeom prst="rect">
                          <a:avLst/>
                        </a:prstGeom>
                        <a:solidFill>
                          <a:prstClr val="white"/>
                        </a:solidFill>
                        <a:ln>
                          <a:noFill/>
                        </a:ln>
                      </wps:spPr>
                      <wps:txbx>
                        <w:txbxContent>
                          <w:p w14:paraId="76BA9DCD" w14:textId="3B4E5ACE" w:rsidR="00B3427F" w:rsidRPr="001B352F" w:rsidRDefault="00B3427F" w:rsidP="00A12B00">
                            <w:pPr>
                              <w:pStyle w:val="Caption1"/>
                              <w:rPr>
                                <w:rFonts w:ascii="Arial" w:hAnsi="Arial" w:cs="Arial"/>
                                <w:b/>
                                <w:bCs/>
                                <w:noProof/>
                                <w:color w:val="auto"/>
                                <w:sz w:val="16"/>
                                <w:szCs w:val="16"/>
                              </w:rPr>
                            </w:pPr>
                            <w:bookmarkStart w:id="31" w:name="_Toc90385841"/>
                            <w:r w:rsidRPr="001B352F">
                              <w:rPr>
                                <w:rFonts w:ascii="Arial" w:hAnsi="Arial" w:cs="Arial"/>
                                <w:b/>
                                <w:bCs/>
                                <w:color w:val="auto"/>
                                <w:sz w:val="16"/>
                                <w:szCs w:val="16"/>
                              </w:rPr>
                              <w:t xml:space="preserve">Figure </w:t>
                            </w:r>
                            <w:r>
                              <w:rPr>
                                <w:rFonts w:ascii="Arial" w:hAnsi="Arial" w:cs="Arial"/>
                                <w:b/>
                                <w:bCs/>
                                <w:color w:val="auto"/>
                                <w:sz w:val="16"/>
                                <w:szCs w:val="16"/>
                              </w:rPr>
                              <w:fldChar w:fldCharType="begin"/>
                            </w:r>
                            <w:r>
                              <w:rPr>
                                <w:rFonts w:ascii="Arial" w:hAnsi="Arial" w:cs="Arial"/>
                                <w:b/>
                                <w:bCs/>
                                <w:color w:val="auto"/>
                                <w:sz w:val="16"/>
                                <w:szCs w:val="16"/>
                              </w:rPr>
                              <w:instrText xml:space="preserve"> SEQ Figure \* ARABIC </w:instrText>
                            </w:r>
                            <w:r>
                              <w:rPr>
                                <w:rFonts w:ascii="Arial" w:hAnsi="Arial" w:cs="Arial"/>
                                <w:b/>
                                <w:bCs/>
                                <w:color w:val="auto"/>
                                <w:sz w:val="16"/>
                                <w:szCs w:val="16"/>
                              </w:rPr>
                              <w:fldChar w:fldCharType="separate"/>
                            </w:r>
                            <w:r>
                              <w:rPr>
                                <w:rFonts w:ascii="Arial" w:hAnsi="Arial" w:cs="Arial"/>
                                <w:b/>
                                <w:bCs/>
                                <w:noProof/>
                                <w:color w:val="auto"/>
                                <w:sz w:val="16"/>
                                <w:szCs w:val="16"/>
                              </w:rPr>
                              <w:t>14</w:t>
                            </w:r>
                            <w:r>
                              <w:rPr>
                                <w:rFonts w:ascii="Arial" w:hAnsi="Arial" w:cs="Arial"/>
                                <w:b/>
                                <w:bCs/>
                                <w:color w:val="auto"/>
                                <w:sz w:val="16"/>
                                <w:szCs w:val="16"/>
                              </w:rPr>
                              <w:fldChar w:fldCharType="end"/>
                            </w:r>
                            <w:r w:rsidRPr="001B352F">
                              <w:rPr>
                                <w:rFonts w:ascii="Arial" w:hAnsi="Arial" w:cs="Arial"/>
                                <w:b/>
                                <w:bCs/>
                                <w:color w:val="auto"/>
                                <w:sz w:val="16"/>
                                <w:szCs w:val="16"/>
                              </w:rPr>
                              <w:t xml:space="preserve">: </w:t>
                            </w:r>
                            <w:r w:rsidRPr="001B352F">
                              <w:rPr>
                                <w:rFonts w:ascii="Arial" w:hAnsi="Arial" w:cs="Arial"/>
                                <w:color w:val="auto"/>
                                <w:sz w:val="16"/>
                                <w:szCs w:val="16"/>
                              </w:rPr>
                              <w:t>Consultation Insights</w:t>
                            </w:r>
                            <w:bookmarkEnd w:id="3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E663389" id="Text Box 34" o:spid="_x0000_s1050" type="#_x0000_t202" style="position:absolute;margin-left:0;margin-top:.9pt;width:435.3pt;height:14.4pt;z-index:2516797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" stroked="f">
                <v:textbox inset="0,0,0,0">
                  <w:txbxContent>
                    <w:p w14:paraId="76BA9DCD" w14:textId="3B4E5ACE" w:rsidR="00B3427F" w:rsidRPr="001B352F" w:rsidRDefault="00B3427F" w:rsidP="00A12B00">
                      <w:pPr>
                        <w:pStyle w:val="Caption1"/>
                        <w:rPr>
                          <w:rFonts w:ascii="Arial" w:hAnsi="Arial" w:cs="Arial"/>
                          <w:b/>
                          <w:bCs/>
                          <w:noProof/>
                          <w:color w:val="auto"/>
                          <w:sz w:val="16"/>
                          <w:szCs w:val="16"/>
                        </w:rPr>
                      </w:pPr>
                      <w:bookmarkStart w:id="94" w:name="_Toc90385841"/>
                      <w:r w:rsidRPr="001B352F">
                        <w:rPr>
                          <w:rFonts w:ascii="Arial" w:hAnsi="Arial" w:cs="Arial"/>
                          <w:b/>
                          <w:bCs/>
                          <w:color w:val="auto"/>
                          <w:sz w:val="16"/>
                          <w:szCs w:val="16"/>
                        </w:rPr>
                        <w:t xml:space="preserve">Figure </w:t>
                      </w:r>
                      <w:r>
                        <w:rPr>
                          <w:rFonts w:ascii="Arial" w:hAnsi="Arial" w:cs="Arial"/>
                          <w:b/>
                          <w:bCs/>
                          <w:color w:val="auto"/>
                          <w:sz w:val="16"/>
                          <w:szCs w:val="16"/>
                        </w:rPr>
                        <w:fldChar w:fldCharType="begin"/>
                      </w:r>
                      <w:r>
                        <w:rPr>
                          <w:rFonts w:ascii="Arial" w:hAnsi="Arial" w:cs="Arial"/>
                          <w:b/>
                          <w:bCs/>
                          <w:color w:val="auto"/>
                          <w:sz w:val="16"/>
                          <w:szCs w:val="16"/>
                        </w:rPr>
                        <w:instrText xml:space="preserve"> SEQ Figure \* ARABIC </w:instrText>
                      </w:r>
                      <w:r>
                        <w:rPr>
                          <w:rFonts w:ascii="Arial" w:hAnsi="Arial" w:cs="Arial"/>
                          <w:b/>
                          <w:bCs/>
                          <w:color w:val="auto"/>
                          <w:sz w:val="16"/>
                          <w:szCs w:val="16"/>
                        </w:rPr>
                        <w:fldChar w:fldCharType="separate"/>
                      </w:r>
                      <w:r>
                        <w:rPr>
                          <w:rFonts w:ascii="Arial" w:hAnsi="Arial" w:cs="Arial"/>
                          <w:b/>
                          <w:bCs/>
                          <w:noProof/>
                          <w:color w:val="auto"/>
                          <w:sz w:val="16"/>
                          <w:szCs w:val="16"/>
                        </w:rPr>
                        <w:t>14</w:t>
                      </w:r>
                      <w:r>
                        <w:rPr>
                          <w:rFonts w:ascii="Arial" w:hAnsi="Arial" w:cs="Arial"/>
                          <w:b/>
                          <w:bCs/>
                          <w:color w:val="auto"/>
                          <w:sz w:val="16"/>
                          <w:szCs w:val="16"/>
                        </w:rPr>
                        <w:fldChar w:fldCharType="end"/>
                      </w:r>
                      <w:r w:rsidRPr="001B352F">
                        <w:rPr>
                          <w:rFonts w:ascii="Arial" w:hAnsi="Arial" w:cs="Arial"/>
                          <w:b/>
                          <w:bCs/>
                          <w:color w:val="auto"/>
                          <w:sz w:val="16"/>
                          <w:szCs w:val="16"/>
                        </w:rPr>
                        <w:t xml:space="preserve">: </w:t>
                      </w:r>
                      <w:r w:rsidRPr="001B352F">
                        <w:rPr>
                          <w:rFonts w:ascii="Arial" w:hAnsi="Arial" w:cs="Arial"/>
                          <w:color w:val="auto"/>
                          <w:sz w:val="16"/>
                          <w:szCs w:val="16"/>
                        </w:rPr>
                        <w:t>Consultation Insights</w:t>
                      </w:r>
                      <w:bookmarkEnd w:id="94"/>
                    </w:p>
                  </w:txbxContent>
                </v:textbox>
                <w10:wrap anchorx="margin"/>
              </v:shape>
            </w:pict>
          </mc:Fallback>
        </mc:AlternateContent>
      </w:r>
      <w:r w:rsidR="00A12B00" w:rsidRPr="00A12B00">
        <w:rPr>
          <w:rFonts w:ascii="Arial" w:eastAsia="Calibri" w:hAnsi="Arial" w:cs="Arial"/>
          <w:noProof/>
          <w:lang w:eastAsia="en-AU"/>
        </w:rPr>
        <mc:AlternateContent>
          <mc:Choice Requires="wps">
            <w:drawing>
              <wp:anchor distT="0" distB="0" distL="114300" distR="114300" simplePos="0" relativeHeight="251676672" behindDoc="0" locked="0" layoutInCell="1" allowOverlap="1" wp14:anchorId="5D7B56FC" wp14:editId="03CDDBB1">
                <wp:simplePos x="0" y="0"/>
                <wp:positionH relativeFrom="margin">
                  <wp:posOffset>0</wp:posOffset>
                </wp:positionH>
                <wp:positionV relativeFrom="paragraph">
                  <wp:posOffset>217170</wp:posOffset>
                </wp:positionV>
                <wp:extent cx="5528310" cy="533400"/>
                <wp:effectExtent l="0" t="0" r="15240" b="19050"/>
                <wp:wrapNone/>
                <wp:docPr id="31" name="Rectangle: Rounded Corners 31"/>
                <wp:cNvGraphicFramePr/>
                <a:graphic xmlns:a="http://schemas.openxmlformats.org/drawingml/2006/main">
                  <a:graphicData uri="http://schemas.microsoft.com/office/word/2010/wordprocessingShape">
                    <wps:wsp>
                      <wps:cNvSpPr/>
                      <wps:spPr>
                        <a:xfrm>
                          <a:off x="0" y="0"/>
                          <a:ext cx="5528310" cy="533400"/>
                        </a:xfrm>
                        <a:prstGeom prst="roundRect">
                          <a:avLst/>
                        </a:prstGeom>
                        <a:solidFill>
                          <a:srgbClr val="C19859">
                            <a:lumMod val="20000"/>
                            <a:lumOff val="80000"/>
                          </a:srgbClr>
                        </a:solidFill>
                        <a:ln w="12700" cap="flat" cmpd="sng" algn="ctr">
                          <a:solidFill>
                            <a:srgbClr val="C19859"/>
                          </a:solidFill>
                          <a:prstDash val="solid"/>
                          <a:miter lim="800000"/>
                        </a:ln>
                        <a:effectLst/>
                      </wps:spPr>
                      <wps:txbx>
                        <w:txbxContent>
                          <w:p w14:paraId="14E6D65E" w14:textId="77777777" w:rsidR="00B3427F" w:rsidRPr="00CA5D7E" w:rsidRDefault="00B3427F" w:rsidP="00A12B00">
                            <w:pPr>
                              <w:jc w:val="center"/>
                              <w:rPr>
                                <w:rFonts w:ascii="Arial" w:hAnsi="Arial" w:cs="Arial"/>
                                <w:i/>
                                <w:iCs/>
                                <w:sz w:val="20"/>
                                <w:szCs w:val="20"/>
                              </w:rPr>
                            </w:pPr>
                            <w:r>
                              <w:rPr>
                                <w:rFonts w:ascii="Arial" w:hAnsi="Arial" w:cs="Arial"/>
                                <w:i/>
                                <w:iCs/>
                                <w:sz w:val="20"/>
                                <w:szCs w:val="20"/>
                              </w:rPr>
                              <w:t xml:space="preserve">“’Commonwealth defence only’ needs defining because training, participation in exercises etc. should be permitted. </w:t>
                            </w:r>
                            <w:r w:rsidRPr="00294BBC">
                              <w:rPr>
                                <w:rFonts w:ascii="Arial" w:hAnsi="Arial" w:cs="Arial"/>
                                <w:b/>
                                <w:bCs/>
                                <w:i/>
                                <w:iCs/>
                                <w:sz w:val="20"/>
                                <w:szCs w:val="20"/>
                              </w:rPr>
                              <w:t>The definition should not be unnecessarily prescriptive</w:t>
                            </w:r>
                            <w:r w:rsidRPr="006D165D">
                              <w:rPr>
                                <w:rFonts w:ascii="Arial" w:hAnsi="Arial" w:cs="Arial"/>
                                <w:i/>
                                <w:iCs/>
                                <w:sz w:val="20"/>
                                <w:szCs w:val="20"/>
                              </w:rPr>
                              <w:t>.</w:t>
                            </w:r>
                            <w:r>
                              <w:rPr>
                                <w:rFonts w:ascii="Arial" w:hAnsi="Arial" w:cs="Arial"/>
                                <w:i/>
                                <w:iCs/>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5D7B56FC" id="Rectangle: Rounded Corners 31" o:spid="_x0000_s1051" style="position:absolute;margin-left:0;margin-top:17.1pt;width:435.3pt;height:42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" fillcolor="#f3eade" strokecolor="#c19859" strokeweight="1pt">
                <v:stroke joinstyle="miter"/>
                <v:textbox>
                  <w:txbxContent>
                    <w:p w14:paraId="14E6D65E" w14:textId="77777777" w:rsidR="00B3427F" w:rsidRPr="00CA5D7E" w:rsidRDefault="00B3427F" w:rsidP="00A12B00">
                      <w:pPr>
                        <w:jc w:val="center"/>
                        <w:rPr>
                          <w:rFonts w:ascii="Arial" w:hAnsi="Arial" w:cs="Arial"/>
                          <w:i/>
                          <w:iCs/>
                          <w:sz w:val="20"/>
                          <w:szCs w:val="20"/>
                        </w:rPr>
                      </w:pPr>
                      <w:r>
                        <w:rPr>
                          <w:rFonts w:ascii="Arial" w:hAnsi="Arial" w:cs="Arial"/>
                          <w:i/>
                          <w:iCs/>
                          <w:sz w:val="20"/>
                          <w:szCs w:val="20"/>
                        </w:rPr>
                        <w:t xml:space="preserve">“’Commonwealth defence only’ needs defining because training, participation in exercises etc. should be permitted. </w:t>
                      </w:r>
                      <w:r w:rsidRPr="00294BBC">
                        <w:rPr>
                          <w:rFonts w:ascii="Arial" w:hAnsi="Arial" w:cs="Arial"/>
                          <w:b/>
                          <w:bCs/>
                          <w:i/>
                          <w:iCs/>
                          <w:sz w:val="20"/>
                          <w:szCs w:val="20"/>
                        </w:rPr>
                        <w:t>The definition should not be unnecessarily prescriptive</w:t>
                      </w:r>
                      <w:r w:rsidRPr="006D165D">
                        <w:rPr>
                          <w:rFonts w:ascii="Arial" w:hAnsi="Arial" w:cs="Arial"/>
                          <w:i/>
                          <w:iCs/>
                          <w:sz w:val="20"/>
                          <w:szCs w:val="20"/>
                        </w:rPr>
                        <w:t>.</w:t>
                      </w:r>
                      <w:r>
                        <w:rPr>
                          <w:rFonts w:ascii="Arial" w:hAnsi="Arial" w:cs="Arial"/>
                          <w:i/>
                          <w:iCs/>
                          <w:sz w:val="20"/>
                          <w:szCs w:val="20"/>
                        </w:rPr>
                        <w:t>”</w:t>
                      </w:r>
                    </w:p>
                  </w:txbxContent>
                </v:textbox>
                <w10:wrap anchorx="margin"/>
              </v:roundrect>
            </w:pict>
          </mc:Fallback>
        </mc:AlternateContent>
      </w:r>
      <w:r w:rsidR="00A12B00" w:rsidRPr="00A12B00">
        <w:rPr>
          <w:rFonts w:ascii="Arial" w:eastAsia="Calibri" w:hAnsi="Arial" w:cs="Arial"/>
        </w:rPr>
        <w:br/>
      </w:r>
    </w:p>
    <w:p w14:paraId="4CAF9D66" w14:textId="77777777" w:rsidR="00A12B00" w:rsidRPr="00A12B00" w:rsidRDefault="00A12B00" w:rsidP="00A12B00">
      <w:pPr>
        <w:rPr>
          <w:rFonts w:ascii="Arial" w:eastAsia="Calibri" w:hAnsi="Arial" w:cs="Arial"/>
        </w:rPr>
      </w:pPr>
      <w:bookmarkStart w:id="32" w:name="_Toc83804542"/>
    </w:p>
    <w:p w14:paraId="083622E8" w14:textId="77777777" w:rsidR="00A12B00" w:rsidRPr="00A12B00" w:rsidRDefault="00A12B00" w:rsidP="00A12B00">
      <w:pPr>
        <w:rPr>
          <w:rFonts w:ascii="Arial" w:eastAsia="Calibri" w:hAnsi="Arial" w:cs="Arial"/>
        </w:rPr>
      </w:pPr>
      <w:r w:rsidRPr="00A12B00">
        <w:rPr>
          <w:rFonts w:ascii="Arial" w:eastAsia="Calibri" w:hAnsi="Arial" w:cs="Arial"/>
          <w:noProof/>
          <w:lang w:eastAsia="en-AU"/>
        </w:rPr>
        <mc:AlternateContent>
          <mc:Choice Requires="wps">
            <w:drawing>
              <wp:anchor distT="0" distB="0" distL="114300" distR="114300" simplePos="0" relativeHeight="251677696" behindDoc="0" locked="0" layoutInCell="1" allowOverlap="1" wp14:anchorId="462B6166" wp14:editId="4771385A">
                <wp:simplePos x="0" y="0"/>
                <wp:positionH relativeFrom="margin">
                  <wp:align>left</wp:align>
                </wp:positionH>
                <wp:positionV relativeFrom="paragraph">
                  <wp:posOffset>96520</wp:posOffset>
                </wp:positionV>
                <wp:extent cx="5528310" cy="472440"/>
                <wp:effectExtent l="0" t="0" r="15240" b="22860"/>
                <wp:wrapNone/>
                <wp:docPr id="32" name="Rectangle: Rounded Corners 32"/>
                <wp:cNvGraphicFramePr/>
                <a:graphic xmlns:a="http://schemas.openxmlformats.org/drawingml/2006/main">
                  <a:graphicData uri="http://schemas.microsoft.com/office/word/2010/wordprocessingShape">
                    <wps:wsp>
                      <wps:cNvSpPr/>
                      <wps:spPr>
                        <a:xfrm>
                          <a:off x="0" y="0"/>
                          <a:ext cx="5528310" cy="472440"/>
                        </a:xfrm>
                        <a:prstGeom prst="roundRect">
                          <a:avLst/>
                        </a:prstGeom>
                        <a:solidFill>
                          <a:srgbClr val="C19859">
                            <a:lumMod val="20000"/>
                            <a:lumOff val="80000"/>
                          </a:srgbClr>
                        </a:solidFill>
                        <a:ln w="12700" cap="flat" cmpd="sng" algn="ctr">
                          <a:solidFill>
                            <a:srgbClr val="C19859"/>
                          </a:solidFill>
                          <a:prstDash val="solid"/>
                          <a:miter lim="800000"/>
                        </a:ln>
                        <a:effectLst/>
                      </wps:spPr>
                      <wps:txbx>
                        <w:txbxContent>
                          <w:p w14:paraId="7044B084" w14:textId="77777777" w:rsidR="00B3427F" w:rsidRPr="00CA5D7E" w:rsidRDefault="00B3427F" w:rsidP="00A12B00">
                            <w:pPr>
                              <w:jc w:val="center"/>
                              <w:rPr>
                                <w:rFonts w:ascii="Arial" w:hAnsi="Arial" w:cs="Arial"/>
                                <w:i/>
                                <w:iCs/>
                                <w:sz w:val="20"/>
                                <w:szCs w:val="20"/>
                              </w:rPr>
                            </w:pPr>
                            <w:r>
                              <w:rPr>
                                <w:rFonts w:ascii="Arial" w:hAnsi="Arial" w:cs="Arial"/>
                                <w:i/>
                                <w:iCs/>
                                <w:sz w:val="20"/>
                                <w:szCs w:val="20"/>
                              </w:rPr>
                              <w:t xml:space="preserve">“[The ’Commonwealth defence only’ requirement] </w:t>
                            </w:r>
                            <w:r w:rsidRPr="002C6615">
                              <w:rPr>
                                <w:rFonts w:ascii="Arial" w:hAnsi="Arial" w:cs="Arial"/>
                                <w:b/>
                                <w:bCs/>
                                <w:i/>
                                <w:iCs/>
                                <w:sz w:val="20"/>
                                <w:szCs w:val="20"/>
                              </w:rPr>
                              <w:t>should be broadened</w:t>
                            </w:r>
                            <w:r w:rsidRPr="006D165D">
                              <w:rPr>
                                <w:rFonts w:ascii="Arial" w:hAnsi="Arial" w:cs="Arial"/>
                                <w:i/>
                                <w:iCs/>
                                <w:sz w:val="20"/>
                                <w:szCs w:val="20"/>
                              </w:rPr>
                              <w:t>.</w:t>
                            </w:r>
                            <w:r>
                              <w:rPr>
                                <w:rFonts w:ascii="Arial" w:hAnsi="Arial" w:cs="Arial"/>
                                <w:i/>
                                <w:iCs/>
                                <w:sz w:val="20"/>
                                <w:szCs w:val="20"/>
                              </w:rPr>
                              <w:t xml:space="preserve"> We need to understand the impact if the definition is broadened to wider foreign government activities.”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462B6166" id="Rectangle: Rounded Corners 32" o:spid="_x0000_s1052" style="position:absolute;margin-left:0;margin-top:7.6pt;width:435.3pt;height:37.2pt;z-index:2516776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" fillcolor="#f3eade" strokecolor="#c19859" strokeweight="1pt">
                <v:stroke joinstyle="miter"/>
                <v:textbox>
                  <w:txbxContent>
                    <w:p w14:paraId="7044B084" w14:textId="77777777" w:rsidR="00B3427F" w:rsidRPr="00CA5D7E" w:rsidRDefault="00B3427F" w:rsidP="00A12B00">
                      <w:pPr>
                        <w:jc w:val="center"/>
                        <w:rPr>
                          <w:rFonts w:ascii="Arial" w:hAnsi="Arial" w:cs="Arial"/>
                          <w:i/>
                          <w:iCs/>
                          <w:sz w:val="20"/>
                          <w:szCs w:val="20"/>
                        </w:rPr>
                      </w:pPr>
                      <w:r>
                        <w:rPr>
                          <w:rFonts w:ascii="Arial" w:hAnsi="Arial" w:cs="Arial"/>
                          <w:i/>
                          <w:iCs/>
                          <w:sz w:val="20"/>
                          <w:szCs w:val="20"/>
                        </w:rPr>
                        <w:t xml:space="preserve">“[The ’Commonwealth defence only’ requirement] </w:t>
                      </w:r>
                      <w:r w:rsidRPr="002C6615">
                        <w:rPr>
                          <w:rFonts w:ascii="Arial" w:hAnsi="Arial" w:cs="Arial"/>
                          <w:b/>
                          <w:bCs/>
                          <w:i/>
                          <w:iCs/>
                          <w:sz w:val="20"/>
                          <w:szCs w:val="20"/>
                        </w:rPr>
                        <w:t>should be broadened</w:t>
                      </w:r>
                      <w:r w:rsidRPr="006D165D">
                        <w:rPr>
                          <w:rFonts w:ascii="Arial" w:hAnsi="Arial" w:cs="Arial"/>
                          <w:i/>
                          <w:iCs/>
                          <w:sz w:val="20"/>
                          <w:szCs w:val="20"/>
                        </w:rPr>
                        <w:t>.</w:t>
                      </w:r>
                      <w:r>
                        <w:rPr>
                          <w:rFonts w:ascii="Arial" w:hAnsi="Arial" w:cs="Arial"/>
                          <w:i/>
                          <w:iCs/>
                          <w:sz w:val="20"/>
                          <w:szCs w:val="20"/>
                        </w:rPr>
                        <w:t xml:space="preserve"> We need to understand the impact if the definition is broadened to wider foreign government activities.”</w:t>
                      </w:r>
                    </w:p>
                  </w:txbxContent>
                </v:textbox>
                <w10:wrap anchorx="margin"/>
              </v:roundrect>
            </w:pict>
          </mc:Fallback>
        </mc:AlternateContent>
      </w:r>
    </w:p>
    <w:p w14:paraId="1FE5D162" w14:textId="77777777" w:rsidR="00A12B00" w:rsidRPr="00A12B00" w:rsidRDefault="00A12B00" w:rsidP="00A12B00">
      <w:pPr>
        <w:rPr>
          <w:rFonts w:ascii="Arial" w:eastAsia="Calibri" w:hAnsi="Arial" w:cs="Arial"/>
        </w:rPr>
      </w:pPr>
    </w:p>
    <w:p w14:paraId="4E9E71CB" w14:textId="77777777" w:rsidR="00A12B00" w:rsidRPr="00A12B00" w:rsidRDefault="00A12B00" w:rsidP="00A12B00">
      <w:pPr>
        <w:rPr>
          <w:rFonts w:ascii="Arial" w:eastAsia="Calibri" w:hAnsi="Arial" w:cs="Arial"/>
        </w:rPr>
      </w:pPr>
      <w:r w:rsidRPr="00A12B00">
        <w:rPr>
          <w:rFonts w:ascii="Arial" w:eastAsia="Calibri" w:hAnsi="Arial" w:cs="Arial"/>
          <w:noProof/>
          <w:lang w:eastAsia="en-AU"/>
        </w:rPr>
        <mc:AlternateContent>
          <mc:Choice Requires="wps">
            <w:drawing>
              <wp:anchor distT="0" distB="0" distL="114300" distR="114300" simplePos="0" relativeHeight="251678720" behindDoc="0" locked="0" layoutInCell="1" allowOverlap="1" wp14:anchorId="2198096A" wp14:editId="60ADE89E">
                <wp:simplePos x="0" y="0"/>
                <wp:positionH relativeFrom="margin">
                  <wp:posOffset>0</wp:posOffset>
                </wp:positionH>
                <wp:positionV relativeFrom="paragraph">
                  <wp:posOffset>66675</wp:posOffset>
                </wp:positionV>
                <wp:extent cx="5528310" cy="487680"/>
                <wp:effectExtent l="0" t="0" r="15240" b="26670"/>
                <wp:wrapNone/>
                <wp:docPr id="33" name="Rectangle: Rounded Corners 33"/>
                <wp:cNvGraphicFramePr/>
                <a:graphic xmlns:a="http://schemas.openxmlformats.org/drawingml/2006/main">
                  <a:graphicData uri="http://schemas.microsoft.com/office/word/2010/wordprocessingShape">
                    <wps:wsp>
                      <wps:cNvSpPr/>
                      <wps:spPr>
                        <a:xfrm>
                          <a:off x="0" y="0"/>
                          <a:ext cx="5528310" cy="487680"/>
                        </a:xfrm>
                        <a:prstGeom prst="roundRect">
                          <a:avLst/>
                        </a:prstGeom>
                        <a:solidFill>
                          <a:srgbClr val="C19859">
                            <a:lumMod val="20000"/>
                            <a:lumOff val="80000"/>
                          </a:srgbClr>
                        </a:solidFill>
                        <a:ln w="12700" cap="flat" cmpd="sng" algn="ctr">
                          <a:solidFill>
                            <a:srgbClr val="C19859"/>
                          </a:solidFill>
                          <a:prstDash val="solid"/>
                          <a:miter lim="800000"/>
                        </a:ln>
                        <a:effectLst/>
                      </wps:spPr>
                      <wps:txbx>
                        <w:txbxContent>
                          <w:p w14:paraId="1634994A" w14:textId="77777777" w:rsidR="00B3427F" w:rsidRPr="00CA5D7E" w:rsidRDefault="00B3427F" w:rsidP="00A12B00">
                            <w:pPr>
                              <w:jc w:val="center"/>
                              <w:rPr>
                                <w:rFonts w:ascii="Arial" w:hAnsi="Arial" w:cs="Arial"/>
                                <w:i/>
                                <w:iCs/>
                                <w:sz w:val="20"/>
                                <w:szCs w:val="20"/>
                              </w:rPr>
                            </w:pPr>
                            <w:r>
                              <w:rPr>
                                <w:rFonts w:ascii="Arial" w:hAnsi="Arial" w:cs="Arial"/>
                                <w:i/>
                                <w:iCs/>
                                <w:sz w:val="20"/>
                                <w:szCs w:val="20"/>
                              </w:rPr>
                              <w:t xml:space="preserve">“May need to </w:t>
                            </w:r>
                            <w:r w:rsidRPr="002C6615">
                              <w:rPr>
                                <w:rFonts w:ascii="Arial" w:hAnsi="Arial" w:cs="Arial"/>
                                <w:b/>
                                <w:bCs/>
                                <w:i/>
                                <w:iCs/>
                                <w:sz w:val="20"/>
                                <w:szCs w:val="20"/>
                              </w:rPr>
                              <w:t>consider how we define foreign forces</w:t>
                            </w:r>
                            <w:r>
                              <w:rPr>
                                <w:rFonts w:ascii="Arial" w:hAnsi="Arial" w:cs="Arial"/>
                                <w:i/>
                                <w:iCs/>
                                <w:sz w:val="20"/>
                                <w:szCs w:val="20"/>
                              </w:rPr>
                              <w:t>, or shift to ‘foreign government agencies’.”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2198096A" id="Rectangle: Rounded Corners 33" o:spid="_x0000_s1053" style="position:absolute;margin-left:0;margin-top:5.25pt;width:435.3pt;height:38.4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" fillcolor="#f3eade" strokecolor="#c19859" strokeweight="1pt">
                <v:stroke joinstyle="miter"/>
                <v:textbox>
                  <w:txbxContent>
                    <w:p w14:paraId="1634994A" w14:textId="77777777" w:rsidR="00B3427F" w:rsidRPr="00CA5D7E" w:rsidRDefault="00B3427F" w:rsidP="00A12B00">
                      <w:pPr>
                        <w:jc w:val="center"/>
                        <w:rPr>
                          <w:rFonts w:ascii="Arial" w:hAnsi="Arial" w:cs="Arial"/>
                          <w:i/>
                          <w:iCs/>
                          <w:sz w:val="20"/>
                          <w:szCs w:val="20"/>
                        </w:rPr>
                      </w:pPr>
                      <w:r>
                        <w:rPr>
                          <w:rFonts w:ascii="Arial" w:hAnsi="Arial" w:cs="Arial"/>
                          <w:i/>
                          <w:iCs/>
                          <w:sz w:val="20"/>
                          <w:szCs w:val="20"/>
                        </w:rPr>
                        <w:t xml:space="preserve">“May need to </w:t>
                      </w:r>
                      <w:r w:rsidRPr="002C6615">
                        <w:rPr>
                          <w:rFonts w:ascii="Arial" w:hAnsi="Arial" w:cs="Arial"/>
                          <w:b/>
                          <w:bCs/>
                          <w:i/>
                          <w:iCs/>
                          <w:sz w:val="20"/>
                          <w:szCs w:val="20"/>
                        </w:rPr>
                        <w:t>consider how we define foreign forces</w:t>
                      </w:r>
                      <w:r>
                        <w:rPr>
                          <w:rFonts w:ascii="Arial" w:hAnsi="Arial" w:cs="Arial"/>
                          <w:i/>
                          <w:iCs/>
                          <w:sz w:val="20"/>
                          <w:szCs w:val="20"/>
                        </w:rPr>
                        <w:t>, or shift to ‘foreign government agencies’.”</w:t>
                      </w:r>
                    </w:p>
                  </w:txbxContent>
                </v:textbox>
                <w10:wrap anchorx="margin"/>
              </v:roundrect>
            </w:pict>
          </mc:Fallback>
        </mc:AlternateContent>
      </w:r>
    </w:p>
    <w:p w14:paraId="2F8066BE" w14:textId="77777777" w:rsidR="00A12B00" w:rsidRPr="00A12B00" w:rsidRDefault="00A12B00" w:rsidP="00A12B00">
      <w:pPr>
        <w:rPr>
          <w:rFonts w:ascii="Arial" w:eastAsia="Calibri" w:hAnsi="Arial" w:cs="Arial"/>
        </w:rPr>
      </w:pPr>
    </w:p>
    <w:p w14:paraId="6BF2535F" w14:textId="77777777" w:rsidR="00A12B00" w:rsidRPr="00A12B00" w:rsidRDefault="00A12B00" w:rsidP="00A12B00">
      <w:pPr>
        <w:spacing w:after="0"/>
        <w:rPr>
          <w:rFonts w:ascii="Arial" w:eastAsia="Times New Roman" w:hAnsi="Arial" w:cs="Arial"/>
          <w:color w:val="E86D1F"/>
          <w:sz w:val="26"/>
          <w:szCs w:val="26"/>
        </w:rPr>
      </w:pPr>
    </w:p>
    <w:p w14:paraId="4A75673C" w14:textId="77777777" w:rsidR="00A12B00" w:rsidRPr="00A12B00" w:rsidRDefault="00A12B00" w:rsidP="00A12B00">
      <w:pPr>
        <w:spacing w:after="0"/>
        <w:rPr>
          <w:rFonts w:ascii="Arial" w:eastAsia="Times New Roman" w:hAnsi="Arial" w:cs="Arial"/>
          <w:color w:val="E86D1F"/>
          <w:sz w:val="26"/>
          <w:szCs w:val="26"/>
        </w:rPr>
      </w:pPr>
      <w:r w:rsidRPr="00A12B00">
        <w:rPr>
          <w:rFonts w:ascii="Arial" w:eastAsia="Times New Roman" w:hAnsi="Arial" w:cs="Arial"/>
          <w:color w:val="E86D1F"/>
          <w:sz w:val="26"/>
          <w:szCs w:val="26"/>
        </w:rPr>
        <w:t>1.5 Conclusion</w:t>
      </w:r>
      <w:bookmarkEnd w:id="32"/>
    </w:p>
    <w:p w14:paraId="15064F3A" w14:textId="77777777" w:rsidR="00A12B00" w:rsidRPr="00A12B00" w:rsidRDefault="00A12B00" w:rsidP="00A12B00">
      <w:pPr>
        <w:spacing w:line="240" w:lineRule="auto"/>
        <w:rPr>
          <w:rFonts w:ascii="Arial" w:eastAsia="Calibri" w:hAnsi="Arial" w:cs="Arial"/>
        </w:rPr>
      </w:pPr>
      <w:r w:rsidRPr="00A12B00">
        <w:rPr>
          <w:rFonts w:ascii="Arial" w:eastAsia="Calibri" w:hAnsi="Arial" w:cs="Arial"/>
        </w:rPr>
        <w:t xml:space="preserve">The problem with the Commonwealth explosives regulatory regime, as it currently stands, is four-fold: </w:t>
      </w:r>
    </w:p>
    <w:p w14:paraId="2E1A2329" w14:textId="77777777" w:rsidR="00A12B00" w:rsidRPr="00A12B00" w:rsidRDefault="00A12B00" w:rsidP="002176AF">
      <w:pPr>
        <w:numPr>
          <w:ilvl w:val="0"/>
          <w:numId w:val="13"/>
        </w:numPr>
        <w:spacing w:line="240" w:lineRule="auto"/>
        <w:ind w:left="357" w:hanging="357"/>
        <w:rPr>
          <w:rFonts w:ascii="Arial" w:eastAsia="Calibri" w:hAnsi="Arial" w:cs="Arial"/>
        </w:rPr>
      </w:pPr>
      <w:r w:rsidRPr="00A12B00">
        <w:rPr>
          <w:rFonts w:ascii="Arial" w:eastAsia="Calibri" w:hAnsi="Arial" w:cs="Arial"/>
        </w:rPr>
        <w:t xml:space="preserve">Expansions in the use and integration of Commonwealth explosives, as well as Australia’s changing security environment and increased focus on domestic manufacturing capabilities, have created a new and changing risk environment. The current explosives regulatory regime, established in response to challenges faced during World War II, does not accommodate this risk profile. </w:t>
      </w:r>
    </w:p>
    <w:p w14:paraId="3BC3B37C" w14:textId="69FCFED5" w:rsidR="00A12B00" w:rsidRPr="00A12B00" w:rsidRDefault="00A12B00" w:rsidP="002176AF">
      <w:pPr>
        <w:numPr>
          <w:ilvl w:val="0"/>
          <w:numId w:val="13"/>
        </w:numPr>
        <w:spacing w:line="240" w:lineRule="auto"/>
        <w:ind w:left="357" w:hanging="357"/>
        <w:rPr>
          <w:rFonts w:ascii="Arial" w:eastAsia="Calibri" w:hAnsi="Arial" w:cs="Arial"/>
        </w:rPr>
      </w:pPr>
      <w:r w:rsidRPr="00A12B00">
        <w:rPr>
          <w:rFonts w:ascii="Arial" w:eastAsia="Calibri" w:hAnsi="Arial" w:cs="Arial"/>
        </w:rPr>
        <w:t>The current regulatory regime has insufficiently clear safety and security requirements and lacks an independent governance structure capable of enforcing compliance with these requirements. This undermines the safety of persons involved in explosives activities and the security of Commonwealth explosives themselves.</w:t>
      </w:r>
    </w:p>
    <w:p w14:paraId="5DC982D9" w14:textId="77777777" w:rsidR="00A12B00" w:rsidRPr="00A12B00" w:rsidRDefault="00A12B00" w:rsidP="002176AF">
      <w:pPr>
        <w:numPr>
          <w:ilvl w:val="0"/>
          <w:numId w:val="13"/>
        </w:numPr>
        <w:spacing w:line="240" w:lineRule="auto"/>
        <w:ind w:left="357" w:hanging="357"/>
        <w:rPr>
          <w:rFonts w:ascii="Arial" w:eastAsia="Calibri" w:hAnsi="Arial" w:cs="Arial"/>
        </w:rPr>
      </w:pPr>
      <w:r w:rsidRPr="00A12B00">
        <w:rPr>
          <w:rFonts w:ascii="Arial" w:eastAsia="Calibri" w:hAnsi="Arial" w:cs="Arial"/>
        </w:rPr>
        <w:t>Significant ambiguities and a lack of clarity in regulatory requirements complicates Commonwealth contractors’ ability to navigate the current explosives regulatory regimes across Australia, leading to a high regulatory burden and increased risk of non-compliance.</w:t>
      </w:r>
    </w:p>
    <w:p w14:paraId="16ADA0C4" w14:textId="77777777" w:rsidR="00A12B00" w:rsidRPr="00A12B00" w:rsidRDefault="00A12B00" w:rsidP="002176AF">
      <w:pPr>
        <w:numPr>
          <w:ilvl w:val="0"/>
          <w:numId w:val="13"/>
        </w:numPr>
        <w:spacing w:line="240" w:lineRule="auto"/>
        <w:ind w:left="357" w:hanging="357"/>
        <w:rPr>
          <w:rFonts w:ascii="Arial" w:eastAsia="Calibri" w:hAnsi="Arial" w:cs="Arial"/>
        </w:rPr>
      </w:pPr>
      <w:r w:rsidRPr="00A12B00">
        <w:rPr>
          <w:rFonts w:ascii="Arial" w:eastAsia="Calibri" w:hAnsi="Arial" w:cs="Arial"/>
        </w:rPr>
        <w:t>The Commonwealth explosives regulatory regime’s failure to maintain pace with modern legislative developments has resulted in a lack of harmony and unfitness for purpose, which undermines the Commonwealth’s ability to regulate and assure the safety and security of explosives activities.</w:t>
      </w:r>
    </w:p>
    <w:p w14:paraId="17E1141D" w14:textId="2AB1385C" w:rsidR="00851B3B" w:rsidRDefault="00A12B00" w:rsidP="00A12B00">
      <w:pPr>
        <w:spacing w:line="240" w:lineRule="auto"/>
        <w:rPr>
          <w:rFonts w:ascii="Arial" w:eastAsia="Calibri" w:hAnsi="Arial" w:cs="Arial"/>
        </w:rPr>
      </w:pPr>
      <w:r w:rsidRPr="00A12B00">
        <w:rPr>
          <w:rFonts w:ascii="Arial" w:eastAsia="Calibri" w:hAnsi="Arial" w:cs="Arial"/>
        </w:rPr>
        <w:t>These problem areas highlight the need for a comprehensive, modern explosives regulatory regime, underpinned by a legally entrenched compliance framework, capable of meeting the unique needs of the Commonwealth as well as additional stakeholders including individuals, the community, industry and state and territory governments.</w:t>
      </w:r>
    </w:p>
    <w:p w14:paraId="1C1356F3" w14:textId="4E4AAB99" w:rsidR="00A12B00" w:rsidRPr="00A12B00" w:rsidRDefault="00054306" w:rsidP="00287755">
      <w:pPr>
        <w:spacing w:line="240" w:lineRule="auto"/>
        <w:rPr>
          <w:rFonts w:ascii="Arial" w:eastAsia="Calibri" w:hAnsi="Arial" w:cs="Arial"/>
        </w:rPr>
      </w:pPr>
      <w:r w:rsidRPr="000B7589">
        <w:rPr>
          <w:noProof/>
          <w:lang w:eastAsia="en-AU"/>
        </w:rPr>
        <mc:AlternateContent>
          <mc:Choice Requires="wps">
            <w:drawing>
              <wp:inline distT="0" distB="0" distL="0" distR="0" wp14:anchorId="0A5A2FC5" wp14:editId="604B4428">
                <wp:extent cx="1592265" cy="5732780"/>
                <wp:effectExtent l="6033" t="0" r="0" b="0"/>
                <wp:docPr id="42" name="AutoShape 2" descr="Consultation question(s)&#10;(1) Are the impacts of Option 1 accurately described as related to your entity? Are there any other impacts (negative, positive or neutral) of the System continuing without regulation, that are not mentioned abo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92265" cy="5732780"/>
                        </a:xfrm>
                        <a:prstGeom prst="roundRect">
                          <a:avLst>
                            <a:gd name="adj" fmla="val 2892"/>
                          </a:avLst>
                        </a:prstGeom>
                        <a:solidFill>
                          <a:schemeClr val="accent2">
                            <a:lumMod val="20000"/>
                            <a:lumOff val="80000"/>
                          </a:schemeClr>
                        </a:solidFill>
                      </wps:spPr>
                      <wps:txbx>
                        <w:txbxContent>
                          <w:p w14:paraId="08738D8C" w14:textId="77777777" w:rsidR="00B3427F" w:rsidRPr="00504EB8" w:rsidRDefault="00B3427F" w:rsidP="00054306">
                            <w:pPr>
                              <w:pStyle w:val="Heading4NoNumbers"/>
                              <w:spacing w:before="120"/>
                              <w:ind w:left="113" w:right="113"/>
                              <w:rPr>
                                <w:rFonts w:eastAsia="Times New Roman" w:cs="Arial"/>
                                <w:bCs/>
                                <w:color w:val="ED7D31" w:themeColor="accent2"/>
                                <w:kern w:val="0"/>
                                <w:sz w:val="22"/>
                                <w:lang w:eastAsia="en-US"/>
                              </w:rPr>
                            </w:pPr>
                            <w:r w:rsidRPr="00504EB8">
                              <w:rPr>
                                <w:rFonts w:eastAsia="Times New Roman" w:cs="Arial"/>
                                <w:bCs/>
                                <w:color w:val="ED7D31" w:themeColor="accent2"/>
                                <w:kern w:val="0"/>
                                <w:sz w:val="22"/>
                                <w:lang w:eastAsia="en-US"/>
                              </w:rPr>
                              <w:t>Consultation question(s)</w:t>
                            </w:r>
                          </w:p>
                          <w:p w14:paraId="5409DABF" w14:textId="55EE3564" w:rsidR="00B3427F" w:rsidRDefault="00B3427F" w:rsidP="00A72490">
                            <w:pPr>
                              <w:pStyle w:val="BodyText"/>
                              <w:numPr>
                                <w:ilvl w:val="0"/>
                                <w:numId w:val="47"/>
                              </w:numPr>
                              <w:spacing w:line="240" w:lineRule="auto"/>
                              <w:ind w:right="113"/>
                              <w:rPr>
                                <w:rFonts w:eastAsia="Times New Roman"/>
                                <w:sz w:val="22"/>
                                <w:szCs w:val="22"/>
                                <w:lang w:eastAsia="en-US"/>
                              </w:rPr>
                            </w:pPr>
                            <w:r>
                              <w:rPr>
                                <w:rFonts w:eastAsia="Times New Roman"/>
                                <w:sz w:val="22"/>
                                <w:szCs w:val="22"/>
                                <w:lang w:eastAsia="en-US"/>
                              </w:rPr>
                              <w:t xml:space="preserve">Are the problems set out above </w:t>
                            </w:r>
                            <w:r w:rsidRPr="00504EB8">
                              <w:rPr>
                                <w:rFonts w:eastAsia="Times New Roman"/>
                                <w:sz w:val="22"/>
                                <w:szCs w:val="22"/>
                                <w:lang w:eastAsia="en-US"/>
                              </w:rPr>
                              <w:t xml:space="preserve">accurately described as related to your entity? Are there other </w:t>
                            </w:r>
                            <w:r>
                              <w:rPr>
                                <w:rFonts w:eastAsia="Times New Roman"/>
                                <w:sz w:val="22"/>
                                <w:szCs w:val="22"/>
                                <w:lang w:eastAsia="en-US"/>
                              </w:rPr>
                              <w:t xml:space="preserve">elements of the problem which </w:t>
                            </w:r>
                            <w:r w:rsidRPr="00504EB8">
                              <w:rPr>
                                <w:rFonts w:eastAsia="Times New Roman"/>
                                <w:sz w:val="22"/>
                                <w:szCs w:val="22"/>
                                <w:lang w:eastAsia="en-US"/>
                              </w:rPr>
                              <w:t>have not been mentioned above?</w:t>
                            </w:r>
                          </w:p>
                          <w:p w14:paraId="2E831B5D" w14:textId="25D7041B" w:rsidR="00B3427F" w:rsidRPr="00504EB8" w:rsidRDefault="00B3427F" w:rsidP="00A72490">
                            <w:pPr>
                              <w:pStyle w:val="BodyText"/>
                              <w:numPr>
                                <w:ilvl w:val="0"/>
                                <w:numId w:val="47"/>
                              </w:numPr>
                              <w:spacing w:line="240" w:lineRule="auto"/>
                              <w:ind w:right="113"/>
                              <w:rPr>
                                <w:rFonts w:eastAsia="Times New Roman"/>
                                <w:sz w:val="22"/>
                                <w:szCs w:val="22"/>
                                <w:lang w:eastAsia="en-US"/>
                              </w:rPr>
                            </w:pPr>
                            <w:r w:rsidRPr="00287755">
                              <w:rPr>
                                <w:rFonts w:eastAsia="Times New Roman"/>
                                <w:sz w:val="22"/>
                                <w:szCs w:val="22"/>
                                <w:lang w:eastAsia="en-US"/>
                              </w:rPr>
                              <w:t>Do you have any key examples from your experience which demonstrate or mitigate the significance of each problem component as identified in the RIS?</w:t>
                            </w:r>
                          </w:p>
                        </w:txbxContent>
                      </wps:txbx>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0A5A2FC5" id="_x0000_s1054" alt="Consultation question(s)&#10;(1) Are the impacts of Option 1 accurately described as related to your entity? Are there any other impacts (negative, positive or neutral) of the System continuing without regulation, that are not mentioned above?" style="width:125.4pt;height:451.4pt;rotation:90;visibility:visible;mso-wrap-style:square;mso-left-percent:-10001;mso-top-percent:-10001;mso-position-horizontal:absolute;mso-position-horizontal-relative:char;mso-position-vertical:absolute;mso-position-vertical-relative:line;mso-left-percent:-10001;mso-top-percent:-10001;v-text-anchor:middle" arcsize="1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" fillcolor="#fbe4d5 [661]" stroked="f">
                <v:textbox>
                  <w:txbxContent>
                    <w:p w14:paraId="08738D8C" w14:textId="77777777" w:rsidR="00B3427F" w:rsidRPr="00504EB8" w:rsidRDefault="00B3427F" w:rsidP="00054306">
                      <w:pPr>
                        <w:pStyle w:val="Heading4NoNumbers"/>
                        <w:spacing w:before="120"/>
                        <w:ind w:left="113" w:right="113"/>
                        <w:rPr>
                          <w:rFonts w:eastAsia="Times New Roman" w:cs="Arial"/>
                          <w:bCs/>
                          <w:color w:val="ED7D31" w:themeColor="accent2"/>
                          <w:kern w:val="0"/>
                          <w:sz w:val="22"/>
                          <w:lang w:eastAsia="en-US"/>
                        </w:rPr>
                      </w:pPr>
                      <w:r w:rsidRPr="00504EB8">
                        <w:rPr>
                          <w:rFonts w:eastAsia="Times New Roman" w:cs="Arial"/>
                          <w:bCs/>
                          <w:color w:val="ED7D31" w:themeColor="accent2"/>
                          <w:kern w:val="0"/>
                          <w:sz w:val="22"/>
                          <w:lang w:eastAsia="en-US"/>
                        </w:rPr>
                        <w:t>Consultation question(s)</w:t>
                      </w:r>
                    </w:p>
                    <w:p w14:paraId="5409DABF" w14:textId="55EE3564" w:rsidR="00B3427F" w:rsidRDefault="00B3427F" w:rsidP="00A72490">
                      <w:pPr>
                        <w:pStyle w:val="BodyText"/>
                        <w:numPr>
                          <w:ilvl w:val="0"/>
                          <w:numId w:val="47"/>
                        </w:numPr>
                        <w:spacing w:line="240" w:lineRule="auto"/>
                        <w:ind w:right="113"/>
                        <w:rPr>
                          <w:rFonts w:eastAsia="Times New Roman"/>
                          <w:sz w:val="22"/>
                          <w:szCs w:val="22"/>
                          <w:lang w:eastAsia="en-US"/>
                        </w:rPr>
                      </w:pPr>
                      <w:r>
                        <w:rPr>
                          <w:rFonts w:eastAsia="Times New Roman"/>
                          <w:sz w:val="22"/>
                          <w:szCs w:val="22"/>
                          <w:lang w:eastAsia="en-US"/>
                        </w:rPr>
                        <w:t xml:space="preserve">Are the problems set out above </w:t>
                      </w:r>
                      <w:r w:rsidRPr="00504EB8">
                        <w:rPr>
                          <w:rFonts w:eastAsia="Times New Roman"/>
                          <w:sz w:val="22"/>
                          <w:szCs w:val="22"/>
                          <w:lang w:eastAsia="en-US"/>
                        </w:rPr>
                        <w:t xml:space="preserve">accurately described as related to your entity? Are there other </w:t>
                      </w:r>
                      <w:r>
                        <w:rPr>
                          <w:rFonts w:eastAsia="Times New Roman"/>
                          <w:sz w:val="22"/>
                          <w:szCs w:val="22"/>
                          <w:lang w:eastAsia="en-US"/>
                        </w:rPr>
                        <w:t xml:space="preserve">elements of the problem which </w:t>
                      </w:r>
                      <w:r w:rsidRPr="00504EB8">
                        <w:rPr>
                          <w:rFonts w:eastAsia="Times New Roman"/>
                          <w:sz w:val="22"/>
                          <w:szCs w:val="22"/>
                          <w:lang w:eastAsia="en-US"/>
                        </w:rPr>
                        <w:t>have not been mentioned above?</w:t>
                      </w:r>
                    </w:p>
                    <w:p w14:paraId="2E831B5D" w14:textId="25D7041B" w:rsidR="00B3427F" w:rsidRPr="00504EB8" w:rsidRDefault="00B3427F" w:rsidP="00A72490">
                      <w:pPr>
                        <w:pStyle w:val="BodyText"/>
                        <w:numPr>
                          <w:ilvl w:val="0"/>
                          <w:numId w:val="47"/>
                        </w:numPr>
                        <w:spacing w:line="240" w:lineRule="auto"/>
                        <w:ind w:right="113"/>
                        <w:rPr>
                          <w:rFonts w:eastAsia="Times New Roman"/>
                          <w:sz w:val="22"/>
                          <w:szCs w:val="22"/>
                          <w:lang w:eastAsia="en-US"/>
                        </w:rPr>
                      </w:pPr>
                      <w:r w:rsidRPr="00287755">
                        <w:rPr>
                          <w:rFonts w:eastAsia="Times New Roman"/>
                          <w:sz w:val="22"/>
                          <w:szCs w:val="22"/>
                          <w:lang w:eastAsia="en-US"/>
                        </w:rPr>
                        <w:t>Do you have any key examples from your experience which demonstrate or mitigate the significance of each problem component as identified in the RIS?</w:t>
                      </w:r>
                    </w:p>
                  </w:txbxContent>
                </v:textbox>
                <w10:anchorlock/>
              </v:roundrect>
            </w:pict>
          </mc:Fallback>
        </mc:AlternateContent>
      </w:r>
      <w:r w:rsidR="00851B3B">
        <w:rPr>
          <w:rFonts w:ascii="Arial" w:eastAsia="Calibri" w:hAnsi="Arial" w:cs="Arial"/>
        </w:rPr>
        <w:br w:type="page"/>
      </w:r>
    </w:p>
    <w:p w14:paraId="53D602F8" w14:textId="77777777" w:rsidR="00A12B00" w:rsidRPr="00A12B00" w:rsidRDefault="00A12B00" w:rsidP="00A12B00">
      <w:pPr>
        <w:keepNext/>
        <w:keepLines/>
        <w:numPr>
          <w:ilvl w:val="0"/>
          <w:numId w:val="1"/>
        </w:numPr>
        <w:spacing w:before="240" w:after="0" w:line="240" w:lineRule="auto"/>
        <w:outlineLvl w:val="0"/>
        <w:rPr>
          <w:rFonts w:ascii="Georgia" w:eastAsia="Times New Roman" w:hAnsi="Georgia" w:cs="Arial"/>
          <w:b/>
          <w:bCs/>
          <w:color w:val="E86D1F"/>
          <w:sz w:val="32"/>
          <w:szCs w:val="32"/>
        </w:rPr>
      </w:pPr>
      <w:bookmarkStart w:id="33" w:name="_Toc101961115"/>
      <w:r w:rsidRPr="00A12B00">
        <w:rPr>
          <w:rFonts w:ascii="Georgia" w:eastAsia="Times New Roman" w:hAnsi="Georgia" w:cs="Arial"/>
          <w:b/>
          <w:bCs/>
          <w:color w:val="E86D1F"/>
          <w:sz w:val="32"/>
          <w:szCs w:val="32"/>
        </w:rPr>
        <w:lastRenderedPageBreak/>
        <w:t>Why is government intervention required?</w:t>
      </w:r>
      <w:bookmarkEnd w:id="33"/>
    </w:p>
    <w:p w14:paraId="24EF1339" w14:textId="77777777" w:rsidR="00BD1E1D" w:rsidRDefault="00A12B00" w:rsidP="00A12B00">
      <w:pPr>
        <w:spacing w:line="240" w:lineRule="auto"/>
        <w:rPr>
          <w:rFonts w:ascii="Arial" w:eastAsia="Calibri" w:hAnsi="Arial" w:cs="Arial"/>
        </w:rPr>
      </w:pPr>
      <w:r w:rsidRPr="00A12B00">
        <w:rPr>
          <w:rFonts w:ascii="Arial" w:eastAsia="Calibri" w:hAnsi="Arial" w:cs="Arial"/>
        </w:rPr>
        <w:t>Government has a legitimate ongoing role in regulating the explosives used, possessed and controlled by Commonwealth agencies and visiting forces. These entities have unique operational requirements to use explosives across domestic and international jurisdictional boundaries, undertaking activities posing different risks compared to the commercial and industrial usages that are the focus of State and Territory regulatory frameworks. Government, in particular the Commonwealth Government, is the only entity capable of establishing a regulatory framework that is both</w:t>
      </w:r>
      <w:r w:rsidR="00BD1E1D">
        <w:rPr>
          <w:rFonts w:ascii="Arial" w:eastAsia="Calibri" w:hAnsi="Arial" w:cs="Arial"/>
        </w:rPr>
        <w:t xml:space="preserve">: </w:t>
      </w:r>
    </w:p>
    <w:p w14:paraId="6206F048" w14:textId="6AD62693" w:rsidR="00BD1E1D" w:rsidRPr="00BD1E1D" w:rsidRDefault="00BD1E1D" w:rsidP="00A16B8A">
      <w:pPr>
        <w:pStyle w:val="ListParagraph"/>
        <w:numPr>
          <w:ilvl w:val="0"/>
          <w:numId w:val="40"/>
        </w:numPr>
        <w:spacing w:line="240" w:lineRule="auto"/>
        <w:rPr>
          <w:rFonts w:ascii="Arial" w:eastAsia="Calibri" w:hAnsi="Arial" w:cs="Arial"/>
        </w:rPr>
      </w:pPr>
      <w:r>
        <w:rPr>
          <w:rFonts w:ascii="Arial" w:eastAsia="Calibri" w:hAnsi="Arial" w:cs="Arial"/>
        </w:rPr>
        <w:t>C</w:t>
      </w:r>
      <w:r w:rsidR="00A12B00" w:rsidRPr="00BD1E1D">
        <w:rPr>
          <w:rFonts w:ascii="Arial" w:eastAsia="Calibri" w:hAnsi="Arial" w:cs="Arial"/>
        </w:rPr>
        <w:t>onsistent across jurisdictional boundaries</w:t>
      </w:r>
      <w:r w:rsidRPr="00BD1E1D">
        <w:rPr>
          <w:rFonts w:ascii="Arial" w:eastAsia="Calibri" w:hAnsi="Arial" w:cs="Arial"/>
        </w:rPr>
        <w:t>;</w:t>
      </w:r>
      <w:r>
        <w:rPr>
          <w:rFonts w:ascii="Arial" w:eastAsia="Calibri" w:hAnsi="Arial" w:cs="Arial"/>
        </w:rPr>
        <w:t xml:space="preserve"> and </w:t>
      </w:r>
    </w:p>
    <w:p w14:paraId="543CD622" w14:textId="5C5C6E4A" w:rsidR="00A12B00" w:rsidRPr="00BD1E1D" w:rsidRDefault="00BD1E1D" w:rsidP="00A16B8A">
      <w:pPr>
        <w:pStyle w:val="ListParagraph"/>
        <w:numPr>
          <w:ilvl w:val="0"/>
          <w:numId w:val="40"/>
        </w:numPr>
        <w:spacing w:line="240" w:lineRule="auto"/>
        <w:rPr>
          <w:rFonts w:ascii="Arial" w:eastAsia="Calibri" w:hAnsi="Arial" w:cs="Arial"/>
        </w:rPr>
      </w:pPr>
      <w:r>
        <w:rPr>
          <w:rFonts w:ascii="Arial" w:eastAsia="Calibri" w:hAnsi="Arial" w:cs="Arial"/>
        </w:rPr>
        <w:t>T</w:t>
      </w:r>
      <w:r w:rsidR="00A12B00" w:rsidRPr="00BD1E1D">
        <w:rPr>
          <w:rFonts w:ascii="Arial" w:eastAsia="Calibri" w:hAnsi="Arial" w:cs="Arial"/>
        </w:rPr>
        <w:t>ailored for the specific entities, activities and risks posed by Commonwealth explosives.</w:t>
      </w:r>
    </w:p>
    <w:p w14:paraId="3CEFC1B9" w14:textId="77777777" w:rsidR="00A12B00" w:rsidRPr="00A12B00" w:rsidRDefault="00A12B00" w:rsidP="00A12B00">
      <w:pPr>
        <w:spacing w:line="240" w:lineRule="auto"/>
        <w:rPr>
          <w:rFonts w:ascii="Arial" w:eastAsia="Calibri" w:hAnsi="Arial" w:cs="Arial"/>
        </w:rPr>
      </w:pPr>
      <w:r w:rsidRPr="00A12B00">
        <w:rPr>
          <w:rFonts w:ascii="Arial" w:eastAsia="Calibri" w:hAnsi="Arial" w:cs="Arial"/>
        </w:rPr>
        <w:t xml:space="preserve">The need for Commonwealth action in this area has been recognised for over 70 years since the original introduction of Commonwealth explosives legislation in 1952. This regulatory scheme has evolved over time to account for the broadening requirements of the Commonwealth and visiting forces, including by the </w:t>
      </w:r>
      <w:r w:rsidRPr="00A12B00">
        <w:rPr>
          <w:rFonts w:ascii="Arial" w:eastAsia="Calibri" w:hAnsi="Arial" w:cs="Arial"/>
          <w:i/>
          <w:iCs/>
        </w:rPr>
        <w:t xml:space="preserve">Explosives Act 1961 </w:t>
      </w:r>
      <w:r w:rsidRPr="00A12B00">
        <w:rPr>
          <w:rFonts w:ascii="Arial" w:eastAsia="Calibri" w:hAnsi="Arial" w:cs="Arial"/>
        </w:rPr>
        <w:t>and its two subordinate regulations. Therefore, this RIS does not seek to explore and justify a new regulatory intervention, but rather re-validate the legitimacy of government’s continued role in maintaining, enforcing and enhancing a Commonwealth explosives regulatory framework.</w:t>
      </w:r>
    </w:p>
    <w:p w14:paraId="54E7BB36" w14:textId="77777777" w:rsidR="00A12B00" w:rsidRPr="00A12B00" w:rsidRDefault="00A12B00" w:rsidP="00A12B00">
      <w:pPr>
        <w:keepNext/>
        <w:keepLines/>
        <w:spacing w:before="40" w:after="0"/>
        <w:outlineLvl w:val="1"/>
        <w:rPr>
          <w:rFonts w:ascii="Arial" w:eastAsia="Times New Roman" w:hAnsi="Arial" w:cs="Arial"/>
          <w:color w:val="B35E06"/>
          <w:sz w:val="26"/>
          <w:szCs w:val="26"/>
        </w:rPr>
      </w:pPr>
      <w:bookmarkStart w:id="34" w:name="_Toc101961116"/>
      <w:r w:rsidRPr="00A12B00">
        <w:rPr>
          <w:rFonts w:ascii="Arial" w:eastAsia="Times New Roman" w:hAnsi="Arial" w:cs="Arial"/>
          <w:color w:val="B35E06"/>
          <w:sz w:val="26"/>
          <w:szCs w:val="26"/>
        </w:rPr>
        <w:t>2.1 Government’s Current Role</w:t>
      </w:r>
      <w:bookmarkEnd w:id="34"/>
      <w:r w:rsidRPr="00A12B00">
        <w:rPr>
          <w:rFonts w:ascii="Arial" w:eastAsia="Times New Roman" w:hAnsi="Arial" w:cs="Arial"/>
          <w:color w:val="B35E06"/>
          <w:sz w:val="26"/>
          <w:szCs w:val="26"/>
        </w:rPr>
        <w:t xml:space="preserve"> </w:t>
      </w:r>
    </w:p>
    <w:p w14:paraId="5905DAC3" w14:textId="6571001D" w:rsidR="00A12B00" w:rsidRPr="00A12B00" w:rsidRDefault="00A12B00" w:rsidP="00A12B00">
      <w:pPr>
        <w:spacing w:line="240" w:lineRule="auto"/>
        <w:rPr>
          <w:rFonts w:ascii="Arial" w:eastAsia="Calibri" w:hAnsi="Arial" w:cs="Arial"/>
        </w:rPr>
      </w:pPr>
      <w:r w:rsidRPr="00A12B00">
        <w:rPr>
          <w:rFonts w:ascii="Arial" w:eastAsia="Calibri" w:hAnsi="Arial" w:cs="Arial"/>
        </w:rPr>
        <w:t xml:space="preserve">The existing regulatory regime captures explosives within the Commonwealth domain – that is, owned, possessed or controlled by the Commonwealth, manufactured by the Commonwealth for export, or those owned, possessed or controlled by visiting forces in the Commonwealth for defence purposes.  Such items are primarily used by the Department of Defence, but also by other Commonwealth agencies such as the ABF and </w:t>
      </w:r>
      <w:r w:rsidR="00AC1EAB">
        <w:rPr>
          <w:rFonts w:ascii="Arial" w:eastAsia="Calibri" w:hAnsi="Arial" w:cs="Arial"/>
        </w:rPr>
        <w:t xml:space="preserve">the </w:t>
      </w:r>
      <w:r w:rsidRPr="00A12B00">
        <w:rPr>
          <w:rFonts w:ascii="Arial" w:eastAsia="Calibri" w:hAnsi="Arial" w:cs="Arial"/>
        </w:rPr>
        <w:t xml:space="preserve">AFP. Explosives not falling within this definition, such as those used primarily in the commercial or industrial domains, are regulated by State and Territory legislation. Explosives </w:t>
      </w:r>
      <w:r w:rsidR="007B7FEF">
        <w:rPr>
          <w:rFonts w:ascii="Arial" w:eastAsia="Calibri" w:hAnsi="Arial" w:cs="Arial"/>
        </w:rPr>
        <w:t xml:space="preserve">which are </w:t>
      </w:r>
      <w:r w:rsidRPr="00A12B00">
        <w:rPr>
          <w:rFonts w:ascii="Arial" w:eastAsia="Calibri" w:hAnsi="Arial" w:cs="Arial"/>
        </w:rPr>
        <w:t>the subject of</w:t>
      </w:r>
      <w:r w:rsidR="007B7FEF">
        <w:rPr>
          <w:rFonts w:ascii="Arial" w:eastAsia="Calibri" w:hAnsi="Arial" w:cs="Arial"/>
        </w:rPr>
        <w:t xml:space="preserve"> s</w:t>
      </w:r>
      <w:r w:rsidRPr="00A12B00">
        <w:rPr>
          <w:rFonts w:ascii="Arial" w:eastAsia="Calibri" w:hAnsi="Arial" w:cs="Arial"/>
        </w:rPr>
        <w:t xml:space="preserve">tate and </w:t>
      </w:r>
      <w:r w:rsidR="007B7FEF">
        <w:rPr>
          <w:rFonts w:ascii="Arial" w:eastAsia="Calibri" w:hAnsi="Arial" w:cs="Arial"/>
        </w:rPr>
        <w:t>t</w:t>
      </w:r>
      <w:r w:rsidRPr="00A12B00">
        <w:rPr>
          <w:rFonts w:ascii="Arial" w:eastAsia="Calibri" w:hAnsi="Arial" w:cs="Arial"/>
        </w:rPr>
        <w:t>erritory legislation are not just used for different activities, but often have inherently different characteristics to Commonwealth explosives which significantly alter their risk profile. For example, unlike their counterparts used for industrial and commercial means, Commonwealth explosives are often weaponised systems, which may provide insights on Commonwealth defence capabilities, including details on weapon effectiveness, performance parameters and guidance software. These insights are highly sensitive and must be protected.</w:t>
      </w:r>
    </w:p>
    <w:p w14:paraId="50A64401" w14:textId="1775AA51" w:rsidR="00A12B00" w:rsidRPr="00A12B00" w:rsidRDefault="00A12B00" w:rsidP="00A12B00">
      <w:pPr>
        <w:spacing w:line="240" w:lineRule="auto"/>
        <w:rPr>
          <w:rFonts w:ascii="Arial" w:eastAsia="Calibri" w:hAnsi="Arial" w:cs="Arial"/>
        </w:rPr>
      </w:pPr>
      <w:r w:rsidRPr="00A12B00">
        <w:rPr>
          <w:rFonts w:ascii="Arial" w:eastAsia="Calibri" w:hAnsi="Arial" w:cs="Arial"/>
        </w:rPr>
        <w:t xml:space="preserve">As described in ‘Background’, the Commonwealth explosives regulatory </w:t>
      </w:r>
      <w:r w:rsidR="006C5106">
        <w:rPr>
          <w:rFonts w:ascii="Arial" w:eastAsia="Calibri" w:hAnsi="Arial" w:cs="Arial"/>
        </w:rPr>
        <w:t>regime</w:t>
      </w:r>
      <w:r w:rsidRPr="00A12B00">
        <w:rPr>
          <w:rFonts w:ascii="Arial" w:eastAsia="Calibri" w:hAnsi="Arial" w:cs="Arial"/>
        </w:rPr>
        <w:t xml:space="preserve"> incorporates some international and domestic codes and appoints a Competent Authority (currently residing within the Defence) specifically to monitor compliance with and grant exemptions to the Transport Regulations.</w:t>
      </w:r>
    </w:p>
    <w:p w14:paraId="158BBA0D" w14:textId="5016D852" w:rsidR="00A12B00" w:rsidRPr="00A12B00" w:rsidRDefault="00A12B00" w:rsidP="00A12B00">
      <w:pPr>
        <w:spacing w:line="240" w:lineRule="auto"/>
        <w:rPr>
          <w:rFonts w:ascii="Arial" w:eastAsia="Calibri" w:hAnsi="Arial" w:cs="Arial"/>
        </w:rPr>
      </w:pPr>
      <w:r w:rsidRPr="00A12B00">
        <w:rPr>
          <w:rFonts w:ascii="Arial" w:eastAsia="Calibri" w:hAnsi="Arial" w:cs="Arial"/>
        </w:rPr>
        <w:t xml:space="preserve">Government also plays a role through the work health and safety regime. However, the regulatory reach of these laws is limited through their focus on protecting persons from harm arising where work is performed, or processes or things are used for work or in relation to workplaces. Importantly, the WHS Act is not intended to extend these protections in circumstances that are not related to work and public health and safety more broadly. For this reason, the Commonwealth and each State and Territory maintains a separate regime which recognises the </w:t>
      </w:r>
      <w:r w:rsidR="00FA52C0">
        <w:rPr>
          <w:rFonts w:ascii="Arial" w:eastAsia="Calibri" w:hAnsi="Arial" w:cs="Arial"/>
        </w:rPr>
        <w:t>specific</w:t>
      </w:r>
      <w:r w:rsidRPr="00A12B00">
        <w:rPr>
          <w:rFonts w:ascii="Arial" w:eastAsia="Calibri" w:hAnsi="Arial" w:cs="Arial"/>
        </w:rPr>
        <w:t xml:space="preserve"> harms and risks that explosives pose to the </w:t>
      </w:r>
      <w:r w:rsidR="00C304CC" w:rsidRPr="00A12B00">
        <w:rPr>
          <w:rFonts w:ascii="Arial" w:eastAsia="Calibri" w:hAnsi="Arial" w:cs="Arial"/>
        </w:rPr>
        <w:t>public</w:t>
      </w:r>
      <w:r w:rsidRPr="00A12B00">
        <w:rPr>
          <w:rFonts w:ascii="Arial" w:eastAsia="Calibri" w:hAnsi="Arial" w:cs="Arial"/>
        </w:rPr>
        <w:t>, property and the environment, beyond the limitations of workplaces.</w:t>
      </w:r>
    </w:p>
    <w:p w14:paraId="2C6D367A" w14:textId="77777777" w:rsidR="00A12B00" w:rsidRPr="00A12B00" w:rsidRDefault="00A12B00" w:rsidP="001C2288">
      <w:pPr>
        <w:spacing w:line="240" w:lineRule="auto"/>
        <w:rPr>
          <w:rFonts w:ascii="Arial" w:eastAsia="Calibri" w:hAnsi="Arial" w:cs="Arial"/>
        </w:rPr>
      </w:pPr>
      <w:r w:rsidRPr="00A12B00">
        <w:rPr>
          <w:rFonts w:ascii="Arial" w:eastAsia="Calibri" w:hAnsi="Arial" w:cs="Arial"/>
        </w:rPr>
        <w:t xml:space="preserve">The importance of government playing a regulatory role in relation to Commonwealth explosives has not diminished over time. Rather, it has increased in importance alongside technological advances, broadening application and enhanced explosive magnitude of these items. With these advances, explosives used in the Commonwealth domain have become increasingly attractive targets for theft and illicit diversion, with the consequences of their misuse correspondingly more severe. A robust regulatory framework focused upon safety </w:t>
      </w:r>
      <w:r w:rsidRPr="00A12B00">
        <w:rPr>
          <w:rFonts w:ascii="Arial" w:eastAsia="Calibri" w:hAnsi="Arial" w:cs="Arial"/>
        </w:rPr>
        <w:lastRenderedPageBreak/>
        <w:t>and security is only becoming more critical over time. Just as it was 70 years ago, the Commonwealth Government remains best-placed to regulate this area, both due to its unique appreciation of the types of entities and operational activities these regulations need to cover, and its ability to legislate consistently on a national basis.</w:t>
      </w:r>
    </w:p>
    <w:p w14:paraId="74CFB12C" w14:textId="674A293D" w:rsidR="00A12B00" w:rsidRPr="00A12B00" w:rsidRDefault="00A12B00" w:rsidP="001C2288">
      <w:pPr>
        <w:spacing w:line="240" w:lineRule="auto"/>
        <w:rPr>
          <w:rFonts w:ascii="Arial" w:eastAsia="Calibri" w:hAnsi="Arial" w:cs="Arial"/>
        </w:rPr>
      </w:pPr>
      <w:r w:rsidRPr="00A12B00">
        <w:rPr>
          <w:rFonts w:ascii="Arial" w:eastAsia="Calibri" w:hAnsi="Arial" w:cs="Arial"/>
        </w:rPr>
        <w:t xml:space="preserve">However, the effectiveness of Government’s role in regulating Commonwealth explosives has, to date, been limited by regulatory settings in the existing </w:t>
      </w:r>
      <w:r w:rsidR="00F55353">
        <w:rPr>
          <w:rFonts w:ascii="Arial" w:eastAsia="Calibri" w:hAnsi="Arial" w:cs="Arial"/>
        </w:rPr>
        <w:t>regim</w:t>
      </w:r>
      <w:r w:rsidRPr="00A12B00">
        <w:rPr>
          <w:rFonts w:ascii="Arial" w:eastAsia="Calibri" w:hAnsi="Arial" w:cs="Arial"/>
        </w:rPr>
        <w:t>e. As described in the ‘problem’ statement above, these limitations include:</w:t>
      </w:r>
    </w:p>
    <w:p w14:paraId="5ECCD06E" w14:textId="77777777" w:rsidR="00A12B00" w:rsidRPr="00A12B00" w:rsidRDefault="00A12B00" w:rsidP="002176AF">
      <w:pPr>
        <w:numPr>
          <w:ilvl w:val="0"/>
          <w:numId w:val="12"/>
        </w:numPr>
        <w:spacing w:after="0" w:line="240" w:lineRule="auto"/>
        <w:contextualSpacing/>
        <w:rPr>
          <w:rFonts w:ascii="Arial" w:eastAsia="Calibri" w:hAnsi="Arial" w:cs="Arial"/>
        </w:rPr>
      </w:pPr>
      <w:r w:rsidRPr="00A12B00">
        <w:rPr>
          <w:rFonts w:ascii="Arial" w:eastAsia="Calibri" w:hAnsi="Arial" w:cs="Arial"/>
        </w:rPr>
        <w:t>Insufficient clarity on the applicable safety and security standards, as well as the lack of an independent governance structure capable of enforcing compliance with applicable safety and security requirements;</w:t>
      </w:r>
    </w:p>
    <w:p w14:paraId="7264F814" w14:textId="391E2799" w:rsidR="00A12B00" w:rsidRPr="00A12B00" w:rsidRDefault="00A12B00" w:rsidP="002176AF">
      <w:pPr>
        <w:numPr>
          <w:ilvl w:val="0"/>
          <w:numId w:val="12"/>
        </w:numPr>
        <w:spacing w:line="240" w:lineRule="auto"/>
        <w:contextualSpacing/>
        <w:rPr>
          <w:rFonts w:ascii="Arial" w:eastAsia="Calibri" w:hAnsi="Arial" w:cs="Arial"/>
        </w:rPr>
      </w:pPr>
      <w:r w:rsidRPr="00A12B00">
        <w:rPr>
          <w:rFonts w:ascii="Arial" w:eastAsia="Calibri" w:hAnsi="Arial" w:cs="Arial"/>
        </w:rPr>
        <w:t xml:space="preserve">Ambiguities and inconsistencies across the current Commonwealth, </w:t>
      </w:r>
      <w:r w:rsidR="00EA09B9">
        <w:rPr>
          <w:rFonts w:ascii="Arial" w:eastAsia="Calibri" w:hAnsi="Arial" w:cs="Arial"/>
        </w:rPr>
        <w:t>S</w:t>
      </w:r>
      <w:r w:rsidRPr="00A12B00">
        <w:rPr>
          <w:rFonts w:ascii="Arial" w:eastAsia="Calibri" w:hAnsi="Arial" w:cs="Arial"/>
        </w:rPr>
        <w:t xml:space="preserve">tate and </w:t>
      </w:r>
      <w:r w:rsidR="00EA09B9">
        <w:rPr>
          <w:rFonts w:ascii="Arial" w:eastAsia="Calibri" w:hAnsi="Arial" w:cs="Arial"/>
        </w:rPr>
        <w:t>T</w:t>
      </w:r>
      <w:r w:rsidRPr="00A12B00">
        <w:rPr>
          <w:rFonts w:ascii="Arial" w:eastAsia="Calibri" w:hAnsi="Arial" w:cs="Arial"/>
        </w:rPr>
        <w:t xml:space="preserve">erritory regimes, and their burden on Commonwealth contractors seeking to apply with the appropriate requirements; and </w:t>
      </w:r>
    </w:p>
    <w:p w14:paraId="268E1B97" w14:textId="77777777" w:rsidR="00A12B00" w:rsidRPr="00A12B00" w:rsidRDefault="00A12B00" w:rsidP="002176AF">
      <w:pPr>
        <w:numPr>
          <w:ilvl w:val="0"/>
          <w:numId w:val="12"/>
        </w:numPr>
        <w:spacing w:line="240" w:lineRule="auto"/>
        <w:ind w:left="357" w:hanging="357"/>
        <w:rPr>
          <w:rFonts w:ascii="Arial" w:eastAsia="Calibri" w:hAnsi="Arial" w:cs="Arial"/>
        </w:rPr>
      </w:pPr>
      <w:r w:rsidRPr="00A12B00">
        <w:rPr>
          <w:rFonts w:ascii="Arial" w:eastAsia="Calibri" w:hAnsi="Arial" w:cs="Arial"/>
        </w:rPr>
        <w:t xml:space="preserve">Failure to maintain pace with and leverage modern legislative developments, undermining the Commonwealth’s ability to regulate and assure the safety and security of explosives activities. </w:t>
      </w:r>
    </w:p>
    <w:p w14:paraId="34C5414E" w14:textId="77777777" w:rsidR="00A12B00" w:rsidRPr="00A12B00" w:rsidRDefault="00A12B00" w:rsidP="00A12B00">
      <w:pPr>
        <w:keepNext/>
        <w:keepLines/>
        <w:spacing w:before="40" w:after="0"/>
        <w:outlineLvl w:val="1"/>
        <w:rPr>
          <w:rFonts w:ascii="Arial" w:eastAsia="Times New Roman" w:hAnsi="Arial" w:cs="Arial"/>
          <w:color w:val="B35E06"/>
          <w:sz w:val="26"/>
          <w:szCs w:val="26"/>
        </w:rPr>
      </w:pPr>
      <w:bookmarkStart w:id="35" w:name="_Toc101961117"/>
      <w:r w:rsidRPr="00A12B00">
        <w:rPr>
          <w:rFonts w:ascii="Arial" w:eastAsia="Times New Roman" w:hAnsi="Arial" w:cs="Arial"/>
          <w:color w:val="B35E06"/>
          <w:sz w:val="26"/>
          <w:szCs w:val="26"/>
        </w:rPr>
        <w:t>2.2 Capacity and Objectives of Government Intervention</w:t>
      </w:r>
      <w:bookmarkEnd w:id="35"/>
      <w:r w:rsidRPr="00A12B00">
        <w:rPr>
          <w:rFonts w:ascii="Arial" w:eastAsia="Times New Roman" w:hAnsi="Arial" w:cs="Arial"/>
          <w:color w:val="B35E06"/>
          <w:sz w:val="26"/>
          <w:szCs w:val="26"/>
        </w:rPr>
        <w:t xml:space="preserve"> </w:t>
      </w:r>
    </w:p>
    <w:p w14:paraId="0E6711D3" w14:textId="77777777" w:rsidR="00A12B00" w:rsidRPr="00A12B00" w:rsidRDefault="00A12B00" w:rsidP="00A12B00">
      <w:pPr>
        <w:spacing w:line="240" w:lineRule="auto"/>
        <w:rPr>
          <w:rFonts w:ascii="Arial" w:eastAsia="Calibri" w:hAnsi="Arial" w:cs="Arial"/>
        </w:rPr>
      </w:pPr>
      <w:r w:rsidRPr="00A12B00">
        <w:rPr>
          <w:rFonts w:ascii="Arial" w:eastAsia="Calibri" w:hAnsi="Arial" w:cs="Arial"/>
        </w:rPr>
        <w:t xml:space="preserve">With the appropriate legislative and regulatory settings, government has the capacity to intervene more successfully and directly address the problems identified. The Commonwealth Government is best placed to establish a regulatory scheme for Commonwealth explosives that is both consistent across jurisdictional boundaries, and tailored for the specific entities, activities and risks that explosives used in the Commonwealth domain pose. </w:t>
      </w:r>
    </w:p>
    <w:p w14:paraId="23237FE1" w14:textId="77777777" w:rsidR="00A12B00" w:rsidRPr="00A12B00" w:rsidRDefault="00A12B00" w:rsidP="00A12B00">
      <w:pPr>
        <w:spacing w:line="240" w:lineRule="auto"/>
        <w:rPr>
          <w:rFonts w:ascii="Arial" w:eastAsia="Calibri" w:hAnsi="Arial" w:cs="Arial"/>
        </w:rPr>
      </w:pPr>
      <w:r w:rsidRPr="00A12B00">
        <w:rPr>
          <w:rFonts w:ascii="Arial" w:eastAsia="Calibri" w:hAnsi="Arial" w:cs="Arial"/>
        </w:rPr>
        <w:t>The objectives for Government intervention, as relevant to the three identified elements of the problem statement, are as follows:</w:t>
      </w:r>
    </w:p>
    <w:tbl>
      <w:tblPr>
        <w:tblStyle w:val="TableGrid"/>
        <w:tblW w:w="0" w:type="auto"/>
        <w:tblLook w:val="04A0" w:firstRow="1" w:lastRow="0" w:firstColumn="1" w:lastColumn="0" w:noHBand="0" w:noVBand="1"/>
      </w:tblPr>
      <w:tblGrid>
        <w:gridCol w:w="495"/>
        <w:gridCol w:w="4887"/>
        <w:gridCol w:w="3634"/>
      </w:tblGrid>
      <w:tr w:rsidR="00A12B00" w:rsidRPr="00A12B00" w14:paraId="365EA146" w14:textId="77777777" w:rsidTr="00A12B00">
        <w:tc>
          <w:tcPr>
            <w:tcW w:w="5382" w:type="dxa"/>
            <w:gridSpan w:val="2"/>
            <w:shd w:val="clear" w:color="auto" w:fill="F07F09"/>
          </w:tcPr>
          <w:p w14:paraId="23EDA55E" w14:textId="77777777" w:rsidR="00A12B00" w:rsidRPr="00A12B00" w:rsidRDefault="00A12B00" w:rsidP="00A12B00">
            <w:pPr>
              <w:jc w:val="center"/>
              <w:rPr>
                <w:rFonts w:ascii="Arial" w:eastAsia="Calibri" w:hAnsi="Arial" w:cs="Arial"/>
                <w:b/>
                <w:bCs/>
                <w:color w:val="FFFFFF"/>
                <w:sz w:val="20"/>
                <w:szCs w:val="20"/>
              </w:rPr>
            </w:pPr>
            <w:r w:rsidRPr="00A12B00">
              <w:rPr>
                <w:rFonts w:ascii="Arial" w:eastAsia="Calibri" w:hAnsi="Arial" w:cs="Arial"/>
                <w:b/>
                <w:bCs/>
                <w:color w:val="FFFFFF"/>
                <w:sz w:val="20"/>
                <w:szCs w:val="20"/>
              </w:rPr>
              <w:t>Problem Element</w:t>
            </w:r>
          </w:p>
        </w:tc>
        <w:tc>
          <w:tcPr>
            <w:tcW w:w="3634" w:type="dxa"/>
            <w:shd w:val="clear" w:color="auto" w:fill="F07F09"/>
          </w:tcPr>
          <w:p w14:paraId="6EEDDDB0" w14:textId="77777777" w:rsidR="00A12B00" w:rsidRPr="00A12B00" w:rsidRDefault="00A12B00" w:rsidP="00A12B00">
            <w:pPr>
              <w:jc w:val="center"/>
              <w:rPr>
                <w:rFonts w:ascii="Arial" w:eastAsia="Calibri" w:hAnsi="Arial" w:cs="Arial"/>
                <w:b/>
                <w:bCs/>
                <w:color w:val="FFFFFF"/>
                <w:sz w:val="20"/>
                <w:szCs w:val="20"/>
              </w:rPr>
            </w:pPr>
            <w:r w:rsidRPr="00A12B00">
              <w:rPr>
                <w:rFonts w:ascii="Arial" w:eastAsia="Calibri" w:hAnsi="Arial" w:cs="Arial"/>
                <w:b/>
                <w:bCs/>
                <w:color w:val="FFFFFF"/>
                <w:sz w:val="20"/>
                <w:szCs w:val="20"/>
              </w:rPr>
              <w:t>Government Objective</w:t>
            </w:r>
          </w:p>
        </w:tc>
      </w:tr>
      <w:tr w:rsidR="00A12B00" w:rsidRPr="00A12B00" w14:paraId="7ECA2BBF" w14:textId="77777777" w:rsidTr="00A12B00">
        <w:tc>
          <w:tcPr>
            <w:tcW w:w="495" w:type="dxa"/>
            <w:shd w:val="clear" w:color="auto" w:fill="D9D9D9"/>
            <w:vAlign w:val="center"/>
          </w:tcPr>
          <w:p w14:paraId="675DC97A" w14:textId="77777777" w:rsidR="00A12B00" w:rsidRPr="00A12B00" w:rsidRDefault="00A12B00" w:rsidP="00A12B00">
            <w:pPr>
              <w:jc w:val="center"/>
              <w:rPr>
                <w:rFonts w:ascii="Arial" w:eastAsia="Calibri" w:hAnsi="Arial" w:cs="Arial"/>
                <w:b/>
                <w:bCs/>
                <w:sz w:val="20"/>
                <w:szCs w:val="20"/>
              </w:rPr>
            </w:pPr>
            <w:r w:rsidRPr="00A12B00">
              <w:rPr>
                <w:rFonts w:ascii="Arial" w:eastAsia="Calibri" w:hAnsi="Arial" w:cs="Arial"/>
                <w:b/>
                <w:bCs/>
                <w:sz w:val="20"/>
                <w:szCs w:val="20"/>
              </w:rPr>
              <w:t>1.1</w:t>
            </w:r>
          </w:p>
        </w:tc>
        <w:tc>
          <w:tcPr>
            <w:tcW w:w="4887" w:type="dxa"/>
            <w:vAlign w:val="center"/>
          </w:tcPr>
          <w:p w14:paraId="14073F5D" w14:textId="77777777" w:rsidR="00A12B00" w:rsidRPr="00A12B00" w:rsidRDefault="00A12B00" w:rsidP="00A12B00">
            <w:pPr>
              <w:rPr>
                <w:rFonts w:ascii="Arial" w:eastAsia="Calibri" w:hAnsi="Arial" w:cs="Arial"/>
                <w:sz w:val="20"/>
                <w:szCs w:val="20"/>
              </w:rPr>
            </w:pPr>
            <w:r w:rsidRPr="00A12B00">
              <w:rPr>
                <w:rFonts w:ascii="Arial" w:eastAsia="Calibri" w:hAnsi="Arial" w:cs="Arial"/>
                <w:sz w:val="20"/>
                <w:szCs w:val="20"/>
              </w:rPr>
              <w:t>Expansions in the use and integration of Commonwealth explosives, as well as Australia’s changing security environment and increased focus on domestic manufacturing capabilities, have created a new and changing risk environment. The current explosives regulatory regime, established in response to challenges faced during World War II, does not accommodate this risk profile.</w:t>
            </w:r>
          </w:p>
        </w:tc>
        <w:tc>
          <w:tcPr>
            <w:tcW w:w="3634" w:type="dxa"/>
            <w:vAlign w:val="center"/>
          </w:tcPr>
          <w:p w14:paraId="751697CB" w14:textId="77777777" w:rsidR="00A12B00" w:rsidRPr="00A12B00" w:rsidRDefault="00A12B00" w:rsidP="00A16B8A">
            <w:pPr>
              <w:numPr>
                <w:ilvl w:val="0"/>
                <w:numId w:val="20"/>
              </w:numPr>
              <w:contextualSpacing/>
              <w:rPr>
                <w:rFonts w:ascii="Arial" w:eastAsia="Calibri" w:hAnsi="Arial" w:cs="Arial"/>
                <w:sz w:val="20"/>
                <w:szCs w:val="20"/>
              </w:rPr>
            </w:pPr>
            <w:r w:rsidRPr="00A12B00">
              <w:rPr>
                <w:rFonts w:ascii="Arial" w:eastAsia="Calibri" w:hAnsi="Arial" w:cs="Arial"/>
                <w:sz w:val="20"/>
                <w:szCs w:val="20"/>
              </w:rPr>
              <w:t xml:space="preserve">Create a Commonwealth explosives regulatory regime with modern, enduring mechanisms for accommodating Australia’s strategic needs and responding to evolving risks. </w:t>
            </w:r>
          </w:p>
        </w:tc>
      </w:tr>
      <w:tr w:rsidR="00A12B00" w:rsidRPr="00A12B00" w14:paraId="2E190708" w14:textId="77777777" w:rsidTr="00A12B00">
        <w:tc>
          <w:tcPr>
            <w:tcW w:w="495" w:type="dxa"/>
            <w:shd w:val="clear" w:color="auto" w:fill="D9D9D9"/>
            <w:vAlign w:val="center"/>
          </w:tcPr>
          <w:p w14:paraId="2CFD38E5" w14:textId="77777777" w:rsidR="00A12B00" w:rsidRPr="00A12B00" w:rsidRDefault="00A12B00" w:rsidP="00A12B00">
            <w:pPr>
              <w:jc w:val="center"/>
              <w:rPr>
                <w:rFonts w:ascii="Arial" w:eastAsia="Calibri" w:hAnsi="Arial" w:cs="Arial"/>
                <w:b/>
                <w:bCs/>
                <w:sz w:val="20"/>
                <w:szCs w:val="20"/>
              </w:rPr>
            </w:pPr>
            <w:r w:rsidRPr="00A12B00">
              <w:rPr>
                <w:rFonts w:ascii="Arial" w:eastAsia="Calibri" w:hAnsi="Arial" w:cs="Arial"/>
                <w:b/>
                <w:bCs/>
                <w:sz w:val="20"/>
                <w:szCs w:val="20"/>
              </w:rPr>
              <w:t>1.2</w:t>
            </w:r>
          </w:p>
        </w:tc>
        <w:tc>
          <w:tcPr>
            <w:tcW w:w="4887" w:type="dxa"/>
            <w:vAlign w:val="center"/>
          </w:tcPr>
          <w:p w14:paraId="097C826F" w14:textId="77777777" w:rsidR="00A12B00" w:rsidRPr="00A12B00" w:rsidRDefault="00A12B00" w:rsidP="00A12B00">
            <w:pPr>
              <w:rPr>
                <w:rFonts w:ascii="Arial" w:eastAsia="Calibri" w:hAnsi="Arial" w:cs="Arial"/>
                <w:sz w:val="20"/>
                <w:szCs w:val="20"/>
              </w:rPr>
            </w:pPr>
            <w:r w:rsidRPr="00A12B00">
              <w:rPr>
                <w:rFonts w:ascii="Arial" w:eastAsia="Calibri" w:hAnsi="Arial" w:cs="Arial"/>
                <w:sz w:val="20"/>
                <w:szCs w:val="20"/>
              </w:rPr>
              <w:t>The current regulatory regime has insufficiently clear safety and security requirements and lacks an independent governance structure capable of enforcing compliance with these requirements.  This undermines the safety of persons involved in explosives activities and the security of Commonwealth explosives themselves.</w:t>
            </w:r>
          </w:p>
        </w:tc>
        <w:tc>
          <w:tcPr>
            <w:tcW w:w="3634" w:type="dxa"/>
            <w:vAlign w:val="center"/>
          </w:tcPr>
          <w:p w14:paraId="08A49C9E" w14:textId="77777777" w:rsidR="00A12B00" w:rsidRPr="00A12B00" w:rsidRDefault="00A12B00" w:rsidP="00A16B8A">
            <w:pPr>
              <w:numPr>
                <w:ilvl w:val="0"/>
                <w:numId w:val="20"/>
              </w:numPr>
              <w:contextualSpacing/>
              <w:rPr>
                <w:rFonts w:ascii="Arial" w:eastAsia="Calibri" w:hAnsi="Arial" w:cs="Arial"/>
                <w:sz w:val="20"/>
                <w:szCs w:val="20"/>
              </w:rPr>
            </w:pPr>
            <w:r w:rsidRPr="00A12B00">
              <w:rPr>
                <w:rFonts w:ascii="Arial" w:eastAsia="Calibri" w:hAnsi="Arial" w:cs="Arial"/>
                <w:sz w:val="20"/>
                <w:szCs w:val="20"/>
              </w:rPr>
              <w:t xml:space="preserve">Reduction in the likelihood of explosives-related safety and security incidents, through increased compliance and independent oversight.  </w:t>
            </w:r>
          </w:p>
        </w:tc>
      </w:tr>
      <w:tr w:rsidR="00A12B00" w:rsidRPr="00A12B00" w14:paraId="5DF452CA" w14:textId="77777777" w:rsidTr="007B7FEF">
        <w:trPr>
          <w:cantSplit/>
        </w:trPr>
        <w:tc>
          <w:tcPr>
            <w:tcW w:w="495" w:type="dxa"/>
            <w:shd w:val="clear" w:color="auto" w:fill="D9D9D9"/>
            <w:vAlign w:val="center"/>
          </w:tcPr>
          <w:p w14:paraId="112F8923" w14:textId="77777777" w:rsidR="00A12B00" w:rsidRPr="00A12B00" w:rsidRDefault="00A12B00" w:rsidP="00A12B00">
            <w:pPr>
              <w:jc w:val="center"/>
              <w:rPr>
                <w:rFonts w:ascii="Arial" w:eastAsia="Calibri" w:hAnsi="Arial" w:cs="Arial"/>
                <w:b/>
                <w:bCs/>
                <w:sz w:val="20"/>
                <w:szCs w:val="20"/>
              </w:rPr>
            </w:pPr>
            <w:r w:rsidRPr="00A12B00">
              <w:rPr>
                <w:rFonts w:ascii="Arial" w:eastAsia="Calibri" w:hAnsi="Arial" w:cs="Arial"/>
                <w:b/>
                <w:bCs/>
                <w:sz w:val="20"/>
                <w:szCs w:val="20"/>
              </w:rPr>
              <w:t>1.3</w:t>
            </w:r>
          </w:p>
        </w:tc>
        <w:tc>
          <w:tcPr>
            <w:tcW w:w="4887" w:type="dxa"/>
          </w:tcPr>
          <w:p w14:paraId="67ACC546" w14:textId="77777777" w:rsidR="00A12B00" w:rsidRPr="00A12B00" w:rsidRDefault="00A12B00" w:rsidP="00A12B00">
            <w:pPr>
              <w:rPr>
                <w:rFonts w:ascii="Arial" w:eastAsia="Calibri" w:hAnsi="Arial" w:cs="Arial"/>
                <w:sz w:val="20"/>
                <w:szCs w:val="20"/>
              </w:rPr>
            </w:pPr>
            <w:r w:rsidRPr="00A12B00">
              <w:rPr>
                <w:rFonts w:ascii="Arial" w:eastAsia="Calibri" w:hAnsi="Arial" w:cs="Arial"/>
                <w:sz w:val="20"/>
                <w:szCs w:val="20"/>
              </w:rPr>
              <w:t>Significant ambiguities and a lack of clarity in regulatory requirements complicates Commonwealth contractors’ ability to navigate the current explosives regulatory regimes across Australia, leading to a high regulatory burden and increased risk of non-compliance.</w:t>
            </w:r>
          </w:p>
        </w:tc>
        <w:tc>
          <w:tcPr>
            <w:tcW w:w="3634" w:type="dxa"/>
            <w:vAlign w:val="center"/>
          </w:tcPr>
          <w:p w14:paraId="6A190C28" w14:textId="37E30AC4" w:rsidR="00A12B00" w:rsidRPr="00A12B00" w:rsidRDefault="007B7FEF" w:rsidP="00A16B8A">
            <w:pPr>
              <w:numPr>
                <w:ilvl w:val="0"/>
                <w:numId w:val="20"/>
              </w:numPr>
              <w:contextualSpacing/>
              <w:rPr>
                <w:rFonts w:ascii="Arial" w:eastAsia="Calibri" w:hAnsi="Arial" w:cs="Arial"/>
                <w:sz w:val="20"/>
                <w:szCs w:val="20"/>
              </w:rPr>
            </w:pPr>
            <w:r>
              <w:rPr>
                <w:rFonts w:ascii="Arial" w:eastAsia="Calibri" w:hAnsi="Arial" w:cs="Arial"/>
                <w:sz w:val="20"/>
                <w:szCs w:val="20"/>
              </w:rPr>
              <w:t>Reduction in</w:t>
            </w:r>
            <w:r w:rsidR="00A12B00" w:rsidRPr="00A12B00">
              <w:rPr>
                <w:rFonts w:ascii="Arial" w:eastAsia="Calibri" w:hAnsi="Arial" w:cs="Arial"/>
                <w:sz w:val="20"/>
                <w:szCs w:val="20"/>
              </w:rPr>
              <w:t xml:space="preserve"> regulatory burden, resulting in fewer costs, greater clarity, and improved competition across industry.</w:t>
            </w:r>
          </w:p>
        </w:tc>
      </w:tr>
      <w:tr w:rsidR="00A12B00" w:rsidRPr="00A12B00" w14:paraId="3C3AE489" w14:textId="77777777" w:rsidTr="00A12B00">
        <w:tc>
          <w:tcPr>
            <w:tcW w:w="495" w:type="dxa"/>
            <w:shd w:val="clear" w:color="auto" w:fill="D9D9D9"/>
            <w:vAlign w:val="center"/>
          </w:tcPr>
          <w:p w14:paraId="0118FDAE" w14:textId="77777777" w:rsidR="00A12B00" w:rsidRPr="00A12B00" w:rsidRDefault="00A12B00" w:rsidP="00A12B00">
            <w:pPr>
              <w:jc w:val="center"/>
              <w:rPr>
                <w:rFonts w:ascii="Arial" w:eastAsia="Calibri" w:hAnsi="Arial" w:cs="Arial"/>
                <w:b/>
                <w:bCs/>
                <w:sz w:val="20"/>
                <w:szCs w:val="20"/>
              </w:rPr>
            </w:pPr>
            <w:r w:rsidRPr="00A12B00">
              <w:rPr>
                <w:rFonts w:ascii="Arial" w:eastAsia="Calibri" w:hAnsi="Arial" w:cs="Arial"/>
                <w:b/>
                <w:bCs/>
                <w:sz w:val="20"/>
                <w:szCs w:val="20"/>
              </w:rPr>
              <w:t>1.4</w:t>
            </w:r>
          </w:p>
        </w:tc>
        <w:tc>
          <w:tcPr>
            <w:tcW w:w="4887" w:type="dxa"/>
          </w:tcPr>
          <w:p w14:paraId="36C8BE13" w14:textId="77777777" w:rsidR="00A12B00" w:rsidRPr="00A12B00" w:rsidRDefault="00A12B00" w:rsidP="00A12B00">
            <w:pPr>
              <w:rPr>
                <w:rFonts w:ascii="Arial" w:eastAsia="Calibri" w:hAnsi="Arial" w:cs="Arial"/>
                <w:sz w:val="20"/>
                <w:szCs w:val="20"/>
              </w:rPr>
            </w:pPr>
            <w:r w:rsidRPr="00A12B00">
              <w:rPr>
                <w:rFonts w:ascii="Arial" w:eastAsia="Calibri" w:hAnsi="Arial" w:cs="Arial"/>
                <w:sz w:val="20"/>
                <w:szCs w:val="20"/>
              </w:rPr>
              <w:t>The Commonwealth explosives regulatory regime’s failure to maintain pace with modern legislative developments has resulted in a lack of harmony and unfitness for purpose, which undermines the Commonwealth’s ability to regulate and assure the safety and security of explosives activities.</w:t>
            </w:r>
          </w:p>
        </w:tc>
        <w:tc>
          <w:tcPr>
            <w:tcW w:w="3634" w:type="dxa"/>
            <w:vAlign w:val="center"/>
          </w:tcPr>
          <w:p w14:paraId="4E30ABC8" w14:textId="77777777" w:rsidR="00A12B00" w:rsidRPr="00A12B00" w:rsidRDefault="00A12B00" w:rsidP="00A16B8A">
            <w:pPr>
              <w:numPr>
                <w:ilvl w:val="0"/>
                <w:numId w:val="20"/>
              </w:numPr>
              <w:contextualSpacing/>
              <w:rPr>
                <w:rFonts w:ascii="Arial" w:eastAsia="Calibri" w:hAnsi="Arial" w:cs="Arial"/>
                <w:sz w:val="20"/>
                <w:szCs w:val="20"/>
              </w:rPr>
            </w:pPr>
            <w:r w:rsidRPr="00A12B00">
              <w:rPr>
                <w:rFonts w:ascii="Arial" w:eastAsia="Calibri" w:hAnsi="Arial" w:cs="Arial"/>
                <w:sz w:val="20"/>
                <w:szCs w:val="20"/>
              </w:rPr>
              <w:t xml:space="preserve">Reduction in the likelihood of explosives-related safety and security incidents, through increased compliance and independent oversight.  </w:t>
            </w:r>
          </w:p>
        </w:tc>
      </w:tr>
    </w:tbl>
    <w:p w14:paraId="47925D81" w14:textId="1C20D6D9" w:rsidR="00A12B00" w:rsidRPr="00A12B00" w:rsidRDefault="00A12B00" w:rsidP="00A12B00">
      <w:pPr>
        <w:keepNext/>
        <w:keepLines/>
        <w:spacing w:before="40" w:after="0"/>
        <w:outlineLvl w:val="1"/>
        <w:rPr>
          <w:rFonts w:ascii="Arial" w:eastAsia="Times New Roman" w:hAnsi="Arial" w:cs="Arial"/>
          <w:color w:val="B35E06"/>
          <w:sz w:val="26"/>
          <w:szCs w:val="26"/>
        </w:rPr>
      </w:pPr>
      <w:bookmarkStart w:id="36" w:name="_Toc101961118"/>
      <w:bookmarkStart w:id="37" w:name="_Toc83804546"/>
      <w:r w:rsidRPr="00A12B00">
        <w:rPr>
          <w:rFonts w:ascii="Arial" w:eastAsia="Times New Roman" w:hAnsi="Arial" w:cs="Arial"/>
          <w:color w:val="B35E06"/>
          <w:sz w:val="26"/>
          <w:szCs w:val="26"/>
        </w:rPr>
        <w:lastRenderedPageBreak/>
        <w:t xml:space="preserve">2.3 Constraints or </w:t>
      </w:r>
      <w:r w:rsidR="005A6B0E">
        <w:rPr>
          <w:rFonts w:ascii="Arial" w:eastAsia="Times New Roman" w:hAnsi="Arial" w:cs="Arial"/>
          <w:color w:val="B35E06"/>
          <w:sz w:val="26"/>
          <w:szCs w:val="26"/>
        </w:rPr>
        <w:t>B</w:t>
      </w:r>
      <w:r w:rsidRPr="00A12B00">
        <w:rPr>
          <w:rFonts w:ascii="Arial" w:eastAsia="Times New Roman" w:hAnsi="Arial" w:cs="Arial"/>
          <w:color w:val="B35E06"/>
          <w:sz w:val="26"/>
          <w:szCs w:val="26"/>
        </w:rPr>
        <w:t xml:space="preserve">arriers to </w:t>
      </w:r>
      <w:r w:rsidR="005A6B0E">
        <w:rPr>
          <w:rFonts w:ascii="Arial" w:eastAsia="Times New Roman" w:hAnsi="Arial" w:cs="Arial"/>
          <w:color w:val="B35E06"/>
          <w:sz w:val="26"/>
          <w:szCs w:val="26"/>
        </w:rPr>
        <w:t>A</w:t>
      </w:r>
      <w:r w:rsidRPr="00A12B00">
        <w:rPr>
          <w:rFonts w:ascii="Arial" w:eastAsia="Times New Roman" w:hAnsi="Arial" w:cs="Arial"/>
          <w:color w:val="B35E06"/>
          <w:sz w:val="26"/>
          <w:szCs w:val="26"/>
        </w:rPr>
        <w:t xml:space="preserve">chieving </w:t>
      </w:r>
      <w:r w:rsidR="005A6B0E">
        <w:rPr>
          <w:rFonts w:ascii="Arial" w:eastAsia="Times New Roman" w:hAnsi="Arial" w:cs="Arial"/>
          <w:color w:val="B35E06"/>
          <w:sz w:val="26"/>
          <w:szCs w:val="26"/>
        </w:rPr>
        <w:t>G</w:t>
      </w:r>
      <w:r w:rsidRPr="00A12B00">
        <w:rPr>
          <w:rFonts w:ascii="Arial" w:eastAsia="Times New Roman" w:hAnsi="Arial" w:cs="Arial"/>
          <w:color w:val="B35E06"/>
          <w:sz w:val="26"/>
          <w:szCs w:val="26"/>
        </w:rPr>
        <w:t>oal</w:t>
      </w:r>
      <w:bookmarkEnd w:id="36"/>
    </w:p>
    <w:bookmarkEnd w:id="37"/>
    <w:p w14:paraId="5519F800" w14:textId="411E45BF" w:rsidR="00A12B00" w:rsidRPr="00A12B00" w:rsidRDefault="00A12B00" w:rsidP="001C2288">
      <w:pPr>
        <w:spacing w:line="240" w:lineRule="auto"/>
        <w:rPr>
          <w:rFonts w:ascii="Arial" w:eastAsia="Calibri" w:hAnsi="Arial" w:cs="Arial"/>
        </w:rPr>
      </w:pPr>
      <w:r w:rsidRPr="00A12B00">
        <w:rPr>
          <w:rFonts w:ascii="Arial" w:eastAsia="Calibri" w:hAnsi="Arial" w:cs="Arial"/>
        </w:rPr>
        <w:t xml:space="preserve">Government action in this space may be constrained by cross-jurisdictional complexities, given that each </w:t>
      </w:r>
      <w:r w:rsidR="00C63160">
        <w:rPr>
          <w:rFonts w:ascii="Arial" w:eastAsia="Calibri" w:hAnsi="Arial" w:cs="Arial"/>
        </w:rPr>
        <w:t xml:space="preserve">Australian </w:t>
      </w:r>
      <w:r w:rsidRPr="00A12B00">
        <w:rPr>
          <w:rFonts w:ascii="Arial" w:eastAsia="Calibri" w:hAnsi="Arial" w:cs="Arial"/>
        </w:rPr>
        <w:t>State and Territor</w:t>
      </w:r>
      <w:r w:rsidR="00C63160">
        <w:rPr>
          <w:rFonts w:ascii="Arial" w:eastAsia="Calibri" w:hAnsi="Arial" w:cs="Arial"/>
        </w:rPr>
        <w:t xml:space="preserve">y has its </w:t>
      </w:r>
      <w:r w:rsidRPr="00A12B00">
        <w:rPr>
          <w:rFonts w:ascii="Arial" w:eastAsia="Calibri" w:hAnsi="Arial" w:cs="Arial"/>
        </w:rPr>
        <w:t xml:space="preserve">own system for regulating explosives </w:t>
      </w:r>
      <w:r w:rsidR="00C63160">
        <w:rPr>
          <w:rFonts w:ascii="Arial" w:eastAsia="Calibri" w:hAnsi="Arial" w:cs="Arial"/>
        </w:rPr>
        <w:t>activities. While</w:t>
      </w:r>
      <w:r w:rsidR="00C05F6D">
        <w:rPr>
          <w:rFonts w:ascii="Arial" w:eastAsia="Calibri" w:hAnsi="Arial" w:cs="Arial"/>
        </w:rPr>
        <w:t xml:space="preserve">, theoretically, </w:t>
      </w:r>
      <w:r w:rsidRPr="00A12B00">
        <w:rPr>
          <w:rFonts w:ascii="Arial" w:eastAsia="Calibri" w:hAnsi="Arial" w:cs="Arial"/>
        </w:rPr>
        <w:t>State and Territory legislation primarily applies to commercial</w:t>
      </w:r>
      <w:r w:rsidR="00C05F6D">
        <w:rPr>
          <w:rFonts w:ascii="Arial" w:eastAsia="Calibri" w:hAnsi="Arial" w:cs="Arial"/>
        </w:rPr>
        <w:t xml:space="preserve"> or i</w:t>
      </w:r>
      <w:r w:rsidRPr="00A12B00">
        <w:rPr>
          <w:rFonts w:ascii="Arial" w:eastAsia="Calibri" w:hAnsi="Arial" w:cs="Arial"/>
        </w:rPr>
        <w:t>ndustrial explosives, and Commonwealth legislation applies to legislation in the Commonwealth</w:t>
      </w:r>
      <w:r w:rsidR="00CB73D7">
        <w:rPr>
          <w:rFonts w:ascii="Arial" w:eastAsia="Calibri" w:hAnsi="Arial" w:cs="Arial"/>
        </w:rPr>
        <w:t xml:space="preserve"> regulatory remit</w:t>
      </w:r>
      <w:r w:rsidRPr="00A12B00">
        <w:rPr>
          <w:rFonts w:ascii="Arial" w:eastAsia="Calibri" w:hAnsi="Arial" w:cs="Arial"/>
        </w:rPr>
        <w:t>, there are areas of ambiguity and disharmony in the detail.  For example:</w:t>
      </w:r>
    </w:p>
    <w:p w14:paraId="604C058B" w14:textId="11217753" w:rsidR="00A12B00" w:rsidRPr="00A12B00" w:rsidRDefault="00A12B00" w:rsidP="002176AF">
      <w:pPr>
        <w:numPr>
          <w:ilvl w:val="0"/>
          <w:numId w:val="2"/>
        </w:numPr>
        <w:spacing w:line="240" w:lineRule="auto"/>
        <w:rPr>
          <w:rFonts w:ascii="Arial" w:eastAsia="Calibri" w:hAnsi="Arial" w:cs="Arial"/>
        </w:rPr>
      </w:pPr>
      <w:proofErr w:type="gramStart"/>
      <w:r w:rsidRPr="00A12B00">
        <w:rPr>
          <w:rFonts w:ascii="Arial" w:eastAsia="Calibri" w:hAnsi="Arial" w:cs="Arial"/>
        </w:rPr>
        <w:t>the</w:t>
      </w:r>
      <w:proofErr w:type="gramEnd"/>
      <w:r w:rsidRPr="00A12B00">
        <w:rPr>
          <w:rFonts w:ascii="Arial" w:eastAsia="Calibri" w:hAnsi="Arial" w:cs="Arial"/>
        </w:rPr>
        <w:t xml:space="preserve"> items that are captured within the definition of </w:t>
      </w:r>
      <w:r w:rsidR="001C2288">
        <w:rPr>
          <w:rFonts w:ascii="Arial" w:eastAsia="Calibri" w:hAnsi="Arial" w:cs="Arial"/>
        </w:rPr>
        <w:t>‘</w:t>
      </w:r>
      <w:r w:rsidRPr="00A12B00">
        <w:rPr>
          <w:rFonts w:ascii="Arial" w:eastAsia="Calibri" w:hAnsi="Arial" w:cs="Arial"/>
        </w:rPr>
        <w:t>explosives</w:t>
      </w:r>
      <w:r w:rsidR="001C2288">
        <w:rPr>
          <w:rFonts w:ascii="Arial" w:eastAsia="Calibri" w:hAnsi="Arial" w:cs="Arial"/>
        </w:rPr>
        <w:t>’</w:t>
      </w:r>
      <w:r w:rsidRPr="00A12B00">
        <w:rPr>
          <w:rFonts w:ascii="Arial" w:eastAsia="Calibri" w:hAnsi="Arial" w:cs="Arial"/>
        </w:rPr>
        <w:t xml:space="preserve"> varies across Commonwealth, State and </w:t>
      </w:r>
      <w:r w:rsidR="001C2288">
        <w:rPr>
          <w:rFonts w:ascii="Arial" w:eastAsia="Calibri" w:hAnsi="Arial" w:cs="Arial"/>
        </w:rPr>
        <w:t>T</w:t>
      </w:r>
      <w:r w:rsidRPr="00A12B00">
        <w:rPr>
          <w:rFonts w:ascii="Arial" w:eastAsia="Calibri" w:hAnsi="Arial" w:cs="Arial"/>
        </w:rPr>
        <w:t xml:space="preserve">erritory explosives legislation.  In addition, some State and Territory weapons legislation captures several items (such as grenades) which are considered </w:t>
      </w:r>
      <w:r w:rsidR="001C2288">
        <w:rPr>
          <w:rFonts w:ascii="Arial" w:eastAsia="Calibri" w:hAnsi="Arial" w:cs="Arial"/>
        </w:rPr>
        <w:t>‘</w:t>
      </w:r>
      <w:r w:rsidRPr="00A12B00">
        <w:rPr>
          <w:rFonts w:ascii="Arial" w:eastAsia="Calibri" w:hAnsi="Arial" w:cs="Arial"/>
        </w:rPr>
        <w:t>explosives</w:t>
      </w:r>
      <w:r w:rsidR="001C2288">
        <w:rPr>
          <w:rFonts w:ascii="Arial" w:eastAsia="Calibri" w:hAnsi="Arial" w:cs="Arial"/>
        </w:rPr>
        <w:t>’</w:t>
      </w:r>
      <w:r w:rsidRPr="00A12B00">
        <w:rPr>
          <w:rFonts w:ascii="Arial" w:eastAsia="Calibri" w:hAnsi="Arial" w:cs="Arial"/>
        </w:rPr>
        <w:t xml:space="preserve"> in the Commonwealth context;</w:t>
      </w:r>
    </w:p>
    <w:p w14:paraId="5F7D94C3" w14:textId="77777777" w:rsidR="00A12B00" w:rsidRPr="00A12B00" w:rsidRDefault="00A12B00" w:rsidP="002176AF">
      <w:pPr>
        <w:numPr>
          <w:ilvl w:val="0"/>
          <w:numId w:val="2"/>
        </w:numPr>
        <w:spacing w:line="240" w:lineRule="auto"/>
        <w:rPr>
          <w:rFonts w:ascii="Arial" w:eastAsia="Calibri" w:hAnsi="Arial" w:cs="Arial"/>
        </w:rPr>
      </w:pPr>
      <w:proofErr w:type="gramStart"/>
      <w:r w:rsidRPr="00A12B00">
        <w:rPr>
          <w:rFonts w:ascii="Arial" w:eastAsia="Calibri" w:hAnsi="Arial" w:cs="Arial"/>
        </w:rPr>
        <w:t>the</w:t>
      </w:r>
      <w:proofErr w:type="gramEnd"/>
      <w:r w:rsidRPr="00A12B00">
        <w:rPr>
          <w:rFonts w:ascii="Arial" w:eastAsia="Calibri" w:hAnsi="Arial" w:cs="Arial"/>
        </w:rPr>
        <w:t xml:space="preserve"> law is not clear on the application of State and Territory laws to some entities engaged in activities relating to Commonwealth explosives – in particular, Commonwealth contractors and visiting forces.</w:t>
      </w:r>
    </w:p>
    <w:p w14:paraId="6FC0F2ED" w14:textId="5EC3AF2B" w:rsidR="00A12B00" w:rsidRPr="00A12B00" w:rsidRDefault="00A12B00" w:rsidP="001C2288">
      <w:pPr>
        <w:spacing w:line="240" w:lineRule="auto"/>
        <w:rPr>
          <w:rFonts w:ascii="Arial" w:eastAsia="Calibri" w:hAnsi="Arial" w:cs="Arial"/>
        </w:rPr>
      </w:pPr>
      <w:r w:rsidRPr="00A12B00">
        <w:rPr>
          <w:rFonts w:ascii="Arial" w:eastAsia="Calibri" w:hAnsi="Arial" w:cs="Arial"/>
        </w:rPr>
        <w:t xml:space="preserve">These complexities, which are also elements of the policy problem, may constrain </w:t>
      </w:r>
      <w:r w:rsidR="00CB73D7">
        <w:rPr>
          <w:rFonts w:ascii="Arial" w:eastAsia="Calibri" w:hAnsi="Arial" w:cs="Arial"/>
        </w:rPr>
        <w:t>the Commonwealth G</w:t>
      </w:r>
      <w:r w:rsidRPr="00A12B00">
        <w:rPr>
          <w:rFonts w:ascii="Arial" w:eastAsia="Calibri" w:hAnsi="Arial" w:cs="Arial"/>
        </w:rPr>
        <w:t xml:space="preserve">overnment in achieving its goals. </w:t>
      </w:r>
      <w:r w:rsidR="00CB73D7">
        <w:rPr>
          <w:rFonts w:ascii="Arial" w:eastAsia="Calibri" w:hAnsi="Arial" w:cs="Arial"/>
        </w:rPr>
        <w:t>To overcome this</w:t>
      </w:r>
      <w:r w:rsidRPr="00A12B00">
        <w:rPr>
          <w:rFonts w:ascii="Arial" w:eastAsia="Calibri" w:hAnsi="Arial" w:cs="Arial"/>
        </w:rPr>
        <w:t xml:space="preserve"> potential constraint, it is recognised that close collaboration is required with State and Territory explosives (and, where applicable, weapons) regulators, </w:t>
      </w:r>
      <w:r w:rsidR="00871705" w:rsidRPr="00A12B00">
        <w:rPr>
          <w:rFonts w:ascii="Arial" w:eastAsia="Calibri" w:hAnsi="Arial" w:cs="Arial"/>
        </w:rPr>
        <w:t>for</w:t>
      </w:r>
      <w:r w:rsidRPr="00A12B00">
        <w:rPr>
          <w:rFonts w:ascii="Arial" w:eastAsia="Calibri" w:hAnsi="Arial" w:cs="Arial"/>
        </w:rPr>
        <w:t xml:space="preserve"> the Commonwealth to effectively establish a nationally consistent regulatory </w:t>
      </w:r>
      <w:r w:rsidR="002B56FB">
        <w:rPr>
          <w:rFonts w:ascii="Arial" w:eastAsia="Calibri" w:hAnsi="Arial" w:cs="Arial"/>
        </w:rPr>
        <w:t>regim</w:t>
      </w:r>
      <w:r w:rsidRPr="00A12B00">
        <w:rPr>
          <w:rFonts w:ascii="Arial" w:eastAsia="Calibri" w:hAnsi="Arial" w:cs="Arial"/>
        </w:rPr>
        <w:t>e for the full scope of Commonwealth explosives, entities and activities.</w:t>
      </w:r>
    </w:p>
    <w:p w14:paraId="58345220" w14:textId="77777777" w:rsidR="00A12B00" w:rsidRPr="00A12B00" w:rsidRDefault="00A12B00" w:rsidP="001C2288">
      <w:pPr>
        <w:spacing w:line="240" w:lineRule="auto"/>
        <w:rPr>
          <w:rFonts w:ascii="Arial" w:eastAsia="Calibri" w:hAnsi="Arial" w:cs="Arial"/>
        </w:rPr>
      </w:pPr>
      <w:r w:rsidRPr="00A12B00">
        <w:rPr>
          <w:rFonts w:ascii="Arial" w:eastAsia="Calibri" w:hAnsi="Arial" w:cs="Arial"/>
        </w:rPr>
        <w:br w:type="page"/>
      </w:r>
    </w:p>
    <w:p w14:paraId="6A3F8258" w14:textId="77777777" w:rsidR="00A12B00" w:rsidRPr="00A12B00" w:rsidRDefault="00A12B00" w:rsidP="00A12B00">
      <w:pPr>
        <w:keepNext/>
        <w:keepLines/>
        <w:numPr>
          <w:ilvl w:val="0"/>
          <w:numId w:val="1"/>
        </w:numPr>
        <w:spacing w:before="240" w:after="0"/>
        <w:outlineLvl w:val="0"/>
        <w:rPr>
          <w:rFonts w:ascii="Georgia" w:eastAsia="Times New Roman" w:hAnsi="Georgia" w:cs="Arial"/>
          <w:b/>
          <w:bCs/>
          <w:color w:val="E86D1F"/>
          <w:sz w:val="32"/>
          <w:szCs w:val="32"/>
        </w:rPr>
      </w:pPr>
      <w:bookmarkStart w:id="38" w:name="_Toc101961119"/>
      <w:r w:rsidRPr="00A12B00">
        <w:rPr>
          <w:rFonts w:ascii="Georgia" w:eastAsia="Times New Roman" w:hAnsi="Georgia" w:cs="Arial"/>
          <w:b/>
          <w:bCs/>
          <w:color w:val="E86D1F"/>
          <w:sz w:val="32"/>
          <w:szCs w:val="32"/>
        </w:rPr>
        <w:lastRenderedPageBreak/>
        <w:t>What policy options are you considering?</w:t>
      </w:r>
      <w:bookmarkEnd w:id="38"/>
      <w:r w:rsidRPr="00A12B00">
        <w:rPr>
          <w:rFonts w:ascii="Georgia" w:eastAsia="Times New Roman" w:hAnsi="Georgia" w:cs="Arial"/>
          <w:b/>
          <w:bCs/>
          <w:color w:val="E86D1F"/>
          <w:sz w:val="32"/>
          <w:szCs w:val="32"/>
        </w:rPr>
        <w:t xml:space="preserve"> </w:t>
      </w:r>
    </w:p>
    <w:p w14:paraId="21785950" w14:textId="77777777" w:rsidR="00A12B00" w:rsidRPr="00A12B00" w:rsidRDefault="00A12B00" w:rsidP="00A12B00">
      <w:pPr>
        <w:spacing w:line="240" w:lineRule="auto"/>
        <w:rPr>
          <w:rFonts w:ascii="Arial" w:eastAsia="Calibri" w:hAnsi="Arial" w:cs="Arial"/>
        </w:rPr>
      </w:pPr>
      <w:bookmarkStart w:id="39" w:name="_Toc70606799"/>
      <w:bookmarkStart w:id="40" w:name="_Toc70671199"/>
      <w:bookmarkStart w:id="41" w:name="_Toc70672662"/>
      <w:bookmarkStart w:id="42" w:name="_Toc70672832"/>
      <w:bookmarkStart w:id="43" w:name="_Toc71710867"/>
      <w:bookmarkStart w:id="44" w:name="_Toc71720821"/>
      <w:bookmarkStart w:id="45" w:name="_Toc73029737"/>
      <w:bookmarkStart w:id="46" w:name="_Toc73609414"/>
      <w:bookmarkStart w:id="47" w:name="_Toc74133869"/>
      <w:bookmarkStart w:id="48" w:name="_Toc74212041"/>
      <w:bookmarkStart w:id="49" w:name="_Toc74212316"/>
      <w:bookmarkStart w:id="50" w:name="_Toc74661590"/>
      <w:bookmarkStart w:id="51" w:name="_Toc74756824"/>
      <w:bookmarkStart w:id="52" w:name="_Toc74756947"/>
      <w:r w:rsidRPr="00A12B00">
        <w:rPr>
          <w:rFonts w:ascii="Arial" w:eastAsia="Calibri" w:hAnsi="Arial" w:cs="Arial"/>
        </w:rPr>
        <w:t>Three options have been considered in response to the identified problem elements:</w:t>
      </w:r>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A12B00">
        <w:rPr>
          <w:rFonts w:ascii="Arial" w:eastAsia="Calibri" w:hAnsi="Arial" w:cs="Arial"/>
        </w:rPr>
        <w:t xml:space="preserve"> </w:t>
      </w:r>
    </w:p>
    <w:p w14:paraId="210728C2" w14:textId="77777777" w:rsidR="00A12B00" w:rsidRPr="00A12B00" w:rsidRDefault="00A12B00" w:rsidP="00A16B8A">
      <w:pPr>
        <w:numPr>
          <w:ilvl w:val="0"/>
          <w:numId w:val="16"/>
        </w:numPr>
        <w:spacing w:before="160" w:line="240" w:lineRule="auto"/>
        <w:ind w:left="357" w:hanging="357"/>
        <w:rPr>
          <w:rFonts w:ascii="Arial" w:eastAsia="Calibri" w:hAnsi="Arial" w:cs="Arial"/>
        </w:rPr>
      </w:pPr>
      <w:r w:rsidRPr="00A12B00">
        <w:rPr>
          <w:rFonts w:ascii="Arial" w:eastAsia="Calibri" w:hAnsi="Arial" w:cs="Arial"/>
          <w:b/>
          <w:bCs/>
        </w:rPr>
        <w:t>Option 1</w:t>
      </w:r>
      <w:r w:rsidRPr="00A12B00">
        <w:rPr>
          <w:rFonts w:ascii="Arial" w:eastAsia="Calibri" w:hAnsi="Arial" w:cs="Arial"/>
        </w:rPr>
        <w:t>: Maintain the status quo, by taking no action to either amend or extent the existing Explosives Regulations and as such, allowing them to sunset in October 2024.</w:t>
      </w:r>
    </w:p>
    <w:p w14:paraId="2AB35406" w14:textId="77777777" w:rsidR="00A12B00" w:rsidRPr="00A12B00" w:rsidRDefault="00A12B00" w:rsidP="00A16B8A">
      <w:pPr>
        <w:numPr>
          <w:ilvl w:val="0"/>
          <w:numId w:val="16"/>
        </w:numPr>
        <w:spacing w:before="160" w:line="240" w:lineRule="auto"/>
        <w:rPr>
          <w:rFonts w:ascii="Arial" w:eastAsia="Calibri" w:hAnsi="Arial" w:cs="Arial"/>
        </w:rPr>
      </w:pPr>
      <w:r w:rsidRPr="00A12B00">
        <w:rPr>
          <w:rFonts w:ascii="Arial" w:eastAsia="Calibri" w:hAnsi="Arial" w:cs="Arial"/>
          <w:b/>
          <w:bCs/>
        </w:rPr>
        <w:t>Option 2</w:t>
      </w:r>
      <w:r w:rsidRPr="00A12B00">
        <w:rPr>
          <w:rFonts w:ascii="Arial" w:eastAsia="Calibri" w:hAnsi="Arial" w:cs="Arial"/>
        </w:rPr>
        <w:t xml:space="preserve">: Maintain the </w:t>
      </w:r>
      <w:r w:rsidRPr="00A12B00">
        <w:rPr>
          <w:rFonts w:ascii="Arial" w:eastAsia="Calibri" w:hAnsi="Arial" w:cs="Arial"/>
          <w:i/>
          <w:iCs/>
        </w:rPr>
        <w:t>Explosives Act 1961</w:t>
      </w:r>
      <w:r w:rsidRPr="00A12B00">
        <w:rPr>
          <w:rFonts w:ascii="Arial" w:eastAsia="Calibri" w:hAnsi="Arial" w:cs="Arial"/>
        </w:rPr>
        <w:t xml:space="preserve"> in its current form and amend the subsidiary regulations ahead of their sunset in October 2024. </w:t>
      </w:r>
    </w:p>
    <w:p w14:paraId="3CAB30D6" w14:textId="77777777" w:rsidR="00A12B00" w:rsidRPr="00A12B00" w:rsidRDefault="00A12B00" w:rsidP="00A16B8A">
      <w:pPr>
        <w:numPr>
          <w:ilvl w:val="0"/>
          <w:numId w:val="16"/>
        </w:numPr>
        <w:spacing w:before="160" w:line="240" w:lineRule="auto"/>
        <w:rPr>
          <w:rFonts w:ascii="Arial" w:eastAsia="Calibri" w:hAnsi="Arial" w:cs="Arial"/>
        </w:rPr>
      </w:pPr>
      <w:r w:rsidRPr="00A12B00">
        <w:rPr>
          <w:rFonts w:ascii="Arial" w:eastAsia="Calibri" w:hAnsi="Arial" w:cs="Arial"/>
          <w:b/>
          <w:bCs/>
        </w:rPr>
        <w:t>Option 3</w:t>
      </w:r>
      <w:r w:rsidRPr="00A12B00">
        <w:rPr>
          <w:rFonts w:ascii="Arial" w:eastAsia="Calibri" w:hAnsi="Arial" w:cs="Arial"/>
        </w:rPr>
        <w:t xml:space="preserve">: Establish a new regulatory regime, through substantial amendment to the </w:t>
      </w:r>
      <w:r w:rsidRPr="00A12B00">
        <w:rPr>
          <w:rFonts w:ascii="Arial" w:eastAsia="Calibri" w:hAnsi="Arial" w:cs="Arial"/>
          <w:i/>
          <w:iCs/>
        </w:rPr>
        <w:t>Explosives Act 1961</w:t>
      </w:r>
      <w:r w:rsidRPr="00A12B00">
        <w:rPr>
          <w:rFonts w:ascii="Arial" w:eastAsia="Calibri" w:hAnsi="Arial" w:cs="Arial"/>
        </w:rPr>
        <w:t xml:space="preserve">, the Explosives Regulations, and consequential amendments to other relevant legislation. </w:t>
      </w:r>
    </w:p>
    <w:p w14:paraId="0E7D6699" w14:textId="203B1CE7" w:rsidR="00A12B00" w:rsidRPr="00A12B00" w:rsidRDefault="00A12B00" w:rsidP="0077440F">
      <w:pPr>
        <w:spacing w:before="160" w:line="240" w:lineRule="auto"/>
        <w:rPr>
          <w:rFonts w:ascii="Arial" w:eastAsia="Calibri" w:hAnsi="Arial" w:cs="Arial"/>
        </w:rPr>
      </w:pPr>
      <w:r w:rsidRPr="00A12B00">
        <w:rPr>
          <w:rFonts w:ascii="Arial" w:eastAsia="Calibri" w:hAnsi="Arial" w:cs="Arial"/>
        </w:rPr>
        <w:t xml:space="preserve">Each of these options are discussed in greater detail in the following </w:t>
      </w:r>
      <w:r w:rsidR="004A0E85">
        <w:rPr>
          <w:rFonts w:ascii="Arial" w:eastAsia="Calibri" w:hAnsi="Arial" w:cs="Arial"/>
        </w:rPr>
        <w:t>sub-</w:t>
      </w:r>
      <w:r w:rsidRPr="00A12B00">
        <w:rPr>
          <w:rFonts w:ascii="Arial" w:eastAsia="Calibri" w:hAnsi="Arial" w:cs="Arial"/>
        </w:rPr>
        <w:t xml:space="preserve">sections. </w:t>
      </w:r>
      <w:r w:rsidR="000148A0">
        <w:rPr>
          <w:rFonts w:ascii="Arial" w:eastAsia="Calibri" w:hAnsi="Arial" w:cs="Arial"/>
        </w:rPr>
        <w:t xml:space="preserve">It should be noted that as policy discussions and decision-making progresses </w:t>
      </w:r>
      <w:r w:rsidR="0077440F">
        <w:rPr>
          <w:rFonts w:ascii="Arial" w:eastAsia="Calibri" w:hAnsi="Arial" w:cs="Arial"/>
        </w:rPr>
        <w:t xml:space="preserve">beyond </w:t>
      </w:r>
      <w:r w:rsidR="000148A0">
        <w:rPr>
          <w:rFonts w:ascii="Arial" w:eastAsia="Calibri" w:hAnsi="Arial" w:cs="Arial"/>
        </w:rPr>
        <w:t xml:space="preserve">the Early Assessment phase, greater specificity will be provided in relation to </w:t>
      </w:r>
      <w:r w:rsidR="0077440F">
        <w:rPr>
          <w:rFonts w:ascii="Arial" w:eastAsia="Calibri" w:hAnsi="Arial" w:cs="Arial"/>
        </w:rPr>
        <w:t>each</w:t>
      </w:r>
      <w:r w:rsidR="000148A0">
        <w:rPr>
          <w:rFonts w:ascii="Arial" w:eastAsia="Calibri" w:hAnsi="Arial" w:cs="Arial"/>
        </w:rPr>
        <w:t xml:space="preserve"> policy option under consideration, </w:t>
      </w:r>
      <w:r w:rsidR="0077440F">
        <w:rPr>
          <w:rFonts w:ascii="Arial" w:eastAsia="Calibri" w:hAnsi="Arial" w:cs="Arial"/>
        </w:rPr>
        <w:t xml:space="preserve">particularly for Option 3. </w:t>
      </w:r>
    </w:p>
    <w:p w14:paraId="7BD5C1C9" w14:textId="56E6ACF6" w:rsidR="00A12B00" w:rsidRPr="00A12B00" w:rsidRDefault="00F90240" w:rsidP="00F90240">
      <w:pPr>
        <w:keepNext/>
        <w:keepLines/>
        <w:spacing w:before="40" w:after="0" w:line="240" w:lineRule="auto"/>
        <w:outlineLvl w:val="1"/>
        <w:rPr>
          <w:rFonts w:ascii="Arial" w:eastAsia="Times New Roman" w:hAnsi="Arial" w:cs="Arial"/>
          <w:color w:val="B35E06"/>
          <w:sz w:val="26"/>
          <w:szCs w:val="26"/>
        </w:rPr>
      </w:pPr>
      <w:bookmarkStart w:id="53" w:name="_Toc101961120"/>
      <w:r>
        <w:rPr>
          <w:rFonts w:ascii="Arial" w:eastAsia="Times New Roman" w:hAnsi="Arial" w:cs="Arial"/>
          <w:color w:val="B35E06"/>
          <w:sz w:val="26"/>
          <w:szCs w:val="26"/>
        </w:rPr>
        <w:t xml:space="preserve">3.1 </w:t>
      </w:r>
      <w:r w:rsidR="00A12B00" w:rsidRPr="00A12B00">
        <w:rPr>
          <w:rFonts w:ascii="Arial" w:eastAsia="Times New Roman" w:hAnsi="Arial" w:cs="Arial"/>
          <w:color w:val="B35E06"/>
          <w:sz w:val="26"/>
          <w:szCs w:val="26"/>
        </w:rPr>
        <w:t>Option 1: Allow Regulations to Sunset (Status Quo)</w:t>
      </w:r>
      <w:bookmarkEnd w:id="53"/>
    </w:p>
    <w:p w14:paraId="527843CA" w14:textId="0BB1C3EF" w:rsidR="00A12B00" w:rsidRPr="00A12B00" w:rsidRDefault="00A12B00" w:rsidP="0077440F">
      <w:pPr>
        <w:spacing w:after="0" w:line="240" w:lineRule="auto"/>
        <w:rPr>
          <w:rFonts w:ascii="Arial" w:eastAsia="Calibri" w:hAnsi="Arial" w:cs="Arial"/>
        </w:rPr>
      </w:pPr>
      <w:r w:rsidRPr="00A12B00">
        <w:rPr>
          <w:rFonts w:ascii="Arial" w:eastAsia="Calibri" w:hAnsi="Arial" w:cs="Arial"/>
        </w:rPr>
        <w:t xml:space="preserve">Option 1 is the status quo option. Under </w:t>
      </w:r>
      <w:r w:rsidR="00EA09B9">
        <w:rPr>
          <w:rFonts w:ascii="Arial" w:eastAsia="Calibri" w:hAnsi="Arial" w:cs="Arial"/>
        </w:rPr>
        <w:t>Option 1</w:t>
      </w:r>
      <w:r w:rsidRPr="00A12B00">
        <w:rPr>
          <w:rFonts w:ascii="Arial" w:eastAsia="Calibri" w:hAnsi="Arial" w:cs="Arial"/>
        </w:rPr>
        <w:t xml:space="preserve">, no action would be taken to either amend or extend the operation of the existing Explosives Regulations, which are due to sunset in October 2024. As the Regulations’ </w:t>
      </w:r>
      <w:proofErr w:type="spellStart"/>
      <w:r w:rsidRPr="00A12B00">
        <w:rPr>
          <w:rFonts w:ascii="Arial" w:eastAsia="Calibri" w:hAnsi="Arial" w:cs="Arial"/>
        </w:rPr>
        <w:t>sunsetting</w:t>
      </w:r>
      <w:proofErr w:type="spellEnd"/>
      <w:r w:rsidRPr="00A12B00">
        <w:rPr>
          <w:rFonts w:ascii="Arial" w:eastAsia="Calibri" w:hAnsi="Arial" w:cs="Arial"/>
        </w:rPr>
        <w:t xml:space="preserve"> arrangements do not apply to the Explosives Act, this primary legislation would remain in force, albeit without support from the operation of the subsidiary regulations. </w:t>
      </w:r>
    </w:p>
    <w:p w14:paraId="6ACD7B51" w14:textId="77777777" w:rsidR="00A12B00" w:rsidRPr="00A12B00" w:rsidRDefault="00A12B00" w:rsidP="0077440F">
      <w:pPr>
        <w:spacing w:before="160" w:line="240" w:lineRule="auto"/>
        <w:rPr>
          <w:rFonts w:ascii="Arial" w:eastAsia="Calibri" w:hAnsi="Arial" w:cs="Arial"/>
        </w:rPr>
      </w:pPr>
      <w:r w:rsidRPr="00A12B00">
        <w:rPr>
          <w:rFonts w:ascii="Arial" w:eastAsia="Calibri" w:hAnsi="Arial" w:cs="Arial"/>
        </w:rPr>
        <w:t xml:space="preserve">Should the Regulations be allowed to sunset, the existing Commonwealth explosives regulatory framework would be affected in several ways, as set out in the table </w:t>
      </w:r>
      <w:proofErr w:type="gramStart"/>
      <w:r w:rsidRPr="00A12B00">
        <w:rPr>
          <w:rFonts w:ascii="Arial" w:eastAsia="Calibri" w:hAnsi="Arial" w:cs="Arial"/>
        </w:rPr>
        <w:t>below.</w:t>
      </w:r>
      <w:proofErr w:type="gramEnd"/>
      <w:r w:rsidRPr="00A12B00">
        <w:rPr>
          <w:rFonts w:ascii="Arial" w:eastAsia="Calibri" w:hAnsi="Arial" w:cs="Arial"/>
        </w:rPr>
        <w:t xml:space="preserve"> </w:t>
      </w:r>
    </w:p>
    <w:tbl>
      <w:tblPr>
        <w:tblStyle w:val="GridTable4-Accent11"/>
        <w:tblW w:w="0" w:type="auto"/>
        <w:tblLook w:val="04A0" w:firstRow="1" w:lastRow="0" w:firstColumn="1" w:lastColumn="0" w:noHBand="0" w:noVBand="1"/>
      </w:tblPr>
      <w:tblGrid>
        <w:gridCol w:w="2547"/>
        <w:gridCol w:w="6469"/>
      </w:tblGrid>
      <w:tr w:rsidR="00A12B00" w:rsidRPr="00A12B00" w14:paraId="6DD3203E" w14:textId="77777777" w:rsidTr="00A12B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800B195" w14:textId="77777777" w:rsidR="00A12B00" w:rsidRPr="00A12B00" w:rsidRDefault="00A12B00" w:rsidP="00A12B00">
            <w:pPr>
              <w:jc w:val="center"/>
              <w:rPr>
                <w:rFonts w:ascii="Arial" w:eastAsia="Calibri" w:hAnsi="Arial" w:cs="Arial"/>
              </w:rPr>
            </w:pPr>
            <w:r w:rsidRPr="00A12B00">
              <w:rPr>
                <w:rFonts w:ascii="Arial" w:eastAsia="Calibri" w:hAnsi="Arial" w:cs="Arial"/>
              </w:rPr>
              <w:t xml:space="preserve">Affected Legislation* </w:t>
            </w:r>
          </w:p>
        </w:tc>
        <w:tc>
          <w:tcPr>
            <w:tcW w:w="6469" w:type="dxa"/>
          </w:tcPr>
          <w:p w14:paraId="7DA99557" w14:textId="77777777" w:rsidR="00A12B00" w:rsidRPr="00A12B00" w:rsidRDefault="00A12B00" w:rsidP="00A12B00">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rPr>
            </w:pPr>
            <w:r w:rsidRPr="00A12B00">
              <w:rPr>
                <w:rFonts w:ascii="Arial" w:eastAsia="Calibri" w:hAnsi="Arial" w:cs="Arial"/>
              </w:rPr>
              <w:t>Implications</w:t>
            </w:r>
          </w:p>
        </w:tc>
      </w:tr>
      <w:tr w:rsidR="00A12B00" w:rsidRPr="00A12B00" w14:paraId="379BF5F6" w14:textId="77777777" w:rsidTr="00A12B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5788CB41" w14:textId="77777777" w:rsidR="00A12B00" w:rsidRPr="00A12B00" w:rsidRDefault="00A12B00" w:rsidP="00A12B00">
            <w:pPr>
              <w:jc w:val="center"/>
              <w:rPr>
                <w:rFonts w:ascii="Arial" w:eastAsia="Calibri" w:hAnsi="Arial" w:cs="Arial"/>
                <w:i/>
                <w:iCs/>
              </w:rPr>
            </w:pPr>
            <w:r w:rsidRPr="00A12B00">
              <w:rPr>
                <w:rFonts w:ascii="Arial" w:eastAsia="Calibri" w:hAnsi="Arial" w:cs="Arial"/>
                <w:i/>
                <w:iCs/>
              </w:rPr>
              <w:t>Explosives Act 1961</w:t>
            </w:r>
          </w:p>
          <w:p w14:paraId="35EA69A3" w14:textId="77777777" w:rsidR="00A12B00" w:rsidRPr="004A0E85" w:rsidRDefault="00A12B00" w:rsidP="00A12B00">
            <w:pPr>
              <w:jc w:val="center"/>
              <w:rPr>
                <w:rFonts w:ascii="Arial" w:eastAsia="Calibri" w:hAnsi="Arial" w:cs="Arial"/>
                <w:b w:val="0"/>
                <w:bCs w:val="0"/>
              </w:rPr>
            </w:pPr>
            <w:r w:rsidRPr="004A0E85">
              <w:rPr>
                <w:rFonts w:ascii="Arial" w:eastAsia="Calibri" w:hAnsi="Arial" w:cs="Arial"/>
                <w:b w:val="0"/>
                <w:bCs w:val="0"/>
              </w:rPr>
              <w:t>S 5 – Interpretation</w:t>
            </w:r>
          </w:p>
        </w:tc>
        <w:tc>
          <w:tcPr>
            <w:tcW w:w="6469" w:type="dxa"/>
          </w:tcPr>
          <w:p w14:paraId="7CE350B4" w14:textId="77777777" w:rsidR="00A12B00" w:rsidRPr="00A12B00" w:rsidRDefault="00A12B00" w:rsidP="00A12B00">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A12B00">
              <w:rPr>
                <w:rFonts w:ascii="Arial" w:eastAsia="Calibri" w:hAnsi="Arial" w:cs="Arial"/>
              </w:rPr>
              <w:t>No regulations would be in place to specify those substances or articles considered ‘explosives’ for the purpose of the Commonwealth explosives regulatory framework.</w:t>
            </w:r>
          </w:p>
        </w:tc>
      </w:tr>
      <w:tr w:rsidR="00A12B00" w:rsidRPr="00A12B00" w14:paraId="48443164" w14:textId="77777777" w:rsidTr="00FD7A5B">
        <w:tc>
          <w:tcPr>
            <w:cnfStyle w:val="001000000000" w:firstRow="0" w:lastRow="0" w:firstColumn="1" w:lastColumn="0" w:oddVBand="0" w:evenVBand="0" w:oddHBand="0" w:evenHBand="0" w:firstRowFirstColumn="0" w:firstRowLastColumn="0" w:lastRowFirstColumn="0" w:lastRowLastColumn="0"/>
            <w:tcW w:w="2547" w:type="dxa"/>
            <w:vAlign w:val="center"/>
          </w:tcPr>
          <w:p w14:paraId="7537BFD9" w14:textId="77777777" w:rsidR="00A12B00" w:rsidRPr="00A12B00" w:rsidRDefault="00A12B00" w:rsidP="00A12B00">
            <w:pPr>
              <w:jc w:val="center"/>
              <w:rPr>
                <w:rFonts w:ascii="Arial" w:eastAsia="Calibri" w:hAnsi="Arial" w:cs="Arial"/>
                <w:i/>
                <w:iCs/>
              </w:rPr>
            </w:pPr>
            <w:r w:rsidRPr="00A12B00">
              <w:rPr>
                <w:rFonts w:ascii="Arial" w:eastAsia="Calibri" w:hAnsi="Arial" w:cs="Arial"/>
                <w:i/>
                <w:iCs/>
              </w:rPr>
              <w:t>Explosives Act 1961</w:t>
            </w:r>
          </w:p>
          <w:p w14:paraId="76C7CDBB" w14:textId="77777777" w:rsidR="00A12B00" w:rsidRPr="004A0E85" w:rsidRDefault="00A12B00" w:rsidP="00A12B00">
            <w:pPr>
              <w:jc w:val="center"/>
              <w:rPr>
                <w:rFonts w:ascii="Arial" w:eastAsia="Calibri" w:hAnsi="Arial" w:cs="Arial"/>
                <w:b w:val="0"/>
                <w:bCs w:val="0"/>
              </w:rPr>
            </w:pPr>
            <w:r w:rsidRPr="004A0E85">
              <w:rPr>
                <w:rFonts w:ascii="Arial" w:eastAsia="Calibri" w:hAnsi="Arial" w:cs="Arial"/>
                <w:b w:val="0"/>
                <w:bCs w:val="0"/>
              </w:rPr>
              <w:t>Part II – Handling of Explosives</w:t>
            </w:r>
          </w:p>
        </w:tc>
        <w:tc>
          <w:tcPr>
            <w:tcW w:w="6469" w:type="dxa"/>
          </w:tcPr>
          <w:p w14:paraId="6A2C8055" w14:textId="77777777" w:rsidR="00A12B00" w:rsidRPr="00A12B00" w:rsidRDefault="00A12B00" w:rsidP="00A12B00">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A12B00">
              <w:rPr>
                <w:rFonts w:ascii="Arial" w:eastAsia="Calibri" w:hAnsi="Arial" w:cs="Arial"/>
              </w:rPr>
              <w:t>The provisions contained in Part II would not be operationalised, including regulations pertaining to the making of orders and powers related to the handling of explosives, relevant safety measures, the berthing of vessels and the transport of explosives by rail.</w:t>
            </w:r>
          </w:p>
        </w:tc>
      </w:tr>
      <w:tr w:rsidR="00A12B00" w:rsidRPr="00A12B00" w14:paraId="2FBD4227" w14:textId="77777777" w:rsidTr="00A12B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B27B479" w14:textId="77777777" w:rsidR="00A12B00" w:rsidRPr="00A12B00" w:rsidRDefault="00A12B00" w:rsidP="00A12B00">
            <w:pPr>
              <w:jc w:val="center"/>
              <w:rPr>
                <w:rFonts w:ascii="Arial" w:eastAsia="Calibri" w:hAnsi="Arial" w:cs="Arial"/>
                <w:i/>
                <w:iCs/>
              </w:rPr>
            </w:pPr>
            <w:r w:rsidRPr="00A12B00">
              <w:rPr>
                <w:rFonts w:ascii="Arial" w:eastAsia="Calibri" w:hAnsi="Arial" w:cs="Arial"/>
                <w:i/>
                <w:iCs/>
              </w:rPr>
              <w:t>Explosives Act 1961</w:t>
            </w:r>
          </w:p>
          <w:p w14:paraId="3D437C6B" w14:textId="77777777" w:rsidR="00A12B00" w:rsidRPr="004A0E85" w:rsidRDefault="00A12B00" w:rsidP="00A12B00">
            <w:pPr>
              <w:jc w:val="center"/>
              <w:rPr>
                <w:rFonts w:ascii="Arial" w:eastAsia="Calibri" w:hAnsi="Arial" w:cs="Arial"/>
                <w:b w:val="0"/>
                <w:bCs w:val="0"/>
              </w:rPr>
            </w:pPr>
            <w:r w:rsidRPr="004A0E85">
              <w:rPr>
                <w:rFonts w:ascii="Arial" w:eastAsia="Calibri" w:hAnsi="Arial" w:cs="Arial"/>
                <w:b w:val="0"/>
                <w:bCs w:val="0"/>
              </w:rPr>
              <w:t>Part III – Control of Commonwealth Explosives Areas</w:t>
            </w:r>
          </w:p>
        </w:tc>
        <w:tc>
          <w:tcPr>
            <w:tcW w:w="6469" w:type="dxa"/>
            <w:vAlign w:val="center"/>
          </w:tcPr>
          <w:p w14:paraId="6108F574" w14:textId="77777777" w:rsidR="00A12B00" w:rsidRPr="00A12B00" w:rsidRDefault="00A12B00" w:rsidP="00A12B00">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r w:rsidRPr="00A12B00">
              <w:rPr>
                <w:rFonts w:ascii="Arial" w:eastAsia="Calibri" w:hAnsi="Arial" w:cs="Arial"/>
              </w:rPr>
              <w:t xml:space="preserve">No regulations would be in place to declare specific locations as ‘Commonwealth explosives areas’, as contemplated by Part III of the Act. </w:t>
            </w:r>
          </w:p>
        </w:tc>
      </w:tr>
      <w:tr w:rsidR="00A12B00" w:rsidRPr="00A12B00" w14:paraId="2B962114" w14:textId="77777777" w:rsidTr="00FD7A5B">
        <w:tc>
          <w:tcPr>
            <w:cnfStyle w:val="001000000000" w:firstRow="0" w:lastRow="0" w:firstColumn="1" w:lastColumn="0" w:oddVBand="0" w:evenVBand="0" w:oddHBand="0" w:evenHBand="0" w:firstRowFirstColumn="0" w:firstRowLastColumn="0" w:lastRowFirstColumn="0" w:lastRowLastColumn="0"/>
            <w:tcW w:w="2547" w:type="dxa"/>
            <w:vAlign w:val="center"/>
          </w:tcPr>
          <w:p w14:paraId="0A9F91EF" w14:textId="77777777" w:rsidR="00A12B00" w:rsidRPr="00A12B00" w:rsidRDefault="00A12B00" w:rsidP="00A12B00">
            <w:pPr>
              <w:jc w:val="center"/>
              <w:rPr>
                <w:rFonts w:ascii="Arial" w:eastAsia="Calibri" w:hAnsi="Arial" w:cs="Arial"/>
                <w:i/>
                <w:iCs/>
              </w:rPr>
            </w:pPr>
            <w:r w:rsidRPr="00A12B00">
              <w:rPr>
                <w:rFonts w:ascii="Arial" w:eastAsia="Calibri" w:hAnsi="Arial" w:cs="Arial"/>
                <w:i/>
                <w:iCs/>
              </w:rPr>
              <w:t>Explosives Act 1961</w:t>
            </w:r>
          </w:p>
          <w:p w14:paraId="26AE4768" w14:textId="77777777" w:rsidR="00A12B00" w:rsidRPr="004A0E85" w:rsidRDefault="00A12B00" w:rsidP="00A12B00">
            <w:pPr>
              <w:jc w:val="center"/>
              <w:rPr>
                <w:rFonts w:ascii="Arial" w:eastAsia="Calibri" w:hAnsi="Arial" w:cs="Arial"/>
                <w:b w:val="0"/>
                <w:bCs w:val="0"/>
              </w:rPr>
            </w:pPr>
            <w:r w:rsidRPr="004A0E85">
              <w:rPr>
                <w:rFonts w:ascii="Arial" w:eastAsia="Calibri" w:hAnsi="Arial" w:cs="Arial"/>
                <w:b w:val="0"/>
                <w:bCs w:val="0"/>
              </w:rPr>
              <w:t>S 20 – Offences</w:t>
            </w:r>
          </w:p>
        </w:tc>
        <w:tc>
          <w:tcPr>
            <w:tcW w:w="6469" w:type="dxa"/>
          </w:tcPr>
          <w:p w14:paraId="06F6227F" w14:textId="77777777" w:rsidR="00A12B00" w:rsidRPr="00A12B00" w:rsidRDefault="00A12B00" w:rsidP="00A12B00">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r w:rsidRPr="00A12B00">
              <w:rPr>
                <w:rFonts w:ascii="Arial" w:eastAsia="Calibri" w:hAnsi="Arial" w:cs="Arial"/>
              </w:rPr>
              <w:t xml:space="preserve">As the offence provisions set out in s 20 impose offences for contraventions of subsidiary legislation, these provisions would be rendered unenforceable as no regulations would be in force to stipulate the circumstances in which such offence provisions will apply. </w:t>
            </w:r>
          </w:p>
        </w:tc>
      </w:tr>
    </w:tbl>
    <w:p w14:paraId="397FC5EC" w14:textId="34C3B339" w:rsidR="00A12B00" w:rsidRPr="00A12B00" w:rsidRDefault="00A12B00" w:rsidP="001C2288">
      <w:pPr>
        <w:spacing w:line="240" w:lineRule="auto"/>
        <w:rPr>
          <w:rFonts w:ascii="Arial" w:eastAsia="Calibri" w:hAnsi="Arial" w:cs="Arial"/>
        </w:rPr>
      </w:pPr>
      <w:r w:rsidRPr="00A12B00">
        <w:rPr>
          <w:rFonts w:ascii="Arial" w:eastAsia="Calibri" w:hAnsi="Arial" w:cs="Arial"/>
          <w:b/>
          <w:bCs/>
          <w:sz w:val="16"/>
          <w:szCs w:val="16"/>
        </w:rPr>
        <w:t>*’Affected Legislation’</w:t>
      </w:r>
      <w:r w:rsidRPr="00A12B00">
        <w:rPr>
          <w:rFonts w:ascii="Arial" w:eastAsia="Calibri" w:hAnsi="Arial" w:cs="Arial"/>
          <w:sz w:val="16"/>
          <w:szCs w:val="16"/>
        </w:rPr>
        <w:t xml:space="preserve"> refers to the sections contained within the Explosives Act which are reliant on regulations to be</w:t>
      </w:r>
      <w:r w:rsidR="001C2288">
        <w:rPr>
          <w:rFonts w:ascii="Arial" w:eastAsia="Calibri" w:hAnsi="Arial" w:cs="Arial"/>
          <w:sz w:val="16"/>
          <w:szCs w:val="16"/>
        </w:rPr>
        <w:t xml:space="preserve"> </w:t>
      </w:r>
      <w:r w:rsidRPr="00A12B00">
        <w:rPr>
          <w:rFonts w:ascii="Arial" w:eastAsia="Calibri" w:hAnsi="Arial" w:cs="Arial"/>
          <w:sz w:val="16"/>
          <w:szCs w:val="16"/>
        </w:rPr>
        <w:t>operationalised</w:t>
      </w:r>
      <w:r w:rsidRPr="00A12B00">
        <w:rPr>
          <w:rFonts w:ascii="Arial" w:eastAsia="Calibri" w:hAnsi="Arial" w:cs="Arial"/>
        </w:rPr>
        <w:t xml:space="preserve">. </w:t>
      </w:r>
    </w:p>
    <w:p w14:paraId="75D8B769" w14:textId="5EBE2F6D" w:rsidR="00A12B00" w:rsidRPr="00A12B00" w:rsidRDefault="00A12B00" w:rsidP="001C2288">
      <w:pPr>
        <w:spacing w:line="240" w:lineRule="auto"/>
        <w:rPr>
          <w:rFonts w:ascii="Arial" w:eastAsia="Calibri" w:hAnsi="Arial" w:cs="Arial"/>
        </w:rPr>
      </w:pPr>
      <w:r w:rsidRPr="00A12B00">
        <w:rPr>
          <w:rFonts w:ascii="Arial" w:eastAsia="Calibri" w:hAnsi="Arial" w:cs="Arial"/>
        </w:rPr>
        <w:t xml:space="preserve">Option 1 has been included in this RIS as a baseline ‘non-regulatory’ option against which the likely net benefit of Options </w:t>
      </w:r>
      <w:r w:rsidR="007B7FEF">
        <w:rPr>
          <w:rFonts w:ascii="Arial" w:eastAsia="Calibri" w:hAnsi="Arial" w:cs="Arial"/>
        </w:rPr>
        <w:t>2</w:t>
      </w:r>
      <w:r w:rsidRPr="00A12B00">
        <w:rPr>
          <w:rFonts w:ascii="Arial" w:eastAsia="Calibri" w:hAnsi="Arial" w:cs="Arial"/>
        </w:rPr>
        <w:t xml:space="preserve"> and </w:t>
      </w:r>
      <w:r w:rsidR="007B7FEF">
        <w:rPr>
          <w:rFonts w:ascii="Arial" w:eastAsia="Calibri" w:hAnsi="Arial" w:cs="Arial"/>
        </w:rPr>
        <w:t>3</w:t>
      </w:r>
      <w:r w:rsidRPr="00A12B00">
        <w:rPr>
          <w:rFonts w:ascii="Arial" w:eastAsia="Calibri" w:hAnsi="Arial" w:cs="Arial"/>
        </w:rPr>
        <w:t xml:space="preserve"> can be measured.  </w:t>
      </w:r>
    </w:p>
    <w:p w14:paraId="16013EB1" w14:textId="77777777" w:rsidR="00A12B00" w:rsidRPr="00A12B00" w:rsidRDefault="00A12B00" w:rsidP="001C2288">
      <w:pPr>
        <w:keepNext/>
        <w:keepLines/>
        <w:spacing w:before="40" w:after="0" w:line="240" w:lineRule="auto"/>
        <w:outlineLvl w:val="1"/>
        <w:rPr>
          <w:rFonts w:ascii="Arial" w:eastAsia="Times New Roman" w:hAnsi="Arial" w:cs="Arial"/>
          <w:color w:val="B35E06"/>
          <w:sz w:val="26"/>
          <w:szCs w:val="26"/>
        </w:rPr>
      </w:pPr>
      <w:bookmarkStart w:id="54" w:name="_Toc101961121"/>
      <w:r w:rsidRPr="00A12B00">
        <w:rPr>
          <w:rFonts w:ascii="Arial" w:eastAsia="Times New Roman" w:hAnsi="Arial" w:cs="Arial"/>
          <w:color w:val="B35E06"/>
          <w:sz w:val="26"/>
          <w:szCs w:val="26"/>
        </w:rPr>
        <w:t>3.2 Maintain Explosives Act and Amend Subsidiary Legislation</w:t>
      </w:r>
      <w:bookmarkEnd w:id="54"/>
      <w:r w:rsidRPr="00A12B00">
        <w:rPr>
          <w:rFonts w:ascii="Arial" w:eastAsia="Times New Roman" w:hAnsi="Arial" w:cs="Arial"/>
          <w:color w:val="B35E06"/>
          <w:sz w:val="26"/>
          <w:szCs w:val="26"/>
        </w:rPr>
        <w:t xml:space="preserve"> </w:t>
      </w:r>
    </w:p>
    <w:p w14:paraId="6FC4E5CA" w14:textId="623899F7" w:rsidR="00961EDE" w:rsidRDefault="00A12B00" w:rsidP="00961EDE">
      <w:pPr>
        <w:spacing w:line="240" w:lineRule="auto"/>
        <w:rPr>
          <w:rFonts w:ascii="Arial" w:eastAsia="Calibri" w:hAnsi="Arial" w:cs="Arial"/>
        </w:rPr>
      </w:pPr>
      <w:r w:rsidRPr="00A12B00">
        <w:rPr>
          <w:rFonts w:ascii="Arial" w:eastAsia="Calibri" w:hAnsi="Arial" w:cs="Arial"/>
        </w:rPr>
        <w:t>Option 2 involves retaining the</w:t>
      </w:r>
      <w:r w:rsidR="00FB024F">
        <w:rPr>
          <w:rFonts w:ascii="Arial" w:eastAsia="Calibri" w:hAnsi="Arial" w:cs="Arial"/>
          <w:i/>
          <w:iCs/>
        </w:rPr>
        <w:t xml:space="preserve"> </w:t>
      </w:r>
      <w:r w:rsidR="00FB024F">
        <w:rPr>
          <w:rFonts w:ascii="Arial" w:eastAsia="Calibri" w:hAnsi="Arial" w:cs="Arial"/>
        </w:rPr>
        <w:t>Explosives Act</w:t>
      </w:r>
      <w:r w:rsidR="008E3888">
        <w:rPr>
          <w:rFonts w:ascii="Arial" w:eastAsia="Calibri" w:hAnsi="Arial" w:cs="Arial"/>
        </w:rPr>
        <w:t>, in its current form,</w:t>
      </w:r>
      <w:r w:rsidRPr="00A12B00">
        <w:rPr>
          <w:rFonts w:ascii="Arial" w:eastAsia="Calibri" w:hAnsi="Arial" w:cs="Arial"/>
        </w:rPr>
        <w:t xml:space="preserve"> as the </w:t>
      </w:r>
      <w:r w:rsidR="00FB024F" w:rsidRPr="00A12B00">
        <w:rPr>
          <w:rFonts w:ascii="Arial" w:eastAsia="Calibri" w:hAnsi="Arial" w:cs="Arial"/>
        </w:rPr>
        <w:t>pr</w:t>
      </w:r>
      <w:r w:rsidR="00FB024F">
        <w:rPr>
          <w:rFonts w:ascii="Arial" w:eastAsia="Calibri" w:hAnsi="Arial" w:cs="Arial"/>
        </w:rPr>
        <w:t>incipal l</w:t>
      </w:r>
      <w:r w:rsidRPr="00A12B00">
        <w:rPr>
          <w:rFonts w:ascii="Arial" w:eastAsia="Calibri" w:hAnsi="Arial" w:cs="Arial"/>
        </w:rPr>
        <w:t>egislation establishing the existing regulatory framework</w:t>
      </w:r>
      <w:r w:rsidR="008E3888">
        <w:rPr>
          <w:rFonts w:ascii="Arial" w:eastAsia="Calibri" w:hAnsi="Arial" w:cs="Arial"/>
        </w:rPr>
        <w:t xml:space="preserve">. </w:t>
      </w:r>
      <w:r w:rsidR="00D754B5">
        <w:rPr>
          <w:rFonts w:ascii="Arial" w:eastAsia="Calibri" w:hAnsi="Arial" w:cs="Arial"/>
        </w:rPr>
        <w:t xml:space="preserve">The </w:t>
      </w:r>
      <w:r w:rsidR="00FB024F">
        <w:rPr>
          <w:rFonts w:ascii="Arial" w:eastAsia="Calibri" w:hAnsi="Arial" w:cs="Arial"/>
        </w:rPr>
        <w:t xml:space="preserve">subsidiary </w:t>
      </w:r>
      <w:r w:rsidR="00D754B5">
        <w:rPr>
          <w:rFonts w:ascii="Arial" w:eastAsia="Calibri" w:hAnsi="Arial" w:cs="Arial"/>
        </w:rPr>
        <w:t>Transport and Areas Regulations would be amended</w:t>
      </w:r>
      <w:r w:rsidR="00FB024F">
        <w:rPr>
          <w:rFonts w:ascii="Arial" w:eastAsia="Calibri" w:hAnsi="Arial" w:cs="Arial"/>
        </w:rPr>
        <w:t xml:space="preserve">, to the extent possible with the principal Explosives Act remaining unamended. </w:t>
      </w:r>
      <w:r w:rsidR="00961EDE">
        <w:rPr>
          <w:rFonts w:ascii="Arial" w:eastAsia="Calibri" w:hAnsi="Arial" w:cs="Arial"/>
        </w:rPr>
        <w:t>As such, p</w:t>
      </w:r>
      <w:r w:rsidR="00430425">
        <w:rPr>
          <w:rFonts w:ascii="Arial" w:eastAsia="Calibri" w:hAnsi="Arial" w:cs="Arial"/>
        </w:rPr>
        <w:t xml:space="preserve">roposed amendments </w:t>
      </w:r>
      <w:r w:rsidR="00585C38">
        <w:rPr>
          <w:rFonts w:ascii="Arial" w:eastAsia="Calibri" w:hAnsi="Arial" w:cs="Arial"/>
        </w:rPr>
        <w:t xml:space="preserve">must be </w:t>
      </w:r>
      <w:r w:rsidR="00430425">
        <w:rPr>
          <w:rFonts w:ascii="Arial" w:eastAsia="Calibri" w:hAnsi="Arial" w:cs="Arial"/>
        </w:rPr>
        <w:t xml:space="preserve">in keeping with the </w:t>
      </w:r>
      <w:r w:rsidR="00786992">
        <w:rPr>
          <w:rFonts w:ascii="Arial" w:eastAsia="Calibri" w:hAnsi="Arial" w:cs="Arial"/>
        </w:rPr>
        <w:t xml:space="preserve">current </w:t>
      </w:r>
      <w:r w:rsidR="00786992">
        <w:rPr>
          <w:rFonts w:ascii="Arial" w:eastAsia="Calibri" w:hAnsi="Arial" w:cs="Arial"/>
        </w:rPr>
        <w:lastRenderedPageBreak/>
        <w:t>regulations</w:t>
      </w:r>
      <w:r w:rsidR="008F19E3">
        <w:rPr>
          <w:rFonts w:ascii="Arial" w:eastAsia="Calibri" w:hAnsi="Arial" w:cs="Arial"/>
        </w:rPr>
        <w:t>’</w:t>
      </w:r>
      <w:r w:rsidR="00786992">
        <w:rPr>
          <w:rFonts w:ascii="Arial" w:eastAsia="Calibri" w:hAnsi="Arial" w:cs="Arial"/>
        </w:rPr>
        <w:t xml:space="preserve"> focus on transport by road and rail</w:t>
      </w:r>
      <w:r w:rsidR="00323D8A">
        <w:rPr>
          <w:rFonts w:ascii="Arial" w:eastAsia="Calibri" w:hAnsi="Arial" w:cs="Arial"/>
        </w:rPr>
        <w:t xml:space="preserve"> (the Transport Regulations)</w:t>
      </w:r>
      <w:r w:rsidR="00786992">
        <w:rPr>
          <w:rFonts w:ascii="Arial" w:eastAsia="Calibri" w:hAnsi="Arial" w:cs="Arial"/>
        </w:rPr>
        <w:t xml:space="preserve">, and the </w:t>
      </w:r>
      <w:r w:rsidR="008F19E3">
        <w:rPr>
          <w:rFonts w:ascii="Arial" w:eastAsia="Calibri" w:hAnsi="Arial" w:cs="Arial"/>
        </w:rPr>
        <w:t>declaration of Commonwealth Explosives Areas (CEAs)</w:t>
      </w:r>
      <w:r w:rsidR="00323D8A">
        <w:rPr>
          <w:rFonts w:ascii="Arial" w:eastAsia="Calibri" w:hAnsi="Arial" w:cs="Arial"/>
        </w:rPr>
        <w:t xml:space="preserve"> (the Areas Regulations)</w:t>
      </w:r>
      <w:r w:rsidR="00430425">
        <w:rPr>
          <w:rFonts w:ascii="Arial" w:eastAsia="Calibri" w:hAnsi="Arial" w:cs="Arial"/>
        </w:rPr>
        <w:t xml:space="preserve">. </w:t>
      </w:r>
      <w:r w:rsidR="00072281">
        <w:rPr>
          <w:rFonts w:ascii="Arial" w:eastAsia="Calibri" w:hAnsi="Arial" w:cs="Arial"/>
        </w:rPr>
        <w:t xml:space="preserve">This approach would </w:t>
      </w:r>
      <w:r w:rsidR="006621E9">
        <w:rPr>
          <w:rFonts w:ascii="Arial" w:eastAsia="Calibri" w:hAnsi="Arial" w:cs="Arial"/>
        </w:rPr>
        <w:t>create limitations in achieving the objectives set out above in 2.2</w:t>
      </w:r>
      <w:r w:rsidR="00A32789">
        <w:rPr>
          <w:rFonts w:ascii="Arial" w:eastAsia="Calibri" w:hAnsi="Arial" w:cs="Arial"/>
        </w:rPr>
        <w:t xml:space="preserve"> as this option does not support amendment of the principal act, which is required to create an </w:t>
      </w:r>
      <w:r w:rsidR="00A32789" w:rsidRPr="00A32789">
        <w:rPr>
          <w:rFonts w:ascii="Arial" w:eastAsia="Calibri" w:hAnsi="Arial" w:cs="Arial"/>
        </w:rPr>
        <w:t xml:space="preserve">explosives regulatory regime with modern, enduring mechanisms for accommodating Australia’s strategic needs and responding to evolving risks, and </w:t>
      </w:r>
      <w:r w:rsidR="00A32789">
        <w:rPr>
          <w:rFonts w:ascii="Arial" w:eastAsia="Calibri" w:hAnsi="Arial" w:cs="Arial"/>
        </w:rPr>
        <w:t xml:space="preserve">to </w:t>
      </w:r>
      <w:r w:rsidR="00A32789" w:rsidRPr="00A32789">
        <w:rPr>
          <w:rFonts w:ascii="Arial" w:eastAsia="Calibri" w:hAnsi="Arial" w:cs="Arial"/>
        </w:rPr>
        <w:t>meaningfully improve safety conditions</w:t>
      </w:r>
      <w:r w:rsidR="00A32789">
        <w:rPr>
          <w:rFonts w:ascii="Arial" w:eastAsia="Calibri" w:hAnsi="Arial" w:cs="Arial"/>
        </w:rPr>
        <w:t xml:space="preserve">. </w:t>
      </w:r>
    </w:p>
    <w:p w14:paraId="4FD44F36" w14:textId="4516AD29" w:rsidR="00961EDE" w:rsidRDefault="00961EDE" w:rsidP="00961EDE">
      <w:pPr>
        <w:spacing w:line="240" w:lineRule="auto"/>
        <w:rPr>
          <w:rFonts w:ascii="Arial" w:eastAsia="Calibri" w:hAnsi="Arial" w:cs="Arial"/>
        </w:rPr>
      </w:pPr>
      <w:r>
        <w:rPr>
          <w:rFonts w:ascii="Arial" w:eastAsia="Calibri" w:hAnsi="Arial" w:cs="Arial"/>
        </w:rPr>
        <w:t xml:space="preserve">Without amending the principal act, the following </w:t>
      </w:r>
      <w:r w:rsidR="00DF2A3B">
        <w:rPr>
          <w:rFonts w:ascii="Arial" w:eastAsia="Calibri" w:hAnsi="Arial" w:cs="Arial"/>
        </w:rPr>
        <w:t xml:space="preserve">changes may occur within the Transport and Areas Regulations: </w:t>
      </w:r>
    </w:p>
    <w:p w14:paraId="11FDE453" w14:textId="00855E85" w:rsidR="00DF2A3B" w:rsidRDefault="00DF2A3B" w:rsidP="00A16B8A">
      <w:pPr>
        <w:pStyle w:val="ListParagraph"/>
        <w:numPr>
          <w:ilvl w:val="0"/>
          <w:numId w:val="25"/>
        </w:numPr>
        <w:spacing w:line="240" w:lineRule="auto"/>
        <w:rPr>
          <w:rFonts w:ascii="Arial" w:eastAsia="Calibri" w:hAnsi="Arial" w:cs="Arial"/>
        </w:rPr>
      </w:pPr>
      <w:r>
        <w:rPr>
          <w:rFonts w:ascii="Arial" w:eastAsia="Calibri" w:hAnsi="Arial" w:cs="Arial"/>
        </w:rPr>
        <w:t>Procedural</w:t>
      </w:r>
      <w:r w:rsidR="00C33BB6">
        <w:rPr>
          <w:rFonts w:ascii="Arial" w:eastAsia="Calibri" w:hAnsi="Arial" w:cs="Arial"/>
        </w:rPr>
        <w:t>, efficiency</w:t>
      </w:r>
      <w:r>
        <w:rPr>
          <w:rFonts w:ascii="Arial" w:eastAsia="Calibri" w:hAnsi="Arial" w:cs="Arial"/>
        </w:rPr>
        <w:t xml:space="preserve"> improvements to the processes involved in the classification of </w:t>
      </w:r>
      <w:r w:rsidR="00C33BB6">
        <w:rPr>
          <w:rFonts w:ascii="Arial" w:eastAsia="Calibri" w:hAnsi="Arial" w:cs="Arial"/>
        </w:rPr>
        <w:t xml:space="preserve">Commonwealth explosives; </w:t>
      </w:r>
    </w:p>
    <w:p w14:paraId="1787B5D0" w14:textId="321FB17E" w:rsidR="00C33BB6" w:rsidRDefault="00C33BB6" w:rsidP="00A16B8A">
      <w:pPr>
        <w:pStyle w:val="ListParagraph"/>
        <w:numPr>
          <w:ilvl w:val="0"/>
          <w:numId w:val="25"/>
        </w:numPr>
        <w:spacing w:line="240" w:lineRule="auto"/>
        <w:rPr>
          <w:rFonts w:ascii="Arial" w:eastAsia="Calibri" w:hAnsi="Arial" w:cs="Arial"/>
        </w:rPr>
      </w:pPr>
      <w:r>
        <w:rPr>
          <w:rFonts w:ascii="Arial" w:eastAsia="Calibri" w:hAnsi="Arial" w:cs="Arial"/>
        </w:rPr>
        <w:t xml:space="preserve">Procedural, efficiency improvements to </w:t>
      </w:r>
      <w:r w:rsidR="000E4F83">
        <w:rPr>
          <w:rFonts w:ascii="Arial" w:eastAsia="Calibri" w:hAnsi="Arial" w:cs="Arial"/>
        </w:rPr>
        <w:t xml:space="preserve">the awarding of exemptions for the transportation of Commonwealth explosives; and </w:t>
      </w:r>
    </w:p>
    <w:p w14:paraId="04E90E63" w14:textId="0D7A0E47" w:rsidR="000E4F83" w:rsidRPr="00DF2A3B" w:rsidRDefault="000E4F83" w:rsidP="00A16B8A">
      <w:pPr>
        <w:pStyle w:val="ListParagraph"/>
        <w:numPr>
          <w:ilvl w:val="0"/>
          <w:numId w:val="25"/>
        </w:numPr>
        <w:spacing w:line="240" w:lineRule="auto"/>
        <w:rPr>
          <w:rFonts w:ascii="Arial" w:eastAsia="Calibri" w:hAnsi="Arial" w:cs="Arial"/>
        </w:rPr>
      </w:pPr>
      <w:r>
        <w:rPr>
          <w:rFonts w:ascii="Arial" w:eastAsia="Calibri" w:hAnsi="Arial" w:cs="Arial"/>
        </w:rPr>
        <w:t xml:space="preserve">The prescription of additional areas as Commonwealth Explosives Areas, to enliven the </w:t>
      </w:r>
      <w:r w:rsidR="00656ACF">
        <w:rPr>
          <w:rFonts w:ascii="Arial" w:eastAsia="Calibri" w:hAnsi="Arial" w:cs="Arial"/>
        </w:rPr>
        <w:t xml:space="preserve">administration and management regulations, as well as the offence provisions set out in the Areas Regulations. </w:t>
      </w:r>
    </w:p>
    <w:p w14:paraId="68E420ED" w14:textId="29F5AA8C" w:rsidR="00961EDE" w:rsidRDefault="00F615F4" w:rsidP="00961EDE">
      <w:pPr>
        <w:spacing w:line="240" w:lineRule="auto"/>
        <w:rPr>
          <w:rFonts w:ascii="Arial" w:eastAsia="Calibri" w:hAnsi="Arial" w:cs="Arial"/>
        </w:rPr>
      </w:pPr>
      <w:r>
        <w:rPr>
          <w:rFonts w:ascii="Arial" w:eastAsia="Calibri" w:hAnsi="Arial" w:cs="Arial"/>
        </w:rPr>
        <w:t>The following changes c</w:t>
      </w:r>
      <w:r w:rsidR="000565EF">
        <w:rPr>
          <w:rFonts w:ascii="Arial" w:eastAsia="Calibri" w:hAnsi="Arial" w:cs="Arial"/>
        </w:rPr>
        <w:t>an</w:t>
      </w:r>
      <w:r>
        <w:rPr>
          <w:rFonts w:ascii="Arial" w:eastAsia="Calibri" w:hAnsi="Arial" w:cs="Arial"/>
        </w:rPr>
        <w:t xml:space="preserve">not be achieved through amendment to the subsidiary Transport and Areas Regulations, without amendment to </w:t>
      </w:r>
      <w:r w:rsidR="000565EF">
        <w:rPr>
          <w:rFonts w:ascii="Arial" w:eastAsia="Calibri" w:hAnsi="Arial" w:cs="Arial"/>
        </w:rPr>
        <w:t xml:space="preserve">the principal Explosives Act: </w:t>
      </w:r>
    </w:p>
    <w:p w14:paraId="509C90A1" w14:textId="1E8C59D4" w:rsidR="004037A6" w:rsidRDefault="004037A6" w:rsidP="00A16B8A">
      <w:pPr>
        <w:pStyle w:val="ListParagraph"/>
        <w:numPr>
          <w:ilvl w:val="0"/>
          <w:numId w:val="26"/>
        </w:numPr>
        <w:spacing w:line="240" w:lineRule="auto"/>
        <w:rPr>
          <w:rFonts w:ascii="Arial" w:eastAsia="Calibri" w:hAnsi="Arial" w:cs="Arial"/>
        </w:rPr>
      </w:pPr>
      <w:r>
        <w:rPr>
          <w:rFonts w:ascii="Arial" w:eastAsia="Calibri" w:hAnsi="Arial" w:cs="Arial"/>
        </w:rPr>
        <w:t xml:space="preserve">Additional compliance and enforcement powers, related to matters outside the </w:t>
      </w:r>
      <w:r w:rsidR="00672FB7">
        <w:rPr>
          <w:rFonts w:ascii="Arial" w:eastAsia="Calibri" w:hAnsi="Arial" w:cs="Arial"/>
        </w:rPr>
        <w:t xml:space="preserve">current regulations; </w:t>
      </w:r>
    </w:p>
    <w:p w14:paraId="095ED91C" w14:textId="6EB5863F" w:rsidR="00672FB7" w:rsidRDefault="00672FB7" w:rsidP="00A16B8A">
      <w:pPr>
        <w:pStyle w:val="ListParagraph"/>
        <w:numPr>
          <w:ilvl w:val="0"/>
          <w:numId w:val="26"/>
        </w:numPr>
        <w:spacing w:line="240" w:lineRule="auto"/>
        <w:rPr>
          <w:rFonts w:ascii="Arial" w:eastAsia="Calibri" w:hAnsi="Arial" w:cs="Arial"/>
        </w:rPr>
      </w:pPr>
      <w:r>
        <w:rPr>
          <w:rFonts w:ascii="Arial" w:eastAsia="Calibri" w:hAnsi="Arial" w:cs="Arial"/>
        </w:rPr>
        <w:t xml:space="preserve">The introduction of a Commonwealth independent regulator, who </w:t>
      </w:r>
      <w:r w:rsidR="0045522F">
        <w:rPr>
          <w:rFonts w:ascii="Arial" w:eastAsia="Calibri" w:hAnsi="Arial" w:cs="Arial"/>
        </w:rPr>
        <w:t xml:space="preserve">operates outside Defence; </w:t>
      </w:r>
    </w:p>
    <w:p w14:paraId="44EC19D8" w14:textId="7F13815A" w:rsidR="006C339C" w:rsidRDefault="006C339C" w:rsidP="00A16B8A">
      <w:pPr>
        <w:pStyle w:val="ListParagraph"/>
        <w:numPr>
          <w:ilvl w:val="0"/>
          <w:numId w:val="26"/>
        </w:numPr>
        <w:spacing w:line="240" w:lineRule="auto"/>
        <w:rPr>
          <w:rFonts w:ascii="Arial" w:eastAsia="Calibri" w:hAnsi="Arial" w:cs="Arial"/>
        </w:rPr>
      </w:pPr>
      <w:r>
        <w:rPr>
          <w:rFonts w:ascii="Arial" w:eastAsia="Calibri" w:hAnsi="Arial" w:cs="Arial"/>
        </w:rPr>
        <w:t xml:space="preserve">Harmonisation with or, where relevant, references to the WHS Act; </w:t>
      </w:r>
    </w:p>
    <w:p w14:paraId="2F59FDF6" w14:textId="5F063155" w:rsidR="0045522F" w:rsidRDefault="0045522F" w:rsidP="00A16B8A">
      <w:pPr>
        <w:pStyle w:val="ListParagraph"/>
        <w:numPr>
          <w:ilvl w:val="0"/>
          <w:numId w:val="26"/>
        </w:numPr>
        <w:spacing w:line="240" w:lineRule="auto"/>
        <w:rPr>
          <w:rFonts w:ascii="Arial" w:eastAsia="Calibri" w:hAnsi="Arial" w:cs="Arial"/>
        </w:rPr>
      </w:pPr>
      <w:r>
        <w:rPr>
          <w:rFonts w:ascii="Arial" w:eastAsia="Calibri" w:hAnsi="Arial" w:cs="Arial"/>
        </w:rPr>
        <w:t xml:space="preserve">The introduction of an accreditation </w:t>
      </w:r>
      <w:r w:rsidR="00C45648">
        <w:rPr>
          <w:rFonts w:ascii="Arial" w:eastAsia="Calibri" w:hAnsi="Arial" w:cs="Arial"/>
        </w:rPr>
        <w:t xml:space="preserve">scheme, or similar statutorily entrenched permissions for the undertaking of Commonwealth explosives activities; </w:t>
      </w:r>
      <w:r w:rsidR="006C339C">
        <w:rPr>
          <w:rFonts w:ascii="Arial" w:eastAsia="Calibri" w:hAnsi="Arial" w:cs="Arial"/>
        </w:rPr>
        <w:t>and</w:t>
      </w:r>
    </w:p>
    <w:p w14:paraId="2A92BA29" w14:textId="173DD3A3" w:rsidR="006C339C" w:rsidRPr="006C339C" w:rsidRDefault="00C45648" w:rsidP="00A16B8A">
      <w:pPr>
        <w:pStyle w:val="ListParagraph"/>
        <w:numPr>
          <w:ilvl w:val="0"/>
          <w:numId w:val="26"/>
        </w:numPr>
        <w:spacing w:line="240" w:lineRule="auto"/>
        <w:rPr>
          <w:rFonts w:ascii="Arial" w:eastAsia="Calibri" w:hAnsi="Arial" w:cs="Arial"/>
        </w:rPr>
      </w:pPr>
      <w:r>
        <w:rPr>
          <w:rFonts w:ascii="Arial" w:eastAsia="Calibri" w:hAnsi="Arial" w:cs="Arial"/>
        </w:rPr>
        <w:t>The introduction of storage regulations</w:t>
      </w:r>
      <w:r w:rsidR="006C339C">
        <w:rPr>
          <w:rFonts w:ascii="Arial" w:eastAsia="Calibri" w:hAnsi="Arial" w:cs="Arial"/>
        </w:rPr>
        <w:t xml:space="preserve">, including regulations for explosives quantities which sit below the current MHF threshold. </w:t>
      </w:r>
    </w:p>
    <w:p w14:paraId="1666029A" w14:textId="472C5827" w:rsidR="00A12B00" w:rsidRPr="00A12B00" w:rsidRDefault="00A12B00" w:rsidP="001C2288">
      <w:pPr>
        <w:keepNext/>
        <w:keepLines/>
        <w:spacing w:before="40" w:after="0" w:line="240" w:lineRule="auto"/>
        <w:outlineLvl w:val="1"/>
        <w:rPr>
          <w:rFonts w:ascii="Arial" w:eastAsia="Times New Roman" w:hAnsi="Arial" w:cs="Arial"/>
          <w:color w:val="B35E06"/>
          <w:sz w:val="26"/>
          <w:szCs w:val="26"/>
        </w:rPr>
      </w:pPr>
      <w:bookmarkStart w:id="55" w:name="_Toc101961122"/>
      <w:r w:rsidRPr="00A12B00">
        <w:rPr>
          <w:rFonts w:ascii="Arial" w:eastAsia="Times New Roman" w:hAnsi="Arial" w:cs="Arial"/>
          <w:color w:val="B35E06"/>
          <w:sz w:val="26"/>
          <w:szCs w:val="26"/>
        </w:rPr>
        <w:t xml:space="preserve">3.3 New </w:t>
      </w:r>
      <w:r w:rsidR="002379FF">
        <w:rPr>
          <w:rFonts w:ascii="Arial" w:eastAsia="Times New Roman" w:hAnsi="Arial" w:cs="Arial"/>
          <w:color w:val="B35E06"/>
          <w:sz w:val="26"/>
          <w:szCs w:val="26"/>
        </w:rPr>
        <w:t>R</w:t>
      </w:r>
      <w:r w:rsidRPr="00A12B00">
        <w:rPr>
          <w:rFonts w:ascii="Arial" w:eastAsia="Times New Roman" w:hAnsi="Arial" w:cs="Arial"/>
          <w:color w:val="B35E06"/>
          <w:sz w:val="26"/>
          <w:szCs w:val="26"/>
        </w:rPr>
        <w:t xml:space="preserve">egulatory </w:t>
      </w:r>
      <w:r w:rsidR="002379FF">
        <w:rPr>
          <w:rFonts w:ascii="Arial" w:eastAsia="Times New Roman" w:hAnsi="Arial" w:cs="Arial"/>
          <w:color w:val="B35E06"/>
          <w:sz w:val="26"/>
          <w:szCs w:val="26"/>
        </w:rPr>
        <w:t>R</w:t>
      </w:r>
      <w:r w:rsidRPr="00A12B00">
        <w:rPr>
          <w:rFonts w:ascii="Arial" w:eastAsia="Times New Roman" w:hAnsi="Arial" w:cs="Arial"/>
          <w:color w:val="B35E06"/>
          <w:sz w:val="26"/>
          <w:szCs w:val="26"/>
        </w:rPr>
        <w:t xml:space="preserve">egime </w:t>
      </w:r>
      <w:proofErr w:type="gramStart"/>
      <w:r w:rsidR="002379FF">
        <w:rPr>
          <w:rFonts w:ascii="Arial" w:eastAsia="Times New Roman" w:hAnsi="Arial" w:cs="Arial"/>
          <w:color w:val="B35E06"/>
          <w:sz w:val="26"/>
          <w:szCs w:val="26"/>
        </w:rPr>
        <w:t>Through</w:t>
      </w:r>
      <w:proofErr w:type="gramEnd"/>
      <w:r w:rsidR="002379FF">
        <w:rPr>
          <w:rFonts w:ascii="Arial" w:eastAsia="Times New Roman" w:hAnsi="Arial" w:cs="Arial"/>
          <w:color w:val="B35E06"/>
          <w:sz w:val="26"/>
          <w:szCs w:val="26"/>
        </w:rPr>
        <w:t xml:space="preserve"> Primary Legislation</w:t>
      </w:r>
      <w:bookmarkEnd w:id="55"/>
    </w:p>
    <w:p w14:paraId="627E91FA" w14:textId="6DB64C17" w:rsidR="00A12B00" w:rsidRPr="00A12B00" w:rsidRDefault="00A12B00" w:rsidP="001C2288">
      <w:pPr>
        <w:spacing w:line="240" w:lineRule="auto"/>
        <w:rPr>
          <w:rFonts w:ascii="Arial" w:eastAsia="Calibri" w:hAnsi="Arial" w:cs="Arial"/>
        </w:rPr>
      </w:pPr>
      <w:r w:rsidRPr="00A12B00">
        <w:rPr>
          <w:rFonts w:ascii="Arial" w:eastAsia="Calibri" w:hAnsi="Arial" w:cs="Arial"/>
        </w:rPr>
        <w:t xml:space="preserve">Option 3 contemplates the introduction of a new Commonwealth explosives regulatory regime, established through primary legislation (an amended Explosives Act), and supported by subsidiary regulations and any consequential legislative amendments required to support the regime’s operation. The new regime will introduce changes across </w:t>
      </w:r>
      <w:r w:rsidR="00C36DE2">
        <w:rPr>
          <w:rFonts w:ascii="Arial" w:eastAsia="Calibri" w:hAnsi="Arial" w:cs="Arial"/>
        </w:rPr>
        <w:t>several</w:t>
      </w:r>
      <w:r w:rsidR="00D62281">
        <w:rPr>
          <w:rFonts w:ascii="Arial" w:eastAsia="Calibri" w:hAnsi="Arial" w:cs="Arial"/>
        </w:rPr>
        <w:t xml:space="preserve"> areas</w:t>
      </w:r>
      <w:r w:rsidRPr="00A12B00">
        <w:rPr>
          <w:rFonts w:ascii="Arial" w:eastAsia="Calibri" w:hAnsi="Arial" w:cs="Arial"/>
        </w:rPr>
        <w:t>, set out below</w:t>
      </w:r>
      <w:r w:rsidR="00F37D11">
        <w:rPr>
          <w:rFonts w:ascii="Arial" w:eastAsia="Calibri" w:hAnsi="Arial" w:cs="Arial"/>
        </w:rPr>
        <w:t>, and allow for the creation of modern</w:t>
      </w:r>
      <w:r w:rsidR="00F37D11" w:rsidRPr="00A32789">
        <w:rPr>
          <w:rFonts w:ascii="Arial" w:eastAsia="Calibri" w:hAnsi="Arial" w:cs="Arial"/>
        </w:rPr>
        <w:t>, enduring mechanisms for accommodating Australia’s strategic needs and responding to evolving risks,</w:t>
      </w:r>
      <w:r w:rsidR="00F37D11">
        <w:rPr>
          <w:rFonts w:ascii="Arial" w:eastAsia="Calibri" w:hAnsi="Arial" w:cs="Arial"/>
        </w:rPr>
        <w:t xml:space="preserve"> as well as improving current </w:t>
      </w:r>
      <w:r w:rsidR="00F37D11" w:rsidRPr="00A32789">
        <w:rPr>
          <w:rFonts w:ascii="Arial" w:eastAsia="Calibri" w:hAnsi="Arial" w:cs="Arial"/>
        </w:rPr>
        <w:t>safety conditions</w:t>
      </w:r>
      <w:r w:rsidR="00F37D11">
        <w:rPr>
          <w:rFonts w:ascii="Arial" w:eastAsia="Calibri" w:hAnsi="Arial" w:cs="Arial"/>
        </w:rPr>
        <w:t xml:space="preserve">. </w:t>
      </w:r>
    </w:p>
    <w:p w14:paraId="2CB32154" w14:textId="28E75912" w:rsidR="00A12B00" w:rsidRPr="00A12B00" w:rsidRDefault="00A12B00" w:rsidP="001C2288">
      <w:pPr>
        <w:spacing w:after="0" w:line="240" w:lineRule="auto"/>
        <w:rPr>
          <w:rFonts w:ascii="Arial" w:eastAsia="Calibri" w:hAnsi="Arial" w:cs="Arial"/>
          <w:color w:val="997339"/>
        </w:rPr>
      </w:pPr>
      <w:r w:rsidRPr="00A12B00">
        <w:rPr>
          <w:rFonts w:ascii="Arial" w:eastAsia="Calibri" w:hAnsi="Arial" w:cs="Arial"/>
          <w:color w:val="997339"/>
        </w:rPr>
        <w:t xml:space="preserve">3.3.1 </w:t>
      </w:r>
      <w:r w:rsidR="00D62281">
        <w:rPr>
          <w:rFonts w:ascii="Arial" w:eastAsia="Calibri" w:hAnsi="Arial" w:cs="Arial"/>
          <w:color w:val="997339"/>
        </w:rPr>
        <w:t>Creation of</w:t>
      </w:r>
      <w:r w:rsidRPr="00A12B00">
        <w:rPr>
          <w:rFonts w:ascii="Arial" w:eastAsia="Calibri" w:hAnsi="Arial" w:cs="Arial"/>
          <w:color w:val="997339"/>
        </w:rPr>
        <w:t xml:space="preserve"> an Accreditation Scheme for Commonwealth Contractors</w:t>
      </w:r>
    </w:p>
    <w:p w14:paraId="6F125081" w14:textId="77777777" w:rsidR="00A12B00" w:rsidRPr="00A12B00" w:rsidRDefault="00A12B00" w:rsidP="001C2288">
      <w:pPr>
        <w:spacing w:line="240" w:lineRule="auto"/>
        <w:rPr>
          <w:rFonts w:ascii="Arial" w:eastAsia="Calibri" w:hAnsi="Arial" w:cs="Arial"/>
        </w:rPr>
      </w:pPr>
      <w:r w:rsidRPr="00A12B00">
        <w:rPr>
          <w:rFonts w:ascii="Arial" w:eastAsia="Calibri" w:hAnsi="Arial" w:cs="Arial"/>
          <w:color w:val="000000"/>
        </w:rPr>
        <w:t xml:space="preserve">The Explosives Act and supporting regulations will make provision for an accreditation scheme applicable to Commonwealth </w:t>
      </w:r>
      <w:r w:rsidRPr="00A12B00">
        <w:rPr>
          <w:rFonts w:ascii="Arial" w:eastAsia="Calibri" w:hAnsi="Arial" w:cs="Arial"/>
        </w:rPr>
        <w:t xml:space="preserve">contractors, which:  </w:t>
      </w:r>
    </w:p>
    <w:p w14:paraId="14447B58" w14:textId="56481A8A" w:rsidR="002731EE" w:rsidRDefault="00DC19ED" w:rsidP="00A16B8A">
      <w:pPr>
        <w:numPr>
          <w:ilvl w:val="0"/>
          <w:numId w:val="15"/>
        </w:numPr>
        <w:spacing w:line="240" w:lineRule="auto"/>
        <w:contextualSpacing/>
        <w:rPr>
          <w:rFonts w:ascii="Arial" w:eastAsia="Calibri" w:hAnsi="Arial" w:cs="Arial"/>
        </w:rPr>
      </w:pPr>
      <w:r>
        <w:rPr>
          <w:rFonts w:ascii="Arial" w:eastAsia="Calibri" w:hAnsi="Arial" w:cs="Arial"/>
        </w:rPr>
        <w:t xml:space="preserve">Requires applicants for accreditation to demonstrate competence and capacity to </w:t>
      </w:r>
      <w:r w:rsidR="009D71C8">
        <w:rPr>
          <w:rFonts w:ascii="Arial" w:eastAsia="Calibri" w:hAnsi="Arial" w:cs="Arial"/>
        </w:rPr>
        <w:t xml:space="preserve">engage in Commonwealth explosives activities safely and securely; </w:t>
      </w:r>
    </w:p>
    <w:p w14:paraId="2CA75F86" w14:textId="2DDD0CE5" w:rsidR="00A12B00" w:rsidRDefault="00A12B00" w:rsidP="00A16B8A">
      <w:pPr>
        <w:numPr>
          <w:ilvl w:val="0"/>
          <w:numId w:val="15"/>
        </w:numPr>
        <w:spacing w:line="240" w:lineRule="auto"/>
        <w:contextualSpacing/>
        <w:rPr>
          <w:rFonts w:ascii="Arial" w:eastAsia="Calibri" w:hAnsi="Arial" w:cs="Arial"/>
        </w:rPr>
      </w:pPr>
      <w:r w:rsidRPr="00A12B00">
        <w:rPr>
          <w:rFonts w:ascii="Arial" w:eastAsia="Calibri" w:hAnsi="Arial" w:cs="Arial"/>
        </w:rPr>
        <w:t xml:space="preserve">Includes arrangements for issuing, varying, suspending, and cancelling a contractor’s accreditation status; </w:t>
      </w:r>
    </w:p>
    <w:p w14:paraId="59F2841A" w14:textId="12868902" w:rsidR="006F162E" w:rsidRPr="00A12B00" w:rsidRDefault="006F162E" w:rsidP="00A16B8A">
      <w:pPr>
        <w:numPr>
          <w:ilvl w:val="0"/>
          <w:numId w:val="15"/>
        </w:numPr>
        <w:spacing w:line="240" w:lineRule="auto"/>
        <w:contextualSpacing/>
        <w:rPr>
          <w:rFonts w:ascii="Arial" w:eastAsia="Calibri" w:hAnsi="Arial" w:cs="Arial"/>
        </w:rPr>
      </w:pPr>
      <w:r>
        <w:rPr>
          <w:rFonts w:ascii="Arial" w:eastAsia="Calibri" w:hAnsi="Arial" w:cs="Arial"/>
        </w:rPr>
        <w:t>Specifies safety and security duties</w:t>
      </w:r>
      <w:r w:rsidR="00C3769C">
        <w:rPr>
          <w:rFonts w:ascii="Arial" w:eastAsia="Calibri" w:hAnsi="Arial" w:cs="Arial"/>
        </w:rPr>
        <w:t>;</w:t>
      </w:r>
    </w:p>
    <w:p w14:paraId="2C08587F" w14:textId="510C211F" w:rsidR="00A12B00" w:rsidRPr="00A12B00" w:rsidRDefault="00A12B00" w:rsidP="00A16B8A">
      <w:pPr>
        <w:numPr>
          <w:ilvl w:val="0"/>
          <w:numId w:val="15"/>
        </w:numPr>
        <w:spacing w:line="240" w:lineRule="auto"/>
        <w:contextualSpacing/>
        <w:rPr>
          <w:rFonts w:ascii="Arial" w:eastAsia="Calibri" w:hAnsi="Arial" w:cs="Arial"/>
        </w:rPr>
      </w:pPr>
      <w:r w:rsidRPr="00A12B00">
        <w:rPr>
          <w:rFonts w:ascii="Arial" w:eastAsia="Calibri" w:hAnsi="Arial" w:cs="Arial"/>
        </w:rPr>
        <w:t xml:space="preserve">Prescribes </w:t>
      </w:r>
      <w:r w:rsidR="006F0E66">
        <w:rPr>
          <w:rFonts w:ascii="Arial" w:eastAsia="Calibri" w:hAnsi="Arial" w:cs="Arial"/>
        </w:rPr>
        <w:t xml:space="preserve">the </w:t>
      </w:r>
      <w:r w:rsidRPr="00A12B00">
        <w:rPr>
          <w:rFonts w:ascii="Arial" w:eastAsia="Calibri" w:hAnsi="Arial" w:cs="Arial"/>
        </w:rPr>
        <w:t>Commonwealth agencies that use explosives and are to be subject to the scheme;</w:t>
      </w:r>
    </w:p>
    <w:p w14:paraId="5737B82F" w14:textId="77777777" w:rsidR="00A12B00" w:rsidRPr="00A12B00" w:rsidRDefault="00A12B00" w:rsidP="00A16B8A">
      <w:pPr>
        <w:numPr>
          <w:ilvl w:val="0"/>
          <w:numId w:val="15"/>
        </w:numPr>
        <w:spacing w:line="240" w:lineRule="auto"/>
        <w:contextualSpacing/>
        <w:rPr>
          <w:rFonts w:ascii="Arial" w:eastAsia="Calibri" w:hAnsi="Arial" w:cs="Arial"/>
        </w:rPr>
      </w:pPr>
      <w:r w:rsidRPr="00A12B00">
        <w:rPr>
          <w:rFonts w:ascii="Arial" w:eastAsia="Calibri" w:hAnsi="Arial" w:cs="Arial"/>
        </w:rPr>
        <w:t>Specifies the persons who are employed or engaged by those agencies and the subject of the new scheme; and</w:t>
      </w:r>
    </w:p>
    <w:p w14:paraId="3E2C8209" w14:textId="4CED1011" w:rsidR="00A12B00" w:rsidRDefault="00A12B00" w:rsidP="00A16B8A">
      <w:pPr>
        <w:numPr>
          <w:ilvl w:val="0"/>
          <w:numId w:val="15"/>
        </w:numPr>
        <w:spacing w:line="240" w:lineRule="auto"/>
        <w:ind w:left="357" w:hanging="357"/>
        <w:rPr>
          <w:rFonts w:ascii="Arial" w:eastAsia="Calibri" w:hAnsi="Arial" w:cs="Arial"/>
        </w:rPr>
      </w:pPr>
      <w:r w:rsidRPr="00A12B00">
        <w:rPr>
          <w:rFonts w:ascii="Arial" w:eastAsia="Calibri" w:hAnsi="Arial" w:cs="Arial"/>
        </w:rPr>
        <w:t xml:space="preserve">Specifies the classes of persons who are authorised to </w:t>
      </w:r>
      <w:r w:rsidR="00812AA5" w:rsidRPr="00A12B00">
        <w:rPr>
          <w:rFonts w:ascii="Arial" w:eastAsia="Calibri" w:hAnsi="Arial" w:cs="Arial"/>
        </w:rPr>
        <w:t>engage</w:t>
      </w:r>
      <w:r w:rsidRPr="00A12B00">
        <w:rPr>
          <w:rFonts w:ascii="Arial" w:eastAsia="Calibri" w:hAnsi="Arial" w:cs="Arial"/>
        </w:rPr>
        <w:t xml:space="preserve"> in regulated activities involving explosives, including</w:t>
      </w:r>
      <w:r w:rsidR="009634AE">
        <w:rPr>
          <w:rFonts w:ascii="Arial" w:eastAsia="Calibri" w:hAnsi="Arial" w:cs="Arial"/>
        </w:rPr>
        <w:t xml:space="preserve"> </w:t>
      </w:r>
      <w:r w:rsidRPr="009634AE">
        <w:rPr>
          <w:rFonts w:ascii="Arial" w:eastAsia="Calibri" w:hAnsi="Arial" w:cs="Arial"/>
        </w:rPr>
        <w:t xml:space="preserve">persons employed, or otherwise engaged by </w:t>
      </w:r>
      <w:r w:rsidRPr="009634AE">
        <w:rPr>
          <w:rFonts w:ascii="Arial" w:eastAsia="Calibri" w:hAnsi="Arial" w:cs="Arial"/>
        </w:rPr>
        <w:lastRenderedPageBreak/>
        <w:t>Commonwealth agencies</w:t>
      </w:r>
      <w:r w:rsidR="009634AE">
        <w:rPr>
          <w:rFonts w:ascii="Arial" w:eastAsia="Calibri" w:hAnsi="Arial" w:cs="Arial"/>
        </w:rPr>
        <w:t>,</w:t>
      </w:r>
      <w:r w:rsidRPr="009634AE">
        <w:rPr>
          <w:rFonts w:ascii="Arial" w:eastAsia="Calibri" w:hAnsi="Arial" w:cs="Arial"/>
        </w:rPr>
        <w:t xml:space="preserve"> and Commonwealth contractors who are required to engage in regulated activities involving explosives in the course of their duties.</w:t>
      </w:r>
    </w:p>
    <w:p w14:paraId="3CDF1356" w14:textId="196BC794" w:rsidR="006F0E66" w:rsidRPr="009634AE" w:rsidRDefault="006F0E66" w:rsidP="00104EBB">
      <w:pPr>
        <w:spacing w:line="240" w:lineRule="auto"/>
        <w:rPr>
          <w:rFonts w:ascii="Arial" w:eastAsia="Calibri" w:hAnsi="Arial" w:cs="Arial"/>
        </w:rPr>
      </w:pPr>
      <w:r>
        <w:rPr>
          <w:rFonts w:ascii="Arial" w:eastAsia="Calibri" w:hAnsi="Arial" w:cs="Arial"/>
        </w:rPr>
        <w:t xml:space="preserve">The accreditation scheme will </w:t>
      </w:r>
      <w:r w:rsidR="004A166C">
        <w:rPr>
          <w:rFonts w:ascii="Arial" w:eastAsia="Calibri" w:hAnsi="Arial" w:cs="Arial"/>
        </w:rPr>
        <w:t>be comprehensive,</w:t>
      </w:r>
      <w:r>
        <w:rPr>
          <w:rFonts w:ascii="Arial" w:eastAsia="Calibri" w:hAnsi="Arial" w:cs="Arial"/>
        </w:rPr>
        <w:t xml:space="preserve"> statutorily entrenched permissions </w:t>
      </w:r>
      <w:r w:rsidR="00B01B6D">
        <w:rPr>
          <w:rFonts w:ascii="Arial" w:eastAsia="Calibri" w:hAnsi="Arial" w:cs="Arial"/>
        </w:rPr>
        <w:t>system</w:t>
      </w:r>
      <w:r>
        <w:rPr>
          <w:rFonts w:ascii="Arial" w:eastAsia="Calibri" w:hAnsi="Arial" w:cs="Arial"/>
        </w:rPr>
        <w:t xml:space="preserve">, which </w:t>
      </w:r>
      <w:r w:rsidR="004A166C">
        <w:rPr>
          <w:rFonts w:ascii="Arial" w:eastAsia="Calibri" w:hAnsi="Arial" w:cs="Arial"/>
        </w:rPr>
        <w:t xml:space="preserve">is not a feature of the current Commonwealth explosives regulatory regime. </w:t>
      </w:r>
    </w:p>
    <w:p w14:paraId="4C856E62" w14:textId="77777777" w:rsidR="00A12B00" w:rsidRPr="00A12B00" w:rsidRDefault="00A12B00" w:rsidP="001C2288">
      <w:pPr>
        <w:spacing w:after="0" w:line="240" w:lineRule="auto"/>
        <w:rPr>
          <w:rFonts w:ascii="Arial" w:eastAsia="Calibri" w:hAnsi="Arial" w:cs="Arial"/>
          <w:color w:val="997339"/>
        </w:rPr>
      </w:pPr>
      <w:r w:rsidRPr="00A12B00">
        <w:rPr>
          <w:rFonts w:ascii="Arial" w:eastAsia="Calibri" w:hAnsi="Arial" w:cs="Arial"/>
          <w:color w:val="997339"/>
        </w:rPr>
        <w:t xml:space="preserve">3.3.2 Establishment of an Independent Regulator </w:t>
      </w:r>
    </w:p>
    <w:p w14:paraId="154A0BE9" w14:textId="3AC4764C" w:rsidR="0048064E" w:rsidRDefault="00A12B00" w:rsidP="0077440F">
      <w:pPr>
        <w:spacing w:line="240" w:lineRule="auto"/>
        <w:rPr>
          <w:rFonts w:ascii="Arial" w:eastAsia="Calibri" w:hAnsi="Arial" w:cs="Arial"/>
        </w:rPr>
      </w:pPr>
      <w:r w:rsidRPr="00A12B00">
        <w:rPr>
          <w:rFonts w:ascii="Arial" w:eastAsia="Calibri" w:hAnsi="Arial" w:cs="Arial"/>
        </w:rPr>
        <w:t>The Explosives Act and supporting regulations will establish a Commonwealth independent regulator to replace the current regime’s provision for a Competent Authority</w:t>
      </w:r>
      <w:r w:rsidR="0048064E">
        <w:rPr>
          <w:rFonts w:ascii="Arial" w:eastAsia="Calibri" w:hAnsi="Arial" w:cs="Arial"/>
        </w:rPr>
        <w:t>, situated in Defence (as stipulated by the current Transport Regulations</w:t>
      </w:r>
      <w:r w:rsidRPr="00A12B00">
        <w:rPr>
          <w:rFonts w:ascii="Arial" w:eastAsia="Calibri" w:hAnsi="Arial" w:cs="Arial"/>
        </w:rPr>
        <w:t xml:space="preserve">. </w:t>
      </w:r>
    </w:p>
    <w:p w14:paraId="35E87AA5" w14:textId="399B48F1" w:rsidR="00A12B00" w:rsidRPr="00A12B00" w:rsidRDefault="00A12B00" w:rsidP="001C2288">
      <w:pPr>
        <w:spacing w:line="240" w:lineRule="auto"/>
        <w:rPr>
          <w:rFonts w:ascii="Arial" w:eastAsia="Calibri" w:hAnsi="Arial" w:cs="Arial"/>
        </w:rPr>
      </w:pPr>
      <w:r w:rsidRPr="00A12B00">
        <w:rPr>
          <w:rFonts w:ascii="Arial" w:eastAsia="Calibri" w:hAnsi="Arial" w:cs="Arial"/>
        </w:rPr>
        <w:t xml:space="preserve">The independent regulator’s powers and functions will be broader than those available under the current regime and include: </w:t>
      </w:r>
    </w:p>
    <w:p w14:paraId="32B5EC00" w14:textId="77777777" w:rsidR="00A12B00" w:rsidRPr="00A12B00" w:rsidRDefault="00A12B00" w:rsidP="00A16B8A">
      <w:pPr>
        <w:numPr>
          <w:ilvl w:val="0"/>
          <w:numId w:val="17"/>
        </w:numPr>
        <w:spacing w:line="240" w:lineRule="auto"/>
        <w:contextualSpacing/>
        <w:rPr>
          <w:rFonts w:ascii="Arial" w:eastAsia="Calibri" w:hAnsi="Arial" w:cs="Arial"/>
        </w:rPr>
      </w:pPr>
      <w:r w:rsidRPr="00A12B00">
        <w:rPr>
          <w:rFonts w:ascii="Arial" w:eastAsia="Calibri" w:hAnsi="Arial" w:cs="Arial"/>
        </w:rPr>
        <w:t>A focus on safety and security, operationalised through the implementation and enforcement of WHS obligations in a manner consistent with the model WHS laws;</w:t>
      </w:r>
    </w:p>
    <w:p w14:paraId="082B9099" w14:textId="69D503D2" w:rsidR="00A12B00" w:rsidRPr="00A12B00" w:rsidRDefault="00A12B00" w:rsidP="00A16B8A">
      <w:pPr>
        <w:numPr>
          <w:ilvl w:val="0"/>
          <w:numId w:val="17"/>
        </w:numPr>
        <w:spacing w:line="240" w:lineRule="auto"/>
        <w:contextualSpacing/>
        <w:rPr>
          <w:rFonts w:ascii="Arial" w:eastAsia="Calibri" w:hAnsi="Arial" w:cs="Arial"/>
        </w:rPr>
      </w:pPr>
      <w:r w:rsidRPr="00A12B00">
        <w:rPr>
          <w:rFonts w:ascii="Arial" w:eastAsia="Calibri" w:hAnsi="Arial" w:cs="Arial"/>
        </w:rPr>
        <w:t xml:space="preserve">Responsibility for the regulation of the activities involving explosives used by Commonwealth agencies, Commonwealth contractors, and </w:t>
      </w:r>
      <w:r w:rsidR="00AB4CE0">
        <w:rPr>
          <w:rFonts w:ascii="Arial" w:eastAsia="Calibri" w:hAnsi="Arial" w:cs="Arial"/>
        </w:rPr>
        <w:t>foreign government officials</w:t>
      </w:r>
      <w:r w:rsidRPr="00A12B00">
        <w:rPr>
          <w:rFonts w:ascii="Arial" w:eastAsia="Calibri" w:hAnsi="Arial" w:cs="Arial"/>
        </w:rPr>
        <w:t xml:space="preserve"> in Australia;</w:t>
      </w:r>
    </w:p>
    <w:p w14:paraId="0A56F3D5" w14:textId="77777777" w:rsidR="00A12B00" w:rsidRPr="00A12B00" w:rsidRDefault="00A12B00" w:rsidP="00A16B8A">
      <w:pPr>
        <w:numPr>
          <w:ilvl w:val="0"/>
          <w:numId w:val="17"/>
        </w:numPr>
        <w:spacing w:line="240" w:lineRule="auto"/>
        <w:contextualSpacing/>
        <w:rPr>
          <w:rFonts w:ascii="Arial" w:eastAsia="Calibri" w:hAnsi="Arial" w:cs="Arial"/>
        </w:rPr>
      </w:pPr>
      <w:r w:rsidRPr="00A12B00">
        <w:rPr>
          <w:rFonts w:ascii="Arial" w:eastAsia="Calibri" w:hAnsi="Arial" w:cs="Arial"/>
        </w:rPr>
        <w:t>Empowerment to make administrative decisions on the variation, suspension, and cancellation of Commonwealth contractors’ accreditation;</w:t>
      </w:r>
    </w:p>
    <w:p w14:paraId="44D4F956" w14:textId="77777777" w:rsidR="00A12B00" w:rsidRPr="00A12B00" w:rsidRDefault="00A12B00" w:rsidP="00A16B8A">
      <w:pPr>
        <w:numPr>
          <w:ilvl w:val="0"/>
          <w:numId w:val="17"/>
        </w:numPr>
        <w:spacing w:line="240" w:lineRule="auto"/>
        <w:contextualSpacing/>
        <w:rPr>
          <w:rFonts w:ascii="Arial" w:eastAsia="Calibri" w:hAnsi="Arial" w:cs="Arial"/>
        </w:rPr>
      </w:pPr>
      <w:r w:rsidRPr="00A12B00">
        <w:rPr>
          <w:rFonts w:ascii="Arial" w:eastAsia="Calibri" w:hAnsi="Arial" w:cs="Arial"/>
        </w:rPr>
        <w:t xml:space="preserve">The creation of fault-based and strict liability offences for serious breaches of the new explosives law; and </w:t>
      </w:r>
    </w:p>
    <w:p w14:paraId="396E329B" w14:textId="2A0D4572" w:rsidR="00A12B00" w:rsidRDefault="00A12B00" w:rsidP="00A16B8A">
      <w:pPr>
        <w:numPr>
          <w:ilvl w:val="0"/>
          <w:numId w:val="17"/>
        </w:numPr>
        <w:spacing w:line="240" w:lineRule="auto"/>
        <w:ind w:left="357" w:hanging="357"/>
        <w:rPr>
          <w:rFonts w:ascii="Arial" w:eastAsia="Calibri" w:hAnsi="Arial" w:cs="Arial"/>
        </w:rPr>
      </w:pPr>
      <w:r w:rsidRPr="00A12B00">
        <w:rPr>
          <w:rFonts w:ascii="Arial" w:eastAsia="Calibri" w:hAnsi="Arial" w:cs="Arial"/>
        </w:rPr>
        <w:t xml:space="preserve">Regulatory and compliance powers and functions across the range of activities involving Commonwealth explosives and used by Commonwealth agencies, contractors and </w:t>
      </w:r>
      <w:r w:rsidR="00AB4CE0">
        <w:rPr>
          <w:rFonts w:ascii="Arial" w:eastAsia="Calibri" w:hAnsi="Arial" w:cs="Arial"/>
        </w:rPr>
        <w:t>foreign government officials</w:t>
      </w:r>
      <w:r w:rsidRPr="00A12B00">
        <w:rPr>
          <w:rFonts w:ascii="Arial" w:eastAsia="Calibri" w:hAnsi="Arial" w:cs="Arial"/>
        </w:rPr>
        <w:t xml:space="preserve"> in Australia. </w:t>
      </w:r>
    </w:p>
    <w:p w14:paraId="5A2DEECB" w14:textId="31785A04" w:rsidR="00ED6773" w:rsidRPr="00A12B00" w:rsidRDefault="00ED6773" w:rsidP="00ED6773">
      <w:pPr>
        <w:spacing w:after="0" w:line="240" w:lineRule="auto"/>
        <w:rPr>
          <w:rFonts w:ascii="Arial" w:eastAsia="Calibri" w:hAnsi="Arial" w:cs="Arial"/>
        </w:rPr>
      </w:pPr>
      <w:r w:rsidRPr="00A12B00">
        <w:rPr>
          <w:rFonts w:ascii="Arial" w:eastAsia="Calibri" w:hAnsi="Arial" w:cs="Arial"/>
          <w:color w:val="997339"/>
        </w:rPr>
        <w:t>3.3.</w:t>
      </w:r>
      <w:r>
        <w:rPr>
          <w:rFonts w:ascii="Arial" w:eastAsia="Calibri" w:hAnsi="Arial" w:cs="Arial"/>
          <w:color w:val="997339"/>
        </w:rPr>
        <w:t>3</w:t>
      </w:r>
      <w:r w:rsidRPr="00A12B00">
        <w:rPr>
          <w:rFonts w:ascii="Arial" w:eastAsia="Calibri" w:hAnsi="Arial" w:cs="Arial"/>
          <w:color w:val="997339"/>
        </w:rPr>
        <w:t xml:space="preserve"> </w:t>
      </w:r>
      <w:r>
        <w:rPr>
          <w:rFonts w:ascii="Arial" w:eastAsia="Calibri" w:hAnsi="Arial" w:cs="Arial"/>
          <w:color w:val="997339"/>
        </w:rPr>
        <w:t>Modernisation and Harmonisation</w:t>
      </w:r>
    </w:p>
    <w:p w14:paraId="6EEEA9EA" w14:textId="77777777" w:rsidR="00FB2BFE" w:rsidRDefault="00ED6773" w:rsidP="00C97EB8">
      <w:pPr>
        <w:spacing w:line="240" w:lineRule="auto"/>
        <w:rPr>
          <w:rFonts w:ascii="Arial" w:eastAsia="Calibri" w:hAnsi="Arial" w:cs="Arial"/>
        </w:rPr>
      </w:pPr>
      <w:r>
        <w:rPr>
          <w:rFonts w:ascii="Arial" w:eastAsia="Calibri" w:hAnsi="Arial" w:cs="Arial"/>
        </w:rPr>
        <w:t xml:space="preserve">The Explosives Act and supporting regulations will seek to </w:t>
      </w:r>
      <w:r w:rsidR="006458BA">
        <w:rPr>
          <w:rFonts w:ascii="Arial" w:eastAsia="Calibri" w:hAnsi="Arial" w:cs="Arial"/>
        </w:rPr>
        <w:t xml:space="preserve">ensure </w:t>
      </w:r>
      <w:r w:rsidR="002C5E77">
        <w:rPr>
          <w:rFonts w:ascii="Arial" w:eastAsia="Calibri" w:hAnsi="Arial" w:cs="Arial"/>
        </w:rPr>
        <w:t xml:space="preserve">legislative </w:t>
      </w:r>
      <w:r w:rsidR="006458BA">
        <w:rPr>
          <w:rFonts w:ascii="Arial" w:eastAsia="Calibri" w:hAnsi="Arial" w:cs="Arial"/>
        </w:rPr>
        <w:t xml:space="preserve">coverage of all </w:t>
      </w:r>
      <w:r w:rsidR="002C5E77">
        <w:rPr>
          <w:rFonts w:ascii="Arial" w:eastAsia="Calibri" w:hAnsi="Arial" w:cs="Arial"/>
        </w:rPr>
        <w:t xml:space="preserve">modern Commonwealth explosives activities and </w:t>
      </w:r>
      <w:r w:rsidR="00FB2BFE">
        <w:rPr>
          <w:rFonts w:ascii="Arial" w:eastAsia="Calibri" w:hAnsi="Arial" w:cs="Arial"/>
        </w:rPr>
        <w:t xml:space="preserve">relevant personnel. The new regime will also seek to operate in harmony with other legislative frameworks, ensuring compatibility with other applicable Commonwealth legislation, including the WHS Act, as well as </w:t>
      </w:r>
      <w:r w:rsidR="00A12B00" w:rsidRPr="00A12B00">
        <w:rPr>
          <w:rFonts w:ascii="Arial" w:eastAsia="Calibri" w:hAnsi="Arial" w:cs="Arial"/>
        </w:rPr>
        <w:t xml:space="preserve">State and Territory explosives regimes and WHS laws. </w:t>
      </w:r>
    </w:p>
    <w:p w14:paraId="5F0CF679" w14:textId="77777777" w:rsidR="000D4885" w:rsidRDefault="000D4885" w:rsidP="00C97EB8">
      <w:pPr>
        <w:spacing w:line="240" w:lineRule="auto"/>
        <w:rPr>
          <w:rFonts w:ascii="Arial" w:eastAsia="Calibri" w:hAnsi="Arial" w:cs="Arial"/>
        </w:rPr>
      </w:pPr>
      <w:r>
        <w:rPr>
          <w:rFonts w:ascii="Arial" w:eastAsia="Calibri" w:hAnsi="Arial" w:cs="Arial"/>
        </w:rPr>
        <w:t xml:space="preserve">To ensure coverage of all modern Commonwealth explosives activities and personnel, the new framework would: </w:t>
      </w:r>
    </w:p>
    <w:p w14:paraId="2F3CE376" w14:textId="32F04FAF" w:rsidR="001B565E" w:rsidRDefault="000D4885" w:rsidP="00A16B8A">
      <w:pPr>
        <w:pStyle w:val="ListParagraph"/>
        <w:numPr>
          <w:ilvl w:val="0"/>
          <w:numId w:val="28"/>
        </w:numPr>
        <w:spacing w:line="240" w:lineRule="auto"/>
        <w:rPr>
          <w:rFonts w:ascii="Arial" w:eastAsia="Calibri" w:hAnsi="Arial" w:cs="Arial"/>
        </w:rPr>
      </w:pPr>
      <w:r>
        <w:rPr>
          <w:rFonts w:ascii="Arial" w:eastAsia="Calibri" w:hAnsi="Arial" w:cs="Arial"/>
        </w:rPr>
        <w:t xml:space="preserve">Introduce Commonwealth regulations for the storage of Commonwealth explosives, including regulations applicable to explosives </w:t>
      </w:r>
      <w:r w:rsidR="001B565E">
        <w:rPr>
          <w:rFonts w:ascii="Arial" w:eastAsia="Calibri" w:hAnsi="Arial" w:cs="Arial"/>
        </w:rPr>
        <w:t xml:space="preserve">currently outside the stipulated MHF threshold; </w:t>
      </w:r>
    </w:p>
    <w:p w14:paraId="482DC118" w14:textId="2845C43D" w:rsidR="00650C7C" w:rsidRDefault="00650C7C" w:rsidP="00A16B8A">
      <w:pPr>
        <w:pStyle w:val="ListParagraph"/>
        <w:numPr>
          <w:ilvl w:val="0"/>
          <w:numId w:val="28"/>
        </w:numPr>
        <w:spacing w:line="240" w:lineRule="auto"/>
        <w:rPr>
          <w:rFonts w:ascii="Arial" w:eastAsia="Calibri" w:hAnsi="Arial" w:cs="Arial"/>
        </w:rPr>
      </w:pPr>
      <w:r>
        <w:rPr>
          <w:rFonts w:ascii="Arial" w:eastAsia="Calibri" w:hAnsi="Arial" w:cs="Arial"/>
        </w:rPr>
        <w:t>Maintain Commonwealth regulations for the transportation of Commonwealth explosives, including by road</w:t>
      </w:r>
      <w:r w:rsidR="001E2D72">
        <w:rPr>
          <w:rFonts w:ascii="Arial" w:eastAsia="Calibri" w:hAnsi="Arial" w:cs="Arial"/>
        </w:rPr>
        <w:t xml:space="preserve">, </w:t>
      </w:r>
      <w:r>
        <w:rPr>
          <w:rFonts w:ascii="Arial" w:eastAsia="Calibri" w:hAnsi="Arial" w:cs="Arial"/>
        </w:rPr>
        <w:t>rail</w:t>
      </w:r>
      <w:r w:rsidR="001E2D72">
        <w:rPr>
          <w:rFonts w:ascii="Arial" w:eastAsia="Calibri" w:hAnsi="Arial" w:cs="Arial"/>
        </w:rPr>
        <w:t xml:space="preserve"> and other means of transportation</w:t>
      </w:r>
      <w:r>
        <w:rPr>
          <w:rFonts w:ascii="Arial" w:eastAsia="Calibri" w:hAnsi="Arial" w:cs="Arial"/>
        </w:rPr>
        <w:t xml:space="preserve">; </w:t>
      </w:r>
    </w:p>
    <w:p w14:paraId="77073098" w14:textId="0E5DB57F" w:rsidR="00C150A6" w:rsidRPr="00A446F8" w:rsidRDefault="00A446F8" w:rsidP="00A16B8A">
      <w:pPr>
        <w:pStyle w:val="ListParagraph"/>
        <w:numPr>
          <w:ilvl w:val="0"/>
          <w:numId w:val="28"/>
        </w:numPr>
        <w:spacing w:line="240" w:lineRule="auto"/>
        <w:rPr>
          <w:rFonts w:ascii="Arial" w:eastAsia="Calibri" w:hAnsi="Arial" w:cs="Arial"/>
        </w:rPr>
      </w:pPr>
      <w:r>
        <w:rPr>
          <w:rFonts w:ascii="Arial" w:eastAsia="Calibri" w:hAnsi="Arial" w:cs="Arial"/>
        </w:rPr>
        <w:t>D</w:t>
      </w:r>
      <w:r w:rsidR="00C150A6" w:rsidRPr="00A446F8">
        <w:rPr>
          <w:rFonts w:ascii="Arial" w:eastAsia="Calibri" w:hAnsi="Arial" w:cs="Arial"/>
        </w:rPr>
        <w:t xml:space="preserve">ispenses with the requirement that the presence of foreign forces in Australia be ‘for the purposes of, or a purpose related to, the defence of the Commonwealth’; </w:t>
      </w:r>
    </w:p>
    <w:p w14:paraId="1958C4F7" w14:textId="77777777" w:rsidR="00C97EB8" w:rsidRDefault="00D64090" w:rsidP="00A16B8A">
      <w:pPr>
        <w:pStyle w:val="ListParagraph"/>
        <w:numPr>
          <w:ilvl w:val="0"/>
          <w:numId w:val="28"/>
        </w:numPr>
        <w:spacing w:after="0" w:line="240" w:lineRule="auto"/>
        <w:contextualSpacing w:val="0"/>
        <w:rPr>
          <w:rFonts w:ascii="Arial" w:eastAsia="Calibri" w:hAnsi="Arial" w:cs="Arial"/>
        </w:rPr>
      </w:pPr>
      <w:r w:rsidRPr="00C97EB8">
        <w:rPr>
          <w:rFonts w:ascii="Arial" w:eastAsia="Calibri" w:hAnsi="Arial" w:cs="Arial"/>
        </w:rPr>
        <w:t xml:space="preserve">Make provision for visiting foreign government officials in Australia, including visitation for military and non-military purposes; </w:t>
      </w:r>
      <w:r w:rsidR="00C97EB8" w:rsidRPr="00C97EB8">
        <w:rPr>
          <w:rFonts w:ascii="Arial" w:eastAsia="Calibri" w:hAnsi="Arial" w:cs="Arial"/>
        </w:rPr>
        <w:t xml:space="preserve">and </w:t>
      </w:r>
    </w:p>
    <w:p w14:paraId="6F99C872" w14:textId="5DDD998E" w:rsidR="00D64090" w:rsidRPr="00C97EB8" w:rsidRDefault="00CA0168" w:rsidP="00A16B8A">
      <w:pPr>
        <w:pStyle w:val="ListParagraph"/>
        <w:numPr>
          <w:ilvl w:val="0"/>
          <w:numId w:val="28"/>
        </w:numPr>
        <w:spacing w:after="240" w:line="240" w:lineRule="auto"/>
        <w:ind w:left="357" w:hanging="357"/>
        <w:contextualSpacing w:val="0"/>
        <w:rPr>
          <w:rFonts w:ascii="Arial" w:eastAsia="Calibri" w:hAnsi="Arial" w:cs="Arial"/>
        </w:rPr>
      </w:pPr>
      <w:r w:rsidRPr="00C97EB8">
        <w:rPr>
          <w:rFonts w:ascii="Arial" w:eastAsia="Calibri" w:hAnsi="Arial" w:cs="Arial"/>
        </w:rPr>
        <w:t>Enable</w:t>
      </w:r>
      <w:r w:rsidR="00C97EB8" w:rsidRPr="00C97EB8">
        <w:rPr>
          <w:rFonts w:ascii="Arial" w:eastAsia="Calibri" w:hAnsi="Arial" w:cs="Arial"/>
        </w:rPr>
        <w:t>s</w:t>
      </w:r>
      <w:r w:rsidRPr="00C97EB8">
        <w:rPr>
          <w:rFonts w:ascii="Arial" w:eastAsia="Calibri" w:hAnsi="Arial" w:cs="Arial"/>
        </w:rPr>
        <w:t xml:space="preserve"> an officer of a Commonwealth Explosives Agency </w:t>
      </w:r>
      <w:r w:rsidR="009C12D0" w:rsidRPr="00C97EB8">
        <w:rPr>
          <w:rFonts w:ascii="Arial" w:eastAsia="Calibri" w:hAnsi="Arial" w:cs="Arial"/>
        </w:rPr>
        <w:t>to authorise explosives for use by visiting foreign government officials.</w:t>
      </w:r>
    </w:p>
    <w:p w14:paraId="1C5491F9" w14:textId="691D6168" w:rsidR="001B565E" w:rsidRPr="000148A0" w:rsidRDefault="00C97EB8" w:rsidP="000148A0">
      <w:pPr>
        <w:spacing w:line="240" w:lineRule="auto"/>
        <w:rPr>
          <w:rFonts w:ascii="Arial" w:eastAsia="Calibri" w:hAnsi="Arial" w:cs="Arial"/>
        </w:rPr>
      </w:pPr>
      <w:r>
        <w:rPr>
          <w:rFonts w:ascii="Arial" w:eastAsia="Calibri" w:hAnsi="Arial" w:cs="Arial"/>
        </w:rPr>
        <w:t xml:space="preserve">To ensure the new regime operates </w:t>
      </w:r>
      <w:r w:rsidR="000148A0">
        <w:rPr>
          <w:rFonts w:ascii="Arial" w:eastAsia="Calibri" w:hAnsi="Arial" w:cs="Arial"/>
        </w:rPr>
        <w:t xml:space="preserve">in a harmonised manner, it would: </w:t>
      </w:r>
    </w:p>
    <w:p w14:paraId="12EB459A" w14:textId="16D5D627" w:rsidR="00A12B00" w:rsidRPr="001C2288" w:rsidRDefault="00A12B00" w:rsidP="00A16B8A">
      <w:pPr>
        <w:pStyle w:val="ListParagraph"/>
        <w:numPr>
          <w:ilvl w:val="0"/>
          <w:numId w:val="23"/>
        </w:numPr>
        <w:spacing w:line="240" w:lineRule="auto"/>
        <w:ind w:hanging="357"/>
        <w:rPr>
          <w:rFonts w:ascii="Arial" w:eastAsia="Calibri" w:hAnsi="Arial" w:cs="Arial"/>
        </w:rPr>
      </w:pPr>
      <w:r w:rsidRPr="001C2288">
        <w:rPr>
          <w:rFonts w:ascii="Arial" w:eastAsia="Calibri" w:hAnsi="Arial" w:cs="Arial"/>
        </w:rPr>
        <w:t xml:space="preserve">Apply to the exclusion of the explosives laws of the States and Territories; </w:t>
      </w:r>
    </w:p>
    <w:p w14:paraId="66D9CF6D" w14:textId="77777777" w:rsidR="00A12B00" w:rsidRPr="001C2288" w:rsidRDefault="00A12B00" w:rsidP="00A16B8A">
      <w:pPr>
        <w:pStyle w:val="ListParagraph"/>
        <w:numPr>
          <w:ilvl w:val="0"/>
          <w:numId w:val="23"/>
        </w:numPr>
        <w:spacing w:line="240" w:lineRule="auto"/>
        <w:ind w:hanging="357"/>
        <w:rPr>
          <w:rFonts w:ascii="Arial" w:eastAsia="Calibri" w:hAnsi="Arial" w:cs="Arial"/>
        </w:rPr>
      </w:pPr>
      <w:r w:rsidRPr="001C2288">
        <w:rPr>
          <w:rFonts w:ascii="Arial" w:eastAsia="Calibri" w:hAnsi="Arial" w:cs="Arial"/>
        </w:rPr>
        <w:t xml:space="preserve">Clarify the relationship between that law and the WHS laws of the States and Territories, by providing: </w:t>
      </w:r>
    </w:p>
    <w:p w14:paraId="4CF7886D" w14:textId="77777777" w:rsidR="00A12B00" w:rsidRPr="00A12B00" w:rsidRDefault="00A12B00" w:rsidP="00A16B8A">
      <w:pPr>
        <w:numPr>
          <w:ilvl w:val="0"/>
          <w:numId w:val="22"/>
        </w:numPr>
        <w:spacing w:line="240" w:lineRule="auto"/>
        <w:ind w:hanging="357"/>
        <w:contextualSpacing/>
        <w:rPr>
          <w:rFonts w:ascii="Arial" w:eastAsia="Calibri" w:hAnsi="Arial" w:cs="Arial"/>
        </w:rPr>
      </w:pPr>
      <w:r w:rsidRPr="00A12B00">
        <w:rPr>
          <w:rFonts w:ascii="Arial" w:eastAsia="Calibri" w:hAnsi="Arial" w:cs="Arial"/>
        </w:rPr>
        <w:t xml:space="preserve">The new explosives law applies in addition to the WHS Act and the WHS/OHS laws of the States and Territories; </w:t>
      </w:r>
    </w:p>
    <w:p w14:paraId="4F3992CA" w14:textId="2F546E8A" w:rsidR="00A12B00" w:rsidRPr="00A12B00" w:rsidRDefault="00A12B00" w:rsidP="00A16B8A">
      <w:pPr>
        <w:numPr>
          <w:ilvl w:val="0"/>
          <w:numId w:val="22"/>
        </w:numPr>
        <w:spacing w:line="240" w:lineRule="auto"/>
        <w:ind w:hanging="357"/>
        <w:contextualSpacing/>
        <w:rPr>
          <w:rFonts w:ascii="Arial" w:eastAsia="Calibri" w:hAnsi="Arial" w:cs="Arial"/>
        </w:rPr>
      </w:pPr>
      <w:r w:rsidRPr="00A12B00">
        <w:rPr>
          <w:rFonts w:ascii="Arial" w:eastAsia="Calibri" w:hAnsi="Arial" w:cs="Arial"/>
        </w:rPr>
        <w:lastRenderedPageBreak/>
        <w:t>The WHS Act and the WHS</w:t>
      </w:r>
      <w:r w:rsidR="003C2CDB">
        <w:rPr>
          <w:rFonts w:ascii="Arial" w:eastAsia="Calibri" w:hAnsi="Arial" w:cs="Arial"/>
        </w:rPr>
        <w:t xml:space="preserve"> or </w:t>
      </w:r>
      <w:r w:rsidRPr="00A12B00">
        <w:rPr>
          <w:rFonts w:ascii="Arial" w:eastAsia="Calibri" w:hAnsi="Arial" w:cs="Arial"/>
        </w:rPr>
        <w:t xml:space="preserve">OHS laws of the States and Territories take priority where an inconsistency arises; and </w:t>
      </w:r>
    </w:p>
    <w:p w14:paraId="6EC13D60" w14:textId="6993EB0A" w:rsidR="00A12B00" w:rsidRDefault="00A12B00" w:rsidP="00A16B8A">
      <w:pPr>
        <w:numPr>
          <w:ilvl w:val="0"/>
          <w:numId w:val="22"/>
        </w:numPr>
        <w:spacing w:line="240" w:lineRule="auto"/>
        <w:ind w:hanging="357"/>
        <w:contextualSpacing/>
        <w:rPr>
          <w:rFonts w:ascii="Arial" w:eastAsia="Calibri" w:hAnsi="Arial" w:cs="Arial"/>
        </w:rPr>
      </w:pPr>
      <w:r w:rsidRPr="00A12B00">
        <w:rPr>
          <w:rFonts w:ascii="Arial" w:eastAsia="Calibri" w:hAnsi="Arial" w:cs="Arial"/>
        </w:rPr>
        <w:t>The conduct of a person that is an offence against the new explosives law and the WHS Act and the WHS</w:t>
      </w:r>
      <w:r w:rsidR="003C2CDB">
        <w:rPr>
          <w:rFonts w:ascii="Arial" w:eastAsia="Calibri" w:hAnsi="Arial" w:cs="Arial"/>
        </w:rPr>
        <w:t xml:space="preserve"> or </w:t>
      </w:r>
      <w:r w:rsidRPr="00A12B00">
        <w:rPr>
          <w:rFonts w:ascii="Arial" w:eastAsia="Calibri" w:hAnsi="Arial" w:cs="Arial"/>
        </w:rPr>
        <w:t>OHS laws of the States and Territories can only be punished by a court once.</w:t>
      </w:r>
    </w:p>
    <w:p w14:paraId="6AACD624" w14:textId="03A0186B" w:rsidR="005A4404" w:rsidRDefault="005A4404" w:rsidP="005A4404">
      <w:pPr>
        <w:spacing w:line="240" w:lineRule="auto"/>
        <w:contextualSpacing/>
        <w:rPr>
          <w:rFonts w:ascii="Arial" w:eastAsia="Calibri" w:hAnsi="Arial" w:cs="Arial"/>
        </w:rPr>
      </w:pPr>
    </w:p>
    <w:p w14:paraId="2D726E43" w14:textId="7E5E39EF" w:rsidR="005A4404" w:rsidRDefault="005A4404" w:rsidP="005A4404">
      <w:pPr>
        <w:spacing w:after="0" w:line="240" w:lineRule="auto"/>
        <w:rPr>
          <w:rFonts w:ascii="Arial" w:eastAsia="Calibri" w:hAnsi="Arial" w:cs="Arial"/>
          <w:color w:val="997339"/>
        </w:rPr>
      </w:pPr>
      <w:r w:rsidRPr="00A12B00">
        <w:rPr>
          <w:rFonts w:ascii="Arial" w:eastAsia="Calibri" w:hAnsi="Arial" w:cs="Arial"/>
          <w:color w:val="997339"/>
        </w:rPr>
        <w:t>3.3.</w:t>
      </w:r>
      <w:r>
        <w:rPr>
          <w:rFonts w:ascii="Arial" w:eastAsia="Calibri" w:hAnsi="Arial" w:cs="Arial"/>
          <w:color w:val="997339"/>
        </w:rPr>
        <w:t>4 Additional Amendments</w:t>
      </w:r>
    </w:p>
    <w:p w14:paraId="7FE18280" w14:textId="464E65BF" w:rsidR="005A4404" w:rsidRPr="00425D4D" w:rsidRDefault="005A4404" w:rsidP="00D60B46">
      <w:pPr>
        <w:spacing w:line="240" w:lineRule="auto"/>
        <w:rPr>
          <w:rFonts w:ascii="Arial" w:eastAsia="Calibri" w:hAnsi="Arial" w:cs="Arial"/>
        </w:rPr>
      </w:pPr>
      <w:r w:rsidRPr="00425D4D">
        <w:rPr>
          <w:rFonts w:ascii="Arial" w:eastAsia="Calibri" w:hAnsi="Arial" w:cs="Arial"/>
        </w:rPr>
        <w:t>In addition to the prece</w:t>
      </w:r>
      <w:r w:rsidR="006C47A6" w:rsidRPr="00425D4D">
        <w:rPr>
          <w:rFonts w:ascii="Arial" w:eastAsia="Calibri" w:hAnsi="Arial" w:cs="Arial"/>
        </w:rPr>
        <w:t xml:space="preserve">ding </w:t>
      </w:r>
      <w:r w:rsidR="00425D4D" w:rsidRPr="00425D4D">
        <w:rPr>
          <w:rFonts w:ascii="Arial" w:eastAsia="Calibri" w:hAnsi="Arial" w:cs="Arial"/>
        </w:rPr>
        <w:t xml:space="preserve">identified </w:t>
      </w:r>
      <w:r w:rsidR="006C47A6" w:rsidRPr="00425D4D">
        <w:rPr>
          <w:rFonts w:ascii="Arial" w:eastAsia="Calibri" w:hAnsi="Arial" w:cs="Arial"/>
        </w:rPr>
        <w:t xml:space="preserve">categories </w:t>
      </w:r>
      <w:r w:rsidR="00425D4D" w:rsidRPr="00425D4D">
        <w:rPr>
          <w:rFonts w:ascii="Arial" w:eastAsia="Calibri" w:hAnsi="Arial" w:cs="Arial"/>
        </w:rPr>
        <w:t>of</w:t>
      </w:r>
      <w:r w:rsidR="006C47A6" w:rsidRPr="00425D4D">
        <w:rPr>
          <w:rFonts w:ascii="Arial" w:eastAsia="Calibri" w:hAnsi="Arial" w:cs="Arial"/>
        </w:rPr>
        <w:t xml:space="preserve"> reform, </w:t>
      </w:r>
      <w:r w:rsidR="00425D4D" w:rsidRPr="00425D4D">
        <w:rPr>
          <w:rFonts w:ascii="Arial" w:eastAsia="Calibri" w:hAnsi="Arial" w:cs="Arial"/>
        </w:rPr>
        <w:t xml:space="preserve">the following amendments will also feature in the new Commonwealth explosives regulatory regime: </w:t>
      </w:r>
    </w:p>
    <w:p w14:paraId="0D062EE8" w14:textId="42F13596" w:rsidR="00C47279" w:rsidRPr="00F7307D" w:rsidRDefault="00FF5B11" w:rsidP="00A16B8A">
      <w:pPr>
        <w:pStyle w:val="ListParagraph"/>
        <w:numPr>
          <w:ilvl w:val="0"/>
          <w:numId w:val="29"/>
        </w:numPr>
        <w:tabs>
          <w:tab w:val="clear" w:pos="340"/>
          <w:tab w:val="num" w:pos="-1815"/>
        </w:tabs>
        <w:spacing w:line="264" w:lineRule="auto"/>
        <w:ind w:left="284" w:hanging="284"/>
        <w:rPr>
          <w:rFonts w:ascii="Arial" w:eastAsia="Calibri" w:hAnsi="Arial" w:cs="Arial"/>
        </w:rPr>
      </w:pPr>
      <w:r>
        <w:rPr>
          <w:rFonts w:ascii="Arial" w:eastAsia="Calibri" w:hAnsi="Arial" w:cs="Arial"/>
        </w:rPr>
        <w:t>Provision for</w:t>
      </w:r>
      <w:r w:rsidR="00C47279" w:rsidRPr="00F7307D">
        <w:rPr>
          <w:rFonts w:ascii="Arial" w:eastAsia="Calibri" w:hAnsi="Arial" w:cs="Arial"/>
        </w:rPr>
        <w:t xml:space="preserve"> appropriate officers of Commonwealth agencies to determine and authorise which explosives are required for the performance of the functions of each agency and members of visiting foreign forces in Australia;</w:t>
      </w:r>
    </w:p>
    <w:p w14:paraId="41424150" w14:textId="206BA688" w:rsidR="00C47279" w:rsidRPr="00F7307D" w:rsidRDefault="00FF5B11" w:rsidP="00A16B8A">
      <w:pPr>
        <w:pStyle w:val="ListParagraph"/>
        <w:numPr>
          <w:ilvl w:val="0"/>
          <w:numId w:val="29"/>
        </w:numPr>
        <w:tabs>
          <w:tab w:val="clear" w:pos="340"/>
          <w:tab w:val="num" w:pos="-1815"/>
        </w:tabs>
        <w:spacing w:line="264" w:lineRule="auto"/>
        <w:ind w:left="284" w:hanging="284"/>
        <w:rPr>
          <w:rFonts w:ascii="Arial" w:eastAsia="Calibri" w:hAnsi="Arial" w:cs="Arial"/>
        </w:rPr>
      </w:pPr>
      <w:r>
        <w:rPr>
          <w:rFonts w:ascii="Arial" w:eastAsia="Calibri" w:hAnsi="Arial" w:cs="Arial"/>
        </w:rPr>
        <w:t>Requirements for</w:t>
      </w:r>
      <w:r w:rsidR="00C47279" w:rsidRPr="00F7307D">
        <w:rPr>
          <w:rFonts w:ascii="Arial" w:eastAsia="Calibri" w:hAnsi="Arial" w:cs="Arial"/>
        </w:rPr>
        <w:t xml:space="preserve"> appropriate officers of Commonwealth agencies to keep and maintain a register of those explosives; </w:t>
      </w:r>
    </w:p>
    <w:p w14:paraId="25D07B65" w14:textId="44CB3EE5" w:rsidR="00C47279" w:rsidRPr="00F7307D" w:rsidRDefault="00FF5B11" w:rsidP="00A16B8A">
      <w:pPr>
        <w:pStyle w:val="ListParagraph"/>
        <w:numPr>
          <w:ilvl w:val="0"/>
          <w:numId w:val="29"/>
        </w:numPr>
        <w:tabs>
          <w:tab w:val="clear" w:pos="340"/>
          <w:tab w:val="num" w:pos="-1815"/>
        </w:tabs>
        <w:spacing w:line="264" w:lineRule="auto"/>
        <w:ind w:left="284" w:hanging="284"/>
        <w:rPr>
          <w:rFonts w:ascii="Arial" w:eastAsia="Calibri" w:hAnsi="Arial" w:cs="Arial"/>
        </w:rPr>
      </w:pPr>
      <w:r>
        <w:rPr>
          <w:rFonts w:ascii="Arial" w:eastAsia="Calibri" w:hAnsi="Arial" w:cs="Arial"/>
        </w:rPr>
        <w:t>Creation of</w:t>
      </w:r>
      <w:r w:rsidR="00C47279" w:rsidRPr="00F7307D">
        <w:rPr>
          <w:rFonts w:ascii="Arial" w:eastAsia="Calibri" w:hAnsi="Arial" w:cs="Arial"/>
        </w:rPr>
        <w:t xml:space="preserve"> offence</w:t>
      </w:r>
      <w:r>
        <w:rPr>
          <w:rFonts w:ascii="Arial" w:eastAsia="Calibri" w:hAnsi="Arial" w:cs="Arial"/>
        </w:rPr>
        <w:t>s</w:t>
      </w:r>
      <w:r w:rsidR="00C47279" w:rsidRPr="00F7307D">
        <w:rPr>
          <w:rFonts w:ascii="Arial" w:eastAsia="Calibri" w:hAnsi="Arial" w:cs="Arial"/>
        </w:rPr>
        <w:t xml:space="preserve"> in relation to the use of an explosive that is not authorised in accordance with the new explosives la</w:t>
      </w:r>
      <w:r>
        <w:rPr>
          <w:rFonts w:ascii="Arial" w:eastAsia="Calibri" w:hAnsi="Arial" w:cs="Arial"/>
        </w:rPr>
        <w:t xml:space="preserve">w; </w:t>
      </w:r>
    </w:p>
    <w:p w14:paraId="1FAA426A" w14:textId="7A3EF770" w:rsidR="009D6625" w:rsidRPr="00F7307D" w:rsidRDefault="00D60B46" w:rsidP="00A16B8A">
      <w:pPr>
        <w:pStyle w:val="ListParagraph"/>
        <w:numPr>
          <w:ilvl w:val="0"/>
          <w:numId w:val="29"/>
        </w:numPr>
        <w:tabs>
          <w:tab w:val="clear" w:pos="340"/>
          <w:tab w:val="num" w:pos="-1815"/>
        </w:tabs>
        <w:spacing w:line="264" w:lineRule="auto"/>
        <w:ind w:left="284" w:hanging="284"/>
        <w:rPr>
          <w:rFonts w:ascii="Arial" w:eastAsia="Calibri" w:hAnsi="Arial" w:cs="Arial"/>
        </w:rPr>
      </w:pPr>
      <w:r>
        <w:rPr>
          <w:rFonts w:ascii="Arial" w:eastAsia="Calibri" w:hAnsi="Arial" w:cs="Arial"/>
        </w:rPr>
        <w:t>Definition of</w:t>
      </w:r>
      <w:r w:rsidR="009D6625" w:rsidRPr="00F7307D">
        <w:rPr>
          <w:rFonts w:ascii="Arial" w:eastAsia="Calibri" w:hAnsi="Arial" w:cs="Arial"/>
        </w:rPr>
        <w:t xml:space="preserve"> the activities relating to explosives that are to be regulated by the new Commonwealth explosives law</w:t>
      </w:r>
      <w:r>
        <w:rPr>
          <w:rFonts w:ascii="Arial" w:eastAsia="Calibri" w:hAnsi="Arial" w:cs="Arial"/>
        </w:rPr>
        <w:t xml:space="preserve">; </w:t>
      </w:r>
    </w:p>
    <w:p w14:paraId="50EC2B9B" w14:textId="669107B0" w:rsidR="00055C8D" w:rsidRPr="00F7307D" w:rsidRDefault="00D60B46" w:rsidP="00A16B8A">
      <w:pPr>
        <w:pStyle w:val="ListParagraph"/>
        <w:numPr>
          <w:ilvl w:val="0"/>
          <w:numId w:val="29"/>
        </w:numPr>
        <w:tabs>
          <w:tab w:val="clear" w:pos="340"/>
          <w:tab w:val="num" w:pos="-1815"/>
        </w:tabs>
        <w:spacing w:line="264" w:lineRule="auto"/>
        <w:ind w:left="284" w:hanging="284"/>
        <w:rPr>
          <w:rFonts w:ascii="Arial" w:eastAsia="Calibri" w:hAnsi="Arial" w:cs="Arial"/>
        </w:rPr>
      </w:pPr>
      <w:r>
        <w:rPr>
          <w:rFonts w:ascii="Arial" w:eastAsia="Calibri" w:hAnsi="Arial" w:cs="Arial"/>
        </w:rPr>
        <w:t xml:space="preserve">Prescription of </w:t>
      </w:r>
      <w:r w:rsidR="00055C8D" w:rsidRPr="00F7307D">
        <w:rPr>
          <w:rFonts w:ascii="Arial" w:eastAsia="Calibri" w:hAnsi="Arial" w:cs="Arial"/>
        </w:rPr>
        <w:t>safety and security duties of specified persons across the range of activities involving explosives, and the circumstances in which those duties arise; and</w:t>
      </w:r>
    </w:p>
    <w:p w14:paraId="48A2207C" w14:textId="2319977A" w:rsidR="00425D4D" w:rsidRPr="00D60B46" w:rsidRDefault="00D60B46" w:rsidP="00A16B8A">
      <w:pPr>
        <w:pStyle w:val="ListParagraph"/>
        <w:numPr>
          <w:ilvl w:val="0"/>
          <w:numId w:val="29"/>
        </w:numPr>
        <w:tabs>
          <w:tab w:val="clear" w:pos="340"/>
          <w:tab w:val="num" w:pos="-1815"/>
        </w:tabs>
        <w:spacing w:after="0" w:line="240" w:lineRule="auto"/>
        <w:ind w:left="284" w:hanging="284"/>
        <w:rPr>
          <w:rFonts w:ascii="Arial" w:eastAsia="Calibri" w:hAnsi="Arial" w:cs="Arial"/>
        </w:rPr>
      </w:pPr>
      <w:r w:rsidRPr="00D60B46">
        <w:rPr>
          <w:rFonts w:ascii="Arial" w:eastAsia="Calibri" w:hAnsi="Arial" w:cs="Arial"/>
        </w:rPr>
        <w:t>As part of those duties,</w:t>
      </w:r>
      <w:r w:rsidR="00055C8D" w:rsidRPr="00D60B46">
        <w:rPr>
          <w:rFonts w:ascii="Arial" w:eastAsia="Calibri" w:hAnsi="Arial" w:cs="Arial"/>
        </w:rPr>
        <w:t xml:space="preserve"> obligation</w:t>
      </w:r>
      <w:r w:rsidRPr="00D60B46">
        <w:rPr>
          <w:rFonts w:ascii="Arial" w:eastAsia="Calibri" w:hAnsi="Arial" w:cs="Arial"/>
        </w:rPr>
        <w:t>s</w:t>
      </w:r>
      <w:r w:rsidR="00055C8D" w:rsidRPr="00D60B46">
        <w:rPr>
          <w:rFonts w:ascii="Arial" w:eastAsia="Calibri" w:hAnsi="Arial" w:cs="Arial"/>
        </w:rPr>
        <w:t xml:space="preserve"> to implement, maintain and comply with a safety and security management system that ensures regulated activities involving explosives are, so far as reasonably practicable, safe and secure</w:t>
      </w:r>
      <w:r>
        <w:rPr>
          <w:rFonts w:ascii="Arial" w:eastAsia="Calibri" w:hAnsi="Arial" w:cs="Arial"/>
        </w:rPr>
        <w:t xml:space="preserve">. </w:t>
      </w:r>
    </w:p>
    <w:p w14:paraId="2FD58595" w14:textId="77777777" w:rsidR="005A4404" w:rsidRPr="00A12B00" w:rsidRDefault="005A4404" w:rsidP="005A4404">
      <w:pPr>
        <w:spacing w:line="240" w:lineRule="auto"/>
        <w:contextualSpacing/>
        <w:rPr>
          <w:rFonts w:ascii="Arial" w:eastAsia="Calibri" w:hAnsi="Arial" w:cs="Arial"/>
        </w:rPr>
      </w:pPr>
    </w:p>
    <w:p w14:paraId="065C7E98" w14:textId="77777777" w:rsidR="00A12B00" w:rsidRPr="00A12B00" w:rsidRDefault="00A12B00" w:rsidP="001C2288">
      <w:pPr>
        <w:spacing w:line="240" w:lineRule="auto"/>
        <w:rPr>
          <w:rFonts w:ascii="Arial" w:eastAsia="Calibri" w:hAnsi="Arial" w:cs="Arial"/>
        </w:rPr>
      </w:pPr>
      <w:r w:rsidRPr="00A12B00">
        <w:rPr>
          <w:rFonts w:ascii="Arial" w:eastAsia="Calibri" w:hAnsi="Arial" w:cs="Arial"/>
        </w:rPr>
        <w:br w:type="page"/>
      </w:r>
    </w:p>
    <w:p w14:paraId="2571444B" w14:textId="77777777" w:rsidR="00A12B00" w:rsidRPr="00A12B00" w:rsidRDefault="00A12B00" w:rsidP="00A12B00">
      <w:pPr>
        <w:keepNext/>
        <w:keepLines/>
        <w:numPr>
          <w:ilvl w:val="0"/>
          <w:numId w:val="1"/>
        </w:numPr>
        <w:spacing w:before="240" w:after="0"/>
        <w:outlineLvl w:val="0"/>
        <w:rPr>
          <w:rFonts w:ascii="Georgia" w:eastAsia="Times New Roman" w:hAnsi="Georgia" w:cs="Arial"/>
          <w:b/>
          <w:bCs/>
          <w:color w:val="F07F09"/>
          <w:sz w:val="32"/>
          <w:szCs w:val="32"/>
        </w:rPr>
      </w:pPr>
      <w:bookmarkStart w:id="56" w:name="_Toc101961123"/>
      <w:r w:rsidRPr="00A12B00">
        <w:rPr>
          <w:rFonts w:ascii="Georgia" w:eastAsia="Times New Roman" w:hAnsi="Georgia" w:cs="Arial"/>
          <w:b/>
          <w:bCs/>
          <w:color w:val="F07F09"/>
          <w:sz w:val="32"/>
          <w:szCs w:val="32"/>
        </w:rPr>
        <w:lastRenderedPageBreak/>
        <w:t>What is the likely net benefit of each option?</w:t>
      </w:r>
      <w:bookmarkEnd w:id="56"/>
      <w:r w:rsidRPr="00A12B00">
        <w:rPr>
          <w:rFonts w:ascii="Georgia" w:eastAsia="Times New Roman" w:hAnsi="Georgia" w:cs="Arial"/>
          <w:b/>
          <w:bCs/>
          <w:color w:val="F07F09"/>
          <w:sz w:val="32"/>
          <w:szCs w:val="32"/>
        </w:rPr>
        <w:t xml:space="preserve"> </w:t>
      </w:r>
    </w:p>
    <w:p w14:paraId="53EE6366" w14:textId="7F26747C" w:rsidR="00B41F86" w:rsidRPr="00A12B00" w:rsidRDefault="00A12B00" w:rsidP="0069668B">
      <w:pPr>
        <w:spacing w:line="240" w:lineRule="auto"/>
        <w:rPr>
          <w:rFonts w:ascii="Arial" w:eastAsia="Times New Roman" w:hAnsi="Arial" w:cs="Arial"/>
        </w:rPr>
      </w:pPr>
      <w:r w:rsidRPr="002476D0">
        <w:rPr>
          <w:rFonts w:ascii="Arial" w:eastAsia="Times New Roman" w:hAnsi="Arial" w:cs="Arial"/>
        </w:rPr>
        <w:t>This section</w:t>
      </w:r>
      <w:r w:rsidR="0069668B">
        <w:rPr>
          <w:rFonts w:ascii="Arial" w:eastAsia="Times New Roman" w:hAnsi="Arial" w:cs="Arial"/>
        </w:rPr>
        <w:t xml:space="preserve"> </w:t>
      </w:r>
      <w:r w:rsidR="00E5029B">
        <w:rPr>
          <w:rFonts w:ascii="Arial" w:eastAsia="Times New Roman" w:hAnsi="Arial" w:cs="Arial"/>
        </w:rPr>
        <w:t>contain</w:t>
      </w:r>
      <w:r w:rsidR="0069668B">
        <w:rPr>
          <w:rFonts w:ascii="Arial" w:eastAsia="Times New Roman" w:hAnsi="Arial" w:cs="Arial"/>
        </w:rPr>
        <w:t>s an impact analysis, including</w:t>
      </w:r>
      <w:r w:rsidRPr="002476D0">
        <w:rPr>
          <w:rFonts w:ascii="Arial" w:eastAsia="Times New Roman" w:hAnsi="Arial" w:cs="Arial"/>
        </w:rPr>
        <w:t xml:space="preserve"> costs and benefits</w:t>
      </w:r>
      <w:r w:rsidR="0069668B">
        <w:rPr>
          <w:rFonts w:ascii="Arial" w:eastAsia="Times New Roman" w:hAnsi="Arial" w:cs="Arial"/>
        </w:rPr>
        <w:t>,</w:t>
      </w:r>
      <w:r w:rsidRPr="002476D0">
        <w:rPr>
          <w:rFonts w:ascii="Arial" w:eastAsia="Times New Roman" w:hAnsi="Arial" w:cs="Arial"/>
        </w:rPr>
        <w:t xml:space="preserve"> associated with </w:t>
      </w:r>
      <w:r w:rsidR="0069668B">
        <w:rPr>
          <w:rFonts w:ascii="Arial" w:eastAsia="Times New Roman" w:hAnsi="Arial" w:cs="Arial"/>
        </w:rPr>
        <w:t xml:space="preserve">each </w:t>
      </w:r>
      <w:r w:rsidRPr="002476D0">
        <w:rPr>
          <w:rFonts w:ascii="Arial" w:eastAsia="Times New Roman" w:hAnsi="Arial" w:cs="Arial"/>
        </w:rPr>
        <w:t xml:space="preserve">option considered in this RIS, </w:t>
      </w:r>
      <w:r w:rsidR="002476D0" w:rsidRPr="002476D0">
        <w:rPr>
          <w:rFonts w:ascii="Arial" w:eastAsia="Times New Roman" w:hAnsi="Arial" w:cs="Arial"/>
        </w:rPr>
        <w:t>to</w:t>
      </w:r>
      <w:r w:rsidRPr="002476D0">
        <w:rPr>
          <w:rFonts w:ascii="Arial" w:eastAsia="Times New Roman" w:hAnsi="Arial" w:cs="Arial"/>
        </w:rPr>
        <w:t xml:space="preserve"> determine </w:t>
      </w:r>
      <w:r w:rsidR="0069668B">
        <w:rPr>
          <w:rFonts w:ascii="Arial" w:eastAsia="Times New Roman" w:hAnsi="Arial" w:cs="Arial"/>
        </w:rPr>
        <w:t xml:space="preserve">(in a future RIS version) </w:t>
      </w:r>
      <w:r w:rsidRPr="002476D0">
        <w:rPr>
          <w:rFonts w:ascii="Arial" w:eastAsia="Times New Roman" w:hAnsi="Arial" w:cs="Arial"/>
        </w:rPr>
        <w:t xml:space="preserve">the likely net benefit of each option. </w:t>
      </w:r>
      <w:r w:rsidR="009A21FB" w:rsidRPr="002476D0">
        <w:rPr>
          <w:rFonts w:ascii="Arial" w:eastAsia="Times New Roman" w:hAnsi="Arial" w:cs="Arial"/>
        </w:rPr>
        <w:t xml:space="preserve">At this stage in the RIS </w:t>
      </w:r>
      <w:r w:rsidR="002476D0" w:rsidRPr="002476D0">
        <w:rPr>
          <w:rFonts w:ascii="Arial" w:eastAsia="Times New Roman" w:hAnsi="Arial" w:cs="Arial"/>
        </w:rPr>
        <w:t xml:space="preserve">and broader policy development </w:t>
      </w:r>
      <w:r w:rsidR="009A21FB" w:rsidRPr="002476D0">
        <w:rPr>
          <w:rFonts w:ascii="Arial" w:eastAsia="Times New Roman" w:hAnsi="Arial" w:cs="Arial"/>
        </w:rPr>
        <w:t>process,</w:t>
      </w:r>
      <w:r w:rsidR="002476D0" w:rsidRPr="002476D0">
        <w:rPr>
          <w:rFonts w:ascii="Arial" w:eastAsia="Times New Roman" w:hAnsi="Arial" w:cs="Arial"/>
        </w:rPr>
        <w:t xml:space="preserve"> focus has been placed on identifying the relevant </w:t>
      </w:r>
      <w:r w:rsidR="0069668B">
        <w:rPr>
          <w:rFonts w:ascii="Arial" w:eastAsia="Times New Roman" w:hAnsi="Arial" w:cs="Arial"/>
        </w:rPr>
        <w:t xml:space="preserve">categories of </w:t>
      </w:r>
      <w:r w:rsidR="002476D0" w:rsidRPr="002476D0">
        <w:rPr>
          <w:rFonts w:ascii="Arial" w:eastAsia="Times New Roman" w:hAnsi="Arial" w:cs="Arial"/>
        </w:rPr>
        <w:t>costs and benefits. Where possible, the below analysis indicates th</w:t>
      </w:r>
      <w:r w:rsidR="0069668B">
        <w:rPr>
          <w:rFonts w:ascii="Arial" w:eastAsia="Times New Roman" w:hAnsi="Arial" w:cs="Arial"/>
        </w:rPr>
        <w:t>ose</w:t>
      </w:r>
      <w:r w:rsidR="002476D0" w:rsidRPr="002476D0">
        <w:rPr>
          <w:rFonts w:ascii="Arial" w:eastAsia="Times New Roman" w:hAnsi="Arial" w:cs="Arial"/>
        </w:rPr>
        <w:t xml:space="preserve"> costs and benefits which may be capable of quantification in a later version of the RIS. Discussion of qualitative benefits will supplement this analysis.</w:t>
      </w:r>
    </w:p>
    <w:p w14:paraId="44859D62" w14:textId="77777777" w:rsidR="00A12B00" w:rsidRPr="00A12B00" w:rsidRDefault="00A12B00" w:rsidP="0069668B">
      <w:pPr>
        <w:spacing w:line="240" w:lineRule="auto"/>
        <w:rPr>
          <w:rFonts w:ascii="Arial" w:eastAsia="Times New Roman" w:hAnsi="Arial" w:cs="Arial"/>
          <w:color w:val="B35E06"/>
          <w:sz w:val="26"/>
          <w:szCs w:val="26"/>
        </w:rPr>
      </w:pPr>
      <w:r w:rsidRPr="00A12B00">
        <w:rPr>
          <w:rFonts w:ascii="Arial" w:eastAsia="Times New Roman" w:hAnsi="Arial" w:cs="Arial"/>
          <w:color w:val="B35E06"/>
          <w:sz w:val="26"/>
          <w:szCs w:val="26"/>
        </w:rPr>
        <w:t>4.1 Methodology</w:t>
      </w:r>
    </w:p>
    <w:p w14:paraId="4CAD7433" w14:textId="3CF01C5F" w:rsidR="002476D0" w:rsidRDefault="002476D0" w:rsidP="00AB5E5D">
      <w:pPr>
        <w:spacing w:after="0" w:line="240" w:lineRule="auto"/>
        <w:jc w:val="both"/>
        <w:rPr>
          <w:rFonts w:ascii="Arial" w:eastAsia="Calibri" w:hAnsi="Arial" w:cs="Arial"/>
          <w:color w:val="997339"/>
        </w:rPr>
      </w:pPr>
      <w:r>
        <w:rPr>
          <w:rFonts w:ascii="Arial" w:eastAsia="Calibri" w:hAnsi="Arial" w:cs="Arial"/>
          <w:color w:val="997339"/>
        </w:rPr>
        <w:t>4.1.1 Determining Costs and Benefits</w:t>
      </w:r>
    </w:p>
    <w:p w14:paraId="78FD18A9" w14:textId="4A1B02D4" w:rsidR="002E36DA" w:rsidRPr="001E4807" w:rsidRDefault="0069668B" w:rsidP="00AB5E5D">
      <w:pPr>
        <w:spacing w:line="240" w:lineRule="auto"/>
        <w:rPr>
          <w:rFonts w:ascii="Arial" w:eastAsia="Times New Roman" w:hAnsi="Arial" w:cs="Arial"/>
        </w:rPr>
      </w:pPr>
      <w:r w:rsidRPr="001E4807">
        <w:rPr>
          <w:rFonts w:ascii="Arial" w:eastAsia="Times New Roman" w:hAnsi="Arial" w:cs="Arial"/>
        </w:rPr>
        <w:t xml:space="preserve">The following impact analysis has been considered across two levels: </w:t>
      </w:r>
    </w:p>
    <w:p w14:paraId="20A7F951" w14:textId="121E8F5C" w:rsidR="002E36DA" w:rsidRPr="001E4807" w:rsidRDefault="002E36DA" w:rsidP="00A16B8A">
      <w:pPr>
        <w:numPr>
          <w:ilvl w:val="0"/>
          <w:numId w:val="30"/>
        </w:numPr>
        <w:spacing w:line="240" w:lineRule="auto"/>
        <w:ind w:left="357" w:hanging="357"/>
        <w:rPr>
          <w:rFonts w:ascii="Arial" w:eastAsia="Times New Roman" w:hAnsi="Arial" w:cs="Arial"/>
        </w:rPr>
      </w:pPr>
      <w:r w:rsidRPr="001E4807">
        <w:rPr>
          <w:rFonts w:ascii="Arial" w:eastAsia="Times New Roman" w:hAnsi="Arial" w:cs="Arial"/>
          <w:b/>
          <w:bCs/>
        </w:rPr>
        <w:t>Overall impacts</w:t>
      </w:r>
      <w:r w:rsidR="0069668B" w:rsidRPr="001E4807">
        <w:rPr>
          <w:rFonts w:ascii="Arial" w:eastAsia="Times New Roman" w:hAnsi="Arial" w:cs="Arial"/>
        </w:rPr>
        <w:t xml:space="preserve">, </w:t>
      </w:r>
      <w:r w:rsidRPr="001E4807">
        <w:rPr>
          <w:rFonts w:ascii="Arial" w:eastAsia="Times New Roman" w:hAnsi="Arial" w:cs="Arial"/>
        </w:rPr>
        <w:t>including economic, competition, social, environmental or other</w:t>
      </w:r>
      <w:r w:rsidR="00C63160">
        <w:rPr>
          <w:rFonts w:ascii="Arial" w:eastAsia="Times New Roman" w:hAnsi="Arial" w:cs="Arial"/>
        </w:rPr>
        <w:t>.</w:t>
      </w:r>
    </w:p>
    <w:p w14:paraId="67145DE2" w14:textId="7B6B7C5D" w:rsidR="002E36DA" w:rsidRPr="001E4807" w:rsidRDefault="002E36DA" w:rsidP="00A16B8A">
      <w:pPr>
        <w:numPr>
          <w:ilvl w:val="0"/>
          <w:numId w:val="30"/>
        </w:numPr>
        <w:spacing w:line="240" w:lineRule="auto"/>
        <w:ind w:left="357" w:hanging="357"/>
        <w:rPr>
          <w:rFonts w:ascii="Arial" w:eastAsia="Times New Roman" w:hAnsi="Arial" w:cs="Arial"/>
        </w:rPr>
      </w:pPr>
      <w:r w:rsidRPr="001E4807">
        <w:rPr>
          <w:rFonts w:ascii="Arial" w:eastAsia="Times New Roman" w:hAnsi="Arial" w:cs="Arial"/>
          <w:b/>
          <w:bCs/>
        </w:rPr>
        <w:t>Regulatory impacts</w:t>
      </w:r>
      <w:r w:rsidR="0069668B" w:rsidRPr="001E4807">
        <w:rPr>
          <w:rFonts w:ascii="Arial" w:eastAsia="Times New Roman" w:hAnsi="Arial" w:cs="Arial"/>
        </w:rPr>
        <w:t xml:space="preserve">, </w:t>
      </w:r>
      <w:r w:rsidRPr="001E4807">
        <w:rPr>
          <w:rFonts w:ascii="Arial" w:eastAsia="Times New Roman" w:hAnsi="Arial" w:cs="Arial"/>
        </w:rPr>
        <w:t xml:space="preserve">a subset of the overall impacts, specifically focused upon the regulatory impacts involved in each option and the </w:t>
      </w:r>
      <w:r w:rsidR="00761C96" w:rsidRPr="001E4807">
        <w:rPr>
          <w:rFonts w:ascii="Arial" w:eastAsia="Times New Roman" w:hAnsi="Arial" w:cs="Arial"/>
        </w:rPr>
        <w:t xml:space="preserve">anticipated </w:t>
      </w:r>
      <w:r w:rsidRPr="001E4807">
        <w:rPr>
          <w:rFonts w:ascii="Arial" w:eastAsia="Times New Roman" w:hAnsi="Arial" w:cs="Arial"/>
        </w:rPr>
        <w:t>burden on regulated entities.</w:t>
      </w:r>
    </w:p>
    <w:p w14:paraId="13628F8E" w14:textId="77777777" w:rsidR="002E36DA" w:rsidRPr="001E4807" w:rsidRDefault="002E36DA" w:rsidP="00AB5E5D">
      <w:pPr>
        <w:spacing w:line="240" w:lineRule="auto"/>
        <w:rPr>
          <w:rFonts w:ascii="Arial" w:eastAsia="Times New Roman" w:hAnsi="Arial" w:cs="Arial"/>
        </w:rPr>
      </w:pPr>
      <w:r w:rsidRPr="001E4807">
        <w:rPr>
          <w:rFonts w:ascii="Arial" w:eastAsia="Times New Roman" w:hAnsi="Arial" w:cs="Arial"/>
        </w:rPr>
        <w:t xml:space="preserve">Each level of analysis takes a different approach, and focuses on different stakeholder groups, as set out in further detail below. </w:t>
      </w:r>
    </w:p>
    <w:p w14:paraId="627D38E8" w14:textId="4E5E8E7A" w:rsidR="002E36DA" w:rsidRPr="00C47A39" w:rsidRDefault="00F0517B" w:rsidP="00AB5E5D">
      <w:pPr>
        <w:spacing w:after="0" w:line="240" w:lineRule="auto"/>
        <w:rPr>
          <w:rFonts w:ascii="Arial" w:eastAsia="Calibri" w:hAnsi="Arial" w:cs="Arial"/>
          <w:b/>
          <w:bCs/>
          <w:i/>
          <w:iCs/>
          <w:color w:val="997339"/>
        </w:rPr>
      </w:pPr>
      <w:r w:rsidRPr="00C47A39">
        <w:rPr>
          <w:rFonts w:ascii="Arial" w:eastAsia="Calibri" w:hAnsi="Arial" w:cs="Arial"/>
          <w:b/>
          <w:bCs/>
          <w:i/>
          <w:iCs/>
          <w:color w:val="997339"/>
        </w:rPr>
        <w:t xml:space="preserve">Regulatory Impacts </w:t>
      </w:r>
    </w:p>
    <w:p w14:paraId="5FAF757A" w14:textId="23089709" w:rsidR="00F0517B" w:rsidRPr="001E4807" w:rsidRDefault="00F0517B" w:rsidP="00AB5E5D">
      <w:pPr>
        <w:spacing w:line="240" w:lineRule="auto"/>
        <w:rPr>
          <w:rFonts w:ascii="Arial" w:eastAsia="Yu Gothic Light" w:hAnsi="Arial" w:cs="Arial"/>
        </w:rPr>
      </w:pPr>
      <w:r w:rsidRPr="001E4807">
        <w:rPr>
          <w:rFonts w:ascii="Arial" w:eastAsia="Yu Gothic Light" w:hAnsi="Arial" w:cs="Arial"/>
        </w:rPr>
        <w:t xml:space="preserve">Regulatory costs form a subset of the overall impacts (costs and benefits) of </w:t>
      </w:r>
      <w:r w:rsidR="00761C96" w:rsidRPr="001E4807">
        <w:rPr>
          <w:rFonts w:ascii="Arial" w:eastAsia="Yu Gothic Light" w:hAnsi="Arial" w:cs="Arial"/>
        </w:rPr>
        <w:t>each option considered by this RIS</w:t>
      </w:r>
      <w:r w:rsidRPr="001E4807">
        <w:rPr>
          <w:rFonts w:ascii="Arial" w:eastAsia="Yu Gothic Light" w:hAnsi="Arial" w:cs="Arial"/>
        </w:rPr>
        <w:t>.  It is an Australian</w:t>
      </w:r>
      <w:r w:rsidR="00761C96" w:rsidRPr="001E4807">
        <w:rPr>
          <w:rFonts w:ascii="Arial" w:eastAsia="Yu Gothic Light" w:hAnsi="Arial" w:cs="Arial"/>
        </w:rPr>
        <w:t xml:space="preserve"> G</w:t>
      </w:r>
      <w:r w:rsidRPr="001E4807">
        <w:rPr>
          <w:rFonts w:ascii="Arial" w:eastAsia="Yu Gothic Light" w:hAnsi="Arial" w:cs="Arial"/>
        </w:rPr>
        <w:t xml:space="preserve">overnment requirement that any proposed new or changed regulation </w:t>
      </w:r>
      <w:r w:rsidR="00761C96" w:rsidRPr="001E4807">
        <w:rPr>
          <w:rFonts w:ascii="Arial" w:eastAsia="Yu Gothic Light" w:hAnsi="Arial" w:cs="Arial"/>
        </w:rPr>
        <w:t>includes</w:t>
      </w:r>
      <w:r w:rsidRPr="001E4807">
        <w:rPr>
          <w:rFonts w:ascii="Arial" w:eastAsia="Yu Gothic Light" w:hAnsi="Arial" w:cs="Arial"/>
        </w:rPr>
        <w:t xml:space="preserve"> quantification of the </w:t>
      </w:r>
      <w:r w:rsidR="00761C96" w:rsidRPr="001E4807">
        <w:rPr>
          <w:rFonts w:ascii="Arial" w:eastAsia="Yu Gothic Light" w:hAnsi="Arial" w:cs="Arial"/>
        </w:rPr>
        <w:t>anticipated impact on the</w:t>
      </w:r>
      <w:r w:rsidRPr="001E4807">
        <w:rPr>
          <w:rFonts w:ascii="Arial" w:eastAsia="Yu Gothic Light" w:hAnsi="Arial" w:cs="Arial"/>
        </w:rPr>
        <w:t xml:space="preserve"> regulatory costs imposed on businesses, community organisations and individuals.  The identification and quantification of regulatory costs must be conducted in accordance with the Regulatory Burden Measurement Framework</w:t>
      </w:r>
      <w:r w:rsidR="00761C96" w:rsidRPr="001E4807">
        <w:rPr>
          <w:rFonts w:ascii="Arial" w:eastAsia="Yu Gothic Light" w:hAnsi="Arial" w:cs="Arial"/>
        </w:rPr>
        <w:t>.</w:t>
      </w:r>
      <w:r w:rsidRPr="001E4807">
        <w:rPr>
          <w:rFonts w:ascii="Arial" w:eastAsia="Yu Gothic Light" w:hAnsi="Arial" w:cs="Arial"/>
          <w:vertAlign w:val="superscript"/>
        </w:rPr>
        <w:footnoteReference w:id="27"/>
      </w:r>
    </w:p>
    <w:p w14:paraId="5112E3A6" w14:textId="07401E69" w:rsidR="0081622E" w:rsidRPr="001E4807" w:rsidRDefault="00F0517B" w:rsidP="00AB5E5D">
      <w:pPr>
        <w:spacing w:line="240" w:lineRule="auto"/>
        <w:rPr>
          <w:rFonts w:ascii="Arial" w:eastAsia="Yu Gothic Light" w:hAnsi="Arial" w:cs="Arial"/>
        </w:rPr>
      </w:pPr>
      <w:r w:rsidRPr="001E4807">
        <w:rPr>
          <w:rFonts w:ascii="Arial" w:eastAsia="Yu Gothic Light" w:hAnsi="Arial" w:cs="Arial"/>
        </w:rPr>
        <w:t xml:space="preserve">In accordance with </w:t>
      </w:r>
      <w:r w:rsidR="00761C96" w:rsidRPr="001E4807">
        <w:rPr>
          <w:rFonts w:ascii="Arial" w:eastAsia="Yu Gothic Light" w:hAnsi="Arial" w:cs="Arial"/>
        </w:rPr>
        <w:t xml:space="preserve">these </w:t>
      </w:r>
      <w:r w:rsidRPr="001E4807">
        <w:rPr>
          <w:rFonts w:ascii="Arial" w:eastAsia="Yu Gothic Light" w:hAnsi="Arial" w:cs="Arial"/>
        </w:rPr>
        <w:t xml:space="preserve">government requirements, </w:t>
      </w:r>
      <w:r w:rsidR="00761C96" w:rsidRPr="001E4807">
        <w:rPr>
          <w:rFonts w:ascii="Arial" w:eastAsia="Yu Gothic Light" w:hAnsi="Arial" w:cs="Arial"/>
        </w:rPr>
        <w:t>a future version of this</w:t>
      </w:r>
      <w:r w:rsidRPr="001E4807">
        <w:rPr>
          <w:rFonts w:ascii="Arial" w:eastAsia="Yu Gothic Light" w:hAnsi="Arial" w:cs="Arial"/>
        </w:rPr>
        <w:t xml:space="preserve"> RIS will calculate the estimated regulatory burden for </w:t>
      </w:r>
      <w:r w:rsidR="00A34A1D" w:rsidRPr="001E4807">
        <w:rPr>
          <w:rFonts w:ascii="Arial" w:eastAsia="Yu Gothic Light" w:hAnsi="Arial" w:cs="Arial"/>
        </w:rPr>
        <w:t>each policy option</w:t>
      </w:r>
      <w:r w:rsidR="001E4807" w:rsidRPr="001E4807">
        <w:rPr>
          <w:rFonts w:ascii="Arial" w:eastAsia="Yu Gothic Light" w:hAnsi="Arial" w:cs="Arial"/>
        </w:rPr>
        <w:t xml:space="preserve">. </w:t>
      </w:r>
      <w:r w:rsidR="0081622E" w:rsidRPr="001E4807">
        <w:rPr>
          <w:rFonts w:ascii="Arial" w:eastAsia="Yu Gothic Light" w:hAnsi="Arial" w:cs="Arial"/>
        </w:rPr>
        <w:t xml:space="preserve">Under the Regulatory Burden Measurement Framework, only certain costs associated with the </w:t>
      </w:r>
      <w:r w:rsidR="001E4807" w:rsidRPr="001E4807">
        <w:rPr>
          <w:rFonts w:ascii="Arial" w:eastAsia="Yu Gothic Light" w:hAnsi="Arial" w:cs="Arial"/>
        </w:rPr>
        <w:t xml:space="preserve">propose changes to the Commonwealth explosives regulatory regime </w:t>
      </w:r>
      <w:r w:rsidR="0081622E" w:rsidRPr="001E4807">
        <w:rPr>
          <w:rFonts w:ascii="Arial" w:eastAsia="Yu Gothic Light" w:hAnsi="Arial" w:cs="Arial"/>
        </w:rPr>
        <w:t xml:space="preserve">are categorised as ‘regulatory’.  The primary categories of regulatory costs are:  </w:t>
      </w:r>
    </w:p>
    <w:p w14:paraId="5CB43124" w14:textId="79E1A5BB" w:rsidR="0081622E" w:rsidRPr="001E4807" w:rsidRDefault="0081622E" w:rsidP="00A16B8A">
      <w:pPr>
        <w:numPr>
          <w:ilvl w:val="0"/>
          <w:numId w:val="31"/>
        </w:numPr>
        <w:spacing w:line="240" w:lineRule="auto"/>
        <w:ind w:left="357" w:hanging="357"/>
        <w:rPr>
          <w:rFonts w:ascii="Arial" w:eastAsia="Yu Gothic Light" w:hAnsi="Arial" w:cs="Arial"/>
        </w:rPr>
      </w:pPr>
      <w:r w:rsidRPr="001E4807">
        <w:rPr>
          <w:rFonts w:ascii="Arial" w:eastAsia="Yu Gothic Light" w:hAnsi="Arial" w:cs="Arial"/>
          <w:b/>
          <w:bCs/>
        </w:rPr>
        <w:t>Administrative Compliance Costs</w:t>
      </w:r>
      <w:r w:rsidR="001E4807" w:rsidRPr="001E4807">
        <w:rPr>
          <w:rFonts w:ascii="Arial" w:eastAsia="Yu Gothic Light" w:hAnsi="Arial" w:cs="Arial"/>
        </w:rPr>
        <w:t xml:space="preserve">: </w:t>
      </w:r>
      <w:r w:rsidR="0086314C">
        <w:rPr>
          <w:rFonts w:ascii="Arial" w:eastAsia="Yu Gothic Light" w:hAnsi="Arial" w:cs="Arial"/>
        </w:rPr>
        <w:t>C</w:t>
      </w:r>
      <w:r w:rsidRPr="001E4807">
        <w:rPr>
          <w:rFonts w:ascii="Arial" w:eastAsia="Yu Gothic Light" w:hAnsi="Arial" w:cs="Arial"/>
        </w:rPr>
        <w:t>osts incurred by regulated entities primarily to demonstrate compliance with the regulation.  For example, the time and costs associated with keeping records, making an application and notifying government of certain activities</w:t>
      </w:r>
      <w:r w:rsidR="0086314C">
        <w:rPr>
          <w:rFonts w:ascii="Arial" w:eastAsia="Yu Gothic Light" w:hAnsi="Arial" w:cs="Arial"/>
        </w:rPr>
        <w:t xml:space="preserve">. </w:t>
      </w:r>
    </w:p>
    <w:p w14:paraId="07CE2A1E" w14:textId="64F289A6" w:rsidR="0081622E" w:rsidRPr="001E4807" w:rsidRDefault="0081622E" w:rsidP="00A16B8A">
      <w:pPr>
        <w:numPr>
          <w:ilvl w:val="0"/>
          <w:numId w:val="31"/>
        </w:numPr>
        <w:spacing w:line="240" w:lineRule="auto"/>
        <w:ind w:left="357" w:hanging="357"/>
        <w:rPr>
          <w:rFonts w:ascii="Arial" w:eastAsia="Yu Gothic Light" w:hAnsi="Arial" w:cs="Arial"/>
        </w:rPr>
      </w:pPr>
      <w:r w:rsidRPr="001E4807">
        <w:rPr>
          <w:rFonts w:ascii="Arial" w:eastAsia="Yu Gothic Light" w:hAnsi="Arial" w:cs="Arial"/>
          <w:b/>
          <w:bCs/>
        </w:rPr>
        <w:t>Substantive Compliance Costs</w:t>
      </w:r>
      <w:r w:rsidR="001E4807" w:rsidRPr="001E4807">
        <w:rPr>
          <w:rFonts w:ascii="Arial" w:eastAsia="Yu Gothic Light" w:hAnsi="Arial" w:cs="Arial"/>
        </w:rPr>
        <w:t xml:space="preserve">: </w:t>
      </w:r>
      <w:r w:rsidR="0086314C">
        <w:rPr>
          <w:rFonts w:ascii="Arial" w:eastAsia="Yu Gothic Light" w:hAnsi="Arial" w:cs="Arial"/>
        </w:rPr>
        <w:t>C</w:t>
      </w:r>
      <w:r w:rsidRPr="001E4807">
        <w:rPr>
          <w:rFonts w:ascii="Arial" w:eastAsia="Yu Gothic Light" w:hAnsi="Arial" w:cs="Arial"/>
        </w:rPr>
        <w:t>osts incurred to deliver the regulated outcomes being sought. Examples</w:t>
      </w:r>
      <w:r w:rsidR="00FC4248">
        <w:rPr>
          <w:rFonts w:ascii="Arial" w:eastAsia="Yu Gothic Light" w:hAnsi="Arial" w:cs="Arial"/>
        </w:rPr>
        <w:t xml:space="preserve"> include the</w:t>
      </w:r>
      <w:r w:rsidRPr="001E4807">
        <w:rPr>
          <w:rFonts w:ascii="Arial" w:eastAsia="Yu Gothic Light" w:hAnsi="Arial" w:cs="Arial"/>
        </w:rPr>
        <w:t xml:space="preserve"> costs of training employees on regulatory requirements, professional services required to meet regulatory requirements</w:t>
      </w:r>
      <w:r w:rsidR="0086314C">
        <w:rPr>
          <w:rFonts w:ascii="Arial" w:eastAsia="Yu Gothic Light" w:hAnsi="Arial" w:cs="Arial"/>
        </w:rPr>
        <w:t xml:space="preserve">. </w:t>
      </w:r>
    </w:p>
    <w:p w14:paraId="0B3273EE" w14:textId="1D53D951" w:rsidR="0081622E" w:rsidRPr="001E4807" w:rsidRDefault="0081622E" w:rsidP="00A16B8A">
      <w:pPr>
        <w:numPr>
          <w:ilvl w:val="0"/>
          <w:numId w:val="31"/>
        </w:numPr>
        <w:spacing w:line="240" w:lineRule="auto"/>
        <w:ind w:left="357" w:hanging="357"/>
        <w:rPr>
          <w:rFonts w:ascii="Arial" w:eastAsia="Yu Gothic Light" w:hAnsi="Arial" w:cs="Arial"/>
        </w:rPr>
      </w:pPr>
      <w:r w:rsidRPr="001E4807">
        <w:rPr>
          <w:rFonts w:ascii="Arial" w:eastAsia="Yu Gothic Light" w:hAnsi="Arial" w:cs="Arial"/>
          <w:b/>
          <w:bCs/>
        </w:rPr>
        <w:t xml:space="preserve">Delay </w:t>
      </w:r>
      <w:r w:rsidR="000676C6">
        <w:rPr>
          <w:rFonts w:ascii="Arial" w:eastAsia="Yu Gothic Light" w:hAnsi="Arial" w:cs="Arial"/>
          <w:b/>
          <w:bCs/>
        </w:rPr>
        <w:t>C</w:t>
      </w:r>
      <w:r w:rsidRPr="001E4807">
        <w:rPr>
          <w:rFonts w:ascii="Arial" w:eastAsia="Yu Gothic Light" w:hAnsi="Arial" w:cs="Arial"/>
          <w:b/>
          <w:bCs/>
        </w:rPr>
        <w:t>osts</w:t>
      </w:r>
      <w:r w:rsidR="001E4807" w:rsidRPr="001E4807">
        <w:rPr>
          <w:rFonts w:ascii="Arial" w:eastAsia="Yu Gothic Light" w:hAnsi="Arial" w:cs="Arial"/>
        </w:rPr>
        <w:t xml:space="preserve">: </w:t>
      </w:r>
      <w:r w:rsidR="0086314C">
        <w:rPr>
          <w:rFonts w:ascii="Arial" w:eastAsia="Yu Gothic Light" w:hAnsi="Arial" w:cs="Arial"/>
        </w:rPr>
        <w:t>T</w:t>
      </w:r>
      <w:r w:rsidRPr="001E4807">
        <w:rPr>
          <w:rFonts w:ascii="Arial" w:eastAsia="Yu Gothic Light" w:hAnsi="Arial" w:cs="Arial"/>
        </w:rPr>
        <w:t xml:space="preserve">he expenses and loss of income incurred by a regulated income </w:t>
      </w:r>
      <w:r w:rsidR="000676C6">
        <w:rPr>
          <w:rFonts w:ascii="Arial" w:eastAsia="Yu Gothic Light" w:hAnsi="Arial" w:cs="Arial"/>
        </w:rPr>
        <w:t>resulting from an</w:t>
      </w:r>
      <w:r w:rsidRPr="001E4807">
        <w:rPr>
          <w:rFonts w:ascii="Arial" w:eastAsia="Yu Gothic Light" w:hAnsi="Arial" w:cs="Arial"/>
        </w:rPr>
        <w:t xml:space="preserve"> application delay, or an approval delay.</w:t>
      </w:r>
    </w:p>
    <w:p w14:paraId="29961953" w14:textId="07C39881" w:rsidR="000B0956" w:rsidRDefault="0081622E" w:rsidP="00FC4248">
      <w:pPr>
        <w:spacing w:line="240" w:lineRule="auto"/>
        <w:rPr>
          <w:rFonts w:ascii="Arial" w:eastAsia="Yu Gothic Light" w:hAnsi="Arial" w:cs="Arial"/>
        </w:rPr>
      </w:pPr>
      <w:r w:rsidRPr="001E4807">
        <w:rPr>
          <w:rFonts w:ascii="Arial" w:eastAsia="Yu Gothic Light" w:hAnsi="Arial" w:cs="Arial"/>
        </w:rPr>
        <w:t xml:space="preserve">There are several types of costs specifically excluded from the Regulatory Burden Measurement Framework. These include, for example, opportunity costs, business-as-usual costs, enforcement </w:t>
      </w:r>
      <w:r w:rsidR="00FC4248">
        <w:rPr>
          <w:rFonts w:ascii="Arial" w:eastAsia="Yu Gothic Light" w:hAnsi="Arial" w:cs="Arial"/>
        </w:rPr>
        <w:t>and</w:t>
      </w:r>
      <w:r w:rsidRPr="001E4807">
        <w:rPr>
          <w:rFonts w:ascii="Arial" w:eastAsia="Yu Gothic Light" w:hAnsi="Arial" w:cs="Arial"/>
        </w:rPr>
        <w:t xml:space="preserve"> compliance costs (such as fines for failing to comply with regulation),</w:t>
      </w:r>
      <w:r w:rsidR="00FC4248">
        <w:rPr>
          <w:rFonts w:ascii="Arial" w:eastAsia="Yu Gothic Light" w:hAnsi="Arial" w:cs="Arial"/>
        </w:rPr>
        <w:t xml:space="preserve"> </w:t>
      </w:r>
      <w:r w:rsidRPr="001E4807">
        <w:rPr>
          <w:rFonts w:ascii="Arial" w:eastAsia="Yu Gothic Light" w:hAnsi="Arial" w:cs="Arial"/>
        </w:rPr>
        <w:t>government-to-government regulation</w:t>
      </w:r>
      <w:r w:rsidR="00FC4248">
        <w:rPr>
          <w:rFonts w:ascii="Arial" w:eastAsia="Yu Gothic Light" w:hAnsi="Arial" w:cs="Arial"/>
        </w:rPr>
        <w:t xml:space="preserve">, and fees for services. These categories of costs will not be quantified under this RIS. </w:t>
      </w:r>
    </w:p>
    <w:p w14:paraId="56C531A9" w14:textId="062925B7" w:rsidR="0081622E" w:rsidRPr="001E4807" w:rsidRDefault="000B0956" w:rsidP="000B0956">
      <w:pPr>
        <w:rPr>
          <w:rFonts w:ascii="Arial" w:eastAsia="Yu Gothic Light" w:hAnsi="Arial" w:cs="Arial"/>
        </w:rPr>
      </w:pPr>
      <w:r>
        <w:rPr>
          <w:rFonts w:ascii="Arial" w:eastAsia="Yu Gothic Light" w:hAnsi="Arial" w:cs="Arial"/>
        </w:rPr>
        <w:br w:type="page"/>
      </w:r>
    </w:p>
    <w:p w14:paraId="1F09ABDC" w14:textId="1DDC9E6D" w:rsidR="0081622E" w:rsidRPr="00FC4248" w:rsidRDefault="001E446E" w:rsidP="00FC4248">
      <w:pPr>
        <w:spacing w:after="0" w:line="240" w:lineRule="auto"/>
        <w:jc w:val="both"/>
        <w:rPr>
          <w:rFonts w:ascii="Arial" w:eastAsia="Calibri" w:hAnsi="Arial" w:cs="Arial"/>
          <w:color w:val="997339"/>
        </w:rPr>
      </w:pPr>
      <w:r w:rsidRPr="00FC4248">
        <w:rPr>
          <w:rFonts w:ascii="Arial" w:eastAsia="Calibri" w:hAnsi="Arial" w:cs="Arial"/>
          <w:color w:val="997339"/>
        </w:rPr>
        <w:lastRenderedPageBreak/>
        <w:t xml:space="preserve">4.1.2 Future Analysis </w:t>
      </w:r>
    </w:p>
    <w:p w14:paraId="26407EA1" w14:textId="161BF881" w:rsidR="00204B77" w:rsidRDefault="00574A1D" w:rsidP="00827CD3">
      <w:pPr>
        <w:spacing w:line="240" w:lineRule="auto"/>
        <w:rPr>
          <w:rFonts w:ascii="Arial" w:eastAsia="Times New Roman" w:hAnsi="Arial" w:cs="Arial"/>
        </w:rPr>
      </w:pPr>
      <w:r w:rsidRPr="00FC4248">
        <w:rPr>
          <w:rFonts w:ascii="Arial" w:eastAsia="Times New Roman" w:hAnsi="Arial" w:cs="Arial"/>
        </w:rPr>
        <w:t xml:space="preserve">This </w:t>
      </w:r>
      <w:r w:rsidR="00FC4248">
        <w:rPr>
          <w:rFonts w:ascii="Arial" w:eastAsia="Times New Roman" w:hAnsi="Arial" w:cs="Arial"/>
        </w:rPr>
        <w:t xml:space="preserve">Early Assessment </w:t>
      </w:r>
      <w:r w:rsidRPr="00FC4248">
        <w:rPr>
          <w:rFonts w:ascii="Arial" w:eastAsia="Times New Roman" w:hAnsi="Arial" w:cs="Arial"/>
        </w:rPr>
        <w:t xml:space="preserve">RIS </w:t>
      </w:r>
      <w:r w:rsidR="00FC4248">
        <w:rPr>
          <w:rFonts w:ascii="Arial" w:eastAsia="Times New Roman" w:hAnsi="Arial" w:cs="Arial"/>
        </w:rPr>
        <w:t xml:space="preserve">version is focussed on identifying the broad categories of </w:t>
      </w:r>
      <w:r w:rsidRPr="00FC4248">
        <w:rPr>
          <w:rFonts w:ascii="Arial" w:eastAsia="Times New Roman" w:hAnsi="Arial" w:cs="Arial"/>
        </w:rPr>
        <w:t xml:space="preserve">anticipated costs and benefits arising from the proposed policy options.  A comprehensive scan has been conducted of available literature and evidence on the impacts of </w:t>
      </w:r>
      <w:r w:rsidR="00B173A3">
        <w:rPr>
          <w:rFonts w:ascii="Arial" w:eastAsia="Times New Roman" w:hAnsi="Arial" w:cs="Arial"/>
        </w:rPr>
        <w:t xml:space="preserve">the proposed regulatory </w:t>
      </w:r>
      <w:r w:rsidR="001A7CF8">
        <w:rPr>
          <w:rFonts w:ascii="Arial" w:eastAsia="Times New Roman" w:hAnsi="Arial" w:cs="Arial"/>
        </w:rPr>
        <w:t>changes to the Commonwealth explosives regime</w:t>
      </w:r>
      <w:r w:rsidR="00B173A3">
        <w:rPr>
          <w:rFonts w:ascii="Arial" w:eastAsia="Times New Roman" w:hAnsi="Arial" w:cs="Arial"/>
        </w:rPr>
        <w:t xml:space="preserve"> (including accreditation and an independent regulator) </w:t>
      </w:r>
      <w:r w:rsidR="00191AFF">
        <w:rPr>
          <w:rFonts w:ascii="Arial" w:eastAsia="Times New Roman" w:hAnsi="Arial" w:cs="Arial"/>
        </w:rPr>
        <w:t>– on both its</w:t>
      </w:r>
      <w:r w:rsidRPr="00FC4248">
        <w:rPr>
          <w:rFonts w:ascii="Arial" w:eastAsia="Times New Roman" w:hAnsi="Arial" w:cs="Arial"/>
        </w:rPr>
        <w:t xml:space="preserve"> potential benefits for individuals, businesses, government, community, and the economy, and </w:t>
      </w:r>
      <w:r w:rsidR="00191AFF">
        <w:rPr>
          <w:rFonts w:ascii="Arial" w:eastAsia="Times New Roman" w:hAnsi="Arial" w:cs="Arial"/>
        </w:rPr>
        <w:t xml:space="preserve">the </w:t>
      </w:r>
      <w:r w:rsidRPr="00FC4248">
        <w:rPr>
          <w:rFonts w:ascii="Arial" w:eastAsia="Times New Roman" w:hAnsi="Arial" w:cs="Arial"/>
        </w:rPr>
        <w:t xml:space="preserve">potential regulatory costs of </w:t>
      </w:r>
      <w:r w:rsidR="00191AFF">
        <w:rPr>
          <w:rFonts w:ascii="Arial" w:eastAsia="Times New Roman" w:hAnsi="Arial" w:cs="Arial"/>
        </w:rPr>
        <w:t>each policy option</w:t>
      </w:r>
      <w:r w:rsidRPr="00FC4248">
        <w:rPr>
          <w:rFonts w:ascii="Arial" w:eastAsia="Times New Roman" w:hAnsi="Arial" w:cs="Arial"/>
        </w:rPr>
        <w:t>.</w:t>
      </w:r>
      <w:r w:rsidR="00191AFF">
        <w:rPr>
          <w:rFonts w:ascii="Arial" w:eastAsia="Times New Roman" w:hAnsi="Arial" w:cs="Arial"/>
        </w:rPr>
        <w:t xml:space="preserve"> Further, recent consultation on the analysis and recommendations contained in the CRP, as well as out-of-session engagement surveys, have provided valuable, preliminary insights on the </w:t>
      </w:r>
      <w:r w:rsidR="00204B77">
        <w:rPr>
          <w:rFonts w:ascii="Arial" w:eastAsia="Times New Roman" w:hAnsi="Arial" w:cs="Arial"/>
        </w:rPr>
        <w:t xml:space="preserve">anticipated regulatory costs and benefits attached to each option. </w:t>
      </w:r>
    </w:p>
    <w:p w14:paraId="2F2784AB" w14:textId="749C6E10" w:rsidR="00FD0775" w:rsidRDefault="00204B77" w:rsidP="00827CD3">
      <w:pPr>
        <w:spacing w:line="240" w:lineRule="auto"/>
        <w:rPr>
          <w:rFonts w:ascii="Arial" w:eastAsia="Times New Roman" w:hAnsi="Arial" w:cs="Arial"/>
        </w:rPr>
      </w:pPr>
      <w:r>
        <w:rPr>
          <w:rFonts w:ascii="Arial" w:eastAsia="Times New Roman" w:hAnsi="Arial" w:cs="Arial"/>
        </w:rPr>
        <w:t>A future version of this RIS</w:t>
      </w:r>
      <w:r w:rsidR="00636BF8">
        <w:rPr>
          <w:rFonts w:ascii="Arial" w:eastAsia="Times New Roman" w:hAnsi="Arial" w:cs="Arial"/>
        </w:rPr>
        <w:t xml:space="preserve"> (the First Pass RIS)</w:t>
      </w:r>
      <w:r>
        <w:rPr>
          <w:rFonts w:ascii="Arial" w:eastAsia="Times New Roman" w:hAnsi="Arial" w:cs="Arial"/>
        </w:rPr>
        <w:t xml:space="preserve">, will </w:t>
      </w:r>
      <w:r w:rsidR="00FD0775">
        <w:rPr>
          <w:rFonts w:ascii="Arial" w:eastAsia="Times New Roman" w:hAnsi="Arial" w:cs="Arial"/>
        </w:rPr>
        <w:t>attach greater specificity (i.e.</w:t>
      </w:r>
      <w:r w:rsidR="00827CD3">
        <w:rPr>
          <w:rFonts w:ascii="Arial" w:eastAsia="Times New Roman" w:hAnsi="Arial" w:cs="Arial"/>
        </w:rPr>
        <w:t>,</w:t>
      </w:r>
      <w:r w:rsidR="00FD0775">
        <w:rPr>
          <w:rFonts w:ascii="Arial" w:eastAsia="Times New Roman" w:hAnsi="Arial" w:cs="Arial"/>
        </w:rPr>
        <w:t xml:space="preserve"> quantification) to the regulatory costs identified in this version. Following formal submission to OBPR, the Early Assessment RIS will be published for a period of public consultation, to: </w:t>
      </w:r>
    </w:p>
    <w:p w14:paraId="6A06A997" w14:textId="77777777" w:rsidR="00FD0775" w:rsidRPr="00FD0775" w:rsidRDefault="00FD0775" w:rsidP="00A16B8A">
      <w:pPr>
        <w:pStyle w:val="ListParagraph"/>
        <w:numPr>
          <w:ilvl w:val="0"/>
          <w:numId w:val="32"/>
        </w:numPr>
        <w:spacing w:line="240" w:lineRule="auto"/>
        <w:rPr>
          <w:rFonts w:ascii="Arial" w:eastAsia="Times New Roman" w:hAnsi="Arial" w:cs="Arial"/>
          <w:sz w:val="20"/>
          <w:szCs w:val="20"/>
        </w:rPr>
      </w:pPr>
      <w:r>
        <w:rPr>
          <w:rFonts w:ascii="Arial" w:eastAsia="Times New Roman" w:hAnsi="Arial" w:cs="Arial"/>
        </w:rPr>
        <w:t xml:space="preserve">Validate the expected overall impacts; and </w:t>
      </w:r>
    </w:p>
    <w:p w14:paraId="5F62E455" w14:textId="2E36D409" w:rsidR="00574A1D" w:rsidRPr="00FD0775" w:rsidRDefault="00FD0775" w:rsidP="00A16B8A">
      <w:pPr>
        <w:pStyle w:val="ListParagraph"/>
        <w:numPr>
          <w:ilvl w:val="0"/>
          <w:numId w:val="32"/>
        </w:numPr>
        <w:spacing w:line="240" w:lineRule="auto"/>
        <w:rPr>
          <w:rFonts w:ascii="Arial" w:eastAsia="Times New Roman" w:hAnsi="Arial" w:cs="Arial"/>
          <w:sz w:val="20"/>
          <w:szCs w:val="20"/>
        </w:rPr>
      </w:pPr>
      <w:r>
        <w:rPr>
          <w:rFonts w:ascii="Arial" w:eastAsia="Times New Roman" w:hAnsi="Arial" w:cs="Arial"/>
        </w:rPr>
        <w:t xml:space="preserve">Better understand, and more accurately quantify, the attached regulatory costs. </w:t>
      </w:r>
      <w:r w:rsidR="00574A1D" w:rsidRPr="00FD0775">
        <w:rPr>
          <w:rFonts w:ascii="Arial" w:eastAsia="Times New Roman" w:hAnsi="Arial" w:cs="Arial"/>
        </w:rPr>
        <w:t xml:space="preserve"> </w:t>
      </w:r>
    </w:p>
    <w:p w14:paraId="5AABCD3B" w14:textId="317FF3CC" w:rsidR="00415C54" w:rsidRPr="00FD0775" w:rsidRDefault="00415C54" w:rsidP="00827CD3">
      <w:pPr>
        <w:spacing w:line="240" w:lineRule="auto"/>
        <w:rPr>
          <w:rFonts w:ascii="Arial" w:eastAsia="Times New Roman" w:hAnsi="Arial" w:cs="Arial"/>
        </w:rPr>
      </w:pPr>
      <w:r w:rsidRPr="00FC4248">
        <w:rPr>
          <w:rFonts w:ascii="Arial" w:eastAsia="Times New Roman" w:hAnsi="Arial" w:cs="Arial"/>
        </w:rPr>
        <w:t>The purpose of public consultation on the following sections is to:</w:t>
      </w:r>
      <w:r w:rsidRPr="00FC4248">
        <w:rPr>
          <w:rFonts w:ascii="Arial" w:eastAsia="Calibri" w:hAnsi="Arial" w:cs="Arial"/>
        </w:rPr>
        <w:t xml:space="preserve"> </w:t>
      </w:r>
    </w:p>
    <w:p w14:paraId="0BED2AF3" w14:textId="382A33B0" w:rsidR="00415C54" w:rsidRPr="00FC4248" w:rsidRDefault="0082723C" w:rsidP="00827CD3">
      <w:pPr>
        <w:spacing w:line="240" w:lineRule="auto"/>
        <w:rPr>
          <w:rFonts w:ascii="Arial" w:eastAsia="Times New Roman" w:hAnsi="Arial" w:cs="Arial"/>
        </w:rPr>
      </w:pPr>
      <w:r>
        <w:rPr>
          <w:rFonts w:ascii="Arial" w:eastAsia="Times New Roman" w:hAnsi="Arial" w:cs="Arial"/>
        </w:rPr>
        <w:t xml:space="preserve">From here, as the RIS develops beyond an Early Assessment version, it will be updated to include </w:t>
      </w:r>
      <w:r w:rsidR="00415C54" w:rsidRPr="00FC4248">
        <w:rPr>
          <w:rFonts w:ascii="Arial" w:eastAsia="Times New Roman" w:hAnsi="Arial" w:cs="Arial"/>
        </w:rPr>
        <w:t xml:space="preserve">additional economic, social or other costs identified through the consultation process.  </w:t>
      </w:r>
      <w:r w:rsidR="00527C78">
        <w:rPr>
          <w:rFonts w:ascii="Arial" w:eastAsia="Times New Roman" w:hAnsi="Arial" w:cs="Arial"/>
        </w:rPr>
        <w:t>Similarly, i</w:t>
      </w:r>
      <w:r w:rsidR="00415C54" w:rsidRPr="00FC4248">
        <w:rPr>
          <w:rFonts w:ascii="Arial" w:eastAsia="Times New Roman" w:hAnsi="Arial" w:cs="Arial"/>
        </w:rPr>
        <w:t xml:space="preserve">nformation provided </w:t>
      </w:r>
      <w:r w:rsidR="00527C78">
        <w:rPr>
          <w:rFonts w:ascii="Arial" w:eastAsia="Times New Roman" w:hAnsi="Arial" w:cs="Arial"/>
        </w:rPr>
        <w:t>by stakeholders on</w:t>
      </w:r>
      <w:r w:rsidR="00415C54" w:rsidRPr="00FC4248">
        <w:rPr>
          <w:rFonts w:ascii="Arial" w:eastAsia="Times New Roman" w:hAnsi="Arial" w:cs="Arial"/>
        </w:rPr>
        <w:t xml:space="preserve"> the regulatory burden of </w:t>
      </w:r>
      <w:r w:rsidR="00527C78">
        <w:rPr>
          <w:rFonts w:ascii="Arial" w:eastAsia="Times New Roman" w:hAnsi="Arial" w:cs="Arial"/>
        </w:rPr>
        <w:t xml:space="preserve">each </w:t>
      </w:r>
      <w:r w:rsidR="00415C54" w:rsidRPr="00FC4248">
        <w:rPr>
          <w:rFonts w:ascii="Arial" w:eastAsia="Times New Roman" w:hAnsi="Arial" w:cs="Arial"/>
        </w:rPr>
        <w:t>proposed option will inform quantification of these costs</w:t>
      </w:r>
      <w:r w:rsidR="00527C78">
        <w:rPr>
          <w:rFonts w:ascii="Arial" w:eastAsia="Times New Roman" w:hAnsi="Arial" w:cs="Arial"/>
        </w:rPr>
        <w:t>.</w:t>
      </w:r>
    </w:p>
    <w:p w14:paraId="203A1FBB" w14:textId="24956FF1" w:rsidR="00A12B00" w:rsidRPr="00FC4248" w:rsidRDefault="00415C54" w:rsidP="00827CD3">
      <w:pPr>
        <w:spacing w:line="240" w:lineRule="auto"/>
        <w:rPr>
          <w:rFonts w:ascii="Arial" w:eastAsia="Calibri" w:hAnsi="Arial" w:cs="Arial"/>
          <w:b/>
          <w:bCs/>
          <w:color w:val="997339"/>
        </w:rPr>
      </w:pPr>
      <w:r w:rsidRPr="00FC4248">
        <w:rPr>
          <w:rFonts w:ascii="Arial" w:eastAsia="Times New Roman" w:hAnsi="Arial" w:cs="Arial"/>
        </w:rPr>
        <w:t>The following three sections describe the costs, benefits and overall likely net benefit for each option, in accordance with the methodology described above.</w:t>
      </w:r>
    </w:p>
    <w:p w14:paraId="70E01D4D" w14:textId="77777777" w:rsidR="00A12B00" w:rsidRPr="00A12B00" w:rsidRDefault="00A12B00" w:rsidP="001F1DFD">
      <w:pPr>
        <w:spacing w:line="240" w:lineRule="auto"/>
        <w:rPr>
          <w:rFonts w:ascii="Arial" w:eastAsia="Times New Roman" w:hAnsi="Arial" w:cs="Arial"/>
          <w:color w:val="B35E06"/>
          <w:sz w:val="26"/>
          <w:szCs w:val="26"/>
        </w:rPr>
      </w:pPr>
      <w:r w:rsidRPr="00A12B00">
        <w:rPr>
          <w:rFonts w:ascii="Arial" w:eastAsia="Times New Roman" w:hAnsi="Arial" w:cs="Arial"/>
          <w:color w:val="B35E06"/>
          <w:sz w:val="26"/>
          <w:szCs w:val="26"/>
        </w:rPr>
        <w:t xml:space="preserve">4.2 Likely Net Benefit of Each Option </w:t>
      </w:r>
    </w:p>
    <w:p w14:paraId="60D1010A" w14:textId="2596265C" w:rsidR="00A12B00" w:rsidRDefault="00A12B00" w:rsidP="008C0F9F">
      <w:pPr>
        <w:spacing w:after="0" w:line="240" w:lineRule="auto"/>
        <w:rPr>
          <w:rFonts w:ascii="Arial" w:eastAsia="Calibri" w:hAnsi="Arial" w:cs="Arial"/>
          <w:color w:val="997339"/>
        </w:rPr>
      </w:pPr>
      <w:r w:rsidRPr="00A12B00">
        <w:rPr>
          <w:rFonts w:ascii="Arial" w:eastAsia="Calibri" w:hAnsi="Arial" w:cs="Arial"/>
          <w:color w:val="997339"/>
        </w:rPr>
        <w:t>4.2.1 Option 1</w:t>
      </w:r>
      <w:r w:rsidR="002379FF">
        <w:rPr>
          <w:rFonts w:ascii="Arial" w:eastAsia="Calibri" w:hAnsi="Arial" w:cs="Arial"/>
          <w:color w:val="997339"/>
        </w:rPr>
        <w:t xml:space="preserve">: </w:t>
      </w:r>
      <w:r w:rsidR="002379FF" w:rsidRPr="002379FF">
        <w:rPr>
          <w:rFonts w:ascii="Arial" w:eastAsia="Calibri" w:hAnsi="Arial" w:cs="Arial"/>
          <w:color w:val="997339"/>
        </w:rPr>
        <w:t>Allow Regulations to Sunset (Status Quo)</w:t>
      </w:r>
    </w:p>
    <w:p w14:paraId="0C4A687F" w14:textId="23D2685F" w:rsidR="005E6309" w:rsidRPr="00EA094C" w:rsidRDefault="005E6309" w:rsidP="008C0F9F">
      <w:pPr>
        <w:spacing w:line="240" w:lineRule="auto"/>
        <w:rPr>
          <w:rFonts w:ascii="Arial" w:eastAsia="Times New Roman" w:hAnsi="Arial" w:cs="Arial"/>
        </w:rPr>
      </w:pPr>
      <w:r w:rsidRPr="00EA094C">
        <w:rPr>
          <w:rFonts w:ascii="Arial" w:eastAsia="Times New Roman" w:hAnsi="Arial" w:cs="Arial"/>
        </w:rPr>
        <w:t xml:space="preserve">This option involves allowing the Transport and Areas Regulations to sunset. The principal Explosives Act would continue to operate; however, it would do so without </w:t>
      </w:r>
      <w:r w:rsidR="00EA094C" w:rsidRPr="00EA094C">
        <w:rPr>
          <w:rFonts w:ascii="Arial" w:eastAsia="Times New Roman" w:hAnsi="Arial" w:cs="Arial"/>
        </w:rPr>
        <w:t>the specificity provided by</w:t>
      </w:r>
      <w:r w:rsidR="008B7D8C">
        <w:rPr>
          <w:rFonts w:ascii="Arial" w:eastAsia="Times New Roman" w:hAnsi="Arial" w:cs="Arial"/>
        </w:rPr>
        <w:t xml:space="preserve"> the</w:t>
      </w:r>
      <w:r w:rsidR="00EA094C" w:rsidRPr="00EA094C">
        <w:rPr>
          <w:rFonts w:ascii="Arial" w:eastAsia="Times New Roman" w:hAnsi="Arial" w:cs="Arial"/>
        </w:rPr>
        <w:t xml:space="preserve"> subsidiary regulations. </w:t>
      </w:r>
      <w:r w:rsidR="00EA094C">
        <w:rPr>
          <w:rFonts w:ascii="Arial" w:eastAsia="Times New Roman" w:hAnsi="Arial" w:cs="Arial"/>
        </w:rPr>
        <w:t>While this option has been canvassed as the ‘status quo’ option, it presents some regulatory change, in that the Transport and Areas Regulations</w:t>
      </w:r>
      <w:r w:rsidR="004243C8">
        <w:rPr>
          <w:rFonts w:ascii="Arial" w:eastAsia="Times New Roman" w:hAnsi="Arial" w:cs="Arial"/>
        </w:rPr>
        <w:t xml:space="preserve">, which are currently in force, would cease to operate. </w:t>
      </w:r>
    </w:p>
    <w:p w14:paraId="474F610C" w14:textId="17C80DD1" w:rsidR="00132A94" w:rsidRPr="00AE0FA8" w:rsidRDefault="00132A94" w:rsidP="008C0F9F">
      <w:pPr>
        <w:spacing w:after="0" w:line="240" w:lineRule="auto"/>
        <w:rPr>
          <w:rFonts w:ascii="Arial" w:eastAsia="Calibri" w:hAnsi="Arial" w:cs="Arial"/>
          <w:b/>
          <w:bCs/>
          <w:i/>
          <w:iCs/>
          <w:color w:val="997339"/>
        </w:rPr>
      </w:pPr>
      <w:r w:rsidRPr="00AE0FA8">
        <w:rPr>
          <w:rFonts w:ascii="Arial" w:eastAsia="Calibri" w:hAnsi="Arial" w:cs="Arial"/>
          <w:b/>
          <w:bCs/>
          <w:i/>
          <w:iCs/>
          <w:color w:val="997339"/>
        </w:rPr>
        <w:t xml:space="preserve">Overall Impacts </w:t>
      </w:r>
    </w:p>
    <w:p w14:paraId="00B48DD2" w14:textId="71800DB6" w:rsidR="00D5099D" w:rsidRPr="002D22DC" w:rsidRDefault="0092693E" w:rsidP="008C0F9F">
      <w:pPr>
        <w:spacing w:line="240" w:lineRule="auto"/>
        <w:rPr>
          <w:rFonts w:ascii="Arial" w:eastAsia="Times New Roman" w:hAnsi="Arial" w:cs="Arial"/>
        </w:rPr>
      </w:pPr>
      <w:r w:rsidRPr="002D22DC">
        <w:rPr>
          <w:rFonts w:ascii="Arial" w:eastAsia="Times New Roman" w:hAnsi="Arial" w:cs="Arial"/>
        </w:rPr>
        <w:t xml:space="preserve">The significant safety and security risks associated with allowing the Transport and Areas Regulations to sunset, without an appropriate replacement, means </w:t>
      </w:r>
      <w:r w:rsidR="00D27FF6">
        <w:rPr>
          <w:rFonts w:ascii="Arial" w:eastAsia="Times New Roman" w:hAnsi="Arial" w:cs="Arial"/>
        </w:rPr>
        <w:t>few</w:t>
      </w:r>
      <w:r w:rsidRPr="002D22DC">
        <w:rPr>
          <w:rFonts w:ascii="Arial" w:eastAsia="Times New Roman" w:hAnsi="Arial" w:cs="Arial"/>
        </w:rPr>
        <w:t xml:space="preserve"> benefits have been identified </w:t>
      </w:r>
      <w:r w:rsidR="00E42883" w:rsidRPr="002D22DC">
        <w:rPr>
          <w:rFonts w:ascii="Arial" w:eastAsia="Times New Roman" w:hAnsi="Arial" w:cs="Arial"/>
        </w:rPr>
        <w:t xml:space="preserve">in analysing Option 1. The regulatory saving (equal to the total regulatory impacts of the Transport and Area Regulations) arising </w:t>
      </w:r>
      <w:r w:rsidR="002D22DC" w:rsidRPr="002D22DC">
        <w:rPr>
          <w:rFonts w:ascii="Arial" w:eastAsia="Times New Roman" w:hAnsi="Arial" w:cs="Arial"/>
        </w:rPr>
        <w:t>through</w:t>
      </w:r>
      <w:r w:rsidR="00E42883" w:rsidRPr="002D22DC">
        <w:rPr>
          <w:rFonts w:ascii="Arial" w:eastAsia="Times New Roman" w:hAnsi="Arial" w:cs="Arial"/>
        </w:rPr>
        <w:t xml:space="preserve"> allowing the Regulations to sunset</w:t>
      </w:r>
      <w:r w:rsidR="002D22DC" w:rsidRPr="002D22DC">
        <w:rPr>
          <w:rFonts w:ascii="Arial" w:eastAsia="Times New Roman" w:hAnsi="Arial" w:cs="Arial"/>
        </w:rPr>
        <w:t xml:space="preserve"> has been accounted for as part of the ‘Regulatory Impacts’ section below. </w:t>
      </w:r>
      <w:r w:rsidR="002D22DC">
        <w:rPr>
          <w:rFonts w:ascii="Arial" w:eastAsia="Times New Roman" w:hAnsi="Arial" w:cs="Arial"/>
        </w:rPr>
        <w:t xml:space="preserve">As such, the following analysis </w:t>
      </w:r>
      <w:r w:rsidR="00D5099D">
        <w:rPr>
          <w:rFonts w:ascii="Arial" w:eastAsia="Times New Roman" w:hAnsi="Arial" w:cs="Arial"/>
        </w:rPr>
        <w:t xml:space="preserve">focusses </w:t>
      </w:r>
      <w:r w:rsidR="00D27FF6">
        <w:rPr>
          <w:rFonts w:ascii="Arial" w:eastAsia="Times New Roman" w:hAnsi="Arial" w:cs="Arial"/>
        </w:rPr>
        <w:t xml:space="preserve">largely </w:t>
      </w:r>
      <w:r w:rsidR="00D5099D">
        <w:rPr>
          <w:rFonts w:ascii="Arial" w:eastAsia="Times New Roman" w:hAnsi="Arial" w:cs="Arial"/>
        </w:rPr>
        <w:t xml:space="preserve">on the negative impacts associated with allowing the Regulations to sunset. </w:t>
      </w:r>
    </w:p>
    <w:p w14:paraId="0DE2E72F" w14:textId="32CAAA34" w:rsidR="007E2760" w:rsidRPr="00AE0FA8" w:rsidRDefault="007E2760" w:rsidP="008C0F9F">
      <w:pPr>
        <w:spacing w:after="0"/>
        <w:jc w:val="both"/>
        <w:rPr>
          <w:rFonts w:ascii="Arial" w:eastAsia="Calibri" w:hAnsi="Arial" w:cs="Arial"/>
          <w:color w:val="997339"/>
        </w:rPr>
      </w:pPr>
      <w:r w:rsidRPr="00AE0FA8">
        <w:rPr>
          <w:rFonts w:ascii="Arial" w:eastAsia="Calibri" w:hAnsi="Arial" w:cs="Arial"/>
          <w:color w:val="997339"/>
        </w:rPr>
        <w:t xml:space="preserve">Individuals </w:t>
      </w:r>
    </w:p>
    <w:p w14:paraId="23F06C0D" w14:textId="2350DEA2" w:rsidR="008C0F9F" w:rsidRPr="002176AF" w:rsidRDefault="003217BB" w:rsidP="002176AF">
      <w:pPr>
        <w:spacing w:line="240" w:lineRule="auto"/>
        <w:rPr>
          <w:rFonts w:ascii="Arial" w:eastAsia="Times New Roman" w:hAnsi="Arial" w:cs="Arial"/>
        </w:rPr>
      </w:pPr>
      <w:r w:rsidRPr="002176AF">
        <w:rPr>
          <w:rFonts w:ascii="Arial" w:eastAsia="Times New Roman" w:hAnsi="Arial" w:cs="Arial"/>
        </w:rPr>
        <w:t xml:space="preserve">The absence of the Transport and Areas Regulations creates significant safety and security risks for individuals. </w:t>
      </w:r>
      <w:r w:rsidR="004D5C72" w:rsidRPr="002176AF">
        <w:rPr>
          <w:rFonts w:ascii="Arial" w:eastAsia="Times New Roman" w:hAnsi="Arial" w:cs="Arial"/>
        </w:rPr>
        <w:t xml:space="preserve">Specifically, without these Regulations, individuals face an increased risk of harm, injury or death </w:t>
      </w:r>
      <w:r w:rsidR="00CE5A25" w:rsidRPr="002176AF">
        <w:rPr>
          <w:rFonts w:ascii="Arial" w:eastAsia="Times New Roman" w:hAnsi="Arial" w:cs="Arial"/>
        </w:rPr>
        <w:t>due to</w:t>
      </w:r>
      <w:r w:rsidR="004D5C72" w:rsidRPr="002176AF">
        <w:rPr>
          <w:rFonts w:ascii="Arial" w:eastAsia="Times New Roman" w:hAnsi="Arial" w:cs="Arial"/>
        </w:rPr>
        <w:t xml:space="preserve"> Commonwealth explosives activities. </w:t>
      </w:r>
      <w:r w:rsidR="00CE5A25" w:rsidRPr="002176AF">
        <w:rPr>
          <w:rFonts w:ascii="Arial" w:eastAsia="Times New Roman" w:hAnsi="Arial" w:cs="Arial"/>
        </w:rPr>
        <w:t xml:space="preserve">For example, if the Areas Regulations are no longer in force, Commonwealth Explosives Areas will no longer be declared, and subsequent administration and maintenance duties would no longer apply. This creates a risk that individuals will </w:t>
      </w:r>
      <w:r w:rsidR="00F855D1" w:rsidRPr="002176AF">
        <w:rPr>
          <w:rFonts w:ascii="Arial" w:eastAsia="Times New Roman" w:hAnsi="Arial" w:cs="Arial"/>
        </w:rPr>
        <w:t xml:space="preserve">find themselves near high-risk areas, in which Commonwealth explosives activities are undertaken, </w:t>
      </w:r>
      <w:r w:rsidR="00232665" w:rsidRPr="002176AF">
        <w:rPr>
          <w:rFonts w:ascii="Arial" w:eastAsia="Times New Roman" w:hAnsi="Arial" w:cs="Arial"/>
        </w:rPr>
        <w:t xml:space="preserve">without the baseline risk-reduction measured imposed by the Areas Regulations. </w:t>
      </w:r>
    </w:p>
    <w:p w14:paraId="7079AF89" w14:textId="7570AAB7" w:rsidR="00232665" w:rsidRPr="002176AF" w:rsidRDefault="00232665" w:rsidP="002176AF">
      <w:pPr>
        <w:spacing w:line="240" w:lineRule="auto"/>
        <w:rPr>
          <w:rFonts w:ascii="Arial" w:eastAsia="Times New Roman" w:hAnsi="Arial" w:cs="Arial"/>
        </w:rPr>
      </w:pPr>
      <w:r w:rsidRPr="002176AF">
        <w:rPr>
          <w:rFonts w:ascii="Arial" w:eastAsia="Times New Roman" w:hAnsi="Arial" w:cs="Arial"/>
        </w:rPr>
        <w:lastRenderedPageBreak/>
        <w:t>However, this risk extend</w:t>
      </w:r>
      <w:r w:rsidR="002176AF">
        <w:rPr>
          <w:rFonts w:ascii="Arial" w:eastAsia="Times New Roman" w:hAnsi="Arial" w:cs="Arial"/>
        </w:rPr>
        <w:t>s</w:t>
      </w:r>
      <w:r w:rsidRPr="002176AF">
        <w:rPr>
          <w:rFonts w:ascii="Arial" w:eastAsia="Times New Roman" w:hAnsi="Arial" w:cs="Arial"/>
        </w:rPr>
        <w:t xml:space="preserve"> beyond instances where individuals </w:t>
      </w:r>
      <w:r w:rsidR="002176AF">
        <w:rPr>
          <w:rFonts w:ascii="Arial" w:eastAsia="Times New Roman" w:hAnsi="Arial" w:cs="Arial"/>
        </w:rPr>
        <w:t xml:space="preserve">find themselves in areas where Commonwealth explosives activities are undertaken. This risk extends to anywhere explosives are stored, transported (including public roads) or otherwise handled. </w:t>
      </w:r>
    </w:p>
    <w:p w14:paraId="37D6D17E" w14:textId="5E228189" w:rsidR="007E2760" w:rsidRPr="00AE0FA8" w:rsidRDefault="00E7579E" w:rsidP="00D13248">
      <w:pPr>
        <w:spacing w:after="0" w:line="240" w:lineRule="auto"/>
        <w:jc w:val="both"/>
        <w:rPr>
          <w:rFonts w:ascii="Arial" w:eastAsia="Calibri" w:hAnsi="Arial" w:cs="Arial"/>
          <w:color w:val="997339"/>
        </w:rPr>
      </w:pPr>
      <w:r w:rsidRPr="00AE0FA8">
        <w:rPr>
          <w:rFonts w:ascii="Arial" w:eastAsia="Calibri" w:hAnsi="Arial" w:cs="Arial"/>
          <w:color w:val="997339"/>
        </w:rPr>
        <w:t xml:space="preserve">Businesses </w:t>
      </w:r>
      <w:r w:rsidR="00974BD8" w:rsidRPr="00AE0FA8">
        <w:rPr>
          <w:rFonts w:ascii="Arial" w:eastAsia="Calibri" w:hAnsi="Arial" w:cs="Arial"/>
          <w:color w:val="997339"/>
        </w:rPr>
        <w:t>(Engaged in Explosives Activities)</w:t>
      </w:r>
    </w:p>
    <w:p w14:paraId="6CD056F5" w14:textId="2BFAEF56" w:rsidR="00974BD8" w:rsidRPr="00D13248" w:rsidRDefault="00974BD8" w:rsidP="00D13248">
      <w:pPr>
        <w:spacing w:line="240" w:lineRule="auto"/>
        <w:rPr>
          <w:rFonts w:ascii="Arial" w:eastAsia="Times New Roman" w:hAnsi="Arial" w:cs="Arial"/>
        </w:rPr>
      </w:pPr>
      <w:r w:rsidRPr="00D13248">
        <w:rPr>
          <w:rFonts w:ascii="Arial" w:eastAsia="Times New Roman" w:hAnsi="Arial" w:cs="Arial"/>
        </w:rPr>
        <w:t xml:space="preserve">For businesses engaged in explosives activities, the </w:t>
      </w:r>
      <w:proofErr w:type="spellStart"/>
      <w:r w:rsidRPr="00D13248">
        <w:rPr>
          <w:rFonts w:ascii="Arial" w:eastAsia="Times New Roman" w:hAnsi="Arial" w:cs="Arial"/>
        </w:rPr>
        <w:t>sunsetting</w:t>
      </w:r>
      <w:proofErr w:type="spellEnd"/>
      <w:r w:rsidRPr="00D13248">
        <w:rPr>
          <w:rFonts w:ascii="Arial" w:eastAsia="Times New Roman" w:hAnsi="Arial" w:cs="Arial"/>
        </w:rPr>
        <w:t xml:space="preserve"> of the Transport and Areas Regulations will create significant uncertainty, associated with an absence of a common standard governing </w:t>
      </w:r>
      <w:r w:rsidR="000963E3" w:rsidRPr="00D13248">
        <w:rPr>
          <w:rFonts w:ascii="Arial" w:eastAsia="Times New Roman" w:hAnsi="Arial" w:cs="Arial"/>
        </w:rPr>
        <w:t xml:space="preserve">both declared Commonwealth Explosives Areas, and the transport of Commonwealth explosives by road and rail. </w:t>
      </w:r>
      <w:r w:rsidR="007D4548">
        <w:rPr>
          <w:rFonts w:ascii="Arial" w:eastAsia="Times New Roman" w:hAnsi="Arial" w:cs="Arial"/>
        </w:rPr>
        <w:t xml:space="preserve">Further, businesses may face an increased likelihood of WHS incident occurrence, due to the regulatory gap left by the Regulations’ </w:t>
      </w:r>
      <w:proofErr w:type="spellStart"/>
      <w:r w:rsidR="007D4548">
        <w:rPr>
          <w:rFonts w:ascii="Arial" w:eastAsia="Times New Roman" w:hAnsi="Arial" w:cs="Arial"/>
        </w:rPr>
        <w:t>sunsetting</w:t>
      </w:r>
      <w:proofErr w:type="spellEnd"/>
      <w:r w:rsidR="007D4548">
        <w:rPr>
          <w:rFonts w:ascii="Arial" w:eastAsia="Times New Roman" w:hAnsi="Arial" w:cs="Arial"/>
        </w:rPr>
        <w:t xml:space="preserve">, and the subsequent increased risk posed by explosives activities. </w:t>
      </w:r>
    </w:p>
    <w:p w14:paraId="0C95ADF9" w14:textId="7B751612" w:rsidR="001A592B" w:rsidRPr="00D13248" w:rsidRDefault="001A592B" w:rsidP="00D13248">
      <w:pPr>
        <w:spacing w:line="240" w:lineRule="auto"/>
        <w:rPr>
          <w:rFonts w:ascii="Arial" w:eastAsia="Times New Roman" w:hAnsi="Arial" w:cs="Arial"/>
        </w:rPr>
      </w:pPr>
      <w:r w:rsidRPr="00D13248">
        <w:rPr>
          <w:rFonts w:ascii="Arial" w:eastAsia="Times New Roman" w:hAnsi="Arial" w:cs="Arial"/>
        </w:rPr>
        <w:t xml:space="preserve">Further, businesses engaged in explosives activities will experience the ongoing impacts of </w:t>
      </w:r>
      <w:r w:rsidR="00BD19FB" w:rsidRPr="00D13248">
        <w:rPr>
          <w:rFonts w:ascii="Arial" w:eastAsia="Times New Roman" w:hAnsi="Arial" w:cs="Arial"/>
        </w:rPr>
        <w:t xml:space="preserve">Explosives Act’s </w:t>
      </w:r>
      <w:r w:rsidR="00D13248" w:rsidRPr="00D13248">
        <w:rPr>
          <w:rFonts w:ascii="Arial" w:eastAsia="Times New Roman" w:hAnsi="Arial" w:cs="Arial"/>
        </w:rPr>
        <w:t xml:space="preserve">ongoing, concurrent </w:t>
      </w:r>
      <w:r w:rsidR="00BD19FB" w:rsidRPr="00D13248">
        <w:rPr>
          <w:rFonts w:ascii="Arial" w:eastAsia="Times New Roman" w:hAnsi="Arial" w:cs="Arial"/>
        </w:rPr>
        <w:t>operation</w:t>
      </w:r>
      <w:r w:rsidR="00D13248" w:rsidRPr="00D13248">
        <w:rPr>
          <w:rFonts w:ascii="Arial" w:eastAsia="Times New Roman" w:hAnsi="Arial" w:cs="Arial"/>
        </w:rPr>
        <w:t xml:space="preserve"> with State and Territory explosives laws. These impacts include:</w:t>
      </w:r>
      <w:r w:rsidR="00470A33" w:rsidRPr="00D13248">
        <w:rPr>
          <w:rFonts w:ascii="Arial" w:eastAsia="Times New Roman" w:hAnsi="Arial" w:cs="Arial"/>
        </w:rPr>
        <w:t xml:space="preserve"> </w:t>
      </w:r>
    </w:p>
    <w:p w14:paraId="4BDC717A" w14:textId="77777777" w:rsidR="007E3063" w:rsidRPr="007E3063" w:rsidRDefault="00470A33" w:rsidP="00A16B8A">
      <w:pPr>
        <w:pStyle w:val="ListParagraph"/>
        <w:numPr>
          <w:ilvl w:val="0"/>
          <w:numId w:val="33"/>
        </w:numPr>
        <w:jc w:val="both"/>
        <w:rPr>
          <w:rFonts w:ascii="Arial" w:eastAsia="Times New Roman" w:hAnsi="Arial" w:cs="Arial"/>
        </w:rPr>
      </w:pPr>
      <w:r w:rsidRPr="007E3063">
        <w:rPr>
          <w:rFonts w:ascii="Arial" w:eastAsia="Times New Roman" w:hAnsi="Arial" w:cs="Arial"/>
        </w:rPr>
        <w:t>The ongoing</w:t>
      </w:r>
      <w:r w:rsidR="000F0231" w:rsidRPr="007E3063">
        <w:rPr>
          <w:rFonts w:ascii="Arial" w:eastAsia="Times New Roman" w:hAnsi="Arial" w:cs="Arial"/>
        </w:rPr>
        <w:t xml:space="preserve"> </w:t>
      </w:r>
      <w:r w:rsidRPr="007E3063">
        <w:rPr>
          <w:rFonts w:ascii="Arial" w:eastAsia="Times New Roman" w:hAnsi="Arial" w:cs="Arial"/>
        </w:rPr>
        <w:t>administrative, financial and compliance</w:t>
      </w:r>
      <w:r w:rsidR="000F0231" w:rsidRPr="007E3063">
        <w:rPr>
          <w:rFonts w:ascii="Arial" w:eastAsia="Times New Roman" w:hAnsi="Arial" w:cs="Arial"/>
        </w:rPr>
        <w:t xml:space="preserve"> burdens associated with deciphering and abiding by differing jurisdictional requirements; </w:t>
      </w:r>
    </w:p>
    <w:p w14:paraId="3D988B88" w14:textId="6560AEF8" w:rsidR="00470A33" w:rsidRDefault="007E3063" w:rsidP="00A16B8A">
      <w:pPr>
        <w:pStyle w:val="ListParagraph"/>
        <w:numPr>
          <w:ilvl w:val="0"/>
          <w:numId w:val="33"/>
        </w:numPr>
        <w:jc w:val="both"/>
        <w:rPr>
          <w:rFonts w:ascii="Arial" w:eastAsia="Times New Roman" w:hAnsi="Arial" w:cs="Arial"/>
        </w:rPr>
      </w:pPr>
      <w:r w:rsidRPr="007E3063">
        <w:rPr>
          <w:rFonts w:ascii="Arial" w:eastAsia="Times New Roman" w:hAnsi="Arial" w:cs="Arial"/>
        </w:rPr>
        <w:t xml:space="preserve">A competitive disadvantage (especially for small businesses) arising from a new to invest financial and staffing resourcing into managing the burdens mentioned above. </w:t>
      </w:r>
      <w:r w:rsidR="00470A33" w:rsidRPr="007E3063">
        <w:rPr>
          <w:rFonts w:ascii="Arial" w:eastAsia="Times New Roman" w:hAnsi="Arial" w:cs="Arial"/>
        </w:rPr>
        <w:t xml:space="preserve"> </w:t>
      </w:r>
    </w:p>
    <w:p w14:paraId="49253F07" w14:textId="42321623" w:rsidR="00D15638" w:rsidRPr="00D15638" w:rsidRDefault="00D15638" w:rsidP="00766850">
      <w:pPr>
        <w:spacing w:line="240" w:lineRule="auto"/>
        <w:jc w:val="both"/>
        <w:rPr>
          <w:rFonts w:ascii="Arial" w:eastAsia="Times New Roman" w:hAnsi="Arial" w:cs="Arial"/>
        </w:rPr>
      </w:pPr>
      <w:r>
        <w:rPr>
          <w:rFonts w:ascii="Arial" w:eastAsia="Times New Roman" w:hAnsi="Arial" w:cs="Arial"/>
        </w:rPr>
        <w:t xml:space="preserve">While the absence of the Transport and Areas Regulations may allow businesses to produce explosives at a lower cost, this potential benefit is greatly offset by </w:t>
      </w:r>
      <w:r w:rsidR="009F611E">
        <w:rPr>
          <w:rFonts w:ascii="Arial" w:eastAsia="Times New Roman" w:hAnsi="Arial" w:cs="Arial"/>
        </w:rPr>
        <w:t>the risks outlined above.</w:t>
      </w:r>
    </w:p>
    <w:p w14:paraId="1565BAFD" w14:textId="16880D7E" w:rsidR="00E7579E" w:rsidRPr="00AE0FA8" w:rsidRDefault="00E7579E" w:rsidP="00AE0FA8">
      <w:pPr>
        <w:spacing w:after="0" w:line="240" w:lineRule="auto"/>
        <w:contextualSpacing/>
        <w:jc w:val="both"/>
        <w:rPr>
          <w:rFonts w:ascii="Arial" w:eastAsia="Calibri" w:hAnsi="Arial" w:cs="Arial"/>
          <w:color w:val="997339"/>
        </w:rPr>
      </w:pPr>
      <w:r w:rsidRPr="00AE0FA8">
        <w:rPr>
          <w:rFonts w:ascii="Arial" w:eastAsia="Calibri" w:hAnsi="Arial" w:cs="Arial"/>
          <w:color w:val="997339"/>
        </w:rPr>
        <w:t xml:space="preserve">Governments </w:t>
      </w:r>
    </w:p>
    <w:p w14:paraId="7C7A46E7" w14:textId="5D0E3570" w:rsidR="009F611E" w:rsidRDefault="00272C0E" w:rsidP="00582E11">
      <w:pPr>
        <w:spacing w:line="240" w:lineRule="auto"/>
        <w:rPr>
          <w:rFonts w:ascii="Arial" w:eastAsia="Times New Roman" w:hAnsi="Arial" w:cs="Arial"/>
        </w:rPr>
      </w:pPr>
      <w:r w:rsidRPr="00FB003C">
        <w:rPr>
          <w:rFonts w:ascii="Arial" w:eastAsia="Times New Roman" w:hAnsi="Arial" w:cs="Arial"/>
        </w:rPr>
        <w:t xml:space="preserve">The </w:t>
      </w:r>
      <w:proofErr w:type="spellStart"/>
      <w:r w:rsidRPr="00FB003C">
        <w:rPr>
          <w:rFonts w:ascii="Arial" w:eastAsia="Times New Roman" w:hAnsi="Arial" w:cs="Arial"/>
        </w:rPr>
        <w:t>sunsetting</w:t>
      </w:r>
      <w:proofErr w:type="spellEnd"/>
      <w:r w:rsidRPr="00FB003C">
        <w:rPr>
          <w:rFonts w:ascii="Arial" w:eastAsia="Times New Roman" w:hAnsi="Arial" w:cs="Arial"/>
        </w:rPr>
        <w:t xml:space="preserve"> of the Transport and Areas Regulations presents a severe reputational risk to </w:t>
      </w:r>
      <w:r w:rsidR="00E3531D">
        <w:rPr>
          <w:rFonts w:ascii="Arial" w:eastAsia="Times New Roman" w:hAnsi="Arial" w:cs="Arial"/>
        </w:rPr>
        <w:t>the Australian Government</w:t>
      </w:r>
      <w:r w:rsidR="00886266" w:rsidRPr="00FB003C">
        <w:rPr>
          <w:rFonts w:ascii="Arial" w:eastAsia="Times New Roman" w:hAnsi="Arial" w:cs="Arial"/>
        </w:rPr>
        <w:t xml:space="preserve">. This risk arises </w:t>
      </w:r>
      <w:r w:rsidR="00637982" w:rsidRPr="00FB003C">
        <w:rPr>
          <w:rFonts w:ascii="Arial" w:eastAsia="Times New Roman" w:hAnsi="Arial" w:cs="Arial"/>
        </w:rPr>
        <w:t xml:space="preserve">due to the increased dangers faced by individuals, the community and environment, as well as from failures to ratify internationally accepted explosives standards. This includes, for example, </w:t>
      </w:r>
      <w:r w:rsidR="00FB003C" w:rsidRPr="00FB003C">
        <w:rPr>
          <w:rFonts w:ascii="Arial" w:eastAsia="Times New Roman" w:hAnsi="Arial" w:cs="Arial"/>
        </w:rPr>
        <w:t xml:space="preserve">transport standards such as the UN Model Regulations currently referred to by Australia’s Explosives Code. </w:t>
      </w:r>
      <w:r w:rsidR="00886266" w:rsidRPr="00FB003C">
        <w:rPr>
          <w:rFonts w:ascii="Arial" w:eastAsia="Times New Roman" w:hAnsi="Arial" w:cs="Arial"/>
        </w:rPr>
        <w:t xml:space="preserve"> </w:t>
      </w:r>
    </w:p>
    <w:p w14:paraId="1218949B" w14:textId="03325E3A" w:rsidR="00AE0FA8" w:rsidRDefault="00EF4424" w:rsidP="00582E11">
      <w:pPr>
        <w:spacing w:line="240" w:lineRule="auto"/>
        <w:rPr>
          <w:rFonts w:ascii="Arial" w:eastAsia="Times New Roman" w:hAnsi="Arial" w:cs="Arial"/>
        </w:rPr>
      </w:pPr>
      <w:r>
        <w:rPr>
          <w:rFonts w:ascii="Arial" w:eastAsia="Times New Roman" w:hAnsi="Arial" w:cs="Arial"/>
        </w:rPr>
        <w:t xml:space="preserve">From an operational perspective, </w:t>
      </w:r>
      <w:r w:rsidR="00E3531D">
        <w:rPr>
          <w:rFonts w:ascii="Arial" w:eastAsia="Times New Roman" w:hAnsi="Arial" w:cs="Arial"/>
        </w:rPr>
        <w:t xml:space="preserve">the Australian Government would have reduced visibility and increased ambiguity surrounding the governance of Commonwealth explosives activities (as the role of the Competent Authority is provided for in the Transport Regulations). </w:t>
      </w:r>
      <w:r w:rsidR="0013298B">
        <w:rPr>
          <w:rFonts w:ascii="Arial" w:eastAsia="Times New Roman" w:hAnsi="Arial" w:cs="Arial"/>
        </w:rPr>
        <w:t xml:space="preserve">The Australian Government and relevant delegates would also forgo their authority to remove people from explosives areas, or employ punitive measures for </w:t>
      </w:r>
      <w:r w:rsidR="00AE0FA8">
        <w:rPr>
          <w:rFonts w:ascii="Arial" w:eastAsia="Times New Roman" w:hAnsi="Arial" w:cs="Arial"/>
        </w:rPr>
        <w:t xml:space="preserve">unsafe or insecure explosives activities, which place individuals, the environment and the community at risk. </w:t>
      </w:r>
    </w:p>
    <w:p w14:paraId="79193AF2" w14:textId="0ED1DB14" w:rsidR="00EF4424" w:rsidRDefault="00926326" w:rsidP="00582E11">
      <w:pPr>
        <w:spacing w:line="240" w:lineRule="auto"/>
        <w:rPr>
          <w:rFonts w:ascii="Arial" w:eastAsia="Times New Roman" w:hAnsi="Arial" w:cs="Arial"/>
        </w:rPr>
      </w:pPr>
      <w:r>
        <w:rPr>
          <w:rFonts w:ascii="Arial" w:eastAsia="Times New Roman" w:hAnsi="Arial" w:cs="Arial"/>
        </w:rPr>
        <w:t>Australian Government agencies would also experience a lack of certainty in understanding responsibility for explosives transport, handing and activities</w:t>
      </w:r>
      <w:r w:rsidR="0013298B">
        <w:rPr>
          <w:rFonts w:ascii="Arial" w:eastAsia="Times New Roman" w:hAnsi="Arial" w:cs="Arial"/>
        </w:rPr>
        <w:t xml:space="preserve">. </w:t>
      </w:r>
    </w:p>
    <w:p w14:paraId="23CE5141" w14:textId="64D11FF1" w:rsidR="00582E11" w:rsidRPr="00FB003C" w:rsidRDefault="00582E11" w:rsidP="00FB003C">
      <w:pPr>
        <w:spacing w:line="240" w:lineRule="auto"/>
        <w:rPr>
          <w:rFonts w:ascii="Arial" w:eastAsia="Times New Roman" w:hAnsi="Arial" w:cs="Arial"/>
        </w:rPr>
      </w:pPr>
      <w:r>
        <w:rPr>
          <w:rFonts w:ascii="Arial" w:eastAsia="Times New Roman" w:hAnsi="Arial" w:cs="Arial"/>
        </w:rPr>
        <w:t>As identified in the context of businesses, while the absence of the Transport and Areas Regulations may allow the Australian Government to produce explosives at a lower cost, this potential benefit is greatly offset by the risks outlined above.</w:t>
      </w:r>
    </w:p>
    <w:p w14:paraId="58872630" w14:textId="45C34AE0" w:rsidR="00E7579E" w:rsidRDefault="00E7579E" w:rsidP="00D325AB">
      <w:pPr>
        <w:spacing w:after="0"/>
        <w:jc w:val="both"/>
        <w:rPr>
          <w:rFonts w:ascii="Arial" w:eastAsia="Calibri" w:hAnsi="Arial" w:cs="Arial"/>
          <w:color w:val="997339"/>
        </w:rPr>
      </w:pPr>
      <w:r w:rsidRPr="00AE0FA8">
        <w:rPr>
          <w:rFonts w:ascii="Arial" w:eastAsia="Calibri" w:hAnsi="Arial" w:cs="Arial"/>
          <w:color w:val="997339"/>
        </w:rPr>
        <w:t xml:space="preserve">Community and Environment </w:t>
      </w:r>
    </w:p>
    <w:p w14:paraId="5BBCD495" w14:textId="229C032C" w:rsidR="00E7579E" w:rsidRDefault="00D325AB" w:rsidP="009341DA">
      <w:pPr>
        <w:spacing w:line="240" w:lineRule="auto"/>
        <w:rPr>
          <w:rFonts w:ascii="Arial" w:eastAsia="Times New Roman" w:hAnsi="Arial" w:cs="Arial"/>
        </w:rPr>
      </w:pPr>
      <w:r w:rsidRPr="002176AF">
        <w:rPr>
          <w:rFonts w:ascii="Arial" w:eastAsia="Times New Roman" w:hAnsi="Arial" w:cs="Arial"/>
        </w:rPr>
        <w:t xml:space="preserve">The absence of the Transport and Areas Regulations creates significant safety and security risks for </w:t>
      </w:r>
      <w:r>
        <w:rPr>
          <w:rFonts w:ascii="Arial" w:eastAsia="Times New Roman" w:hAnsi="Arial" w:cs="Arial"/>
        </w:rPr>
        <w:t>the community and the environment</w:t>
      </w:r>
      <w:r w:rsidRPr="002176AF">
        <w:rPr>
          <w:rFonts w:ascii="Arial" w:eastAsia="Times New Roman" w:hAnsi="Arial" w:cs="Arial"/>
        </w:rPr>
        <w:t xml:space="preserve">. Specifically, without these Regulations, </w:t>
      </w:r>
      <w:r>
        <w:rPr>
          <w:rFonts w:ascii="Arial" w:eastAsia="Times New Roman" w:hAnsi="Arial" w:cs="Arial"/>
        </w:rPr>
        <w:t xml:space="preserve">the community and environment </w:t>
      </w:r>
      <w:r w:rsidRPr="002176AF">
        <w:rPr>
          <w:rFonts w:ascii="Arial" w:eastAsia="Times New Roman" w:hAnsi="Arial" w:cs="Arial"/>
        </w:rPr>
        <w:t>face an increased risk of harm</w:t>
      </w:r>
      <w:r>
        <w:rPr>
          <w:rFonts w:ascii="Arial" w:eastAsia="Times New Roman" w:hAnsi="Arial" w:cs="Arial"/>
        </w:rPr>
        <w:t xml:space="preserve"> </w:t>
      </w:r>
      <w:r w:rsidRPr="002176AF">
        <w:rPr>
          <w:rFonts w:ascii="Arial" w:eastAsia="Times New Roman" w:hAnsi="Arial" w:cs="Arial"/>
        </w:rPr>
        <w:t>due to Commonwealth explosives activities</w:t>
      </w:r>
      <w:r>
        <w:rPr>
          <w:rFonts w:ascii="Arial" w:eastAsia="Times New Roman" w:hAnsi="Arial" w:cs="Arial"/>
        </w:rPr>
        <w:t xml:space="preserve">. </w:t>
      </w:r>
      <w:r w:rsidR="00F60EE6">
        <w:rPr>
          <w:rFonts w:ascii="Arial" w:eastAsia="Times New Roman" w:hAnsi="Arial" w:cs="Arial"/>
        </w:rPr>
        <w:t xml:space="preserve">In particular, there is a substantial increase in the likelihood of unfavourable environmental impacts, associated with the absence of </w:t>
      </w:r>
      <w:r w:rsidR="009341DA">
        <w:rPr>
          <w:rFonts w:ascii="Arial" w:eastAsia="Times New Roman" w:hAnsi="Arial" w:cs="Arial"/>
        </w:rPr>
        <w:t xml:space="preserve">an ability to declare areas as Commonwealth Explosives Areas and subsequently employ suitable safety mitigations. </w:t>
      </w:r>
    </w:p>
    <w:p w14:paraId="6B0B6015" w14:textId="56818A40" w:rsidR="009F567D" w:rsidRPr="00911A81" w:rsidRDefault="003F70E5" w:rsidP="00911A81">
      <w:pPr>
        <w:spacing w:line="240" w:lineRule="auto"/>
        <w:rPr>
          <w:rFonts w:ascii="Arial" w:eastAsia="Times New Roman" w:hAnsi="Arial" w:cs="Arial"/>
        </w:rPr>
      </w:pPr>
      <w:r w:rsidRPr="00A75377">
        <w:rPr>
          <w:rFonts w:ascii="Arial" w:eastAsia="Calibri" w:hAnsi="Arial" w:cs="Arial"/>
          <w:color w:val="997339"/>
        </w:rPr>
        <w:t>Assessment of Net Expected Benefit:</w:t>
      </w:r>
      <w:r>
        <w:rPr>
          <w:rFonts w:ascii="Arial" w:eastAsia="Times New Roman" w:hAnsi="Arial" w:cs="Arial"/>
        </w:rPr>
        <w:t xml:space="preserve"> The above analysis indicates that the net expected benefit </w:t>
      </w:r>
      <w:r w:rsidR="009F567D">
        <w:rPr>
          <w:rFonts w:ascii="Arial" w:eastAsia="Times New Roman" w:hAnsi="Arial" w:cs="Arial"/>
        </w:rPr>
        <w:t xml:space="preserve">of Option 1 is low, given the significant safety and security risks which arise in the absence of the Transport and Areas Regulations. </w:t>
      </w:r>
    </w:p>
    <w:p w14:paraId="6684D9C4" w14:textId="56328454" w:rsidR="009A22C0" w:rsidRPr="009341DA" w:rsidRDefault="00132A94" w:rsidP="002C399A">
      <w:pPr>
        <w:spacing w:after="0"/>
        <w:jc w:val="both"/>
        <w:rPr>
          <w:rFonts w:ascii="Arial" w:eastAsia="Calibri" w:hAnsi="Arial" w:cs="Arial"/>
          <w:b/>
          <w:bCs/>
          <w:i/>
          <w:iCs/>
          <w:color w:val="997339"/>
        </w:rPr>
      </w:pPr>
      <w:r w:rsidRPr="009341DA">
        <w:rPr>
          <w:rFonts w:ascii="Arial" w:eastAsia="Calibri" w:hAnsi="Arial" w:cs="Arial"/>
          <w:b/>
          <w:bCs/>
          <w:i/>
          <w:iCs/>
          <w:color w:val="997339"/>
        </w:rPr>
        <w:lastRenderedPageBreak/>
        <w:t xml:space="preserve">Regulatory Impacts </w:t>
      </w:r>
    </w:p>
    <w:p w14:paraId="69AE4187" w14:textId="77777777" w:rsidR="0029022C" w:rsidRDefault="000A3692" w:rsidP="0029022C">
      <w:pPr>
        <w:spacing w:line="240" w:lineRule="auto"/>
        <w:rPr>
          <w:rFonts w:ascii="Arial" w:eastAsia="Times New Roman" w:hAnsi="Arial" w:cs="Arial"/>
        </w:rPr>
      </w:pPr>
      <w:r w:rsidRPr="002C399A">
        <w:rPr>
          <w:rFonts w:ascii="Arial" w:eastAsia="Times New Roman" w:hAnsi="Arial" w:cs="Arial"/>
        </w:rPr>
        <w:t xml:space="preserve">As Option 1 envisages </w:t>
      </w:r>
      <w:r w:rsidR="00016BBC" w:rsidRPr="002C399A">
        <w:rPr>
          <w:rFonts w:ascii="Arial" w:eastAsia="Times New Roman" w:hAnsi="Arial" w:cs="Arial"/>
        </w:rPr>
        <w:t xml:space="preserve">the </w:t>
      </w:r>
      <w:proofErr w:type="spellStart"/>
      <w:r w:rsidR="00016BBC" w:rsidRPr="002C399A">
        <w:rPr>
          <w:rFonts w:ascii="Arial" w:eastAsia="Times New Roman" w:hAnsi="Arial" w:cs="Arial"/>
        </w:rPr>
        <w:t>sunsetting</w:t>
      </w:r>
      <w:proofErr w:type="spellEnd"/>
      <w:r w:rsidR="00016BBC" w:rsidRPr="002C399A">
        <w:rPr>
          <w:rFonts w:ascii="Arial" w:eastAsia="Times New Roman" w:hAnsi="Arial" w:cs="Arial"/>
        </w:rPr>
        <w:t xml:space="preserve"> of the Transport and Areas Regulations which are currently in operation, in line with OBPR’s guidance on </w:t>
      </w:r>
      <w:proofErr w:type="spellStart"/>
      <w:r w:rsidR="00016BBC" w:rsidRPr="002C399A">
        <w:rPr>
          <w:rFonts w:ascii="Arial" w:eastAsia="Times New Roman" w:hAnsi="Arial" w:cs="Arial"/>
        </w:rPr>
        <w:t>sunsetting</w:t>
      </w:r>
      <w:proofErr w:type="spellEnd"/>
      <w:r w:rsidR="00016BBC" w:rsidRPr="002C399A">
        <w:rPr>
          <w:rFonts w:ascii="Arial" w:eastAsia="Times New Roman" w:hAnsi="Arial" w:cs="Arial"/>
        </w:rPr>
        <w:t xml:space="preserve"> instruments,</w:t>
      </w:r>
      <w:r w:rsidR="008F4B91">
        <w:rPr>
          <w:rStyle w:val="FootnoteReference"/>
          <w:rFonts w:ascii="Arial" w:eastAsia="Times New Roman" w:hAnsi="Arial" w:cs="Arial"/>
        </w:rPr>
        <w:footnoteReference w:id="28"/>
      </w:r>
      <w:r w:rsidR="00016BBC" w:rsidRPr="002C399A">
        <w:rPr>
          <w:rFonts w:ascii="Arial" w:eastAsia="Times New Roman" w:hAnsi="Arial" w:cs="Arial"/>
        </w:rPr>
        <w:t xml:space="preserve"> </w:t>
      </w:r>
      <w:r w:rsidR="00765AEB" w:rsidRPr="002C399A">
        <w:rPr>
          <w:rFonts w:ascii="Arial" w:eastAsia="Times New Roman" w:hAnsi="Arial" w:cs="Arial"/>
        </w:rPr>
        <w:t xml:space="preserve">Option 1’s regulatory impacts </w:t>
      </w:r>
      <w:r w:rsidR="00147EC7">
        <w:rPr>
          <w:rFonts w:ascii="Arial" w:eastAsia="Times New Roman" w:hAnsi="Arial" w:cs="Arial"/>
        </w:rPr>
        <w:t xml:space="preserve">may </w:t>
      </w:r>
      <w:r w:rsidR="00765AEB" w:rsidRPr="002C399A">
        <w:rPr>
          <w:rFonts w:ascii="Arial" w:eastAsia="Times New Roman" w:hAnsi="Arial" w:cs="Arial"/>
        </w:rPr>
        <w:t xml:space="preserve">reflect a regulatory saving equal to the total regulatory impacts of the Transport and Areas Regulations. </w:t>
      </w:r>
    </w:p>
    <w:p w14:paraId="575B9518" w14:textId="376B25BA" w:rsidR="00E7579E" w:rsidRDefault="003C2ED1" w:rsidP="0029022C">
      <w:pPr>
        <w:spacing w:line="240" w:lineRule="auto"/>
        <w:rPr>
          <w:rFonts w:ascii="Arial" w:eastAsia="Times New Roman" w:hAnsi="Arial" w:cs="Arial"/>
        </w:rPr>
      </w:pPr>
      <w:r>
        <w:rPr>
          <w:rFonts w:ascii="Arial" w:eastAsia="Times New Roman" w:hAnsi="Arial" w:cs="Arial"/>
        </w:rPr>
        <w:t xml:space="preserve">However, it is necessary to distinguish between the administrative costs incurred by industry </w:t>
      </w:r>
      <w:r w:rsidR="0029022C">
        <w:rPr>
          <w:rFonts w:ascii="Arial" w:eastAsia="Times New Roman" w:hAnsi="Arial" w:cs="Arial"/>
        </w:rPr>
        <w:t>because of</w:t>
      </w:r>
      <w:r>
        <w:rPr>
          <w:rFonts w:ascii="Arial" w:eastAsia="Times New Roman" w:hAnsi="Arial" w:cs="Arial"/>
        </w:rPr>
        <w:t xml:space="preserve"> the </w:t>
      </w:r>
      <w:r w:rsidR="0029022C">
        <w:rPr>
          <w:rFonts w:ascii="Arial" w:eastAsia="Times New Roman" w:hAnsi="Arial" w:cs="Arial"/>
        </w:rPr>
        <w:t xml:space="preserve">current </w:t>
      </w:r>
      <w:r>
        <w:rPr>
          <w:rFonts w:ascii="Arial" w:eastAsia="Times New Roman" w:hAnsi="Arial" w:cs="Arial"/>
        </w:rPr>
        <w:t xml:space="preserve">Regulations’ requirements, </w:t>
      </w:r>
      <w:r w:rsidR="0029022C">
        <w:rPr>
          <w:rFonts w:ascii="Arial" w:eastAsia="Times New Roman" w:hAnsi="Arial" w:cs="Arial"/>
        </w:rPr>
        <w:t xml:space="preserve">and the operational and capital costs incurred through industry’s safety mitigation actions. While the administrative cost </w:t>
      </w:r>
      <w:r w:rsidR="00B2445C">
        <w:rPr>
          <w:rFonts w:ascii="Arial" w:eastAsia="Times New Roman" w:hAnsi="Arial" w:cs="Arial"/>
        </w:rPr>
        <w:t xml:space="preserve">component may cease upon the Regulations’ </w:t>
      </w:r>
      <w:proofErr w:type="spellStart"/>
      <w:r w:rsidR="00B2445C">
        <w:rPr>
          <w:rFonts w:ascii="Arial" w:eastAsia="Times New Roman" w:hAnsi="Arial" w:cs="Arial"/>
        </w:rPr>
        <w:t>sunsetting</w:t>
      </w:r>
      <w:proofErr w:type="spellEnd"/>
      <w:r w:rsidR="00B2445C">
        <w:rPr>
          <w:rFonts w:ascii="Arial" w:eastAsia="Times New Roman" w:hAnsi="Arial" w:cs="Arial"/>
        </w:rPr>
        <w:t>, it is likely that industry will continue to incur operational and capital costs associated with safety mitigation actions</w:t>
      </w:r>
      <w:r w:rsidR="003672AB">
        <w:rPr>
          <w:rFonts w:ascii="Arial" w:eastAsia="Times New Roman" w:hAnsi="Arial" w:cs="Arial"/>
        </w:rPr>
        <w:t>. This is because, even in a</w:t>
      </w:r>
      <w:r w:rsidR="003F4882">
        <w:rPr>
          <w:rFonts w:ascii="Arial" w:eastAsia="Times New Roman" w:hAnsi="Arial" w:cs="Arial"/>
        </w:rPr>
        <w:t>n</w:t>
      </w:r>
      <w:r w:rsidR="003672AB">
        <w:rPr>
          <w:rFonts w:ascii="Arial" w:eastAsia="Times New Roman" w:hAnsi="Arial" w:cs="Arial"/>
        </w:rPr>
        <w:t xml:space="preserve"> </w:t>
      </w:r>
      <w:r w:rsidR="00BF67BB">
        <w:rPr>
          <w:rFonts w:ascii="Arial" w:eastAsia="Times New Roman" w:hAnsi="Arial" w:cs="Arial"/>
        </w:rPr>
        <w:t xml:space="preserve">unregulated environment, the </w:t>
      </w:r>
      <w:r w:rsidR="00B2445C">
        <w:rPr>
          <w:rFonts w:ascii="Arial" w:eastAsia="Times New Roman" w:hAnsi="Arial" w:cs="Arial"/>
        </w:rPr>
        <w:t xml:space="preserve">risks attached to Commonwealth explosives activities </w:t>
      </w:r>
      <w:r w:rsidR="00BF67BB">
        <w:rPr>
          <w:rFonts w:ascii="Arial" w:eastAsia="Times New Roman" w:hAnsi="Arial" w:cs="Arial"/>
        </w:rPr>
        <w:t xml:space="preserve">remain, as do incentives for risk mitigation (for example, </w:t>
      </w:r>
      <w:r w:rsidR="00335876">
        <w:rPr>
          <w:rFonts w:ascii="Arial" w:eastAsia="Times New Roman" w:hAnsi="Arial" w:cs="Arial"/>
        </w:rPr>
        <w:t>the need to protect against injury, loss of life, or environmental damage)</w:t>
      </w:r>
      <w:r w:rsidR="00F21E16">
        <w:rPr>
          <w:rFonts w:ascii="Arial" w:eastAsia="Times New Roman" w:hAnsi="Arial" w:cs="Arial"/>
        </w:rPr>
        <w:t xml:space="preserve">. </w:t>
      </w:r>
      <w:r w:rsidR="00FE3596">
        <w:rPr>
          <w:rFonts w:ascii="Arial" w:eastAsia="Times New Roman" w:hAnsi="Arial" w:cs="Arial"/>
        </w:rPr>
        <w:t xml:space="preserve">As such, any cost saving arising due to the Regulations’ </w:t>
      </w:r>
      <w:proofErr w:type="spellStart"/>
      <w:r w:rsidR="00FE3596">
        <w:rPr>
          <w:rFonts w:ascii="Arial" w:eastAsia="Times New Roman" w:hAnsi="Arial" w:cs="Arial"/>
        </w:rPr>
        <w:t>sunsetting</w:t>
      </w:r>
      <w:proofErr w:type="spellEnd"/>
      <w:r w:rsidR="00FE3596">
        <w:rPr>
          <w:rFonts w:ascii="Arial" w:eastAsia="Times New Roman" w:hAnsi="Arial" w:cs="Arial"/>
        </w:rPr>
        <w:t xml:space="preserve"> is likely minimal. </w:t>
      </w:r>
    </w:p>
    <w:p w14:paraId="4A3FDAAD" w14:textId="29C92A17" w:rsidR="00FA3C4F" w:rsidRDefault="00FA3C4F" w:rsidP="008121F2">
      <w:pPr>
        <w:spacing w:line="240" w:lineRule="auto"/>
        <w:rPr>
          <w:rFonts w:ascii="Arial" w:eastAsia="Times New Roman" w:hAnsi="Arial" w:cs="Arial"/>
        </w:rPr>
      </w:pPr>
      <w:r w:rsidRPr="00A75377">
        <w:rPr>
          <w:rFonts w:ascii="Arial" w:eastAsia="Times New Roman" w:hAnsi="Arial" w:cs="Arial"/>
          <w:b/>
          <w:bCs/>
          <w:color w:val="B35E06"/>
        </w:rPr>
        <w:t>Likely Net Benefit:</w:t>
      </w:r>
      <w:r w:rsidRPr="00A75377">
        <w:rPr>
          <w:rFonts w:ascii="Arial" w:eastAsia="Times New Roman" w:hAnsi="Arial" w:cs="Arial"/>
          <w:color w:val="B35E06"/>
        </w:rPr>
        <w:t xml:space="preserve"> </w:t>
      </w:r>
      <w:r>
        <w:rPr>
          <w:rFonts w:ascii="Arial" w:eastAsia="Times New Roman" w:hAnsi="Arial" w:cs="Arial"/>
        </w:rPr>
        <w:t xml:space="preserve">Given the above analysis of overall and regulatory impacts, the likely net benefit of Option 1 is low. While the </w:t>
      </w:r>
      <w:proofErr w:type="spellStart"/>
      <w:r>
        <w:rPr>
          <w:rFonts w:ascii="Arial" w:eastAsia="Times New Roman" w:hAnsi="Arial" w:cs="Arial"/>
        </w:rPr>
        <w:t>sunsetting</w:t>
      </w:r>
      <w:proofErr w:type="spellEnd"/>
      <w:r>
        <w:rPr>
          <w:rFonts w:ascii="Arial" w:eastAsia="Times New Roman" w:hAnsi="Arial" w:cs="Arial"/>
        </w:rPr>
        <w:t xml:space="preserve"> of the Transport and Areas Regulations </w:t>
      </w:r>
      <w:r w:rsidR="00FF33D5">
        <w:rPr>
          <w:rFonts w:ascii="Arial" w:eastAsia="Times New Roman" w:hAnsi="Arial" w:cs="Arial"/>
        </w:rPr>
        <w:t>may</w:t>
      </w:r>
      <w:r>
        <w:rPr>
          <w:rFonts w:ascii="Arial" w:eastAsia="Times New Roman" w:hAnsi="Arial" w:cs="Arial"/>
        </w:rPr>
        <w:t xml:space="preserve"> offer a </w:t>
      </w:r>
      <w:r w:rsidR="00FF33D5">
        <w:rPr>
          <w:rFonts w:ascii="Arial" w:eastAsia="Times New Roman" w:hAnsi="Arial" w:cs="Arial"/>
        </w:rPr>
        <w:t>small regulatory saving</w:t>
      </w:r>
      <w:r>
        <w:rPr>
          <w:rFonts w:ascii="Arial" w:eastAsia="Times New Roman" w:hAnsi="Arial" w:cs="Arial"/>
        </w:rPr>
        <w:t xml:space="preserve"> (as it represents the removal of a</w:t>
      </w:r>
      <w:r w:rsidR="00FF33D5">
        <w:rPr>
          <w:rFonts w:ascii="Arial" w:eastAsia="Times New Roman" w:hAnsi="Arial" w:cs="Arial"/>
        </w:rPr>
        <w:t xml:space="preserve">n administrative </w:t>
      </w:r>
      <w:r w:rsidR="00875F27">
        <w:rPr>
          <w:rFonts w:ascii="Arial" w:eastAsia="Times New Roman" w:hAnsi="Arial" w:cs="Arial"/>
        </w:rPr>
        <w:t xml:space="preserve">layer of regulation), industry is likely to continue to engage in safety mitigations, meaning the ongoing incurrence of capital and operational costs. Further, even where Option 1 presented a substantial cost saving </w:t>
      </w:r>
      <w:r w:rsidR="008121F2">
        <w:rPr>
          <w:rFonts w:ascii="Arial" w:eastAsia="Times New Roman" w:hAnsi="Arial" w:cs="Arial"/>
        </w:rPr>
        <w:t xml:space="preserve">because of the Regulations’ </w:t>
      </w:r>
      <w:proofErr w:type="spellStart"/>
      <w:r w:rsidR="008121F2">
        <w:rPr>
          <w:rFonts w:ascii="Arial" w:eastAsia="Times New Roman" w:hAnsi="Arial" w:cs="Arial"/>
        </w:rPr>
        <w:t>sunsetting</w:t>
      </w:r>
      <w:proofErr w:type="spellEnd"/>
      <w:r w:rsidR="008121F2">
        <w:rPr>
          <w:rFonts w:ascii="Arial" w:eastAsia="Times New Roman" w:hAnsi="Arial" w:cs="Arial"/>
        </w:rPr>
        <w:t xml:space="preserve">, the </w:t>
      </w:r>
      <w:r>
        <w:rPr>
          <w:rFonts w:ascii="Arial" w:eastAsia="Times New Roman" w:hAnsi="Arial" w:cs="Arial"/>
        </w:rPr>
        <w:t xml:space="preserve">safety and security risks arising in </w:t>
      </w:r>
      <w:r w:rsidR="008121F2">
        <w:rPr>
          <w:rFonts w:ascii="Arial" w:eastAsia="Times New Roman" w:hAnsi="Arial" w:cs="Arial"/>
        </w:rPr>
        <w:t>their</w:t>
      </w:r>
      <w:r>
        <w:rPr>
          <w:rFonts w:ascii="Arial" w:eastAsia="Times New Roman" w:hAnsi="Arial" w:cs="Arial"/>
        </w:rPr>
        <w:t xml:space="preserve"> absence is too significant</w:t>
      </w:r>
      <w:r w:rsidR="00A75377">
        <w:rPr>
          <w:rFonts w:ascii="Arial" w:eastAsia="Times New Roman" w:hAnsi="Arial" w:cs="Arial"/>
        </w:rPr>
        <w:t xml:space="preserve">. </w:t>
      </w:r>
    </w:p>
    <w:p w14:paraId="25607FBC" w14:textId="0D5C3C4F" w:rsidR="00FB7B95" w:rsidRDefault="00FB7B95" w:rsidP="008121F2">
      <w:pPr>
        <w:spacing w:line="240" w:lineRule="auto"/>
        <w:rPr>
          <w:rFonts w:ascii="Arial" w:eastAsia="Times New Roman" w:hAnsi="Arial" w:cs="Arial"/>
        </w:rPr>
      </w:pPr>
      <w:r w:rsidRPr="000B7589">
        <w:rPr>
          <w:noProof/>
          <w:lang w:eastAsia="en-AU"/>
        </w:rPr>
        <mc:AlternateContent>
          <mc:Choice Requires="wps">
            <w:drawing>
              <wp:inline distT="0" distB="0" distL="0" distR="0" wp14:anchorId="268258A6" wp14:editId="2066E388">
                <wp:extent cx="1212215" cy="5732780"/>
                <wp:effectExtent l="6668" t="0" r="0" b="0"/>
                <wp:docPr id="1" name="AutoShape 2" descr="Consultation question(s)&#10;(1) Are the impacts of Option 1 accurately described as related to your entity? Are there any other impacts (negative, positive or neutral) of the System continuing without regulation, that are not mentioned abo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12215" cy="5732780"/>
                        </a:xfrm>
                        <a:prstGeom prst="roundRect">
                          <a:avLst>
                            <a:gd name="adj" fmla="val 2892"/>
                          </a:avLst>
                        </a:prstGeom>
                        <a:solidFill>
                          <a:schemeClr val="accent2">
                            <a:lumMod val="20000"/>
                            <a:lumOff val="80000"/>
                          </a:schemeClr>
                        </a:solidFill>
                      </wps:spPr>
                      <wps:txbx>
                        <w:txbxContent>
                          <w:p w14:paraId="02111ECD" w14:textId="77777777" w:rsidR="00B3427F" w:rsidRPr="00504EB8" w:rsidRDefault="00B3427F" w:rsidP="00FB7B95">
                            <w:pPr>
                              <w:pStyle w:val="Heading4NoNumbers"/>
                              <w:spacing w:before="120"/>
                              <w:ind w:left="113" w:right="113"/>
                              <w:rPr>
                                <w:rFonts w:eastAsia="Times New Roman" w:cs="Arial"/>
                                <w:bCs/>
                                <w:color w:val="ED7D31" w:themeColor="accent2"/>
                                <w:kern w:val="0"/>
                                <w:sz w:val="22"/>
                                <w:lang w:eastAsia="en-US"/>
                              </w:rPr>
                            </w:pPr>
                            <w:r w:rsidRPr="00504EB8">
                              <w:rPr>
                                <w:rFonts w:eastAsia="Times New Roman" w:cs="Arial"/>
                                <w:bCs/>
                                <w:color w:val="ED7D31" w:themeColor="accent2"/>
                                <w:kern w:val="0"/>
                                <w:sz w:val="22"/>
                                <w:lang w:eastAsia="en-US"/>
                              </w:rPr>
                              <w:t>Consultation question(s)</w:t>
                            </w:r>
                          </w:p>
                          <w:p w14:paraId="65D7473B" w14:textId="7239C1AA" w:rsidR="00B3427F" w:rsidRPr="00504EB8" w:rsidRDefault="00B3427F" w:rsidP="00A72490">
                            <w:pPr>
                              <w:pStyle w:val="BodyText"/>
                              <w:numPr>
                                <w:ilvl w:val="0"/>
                                <w:numId w:val="48"/>
                              </w:numPr>
                              <w:spacing w:line="240" w:lineRule="auto"/>
                              <w:ind w:right="113"/>
                              <w:rPr>
                                <w:rFonts w:eastAsia="Times New Roman"/>
                                <w:sz w:val="22"/>
                                <w:szCs w:val="22"/>
                                <w:lang w:eastAsia="en-US"/>
                              </w:rPr>
                            </w:pPr>
                            <w:r w:rsidRPr="00504EB8">
                              <w:rPr>
                                <w:rFonts w:eastAsia="Times New Roman"/>
                                <w:sz w:val="22"/>
                                <w:szCs w:val="22"/>
                                <w:lang w:eastAsia="en-US"/>
                              </w:rPr>
                              <w:t>Are the impacts of Option 1 accurately described as related to your entity? Are there any other impacts (negative, positive or neutral) of allowing the regulations to sunset, which have not been mentioned above?</w:t>
                            </w:r>
                          </w:p>
                        </w:txbxContent>
                      </wps:txbx>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268258A6" id="_x0000_s1055" alt="Consultation question(s)&#10;(1) Are the impacts of Option 1 accurately described as related to your entity? Are there any other impacts (negative, positive or neutral) of the System continuing without regulation, that are not mentioned above?" style="width:95.45pt;height:451.4pt;rotation:90;visibility:visible;mso-wrap-style:square;mso-left-percent:-10001;mso-top-percent:-10001;mso-position-horizontal:absolute;mso-position-horizontal-relative:char;mso-position-vertical:absolute;mso-position-vertical-relative:line;mso-left-percent:-10001;mso-top-percent:-10001;v-text-anchor:middle" arcsize="1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" fillcolor="#fbe4d5 [661]" stroked="f">
                <v:textbox>
                  <w:txbxContent>
                    <w:p w14:paraId="02111ECD" w14:textId="77777777" w:rsidR="00B3427F" w:rsidRPr="00504EB8" w:rsidRDefault="00B3427F" w:rsidP="00FB7B95">
                      <w:pPr>
                        <w:pStyle w:val="Heading4NoNumbers"/>
                        <w:spacing w:before="120"/>
                        <w:ind w:left="113" w:right="113"/>
                        <w:rPr>
                          <w:rFonts w:eastAsia="Times New Roman" w:cs="Arial"/>
                          <w:bCs/>
                          <w:color w:val="ED7D31" w:themeColor="accent2"/>
                          <w:kern w:val="0"/>
                          <w:sz w:val="22"/>
                          <w:lang w:eastAsia="en-US"/>
                        </w:rPr>
                      </w:pPr>
                      <w:r w:rsidRPr="00504EB8">
                        <w:rPr>
                          <w:rFonts w:eastAsia="Times New Roman" w:cs="Arial"/>
                          <w:bCs/>
                          <w:color w:val="ED7D31" w:themeColor="accent2"/>
                          <w:kern w:val="0"/>
                          <w:sz w:val="22"/>
                          <w:lang w:eastAsia="en-US"/>
                        </w:rPr>
                        <w:t>Consultation question(s)</w:t>
                      </w:r>
                    </w:p>
                    <w:p w14:paraId="65D7473B" w14:textId="7239C1AA" w:rsidR="00B3427F" w:rsidRPr="00504EB8" w:rsidRDefault="00B3427F" w:rsidP="00A72490">
                      <w:pPr>
                        <w:pStyle w:val="BodyText"/>
                        <w:numPr>
                          <w:ilvl w:val="0"/>
                          <w:numId w:val="48"/>
                        </w:numPr>
                        <w:spacing w:line="240" w:lineRule="auto"/>
                        <w:ind w:right="113"/>
                        <w:rPr>
                          <w:rFonts w:eastAsia="Times New Roman"/>
                          <w:sz w:val="22"/>
                          <w:szCs w:val="22"/>
                          <w:lang w:eastAsia="en-US"/>
                        </w:rPr>
                      </w:pPr>
                      <w:r w:rsidRPr="00504EB8">
                        <w:rPr>
                          <w:rFonts w:eastAsia="Times New Roman"/>
                          <w:sz w:val="22"/>
                          <w:szCs w:val="22"/>
                          <w:lang w:eastAsia="en-US"/>
                        </w:rPr>
                        <w:t>Are the impacts of Option 1 accurately described as related to your entity? Are there any other impacts (negative, positive or neutral) of allowing the regulations to sunset, which have not been mentioned above?</w:t>
                      </w:r>
                    </w:p>
                  </w:txbxContent>
                </v:textbox>
                <w10:anchorlock/>
              </v:roundrect>
            </w:pict>
          </mc:Fallback>
        </mc:AlternateContent>
      </w:r>
    </w:p>
    <w:p w14:paraId="4D21D664" w14:textId="269EC055" w:rsidR="00A12B00" w:rsidRDefault="00A12B00" w:rsidP="0088682C">
      <w:pPr>
        <w:spacing w:after="0"/>
        <w:jc w:val="both"/>
        <w:rPr>
          <w:rFonts w:ascii="Arial" w:eastAsia="Calibri" w:hAnsi="Arial" w:cs="Arial"/>
          <w:color w:val="997339"/>
        </w:rPr>
      </w:pPr>
      <w:r w:rsidRPr="00A12B00">
        <w:rPr>
          <w:rFonts w:ascii="Arial" w:eastAsia="Calibri" w:hAnsi="Arial" w:cs="Arial"/>
          <w:color w:val="997339"/>
        </w:rPr>
        <w:t>4.2.2 Option 2</w:t>
      </w:r>
      <w:r w:rsidR="002379FF">
        <w:rPr>
          <w:rFonts w:ascii="Arial" w:eastAsia="Calibri" w:hAnsi="Arial" w:cs="Arial"/>
          <w:color w:val="997339"/>
        </w:rPr>
        <w:t xml:space="preserve">: </w:t>
      </w:r>
      <w:r w:rsidR="002379FF" w:rsidRPr="002379FF">
        <w:rPr>
          <w:rFonts w:ascii="Arial" w:eastAsia="Calibri" w:hAnsi="Arial" w:cs="Arial"/>
          <w:color w:val="997339"/>
        </w:rPr>
        <w:t>Maintain Explosives Act and Amend Subsidiary Legislation</w:t>
      </w:r>
    </w:p>
    <w:p w14:paraId="3345329B" w14:textId="279F41B4" w:rsidR="0088682C" w:rsidRPr="0088682C" w:rsidRDefault="0088682C" w:rsidP="0088682C">
      <w:pPr>
        <w:spacing w:line="240" w:lineRule="auto"/>
        <w:rPr>
          <w:rFonts w:ascii="Arial" w:eastAsia="Times New Roman" w:hAnsi="Arial" w:cs="Arial"/>
        </w:rPr>
      </w:pPr>
      <w:r w:rsidRPr="0088682C">
        <w:rPr>
          <w:rFonts w:ascii="Arial" w:eastAsia="Times New Roman" w:hAnsi="Arial" w:cs="Arial"/>
        </w:rPr>
        <w:t>Option 2 involves retaining the Explosives Act, in its current form, as the principal legislation establishing the existing regulatory framework. The subsidiary Transport and Areas Regulations would be amended, to the extent possible with the principal Explosives Act remaining unamended.</w:t>
      </w:r>
    </w:p>
    <w:p w14:paraId="7B69DB4D" w14:textId="794C2614" w:rsidR="00E7579E" w:rsidRPr="00781691" w:rsidRDefault="00E7579E" w:rsidP="00E7579E">
      <w:pPr>
        <w:jc w:val="both"/>
        <w:rPr>
          <w:rFonts w:ascii="Arial" w:eastAsia="Calibri" w:hAnsi="Arial" w:cs="Arial"/>
          <w:b/>
          <w:bCs/>
          <w:i/>
          <w:iCs/>
          <w:color w:val="997339"/>
        </w:rPr>
      </w:pPr>
      <w:r w:rsidRPr="00781691">
        <w:rPr>
          <w:rFonts w:ascii="Arial" w:eastAsia="Calibri" w:hAnsi="Arial" w:cs="Arial"/>
          <w:b/>
          <w:bCs/>
          <w:i/>
          <w:iCs/>
          <w:color w:val="997339"/>
        </w:rPr>
        <w:t xml:space="preserve">Overall Impacts </w:t>
      </w:r>
    </w:p>
    <w:p w14:paraId="270F03D2" w14:textId="57B710DD" w:rsidR="00E7579E" w:rsidRPr="00781691" w:rsidRDefault="00E7579E" w:rsidP="00F355C1">
      <w:pPr>
        <w:spacing w:after="0"/>
        <w:jc w:val="both"/>
        <w:rPr>
          <w:rFonts w:ascii="Arial" w:eastAsia="Calibri" w:hAnsi="Arial" w:cs="Arial"/>
          <w:color w:val="997339"/>
        </w:rPr>
      </w:pPr>
      <w:r w:rsidRPr="00781691">
        <w:rPr>
          <w:rFonts w:ascii="Arial" w:eastAsia="Calibri" w:hAnsi="Arial" w:cs="Arial"/>
          <w:color w:val="997339"/>
        </w:rPr>
        <w:t xml:space="preserve">Individuals </w:t>
      </w:r>
    </w:p>
    <w:p w14:paraId="681E2059" w14:textId="7CD0DC79" w:rsidR="00B535A2" w:rsidRDefault="00285F3C" w:rsidP="00B535A2">
      <w:pPr>
        <w:spacing w:line="240" w:lineRule="auto"/>
        <w:rPr>
          <w:rFonts w:ascii="Arial" w:eastAsia="Times New Roman" w:hAnsi="Arial" w:cs="Arial"/>
        </w:rPr>
      </w:pPr>
      <w:r w:rsidRPr="00991AA9">
        <w:rPr>
          <w:rFonts w:ascii="Arial" w:eastAsia="Times New Roman" w:hAnsi="Arial" w:cs="Arial"/>
        </w:rPr>
        <w:t xml:space="preserve">Given the limited extent of amendments permitted to the Transport and Areas Regulations (without amendment to the principal Act) the </w:t>
      </w:r>
      <w:r w:rsidR="00991AA9" w:rsidRPr="00991AA9">
        <w:rPr>
          <w:rFonts w:ascii="Arial" w:eastAsia="Times New Roman" w:hAnsi="Arial" w:cs="Arial"/>
        </w:rPr>
        <w:t xml:space="preserve">impacts outside of those occurring in the status quo setting are limited. </w:t>
      </w:r>
      <w:r w:rsidR="00B535A2">
        <w:rPr>
          <w:rFonts w:ascii="Arial" w:eastAsia="Times New Roman" w:hAnsi="Arial" w:cs="Arial"/>
        </w:rPr>
        <w:t xml:space="preserve">However, Option 2 could support the declaration of additional Commonwealth Explosives Areas and the subsequent enlivenment of safety mitigations, which may work to offer additional protection to individuals in their vicinity. </w:t>
      </w:r>
    </w:p>
    <w:p w14:paraId="250EE606" w14:textId="20B558D8" w:rsidR="00B415E6" w:rsidRDefault="00991AA9" w:rsidP="00B535A2">
      <w:pPr>
        <w:spacing w:line="240" w:lineRule="auto"/>
        <w:rPr>
          <w:rFonts w:ascii="Arial" w:eastAsia="Times New Roman" w:hAnsi="Arial" w:cs="Arial"/>
        </w:rPr>
      </w:pPr>
      <w:r>
        <w:rPr>
          <w:rFonts w:ascii="Arial" w:eastAsia="Times New Roman" w:hAnsi="Arial" w:cs="Arial"/>
        </w:rPr>
        <w:t xml:space="preserve">For completeness, the impacts on individuals under the status quo arrangement </w:t>
      </w:r>
      <w:r w:rsidR="006508FB">
        <w:rPr>
          <w:rFonts w:ascii="Arial" w:eastAsia="Times New Roman" w:hAnsi="Arial" w:cs="Arial"/>
        </w:rPr>
        <w:t xml:space="preserve">(i.e., the ongoing operation of the Explosives Act, the Transport and Areas Regulations in their current form) include: </w:t>
      </w:r>
    </w:p>
    <w:p w14:paraId="3F088148" w14:textId="1AC580FA" w:rsidR="006508FB" w:rsidRDefault="006508FB" w:rsidP="00A16B8A">
      <w:pPr>
        <w:pStyle w:val="ListParagraph"/>
        <w:numPr>
          <w:ilvl w:val="0"/>
          <w:numId w:val="34"/>
        </w:numPr>
        <w:spacing w:line="240" w:lineRule="auto"/>
        <w:rPr>
          <w:rFonts w:ascii="Arial" w:eastAsia="Times New Roman" w:hAnsi="Arial" w:cs="Arial"/>
        </w:rPr>
      </w:pPr>
      <w:r>
        <w:rPr>
          <w:rFonts w:ascii="Arial" w:eastAsia="Times New Roman" w:hAnsi="Arial" w:cs="Arial"/>
        </w:rPr>
        <w:t xml:space="preserve">Ongoing risks </w:t>
      </w:r>
      <w:r w:rsidR="00B535A2">
        <w:rPr>
          <w:rFonts w:ascii="Arial" w:eastAsia="Times New Roman" w:hAnsi="Arial" w:cs="Arial"/>
        </w:rPr>
        <w:t xml:space="preserve">of harm, injury or death </w:t>
      </w:r>
      <w:r w:rsidR="005C7170">
        <w:rPr>
          <w:rFonts w:ascii="Arial" w:eastAsia="Times New Roman" w:hAnsi="Arial" w:cs="Arial"/>
        </w:rPr>
        <w:t xml:space="preserve">associated with unregulated storage of Commonwealth explosives, including storage of explosives in quantities beneath the current MHF threshold; </w:t>
      </w:r>
      <w:r w:rsidR="00F355C1">
        <w:rPr>
          <w:rFonts w:ascii="Arial" w:eastAsia="Times New Roman" w:hAnsi="Arial" w:cs="Arial"/>
        </w:rPr>
        <w:t>and</w:t>
      </w:r>
    </w:p>
    <w:p w14:paraId="20F16926" w14:textId="721F16DA" w:rsidR="00F355C1" w:rsidRPr="00F355C1" w:rsidRDefault="00F355C1" w:rsidP="00A16B8A">
      <w:pPr>
        <w:pStyle w:val="ListParagraph"/>
        <w:numPr>
          <w:ilvl w:val="0"/>
          <w:numId w:val="34"/>
        </w:numPr>
        <w:spacing w:line="240" w:lineRule="auto"/>
        <w:rPr>
          <w:rFonts w:ascii="Arial" w:eastAsia="Times New Roman" w:hAnsi="Arial" w:cs="Arial"/>
        </w:rPr>
      </w:pPr>
      <w:r>
        <w:rPr>
          <w:rFonts w:ascii="Arial" w:eastAsia="Times New Roman" w:hAnsi="Arial" w:cs="Arial"/>
        </w:rPr>
        <w:lastRenderedPageBreak/>
        <w:t xml:space="preserve">Ongoing risks associated with under-regulated security of explosives, including the absence of a comprehensive, statutorily entrenched accreditation scheme, and an independent regulatory with visibility over all explosives activities and involved personnel. </w:t>
      </w:r>
    </w:p>
    <w:p w14:paraId="06126A08" w14:textId="70676ACD" w:rsidR="00E7579E" w:rsidRPr="00781691" w:rsidRDefault="00E7579E" w:rsidP="00F81099">
      <w:pPr>
        <w:spacing w:after="0" w:line="240" w:lineRule="auto"/>
        <w:jc w:val="both"/>
        <w:rPr>
          <w:rFonts w:ascii="Arial" w:eastAsia="Calibri" w:hAnsi="Arial" w:cs="Arial"/>
          <w:color w:val="997339"/>
        </w:rPr>
      </w:pPr>
      <w:r w:rsidRPr="00781691">
        <w:rPr>
          <w:rFonts w:ascii="Arial" w:eastAsia="Calibri" w:hAnsi="Arial" w:cs="Arial"/>
          <w:color w:val="997339"/>
        </w:rPr>
        <w:t xml:space="preserve">Businesses </w:t>
      </w:r>
      <w:r w:rsidR="006072E7">
        <w:rPr>
          <w:rFonts w:ascii="Arial" w:eastAsia="Calibri" w:hAnsi="Arial" w:cs="Arial"/>
          <w:color w:val="997339"/>
        </w:rPr>
        <w:t>(Engaged in Explosives Activities)</w:t>
      </w:r>
    </w:p>
    <w:p w14:paraId="1123BFCD" w14:textId="140DBDC2" w:rsidR="007B1A84" w:rsidRDefault="007B1A84" w:rsidP="00F81099">
      <w:pPr>
        <w:spacing w:line="240" w:lineRule="auto"/>
        <w:jc w:val="both"/>
        <w:rPr>
          <w:rFonts w:ascii="Arial" w:eastAsia="Times New Roman" w:hAnsi="Arial" w:cs="Arial"/>
        </w:rPr>
      </w:pPr>
      <w:r w:rsidRPr="00991AA9">
        <w:rPr>
          <w:rFonts w:ascii="Arial" w:eastAsia="Times New Roman" w:hAnsi="Arial" w:cs="Arial"/>
        </w:rPr>
        <w:t>Given the limited extent of amendments permitted to the Transport and Areas Regulations (without amendment to the principal Act) the impacts outside of those occurring in the status quo setting are limited.</w:t>
      </w:r>
      <w:r>
        <w:rPr>
          <w:rFonts w:ascii="Arial" w:eastAsia="Times New Roman" w:hAnsi="Arial" w:cs="Arial"/>
        </w:rPr>
        <w:t xml:space="preserve"> For completeness, these impacts are set out below: </w:t>
      </w:r>
    </w:p>
    <w:p w14:paraId="7BD31A3C" w14:textId="038ADA46" w:rsidR="00F81099" w:rsidRPr="00F81099" w:rsidRDefault="00F81099" w:rsidP="00A16B8A">
      <w:pPr>
        <w:pStyle w:val="ListParagraph"/>
        <w:numPr>
          <w:ilvl w:val="0"/>
          <w:numId w:val="35"/>
        </w:numPr>
        <w:spacing w:line="240" w:lineRule="auto"/>
        <w:rPr>
          <w:rFonts w:ascii="Arial" w:eastAsia="Times New Roman" w:hAnsi="Arial" w:cs="Arial"/>
        </w:rPr>
      </w:pPr>
      <w:r w:rsidRPr="00F81099">
        <w:rPr>
          <w:rFonts w:ascii="Arial" w:eastAsia="Times New Roman" w:hAnsi="Arial" w:cs="Arial"/>
        </w:rPr>
        <w:t>Ongoing administrative, financial and compliance burden</w:t>
      </w:r>
      <w:r w:rsidR="00FD6C35">
        <w:rPr>
          <w:rFonts w:ascii="Arial" w:eastAsia="Times New Roman" w:hAnsi="Arial" w:cs="Arial"/>
        </w:rPr>
        <w:t>s</w:t>
      </w:r>
      <w:r w:rsidRPr="00F81099">
        <w:rPr>
          <w:rFonts w:ascii="Arial" w:eastAsia="Times New Roman" w:hAnsi="Arial" w:cs="Arial"/>
        </w:rPr>
        <w:t xml:space="preserve"> arising from need to abide by differing jurisdictional requirements. </w:t>
      </w:r>
    </w:p>
    <w:p w14:paraId="6CA271B8" w14:textId="77777777" w:rsidR="00F81099" w:rsidRPr="00F81099" w:rsidRDefault="00F81099" w:rsidP="00A16B8A">
      <w:pPr>
        <w:pStyle w:val="ListParagraph"/>
        <w:numPr>
          <w:ilvl w:val="0"/>
          <w:numId w:val="35"/>
        </w:numPr>
        <w:spacing w:line="240" w:lineRule="auto"/>
        <w:rPr>
          <w:rFonts w:ascii="Arial" w:eastAsia="Times New Roman" w:hAnsi="Arial" w:cs="Arial"/>
        </w:rPr>
      </w:pPr>
      <w:r w:rsidRPr="00F81099">
        <w:rPr>
          <w:rFonts w:ascii="Arial" w:eastAsia="Times New Roman" w:hAnsi="Arial" w:cs="Arial"/>
        </w:rPr>
        <w:t xml:space="preserve">Ongoing competitive disadvantage for small businesses who are unable to participate in explosives market. </w:t>
      </w:r>
    </w:p>
    <w:p w14:paraId="2EF19ED9" w14:textId="77777777" w:rsidR="00F81099" w:rsidRPr="00F81099" w:rsidRDefault="00F81099" w:rsidP="00A16B8A">
      <w:pPr>
        <w:pStyle w:val="ListParagraph"/>
        <w:numPr>
          <w:ilvl w:val="0"/>
          <w:numId w:val="35"/>
        </w:numPr>
        <w:spacing w:line="240" w:lineRule="auto"/>
        <w:rPr>
          <w:rFonts w:ascii="Arial" w:eastAsia="Times New Roman" w:hAnsi="Arial" w:cs="Arial"/>
        </w:rPr>
      </w:pPr>
      <w:r w:rsidRPr="00F81099">
        <w:rPr>
          <w:rFonts w:ascii="Arial" w:eastAsia="Times New Roman" w:hAnsi="Arial" w:cs="Arial"/>
        </w:rPr>
        <w:t xml:space="preserve">Ongoing uncertainty around mitigation and penalties for WHS incidents, due to complex and overlapping State, Territory and Commonwealth requirements.  </w:t>
      </w:r>
    </w:p>
    <w:p w14:paraId="0667C02E" w14:textId="77777777" w:rsidR="00F81099" w:rsidRPr="00F81099" w:rsidRDefault="00F81099" w:rsidP="00A16B8A">
      <w:pPr>
        <w:pStyle w:val="ListParagraph"/>
        <w:numPr>
          <w:ilvl w:val="0"/>
          <w:numId w:val="35"/>
        </w:numPr>
        <w:spacing w:line="240" w:lineRule="auto"/>
        <w:rPr>
          <w:rFonts w:ascii="Arial" w:eastAsia="Times New Roman" w:hAnsi="Arial" w:cs="Arial"/>
        </w:rPr>
      </w:pPr>
      <w:r w:rsidRPr="00F81099">
        <w:rPr>
          <w:rFonts w:ascii="Arial" w:eastAsia="Times New Roman" w:hAnsi="Arial" w:cs="Arial"/>
        </w:rPr>
        <w:t xml:space="preserve">Ongoing risks associated with unregulated storage, and </w:t>
      </w:r>
      <w:proofErr w:type="spellStart"/>
      <w:r w:rsidRPr="00F81099">
        <w:rPr>
          <w:rFonts w:ascii="Arial" w:eastAsia="Times New Roman" w:hAnsi="Arial" w:cs="Arial"/>
        </w:rPr>
        <w:t>underregulated</w:t>
      </w:r>
      <w:proofErr w:type="spellEnd"/>
      <w:r w:rsidRPr="00F81099">
        <w:rPr>
          <w:rFonts w:ascii="Arial" w:eastAsia="Times New Roman" w:hAnsi="Arial" w:cs="Arial"/>
        </w:rPr>
        <w:t xml:space="preserve"> security, of explosives.</w:t>
      </w:r>
    </w:p>
    <w:p w14:paraId="6E357BB0" w14:textId="2A6E5F57" w:rsidR="007B1A84" w:rsidRPr="00A405F8" w:rsidRDefault="00FD6C35" w:rsidP="00A405F8">
      <w:pPr>
        <w:spacing w:line="240" w:lineRule="auto"/>
        <w:rPr>
          <w:rFonts w:ascii="Arial" w:eastAsia="Times New Roman" w:hAnsi="Arial" w:cs="Arial"/>
        </w:rPr>
      </w:pPr>
      <w:r w:rsidRPr="00A405F8">
        <w:rPr>
          <w:rFonts w:ascii="Arial" w:eastAsia="Times New Roman" w:hAnsi="Arial" w:cs="Arial"/>
        </w:rPr>
        <w:t xml:space="preserve">However, the limited scope for change means businesses may experience ongoing certainty and familiarity, associated with the continuance of existing </w:t>
      </w:r>
      <w:r w:rsidR="00A405F8" w:rsidRPr="00A405F8">
        <w:rPr>
          <w:rFonts w:ascii="Arial" w:eastAsia="Times New Roman" w:hAnsi="Arial" w:cs="Arial"/>
        </w:rPr>
        <w:t xml:space="preserve">processes and procedures. </w:t>
      </w:r>
      <w:r w:rsidR="00F97428">
        <w:rPr>
          <w:rFonts w:ascii="Arial" w:eastAsia="Times New Roman" w:hAnsi="Arial" w:cs="Arial"/>
        </w:rPr>
        <w:t>They may also benefit from gained efficiencies in the classification and approval processes</w:t>
      </w:r>
      <w:r w:rsidR="00403BD7">
        <w:rPr>
          <w:rFonts w:ascii="Arial" w:eastAsia="Times New Roman" w:hAnsi="Arial" w:cs="Arial"/>
        </w:rPr>
        <w:t xml:space="preserve"> for transport of explosives by road and rail. </w:t>
      </w:r>
      <w:r w:rsidR="00A405F8" w:rsidRPr="00A405F8">
        <w:rPr>
          <w:rFonts w:ascii="Arial" w:eastAsia="Times New Roman" w:hAnsi="Arial" w:cs="Arial"/>
        </w:rPr>
        <w:t xml:space="preserve">Businesses will also benefit from avoiding the regulatory costs associated with applying to and complying with a new accreditation framework for Commonwealth contractors. </w:t>
      </w:r>
    </w:p>
    <w:p w14:paraId="0B7A671D" w14:textId="11363853" w:rsidR="00E7579E" w:rsidRPr="00781691" w:rsidRDefault="00E7579E" w:rsidP="00DC632A">
      <w:pPr>
        <w:spacing w:after="0" w:line="240" w:lineRule="auto"/>
        <w:jc w:val="both"/>
        <w:rPr>
          <w:rFonts w:ascii="Arial" w:eastAsia="Calibri" w:hAnsi="Arial" w:cs="Arial"/>
          <w:color w:val="997339"/>
        </w:rPr>
      </w:pPr>
      <w:r w:rsidRPr="00781691">
        <w:rPr>
          <w:rFonts w:ascii="Arial" w:eastAsia="Calibri" w:hAnsi="Arial" w:cs="Arial"/>
          <w:color w:val="997339"/>
        </w:rPr>
        <w:t xml:space="preserve">Governments </w:t>
      </w:r>
    </w:p>
    <w:p w14:paraId="053F74AD" w14:textId="77777777" w:rsidR="00DC632A" w:rsidRDefault="00DC632A" w:rsidP="00DC632A">
      <w:pPr>
        <w:spacing w:line="240" w:lineRule="auto"/>
        <w:rPr>
          <w:rFonts w:ascii="Arial" w:eastAsia="Times New Roman" w:hAnsi="Arial" w:cs="Arial"/>
        </w:rPr>
      </w:pPr>
      <w:r w:rsidRPr="00991AA9">
        <w:rPr>
          <w:rFonts w:ascii="Arial" w:eastAsia="Times New Roman" w:hAnsi="Arial" w:cs="Arial"/>
        </w:rPr>
        <w:t>Given the limited extent of amendments permitted to the Transport and Areas Regulations (without amendment to the principal Act) the impacts outside of those occurring in the status quo setting are limited.</w:t>
      </w:r>
      <w:r>
        <w:rPr>
          <w:rFonts w:ascii="Arial" w:eastAsia="Times New Roman" w:hAnsi="Arial" w:cs="Arial"/>
        </w:rPr>
        <w:t xml:space="preserve"> For completeness, these impacts are set out below: </w:t>
      </w:r>
    </w:p>
    <w:p w14:paraId="59F1C590" w14:textId="2E0B6478" w:rsidR="00DC632A" w:rsidRPr="00DC632A" w:rsidRDefault="00DC632A" w:rsidP="00A16B8A">
      <w:pPr>
        <w:pStyle w:val="ListParagraph"/>
        <w:numPr>
          <w:ilvl w:val="0"/>
          <w:numId w:val="36"/>
        </w:numPr>
        <w:spacing w:line="240" w:lineRule="auto"/>
        <w:rPr>
          <w:rFonts w:ascii="Arial" w:eastAsia="Times New Roman" w:hAnsi="Arial" w:cs="Arial"/>
        </w:rPr>
      </w:pPr>
      <w:r w:rsidRPr="00DC632A">
        <w:rPr>
          <w:rFonts w:ascii="Arial" w:eastAsia="Times New Roman" w:hAnsi="Arial" w:cs="Arial"/>
        </w:rPr>
        <w:t>Ongoing ambiguity and complexity surrounding governance arrangements, with no legally entrenched competent authority, with independence, accountability &amp; transparency.</w:t>
      </w:r>
    </w:p>
    <w:p w14:paraId="2B34F8EF" w14:textId="77777777" w:rsidR="00DC632A" w:rsidRPr="00DC632A" w:rsidRDefault="00DC632A" w:rsidP="00A16B8A">
      <w:pPr>
        <w:pStyle w:val="ListParagraph"/>
        <w:numPr>
          <w:ilvl w:val="0"/>
          <w:numId w:val="36"/>
        </w:numPr>
        <w:spacing w:line="240" w:lineRule="auto"/>
        <w:rPr>
          <w:rFonts w:ascii="Arial" w:eastAsia="Times New Roman" w:hAnsi="Arial" w:cs="Arial"/>
        </w:rPr>
      </w:pPr>
      <w:r w:rsidRPr="00DC632A">
        <w:rPr>
          <w:rFonts w:ascii="Arial" w:eastAsia="Times New Roman" w:hAnsi="Arial" w:cs="Arial"/>
        </w:rPr>
        <w:t xml:space="preserve">Lack of certainty for Commonwealth agencies responsible for explosives transport, handling and other activities. </w:t>
      </w:r>
    </w:p>
    <w:p w14:paraId="2A3EB793" w14:textId="77777777" w:rsidR="00DC632A" w:rsidRPr="00DC632A" w:rsidRDefault="00DC632A" w:rsidP="00A16B8A">
      <w:pPr>
        <w:pStyle w:val="ListParagraph"/>
        <w:numPr>
          <w:ilvl w:val="0"/>
          <w:numId w:val="36"/>
        </w:numPr>
        <w:spacing w:line="240" w:lineRule="auto"/>
        <w:rPr>
          <w:rFonts w:ascii="Arial" w:eastAsia="Times New Roman" w:hAnsi="Arial" w:cs="Arial"/>
        </w:rPr>
      </w:pPr>
      <w:r w:rsidRPr="00DC632A">
        <w:rPr>
          <w:rFonts w:ascii="Arial" w:eastAsia="Times New Roman" w:hAnsi="Arial" w:cs="Arial"/>
        </w:rPr>
        <w:t>Ongoing potential duplication of regulator activity across Commonwealth and jurisdictional governments.</w:t>
      </w:r>
    </w:p>
    <w:p w14:paraId="681B9567" w14:textId="419AF7E8" w:rsidR="00DC632A" w:rsidRPr="00DD3716" w:rsidRDefault="00DC632A" w:rsidP="006E0C53">
      <w:pPr>
        <w:spacing w:line="240" w:lineRule="auto"/>
        <w:rPr>
          <w:rFonts w:ascii="Arial" w:eastAsia="Times New Roman" w:hAnsi="Arial" w:cs="Arial"/>
        </w:rPr>
      </w:pPr>
      <w:r w:rsidRPr="00DD3716">
        <w:rPr>
          <w:rFonts w:ascii="Arial" w:eastAsia="Times New Roman" w:hAnsi="Arial" w:cs="Arial"/>
        </w:rPr>
        <w:t>However, the Australian Government may benefit from ongoing certainty and familiarity, arising from the continuance of existing processes and procedures</w:t>
      </w:r>
      <w:r w:rsidR="003807BB" w:rsidRPr="00DD3716">
        <w:rPr>
          <w:rFonts w:ascii="Arial" w:eastAsia="Times New Roman" w:hAnsi="Arial" w:cs="Arial"/>
        </w:rPr>
        <w:t>, noting this certainty and familiarity is inherently limited but the lack of a legally entrenched regulator. Similarly, the Australian Government may avoid costs associated with establishing an independent regulator</w:t>
      </w:r>
      <w:r w:rsidR="00507373" w:rsidRPr="00DD3716">
        <w:rPr>
          <w:rFonts w:ascii="Arial" w:eastAsia="Times New Roman" w:hAnsi="Arial" w:cs="Arial"/>
        </w:rPr>
        <w:t xml:space="preserve">. </w:t>
      </w:r>
    </w:p>
    <w:p w14:paraId="71D26B78" w14:textId="27BFF30C" w:rsidR="00E7579E" w:rsidRPr="00781691" w:rsidRDefault="00E7579E" w:rsidP="006E0C53">
      <w:pPr>
        <w:spacing w:after="0" w:line="240" w:lineRule="auto"/>
        <w:rPr>
          <w:rFonts w:ascii="Arial" w:eastAsia="Calibri" w:hAnsi="Arial" w:cs="Arial"/>
          <w:color w:val="997339"/>
        </w:rPr>
      </w:pPr>
      <w:r w:rsidRPr="00781691">
        <w:rPr>
          <w:rFonts w:ascii="Arial" w:eastAsia="Calibri" w:hAnsi="Arial" w:cs="Arial"/>
          <w:color w:val="997339"/>
        </w:rPr>
        <w:t xml:space="preserve">Community and Environment </w:t>
      </w:r>
    </w:p>
    <w:p w14:paraId="19D578B6" w14:textId="18EAFB6F" w:rsidR="007E58DE" w:rsidRDefault="007E58DE" w:rsidP="006E0C53">
      <w:pPr>
        <w:spacing w:line="240" w:lineRule="auto"/>
        <w:rPr>
          <w:rFonts w:ascii="Arial" w:eastAsia="Times New Roman" w:hAnsi="Arial" w:cs="Arial"/>
        </w:rPr>
      </w:pPr>
      <w:r w:rsidRPr="00991AA9">
        <w:rPr>
          <w:rFonts w:ascii="Arial" w:eastAsia="Times New Roman" w:hAnsi="Arial" w:cs="Arial"/>
        </w:rPr>
        <w:t xml:space="preserve">Given the limited extent of amendments permitted to the Transport and Areas Regulations (without amendment to the principal Act) the impacts outside of those occurring in the status quo setting are limited. </w:t>
      </w:r>
      <w:r>
        <w:rPr>
          <w:rFonts w:ascii="Arial" w:eastAsia="Times New Roman" w:hAnsi="Arial" w:cs="Arial"/>
        </w:rPr>
        <w:t>Howeve</w:t>
      </w:r>
      <w:r w:rsidR="000C3FC2">
        <w:rPr>
          <w:rFonts w:ascii="Arial" w:eastAsia="Times New Roman" w:hAnsi="Arial" w:cs="Arial"/>
        </w:rPr>
        <w:t xml:space="preserve">r, Option 2 could support the declaration of additional Commonwealth Explosives Areas and the subsequent enlivenment of safety mitigations, which may work to offer </w:t>
      </w:r>
      <w:r w:rsidR="00B535A2">
        <w:rPr>
          <w:rFonts w:ascii="Arial" w:eastAsia="Times New Roman" w:hAnsi="Arial" w:cs="Arial"/>
        </w:rPr>
        <w:t xml:space="preserve">additional protection to the community and the environment. </w:t>
      </w:r>
    </w:p>
    <w:p w14:paraId="54DFB26E" w14:textId="0B7B721D" w:rsidR="007E58DE" w:rsidRDefault="007E58DE" w:rsidP="006E0C53">
      <w:pPr>
        <w:spacing w:line="240" w:lineRule="auto"/>
        <w:rPr>
          <w:rFonts w:ascii="Arial" w:eastAsia="Times New Roman" w:hAnsi="Arial" w:cs="Arial"/>
        </w:rPr>
      </w:pPr>
      <w:r>
        <w:rPr>
          <w:rFonts w:ascii="Arial" w:eastAsia="Times New Roman" w:hAnsi="Arial" w:cs="Arial"/>
        </w:rPr>
        <w:t xml:space="preserve">For completeness, the impacts on individuals under the status quo arrangement (i.e., the ongoing operation of the Explosives Act, the Transport and Areas Regulations in their current form) include: </w:t>
      </w:r>
    </w:p>
    <w:p w14:paraId="24CD19A7" w14:textId="3D2DA7E8" w:rsidR="007E58DE" w:rsidRDefault="007E58DE" w:rsidP="00A16B8A">
      <w:pPr>
        <w:pStyle w:val="ListParagraph"/>
        <w:numPr>
          <w:ilvl w:val="0"/>
          <w:numId w:val="34"/>
        </w:numPr>
        <w:spacing w:line="240" w:lineRule="auto"/>
        <w:rPr>
          <w:rFonts w:ascii="Arial" w:eastAsia="Times New Roman" w:hAnsi="Arial" w:cs="Arial"/>
        </w:rPr>
      </w:pPr>
      <w:r>
        <w:rPr>
          <w:rFonts w:ascii="Arial" w:eastAsia="Times New Roman" w:hAnsi="Arial" w:cs="Arial"/>
        </w:rPr>
        <w:lastRenderedPageBreak/>
        <w:t>Ongoing risks</w:t>
      </w:r>
      <w:r w:rsidR="00B535A2">
        <w:rPr>
          <w:rFonts w:ascii="Arial" w:eastAsia="Times New Roman" w:hAnsi="Arial" w:cs="Arial"/>
        </w:rPr>
        <w:t xml:space="preserve"> of community and environmental damage </w:t>
      </w:r>
      <w:r>
        <w:rPr>
          <w:rFonts w:ascii="Arial" w:eastAsia="Times New Roman" w:hAnsi="Arial" w:cs="Arial"/>
        </w:rPr>
        <w:t>associated with unregulated storage of Commonwealth explosives, including storage of explosives in quantities beneath the current MHF threshold; and</w:t>
      </w:r>
    </w:p>
    <w:p w14:paraId="3071D3AE" w14:textId="34E4284E" w:rsidR="00E7579E" w:rsidRDefault="007E58DE" w:rsidP="00A16B8A">
      <w:pPr>
        <w:pStyle w:val="ListParagraph"/>
        <w:numPr>
          <w:ilvl w:val="0"/>
          <w:numId w:val="34"/>
        </w:numPr>
        <w:spacing w:line="240" w:lineRule="auto"/>
        <w:rPr>
          <w:rFonts w:ascii="Arial" w:eastAsia="Times New Roman" w:hAnsi="Arial" w:cs="Arial"/>
        </w:rPr>
      </w:pPr>
      <w:r>
        <w:rPr>
          <w:rFonts w:ascii="Arial" w:eastAsia="Times New Roman" w:hAnsi="Arial" w:cs="Arial"/>
        </w:rPr>
        <w:t xml:space="preserve">Ongoing risks associated with under-regulated security of explosives, including the absence of a comprehensive, statutorily entrenched accreditation scheme, and an independent regulatory with visibility over all explosives activities and involved personnel. </w:t>
      </w:r>
    </w:p>
    <w:p w14:paraId="2FEB09B6" w14:textId="3C1E93EA" w:rsidR="00DD3716" w:rsidRPr="00DD3716" w:rsidRDefault="00DD3716" w:rsidP="006E0C53">
      <w:pPr>
        <w:spacing w:line="240" w:lineRule="auto"/>
        <w:rPr>
          <w:rFonts w:ascii="Arial" w:eastAsia="Times New Roman" w:hAnsi="Arial" w:cs="Arial"/>
        </w:rPr>
      </w:pPr>
      <w:r w:rsidRPr="00A75377">
        <w:rPr>
          <w:rFonts w:ascii="Arial" w:eastAsia="Calibri" w:hAnsi="Arial" w:cs="Arial"/>
          <w:color w:val="997339"/>
        </w:rPr>
        <w:t>Assessment of Net Expected Benefit:</w:t>
      </w:r>
      <w:r>
        <w:rPr>
          <w:rFonts w:ascii="Arial" w:eastAsia="Times New Roman" w:hAnsi="Arial" w:cs="Arial"/>
        </w:rPr>
        <w:t xml:space="preserve"> The above analysis indicates that while Option 2 may provide qualitative benefits in the form of ongoing certainty and familiarity, the limited scope of amendments permitted under the Regulations means the net expected benefit is low. </w:t>
      </w:r>
      <w:r w:rsidR="00CF7196">
        <w:rPr>
          <w:rFonts w:ascii="Arial" w:eastAsia="Times New Roman" w:hAnsi="Arial" w:cs="Arial"/>
        </w:rPr>
        <w:t xml:space="preserve">However, the net expected benefit of Option 2 is higher than that offered by Option 1, given Option 2’s provision for ongoing baseline (and some limited enhancements) to the safety and security measures contained in the current Commonwealth explosives regulatory regime. </w:t>
      </w:r>
    </w:p>
    <w:p w14:paraId="19D28212" w14:textId="77777777" w:rsidR="00E7579E" w:rsidRPr="00DD3716" w:rsidRDefault="00E7579E" w:rsidP="006E0C53">
      <w:pPr>
        <w:spacing w:after="0"/>
        <w:rPr>
          <w:rFonts w:ascii="Arial" w:eastAsia="Calibri" w:hAnsi="Arial" w:cs="Arial"/>
          <w:b/>
          <w:bCs/>
          <w:i/>
          <w:iCs/>
          <w:color w:val="997339"/>
        </w:rPr>
      </w:pPr>
      <w:r w:rsidRPr="00DD3716">
        <w:rPr>
          <w:rFonts w:ascii="Arial" w:eastAsia="Calibri" w:hAnsi="Arial" w:cs="Arial"/>
          <w:b/>
          <w:bCs/>
          <w:i/>
          <w:iCs/>
          <w:color w:val="997339"/>
        </w:rPr>
        <w:t xml:space="preserve">Regulatory Impacts </w:t>
      </w:r>
    </w:p>
    <w:p w14:paraId="5023C9DC" w14:textId="77777777" w:rsidR="001333CC" w:rsidRDefault="00120A53" w:rsidP="00533F90">
      <w:pPr>
        <w:spacing w:line="240" w:lineRule="auto"/>
        <w:rPr>
          <w:rFonts w:ascii="Arial" w:eastAsia="Times New Roman" w:hAnsi="Arial" w:cs="Arial"/>
        </w:rPr>
      </w:pPr>
      <w:r w:rsidRPr="00403BD7">
        <w:rPr>
          <w:rFonts w:ascii="Arial" w:eastAsia="Times New Roman" w:hAnsi="Arial" w:cs="Arial"/>
        </w:rPr>
        <w:t xml:space="preserve">A future version of this RIS will provide </w:t>
      </w:r>
      <w:r w:rsidR="00110E7C" w:rsidRPr="00403BD7">
        <w:rPr>
          <w:rFonts w:ascii="Arial" w:eastAsia="Times New Roman" w:hAnsi="Arial" w:cs="Arial"/>
        </w:rPr>
        <w:t>specific, quantified regulatory impacts against Option 2. In line with Australian Government requirements, these regulatory impacts will be focussed on</w:t>
      </w:r>
      <w:r w:rsidR="00876C5F" w:rsidRPr="00403BD7">
        <w:rPr>
          <w:rFonts w:ascii="Arial" w:eastAsia="Times New Roman" w:hAnsi="Arial" w:cs="Arial"/>
        </w:rPr>
        <w:t xml:space="preserve"> the administrative and substantive compliance costs</w:t>
      </w:r>
      <w:r w:rsidR="001333CC">
        <w:rPr>
          <w:rFonts w:ascii="Arial" w:eastAsia="Times New Roman" w:hAnsi="Arial" w:cs="Arial"/>
        </w:rPr>
        <w:t xml:space="preserve"> for businesses engaged in Commonwealth explosives activities</w:t>
      </w:r>
      <w:r w:rsidR="00876C5F" w:rsidRPr="00403BD7">
        <w:rPr>
          <w:rFonts w:ascii="Arial" w:eastAsia="Times New Roman" w:hAnsi="Arial" w:cs="Arial"/>
        </w:rPr>
        <w:t>, as well as the delay costs attached to Option 2</w:t>
      </w:r>
      <w:r w:rsidR="001333CC">
        <w:rPr>
          <w:rFonts w:ascii="Arial" w:eastAsia="Times New Roman" w:hAnsi="Arial" w:cs="Arial"/>
        </w:rPr>
        <w:t xml:space="preserve">. These include: </w:t>
      </w:r>
    </w:p>
    <w:p w14:paraId="1832DF64" w14:textId="4FBF3C5F" w:rsidR="00430865" w:rsidRDefault="002F174C" w:rsidP="00A16B8A">
      <w:pPr>
        <w:pStyle w:val="ListParagraph"/>
        <w:numPr>
          <w:ilvl w:val="0"/>
          <w:numId w:val="37"/>
        </w:numPr>
        <w:spacing w:line="240" w:lineRule="auto"/>
        <w:ind w:left="357" w:hanging="357"/>
        <w:contextualSpacing w:val="0"/>
        <w:rPr>
          <w:rFonts w:ascii="Arial" w:eastAsia="Calibri" w:hAnsi="Arial" w:cs="Arial"/>
        </w:rPr>
      </w:pPr>
      <w:r>
        <w:rPr>
          <w:rFonts w:ascii="Arial" w:eastAsia="Calibri" w:hAnsi="Arial" w:cs="Arial"/>
        </w:rPr>
        <w:t>Firstly, a</w:t>
      </w:r>
      <w:r w:rsidR="00876C5F" w:rsidRPr="001333CC">
        <w:rPr>
          <w:rFonts w:ascii="Arial" w:eastAsia="Calibri" w:hAnsi="Arial" w:cs="Arial"/>
        </w:rPr>
        <w:t>ny uplift in compliance associated with the declaration of additional Commonwealth Explosives Areas</w:t>
      </w:r>
      <w:r>
        <w:rPr>
          <w:rFonts w:ascii="Arial" w:eastAsia="Calibri" w:hAnsi="Arial" w:cs="Arial"/>
        </w:rPr>
        <w:t xml:space="preserve">. The extent of this uplift will depend on the number of </w:t>
      </w:r>
      <w:r w:rsidR="001C237A">
        <w:rPr>
          <w:rFonts w:ascii="Arial" w:eastAsia="Calibri" w:hAnsi="Arial" w:cs="Arial"/>
        </w:rPr>
        <w:t xml:space="preserve">new Areas declared, and the subsequent number of businesses affected, the size of the businesses (as smaller businesses are likely to incur additional costs from the required </w:t>
      </w:r>
      <w:r w:rsidR="00430865">
        <w:rPr>
          <w:rFonts w:ascii="Arial" w:eastAsia="Calibri" w:hAnsi="Arial" w:cs="Arial"/>
        </w:rPr>
        <w:t xml:space="preserve">uplift), and the degree of uplift imposed by the declaration of a new Area. </w:t>
      </w:r>
    </w:p>
    <w:p w14:paraId="186EFCFB" w14:textId="680CCC8E" w:rsidR="00940D33" w:rsidRPr="00533F90" w:rsidRDefault="00430865" w:rsidP="00A16B8A">
      <w:pPr>
        <w:pStyle w:val="ListParagraph"/>
        <w:numPr>
          <w:ilvl w:val="0"/>
          <w:numId w:val="37"/>
        </w:numPr>
        <w:spacing w:line="240" w:lineRule="auto"/>
        <w:rPr>
          <w:rFonts w:ascii="Arial" w:eastAsia="Calibri" w:hAnsi="Arial" w:cs="Arial"/>
        </w:rPr>
      </w:pPr>
      <w:r w:rsidRPr="00533F90">
        <w:rPr>
          <w:rFonts w:ascii="Arial" w:eastAsia="Calibri" w:hAnsi="Arial" w:cs="Arial"/>
        </w:rPr>
        <w:t>Secondly, a</w:t>
      </w:r>
      <w:r w:rsidR="00876C5F" w:rsidRPr="00533F90">
        <w:rPr>
          <w:rFonts w:ascii="Arial" w:eastAsia="Calibri" w:hAnsi="Arial" w:cs="Arial"/>
        </w:rPr>
        <w:t xml:space="preserve">ny uplift in compliance associated with </w:t>
      </w:r>
      <w:r w:rsidR="00403BD7" w:rsidRPr="00533F90">
        <w:rPr>
          <w:rFonts w:ascii="Arial" w:eastAsia="Calibri" w:hAnsi="Arial" w:cs="Arial"/>
        </w:rPr>
        <w:t xml:space="preserve">amendments to the Transport Regulations, which allow for efficiencies in the classification and approval of Commonwealth explosives for transportation. </w:t>
      </w:r>
      <w:r w:rsidR="00876C5F" w:rsidRPr="00533F90">
        <w:rPr>
          <w:rFonts w:ascii="Arial" w:eastAsia="Calibri" w:hAnsi="Arial" w:cs="Arial"/>
        </w:rPr>
        <w:t xml:space="preserve"> </w:t>
      </w:r>
      <w:r w:rsidRPr="00533F90">
        <w:rPr>
          <w:rFonts w:ascii="Arial" w:eastAsia="Calibri" w:hAnsi="Arial" w:cs="Arial"/>
        </w:rPr>
        <w:t xml:space="preserve">While this change is most likely to manifest as an administrative cost saving, it may impose a cost on industry if, for example, additional administrative work </w:t>
      </w:r>
      <w:r w:rsidR="00533F90" w:rsidRPr="00533F90">
        <w:rPr>
          <w:rFonts w:ascii="Arial" w:eastAsia="Calibri" w:hAnsi="Arial" w:cs="Arial"/>
        </w:rPr>
        <w:t xml:space="preserve">or condensed timeframes were </w:t>
      </w:r>
      <w:r w:rsidR="0067493B">
        <w:rPr>
          <w:rFonts w:ascii="Arial" w:eastAsia="Calibri" w:hAnsi="Arial" w:cs="Arial"/>
        </w:rPr>
        <w:t xml:space="preserve">imposed on industry </w:t>
      </w:r>
      <w:r w:rsidR="00533F90" w:rsidRPr="00533F90">
        <w:rPr>
          <w:rFonts w:ascii="Arial" w:eastAsia="Calibri" w:hAnsi="Arial" w:cs="Arial"/>
        </w:rPr>
        <w:t xml:space="preserve">to create these efficiencies. </w:t>
      </w:r>
    </w:p>
    <w:p w14:paraId="0DB2403F" w14:textId="663EEA32" w:rsidR="001F3E68" w:rsidRDefault="001F3E68" w:rsidP="006E0C53">
      <w:pPr>
        <w:spacing w:line="240" w:lineRule="auto"/>
        <w:rPr>
          <w:rFonts w:ascii="Arial" w:eastAsia="Times New Roman" w:hAnsi="Arial" w:cs="Arial"/>
        </w:rPr>
      </w:pPr>
      <w:r w:rsidRPr="001F3E68">
        <w:rPr>
          <w:rFonts w:ascii="Arial" w:eastAsia="Times New Roman" w:hAnsi="Arial" w:cs="Arial"/>
          <w:b/>
          <w:bCs/>
          <w:color w:val="B35E06"/>
        </w:rPr>
        <w:t>Likely Net Benefit:</w:t>
      </w:r>
      <w:r w:rsidRPr="001F3E68">
        <w:rPr>
          <w:rFonts w:ascii="Arial" w:eastAsia="Times New Roman" w:hAnsi="Arial" w:cs="Arial"/>
          <w:color w:val="B35E06"/>
        </w:rPr>
        <w:t xml:space="preserve"> </w:t>
      </w:r>
      <w:r w:rsidRPr="001F3E68">
        <w:rPr>
          <w:rFonts w:ascii="Arial" w:eastAsia="Times New Roman" w:hAnsi="Arial" w:cs="Arial"/>
        </w:rPr>
        <w:t xml:space="preserve">Given the above analysis of overall and regulatory impacts, the likely net benefit of Option </w:t>
      </w:r>
      <w:r>
        <w:rPr>
          <w:rFonts w:ascii="Arial" w:eastAsia="Times New Roman" w:hAnsi="Arial" w:cs="Arial"/>
        </w:rPr>
        <w:t>2</w:t>
      </w:r>
      <w:r w:rsidR="0067493B">
        <w:rPr>
          <w:rFonts w:ascii="Arial" w:eastAsia="Times New Roman" w:hAnsi="Arial" w:cs="Arial"/>
        </w:rPr>
        <w:t xml:space="preserve">, when compared with Option 1, is moderate. The ongoing operation of the Regulations with minor amendment offers substantially more safety and security protections than that afforded under Option 1. However, </w:t>
      </w:r>
      <w:r w:rsidR="00733F4D">
        <w:rPr>
          <w:rFonts w:ascii="Arial" w:eastAsia="Times New Roman" w:hAnsi="Arial" w:cs="Arial"/>
        </w:rPr>
        <w:t xml:space="preserve">the limitations on amending the </w:t>
      </w:r>
      <w:r w:rsidR="00DD24D3">
        <w:rPr>
          <w:rFonts w:ascii="Arial" w:eastAsia="Times New Roman" w:hAnsi="Arial" w:cs="Arial"/>
        </w:rPr>
        <w:t>Transport and Areas Regulations, without amendment to the principal act, means Option 2 presents little change from the status quo arrangement. As such, identified efficiencies and ambiguities will be ongoing</w:t>
      </w:r>
      <w:r w:rsidR="0067493B">
        <w:rPr>
          <w:rFonts w:ascii="Arial" w:eastAsia="Times New Roman" w:hAnsi="Arial" w:cs="Arial"/>
        </w:rPr>
        <w:t xml:space="preserve">. This </w:t>
      </w:r>
      <w:r w:rsidR="00DD24D3">
        <w:rPr>
          <w:rFonts w:ascii="Arial" w:eastAsia="Times New Roman" w:hAnsi="Arial" w:cs="Arial"/>
        </w:rPr>
        <w:t>likely outweigh</w:t>
      </w:r>
      <w:r w:rsidR="0067493B">
        <w:rPr>
          <w:rFonts w:ascii="Arial" w:eastAsia="Times New Roman" w:hAnsi="Arial" w:cs="Arial"/>
        </w:rPr>
        <w:t>s</w:t>
      </w:r>
      <w:r w:rsidR="00DD24D3">
        <w:rPr>
          <w:rFonts w:ascii="Arial" w:eastAsia="Times New Roman" w:hAnsi="Arial" w:cs="Arial"/>
        </w:rPr>
        <w:t xml:space="preserve"> any benefit provided through continued familiarity and certainty associated with the current framework. </w:t>
      </w:r>
    </w:p>
    <w:p w14:paraId="16AB7D39" w14:textId="175A97F2" w:rsidR="0023620B" w:rsidRPr="00DD24D3" w:rsidRDefault="0023620B" w:rsidP="006E0C53">
      <w:pPr>
        <w:spacing w:line="240" w:lineRule="auto"/>
        <w:rPr>
          <w:rFonts w:ascii="Arial" w:eastAsia="Times New Roman" w:hAnsi="Arial" w:cs="Arial"/>
        </w:rPr>
      </w:pPr>
      <w:r w:rsidRPr="000B7589">
        <w:rPr>
          <w:noProof/>
          <w:lang w:eastAsia="en-AU"/>
        </w:rPr>
        <mc:AlternateContent>
          <mc:Choice Requires="wps">
            <w:drawing>
              <wp:inline distT="0" distB="0" distL="0" distR="0" wp14:anchorId="0983DA09" wp14:editId="22504AD0">
                <wp:extent cx="1212215" cy="5732780"/>
                <wp:effectExtent l="6668" t="0" r="0" b="0"/>
                <wp:docPr id="39" name="AutoShape 2" descr="Consultation question(s)&#10;(1) Are the impacts of Option 1 accurately described as related to your entity? Are there any other impacts (negative, positive or neutral) of the System continuing without regulation, that are not mentioned abo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12215" cy="5732780"/>
                        </a:xfrm>
                        <a:prstGeom prst="roundRect">
                          <a:avLst>
                            <a:gd name="adj" fmla="val 2892"/>
                          </a:avLst>
                        </a:prstGeom>
                        <a:solidFill>
                          <a:schemeClr val="accent2">
                            <a:lumMod val="20000"/>
                            <a:lumOff val="80000"/>
                          </a:schemeClr>
                        </a:solidFill>
                      </wps:spPr>
                      <wps:txbx>
                        <w:txbxContent>
                          <w:p w14:paraId="4BEFAD40" w14:textId="77777777" w:rsidR="00B3427F" w:rsidRPr="00504EB8" w:rsidRDefault="00B3427F" w:rsidP="0023620B">
                            <w:pPr>
                              <w:pStyle w:val="Heading4NoNumbers"/>
                              <w:spacing w:before="120"/>
                              <w:ind w:left="113" w:right="113"/>
                              <w:rPr>
                                <w:rFonts w:eastAsia="Times New Roman" w:cs="Arial"/>
                                <w:bCs/>
                                <w:color w:val="ED7D31" w:themeColor="accent2"/>
                                <w:kern w:val="0"/>
                                <w:sz w:val="22"/>
                                <w:lang w:eastAsia="en-US"/>
                              </w:rPr>
                            </w:pPr>
                            <w:r w:rsidRPr="00504EB8">
                              <w:rPr>
                                <w:rFonts w:eastAsia="Times New Roman" w:cs="Arial"/>
                                <w:bCs/>
                                <w:color w:val="ED7D31" w:themeColor="accent2"/>
                                <w:kern w:val="0"/>
                                <w:sz w:val="22"/>
                                <w:lang w:eastAsia="en-US"/>
                              </w:rPr>
                              <w:t>Consultation question(s)</w:t>
                            </w:r>
                          </w:p>
                          <w:p w14:paraId="44D65D45" w14:textId="00C35ABB" w:rsidR="00B3427F" w:rsidRPr="00504EB8" w:rsidRDefault="00B3427F" w:rsidP="00A72490">
                            <w:pPr>
                              <w:pStyle w:val="BodyText"/>
                              <w:numPr>
                                <w:ilvl w:val="0"/>
                                <w:numId w:val="49"/>
                              </w:numPr>
                              <w:spacing w:line="240" w:lineRule="auto"/>
                              <w:ind w:right="113"/>
                              <w:rPr>
                                <w:rFonts w:eastAsia="Times New Roman"/>
                                <w:sz w:val="22"/>
                                <w:szCs w:val="22"/>
                                <w:lang w:eastAsia="en-US"/>
                              </w:rPr>
                            </w:pPr>
                            <w:r w:rsidRPr="00504EB8">
                              <w:rPr>
                                <w:rFonts w:eastAsia="Times New Roman"/>
                                <w:sz w:val="22"/>
                                <w:szCs w:val="22"/>
                                <w:lang w:eastAsia="en-US"/>
                              </w:rPr>
                              <w:t xml:space="preserve">Are the impacts of Option </w:t>
                            </w:r>
                            <w:r>
                              <w:rPr>
                                <w:rFonts w:eastAsia="Times New Roman"/>
                                <w:sz w:val="22"/>
                                <w:szCs w:val="22"/>
                                <w:lang w:eastAsia="en-US"/>
                              </w:rPr>
                              <w:t>2</w:t>
                            </w:r>
                            <w:r w:rsidRPr="00504EB8">
                              <w:rPr>
                                <w:rFonts w:eastAsia="Times New Roman"/>
                                <w:sz w:val="22"/>
                                <w:szCs w:val="22"/>
                                <w:lang w:eastAsia="en-US"/>
                              </w:rPr>
                              <w:t xml:space="preserve"> accurately described as related to your entity? Are there any other impacts (negative, positive or neutral) of </w:t>
                            </w:r>
                            <w:r>
                              <w:rPr>
                                <w:rFonts w:eastAsia="Times New Roman"/>
                                <w:sz w:val="22"/>
                                <w:szCs w:val="22"/>
                                <w:lang w:eastAsia="en-US"/>
                              </w:rPr>
                              <w:t xml:space="preserve">maintaining the principal act and amending the subsidiary regulation </w:t>
                            </w:r>
                            <w:r w:rsidRPr="00504EB8">
                              <w:rPr>
                                <w:rFonts w:eastAsia="Times New Roman"/>
                                <w:sz w:val="22"/>
                                <w:szCs w:val="22"/>
                                <w:lang w:eastAsia="en-US"/>
                              </w:rPr>
                              <w:t>which have not been mentioned above?</w:t>
                            </w:r>
                          </w:p>
                        </w:txbxContent>
                      </wps:txbx>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0983DA09" id="_x0000_s1056" alt="Consultation question(s)&#10;(1) Are the impacts of Option 1 accurately described as related to your entity? Are there any other impacts (negative, positive or neutral) of the System continuing without regulation, that are not mentioned above?" style="width:95.45pt;height:451.4pt;rotation:90;visibility:visible;mso-wrap-style:square;mso-left-percent:-10001;mso-top-percent:-10001;mso-position-horizontal:absolute;mso-position-horizontal-relative:char;mso-position-vertical:absolute;mso-position-vertical-relative:line;mso-left-percent:-10001;mso-top-percent:-10001;v-text-anchor:middle" arcsize="1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" fillcolor="#fbe4d5 [661]" stroked="f">
                <v:textbox>
                  <w:txbxContent>
                    <w:p w14:paraId="4BEFAD40" w14:textId="77777777" w:rsidR="00B3427F" w:rsidRPr="00504EB8" w:rsidRDefault="00B3427F" w:rsidP="0023620B">
                      <w:pPr>
                        <w:pStyle w:val="Heading4NoNumbers"/>
                        <w:spacing w:before="120"/>
                        <w:ind w:left="113" w:right="113"/>
                        <w:rPr>
                          <w:rFonts w:eastAsia="Times New Roman" w:cs="Arial"/>
                          <w:bCs/>
                          <w:color w:val="ED7D31" w:themeColor="accent2"/>
                          <w:kern w:val="0"/>
                          <w:sz w:val="22"/>
                          <w:lang w:eastAsia="en-US"/>
                        </w:rPr>
                      </w:pPr>
                      <w:r w:rsidRPr="00504EB8">
                        <w:rPr>
                          <w:rFonts w:eastAsia="Times New Roman" w:cs="Arial"/>
                          <w:bCs/>
                          <w:color w:val="ED7D31" w:themeColor="accent2"/>
                          <w:kern w:val="0"/>
                          <w:sz w:val="22"/>
                          <w:lang w:eastAsia="en-US"/>
                        </w:rPr>
                        <w:t>Consultation question(s)</w:t>
                      </w:r>
                    </w:p>
                    <w:p w14:paraId="44D65D45" w14:textId="00C35ABB" w:rsidR="00B3427F" w:rsidRPr="00504EB8" w:rsidRDefault="00B3427F" w:rsidP="00A72490">
                      <w:pPr>
                        <w:pStyle w:val="BodyText"/>
                        <w:numPr>
                          <w:ilvl w:val="0"/>
                          <w:numId w:val="49"/>
                        </w:numPr>
                        <w:spacing w:line="240" w:lineRule="auto"/>
                        <w:ind w:right="113"/>
                        <w:rPr>
                          <w:rFonts w:eastAsia="Times New Roman"/>
                          <w:sz w:val="22"/>
                          <w:szCs w:val="22"/>
                          <w:lang w:eastAsia="en-US"/>
                        </w:rPr>
                      </w:pPr>
                      <w:r w:rsidRPr="00504EB8">
                        <w:rPr>
                          <w:rFonts w:eastAsia="Times New Roman"/>
                          <w:sz w:val="22"/>
                          <w:szCs w:val="22"/>
                          <w:lang w:eastAsia="en-US"/>
                        </w:rPr>
                        <w:t xml:space="preserve">Are the impacts of Option </w:t>
                      </w:r>
                      <w:r>
                        <w:rPr>
                          <w:rFonts w:eastAsia="Times New Roman"/>
                          <w:sz w:val="22"/>
                          <w:szCs w:val="22"/>
                          <w:lang w:eastAsia="en-US"/>
                        </w:rPr>
                        <w:t>2</w:t>
                      </w:r>
                      <w:r w:rsidRPr="00504EB8">
                        <w:rPr>
                          <w:rFonts w:eastAsia="Times New Roman"/>
                          <w:sz w:val="22"/>
                          <w:szCs w:val="22"/>
                          <w:lang w:eastAsia="en-US"/>
                        </w:rPr>
                        <w:t xml:space="preserve"> accurately described as related to your entity? Are there any other impacts (negative, positive or neutral) of </w:t>
                      </w:r>
                      <w:r>
                        <w:rPr>
                          <w:rFonts w:eastAsia="Times New Roman"/>
                          <w:sz w:val="22"/>
                          <w:szCs w:val="22"/>
                          <w:lang w:eastAsia="en-US"/>
                        </w:rPr>
                        <w:t xml:space="preserve">maintaining the principal act and amending the subsidiary regulation </w:t>
                      </w:r>
                      <w:r w:rsidRPr="00504EB8">
                        <w:rPr>
                          <w:rFonts w:eastAsia="Times New Roman"/>
                          <w:sz w:val="22"/>
                          <w:szCs w:val="22"/>
                          <w:lang w:eastAsia="en-US"/>
                        </w:rPr>
                        <w:t>which have not been mentioned above?</w:t>
                      </w:r>
                    </w:p>
                  </w:txbxContent>
                </v:textbox>
                <w10:anchorlock/>
              </v:roundrect>
            </w:pict>
          </mc:Fallback>
        </mc:AlternateContent>
      </w:r>
    </w:p>
    <w:p w14:paraId="33F002E1" w14:textId="77777777" w:rsidR="0023620B" w:rsidRDefault="0023620B">
      <w:pPr>
        <w:rPr>
          <w:rFonts w:ascii="Arial" w:eastAsia="Calibri" w:hAnsi="Arial" w:cs="Arial"/>
          <w:color w:val="997339"/>
        </w:rPr>
      </w:pPr>
      <w:r>
        <w:rPr>
          <w:rFonts w:ascii="Arial" w:eastAsia="Calibri" w:hAnsi="Arial" w:cs="Arial"/>
          <w:color w:val="997339"/>
        </w:rPr>
        <w:br w:type="page"/>
      </w:r>
    </w:p>
    <w:p w14:paraId="262A9A8A" w14:textId="715062ED" w:rsidR="00C91523" w:rsidRDefault="00A12B00" w:rsidP="006E0C53">
      <w:pPr>
        <w:rPr>
          <w:rFonts w:ascii="Arial" w:eastAsia="Calibri" w:hAnsi="Arial" w:cs="Arial"/>
          <w:color w:val="997339"/>
        </w:rPr>
      </w:pPr>
      <w:r w:rsidRPr="00A12B00">
        <w:rPr>
          <w:rFonts w:ascii="Arial" w:eastAsia="Calibri" w:hAnsi="Arial" w:cs="Arial"/>
          <w:color w:val="997339"/>
        </w:rPr>
        <w:lastRenderedPageBreak/>
        <w:t>4.2.3 Option 3</w:t>
      </w:r>
      <w:r w:rsidR="002379FF">
        <w:rPr>
          <w:rFonts w:ascii="Arial" w:eastAsia="Calibri" w:hAnsi="Arial" w:cs="Arial"/>
          <w:color w:val="997339"/>
        </w:rPr>
        <w:t xml:space="preserve">: </w:t>
      </w:r>
      <w:r w:rsidR="002379FF" w:rsidRPr="002379FF">
        <w:rPr>
          <w:rFonts w:ascii="Arial" w:eastAsia="Calibri" w:hAnsi="Arial" w:cs="Arial"/>
          <w:color w:val="997339"/>
        </w:rPr>
        <w:t xml:space="preserve">New Regulatory Regime </w:t>
      </w:r>
      <w:proofErr w:type="gramStart"/>
      <w:r w:rsidR="002379FF" w:rsidRPr="002379FF">
        <w:rPr>
          <w:rFonts w:ascii="Arial" w:eastAsia="Calibri" w:hAnsi="Arial" w:cs="Arial"/>
          <w:color w:val="997339"/>
        </w:rPr>
        <w:t>Through</w:t>
      </w:r>
      <w:proofErr w:type="gramEnd"/>
      <w:r w:rsidR="002379FF" w:rsidRPr="002379FF">
        <w:rPr>
          <w:rFonts w:ascii="Arial" w:eastAsia="Calibri" w:hAnsi="Arial" w:cs="Arial"/>
          <w:color w:val="997339"/>
        </w:rPr>
        <w:t xml:space="preserve"> Primary Legislation</w:t>
      </w:r>
    </w:p>
    <w:p w14:paraId="09EA1C4B" w14:textId="0D4932A3" w:rsidR="00E7579E" w:rsidRDefault="00E7579E" w:rsidP="006E0C53">
      <w:pPr>
        <w:spacing w:after="0"/>
        <w:rPr>
          <w:rFonts w:ascii="Arial" w:eastAsia="Calibri" w:hAnsi="Arial" w:cs="Arial"/>
          <w:b/>
          <w:bCs/>
          <w:i/>
          <w:iCs/>
          <w:color w:val="997339"/>
        </w:rPr>
      </w:pPr>
      <w:r w:rsidRPr="00D25945">
        <w:rPr>
          <w:rFonts w:ascii="Arial" w:eastAsia="Calibri" w:hAnsi="Arial" w:cs="Arial"/>
          <w:b/>
          <w:bCs/>
          <w:i/>
          <w:iCs/>
          <w:color w:val="997339"/>
        </w:rPr>
        <w:t xml:space="preserve">Overall Impacts </w:t>
      </w:r>
    </w:p>
    <w:p w14:paraId="4C285E06" w14:textId="1FD0ED69" w:rsidR="00C50A92" w:rsidRPr="00D25945" w:rsidRDefault="00C50A92" w:rsidP="006E0C53">
      <w:pPr>
        <w:spacing w:line="240" w:lineRule="auto"/>
        <w:rPr>
          <w:rFonts w:ascii="Arial" w:eastAsia="Calibri" w:hAnsi="Arial" w:cs="Arial"/>
          <w:b/>
          <w:bCs/>
          <w:i/>
          <w:iCs/>
          <w:color w:val="997339"/>
        </w:rPr>
      </w:pPr>
      <w:r w:rsidRPr="00A12B00">
        <w:rPr>
          <w:rFonts w:ascii="Arial" w:eastAsia="Calibri" w:hAnsi="Arial" w:cs="Arial"/>
        </w:rPr>
        <w:t xml:space="preserve">Option 3 contemplates the introduction of a new Commonwealth explosives regulatory regime, established through primary legislation (an amended Explosives Act), and supported by subsidiary regulations and any consequential legislative amendments required to support the regime’s operation. The new regime will introduce </w:t>
      </w:r>
      <w:r w:rsidR="00974820">
        <w:rPr>
          <w:rFonts w:ascii="Arial" w:eastAsia="Calibri" w:hAnsi="Arial" w:cs="Arial"/>
        </w:rPr>
        <w:t xml:space="preserve">several regulatory mechanisms, including an accreditation scheme, an independent Commonwealth regulator, safety and security duties for Commonwealth contractors, </w:t>
      </w:r>
      <w:r w:rsidR="00C12825">
        <w:rPr>
          <w:rFonts w:ascii="Arial" w:eastAsia="Calibri" w:hAnsi="Arial" w:cs="Arial"/>
        </w:rPr>
        <w:t>and storage regulations, among others.</w:t>
      </w:r>
    </w:p>
    <w:p w14:paraId="754C1886" w14:textId="2D78B39E" w:rsidR="00E7579E" w:rsidRDefault="00E7579E" w:rsidP="006E0C53">
      <w:pPr>
        <w:spacing w:after="0"/>
        <w:rPr>
          <w:rFonts w:ascii="Arial" w:eastAsia="Calibri" w:hAnsi="Arial" w:cs="Arial"/>
          <w:color w:val="997339"/>
        </w:rPr>
      </w:pPr>
      <w:r w:rsidRPr="00D25945">
        <w:rPr>
          <w:rFonts w:ascii="Arial" w:eastAsia="Calibri" w:hAnsi="Arial" w:cs="Arial"/>
          <w:color w:val="997339"/>
        </w:rPr>
        <w:t xml:space="preserve">Individuals </w:t>
      </w:r>
    </w:p>
    <w:p w14:paraId="0A8F75AA" w14:textId="216FE3C8" w:rsidR="00EE7113" w:rsidRDefault="00D35BCE" w:rsidP="006E0C53">
      <w:pPr>
        <w:spacing w:line="240" w:lineRule="auto"/>
        <w:rPr>
          <w:rFonts w:ascii="Arial" w:eastAsia="Times New Roman" w:hAnsi="Arial" w:cs="Arial"/>
        </w:rPr>
      </w:pPr>
      <w:r w:rsidRPr="00B46544">
        <w:rPr>
          <w:rFonts w:ascii="Arial" w:eastAsia="Times New Roman" w:hAnsi="Arial" w:cs="Arial"/>
        </w:rPr>
        <w:t xml:space="preserve">For individuals, Option 3 offers </w:t>
      </w:r>
      <w:r w:rsidR="00AA424F" w:rsidRPr="00B46544">
        <w:rPr>
          <w:rFonts w:ascii="Arial" w:eastAsia="Times New Roman" w:hAnsi="Arial" w:cs="Arial"/>
        </w:rPr>
        <w:t xml:space="preserve">improved safety and security outcomes, resulting in a reduced risk of injury or death. </w:t>
      </w:r>
      <w:r w:rsidR="00B46544">
        <w:rPr>
          <w:rFonts w:ascii="Arial" w:eastAsia="Times New Roman" w:hAnsi="Arial" w:cs="Arial"/>
        </w:rPr>
        <w:t xml:space="preserve">Option 3’s introduction of an accreditation scheme, independent regulator, </w:t>
      </w:r>
      <w:r w:rsidR="00C12825">
        <w:rPr>
          <w:rFonts w:ascii="Arial" w:eastAsia="Times New Roman" w:hAnsi="Arial" w:cs="Arial"/>
        </w:rPr>
        <w:t xml:space="preserve">safety and security duties, and </w:t>
      </w:r>
      <w:r w:rsidR="007B76C2">
        <w:rPr>
          <w:rFonts w:ascii="Arial" w:eastAsia="Times New Roman" w:hAnsi="Arial" w:cs="Arial"/>
        </w:rPr>
        <w:t>storage regulations</w:t>
      </w:r>
      <w:r w:rsidR="00D054E3">
        <w:rPr>
          <w:rFonts w:ascii="Arial" w:eastAsia="Times New Roman" w:hAnsi="Arial" w:cs="Arial"/>
        </w:rPr>
        <w:t xml:space="preserve"> (among other </w:t>
      </w:r>
      <w:r w:rsidR="00017BE1">
        <w:rPr>
          <w:rFonts w:ascii="Arial" w:eastAsia="Times New Roman" w:hAnsi="Arial" w:cs="Arial"/>
        </w:rPr>
        <w:t xml:space="preserve">regulatory mechanisms) </w:t>
      </w:r>
      <w:r w:rsidR="00FA080D">
        <w:rPr>
          <w:rFonts w:ascii="Arial" w:eastAsia="Times New Roman" w:hAnsi="Arial" w:cs="Arial"/>
        </w:rPr>
        <w:t xml:space="preserve">will incite an industry-wide uplift in the undertaking of Commonwealth explosives activities. This uplift, in turn, offers individuals greater </w:t>
      </w:r>
      <w:r w:rsidR="00C50A92">
        <w:rPr>
          <w:rFonts w:ascii="Arial" w:eastAsia="Times New Roman" w:hAnsi="Arial" w:cs="Arial"/>
        </w:rPr>
        <w:t xml:space="preserve">protection from unfavourable safety and security outcomes. </w:t>
      </w:r>
      <w:r w:rsidR="00FA080D">
        <w:rPr>
          <w:rFonts w:ascii="Arial" w:eastAsia="Times New Roman" w:hAnsi="Arial" w:cs="Arial"/>
        </w:rPr>
        <w:t xml:space="preserve"> </w:t>
      </w:r>
    </w:p>
    <w:p w14:paraId="5C823D35" w14:textId="4ADC767A" w:rsidR="00996E2A" w:rsidRPr="00C50A92" w:rsidRDefault="00996E2A" w:rsidP="006E0C53">
      <w:pPr>
        <w:spacing w:line="240" w:lineRule="auto"/>
        <w:rPr>
          <w:rFonts w:ascii="Arial" w:eastAsia="Times New Roman" w:hAnsi="Arial" w:cs="Arial"/>
        </w:rPr>
      </w:pPr>
      <w:r>
        <w:rPr>
          <w:rFonts w:ascii="Arial" w:eastAsia="Times New Roman" w:hAnsi="Arial" w:cs="Arial"/>
        </w:rPr>
        <w:t xml:space="preserve">Individuals are unlikely to bear any costs </w:t>
      </w:r>
      <w:r w:rsidR="00453FE2">
        <w:rPr>
          <w:rFonts w:ascii="Arial" w:eastAsia="Times New Roman" w:hAnsi="Arial" w:cs="Arial"/>
        </w:rPr>
        <w:t xml:space="preserve">from the introduction of Option 3. </w:t>
      </w:r>
    </w:p>
    <w:p w14:paraId="0355BE20" w14:textId="15C16D54" w:rsidR="00E7579E" w:rsidRDefault="00E7579E" w:rsidP="006E0C53">
      <w:pPr>
        <w:spacing w:after="0"/>
        <w:rPr>
          <w:rFonts w:ascii="Arial" w:eastAsia="Calibri" w:hAnsi="Arial" w:cs="Arial"/>
          <w:color w:val="997339"/>
        </w:rPr>
      </w:pPr>
      <w:r w:rsidRPr="00D25945">
        <w:rPr>
          <w:rFonts w:ascii="Arial" w:eastAsia="Calibri" w:hAnsi="Arial" w:cs="Arial"/>
          <w:color w:val="997339"/>
        </w:rPr>
        <w:t xml:space="preserve">Businesses </w:t>
      </w:r>
      <w:r w:rsidR="006072E7">
        <w:rPr>
          <w:rFonts w:ascii="Arial" w:eastAsia="Calibri" w:hAnsi="Arial" w:cs="Arial"/>
          <w:color w:val="997339"/>
        </w:rPr>
        <w:t>(Engaged in Explosives Activities)</w:t>
      </w:r>
    </w:p>
    <w:p w14:paraId="20778D75" w14:textId="4E1056AD" w:rsidR="009B720A" w:rsidRDefault="00A12BBE" w:rsidP="006E0C53">
      <w:pPr>
        <w:spacing w:line="240" w:lineRule="auto"/>
        <w:rPr>
          <w:rFonts w:ascii="Arial" w:eastAsia="Times New Roman" w:hAnsi="Arial" w:cs="Arial"/>
        </w:rPr>
      </w:pPr>
      <w:r w:rsidRPr="00C654A5">
        <w:rPr>
          <w:rFonts w:ascii="Arial" w:eastAsia="Times New Roman" w:hAnsi="Arial" w:cs="Arial"/>
        </w:rPr>
        <w:t xml:space="preserve">The regulatory costs which may be incurred by industry under Option 3 are considered as part of the ‘Regulatory </w:t>
      </w:r>
      <w:r w:rsidR="007A222B" w:rsidRPr="00C654A5">
        <w:rPr>
          <w:rFonts w:ascii="Arial" w:eastAsia="Times New Roman" w:hAnsi="Arial" w:cs="Arial"/>
        </w:rPr>
        <w:t xml:space="preserve">Impacts’ section below. </w:t>
      </w:r>
      <w:r w:rsidR="00C654A5">
        <w:rPr>
          <w:rFonts w:ascii="Arial" w:eastAsia="Times New Roman" w:hAnsi="Arial" w:cs="Arial"/>
        </w:rPr>
        <w:t xml:space="preserve">In additional to these regulatory costs, industry may experience temporary disruption associated with a shift to a new regulatory scheme. </w:t>
      </w:r>
      <w:r w:rsidR="0099305E">
        <w:rPr>
          <w:rFonts w:ascii="Arial" w:eastAsia="Times New Roman" w:hAnsi="Arial" w:cs="Arial"/>
        </w:rPr>
        <w:t xml:space="preserve">The extent of this disruption, and associated transitional costs, are dependent on the maturity of each individual business (as this maturity </w:t>
      </w:r>
      <w:r w:rsidR="00007E3D">
        <w:rPr>
          <w:rFonts w:ascii="Arial" w:eastAsia="Times New Roman" w:hAnsi="Arial" w:cs="Arial"/>
        </w:rPr>
        <w:t xml:space="preserve">will dictate </w:t>
      </w:r>
      <w:r w:rsidR="006E0C53">
        <w:rPr>
          <w:rFonts w:ascii="Arial" w:eastAsia="Times New Roman" w:hAnsi="Arial" w:cs="Arial"/>
        </w:rPr>
        <w:t xml:space="preserve">the level of uplift required). </w:t>
      </w:r>
    </w:p>
    <w:p w14:paraId="63DA04AF" w14:textId="7E3287F9" w:rsidR="0067493B" w:rsidRPr="006E0C53" w:rsidRDefault="00C30928" w:rsidP="006E0C53">
      <w:pPr>
        <w:spacing w:line="240" w:lineRule="auto"/>
        <w:rPr>
          <w:rFonts w:ascii="Arial" w:eastAsia="Times New Roman" w:hAnsi="Arial" w:cs="Arial"/>
        </w:rPr>
      </w:pPr>
      <w:r>
        <w:rPr>
          <w:rFonts w:ascii="Arial" w:eastAsia="Times New Roman" w:hAnsi="Arial" w:cs="Arial"/>
        </w:rPr>
        <w:t>Under Option 3, industry is likely to benefit from the introduction of a single, nationally consistent regime, include consistent definitions, a Commonwealth accreditation framework and attached notification, authorisation and classification processes. Where businesses have previously been deterred from engaging in Commonwealth explosives activities, due to the need to decipher the diverging regulations of each Australian jurisdiction, Option 3 present</w:t>
      </w:r>
      <w:r w:rsidR="006E6395">
        <w:rPr>
          <w:rFonts w:ascii="Arial" w:eastAsia="Times New Roman" w:hAnsi="Arial" w:cs="Arial"/>
        </w:rPr>
        <w:t xml:space="preserve">s an opportunity for improved market accessibility and greater competition. </w:t>
      </w:r>
      <w:r w:rsidR="002974AF">
        <w:rPr>
          <w:rFonts w:ascii="Arial" w:eastAsia="Times New Roman" w:hAnsi="Arial" w:cs="Arial"/>
        </w:rPr>
        <w:t>Similarly, increased clarity for employers and employees surrounding applicable WHS obligations may reduce the regulatory burden for existing industry participants, and incentivise</w:t>
      </w:r>
      <w:r w:rsidR="00E96FCB">
        <w:rPr>
          <w:rFonts w:ascii="Arial" w:eastAsia="Times New Roman" w:hAnsi="Arial" w:cs="Arial"/>
        </w:rPr>
        <w:t xml:space="preserve"> entry from new participants.</w:t>
      </w:r>
    </w:p>
    <w:p w14:paraId="0B6B8567" w14:textId="0391B85B" w:rsidR="00E7579E" w:rsidRDefault="00E7579E" w:rsidP="003714C3">
      <w:pPr>
        <w:spacing w:after="0" w:line="240" w:lineRule="auto"/>
        <w:jc w:val="both"/>
        <w:rPr>
          <w:rFonts w:ascii="Arial" w:eastAsia="Calibri" w:hAnsi="Arial" w:cs="Arial"/>
          <w:color w:val="997339"/>
        </w:rPr>
      </w:pPr>
      <w:r w:rsidRPr="00D25945">
        <w:rPr>
          <w:rFonts w:ascii="Arial" w:eastAsia="Calibri" w:hAnsi="Arial" w:cs="Arial"/>
          <w:color w:val="997339"/>
        </w:rPr>
        <w:t xml:space="preserve">Governments </w:t>
      </w:r>
    </w:p>
    <w:p w14:paraId="085A2BFE" w14:textId="2228D064" w:rsidR="00EF12AC" w:rsidRPr="00C65FC4" w:rsidRDefault="00EF12AC" w:rsidP="003714C3">
      <w:pPr>
        <w:spacing w:line="240" w:lineRule="auto"/>
        <w:rPr>
          <w:rFonts w:ascii="Arial" w:eastAsia="Calibri" w:hAnsi="Arial" w:cs="Arial"/>
        </w:rPr>
      </w:pPr>
      <w:r w:rsidRPr="00C65FC4">
        <w:rPr>
          <w:rFonts w:ascii="Arial" w:eastAsia="Calibri" w:hAnsi="Arial" w:cs="Arial"/>
        </w:rPr>
        <w:t xml:space="preserve">Both the Commonwealth, and State and Territory </w:t>
      </w:r>
      <w:r w:rsidR="009A5C23">
        <w:rPr>
          <w:rFonts w:ascii="Arial" w:eastAsia="Calibri" w:hAnsi="Arial" w:cs="Arial"/>
        </w:rPr>
        <w:t>g</w:t>
      </w:r>
      <w:r w:rsidRPr="00C65FC4">
        <w:rPr>
          <w:rFonts w:ascii="Arial" w:eastAsia="Calibri" w:hAnsi="Arial" w:cs="Arial"/>
        </w:rPr>
        <w:t xml:space="preserve">overnments will be impacted because of Option 3. These impacts are analyses separately below. </w:t>
      </w:r>
    </w:p>
    <w:p w14:paraId="1B2ADE26" w14:textId="1E438407" w:rsidR="00D25945" w:rsidRDefault="00D25945" w:rsidP="00A16B8A">
      <w:pPr>
        <w:pStyle w:val="ListParagraph"/>
        <w:numPr>
          <w:ilvl w:val="0"/>
          <w:numId w:val="38"/>
        </w:numPr>
        <w:spacing w:after="0"/>
        <w:jc w:val="both"/>
        <w:rPr>
          <w:rFonts w:ascii="Arial" w:eastAsia="Calibri" w:hAnsi="Arial" w:cs="Arial"/>
          <w:i/>
          <w:iCs/>
          <w:color w:val="997339"/>
        </w:rPr>
      </w:pPr>
      <w:r w:rsidRPr="00C65FC4">
        <w:rPr>
          <w:rFonts w:ascii="Arial" w:eastAsia="Calibri" w:hAnsi="Arial" w:cs="Arial"/>
          <w:i/>
          <w:iCs/>
          <w:color w:val="997339"/>
        </w:rPr>
        <w:t>Commonwealth</w:t>
      </w:r>
    </w:p>
    <w:p w14:paraId="5F334E9D" w14:textId="7788216B" w:rsidR="00DE4378" w:rsidRDefault="002D152D" w:rsidP="003714C3">
      <w:pPr>
        <w:spacing w:after="0" w:line="240" w:lineRule="auto"/>
        <w:rPr>
          <w:rFonts w:ascii="Arial" w:eastAsia="Calibri" w:hAnsi="Arial" w:cs="Arial"/>
        </w:rPr>
      </w:pPr>
      <w:r w:rsidRPr="003714C3">
        <w:rPr>
          <w:rFonts w:ascii="Arial" w:eastAsia="Calibri" w:hAnsi="Arial" w:cs="Arial"/>
        </w:rPr>
        <w:t xml:space="preserve">The most significant cost which the Commonwealth Government will incur under Option 3 is the establishment and </w:t>
      </w:r>
      <w:r w:rsidR="00216B51" w:rsidRPr="003714C3">
        <w:rPr>
          <w:rFonts w:ascii="Arial" w:eastAsia="Calibri" w:hAnsi="Arial" w:cs="Arial"/>
        </w:rPr>
        <w:t xml:space="preserve">ongoing operation of the independent regulator, and the regulator’s functions. </w:t>
      </w:r>
      <w:r w:rsidR="000F7E33" w:rsidRPr="003714C3">
        <w:rPr>
          <w:rFonts w:ascii="Arial" w:eastAsia="Calibri" w:hAnsi="Arial" w:cs="Arial"/>
        </w:rPr>
        <w:t xml:space="preserve">This includes </w:t>
      </w:r>
      <w:r w:rsidR="003714C3" w:rsidRPr="003714C3">
        <w:rPr>
          <w:rFonts w:ascii="Arial" w:eastAsia="Calibri" w:hAnsi="Arial" w:cs="Arial"/>
        </w:rPr>
        <w:t xml:space="preserve">funding for the creation of processes and systems, the acquisition of technology, and staff training, which will be required for the initial set up and ongoing operation of the independent regulator. </w:t>
      </w:r>
    </w:p>
    <w:p w14:paraId="3C7708D9" w14:textId="12D6F214" w:rsidR="00DE4378" w:rsidRDefault="00DE4378" w:rsidP="00E61B42">
      <w:pPr>
        <w:spacing w:before="160" w:after="0" w:line="240" w:lineRule="auto"/>
        <w:rPr>
          <w:rFonts w:ascii="Arial" w:eastAsia="Calibri" w:hAnsi="Arial" w:cs="Arial"/>
        </w:rPr>
      </w:pPr>
      <w:r>
        <w:rPr>
          <w:rFonts w:ascii="Arial" w:eastAsia="Calibri" w:hAnsi="Arial" w:cs="Arial"/>
        </w:rPr>
        <w:t xml:space="preserve">Further, </w:t>
      </w:r>
      <w:r w:rsidR="00CF19AF">
        <w:rPr>
          <w:rFonts w:ascii="Arial" w:eastAsia="Calibri" w:hAnsi="Arial" w:cs="Arial"/>
        </w:rPr>
        <w:t xml:space="preserve">given Option 3 likely requires a regulatory uplift, ‘passed on’ regulatory costs may mean the manufacture, storage, transport and other Commonwealth explosives activities become more expensive. However, </w:t>
      </w:r>
      <w:r w:rsidR="000B3940">
        <w:rPr>
          <w:rFonts w:ascii="Arial" w:eastAsia="Calibri" w:hAnsi="Arial" w:cs="Arial"/>
        </w:rPr>
        <w:t xml:space="preserve">this is unlikely to be a substantial cost, when considered against the Commonwealth’s overall level of spending on Commonwealth explosives activities. </w:t>
      </w:r>
    </w:p>
    <w:p w14:paraId="0A07E897" w14:textId="1EE11CBC" w:rsidR="00D63D30" w:rsidRPr="0044458C" w:rsidRDefault="000B3940" w:rsidP="00E61B42">
      <w:pPr>
        <w:spacing w:before="160" w:line="240" w:lineRule="auto"/>
        <w:rPr>
          <w:rFonts w:ascii="Arial" w:eastAsia="Calibri" w:hAnsi="Arial" w:cs="Arial"/>
        </w:rPr>
      </w:pPr>
      <w:r>
        <w:rPr>
          <w:rFonts w:ascii="Arial" w:eastAsia="Calibri" w:hAnsi="Arial" w:cs="Arial"/>
        </w:rPr>
        <w:t xml:space="preserve">Under Option 3, the Commonwealth is likely to benefit from the introduction of improved governance arrangements, including stronger visibility over industry operations and </w:t>
      </w:r>
      <w:r w:rsidR="00A65A50">
        <w:rPr>
          <w:rFonts w:ascii="Arial" w:eastAsia="Calibri" w:hAnsi="Arial" w:cs="Arial"/>
        </w:rPr>
        <w:t>more comprehensive</w:t>
      </w:r>
      <w:r>
        <w:rPr>
          <w:rFonts w:ascii="Arial" w:eastAsia="Calibri" w:hAnsi="Arial" w:cs="Arial"/>
        </w:rPr>
        <w:t xml:space="preserve"> safety and </w:t>
      </w:r>
      <w:r w:rsidR="00A65A50">
        <w:rPr>
          <w:rFonts w:ascii="Arial" w:eastAsia="Calibri" w:hAnsi="Arial" w:cs="Arial"/>
        </w:rPr>
        <w:t>security mechanisms</w:t>
      </w:r>
      <w:r>
        <w:rPr>
          <w:rFonts w:ascii="Arial" w:eastAsia="Calibri" w:hAnsi="Arial" w:cs="Arial"/>
        </w:rPr>
        <w:t xml:space="preserve">, supported by a legally entrenched </w:t>
      </w:r>
      <w:r>
        <w:rPr>
          <w:rFonts w:ascii="Arial" w:eastAsia="Calibri" w:hAnsi="Arial" w:cs="Arial"/>
        </w:rPr>
        <w:lastRenderedPageBreak/>
        <w:t>independent regulator</w:t>
      </w:r>
      <w:r w:rsidR="00A65A50">
        <w:rPr>
          <w:rFonts w:ascii="Arial" w:eastAsia="Calibri" w:hAnsi="Arial" w:cs="Arial"/>
        </w:rPr>
        <w:t xml:space="preserve">, focussed on compliance and transparency. </w:t>
      </w:r>
      <w:r w:rsidR="0044458C">
        <w:rPr>
          <w:rFonts w:ascii="Arial" w:eastAsia="Calibri" w:hAnsi="Arial" w:cs="Arial"/>
        </w:rPr>
        <w:t xml:space="preserve">Similarly, Option 3 represents alignment with the Commonwealth’s strategic interests, including its desire to develop a more mature, robust and </w:t>
      </w:r>
      <w:r w:rsidR="00412837">
        <w:rPr>
          <w:rFonts w:ascii="Arial" w:eastAsia="Calibri" w:hAnsi="Arial" w:cs="Arial"/>
        </w:rPr>
        <w:t xml:space="preserve">resilient domestic manufacturing capability. Option 3 will offer regulation </w:t>
      </w:r>
      <w:r w:rsidR="00D45944">
        <w:rPr>
          <w:rFonts w:ascii="Arial" w:eastAsia="Calibri" w:hAnsi="Arial" w:cs="Arial"/>
        </w:rPr>
        <w:t xml:space="preserve">that is sufficiently comprehensive and modern, to meet the requirements of an evolving risk environment arising from </w:t>
      </w:r>
      <w:r w:rsidR="00D63D30">
        <w:rPr>
          <w:rFonts w:ascii="Arial" w:eastAsia="Calibri" w:hAnsi="Arial" w:cs="Arial"/>
        </w:rPr>
        <w:t xml:space="preserve">expansion in Commonwealth explosives activities and involved personnel. </w:t>
      </w:r>
    </w:p>
    <w:p w14:paraId="3A6F87FC" w14:textId="344A0E72" w:rsidR="00D25945" w:rsidRDefault="00D25945" w:rsidP="00A16B8A">
      <w:pPr>
        <w:pStyle w:val="ListParagraph"/>
        <w:numPr>
          <w:ilvl w:val="0"/>
          <w:numId w:val="38"/>
        </w:numPr>
        <w:spacing w:after="0"/>
        <w:jc w:val="both"/>
        <w:rPr>
          <w:rFonts w:ascii="Arial" w:eastAsia="Calibri" w:hAnsi="Arial" w:cs="Arial"/>
          <w:i/>
          <w:iCs/>
          <w:color w:val="997339"/>
        </w:rPr>
      </w:pPr>
      <w:r w:rsidRPr="007A6142">
        <w:rPr>
          <w:rFonts w:ascii="Arial" w:eastAsia="Calibri" w:hAnsi="Arial" w:cs="Arial"/>
          <w:i/>
          <w:iCs/>
          <w:color w:val="997339"/>
        </w:rPr>
        <w:t xml:space="preserve">States </w:t>
      </w:r>
      <w:r w:rsidR="00AE3C6C">
        <w:rPr>
          <w:rFonts w:ascii="Arial" w:eastAsia="Calibri" w:hAnsi="Arial" w:cs="Arial"/>
          <w:i/>
          <w:iCs/>
          <w:color w:val="997339"/>
        </w:rPr>
        <w:t>and</w:t>
      </w:r>
      <w:r w:rsidRPr="007A6142">
        <w:rPr>
          <w:rFonts w:ascii="Arial" w:eastAsia="Calibri" w:hAnsi="Arial" w:cs="Arial"/>
          <w:i/>
          <w:iCs/>
          <w:color w:val="997339"/>
        </w:rPr>
        <w:t xml:space="preserve"> Territories</w:t>
      </w:r>
    </w:p>
    <w:p w14:paraId="135BB771" w14:textId="416682E3" w:rsidR="006408BE" w:rsidRPr="001D0B09" w:rsidRDefault="009A5C23" w:rsidP="002304E2">
      <w:pPr>
        <w:spacing w:line="240" w:lineRule="auto"/>
        <w:rPr>
          <w:rFonts w:ascii="Arial" w:eastAsia="Calibri" w:hAnsi="Arial" w:cs="Arial"/>
        </w:rPr>
      </w:pPr>
      <w:r w:rsidRPr="001D0B09">
        <w:rPr>
          <w:rFonts w:ascii="Arial" w:eastAsia="Calibri" w:hAnsi="Arial" w:cs="Arial"/>
        </w:rPr>
        <w:t>The costs incurred by State and Territory governments under Option 3 is largely dependent on the extent to which those governments seek to harmonise their jurisdiction’s legislation with the new Commonwealth regime. Where State and Territory governments do seek to harmonise their legislation, they may incur costs associated with the introduction of new accreditation requirements (in alignment with the Commonwealth accreditation scheme), as well as other transitional costs</w:t>
      </w:r>
      <w:r w:rsidR="00033E88">
        <w:rPr>
          <w:rFonts w:ascii="Arial" w:eastAsia="Calibri" w:hAnsi="Arial" w:cs="Arial"/>
        </w:rPr>
        <w:t xml:space="preserve">, administrative costs attached to the </w:t>
      </w:r>
      <w:r w:rsidR="00ED3DA8">
        <w:rPr>
          <w:rFonts w:ascii="Arial" w:eastAsia="Calibri" w:hAnsi="Arial" w:cs="Arial"/>
        </w:rPr>
        <w:t>establishment</w:t>
      </w:r>
      <w:r w:rsidR="00033E88">
        <w:rPr>
          <w:rFonts w:ascii="Arial" w:eastAsia="Calibri" w:hAnsi="Arial" w:cs="Arial"/>
        </w:rPr>
        <w:t xml:space="preserve"> of new regulatory mechanisms. </w:t>
      </w:r>
    </w:p>
    <w:p w14:paraId="50DEFD44" w14:textId="35385C5D" w:rsidR="0023620B" w:rsidRDefault="00737328" w:rsidP="002304E2">
      <w:pPr>
        <w:spacing w:line="240" w:lineRule="auto"/>
        <w:jc w:val="both"/>
        <w:rPr>
          <w:rFonts w:ascii="Arial" w:eastAsia="Calibri" w:hAnsi="Arial" w:cs="Arial"/>
        </w:rPr>
      </w:pPr>
      <w:r>
        <w:rPr>
          <w:rFonts w:ascii="Arial" w:eastAsia="Calibri" w:hAnsi="Arial" w:cs="Arial"/>
        </w:rPr>
        <w:t xml:space="preserve">However, where states and territories choose to align their explosives regimes with that of the Commonwealth, reciprocity arrangements may ultimately reduce their administrative burdens </w:t>
      </w:r>
      <w:r w:rsidR="00BE7A02">
        <w:rPr>
          <w:rFonts w:ascii="Arial" w:eastAsia="Calibri" w:hAnsi="Arial" w:cs="Arial"/>
        </w:rPr>
        <w:t xml:space="preserve">as recognition of Commonwealth accreditation will mitigate the need for states and territories to undertake their own application processes for accreditation. </w:t>
      </w:r>
    </w:p>
    <w:p w14:paraId="36E9879A" w14:textId="1F777864" w:rsidR="00E7579E" w:rsidRDefault="00E7579E" w:rsidP="00C80118">
      <w:pPr>
        <w:spacing w:after="0"/>
        <w:rPr>
          <w:rFonts w:ascii="Arial" w:eastAsia="Calibri" w:hAnsi="Arial" w:cs="Arial"/>
          <w:color w:val="997339"/>
        </w:rPr>
      </w:pPr>
      <w:r w:rsidRPr="00E413EE">
        <w:rPr>
          <w:rFonts w:ascii="Arial" w:eastAsia="Calibri" w:hAnsi="Arial" w:cs="Arial"/>
          <w:color w:val="997339"/>
        </w:rPr>
        <w:t xml:space="preserve">Community and Environment </w:t>
      </w:r>
    </w:p>
    <w:p w14:paraId="54C2F691" w14:textId="7EBB2530" w:rsidR="002304E2" w:rsidRDefault="002304E2" w:rsidP="002304E2">
      <w:pPr>
        <w:spacing w:line="240" w:lineRule="auto"/>
        <w:rPr>
          <w:rFonts w:ascii="Arial" w:eastAsia="Times New Roman" w:hAnsi="Arial" w:cs="Arial"/>
        </w:rPr>
      </w:pPr>
      <w:r w:rsidRPr="00B46544">
        <w:rPr>
          <w:rFonts w:ascii="Arial" w:eastAsia="Times New Roman" w:hAnsi="Arial" w:cs="Arial"/>
        </w:rPr>
        <w:t xml:space="preserve">For individuals, Option 3 offers improved safety and security outcomes, resulting in a reduced risk of </w:t>
      </w:r>
      <w:r w:rsidR="00A12BBE">
        <w:rPr>
          <w:rFonts w:ascii="Arial" w:eastAsia="Times New Roman" w:hAnsi="Arial" w:cs="Arial"/>
        </w:rPr>
        <w:t>community disruption or environmental damage</w:t>
      </w:r>
      <w:r w:rsidRPr="00B46544">
        <w:rPr>
          <w:rFonts w:ascii="Arial" w:eastAsia="Times New Roman" w:hAnsi="Arial" w:cs="Arial"/>
        </w:rPr>
        <w:t xml:space="preserve">. </w:t>
      </w:r>
      <w:r>
        <w:rPr>
          <w:rFonts w:ascii="Arial" w:eastAsia="Times New Roman" w:hAnsi="Arial" w:cs="Arial"/>
        </w:rPr>
        <w:t xml:space="preserve">Option 3’s introduction of an accreditation scheme, independent regulator, safety and security duties, and storage regulations (among other regulatory mechanisms) will incite an industry-wide uplift in the undertaking of Commonwealth explosives activities. This uplift, in turn, offers </w:t>
      </w:r>
      <w:r w:rsidR="00A12BBE">
        <w:rPr>
          <w:rFonts w:ascii="Arial" w:eastAsia="Times New Roman" w:hAnsi="Arial" w:cs="Arial"/>
        </w:rPr>
        <w:t xml:space="preserve">the community and environment </w:t>
      </w:r>
      <w:r>
        <w:rPr>
          <w:rFonts w:ascii="Arial" w:eastAsia="Times New Roman" w:hAnsi="Arial" w:cs="Arial"/>
        </w:rPr>
        <w:t xml:space="preserve">greater protection from unfavourable safety and security outcomes.  </w:t>
      </w:r>
    </w:p>
    <w:p w14:paraId="5679ECD2" w14:textId="4E866AF1" w:rsidR="002304E2" w:rsidRPr="00C50A92" w:rsidRDefault="00A12BBE" w:rsidP="002304E2">
      <w:pPr>
        <w:spacing w:line="240" w:lineRule="auto"/>
        <w:rPr>
          <w:rFonts w:ascii="Arial" w:eastAsia="Times New Roman" w:hAnsi="Arial" w:cs="Arial"/>
        </w:rPr>
      </w:pPr>
      <w:r>
        <w:rPr>
          <w:rFonts w:ascii="Arial" w:eastAsia="Times New Roman" w:hAnsi="Arial" w:cs="Arial"/>
        </w:rPr>
        <w:t>The community and environment</w:t>
      </w:r>
      <w:r w:rsidR="002304E2">
        <w:rPr>
          <w:rFonts w:ascii="Arial" w:eastAsia="Times New Roman" w:hAnsi="Arial" w:cs="Arial"/>
        </w:rPr>
        <w:t xml:space="preserve"> are unlikely to bear any costs from the introduction of Option 3. </w:t>
      </w:r>
    </w:p>
    <w:p w14:paraId="08E265EC" w14:textId="054145D2" w:rsidR="00E7579E" w:rsidRDefault="00E7579E" w:rsidP="00037D85">
      <w:pPr>
        <w:spacing w:after="0"/>
        <w:jc w:val="both"/>
        <w:rPr>
          <w:rFonts w:ascii="Arial" w:eastAsia="Calibri" w:hAnsi="Arial" w:cs="Arial"/>
          <w:b/>
          <w:bCs/>
          <w:i/>
          <w:iCs/>
          <w:color w:val="997339"/>
        </w:rPr>
      </w:pPr>
      <w:r w:rsidRPr="00D25945">
        <w:rPr>
          <w:rFonts w:ascii="Arial" w:eastAsia="Calibri" w:hAnsi="Arial" w:cs="Arial"/>
          <w:b/>
          <w:bCs/>
          <w:i/>
          <w:iCs/>
          <w:color w:val="997339"/>
        </w:rPr>
        <w:t xml:space="preserve">Regulatory Impacts </w:t>
      </w:r>
    </w:p>
    <w:p w14:paraId="342039B2" w14:textId="5C91B3B3" w:rsidR="00037D85" w:rsidRDefault="00037D85" w:rsidP="00037D85">
      <w:pPr>
        <w:spacing w:line="240" w:lineRule="auto"/>
        <w:rPr>
          <w:rFonts w:ascii="Arial" w:eastAsia="Times New Roman" w:hAnsi="Arial" w:cs="Arial"/>
        </w:rPr>
      </w:pPr>
      <w:r w:rsidRPr="00403BD7">
        <w:rPr>
          <w:rFonts w:ascii="Arial" w:eastAsia="Times New Roman" w:hAnsi="Arial" w:cs="Arial"/>
        </w:rPr>
        <w:t xml:space="preserve">A future version of this RIS will provide specific, quantified regulatory impacts against Option </w:t>
      </w:r>
      <w:r>
        <w:rPr>
          <w:rFonts w:ascii="Arial" w:eastAsia="Times New Roman" w:hAnsi="Arial" w:cs="Arial"/>
        </w:rPr>
        <w:t>3</w:t>
      </w:r>
      <w:r w:rsidRPr="00403BD7">
        <w:rPr>
          <w:rFonts w:ascii="Arial" w:eastAsia="Times New Roman" w:hAnsi="Arial" w:cs="Arial"/>
        </w:rPr>
        <w:t>. In line with Australian Government requirements, these regulatory impacts will be focussed on the administrative and substantive compliance costs</w:t>
      </w:r>
      <w:r>
        <w:rPr>
          <w:rFonts w:ascii="Arial" w:eastAsia="Times New Roman" w:hAnsi="Arial" w:cs="Arial"/>
        </w:rPr>
        <w:t xml:space="preserve"> for businesses engaged in Commonwealth explosives activities</w:t>
      </w:r>
      <w:r w:rsidRPr="00403BD7">
        <w:rPr>
          <w:rFonts w:ascii="Arial" w:eastAsia="Times New Roman" w:hAnsi="Arial" w:cs="Arial"/>
        </w:rPr>
        <w:t xml:space="preserve">, as well as the delay costs attached to Option </w:t>
      </w:r>
      <w:r>
        <w:rPr>
          <w:rFonts w:ascii="Arial" w:eastAsia="Times New Roman" w:hAnsi="Arial" w:cs="Arial"/>
        </w:rPr>
        <w:t>3.</w:t>
      </w:r>
    </w:p>
    <w:p w14:paraId="5CA7CED7" w14:textId="70289C01" w:rsidR="00E51E69" w:rsidRDefault="00E51E69" w:rsidP="00037D85">
      <w:pPr>
        <w:spacing w:line="240" w:lineRule="auto"/>
        <w:rPr>
          <w:rFonts w:ascii="Arial" w:eastAsia="Times New Roman" w:hAnsi="Arial" w:cs="Arial"/>
        </w:rPr>
      </w:pPr>
      <w:r>
        <w:rPr>
          <w:rFonts w:ascii="Arial" w:eastAsia="Times New Roman" w:hAnsi="Arial" w:cs="Arial"/>
        </w:rPr>
        <w:t xml:space="preserve">The most substantial regulatory costs are likely to arise from: </w:t>
      </w:r>
    </w:p>
    <w:p w14:paraId="101D2052" w14:textId="1C4CBD1F" w:rsidR="00E51E69" w:rsidRPr="00F02455" w:rsidRDefault="00E51E69" w:rsidP="00A16B8A">
      <w:pPr>
        <w:pStyle w:val="ListParagraph"/>
        <w:numPr>
          <w:ilvl w:val="0"/>
          <w:numId w:val="39"/>
        </w:numPr>
        <w:spacing w:line="240" w:lineRule="auto"/>
        <w:rPr>
          <w:rFonts w:ascii="Arial" w:eastAsia="Calibri" w:hAnsi="Arial" w:cs="Arial"/>
        </w:rPr>
      </w:pPr>
      <w:r w:rsidRPr="00F02455">
        <w:rPr>
          <w:rFonts w:ascii="Arial" w:eastAsia="Calibri" w:hAnsi="Arial" w:cs="Arial"/>
        </w:rPr>
        <w:t xml:space="preserve">The need to initially apply for and maintain, on an ongoing basis, accreditation </w:t>
      </w:r>
      <w:r w:rsidR="003B5049" w:rsidRPr="00F02455">
        <w:rPr>
          <w:rFonts w:ascii="Arial" w:eastAsia="Calibri" w:hAnsi="Arial" w:cs="Arial"/>
        </w:rPr>
        <w:t>status</w:t>
      </w:r>
      <w:r w:rsidRPr="00F02455">
        <w:rPr>
          <w:rFonts w:ascii="Arial" w:eastAsia="Calibri" w:hAnsi="Arial" w:cs="Arial"/>
        </w:rPr>
        <w:t xml:space="preserve">, including the completion of an application for accreditation and ongoing compliance assessments; </w:t>
      </w:r>
    </w:p>
    <w:p w14:paraId="4F3F1782" w14:textId="7935D32E" w:rsidR="00E51E69" w:rsidRPr="00F02455" w:rsidRDefault="00B2475A" w:rsidP="00A16B8A">
      <w:pPr>
        <w:pStyle w:val="ListParagraph"/>
        <w:numPr>
          <w:ilvl w:val="0"/>
          <w:numId w:val="39"/>
        </w:numPr>
        <w:spacing w:line="240" w:lineRule="auto"/>
        <w:rPr>
          <w:rFonts w:ascii="Arial" w:eastAsia="Calibri" w:hAnsi="Arial" w:cs="Arial"/>
        </w:rPr>
      </w:pPr>
      <w:r w:rsidRPr="00F02455">
        <w:rPr>
          <w:rFonts w:ascii="Arial" w:eastAsia="Calibri" w:hAnsi="Arial" w:cs="Arial"/>
        </w:rPr>
        <w:t xml:space="preserve">Costs attached to industry’s development of processes and systems, the acquisition of technology, the need to train staff in new regulatory requirements, and </w:t>
      </w:r>
      <w:r w:rsidR="00F73463" w:rsidRPr="00F02455">
        <w:rPr>
          <w:rFonts w:ascii="Arial" w:eastAsia="Calibri" w:hAnsi="Arial" w:cs="Arial"/>
        </w:rPr>
        <w:t xml:space="preserve">ongoing auditing; </w:t>
      </w:r>
      <w:r w:rsidR="00F02455" w:rsidRPr="00F02455">
        <w:rPr>
          <w:rFonts w:ascii="Arial" w:eastAsia="Calibri" w:hAnsi="Arial" w:cs="Arial"/>
        </w:rPr>
        <w:t>and</w:t>
      </w:r>
    </w:p>
    <w:p w14:paraId="6175B052" w14:textId="6B8D6B0B" w:rsidR="00F73463" w:rsidRPr="00F02455" w:rsidRDefault="00F73463" w:rsidP="00A16B8A">
      <w:pPr>
        <w:pStyle w:val="ListParagraph"/>
        <w:numPr>
          <w:ilvl w:val="0"/>
          <w:numId w:val="39"/>
        </w:numPr>
        <w:spacing w:line="240" w:lineRule="auto"/>
        <w:rPr>
          <w:rFonts w:ascii="Arial" w:eastAsia="Calibri" w:hAnsi="Arial" w:cs="Arial"/>
        </w:rPr>
      </w:pPr>
      <w:r w:rsidRPr="00F02455">
        <w:rPr>
          <w:rFonts w:ascii="Arial" w:eastAsia="Calibri" w:hAnsi="Arial" w:cs="Arial"/>
        </w:rPr>
        <w:t>Costs associated with the general regulatory uplift imposed by Option 3, including new storage regulations and the introduction of regulations for explosives materials currently below the specified MHF quantity threshold</w:t>
      </w:r>
      <w:r w:rsidR="00F02455" w:rsidRPr="00F02455">
        <w:rPr>
          <w:rFonts w:ascii="Arial" w:eastAsia="Calibri" w:hAnsi="Arial" w:cs="Arial"/>
        </w:rPr>
        <w:t xml:space="preserve">. </w:t>
      </w:r>
    </w:p>
    <w:p w14:paraId="23FA001C" w14:textId="079B86C4" w:rsidR="006E0C53" w:rsidRPr="00F02455" w:rsidRDefault="00F02455" w:rsidP="00F02455">
      <w:pPr>
        <w:spacing w:line="240" w:lineRule="auto"/>
        <w:rPr>
          <w:rFonts w:ascii="Arial" w:eastAsia="Times New Roman" w:hAnsi="Arial" w:cs="Arial"/>
        </w:rPr>
      </w:pPr>
      <w:r w:rsidRPr="00F02455">
        <w:rPr>
          <w:rFonts w:ascii="Arial" w:eastAsia="Times New Roman" w:hAnsi="Arial" w:cs="Arial"/>
        </w:rPr>
        <w:t xml:space="preserve">The extent of the costs incurred because of the above is largely dependent on each industry player’s existing levels of safety and security activities and their level of maturity. For example, it is likely that the costs incurred by a new, less mature industry player, would be higher than that of an established industry participant. </w:t>
      </w:r>
      <w:r w:rsidR="003C7970">
        <w:rPr>
          <w:rFonts w:ascii="Arial" w:eastAsia="Times New Roman" w:hAnsi="Arial" w:cs="Arial"/>
        </w:rPr>
        <w:t xml:space="preserve">However, it should be noted that given the level of risk attached to explosives activities, it is likely many industry players already engage in a high, comprehensive standard of safety and security practice. Where this is the case, the level of uplift </w:t>
      </w:r>
      <w:r w:rsidR="00AA303C">
        <w:rPr>
          <w:rFonts w:ascii="Arial" w:eastAsia="Times New Roman" w:hAnsi="Arial" w:cs="Arial"/>
        </w:rPr>
        <w:t>required,</w:t>
      </w:r>
      <w:r w:rsidR="003C7970">
        <w:rPr>
          <w:rFonts w:ascii="Arial" w:eastAsia="Times New Roman" w:hAnsi="Arial" w:cs="Arial"/>
        </w:rPr>
        <w:t xml:space="preserve"> and subsequent regulatory costs will be minimal. </w:t>
      </w:r>
    </w:p>
    <w:p w14:paraId="1A2D9B65" w14:textId="68AE855C" w:rsidR="0012427C" w:rsidRPr="008E15B8" w:rsidRDefault="00C80118" w:rsidP="00A12B00">
      <w:pPr>
        <w:jc w:val="both"/>
        <w:rPr>
          <w:rFonts w:ascii="Arial" w:eastAsia="Calibri" w:hAnsi="Arial" w:cs="Arial"/>
        </w:rPr>
      </w:pPr>
      <w:r w:rsidRPr="000B7589">
        <w:rPr>
          <w:noProof/>
          <w:lang w:eastAsia="en-AU"/>
        </w:rPr>
        <w:lastRenderedPageBreak/>
        <mc:AlternateContent>
          <mc:Choice Requires="wps">
            <w:drawing>
              <wp:inline distT="0" distB="0" distL="0" distR="0" wp14:anchorId="0A3EFED4" wp14:editId="2DC2CDC7">
                <wp:extent cx="1212215" cy="5732780"/>
                <wp:effectExtent l="6668" t="0" r="0" b="0"/>
                <wp:docPr id="40" name="AutoShape 2" descr="Consultation question(s)&#10;(1) Are the impacts of Option 1 accurately described as related to your entity? Are there any other impacts (negative, positive or neutral) of the System continuing without regulation, that are not mentioned abo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12215" cy="5732780"/>
                        </a:xfrm>
                        <a:prstGeom prst="roundRect">
                          <a:avLst>
                            <a:gd name="adj" fmla="val 2892"/>
                          </a:avLst>
                        </a:prstGeom>
                        <a:solidFill>
                          <a:schemeClr val="accent2">
                            <a:lumMod val="20000"/>
                            <a:lumOff val="80000"/>
                          </a:schemeClr>
                        </a:solidFill>
                      </wps:spPr>
                      <wps:txbx>
                        <w:txbxContent>
                          <w:p w14:paraId="790D69EA" w14:textId="77777777" w:rsidR="00B3427F" w:rsidRPr="00504EB8" w:rsidRDefault="00B3427F" w:rsidP="00C80118">
                            <w:pPr>
                              <w:pStyle w:val="Heading4NoNumbers"/>
                              <w:spacing w:before="120"/>
                              <w:ind w:left="113" w:right="113"/>
                              <w:rPr>
                                <w:rFonts w:eastAsia="Times New Roman" w:cs="Arial"/>
                                <w:bCs/>
                                <w:color w:val="ED7D31" w:themeColor="accent2"/>
                                <w:kern w:val="0"/>
                                <w:sz w:val="22"/>
                                <w:lang w:eastAsia="en-US"/>
                              </w:rPr>
                            </w:pPr>
                            <w:r w:rsidRPr="00504EB8">
                              <w:rPr>
                                <w:rFonts w:eastAsia="Times New Roman" w:cs="Arial"/>
                                <w:bCs/>
                                <w:color w:val="ED7D31" w:themeColor="accent2"/>
                                <w:kern w:val="0"/>
                                <w:sz w:val="22"/>
                                <w:lang w:eastAsia="en-US"/>
                              </w:rPr>
                              <w:t>Consultation question(s)</w:t>
                            </w:r>
                          </w:p>
                          <w:p w14:paraId="12A540AA" w14:textId="089A65A2" w:rsidR="00B3427F" w:rsidRPr="00504EB8" w:rsidRDefault="00B3427F" w:rsidP="00A72490">
                            <w:pPr>
                              <w:pStyle w:val="BodyText"/>
                              <w:numPr>
                                <w:ilvl w:val="0"/>
                                <w:numId w:val="50"/>
                              </w:numPr>
                              <w:spacing w:line="240" w:lineRule="auto"/>
                              <w:ind w:right="113"/>
                              <w:rPr>
                                <w:rFonts w:eastAsia="Times New Roman"/>
                                <w:sz w:val="22"/>
                                <w:szCs w:val="22"/>
                                <w:lang w:eastAsia="en-US"/>
                              </w:rPr>
                            </w:pPr>
                            <w:r w:rsidRPr="00504EB8">
                              <w:rPr>
                                <w:rFonts w:eastAsia="Times New Roman"/>
                                <w:sz w:val="22"/>
                                <w:szCs w:val="22"/>
                                <w:lang w:eastAsia="en-US"/>
                              </w:rPr>
                              <w:t xml:space="preserve">Are the impacts of Option </w:t>
                            </w:r>
                            <w:r>
                              <w:rPr>
                                <w:rFonts w:eastAsia="Times New Roman"/>
                                <w:sz w:val="22"/>
                                <w:szCs w:val="22"/>
                                <w:lang w:eastAsia="en-US"/>
                              </w:rPr>
                              <w:t xml:space="preserve">3 </w:t>
                            </w:r>
                            <w:r w:rsidRPr="00504EB8">
                              <w:rPr>
                                <w:rFonts w:eastAsia="Times New Roman"/>
                                <w:sz w:val="22"/>
                                <w:szCs w:val="22"/>
                                <w:lang w:eastAsia="en-US"/>
                              </w:rPr>
                              <w:t xml:space="preserve">accurately described as related to your entity? Are there any other impacts (negative, positive or neutral) of </w:t>
                            </w:r>
                            <w:r>
                              <w:rPr>
                                <w:rFonts w:eastAsia="Times New Roman"/>
                                <w:sz w:val="22"/>
                                <w:szCs w:val="22"/>
                                <w:lang w:eastAsia="en-US"/>
                              </w:rPr>
                              <w:t>introducing a new regulatory regime through primary legislation which</w:t>
                            </w:r>
                            <w:r w:rsidRPr="00504EB8">
                              <w:rPr>
                                <w:rFonts w:eastAsia="Times New Roman"/>
                                <w:sz w:val="22"/>
                                <w:szCs w:val="22"/>
                                <w:lang w:eastAsia="en-US"/>
                              </w:rPr>
                              <w:t xml:space="preserve"> have not been mentioned above?</w:t>
                            </w:r>
                          </w:p>
                        </w:txbxContent>
                      </wps:txbx>
                      <wps:bodyPr rot="0" vert="horz" wrap="square" lIns="91440" tIns="45720" rIns="91440" bIns="45720"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0A3EFED4" id="_x0000_s1057" alt="Consultation question(s)&#10;(1) Are the impacts of Option 1 accurately described as related to your entity? Are there any other impacts (negative, positive or neutral) of the System continuing without regulation, that are not mentioned above?" style="width:95.45pt;height:451.4pt;rotation:90;visibility:visible;mso-wrap-style:square;mso-left-percent:-10001;mso-top-percent:-10001;mso-position-horizontal:absolute;mso-position-horizontal-relative:char;mso-position-vertical:absolute;mso-position-vertical-relative:line;mso-left-percent:-10001;mso-top-percent:-10001;v-text-anchor:middle" arcsize="1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" fillcolor="#fbe4d5 [661]" stroked="f">
                <v:textbox>
                  <w:txbxContent>
                    <w:p w14:paraId="790D69EA" w14:textId="77777777" w:rsidR="00B3427F" w:rsidRPr="00504EB8" w:rsidRDefault="00B3427F" w:rsidP="00C80118">
                      <w:pPr>
                        <w:pStyle w:val="Heading4NoNumbers"/>
                        <w:spacing w:before="120"/>
                        <w:ind w:left="113" w:right="113"/>
                        <w:rPr>
                          <w:rFonts w:eastAsia="Times New Roman" w:cs="Arial"/>
                          <w:bCs/>
                          <w:color w:val="ED7D31" w:themeColor="accent2"/>
                          <w:kern w:val="0"/>
                          <w:sz w:val="22"/>
                          <w:lang w:eastAsia="en-US"/>
                        </w:rPr>
                      </w:pPr>
                      <w:r w:rsidRPr="00504EB8">
                        <w:rPr>
                          <w:rFonts w:eastAsia="Times New Roman" w:cs="Arial"/>
                          <w:bCs/>
                          <w:color w:val="ED7D31" w:themeColor="accent2"/>
                          <w:kern w:val="0"/>
                          <w:sz w:val="22"/>
                          <w:lang w:eastAsia="en-US"/>
                        </w:rPr>
                        <w:t>Consultation question(s)</w:t>
                      </w:r>
                    </w:p>
                    <w:p w14:paraId="12A540AA" w14:textId="089A65A2" w:rsidR="00B3427F" w:rsidRPr="00504EB8" w:rsidRDefault="00B3427F" w:rsidP="00A72490">
                      <w:pPr>
                        <w:pStyle w:val="BodyText"/>
                        <w:numPr>
                          <w:ilvl w:val="0"/>
                          <w:numId w:val="50"/>
                        </w:numPr>
                        <w:spacing w:line="240" w:lineRule="auto"/>
                        <w:ind w:right="113"/>
                        <w:rPr>
                          <w:rFonts w:eastAsia="Times New Roman"/>
                          <w:sz w:val="22"/>
                          <w:szCs w:val="22"/>
                          <w:lang w:eastAsia="en-US"/>
                        </w:rPr>
                      </w:pPr>
                      <w:r w:rsidRPr="00504EB8">
                        <w:rPr>
                          <w:rFonts w:eastAsia="Times New Roman"/>
                          <w:sz w:val="22"/>
                          <w:szCs w:val="22"/>
                          <w:lang w:eastAsia="en-US"/>
                        </w:rPr>
                        <w:t xml:space="preserve">Are the impacts of Option </w:t>
                      </w:r>
                      <w:r>
                        <w:rPr>
                          <w:rFonts w:eastAsia="Times New Roman"/>
                          <w:sz w:val="22"/>
                          <w:szCs w:val="22"/>
                          <w:lang w:eastAsia="en-US"/>
                        </w:rPr>
                        <w:t xml:space="preserve">3 </w:t>
                      </w:r>
                      <w:r w:rsidRPr="00504EB8">
                        <w:rPr>
                          <w:rFonts w:eastAsia="Times New Roman"/>
                          <w:sz w:val="22"/>
                          <w:szCs w:val="22"/>
                          <w:lang w:eastAsia="en-US"/>
                        </w:rPr>
                        <w:t xml:space="preserve">accurately described as related to your entity? Are there any other impacts (negative, positive or neutral) of </w:t>
                      </w:r>
                      <w:r>
                        <w:rPr>
                          <w:rFonts w:eastAsia="Times New Roman"/>
                          <w:sz w:val="22"/>
                          <w:szCs w:val="22"/>
                          <w:lang w:eastAsia="en-US"/>
                        </w:rPr>
                        <w:t>introducing a new regulatory regime through primary legislation which</w:t>
                      </w:r>
                      <w:r w:rsidRPr="00504EB8">
                        <w:rPr>
                          <w:rFonts w:eastAsia="Times New Roman"/>
                          <w:sz w:val="22"/>
                          <w:szCs w:val="22"/>
                          <w:lang w:eastAsia="en-US"/>
                        </w:rPr>
                        <w:t xml:space="preserve"> have not been mentioned above?</w:t>
                      </w:r>
                    </w:p>
                  </w:txbxContent>
                </v:textbox>
                <w10:anchorlock/>
              </v:roundrect>
            </w:pict>
          </mc:Fallback>
        </mc:AlternateContent>
      </w:r>
    </w:p>
    <w:p w14:paraId="5D6E38F3" w14:textId="77777777" w:rsidR="008E15B8" w:rsidRDefault="008E15B8" w:rsidP="00A12B00">
      <w:pPr>
        <w:jc w:val="both"/>
        <w:rPr>
          <w:rFonts w:ascii="Arial" w:eastAsia="Calibri" w:hAnsi="Arial" w:cs="Arial"/>
          <w:color w:val="997339"/>
        </w:rPr>
      </w:pPr>
    </w:p>
    <w:p w14:paraId="5669AE66" w14:textId="77777777" w:rsidR="009A21FB" w:rsidRDefault="009A21FB" w:rsidP="00A12B00">
      <w:pPr>
        <w:jc w:val="both"/>
        <w:rPr>
          <w:rFonts w:ascii="Arial" w:eastAsia="Calibri" w:hAnsi="Arial" w:cs="Arial"/>
          <w:color w:val="997339"/>
        </w:rPr>
      </w:pPr>
    </w:p>
    <w:p w14:paraId="79299298" w14:textId="77777777" w:rsidR="00C91523" w:rsidRDefault="00C91523">
      <w:pPr>
        <w:rPr>
          <w:rFonts w:ascii="Arial" w:eastAsia="Calibri" w:hAnsi="Arial" w:cs="Arial"/>
          <w:color w:val="997339"/>
        </w:rPr>
      </w:pPr>
      <w:r>
        <w:rPr>
          <w:rFonts w:ascii="Arial" w:eastAsia="Calibri" w:hAnsi="Arial" w:cs="Arial"/>
          <w:color w:val="997339"/>
        </w:rPr>
        <w:br w:type="page"/>
      </w:r>
    </w:p>
    <w:p w14:paraId="5C2D5EB4" w14:textId="50825723" w:rsidR="003E26EA" w:rsidRDefault="00D21427" w:rsidP="00867040">
      <w:pPr>
        <w:pStyle w:val="Heading1"/>
        <w:numPr>
          <w:ilvl w:val="0"/>
          <w:numId w:val="1"/>
        </w:numPr>
        <w:rPr>
          <w:rFonts w:ascii="Georgia" w:eastAsia="Times New Roman" w:hAnsi="Georgia"/>
          <w:b/>
          <w:bCs/>
          <w:color w:val="ED7D31" w:themeColor="accent2"/>
        </w:rPr>
      </w:pPr>
      <w:bookmarkStart w:id="57" w:name="_Toc101961124"/>
      <w:r w:rsidRPr="00D27093">
        <w:rPr>
          <w:rFonts w:ascii="Georgia" w:eastAsia="Times New Roman" w:hAnsi="Georgia"/>
          <w:b/>
          <w:bCs/>
          <w:color w:val="ED7D31" w:themeColor="accent2"/>
        </w:rPr>
        <w:lastRenderedPageBreak/>
        <w:t>Who will you consult about these options and how will you consult with them?</w:t>
      </w:r>
      <w:bookmarkEnd w:id="57"/>
      <w:r w:rsidRPr="00D27093">
        <w:rPr>
          <w:rFonts w:ascii="Georgia" w:eastAsia="Times New Roman" w:hAnsi="Georgia"/>
          <w:b/>
          <w:bCs/>
          <w:color w:val="ED7D31" w:themeColor="accent2"/>
        </w:rPr>
        <w:t xml:space="preserve"> </w:t>
      </w:r>
    </w:p>
    <w:p w14:paraId="3355AA30" w14:textId="77777777" w:rsidR="001B070F" w:rsidRPr="001B070F" w:rsidRDefault="001B070F" w:rsidP="001B070F">
      <w:pPr>
        <w:spacing w:after="0"/>
      </w:pPr>
    </w:p>
    <w:p w14:paraId="7797251F" w14:textId="68D81448" w:rsidR="00867040" w:rsidRDefault="00867040" w:rsidP="00867040">
      <w:pPr>
        <w:rPr>
          <w:rFonts w:ascii="Arial" w:eastAsia="Times New Roman" w:hAnsi="Arial" w:cs="Arial"/>
        </w:rPr>
      </w:pPr>
      <w:r w:rsidRPr="00867040">
        <w:rPr>
          <w:rFonts w:ascii="Arial" w:eastAsia="Times New Roman" w:hAnsi="Arial" w:cs="Arial"/>
          <w:b/>
          <w:bCs/>
        </w:rPr>
        <w:t>Note:</w:t>
      </w:r>
      <w:r w:rsidRPr="00867040">
        <w:rPr>
          <w:rFonts w:ascii="Arial" w:eastAsia="Times New Roman" w:hAnsi="Arial" w:cs="Arial"/>
        </w:rPr>
        <w:t xml:space="preserve"> This question will be answered </w:t>
      </w:r>
      <w:r w:rsidR="003E26EA">
        <w:rPr>
          <w:rFonts w:ascii="Arial" w:eastAsia="Times New Roman" w:hAnsi="Arial" w:cs="Arial"/>
        </w:rPr>
        <w:t xml:space="preserve">in full </w:t>
      </w:r>
      <w:r w:rsidRPr="00867040">
        <w:rPr>
          <w:rFonts w:ascii="Arial" w:eastAsia="Times New Roman" w:hAnsi="Arial" w:cs="Arial"/>
        </w:rPr>
        <w:t>as part of a future version of this RIS</w:t>
      </w:r>
      <w:r w:rsidR="003E26EA">
        <w:rPr>
          <w:rFonts w:ascii="Arial" w:eastAsia="Times New Roman" w:hAnsi="Arial" w:cs="Arial"/>
        </w:rPr>
        <w:t xml:space="preserve">. However, the below </w:t>
      </w:r>
      <w:r w:rsidR="00990164">
        <w:rPr>
          <w:rFonts w:ascii="Arial" w:eastAsia="Times New Roman" w:hAnsi="Arial" w:cs="Arial"/>
        </w:rPr>
        <w:t xml:space="preserve">information provides an overview of past and upcoming consultation activities (which form part of the broader EATR Project </w:t>
      </w:r>
      <w:r w:rsidR="003A640E">
        <w:rPr>
          <w:rFonts w:ascii="Arial" w:eastAsia="Times New Roman" w:hAnsi="Arial" w:cs="Arial"/>
        </w:rPr>
        <w:t>activities)</w:t>
      </w:r>
      <w:r w:rsidR="004D76A3">
        <w:rPr>
          <w:rFonts w:ascii="Arial" w:eastAsia="Times New Roman" w:hAnsi="Arial" w:cs="Arial"/>
        </w:rPr>
        <w:t>, which will continue to inform the development of this RIS</w:t>
      </w:r>
      <w:r w:rsidR="00432EE7">
        <w:rPr>
          <w:rFonts w:ascii="Arial" w:eastAsia="Times New Roman" w:hAnsi="Arial" w:cs="Arial"/>
        </w:rPr>
        <w:t>, in addition to its publication.</w:t>
      </w:r>
    </w:p>
    <w:p w14:paraId="448EFE8C" w14:textId="20A890C3" w:rsidR="00432EE7" w:rsidRPr="00062060" w:rsidRDefault="00062060" w:rsidP="00062060">
      <w:pPr>
        <w:pStyle w:val="ListParagraph"/>
        <w:numPr>
          <w:ilvl w:val="0"/>
          <w:numId w:val="51"/>
        </w:numPr>
        <w:rPr>
          <w:rFonts w:ascii="Arial" w:eastAsia="Times New Roman" w:hAnsi="Arial" w:cs="Arial"/>
          <w:b/>
          <w:bCs/>
        </w:rPr>
      </w:pPr>
      <w:r w:rsidRPr="00062060">
        <w:rPr>
          <w:rFonts w:ascii="Arial" w:eastAsia="Times New Roman" w:hAnsi="Arial" w:cs="Arial"/>
          <w:b/>
          <w:bCs/>
        </w:rPr>
        <w:t>Preliminary Consultation Activities</w:t>
      </w:r>
    </w:p>
    <w:p w14:paraId="6FE11E8A" w14:textId="05E6A7F5" w:rsidR="0080126B" w:rsidRPr="0080126B" w:rsidRDefault="0080126B" w:rsidP="0080126B">
      <w:pPr>
        <w:rPr>
          <w:rFonts w:ascii="Arial" w:eastAsia="Times New Roman" w:hAnsi="Arial" w:cs="Arial"/>
        </w:rPr>
      </w:pPr>
      <w:r>
        <w:rPr>
          <w:rFonts w:ascii="Arial" w:eastAsia="Times New Roman" w:hAnsi="Arial" w:cs="Arial"/>
        </w:rPr>
        <w:t>In its preliminary phase</w:t>
      </w:r>
      <w:r w:rsidR="00F97D3A">
        <w:rPr>
          <w:rFonts w:ascii="Arial" w:eastAsia="Times New Roman" w:hAnsi="Arial" w:cs="Arial"/>
        </w:rPr>
        <w:t>s</w:t>
      </w:r>
      <w:r w:rsidR="00C57760">
        <w:rPr>
          <w:rFonts w:ascii="Arial" w:eastAsia="Times New Roman" w:hAnsi="Arial" w:cs="Arial"/>
        </w:rPr>
        <w:t xml:space="preserve"> throughout 2019 and early 2020</w:t>
      </w:r>
      <w:r>
        <w:rPr>
          <w:rFonts w:ascii="Arial" w:eastAsia="Times New Roman" w:hAnsi="Arial" w:cs="Arial"/>
        </w:rPr>
        <w:t xml:space="preserve">, the EATR Project </w:t>
      </w:r>
      <w:r w:rsidR="00F97D3A">
        <w:rPr>
          <w:rFonts w:ascii="Arial" w:eastAsia="Times New Roman" w:hAnsi="Arial" w:cs="Arial"/>
        </w:rPr>
        <w:t xml:space="preserve">commenced consultation activities to </w:t>
      </w:r>
      <w:r w:rsidRPr="0080126B">
        <w:rPr>
          <w:rFonts w:ascii="Arial" w:eastAsia="Times New Roman" w:hAnsi="Arial" w:cs="Arial"/>
        </w:rPr>
        <w:t xml:space="preserve">gain initial </w:t>
      </w:r>
      <w:r w:rsidR="00F97D3A">
        <w:rPr>
          <w:rFonts w:ascii="Arial" w:eastAsia="Times New Roman" w:hAnsi="Arial" w:cs="Arial"/>
        </w:rPr>
        <w:t xml:space="preserve">stakeholder </w:t>
      </w:r>
      <w:r w:rsidRPr="0080126B">
        <w:rPr>
          <w:rFonts w:ascii="Arial" w:eastAsia="Times New Roman" w:hAnsi="Arial" w:cs="Arial"/>
        </w:rPr>
        <w:t>insights whilst drafting the C</w:t>
      </w:r>
      <w:r w:rsidR="00F97D3A">
        <w:rPr>
          <w:rFonts w:ascii="Arial" w:eastAsia="Times New Roman" w:hAnsi="Arial" w:cs="Arial"/>
        </w:rPr>
        <w:t>RP. These activities included:</w:t>
      </w:r>
    </w:p>
    <w:p w14:paraId="2A5D8D25" w14:textId="00F1B6A0" w:rsidR="0080126B" w:rsidRPr="0080126B" w:rsidRDefault="0080126B" w:rsidP="00F97D3A">
      <w:pPr>
        <w:numPr>
          <w:ilvl w:val="0"/>
          <w:numId w:val="52"/>
        </w:numPr>
        <w:rPr>
          <w:rFonts w:ascii="Arial" w:eastAsia="Times New Roman" w:hAnsi="Arial" w:cs="Arial"/>
        </w:rPr>
      </w:pPr>
      <w:r w:rsidRPr="0080126B">
        <w:rPr>
          <w:rFonts w:ascii="Arial" w:eastAsia="Times New Roman" w:hAnsi="Arial" w:cs="Arial"/>
        </w:rPr>
        <w:t>Support of Defence in PARARI 2019 conference (liaison with international 5-eyes partners)</w:t>
      </w:r>
      <w:r w:rsidR="001B070F">
        <w:rPr>
          <w:rFonts w:ascii="Arial" w:eastAsia="Times New Roman" w:hAnsi="Arial" w:cs="Arial"/>
        </w:rPr>
        <w:t>;</w:t>
      </w:r>
    </w:p>
    <w:p w14:paraId="61FC8567" w14:textId="0BA5DAE8" w:rsidR="0080126B" w:rsidRPr="0080126B" w:rsidRDefault="0080126B" w:rsidP="00F97D3A">
      <w:pPr>
        <w:numPr>
          <w:ilvl w:val="0"/>
          <w:numId w:val="52"/>
        </w:numPr>
        <w:rPr>
          <w:rFonts w:ascii="Arial" w:eastAsia="Times New Roman" w:hAnsi="Arial" w:cs="Arial"/>
        </w:rPr>
      </w:pPr>
      <w:r w:rsidRPr="0080126B">
        <w:rPr>
          <w:rFonts w:ascii="Arial" w:eastAsia="Times New Roman" w:hAnsi="Arial" w:cs="Arial"/>
        </w:rPr>
        <w:t>Support of Defence in AFER 2019 conference (liaison with States and Territories)</w:t>
      </w:r>
      <w:r w:rsidR="00F97D3A">
        <w:rPr>
          <w:rFonts w:ascii="Arial" w:eastAsia="Times New Roman" w:hAnsi="Arial" w:cs="Arial"/>
        </w:rPr>
        <w:t>;</w:t>
      </w:r>
    </w:p>
    <w:p w14:paraId="2F96ACC4" w14:textId="150C9619" w:rsidR="0080126B" w:rsidRPr="0080126B" w:rsidRDefault="0080126B" w:rsidP="00F97D3A">
      <w:pPr>
        <w:numPr>
          <w:ilvl w:val="0"/>
          <w:numId w:val="52"/>
        </w:numPr>
        <w:rPr>
          <w:rFonts w:ascii="Arial" w:eastAsia="Times New Roman" w:hAnsi="Arial" w:cs="Arial"/>
        </w:rPr>
      </w:pPr>
      <w:r w:rsidRPr="0080126B">
        <w:rPr>
          <w:rFonts w:ascii="Arial" w:eastAsia="Times New Roman" w:hAnsi="Arial" w:cs="Arial"/>
        </w:rPr>
        <w:t xml:space="preserve">Liaison with industry providers (Thales, NTSS, Toll, </w:t>
      </w:r>
      <w:proofErr w:type="spellStart"/>
      <w:r w:rsidRPr="0080126B">
        <w:rPr>
          <w:rFonts w:ascii="Arial" w:eastAsia="Times New Roman" w:hAnsi="Arial" w:cs="Arial"/>
        </w:rPr>
        <w:t>ChemTrans</w:t>
      </w:r>
      <w:proofErr w:type="spellEnd"/>
      <w:r w:rsidRPr="0080126B">
        <w:rPr>
          <w:rFonts w:ascii="Arial" w:eastAsia="Times New Roman" w:hAnsi="Arial" w:cs="Arial"/>
        </w:rPr>
        <w:t>)</w:t>
      </w:r>
      <w:r w:rsidR="00F97D3A">
        <w:rPr>
          <w:rFonts w:ascii="Arial" w:eastAsia="Times New Roman" w:hAnsi="Arial" w:cs="Arial"/>
        </w:rPr>
        <w:t>;</w:t>
      </w:r>
    </w:p>
    <w:p w14:paraId="426EA7B5" w14:textId="40EBF6E4" w:rsidR="0080126B" w:rsidRPr="0080126B" w:rsidRDefault="00F97D3A" w:rsidP="00F97D3A">
      <w:pPr>
        <w:numPr>
          <w:ilvl w:val="0"/>
          <w:numId w:val="52"/>
        </w:numPr>
        <w:rPr>
          <w:rFonts w:ascii="Arial" w:eastAsia="Times New Roman" w:hAnsi="Arial" w:cs="Arial"/>
        </w:rPr>
      </w:pPr>
      <w:r>
        <w:rPr>
          <w:rFonts w:ascii="Arial" w:eastAsia="Times New Roman" w:hAnsi="Arial" w:cs="Arial"/>
        </w:rPr>
        <w:t>Engagement with</w:t>
      </w:r>
      <w:r w:rsidR="0080126B" w:rsidRPr="0080126B">
        <w:rPr>
          <w:rFonts w:ascii="Arial" w:eastAsia="Times New Roman" w:hAnsi="Arial" w:cs="Arial"/>
        </w:rPr>
        <w:t xml:space="preserve"> Defence Explosive Ordnance Committee (DEOC) points of contact to facilitate requests for information</w:t>
      </w:r>
      <w:r>
        <w:rPr>
          <w:rFonts w:ascii="Arial" w:eastAsia="Times New Roman" w:hAnsi="Arial" w:cs="Arial"/>
        </w:rPr>
        <w:t xml:space="preserve">; </w:t>
      </w:r>
    </w:p>
    <w:p w14:paraId="2A248FB1" w14:textId="79E5B8E5" w:rsidR="0080126B" w:rsidRPr="0080126B" w:rsidRDefault="0080126B" w:rsidP="00F97D3A">
      <w:pPr>
        <w:numPr>
          <w:ilvl w:val="0"/>
          <w:numId w:val="52"/>
        </w:numPr>
        <w:rPr>
          <w:rFonts w:ascii="Arial" w:eastAsia="Times New Roman" w:hAnsi="Arial" w:cs="Arial"/>
        </w:rPr>
      </w:pPr>
      <w:r w:rsidRPr="0080126B">
        <w:rPr>
          <w:rFonts w:ascii="Arial" w:eastAsia="Times New Roman" w:hAnsi="Arial" w:cs="Arial"/>
        </w:rPr>
        <w:t>Defence facility visitation to further understand operational considerations surrounding storage and transport</w:t>
      </w:r>
      <w:r w:rsidR="00F97D3A">
        <w:rPr>
          <w:rFonts w:ascii="Arial" w:eastAsia="Times New Roman" w:hAnsi="Arial" w:cs="Arial"/>
        </w:rPr>
        <w:t>; and</w:t>
      </w:r>
    </w:p>
    <w:p w14:paraId="57A930F9" w14:textId="12546447" w:rsidR="0080126B" w:rsidRDefault="0080126B" w:rsidP="00F97D3A">
      <w:pPr>
        <w:numPr>
          <w:ilvl w:val="0"/>
          <w:numId w:val="52"/>
        </w:numPr>
        <w:rPr>
          <w:rFonts w:ascii="Arial" w:eastAsia="Times New Roman" w:hAnsi="Arial" w:cs="Arial"/>
        </w:rPr>
      </w:pPr>
      <w:r w:rsidRPr="0080126B">
        <w:rPr>
          <w:rFonts w:ascii="Arial" w:eastAsia="Times New Roman" w:hAnsi="Arial" w:cs="Arial"/>
        </w:rPr>
        <w:t xml:space="preserve">Requests for further consultation activity with wider Commonwealth Agencies and Departments.  </w:t>
      </w:r>
    </w:p>
    <w:p w14:paraId="4A97AE31" w14:textId="242F73FF" w:rsidR="00A166C6" w:rsidRDefault="00A166C6" w:rsidP="00A166C6">
      <w:pPr>
        <w:rPr>
          <w:rFonts w:ascii="Arial" w:eastAsia="Times New Roman" w:hAnsi="Arial" w:cs="Arial"/>
        </w:rPr>
      </w:pPr>
      <w:r>
        <w:rPr>
          <w:rFonts w:ascii="Arial" w:eastAsia="Times New Roman" w:hAnsi="Arial" w:cs="Arial"/>
        </w:rPr>
        <w:t xml:space="preserve">The image below provides an overview of </w:t>
      </w:r>
      <w:r w:rsidR="00405717">
        <w:rPr>
          <w:rFonts w:ascii="Arial" w:eastAsia="Times New Roman" w:hAnsi="Arial" w:cs="Arial"/>
        </w:rPr>
        <w:t>consultation activities which have occurred between 2</w:t>
      </w:r>
      <w:r w:rsidR="00C57760">
        <w:rPr>
          <w:rFonts w:ascii="Arial" w:eastAsia="Times New Roman" w:hAnsi="Arial" w:cs="Arial"/>
        </w:rPr>
        <w:t xml:space="preserve">020 </w:t>
      </w:r>
      <w:r w:rsidR="00405717">
        <w:rPr>
          <w:rFonts w:ascii="Arial" w:eastAsia="Times New Roman" w:hAnsi="Arial" w:cs="Arial"/>
        </w:rPr>
        <w:t xml:space="preserve">and 2022. </w:t>
      </w:r>
    </w:p>
    <w:p w14:paraId="0F0448F4" w14:textId="00BB7FDF" w:rsidR="000B7109" w:rsidRPr="00305BD6" w:rsidRDefault="000B7109" w:rsidP="00C57760">
      <w:pPr>
        <w:pStyle w:val="Caption"/>
        <w:keepNext/>
        <w:spacing w:after="0"/>
        <w:rPr>
          <w:rFonts w:ascii="Arial" w:hAnsi="Arial" w:cs="Arial"/>
          <w:color w:val="auto"/>
        </w:rPr>
      </w:pPr>
      <w:r w:rsidRPr="00C57760">
        <w:rPr>
          <w:rFonts w:ascii="Arial" w:hAnsi="Arial" w:cs="Arial"/>
          <w:b/>
          <w:bCs/>
          <w:color w:val="auto"/>
        </w:rPr>
        <w:t xml:space="preserve">Figure </w:t>
      </w:r>
      <w:r w:rsidRPr="00C57760">
        <w:rPr>
          <w:rFonts w:ascii="Arial" w:hAnsi="Arial" w:cs="Arial"/>
          <w:b/>
          <w:bCs/>
          <w:color w:val="auto"/>
        </w:rPr>
        <w:fldChar w:fldCharType="begin"/>
      </w:r>
      <w:r w:rsidRPr="00C57760">
        <w:rPr>
          <w:rFonts w:ascii="Arial" w:hAnsi="Arial" w:cs="Arial"/>
          <w:b/>
          <w:bCs/>
          <w:color w:val="auto"/>
        </w:rPr>
        <w:instrText xml:space="preserve"> SEQ Figure \* ARABIC </w:instrText>
      </w:r>
      <w:r w:rsidRPr="00C57760">
        <w:rPr>
          <w:rFonts w:ascii="Arial" w:hAnsi="Arial" w:cs="Arial"/>
          <w:b/>
          <w:bCs/>
          <w:color w:val="auto"/>
        </w:rPr>
        <w:fldChar w:fldCharType="separate"/>
      </w:r>
      <w:r w:rsidRPr="00C57760">
        <w:rPr>
          <w:rFonts w:ascii="Arial" w:hAnsi="Arial" w:cs="Arial"/>
          <w:b/>
          <w:bCs/>
          <w:noProof/>
          <w:color w:val="auto"/>
        </w:rPr>
        <w:t>15</w:t>
      </w:r>
      <w:r w:rsidRPr="00C57760">
        <w:rPr>
          <w:rFonts w:ascii="Arial" w:hAnsi="Arial" w:cs="Arial"/>
          <w:b/>
          <w:bCs/>
          <w:color w:val="auto"/>
        </w:rPr>
        <w:fldChar w:fldCharType="end"/>
      </w:r>
      <w:r w:rsidRPr="00C57760">
        <w:rPr>
          <w:rFonts w:ascii="Arial" w:hAnsi="Arial" w:cs="Arial"/>
          <w:b/>
          <w:bCs/>
          <w:color w:val="auto"/>
        </w:rPr>
        <w:t>:</w:t>
      </w:r>
      <w:r w:rsidRPr="00305BD6">
        <w:rPr>
          <w:rFonts w:ascii="Arial" w:hAnsi="Arial" w:cs="Arial"/>
          <w:color w:val="auto"/>
        </w:rPr>
        <w:t xml:space="preserve"> Overview of Consultation Activities</w:t>
      </w:r>
    </w:p>
    <w:p w14:paraId="4CAEBDAA" w14:textId="77777777" w:rsidR="001541AC" w:rsidRPr="0080126B" w:rsidRDefault="001541AC" w:rsidP="00A166C6">
      <w:pPr>
        <w:rPr>
          <w:rFonts w:ascii="Arial" w:eastAsia="Times New Roman" w:hAnsi="Arial" w:cs="Arial"/>
        </w:rPr>
      </w:pPr>
      <w:r>
        <w:rPr>
          <w:noProof/>
          <w:lang w:eastAsia="en-AU"/>
        </w:rPr>
        <w:drawing>
          <wp:inline distT="0" distB="0" distL="0" distR="0" wp14:anchorId="40B1832F" wp14:editId="0ECB31EE">
            <wp:extent cx="5731510" cy="3470275"/>
            <wp:effectExtent l="0" t="0" r="254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470275"/>
                    </a:xfrm>
                    <a:prstGeom prst="rect">
                      <a:avLst/>
                    </a:prstGeom>
                  </pic:spPr>
                </pic:pic>
              </a:graphicData>
            </a:graphic>
          </wp:inline>
        </w:drawing>
      </w:r>
    </w:p>
    <w:p w14:paraId="40E080DF" w14:textId="44D1E96C" w:rsidR="00867040" w:rsidRDefault="00C57760" w:rsidP="00867040">
      <w:pPr>
        <w:rPr>
          <w:rFonts w:ascii="Arial" w:eastAsia="Times New Roman" w:hAnsi="Arial" w:cs="Arial"/>
        </w:rPr>
      </w:pPr>
      <w:r w:rsidRPr="00B27225">
        <w:rPr>
          <w:rFonts w:ascii="Arial" w:eastAsia="Times New Roman" w:hAnsi="Arial" w:cs="Arial"/>
        </w:rPr>
        <w:lastRenderedPageBreak/>
        <w:t xml:space="preserve">As indicated by Figure 15, </w:t>
      </w:r>
      <w:r w:rsidR="00B27225" w:rsidRPr="00B27225">
        <w:rPr>
          <w:rFonts w:ascii="Arial" w:eastAsia="Times New Roman" w:hAnsi="Arial" w:cs="Arial"/>
        </w:rPr>
        <w:t>circulation</w:t>
      </w:r>
      <w:r w:rsidRPr="00B27225">
        <w:rPr>
          <w:rFonts w:ascii="Arial" w:eastAsia="Times New Roman" w:hAnsi="Arial" w:cs="Arial"/>
        </w:rPr>
        <w:t xml:space="preserve"> of the CRP and consultation with key stakeholders on related themes and issues </w:t>
      </w:r>
      <w:r w:rsidR="00B27225" w:rsidRPr="00B27225">
        <w:rPr>
          <w:rFonts w:ascii="Arial" w:eastAsia="Times New Roman" w:hAnsi="Arial" w:cs="Arial"/>
        </w:rPr>
        <w:t xml:space="preserve">occurred throughout 2021. This included an intensive period of consultation during October to December 2021 (including 3 workshops with each stakeholder group, being industry, States and Territories and Commonwealth stakeholders). </w:t>
      </w:r>
      <w:r w:rsidR="005C4E30">
        <w:rPr>
          <w:rFonts w:ascii="Arial" w:eastAsia="Times New Roman" w:hAnsi="Arial" w:cs="Arial"/>
        </w:rPr>
        <w:t xml:space="preserve">This consultation period provided key inputs for this iteration of the Early Assessment RIS. </w:t>
      </w:r>
    </w:p>
    <w:p w14:paraId="43F49D11" w14:textId="653D430A" w:rsidR="005C4E30" w:rsidRDefault="005C4E30" w:rsidP="00867040">
      <w:pPr>
        <w:rPr>
          <w:rFonts w:ascii="Arial" w:eastAsia="Times New Roman" w:hAnsi="Arial" w:cs="Arial"/>
        </w:rPr>
      </w:pPr>
      <w:r>
        <w:rPr>
          <w:rFonts w:ascii="Arial" w:eastAsia="Times New Roman" w:hAnsi="Arial" w:cs="Arial"/>
        </w:rPr>
        <w:t xml:space="preserve">The publication of this RIS document will coincide with </w:t>
      </w:r>
      <w:r w:rsidR="00383A62">
        <w:rPr>
          <w:rFonts w:ascii="Arial" w:eastAsia="Times New Roman" w:hAnsi="Arial" w:cs="Arial"/>
        </w:rPr>
        <w:t xml:space="preserve">a further period of consultation with key State and Territory stakeholders, as set out </w:t>
      </w:r>
      <w:r w:rsidR="00606E1B">
        <w:rPr>
          <w:rFonts w:ascii="Arial" w:eastAsia="Times New Roman" w:hAnsi="Arial" w:cs="Arial"/>
        </w:rPr>
        <w:t xml:space="preserve">in the table </w:t>
      </w:r>
      <w:r w:rsidR="00383A62">
        <w:rPr>
          <w:rFonts w:ascii="Arial" w:eastAsia="Times New Roman" w:hAnsi="Arial" w:cs="Arial"/>
        </w:rPr>
        <w:t>below</w:t>
      </w:r>
      <w:r w:rsidR="00606E1B">
        <w:rPr>
          <w:rFonts w:ascii="Arial" w:eastAsia="Times New Roman" w:hAnsi="Arial" w:cs="Arial"/>
        </w:rPr>
        <w:t>.</w:t>
      </w:r>
      <w:r w:rsidR="00383A62">
        <w:rPr>
          <w:rFonts w:ascii="Arial" w:eastAsia="Times New Roman" w:hAnsi="Arial" w:cs="Arial"/>
        </w:rPr>
        <w:t xml:space="preserve"> </w:t>
      </w:r>
    </w:p>
    <w:tbl>
      <w:tblPr>
        <w:tblStyle w:val="GridTable4-Accent11"/>
        <w:tblW w:w="0" w:type="auto"/>
        <w:tblLook w:val="04A0" w:firstRow="1" w:lastRow="0" w:firstColumn="1" w:lastColumn="0" w:noHBand="0" w:noVBand="1"/>
      </w:tblPr>
      <w:tblGrid>
        <w:gridCol w:w="2930"/>
        <w:gridCol w:w="3030"/>
        <w:gridCol w:w="3056"/>
      </w:tblGrid>
      <w:tr w:rsidR="00606E1B" w:rsidRPr="00606E1B" w14:paraId="51837E50" w14:textId="77777777" w:rsidTr="00606E1B">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3449" w:type="dxa"/>
            <w:hideMark/>
          </w:tcPr>
          <w:p w14:paraId="4148FCBD" w14:textId="77777777" w:rsidR="00606E1B" w:rsidRPr="00606E1B" w:rsidRDefault="00606E1B" w:rsidP="00606E1B">
            <w:pPr>
              <w:jc w:val="center"/>
              <w:rPr>
                <w:rFonts w:ascii="Arial" w:hAnsi="Arial" w:cs="Arial"/>
              </w:rPr>
            </w:pPr>
            <w:r w:rsidRPr="00606E1B">
              <w:rPr>
                <w:rFonts w:ascii="Arial" w:hAnsi="Arial" w:cs="Arial"/>
                <w:b w:val="0"/>
                <w:bCs w:val="0"/>
              </w:rPr>
              <w:t>Date</w:t>
            </w:r>
          </w:p>
        </w:tc>
        <w:tc>
          <w:tcPr>
            <w:tcW w:w="3449" w:type="dxa"/>
            <w:hideMark/>
          </w:tcPr>
          <w:p w14:paraId="2814BA99" w14:textId="77777777" w:rsidR="00606E1B" w:rsidRPr="00606E1B" w:rsidRDefault="00606E1B" w:rsidP="00606E1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606E1B">
              <w:rPr>
                <w:rFonts w:ascii="Arial" w:hAnsi="Arial" w:cs="Arial"/>
                <w:b w:val="0"/>
                <w:bCs w:val="0"/>
              </w:rPr>
              <w:t>Location</w:t>
            </w:r>
          </w:p>
        </w:tc>
        <w:tc>
          <w:tcPr>
            <w:tcW w:w="3449" w:type="dxa"/>
            <w:hideMark/>
          </w:tcPr>
          <w:p w14:paraId="3E47548D" w14:textId="77777777" w:rsidR="00606E1B" w:rsidRPr="00606E1B" w:rsidRDefault="00606E1B" w:rsidP="00606E1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606E1B">
              <w:rPr>
                <w:rFonts w:ascii="Arial" w:hAnsi="Arial" w:cs="Arial"/>
                <w:b w:val="0"/>
                <w:bCs w:val="0"/>
              </w:rPr>
              <w:t>Stakeholder</w:t>
            </w:r>
          </w:p>
        </w:tc>
      </w:tr>
      <w:tr w:rsidR="00606E1B" w:rsidRPr="00606E1B" w14:paraId="3C861112" w14:textId="77777777" w:rsidTr="00606E1B">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449" w:type="dxa"/>
            <w:vAlign w:val="center"/>
            <w:hideMark/>
          </w:tcPr>
          <w:p w14:paraId="3C919BC7" w14:textId="77777777" w:rsidR="00606E1B" w:rsidRPr="00606E1B" w:rsidRDefault="00606E1B" w:rsidP="00606E1B">
            <w:pPr>
              <w:rPr>
                <w:rFonts w:ascii="Arial" w:hAnsi="Arial" w:cs="Arial"/>
                <w:b w:val="0"/>
                <w:bCs w:val="0"/>
              </w:rPr>
            </w:pPr>
            <w:r w:rsidRPr="00606E1B">
              <w:rPr>
                <w:rFonts w:ascii="Arial" w:hAnsi="Arial" w:cs="Arial"/>
              </w:rPr>
              <w:t>23 May 2022</w:t>
            </w:r>
          </w:p>
        </w:tc>
        <w:tc>
          <w:tcPr>
            <w:tcW w:w="3449" w:type="dxa"/>
            <w:vAlign w:val="center"/>
            <w:hideMark/>
          </w:tcPr>
          <w:p w14:paraId="3911FD88" w14:textId="77777777" w:rsidR="00606E1B" w:rsidRPr="00606E1B" w:rsidRDefault="00606E1B" w:rsidP="00606E1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06E1B">
              <w:rPr>
                <w:rFonts w:ascii="Arial" w:hAnsi="Arial" w:cs="Arial"/>
              </w:rPr>
              <w:t>Sydney</w:t>
            </w:r>
          </w:p>
        </w:tc>
        <w:tc>
          <w:tcPr>
            <w:tcW w:w="3449" w:type="dxa"/>
            <w:vAlign w:val="center"/>
            <w:hideMark/>
          </w:tcPr>
          <w:p w14:paraId="023814E4" w14:textId="77777777" w:rsidR="00606E1B" w:rsidRPr="00606E1B" w:rsidRDefault="00606E1B" w:rsidP="00606E1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06E1B">
              <w:rPr>
                <w:rFonts w:ascii="Arial" w:hAnsi="Arial" w:cs="Arial"/>
              </w:rPr>
              <w:t xml:space="preserve">NSW </w:t>
            </w:r>
          </w:p>
        </w:tc>
      </w:tr>
      <w:tr w:rsidR="00606E1B" w:rsidRPr="00606E1B" w14:paraId="0C58EFC3" w14:textId="77777777" w:rsidTr="00606E1B">
        <w:trPr>
          <w:trHeight w:val="396"/>
        </w:trPr>
        <w:tc>
          <w:tcPr>
            <w:cnfStyle w:val="001000000000" w:firstRow="0" w:lastRow="0" w:firstColumn="1" w:lastColumn="0" w:oddVBand="0" w:evenVBand="0" w:oddHBand="0" w:evenHBand="0" w:firstRowFirstColumn="0" w:firstRowLastColumn="0" w:lastRowFirstColumn="0" w:lastRowLastColumn="0"/>
            <w:tcW w:w="3449" w:type="dxa"/>
            <w:vAlign w:val="center"/>
            <w:hideMark/>
          </w:tcPr>
          <w:p w14:paraId="7E49B9C0" w14:textId="77777777" w:rsidR="00606E1B" w:rsidRPr="00606E1B" w:rsidRDefault="00606E1B" w:rsidP="00606E1B">
            <w:pPr>
              <w:rPr>
                <w:rFonts w:ascii="Arial" w:hAnsi="Arial" w:cs="Arial"/>
              </w:rPr>
            </w:pPr>
            <w:r w:rsidRPr="00606E1B">
              <w:rPr>
                <w:rFonts w:ascii="Arial" w:hAnsi="Arial" w:cs="Arial"/>
              </w:rPr>
              <w:t>24 May 2022</w:t>
            </w:r>
          </w:p>
        </w:tc>
        <w:tc>
          <w:tcPr>
            <w:tcW w:w="3449" w:type="dxa"/>
            <w:vAlign w:val="center"/>
            <w:hideMark/>
          </w:tcPr>
          <w:p w14:paraId="6D680644" w14:textId="77777777" w:rsidR="00606E1B" w:rsidRPr="00606E1B" w:rsidRDefault="00606E1B" w:rsidP="00606E1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06E1B">
              <w:rPr>
                <w:rFonts w:ascii="Arial" w:hAnsi="Arial" w:cs="Arial"/>
              </w:rPr>
              <w:t>Newcastle</w:t>
            </w:r>
          </w:p>
        </w:tc>
        <w:tc>
          <w:tcPr>
            <w:tcW w:w="3449" w:type="dxa"/>
            <w:vAlign w:val="center"/>
            <w:hideMark/>
          </w:tcPr>
          <w:p w14:paraId="4AC540EF" w14:textId="78D0BC7D" w:rsidR="00606E1B" w:rsidRPr="00606E1B" w:rsidRDefault="00606E1B" w:rsidP="00606E1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06E1B">
              <w:rPr>
                <w:rFonts w:ascii="Arial" w:hAnsi="Arial" w:cs="Arial"/>
              </w:rPr>
              <w:t>A</w:t>
            </w:r>
            <w:r>
              <w:rPr>
                <w:rFonts w:ascii="Arial" w:hAnsi="Arial" w:cs="Arial"/>
              </w:rPr>
              <w:t xml:space="preserve">ustralian </w:t>
            </w:r>
            <w:r w:rsidRPr="00606E1B">
              <w:rPr>
                <w:rFonts w:ascii="Arial" w:hAnsi="Arial" w:cs="Arial"/>
              </w:rPr>
              <w:t>E</w:t>
            </w:r>
            <w:r>
              <w:rPr>
                <w:rFonts w:ascii="Arial" w:hAnsi="Arial" w:cs="Arial"/>
              </w:rPr>
              <w:t xml:space="preserve">xplosives </w:t>
            </w:r>
            <w:r w:rsidRPr="00606E1B">
              <w:rPr>
                <w:rFonts w:ascii="Arial" w:hAnsi="Arial" w:cs="Arial"/>
              </w:rPr>
              <w:t>I</w:t>
            </w:r>
            <w:r>
              <w:rPr>
                <w:rFonts w:ascii="Arial" w:hAnsi="Arial" w:cs="Arial"/>
              </w:rPr>
              <w:t xml:space="preserve">ndustry </w:t>
            </w:r>
            <w:r w:rsidRPr="00606E1B">
              <w:rPr>
                <w:rFonts w:ascii="Arial" w:hAnsi="Arial" w:cs="Arial"/>
              </w:rPr>
              <w:t>S</w:t>
            </w:r>
            <w:r>
              <w:rPr>
                <w:rFonts w:ascii="Arial" w:hAnsi="Arial" w:cs="Arial"/>
              </w:rPr>
              <w:t xml:space="preserve">afety </w:t>
            </w:r>
            <w:r w:rsidRPr="00606E1B">
              <w:rPr>
                <w:rFonts w:ascii="Arial" w:hAnsi="Arial" w:cs="Arial"/>
              </w:rPr>
              <w:t>G</w:t>
            </w:r>
            <w:r>
              <w:rPr>
                <w:rFonts w:ascii="Arial" w:hAnsi="Arial" w:cs="Arial"/>
              </w:rPr>
              <w:t>roup (AEISG)</w:t>
            </w:r>
          </w:p>
        </w:tc>
      </w:tr>
      <w:tr w:rsidR="00606E1B" w:rsidRPr="00606E1B" w14:paraId="584F7E94" w14:textId="77777777" w:rsidTr="00606E1B">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3449" w:type="dxa"/>
            <w:vAlign w:val="center"/>
            <w:hideMark/>
          </w:tcPr>
          <w:p w14:paraId="4AF2C4A3" w14:textId="77777777" w:rsidR="00606E1B" w:rsidRPr="00606E1B" w:rsidRDefault="00606E1B" w:rsidP="00606E1B">
            <w:pPr>
              <w:rPr>
                <w:rFonts w:ascii="Arial" w:hAnsi="Arial" w:cs="Arial"/>
              </w:rPr>
            </w:pPr>
            <w:r w:rsidRPr="00606E1B">
              <w:rPr>
                <w:rFonts w:ascii="Arial" w:hAnsi="Arial" w:cs="Arial"/>
              </w:rPr>
              <w:t>25 May 2022</w:t>
            </w:r>
          </w:p>
        </w:tc>
        <w:tc>
          <w:tcPr>
            <w:tcW w:w="3449" w:type="dxa"/>
            <w:vAlign w:val="center"/>
            <w:hideMark/>
          </w:tcPr>
          <w:p w14:paraId="5E6E6EEA" w14:textId="77777777" w:rsidR="00606E1B" w:rsidRPr="00606E1B" w:rsidRDefault="00606E1B" w:rsidP="00606E1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06E1B">
              <w:rPr>
                <w:rFonts w:ascii="Arial" w:hAnsi="Arial" w:cs="Arial"/>
              </w:rPr>
              <w:t>Brisbane</w:t>
            </w:r>
          </w:p>
        </w:tc>
        <w:tc>
          <w:tcPr>
            <w:tcW w:w="3449" w:type="dxa"/>
            <w:vAlign w:val="center"/>
            <w:hideMark/>
          </w:tcPr>
          <w:p w14:paraId="4DA1EEB5" w14:textId="77777777" w:rsidR="00606E1B" w:rsidRPr="00606E1B" w:rsidRDefault="00606E1B" w:rsidP="00606E1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06E1B">
              <w:rPr>
                <w:rFonts w:ascii="Arial" w:hAnsi="Arial" w:cs="Arial"/>
              </w:rPr>
              <w:t>QLD</w:t>
            </w:r>
          </w:p>
        </w:tc>
      </w:tr>
      <w:tr w:rsidR="00606E1B" w:rsidRPr="00606E1B" w14:paraId="5BBFB376" w14:textId="77777777" w:rsidTr="00606E1B">
        <w:trPr>
          <w:trHeight w:val="396"/>
        </w:trPr>
        <w:tc>
          <w:tcPr>
            <w:cnfStyle w:val="001000000000" w:firstRow="0" w:lastRow="0" w:firstColumn="1" w:lastColumn="0" w:oddVBand="0" w:evenVBand="0" w:oddHBand="0" w:evenHBand="0" w:firstRowFirstColumn="0" w:firstRowLastColumn="0" w:lastRowFirstColumn="0" w:lastRowLastColumn="0"/>
            <w:tcW w:w="3449" w:type="dxa"/>
            <w:vAlign w:val="center"/>
            <w:hideMark/>
          </w:tcPr>
          <w:p w14:paraId="7CB7D206" w14:textId="77777777" w:rsidR="00606E1B" w:rsidRPr="00606E1B" w:rsidRDefault="00606E1B" w:rsidP="00606E1B">
            <w:pPr>
              <w:rPr>
                <w:rFonts w:ascii="Arial" w:hAnsi="Arial" w:cs="Arial"/>
              </w:rPr>
            </w:pPr>
            <w:r w:rsidRPr="00606E1B">
              <w:rPr>
                <w:rFonts w:ascii="Arial" w:hAnsi="Arial" w:cs="Arial"/>
              </w:rPr>
              <w:t>27 May 2022</w:t>
            </w:r>
          </w:p>
        </w:tc>
        <w:tc>
          <w:tcPr>
            <w:tcW w:w="3449" w:type="dxa"/>
            <w:vAlign w:val="center"/>
            <w:hideMark/>
          </w:tcPr>
          <w:p w14:paraId="33011D5A" w14:textId="77777777" w:rsidR="00606E1B" w:rsidRPr="00606E1B" w:rsidRDefault="00606E1B" w:rsidP="00606E1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06E1B">
              <w:rPr>
                <w:rFonts w:ascii="Arial" w:hAnsi="Arial" w:cs="Arial"/>
              </w:rPr>
              <w:t>Darwin</w:t>
            </w:r>
          </w:p>
        </w:tc>
        <w:tc>
          <w:tcPr>
            <w:tcW w:w="3449" w:type="dxa"/>
            <w:vAlign w:val="center"/>
            <w:hideMark/>
          </w:tcPr>
          <w:p w14:paraId="4CCFD232" w14:textId="77777777" w:rsidR="00606E1B" w:rsidRPr="00606E1B" w:rsidRDefault="00606E1B" w:rsidP="00606E1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06E1B">
              <w:rPr>
                <w:rFonts w:ascii="Arial" w:hAnsi="Arial" w:cs="Arial"/>
              </w:rPr>
              <w:t>NT</w:t>
            </w:r>
          </w:p>
        </w:tc>
      </w:tr>
      <w:tr w:rsidR="00606E1B" w:rsidRPr="00606E1B" w14:paraId="02F9FD7F" w14:textId="77777777" w:rsidTr="00606E1B">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449" w:type="dxa"/>
            <w:vAlign w:val="center"/>
            <w:hideMark/>
          </w:tcPr>
          <w:p w14:paraId="645493E6" w14:textId="77777777" w:rsidR="00606E1B" w:rsidRPr="00606E1B" w:rsidRDefault="00606E1B" w:rsidP="00606E1B">
            <w:pPr>
              <w:rPr>
                <w:rFonts w:ascii="Arial" w:hAnsi="Arial" w:cs="Arial"/>
              </w:rPr>
            </w:pPr>
            <w:r w:rsidRPr="00606E1B">
              <w:rPr>
                <w:rFonts w:ascii="Arial" w:hAnsi="Arial" w:cs="Arial"/>
              </w:rPr>
              <w:t>2 June 2022</w:t>
            </w:r>
          </w:p>
        </w:tc>
        <w:tc>
          <w:tcPr>
            <w:tcW w:w="3449" w:type="dxa"/>
            <w:vAlign w:val="center"/>
            <w:hideMark/>
          </w:tcPr>
          <w:p w14:paraId="1BBADD30" w14:textId="77777777" w:rsidR="00606E1B" w:rsidRPr="00606E1B" w:rsidRDefault="00606E1B" w:rsidP="00606E1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06E1B">
              <w:rPr>
                <w:rFonts w:ascii="Arial" w:hAnsi="Arial" w:cs="Arial"/>
              </w:rPr>
              <w:t>Canberra</w:t>
            </w:r>
          </w:p>
        </w:tc>
        <w:tc>
          <w:tcPr>
            <w:tcW w:w="3449" w:type="dxa"/>
            <w:vAlign w:val="center"/>
            <w:hideMark/>
          </w:tcPr>
          <w:p w14:paraId="6AC42CDD" w14:textId="77777777" w:rsidR="00606E1B" w:rsidRPr="00606E1B" w:rsidRDefault="00606E1B" w:rsidP="00606E1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06E1B">
              <w:rPr>
                <w:rFonts w:ascii="Arial" w:hAnsi="Arial" w:cs="Arial"/>
              </w:rPr>
              <w:t>ACT</w:t>
            </w:r>
          </w:p>
        </w:tc>
      </w:tr>
      <w:tr w:rsidR="00606E1B" w:rsidRPr="00606E1B" w14:paraId="73991E3E" w14:textId="77777777" w:rsidTr="00606E1B">
        <w:trPr>
          <w:trHeight w:val="396"/>
        </w:trPr>
        <w:tc>
          <w:tcPr>
            <w:cnfStyle w:val="001000000000" w:firstRow="0" w:lastRow="0" w:firstColumn="1" w:lastColumn="0" w:oddVBand="0" w:evenVBand="0" w:oddHBand="0" w:evenHBand="0" w:firstRowFirstColumn="0" w:firstRowLastColumn="0" w:lastRowFirstColumn="0" w:lastRowLastColumn="0"/>
            <w:tcW w:w="3449" w:type="dxa"/>
            <w:vAlign w:val="center"/>
            <w:hideMark/>
          </w:tcPr>
          <w:p w14:paraId="4B7E9121" w14:textId="77777777" w:rsidR="00606E1B" w:rsidRPr="00606E1B" w:rsidRDefault="00606E1B" w:rsidP="00606E1B">
            <w:pPr>
              <w:rPr>
                <w:rFonts w:ascii="Arial" w:hAnsi="Arial" w:cs="Arial"/>
              </w:rPr>
            </w:pPr>
            <w:r w:rsidRPr="00606E1B">
              <w:rPr>
                <w:rFonts w:ascii="Arial" w:hAnsi="Arial" w:cs="Arial"/>
              </w:rPr>
              <w:t>6 June 2022</w:t>
            </w:r>
          </w:p>
        </w:tc>
        <w:tc>
          <w:tcPr>
            <w:tcW w:w="3449" w:type="dxa"/>
            <w:vAlign w:val="center"/>
            <w:hideMark/>
          </w:tcPr>
          <w:p w14:paraId="51928E55" w14:textId="77777777" w:rsidR="00606E1B" w:rsidRPr="00606E1B" w:rsidRDefault="00606E1B" w:rsidP="00606E1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06E1B">
              <w:rPr>
                <w:rFonts w:ascii="Arial" w:hAnsi="Arial" w:cs="Arial"/>
              </w:rPr>
              <w:t>Melbourne</w:t>
            </w:r>
          </w:p>
        </w:tc>
        <w:tc>
          <w:tcPr>
            <w:tcW w:w="3449" w:type="dxa"/>
            <w:vAlign w:val="center"/>
            <w:hideMark/>
          </w:tcPr>
          <w:p w14:paraId="7E6B4092" w14:textId="77777777" w:rsidR="00606E1B" w:rsidRPr="00606E1B" w:rsidRDefault="00606E1B" w:rsidP="00606E1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06E1B">
              <w:rPr>
                <w:rFonts w:ascii="Arial" w:hAnsi="Arial" w:cs="Arial"/>
              </w:rPr>
              <w:t>VIC</w:t>
            </w:r>
          </w:p>
        </w:tc>
      </w:tr>
      <w:tr w:rsidR="00606E1B" w:rsidRPr="00606E1B" w14:paraId="1BE977CD" w14:textId="77777777" w:rsidTr="00606E1B">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3449" w:type="dxa"/>
            <w:vAlign w:val="center"/>
            <w:hideMark/>
          </w:tcPr>
          <w:p w14:paraId="542A1E71" w14:textId="77777777" w:rsidR="00606E1B" w:rsidRPr="00606E1B" w:rsidRDefault="00606E1B" w:rsidP="00606E1B">
            <w:pPr>
              <w:rPr>
                <w:rFonts w:ascii="Arial" w:hAnsi="Arial" w:cs="Arial"/>
              </w:rPr>
            </w:pPr>
            <w:r w:rsidRPr="00606E1B">
              <w:rPr>
                <w:rFonts w:ascii="Arial" w:hAnsi="Arial" w:cs="Arial"/>
              </w:rPr>
              <w:t>7 June 2022</w:t>
            </w:r>
          </w:p>
        </w:tc>
        <w:tc>
          <w:tcPr>
            <w:tcW w:w="3449" w:type="dxa"/>
            <w:vAlign w:val="center"/>
            <w:hideMark/>
          </w:tcPr>
          <w:p w14:paraId="6EDEC0DF" w14:textId="77777777" w:rsidR="00606E1B" w:rsidRPr="00606E1B" w:rsidRDefault="00606E1B" w:rsidP="00606E1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06E1B">
              <w:rPr>
                <w:rFonts w:ascii="Arial" w:hAnsi="Arial" w:cs="Arial"/>
              </w:rPr>
              <w:t>Adelaide</w:t>
            </w:r>
          </w:p>
        </w:tc>
        <w:tc>
          <w:tcPr>
            <w:tcW w:w="3449" w:type="dxa"/>
            <w:vAlign w:val="center"/>
            <w:hideMark/>
          </w:tcPr>
          <w:p w14:paraId="729A1376" w14:textId="77777777" w:rsidR="00606E1B" w:rsidRPr="00606E1B" w:rsidRDefault="00606E1B" w:rsidP="00606E1B">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06E1B">
              <w:rPr>
                <w:rFonts w:ascii="Arial" w:hAnsi="Arial" w:cs="Arial"/>
              </w:rPr>
              <w:t>SA</w:t>
            </w:r>
          </w:p>
        </w:tc>
      </w:tr>
      <w:tr w:rsidR="00606E1B" w:rsidRPr="00606E1B" w14:paraId="6E218098" w14:textId="77777777" w:rsidTr="00606E1B">
        <w:trPr>
          <w:trHeight w:val="396"/>
        </w:trPr>
        <w:tc>
          <w:tcPr>
            <w:cnfStyle w:val="001000000000" w:firstRow="0" w:lastRow="0" w:firstColumn="1" w:lastColumn="0" w:oddVBand="0" w:evenVBand="0" w:oddHBand="0" w:evenHBand="0" w:firstRowFirstColumn="0" w:firstRowLastColumn="0" w:lastRowFirstColumn="0" w:lastRowLastColumn="0"/>
            <w:tcW w:w="3449" w:type="dxa"/>
            <w:vAlign w:val="center"/>
            <w:hideMark/>
          </w:tcPr>
          <w:p w14:paraId="66A5B688" w14:textId="77777777" w:rsidR="00606E1B" w:rsidRPr="00606E1B" w:rsidRDefault="00606E1B" w:rsidP="00606E1B">
            <w:pPr>
              <w:rPr>
                <w:rFonts w:ascii="Arial" w:hAnsi="Arial" w:cs="Arial"/>
              </w:rPr>
            </w:pPr>
            <w:r w:rsidRPr="00606E1B">
              <w:rPr>
                <w:rFonts w:ascii="Arial" w:hAnsi="Arial" w:cs="Arial"/>
              </w:rPr>
              <w:t>9 June 2022</w:t>
            </w:r>
          </w:p>
        </w:tc>
        <w:tc>
          <w:tcPr>
            <w:tcW w:w="3449" w:type="dxa"/>
            <w:vAlign w:val="center"/>
            <w:hideMark/>
          </w:tcPr>
          <w:p w14:paraId="7E586F0C" w14:textId="77777777" w:rsidR="00606E1B" w:rsidRPr="00606E1B" w:rsidRDefault="00606E1B" w:rsidP="00606E1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06E1B">
              <w:rPr>
                <w:rFonts w:ascii="Arial" w:hAnsi="Arial" w:cs="Arial"/>
              </w:rPr>
              <w:t>Perth</w:t>
            </w:r>
          </w:p>
        </w:tc>
        <w:tc>
          <w:tcPr>
            <w:tcW w:w="3449" w:type="dxa"/>
            <w:vAlign w:val="center"/>
            <w:hideMark/>
          </w:tcPr>
          <w:p w14:paraId="21A911ED" w14:textId="77777777" w:rsidR="00606E1B" w:rsidRPr="00606E1B" w:rsidRDefault="00606E1B" w:rsidP="00606E1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06E1B">
              <w:rPr>
                <w:rFonts w:ascii="Arial" w:hAnsi="Arial" w:cs="Arial"/>
              </w:rPr>
              <w:t>WA</w:t>
            </w:r>
          </w:p>
        </w:tc>
      </w:tr>
    </w:tbl>
    <w:p w14:paraId="50F501E6" w14:textId="77777777" w:rsidR="00383A62" w:rsidRPr="00B27225" w:rsidRDefault="00383A62" w:rsidP="00606AFC">
      <w:pPr>
        <w:spacing w:after="0"/>
        <w:rPr>
          <w:rFonts w:ascii="Arial" w:eastAsia="Times New Roman" w:hAnsi="Arial" w:cs="Arial"/>
        </w:rPr>
      </w:pPr>
    </w:p>
    <w:p w14:paraId="59039D80" w14:textId="77777777" w:rsidR="00402956" w:rsidRDefault="00D634F1">
      <w:pPr>
        <w:rPr>
          <w:rFonts w:ascii="Arial" w:eastAsia="Times New Roman" w:hAnsi="Arial" w:cs="Arial"/>
        </w:rPr>
      </w:pPr>
      <w:r w:rsidRPr="00606AFC">
        <w:rPr>
          <w:rFonts w:ascii="Arial" w:eastAsia="Times New Roman" w:hAnsi="Arial" w:cs="Arial"/>
        </w:rPr>
        <w:t xml:space="preserve">During each of these consultation sessions, stakeholders will be invited to provide their feedback both </w:t>
      </w:r>
      <w:r w:rsidR="00606AFC" w:rsidRPr="00606AFC">
        <w:rPr>
          <w:rFonts w:ascii="Arial" w:eastAsia="Times New Roman" w:hAnsi="Arial" w:cs="Arial"/>
        </w:rPr>
        <w:t>as part of their relevant session, and in response to this RIS document</w:t>
      </w:r>
      <w:r w:rsidR="00402956">
        <w:rPr>
          <w:rFonts w:ascii="Arial" w:eastAsia="Times New Roman" w:hAnsi="Arial" w:cs="Arial"/>
        </w:rPr>
        <w:t xml:space="preserve"> while it is published for public consultation. The RIS will also be provided to all industry and Commonwealth stakeholders for their review and comment. </w:t>
      </w:r>
    </w:p>
    <w:p w14:paraId="1C44FA97" w14:textId="3EBC85D1" w:rsidR="00C80118" w:rsidRPr="00402956" w:rsidRDefault="00402956">
      <w:pPr>
        <w:rPr>
          <w:rFonts w:ascii="Arial" w:eastAsia="Times New Roman" w:hAnsi="Arial" w:cs="Arial"/>
        </w:rPr>
      </w:pPr>
      <w:r>
        <w:rPr>
          <w:rFonts w:ascii="Arial" w:eastAsia="Times New Roman" w:hAnsi="Arial" w:cs="Arial"/>
        </w:rPr>
        <w:t xml:space="preserve">Following the conclusion of this RIS document’s public consultation period, </w:t>
      </w:r>
      <w:r w:rsidR="009967E0">
        <w:rPr>
          <w:rFonts w:ascii="Arial" w:eastAsia="Times New Roman" w:hAnsi="Arial" w:cs="Arial"/>
        </w:rPr>
        <w:t xml:space="preserve">the contents of this document will be refined to account for progress in policy discussions, informed by stakeholder feedback. Where necessary, consultation with stakeholders will </w:t>
      </w:r>
      <w:r w:rsidR="005239F7">
        <w:rPr>
          <w:rFonts w:ascii="Arial" w:eastAsia="Times New Roman" w:hAnsi="Arial" w:cs="Arial"/>
        </w:rPr>
        <w:t xml:space="preserve">continue, especially to inform calculation of the likely net benefit of each option tabled in this RIS. </w:t>
      </w:r>
      <w:r w:rsidR="00C80118">
        <w:rPr>
          <w:rFonts w:ascii="Georgia" w:eastAsia="Times New Roman" w:hAnsi="Georgia" w:cs="Arial"/>
          <w:b/>
          <w:bCs/>
          <w:color w:val="F07F09"/>
          <w:sz w:val="32"/>
          <w:szCs w:val="32"/>
        </w:rPr>
        <w:br w:type="page"/>
      </w:r>
    </w:p>
    <w:p w14:paraId="64EA8C16" w14:textId="22B6A8F3" w:rsidR="00C80118" w:rsidRPr="00D27093" w:rsidRDefault="00D21427" w:rsidP="001B070F">
      <w:pPr>
        <w:pStyle w:val="Heading1"/>
        <w:numPr>
          <w:ilvl w:val="0"/>
          <w:numId w:val="1"/>
        </w:numPr>
        <w:spacing w:after="240"/>
        <w:rPr>
          <w:rFonts w:ascii="Georgia" w:eastAsia="Times New Roman" w:hAnsi="Georgia"/>
          <w:b/>
          <w:bCs/>
          <w:color w:val="ED7D31" w:themeColor="accent2"/>
        </w:rPr>
      </w:pPr>
      <w:bookmarkStart w:id="58" w:name="_Toc101961125"/>
      <w:r w:rsidRPr="00D27093">
        <w:rPr>
          <w:rFonts w:ascii="Georgia" w:eastAsia="Times New Roman" w:hAnsi="Georgia"/>
          <w:b/>
          <w:bCs/>
          <w:color w:val="ED7D31" w:themeColor="accent2"/>
        </w:rPr>
        <w:lastRenderedPageBreak/>
        <w:t>What is the best option from those you have considered?</w:t>
      </w:r>
      <w:bookmarkEnd w:id="58"/>
    </w:p>
    <w:p w14:paraId="516EB1A8" w14:textId="753CFB9E" w:rsidR="00867040" w:rsidRPr="00867040" w:rsidRDefault="00867040" w:rsidP="00867040">
      <w:pPr>
        <w:rPr>
          <w:rFonts w:ascii="Arial" w:eastAsia="Times New Roman" w:hAnsi="Arial" w:cs="Arial"/>
        </w:rPr>
      </w:pPr>
      <w:r w:rsidRPr="00867040">
        <w:rPr>
          <w:rFonts w:ascii="Arial" w:eastAsia="Times New Roman" w:hAnsi="Arial" w:cs="Arial"/>
          <w:b/>
          <w:bCs/>
        </w:rPr>
        <w:t>Note:</w:t>
      </w:r>
      <w:r w:rsidRPr="00867040">
        <w:rPr>
          <w:rFonts w:ascii="Arial" w:eastAsia="Times New Roman" w:hAnsi="Arial" w:cs="Arial"/>
        </w:rPr>
        <w:t xml:space="preserve"> This question will be answered as part of a future version of this RIS, following the progression of policy discussions and decisions.</w:t>
      </w:r>
    </w:p>
    <w:p w14:paraId="348F7A8E" w14:textId="77777777" w:rsidR="00C80118" w:rsidRDefault="00C80118">
      <w:pPr>
        <w:rPr>
          <w:rFonts w:ascii="Georgia" w:eastAsia="Times New Roman" w:hAnsi="Georgia" w:cs="Arial"/>
          <w:b/>
          <w:bCs/>
          <w:color w:val="F07F09"/>
          <w:sz w:val="32"/>
          <w:szCs w:val="32"/>
        </w:rPr>
      </w:pPr>
      <w:r>
        <w:rPr>
          <w:rFonts w:ascii="Georgia" w:eastAsia="Times New Roman" w:hAnsi="Georgia" w:cs="Arial"/>
          <w:b/>
          <w:bCs/>
          <w:color w:val="F07F09"/>
          <w:sz w:val="32"/>
          <w:szCs w:val="32"/>
        </w:rPr>
        <w:br w:type="page"/>
      </w:r>
    </w:p>
    <w:p w14:paraId="45663232" w14:textId="5438CAEE" w:rsidR="00867040" w:rsidRPr="00D27093" w:rsidRDefault="0007078F" w:rsidP="001B070F">
      <w:pPr>
        <w:pStyle w:val="Heading1"/>
        <w:numPr>
          <w:ilvl w:val="0"/>
          <w:numId w:val="1"/>
        </w:numPr>
        <w:spacing w:after="240"/>
        <w:rPr>
          <w:rFonts w:ascii="Georgia" w:eastAsia="Times New Roman" w:hAnsi="Georgia"/>
          <w:b/>
          <w:bCs/>
          <w:color w:val="ED7D31" w:themeColor="accent2"/>
        </w:rPr>
      </w:pPr>
      <w:bookmarkStart w:id="59" w:name="_Toc101961126"/>
      <w:r w:rsidRPr="00D27093">
        <w:rPr>
          <w:rFonts w:ascii="Georgia" w:eastAsia="Times New Roman" w:hAnsi="Georgia"/>
          <w:b/>
          <w:bCs/>
          <w:color w:val="ED7D31" w:themeColor="accent2"/>
        </w:rPr>
        <w:lastRenderedPageBreak/>
        <w:t>How will you implement and evaluate your chosen option?</w:t>
      </w:r>
      <w:bookmarkEnd w:id="59"/>
    </w:p>
    <w:p w14:paraId="33D52D84" w14:textId="77777777" w:rsidR="00867040" w:rsidRPr="00867040" w:rsidRDefault="00867040" w:rsidP="00867040">
      <w:pPr>
        <w:rPr>
          <w:rFonts w:ascii="Arial" w:eastAsia="Times New Roman" w:hAnsi="Arial" w:cs="Arial"/>
        </w:rPr>
      </w:pPr>
      <w:r w:rsidRPr="00867040">
        <w:rPr>
          <w:rFonts w:ascii="Arial" w:eastAsia="Times New Roman" w:hAnsi="Arial" w:cs="Arial"/>
          <w:b/>
          <w:bCs/>
        </w:rPr>
        <w:t>Note:</w:t>
      </w:r>
      <w:r w:rsidRPr="00867040">
        <w:rPr>
          <w:rFonts w:ascii="Arial" w:eastAsia="Times New Roman" w:hAnsi="Arial" w:cs="Arial"/>
        </w:rPr>
        <w:t xml:space="preserve"> This question will be answered as part of a future version of this RIS, following the progression of policy discussions and decisions.</w:t>
      </w:r>
    </w:p>
    <w:p w14:paraId="7DE224D6" w14:textId="0194D2C3" w:rsidR="00C80118" w:rsidRPr="00867040" w:rsidRDefault="00C80118" w:rsidP="00867040">
      <w:pPr>
        <w:rPr>
          <w:rFonts w:ascii="Georgia" w:eastAsia="Times New Roman" w:hAnsi="Georgia" w:cs="Arial"/>
          <w:b/>
          <w:bCs/>
          <w:color w:val="F07F09"/>
          <w:sz w:val="32"/>
          <w:szCs w:val="32"/>
        </w:rPr>
      </w:pPr>
      <w:r w:rsidRPr="00867040">
        <w:rPr>
          <w:rFonts w:ascii="Georgia" w:eastAsia="Times New Roman" w:hAnsi="Georgia" w:cs="Arial"/>
          <w:b/>
          <w:bCs/>
          <w:color w:val="F07F09"/>
          <w:sz w:val="32"/>
          <w:szCs w:val="32"/>
        </w:rPr>
        <w:br w:type="page"/>
      </w:r>
    </w:p>
    <w:p w14:paraId="5AA37BC8" w14:textId="6A774D6C" w:rsidR="00911964" w:rsidRPr="00D27093" w:rsidRDefault="00911964" w:rsidP="00D27093">
      <w:pPr>
        <w:pStyle w:val="Heading1"/>
        <w:rPr>
          <w:rFonts w:ascii="Georgia" w:eastAsia="Times New Roman" w:hAnsi="Georgia"/>
          <w:b/>
          <w:bCs/>
          <w:color w:val="ED7D31" w:themeColor="accent2"/>
        </w:rPr>
      </w:pPr>
      <w:bookmarkStart w:id="60" w:name="_Toc101961127"/>
      <w:r w:rsidRPr="00D27093">
        <w:rPr>
          <w:rFonts w:ascii="Georgia" w:eastAsia="Times New Roman" w:hAnsi="Georgia"/>
          <w:b/>
          <w:bCs/>
          <w:color w:val="ED7D31" w:themeColor="accent2"/>
        </w:rPr>
        <w:lastRenderedPageBreak/>
        <w:t>Appendix A: List of References</w:t>
      </w:r>
      <w:bookmarkEnd w:id="60"/>
    </w:p>
    <w:sdt>
      <w:sdtPr>
        <w:rPr>
          <w:rFonts w:asciiTheme="minorHAnsi" w:eastAsiaTheme="minorHAnsi" w:hAnsiTheme="minorHAnsi" w:cstheme="minorBidi"/>
          <w:color w:val="auto"/>
          <w:sz w:val="22"/>
          <w:szCs w:val="22"/>
        </w:rPr>
        <w:id w:val="1034233621"/>
        <w:docPartObj>
          <w:docPartGallery w:val="Bibliographies"/>
          <w:docPartUnique/>
        </w:docPartObj>
      </w:sdtPr>
      <w:sdtEndPr/>
      <w:sdtContent>
        <w:p w14:paraId="33C97556" w14:textId="575999A6" w:rsidR="00C304CC" w:rsidRPr="00C304CC" w:rsidRDefault="00C304CC">
          <w:pPr>
            <w:pStyle w:val="Heading1"/>
            <w:rPr>
              <w:sz w:val="2"/>
              <w:szCs w:val="2"/>
            </w:rPr>
          </w:pPr>
        </w:p>
        <w:sdt>
          <w:sdtPr>
            <w:id w:val="111145805"/>
            <w:bibliography/>
          </w:sdtPr>
          <w:sdtEndPr/>
          <w:sdtContent>
            <w:p w14:paraId="61E65525" w14:textId="77777777" w:rsidR="00C304CC" w:rsidRPr="00C304CC" w:rsidRDefault="00C304CC" w:rsidP="00C304CC">
              <w:pPr>
                <w:pStyle w:val="Bibliography"/>
                <w:rPr>
                  <w:rFonts w:ascii="Arial" w:hAnsi="Arial" w:cs="Arial"/>
                  <w:noProof/>
                </w:rPr>
              </w:pPr>
              <w:r w:rsidRPr="00C304CC">
                <w:rPr>
                  <w:rFonts w:ascii="Arial" w:hAnsi="Arial" w:cs="Arial"/>
                  <w:sz w:val="20"/>
                  <w:szCs w:val="20"/>
                </w:rPr>
                <w:fldChar w:fldCharType="begin"/>
              </w:r>
              <w:r w:rsidRPr="00C304CC">
                <w:rPr>
                  <w:rFonts w:ascii="Arial" w:hAnsi="Arial" w:cs="Arial"/>
                  <w:sz w:val="20"/>
                  <w:szCs w:val="20"/>
                </w:rPr>
                <w:instrText xml:space="preserve"> BIBLIOGRAPHY </w:instrText>
              </w:r>
              <w:r w:rsidRPr="00C304CC">
                <w:rPr>
                  <w:rFonts w:ascii="Arial" w:hAnsi="Arial" w:cs="Arial"/>
                  <w:sz w:val="20"/>
                  <w:szCs w:val="20"/>
                </w:rPr>
                <w:fldChar w:fldCharType="separate"/>
              </w:r>
              <w:r w:rsidRPr="00C304CC">
                <w:rPr>
                  <w:rFonts w:ascii="Arial" w:hAnsi="Arial" w:cs="Arial"/>
                  <w:noProof/>
                  <w:sz w:val="20"/>
                  <w:szCs w:val="20"/>
                </w:rPr>
                <w:t xml:space="preserve">9News, 2014. </w:t>
              </w:r>
              <w:r w:rsidRPr="00C304CC">
                <w:rPr>
                  <w:rFonts w:ascii="Arial" w:hAnsi="Arial" w:cs="Arial"/>
                  <w:i/>
                  <w:iCs/>
                  <w:noProof/>
                  <w:sz w:val="20"/>
                  <w:szCs w:val="20"/>
                </w:rPr>
                <w:t xml:space="preserve">Police escalate search for missing rocket launchers linked to ISIL terrorists: report. </w:t>
              </w:r>
              <w:r w:rsidRPr="00C304CC">
                <w:rPr>
                  <w:rFonts w:ascii="Arial" w:hAnsi="Arial" w:cs="Arial"/>
                  <w:noProof/>
                  <w:sz w:val="20"/>
                  <w:szCs w:val="20"/>
                </w:rPr>
                <w:t xml:space="preserve">[Online] </w:t>
              </w:r>
              <w:r w:rsidRPr="00C304CC">
                <w:rPr>
                  <w:rFonts w:ascii="Arial" w:hAnsi="Arial" w:cs="Arial"/>
                  <w:noProof/>
                  <w:sz w:val="20"/>
                  <w:szCs w:val="20"/>
                </w:rPr>
                <w:br/>
                <w:t xml:space="preserve">Available at: </w:t>
              </w:r>
              <w:r w:rsidRPr="00C304CC">
                <w:rPr>
                  <w:rFonts w:ascii="Arial" w:hAnsi="Arial" w:cs="Arial"/>
                  <w:noProof/>
                  <w:sz w:val="20"/>
                  <w:szCs w:val="20"/>
                  <w:u w:val="single"/>
                </w:rPr>
                <w:t>https://www.9news.com.au/national/search-escalates-for-missing-rocket-launchers/2d33da28-e26c-4a40-bca5-0ad221ef1f1d</w:t>
              </w:r>
              <w:r w:rsidRPr="00C304CC">
                <w:rPr>
                  <w:rFonts w:ascii="Arial" w:hAnsi="Arial" w:cs="Arial"/>
                  <w:noProof/>
                  <w:sz w:val="20"/>
                  <w:szCs w:val="20"/>
                </w:rPr>
                <w:br/>
                <w:t>[Accessed 15 October 2021].</w:t>
              </w:r>
            </w:p>
            <w:p w14:paraId="5C5D4754" w14:textId="77777777" w:rsidR="00C304CC" w:rsidRPr="00C304CC" w:rsidRDefault="00C304CC" w:rsidP="00C304CC">
              <w:pPr>
                <w:pStyle w:val="Bibliography"/>
                <w:rPr>
                  <w:rFonts w:ascii="Arial" w:hAnsi="Arial" w:cs="Arial"/>
                  <w:noProof/>
                  <w:sz w:val="20"/>
                  <w:szCs w:val="20"/>
                </w:rPr>
              </w:pPr>
              <w:r w:rsidRPr="00C304CC">
                <w:rPr>
                  <w:rFonts w:ascii="Arial" w:hAnsi="Arial" w:cs="Arial"/>
                  <w:noProof/>
                  <w:sz w:val="20"/>
                  <w:szCs w:val="20"/>
                </w:rPr>
                <w:t xml:space="preserve">ABC News, 2014. </w:t>
              </w:r>
              <w:r w:rsidRPr="00C304CC">
                <w:rPr>
                  <w:rFonts w:ascii="Arial" w:hAnsi="Arial" w:cs="Arial"/>
                  <w:i/>
                  <w:iCs/>
                  <w:noProof/>
                  <w:sz w:val="20"/>
                  <w:szCs w:val="20"/>
                </w:rPr>
                <w:t xml:space="preserve">Truck hauling fertiliser explodes in outback Queensland, injuring 8. </w:t>
              </w:r>
              <w:r w:rsidRPr="00C304CC">
                <w:rPr>
                  <w:rFonts w:ascii="Arial" w:hAnsi="Arial" w:cs="Arial"/>
                  <w:noProof/>
                  <w:sz w:val="20"/>
                  <w:szCs w:val="20"/>
                </w:rPr>
                <w:t xml:space="preserve">[Online] </w:t>
              </w:r>
              <w:r w:rsidRPr="00C304CC">
                <w:rPr>
                  <w:rFonts w:ascii="Arial" w:hAnsi="Arial" w:cs="Arial"/>
                  <w:noProof/>
                  <w:sz w:val="20"/>
                  <w:szCs w:val="20"/>
                </w:rPr>
                <w:br/>
                <w:t xml:space="preserve">Available at: </w:t>
              </w:r>
              <w:r w:rsidRPr="00C304CC">
                <w:rPr>
                  <w:rFonts w:ascii="Arial" w:hAnsi="Arial" w:cs="Arial"/>
                  <w:noProof/>
                  <w:sz w:val="20"/>
                  <w:szCs w:val="20"/>
                  <w:u w:val="single"/>
                </w:rPr>
                <w:t>https://www.abc.net.au/news/2014-09-06/ammonium-nitrate-truck-explodes-in-charleville-queensland-8-hurt/5724512</w:t>
              </w:r>
              <w:r w:rsidRPr="00C304CC">
                <w:rPr>
                  <w:rFonts w:ascii="Arial" w:hAnsi="Arial" w:cs="Arial"/>
                  <w:noProof/>
                  <w:sz w:val="20"/>
                  <w:szCs w:val="20"/>
                </w:rPr>
                <w:br/>
                <w:t>[Accessed 15 October 2021].</w:t>
              </w:r>
            </w:p>
            <w:p w14:paraId="01864806" w14:textId="77777777" w:rsidR="00C304CC" w:rsidRPr="00C304CC" w:rsidRDefault="00C304CC" w:rsidP="00C304CC">
              <w:pPr>
                <w:pStyle w:val="Bibliography"/>
                <w:rPr>
                  <w:rFonts w:ascii="Arial" w:hAnsi="Arial" w:cs="Arial"/>
                  <w:noProof/>
                  <w:sz w:val="20"/>
                  <w:szCs w:val="20"/>
                </w:rPr>
              </w:pPr>
              <w:r w:rsidRPr="00C304CC">
                <w:rPr>
                  <w:rFonts w:ascii="Arial" w:hAnsi="Arial" w:cs="Arial"/>
                  <w:noProof/>
                  <w:sz w:val="20"/>
                  <w:szCs w:val="20"/>
                </w:rPr>
                <w:t xml:space="preserve">Access Economics , 2008. </w:t>
              </w:r>
              <w:r w:rsidRPr="00C304CC">
                <w:rPr>
                  <w:rFonts w:ascii="Arial" w:hAnsi="Arial" w:cs="Arial"/>
                  <w:i/>
                  <w:iCs/>
                  <w:noProof/>
                  <w:sz w:val="20"/>
                  <w:szCs w:val="20"/>
                </w:rPr>
                <w:t xml:space="preserve">Published Impact Analyses. </w:t>
              </w:r>
              <w:r w:rsidRPr="00C304CC">
                <w:rPr>
                  <w:rFonts w:ascii="Arial" w:hAnsi="Arial" w:cs="Arial"/>
                  <w:noProof/>
                  <w:sz w:val="20"/>
                  <w:szCs w:val="20"/>
                </w:rPr>
                <w:t xml:space="preserve">[Online] </w:t>
              </w:r>
              <w:r w:rsidRPr="00C304CC">
                <w:rPr>
                  <w:rFonts w:ascii="Arial" w:hAnsi="Arial" w:cs="Arial"/>
                  <w:noProof/>
                  <w:sz w:val="20"/>
                  <w:szCs w:val="20"/>
                </w:rPr>
                <w:br/>
                <w:t xml:space="preserve">Available at: </w:t>
              </w:r>
              <w:r w:rsidRPr="00C304CC">
                <w:rPr>
                  <w:rFonts w:ascii="Arial" w:hAnsi="Arial" w:cs="Arial"/>
                  <w:noProof/>
                  <w:sz w:val="20"/>
                  <w:szCs w:val="20"/>
                  <w:u w:val="single"/>
                </w:rPr>
                <w:t>https://www.safeworkaustralia.gov.au/system/files/documents/1702/regulatory_impact_statement_australian_code_transport_explosives_road_rail_3rd_edition.pdf</w:t>
              </w:r>
              <w:r w:rsidRPr="00C304CC">
                <w:rPr>
                  <w:rFonts w:ascii="Arial" w:hAnsi="Arial" w:cs="Arial"/>
                  <w:noProof/>
                  <w:sz w:val="20"/>
                  <w:szCs w:val="20"/>
                </w:rPr>
                <w:br/>
                <w:t>[Accessed 1 September 2021].</w:t>
              </w:r>
            </w:p>
            <w:p w14:paraId="1785ADE1" w14:textId="77777777" w:rsidR="00C304CC" w:rsidRPr="00C304CC" w:rsidRDefault="00C304CC" w:rsidP="00C304CC">
              <w:pPr>
                <w:pStyle w:val="Bibliography"/>
                <w:rPr>
                  <w:rFonts w:ascii="Arial" w:hAnsi="Arial" w:cs="Arial"/>
                  <w:noProof/>
                  <w:sz w:val="20"/>
                  <w:szCs w:val="20"/>
                </w:rPr>
              </w:pPr>
              <w:r w:rsidRPr="00C304CC">
                <w:rPr>
                  <w:rFonts w:ascii="Arial" w:hAnsi="Arial" w:cs="Arial"/>
                  <w:noProof/>
                  <w:sz w:val="20"/>
                  <w:szCs w:val="20"/>
                </w:rPr>
                <w:t xml:space="preserve">Australian Government, 2021. </w:t>
              </w:r>
              <w:r w:rsidRPr="00C304CC">
                <w:rPr>
                  <w:rFonts w:ascii="Arial" w:hAnsi="Arial" w:cs="Arial"/>
                  <w:i/>
                  <w:iCs/>
                  <w:noProof/>
                  <w:sz w:val="20"/>
                  <w:szCs w:val="20"/>
                </w:rPr>
                <w:t xml:space="preserve">Australia's Counter-Terrorism Strategies. </w:t>
              </w:r>
              <w:r w:rsidRPr="00C304CC">
                <w:rPr>
                  <w:rFonts w:ascii="Arial" w:hAnsi="Arial" w:cs="Arial"/>
                  <w:noProof/>
                  <w:sz w:val="20"/>
                  <w:szCs w:val="20"/>
                </w:rPr>
                <w:t xml:space="preserve">[Online] </w:t>
              </w:r>
              <w:r w:rsidRPr="00C304CC">
                <w:rPr>
                  <w:rFonts w:ascii="Arial" w:hAnsi="Arial" w:cs="Arial"/>
                  <w:noProof/>
                  <w:sz w:val="20"/>
                  <w:szCs w:val="20"/>
                </w:rPr>
                <w:br/>
                <w:t xml:space="preserve">Available at: </w:t>
              </w:r>
              <w:r w:rsidRPr="00C304CC">
                <w:rPr>
                  <w:rFonts w:ascii="Arial" w:hAnsi="Arial" w:cs="Arial"/>
                  <w:noProof/>
                  <w:sz w:val="20"/>
                  <w:szCs w:val="20"/>
                  <w:u w:val="single"/>
                </w:rPr>
                <w:t>https://www.nationalsecurity.gov.au/what-australia-is-doing/a-national-approach/australias-counter-terrorism-strategies</w:t>
              </w:r>
              <w:r w:rsidRPr="00C304CC">
                <w:rPr>
                  <w:rFonts w:ascii="Arial" w:hAnsi="Arial" w:cs="Arial"/>
                  <w:noProof/>
                  <w:sz w:val="20"/>
                  <w:szCs w:val="20"/>
                </w:rPr>
                <w:br/>
                <w:t>[Accessed 1 December 2021].</w:t>
              </w:r>
            </w:p>
            <w:p w14:paraId="7E6C3DD8" w14:textId="77777777" w:rsidR="00C304CC" w:rsidRPr="00C304CC" w:rsidRDefault="00C304CC" w:rsidP="00C304CC">
              <w:pPr>
                <w:pStyle w:val="Bibliography"/>
                <w:rPr>
                  <w:rFonts w:ascii="Arial" w:hAnsi="Arial" w:cs="Arial"/>
                  <w:noProof/>
                  <w:sz w:val="20"/>
                  <w:szCs w:val="20"/>
                </w:rPr>
              </w:pPr>
              <w:r w:rsidRPr="00C304CC">
                <w:rPr>
                  <w:rFonts w:ascii="Arial" w:hAnsi="Arial" w:cs="Arial"/>
                  <w:noProof/>
                  <w:sz w:val="20"/>
                  <w:szCs w:val="20"/>
                </w:rPr>
                <w:t xml:space="preserve">Department of Defence, 2020. </w:t>
              </w:r>
              <w:r w:rsidRPr="00C304CC">
                <w:rPr>
                  <w:rFonts w:ascii="Arial" w:hAnsi="Arial" w:cs="Arial"/>
                  <w:i/>
                  <w:iCs/>
                  <w:noProof/>
                  <w:sz w:val="20"/>
                  <w:szCs w:val="20"/>
                </w:rPr>
                <w:t xml:space="preserve">2020 Defence Strategic Update. </w:t>
              </w:r>
              <w:r w:rsidRPr="00C304CC">
                <w:rPr>
                  <w:rFonts w:ascii="Arial" w:hAnsi="Arial" w:cs="Arial"/>
                  <w:noProof/>
                  <w:sz w:val="20"/>
                  <w:szCs w:val="20"/>
                </w:rPr>
                <w:t xml:space="preserve">[Online] </w:t>
              </w:r>
              <w:r w:rsidRPr="00C304CC">
                <w:rPr>
                  <w:rFonts w:ascii="Arial" w:hAnsi="Arial" w:cs="Arial"/>
                  <w:noProof/>
                  <w:sz w:val="20"/>
                  <w:szCs w:val="20"/>
                </w:rPr>
                <w:br/>
                <w:t xml:space="preserve">Available at: </w:t>
              </w:r>
              <w:r w:rsidRPr="00C304CC">
                <w:rPr>
                  <w:rFonts w:ascii="Arial" w:hAnsi="Arial" w:cs="Arial"/>
                  <w:noProof/>
                  <w:sz w:val="20"/>
                  <w:szCs w:val="20"/>
                  <w:u w:val="single"/>
                </w:rPr>
                <w:t>https://www.defence.gov.au/about/publications/2020-defence-strategic-update</w:t>
              </w:r>
              <w:r w:rsidRPr="00C304CC">
                <w:rPr>
                  <w:rFonts w:ascii="Arial" w:hAnsi="Arial" w:cs="Arial"/>
                  <w:noProof/>
                  <w:sz w:val="20"/>
                  <w:szCs w:val="20"/>
                </w:rPr>
                <w:br/>
                <w:t>[Accessed 1 December 2021].</w:t>
              </w:r>
            </w:p>
            <w:p w14:paraId="198D7A26" w14:textId="77777777" w:rsidR="00C304CC" w:rsidRPr="00C304CC" w:rsidRDefault="00C304CC" w:rsidP="00C304CC">
              <w:pPr>
                <w:pStyle w:val="Bibliography"/>
                <w:rPr>
                  <w:rFonts w:ascii="Arial" w:hAnsi="Arial" w:cs="Arial"/>
                  <w:noProof/>
                  <w:sz w:val="20"/>
                  <w:szCs w:val="20"/>
                </w:rPr>
              </w:pPr>
              <w:r w:rsidRPr="00C304CC">
                <w:rPr>
                  <w:rFonts w:ascii="Arial" w:hAnsi="Arial" w:cs="Arial"/>
                  <w:noProof/>
                  <w:sz w:val="20"/>
                  <w:szCs w:val="20"/>
                </w:rPr>
                <w:t xml:space="preserve">Dyer, A., 2021. </w:t>
              </w:r>
              <w:r w:rsidRPr="00C304CC">
                <w:rPr>
                  <w:rFonts w:ascii="Arial" w:hAnsi="Arial" w:cs="Arial"/>
                  <w:i/>
                  <w:iCs/>
                  <w:noProof/>
                  <w:sz w:val="20"/>
                  <w:szCs w:val="20"/>
                </w:rPr>
                <w:t xml:space="preserve">Camp Pendleton recon Marine under federal investigation for stolen ammo and explosives. </w:t>
              </w:r>
              <w:r w:rsidRPr="00C304CC">
                <w:rPr>
                  <w:rFonts w:ascii="Arial" w:hAnsi="Arial" w:cs="Arial"/>
                  <w:noProof/>
                  <w:sz w:val="20"/>
                  <w:szCs w:val="20"/>
                </w:rPr>
                <w:t xml:space="preserve">[Online] </w:t>
              </w:r>
              <w:r w:rsidRPr="00C304CC">
                <w:rPr>
                  <w:rFonts w:ascii="Arial" w:hAnsi="Arial" w:cs="Arial"/>
                  <w:noProof/>
                  <w:sz w:val="20"/>
                  <w:szCs w:val="20"/>
                </w:rPr>
                <w:br/>
                <w:t xml:space="preserve">Available at: </w:t>
              </w:r>
              <w:r w:rsidRPr="00C304CC">
                <w:rPr>
                  <w:rFonts w:ascii="Arial" w:hAnsi="Arial" w:cs="Arial"/>
                  <w:noProof/>
                  <w:sz w:val="20"/>
                  <w:szCs w:val="20"/>
                  <w:u w:val="single"/>
                </w:rPr>
                <w:t>https://www.sandiegouniontribune.com/news/military/story/2021-06-04/camp-pendleton-marine-stolen-ammo</w:t>
              </w:r>
              <w:r w:rsidRPr="00C304CC">
                <w:rPr>
                  <w:rFonts w:ascii="Arial" w:hAnsi="Arial" w:cs="Arial"/>
                  <w:noProof/>
                  <w:sz w:val="20"/>
                  <w:szCs w:val="20"/>
                </w:rPr>
                <w:br/>
                <w:t>[Accessed 15 October 2021].</w:t>
              </w:r>
            </w:p>
            <w:p w14:paraId="6393CA9C" w14:textId="77777777" w:rsidR="00C304CC" w:rsidRPr="00C304CC" w:rsidRDefault="00C304CC" w:rsidP="00C304CC">
              <w:pPr>
                <w:pStyle w:val="Bibliography"/>
                <w:rPr>
                  <w:rFonts w:ascii="Arial" w:hAnsi="Arial" w:cs="Arial"/>
                  <w:noProof/>
                  <w:sz w:val="20"/>
                  <w:szCs w:val="20"/>
                </w:rPr>
              </w:pPr>
              <w:r w:rsidRPr="00C304CC">
                <w:rPr>
                  <w:rFonts w:ascii="Arial" w:hAnsi="Arial" w:cs="Arial"/>
                  <w:noProof/>
                  <w:sz w:val="20"/>
                  <w:szCs w:val="20"/>
                </w:rPr>
                <w:t xml:space="preserve">Kastner, J., 2021. </w:t>
              </w:r>
              <w:r w:rsidRPr="00C304CC">
                <w:rPr>
                  <w:rFonts w:ascii="Arial" w:hAnsi="Arial" w:cs="Arial"/>
                  <w:i/>
                  <w:iCs/>
                  <w:noProof/>
                  <w:sz w:val="20"/>
                  <w:szCs w:val="20"/>
                </w:rPr>
                <w:t xml:space="preserve">Camp Pendleton Marine sergeant pleads guilty to stealing ammo, explosives. </w:t>
              </w:r>
              <w:r w:rsidRPr="00C304CC">
                <w:rPr>
                  <w:rFonts w:ascii="Arial" w:hAnsi="Arial" w:cs="Arial"/>
                  <w:noProof/>
                  <w:sz w:val="20"/>
                  <w:szCs w:val="20"/>
                </w:rPr>
                <w:t xml:space="preserve">[Online] </w:t>
              </w:r>
              <w:r w:rsidRPr="00C304CC">
                <w:rPr>
                  <w:rFonts w:ascii="Arial" w:hAnsi="Arial" w:cs="Arial"/>
                  <w:noProof/>
                  <w:sz w:val="20"/>
                  <w:szCs w:val="20"/>
                </w:rPr>
                <w:br/>
                <w:t xml:space="preserve">Available at: </w:t>
              </w:r>
              <w:r w:rsidRPr="00C304CC">
                <w:rPr>
                  <w:rFonts w:ascii="Arial" w:hAnsi="Arial" w:cs="Arial"/>
                  <w:noProof/>
                  <w:sz w:val="20"/>
                  <w:szCs w:val="20"/>
                  <w:u w:val="single"/>
                </w:rPr>
                <w:t>https://www.10news.com/news/local-news/camp-pendleton-marine-sergeant-pleads-guilty-to-stealing-ammo-explosives</w:t>
              </w:r>
              <w:r w:rsidRPr="00C304CC">
                <w:rPr>
                  <w:rFonts w:ascii="Arial" w:hAnsi="Arial" w:cs="Arial"/>
                  <w:noProof/>
                  <w:sz w:val="20"/>
                  <w:szCs w:val="20"/>
                </w:rPr>
                <w:br/>
                <w:t>[Accessed 15 October 2021].</w:t>
              </w:r>
            </w:p>
            <w:p w14:paraId="37D0B576" w14:textId="77777777" w:rsidR="00C304CC" w:rsidRPr="00C304CC" w:rsidRDefault="00C304CC" w:rsidP="00C304CC">
              <w:pPr>
                <w:pStyle w:val="Bibliography"/>
                <w:rPr>
                  <w:rFonts w:ascii="Arial" w:hAnsi="Arial" w:cs="Arial"/>
                  <w:noProof/>
                  <w:sz w:val="20"/>
                  <w:szCs w:val="20"/>
                </w:rPr>
              </w:pPr>
              <w:r w:rsidRPr="00C304CC">
                <w:rPr>
                  <w:rFonts w:ascii="Arial" w:hAnsi="Arial" w:cs="Arial"/>
                  <w:noProof/>
                  <w:sz w:val="20"/>
                  <w:szCs w:val="20"/>
                </w:rPr>
                <w:t xml:space="preserve">MP, H. M. P., 2020. </w:t>
              </w:r>
              <w:r w:rsidRPr="00C304CC">
                <w:rPr>
                  <w:rFonts w:ascii="Arial" w:hAnsi="Arial" w:cs="Arial"/>
                  <w:i/>
                  <w:iCs/>
                  <w:noProof/>
                  <w:sz w:val="20"/>
                  <w:szCs w:val="20"/>
                </w:rPr>
                <w:t xml:space="preserve">Securing domestic manufacturing capability for Australian Defence Force munitions. </w:t>
              </w:r>
              <w:r w:rsidRPr="00C304CC">
                <w:rPr>
                  <w:rFonts w:ascii="Arial" w:hAnsi="Arial" w:cs="Arial"/>
                  <w:noProof/>
                  <w:sz w:val="20"/>
                  <w:szCs w:val="20"/>
                </w:rPr>
                <w:t xml:space="preserve">[Online] </w:t>
              </w:r>
              <w:r w:rsidRPr="00C304CC">
                <w:rPr>
                  <w:rFonts w:ascii="Arial" w:hAnsi="Arial" w:cs="Arial"/>
                  <w:noProof/>
                  <w:sz w:val="20"/>
                  <w:szCs w:val="20"/>
                </w:rPr>
                <w:br/>
                <w:t xml:space="preserve">Available at: </w:t>
              </w:r>
              <w:r w:rsidRPr="00C304CC">
                <w:rPr>
                  <w:rFonts w:ascii="Arial" w:hAnsi="Arial" w:cs="Arial"/>
                  <w:noProof/>
                  <w:sz w:val="20"/>
                  <w:szCs w:val="20"/>
                  <w:u w:val="single"/>
                </w:rPr>
                <w:t>https://www.minister.defence.gov.au/minister/lreynolds/media-releases/securing-domestic-manufacturing-capability-australian-defence</w:t>
              </w:r>
              <w:r w:rsidRPr="00C304CC">
                <w:rPr>
                  <w:rFonts w:ascii="Arial" w:hAnsi="Arial" w:cs="Arial"/>
                  <w:noProof/>
                  <w:sz w:val="20"/>
                  <w:szCs w:val="20"/>
                </w:rPr>
                <w:br/>
                <w:t>[Accessed 15 October 2021].</w:t>
              </w:r>
            </w:p>
            <w:p w14:paraId="5CCE5432" w14:textId="77777777" w:rsidR="00C304CC" w:rsidRPr="00C304CC" w:rsidRDefault="00C304CC" w:rsidP="00C304CC">
              <w:pPr>
                <w:pStyle w:val="Bibliography"/>
                <w:rPr>
                  <w:rFonts w:ascii="Arial" w:hAnsi="Arial" w:cs="Arial"/>
                  <w:noProof/>
                  <w:sz w:val="20"/>
                  <w:szCs w:val="20"/>
                </w:rPr>
              </w:pPr>
              <w:r w:rsidRPr="00C304CC">
                <w:rPr>
                  <w:rFonts w:ascii="Arial" w:hAnsi="Arial" w:cs="Arial"/>
                  <w:noProof/>
                  <w:sz w:val="20"/>
                  <w:szCs w:val="20"/>
                </w:rPr>
                <w:t xml:space="preserve">Office of Best Practice Regulation, 2021. </w:t>
              </w:r>
              <w:r w:rsidRPr="00C304CC">
                <w:rPr>
                  <w:rFonts w:ascii="Arial" w:hAnsi="Arial" w:cs="Arial"/>
                  <w:i/>
                  <w:iCs/>
                  <w:noProof/>
                  <w:sz w:val="20"/>
                  <w:szCs w:val="20"/>
                </w:rPr>
                <w:t xml:space="preserve">Regulatory Burden Measurement Framework. </w:t>
              </w:r>
              <w:r w:rsidRPr="00C304CC">
                <w:rPr>
                  <w:rFonts w:ascii="Arial" w:hAnsi="Arial" w:cs="Arial"/>
                  <w:noProof/>
                  <w:sz w:val="20"/>
                  <w:szCs w:val="20"/>
                </w:rPr>
                <w:t xml:space="preserve">[Online] </w:t>
              </w:r>
              <w:r w:rsidRPr="00C304CC">
                <w:rPr>
                  <w:rFonts w:ascii="Arial" w:hAnsi="Arial" w:cs="Arial"/>
                  <w:noProof/>
                  <w:sz w:val="20"/>
                  <w:szCs w:val="20"/>
                </w:rPr>
                <w:br/>
                <w:t xml:space="preserve">Available at: </w:t>
              </w:r>
              <w:r w:rsidRPr="00C304CC">
                <w:rPr>
                  <w:rFonts w:ascii="Arial" w:hAnsi="Arial" w:cs="Arial"/>
                  <w:noProof/>
                  <w:sz w:val="20"/>
                  <w:szCs w:val="20"/>
                  <w:u w:val="single"/>
                </w:rPr>
                <w:t>https://obpr.pmc.gov.au/resources/guidance-assessing-impacts/regulatory-burden-measurement-framework</w:t>
              </w:r>
              <w:r w:rsidRPr="00C304CC">
                <w:rPr>
                  <w:rFonts w:ascii="Arial" w:hAnsi="Arial" w:cs="Arial"/>
                  <w:noProof/>
                  <w:sz w:val="20"/>
                  <w:szCs w:val="20"/>
                </w:rPr>
                <w:br/>
                <w:t>[Accessed 28 August 2021].</w:t>
              </w:r>
            </w:p>
            <w:p w14:paraId="7280E451" w14:textId="386DD107" w:rsidR="00C304CC" w:rsidRPr="00C304CC" w:rsidRDefault="004F2301" w:rsidP="00C304CC">
              <w:pPr>
                <w:pStyle w:val="Bibliography"/>
                <w:rPr>
                  <w:rFonts w:ascii="Arial" w:hAnsi="Arial" w:cs="Arial"/>
                  <w:noProof/>
                  <w:sz w:val="20"/>
                  <w:szCs w:val="20"/>
                </w:rPr>
              </w:pPr>
              <w:r>
                <w:rPr>
                  <w:rFonts w:ascii="Arial" w:hAnsi="Arial" w:cs="Arial"/>
                  <w:noProof/>
                  <w:sz w:val="20"/>
                  <w:szCs w:val="20"/>
                </w:rPr>
                <w:t xml:space="preserve">Office of Best Practice </w:t>
              </w:r>
              <w:r w:rsidR="00C304CC" w:rsidRPr="00C304CC">
                <w:rPr>
                  <w:rFonts w:ascii="Arial" w:hAnsi="Arial" w:cs="Arial"/>
                  <w:noProof/>
                  <w:sz w:val="20"/>
                  <w:szCs w:val="20"/>
                </w:rPr>
                <w:t xml:space="preserve">Regulation, 2020. </w:t>
              </w:r>
              <w:r w:rsidR="00C304CC" w:rsidRPr="00C304CC">
                <w:rPr>
                  <w:rFonts w:ascii="Arial" w:hAnsi="Arial" w:cs="Arial"/>
                  <w:i/>
                  <w:iCs/>
                  <w:noProof/>
                  <w:sz w:val="20"/>
                  <w:szCs w:val="20"/>
                </w:rPr>
                <w:t xml:space="preserve">Guidance Note: Sunsetting Legislative Instruments. </w:t>
              </w:r>
              <w:r w:rsidR="00C304CC" w:rsidRPr="00C304CC">
                <w:rPr>
                  <w:rFonts w:ascii="Arial" w:hAnsi="Arial" w:cs="Arial"/>
                  <w:noProof/>
                  <w:sz w:val="20"/>
                  <w:szCs w:val="20"/>
                </w:rPr>
                <w:t xml:space="preserve">[Online] </w:t>
              </w:r>
              <w:r w:rsidR="00C304CC" w:rsidRPr="00C304CC">
                <w:rPr>
                  <w:rFonts w:ascii="Arial" w:hAnsi="Arial" w:cs="Arial"/>
                  <w:noProof/>
                  <w:sz w:val="20"/>
                  <w:szCs w:val="20"/>
                </w:rPr>
                <w:br/>
                <w:t xml:space="preserve">Available at: </w:t>
              </w:r>
              <w:r w:rsidR="00C304CC" w:rsidRPr="00C304CC">
                <w:rPr>
                  <w:rFonts w:ascii="Arial" w:hAnsi="Arial" w:cs="Arial"/>
                  <w:noProof/>
                  <w:sz w:val="20"/>
                  <w:szCs w:val="20"/>
                  <w:u w:val="single"/>
                </w:rPr>
                <w:t>https://obpr.pmc.gov.au/sites/default/files/2021-09/sunsetting.pdf</w:t>
              </w:r>
              <w:r w:rsidR="00C304CC" w:rsidRPr="00C304CC">
                <w:rPr>
                  <w:rFonts w:ascii="Arial" w:hAnsi="Arial" w:cs="Arial"/>
                  <w:noProof/>
                  <w:sz w:val="20"/>
                  <w:szCs w:val="20"/>
                </w:rPr>
                <w:br/>
                <w:t>[Accessed 28 August 2021].</w:t>
              </w:r>
            </w:p>
            <w:p w14:paraId="55C3F5AE" w14:textId="77777777" w:rsidR="00C304CC" w:rsidRPr="00C304CC" w:rsidRDefault="00C304CC" w:rsidP="00C304CC">
              <w:pPr>
                <w:pStyle w:val="Bibliography"/>
                <w:rPr>
                  <w:rFonts w:ascii="Arial" w:hAnsi="Arial" w:cs="Arial"/>
                  <w:noProof/>
                  <w:sz w:val="20"/>
                  <w:szCs w:val="20"/>
                </w:rPr>
              </w:pPr>
              <w:r w:rsidRPr="00C304CC">
                <w:rPr>
                  <w:rFonts w:ascii="Arial" w:hAnsi="Arial" w:cs="Arial"/>
                  <w:noProof/>
                  <w:sz w:val="20"/>
                  <w:szCs w:val="20"/>
                </w:rPr>
                <w:t xml:space="preserve">Safe Work Australia, 2015. </w:t>
              </w:r>
              <w:r w:rsidRPr="00C304CC">
                <w:rPr>
                  <w:rFonts w:ascii="Arial" w:hAnsi="Arial" w:cs="Arial"/>
                  <w:i/>
                  <w:iCs/>
                  <w:noProof/>
                  <w:sz w:val="20"/>
                  <w:szCs w:val="20"/>
                </w:rPr>
                <w:t xml:space="preserve">Explosives Regulation in Australia. </w:t>
              </w:r>
              <w:r w:rsidRPr="00C304CC">
                <w:rPr>
                  <w:rFonts w:ascii="Arial" w:hAnsi="Arial" w:cs="Arial"/>
                  <w:noProof/>
                  <w:sz w:val="20"/>
                  <w:szCs w:val="20"/>
                </w:rPr>
                <w:t xml:space="preserve">[Online] </w:t>
              </w:r>
              <w:r w:rsidRPr="00C304CC">
                <w:rPr>
                  <w:rFonts w:ascii="Arial" w:hAnsi="Arial" w:cs="Arial"/>
                  <w:noProof/>
                  <w:sz w:val="20"/>
                  <w:szCs w:val="20"/>
                </w:rPr>
                <w:br/>
                <w:t>[Accessed 26 August 2021].</w:t>
              </w:r>
            </w:p>
            <w:p w14:paraId="59B4F099" w14:textId="77777777" w:rsidR="00C304CC" w:rsidRPr="00C304CC" w:rsidRDefault="00C304CC" w:rsidP="00C304CC">
              <w:pPr>
                <w:pStyle w:val="Bibliography"/>
                <w:rPr>
                  <w:rFonts w:ascii="Arial" w:hAnsi="Arial" w:cs="Arial"/>
                  <w:noProof/>
                  <w:sz w:val="20"/>
                  <w:szCs w:val="20"/>
                </w:rPr>
              </w:pPr>
              <w:r w:rsidRPr="00C304CC">
                <w:rPr>
                  <w:rFonts w:ascii="Arial" w:hAnsi="Arial" w:cs="Arial"/>
                  <w:noProof/>
                  <w:sz w:val="20"/>
                  <w:szCs w:val="20"/>
                </w:rPr>
                <w:lastRenderedPageBreak/>
                <w:t xml:space="preserve">Safe Work Australia, 2016. </w:t>
              </w:r>
              <w:r w:rsidRPr="00C304CC">
                <w:rPr>
                  <w:rFonts w:ascii="Arial" w:hAnsi="Arial" w:cs="Arial"/>
                  <w:i/>
                  <w:iCs/>
                  <w:noProof/>
                  <w:sz w:val="20"/>
                  <w:szCs w:val="20"/>
                </w:rPr>
                <w:t xml:space="preserve">Guide to the Model Work Health and Safety Act. </w:t>
              </w:r>
              <w:r w:rsidRPr="00C304CC">
                <w:rPr>
                  <w:rFonts w:ascii="Arial" w:hAnsi="Arial" w:cs="Arial"/>
                  <w:noProof/>
                  <w:sz w:val="20"/>
                  <w:szCs w:val="20"/>
                </w:rPr>
                <w:t xml:space="preserve">[Online] </w:t>
              </w:r>
              <w:r w:rsidRPr="00C304CC">
                <w:rPr>
                  <w:rFonts w:ascii="Arial" w:hAnsi="Arial" w:cs="Arial"/>
                  <w:noProof/>
                  <w:sz w:val="20"/>
                  <w:szCs w:val="20"/>
                </w:rPr>
                <w:br/>
                <w:t xml:space="preserve">Available at: </w:t>
              </w:r>
              <w:r w:rsidRPr="00C304CC">
                <w:rPr>
                  <w:rFonts w:ascii="Arial" w:hAnsi="Arial" w:cs="Arial"/>
                  <w:noProof/>
                  <w:sz w:val="20"/>
                  <w:szCs w:val="20"/>
                  <w:u w:val="single"/>
                </w:rPr>
                <w:t>https://www.safeworkaustralia.gov.au/system/files/documents/1702/guide-to-the-whs-act-at-21-march-2016.pdf</w:t>
              </w:r>
              <w:r w:rsidRPr="00C304CC">
                <w:rPr>
                  <w:rFonts w:ascii="Arial" w:hAnsi="Arial" w:cs="Arial"/>
                  <w:noProof/>
                  <w:sz w:val="20"/>
                  <w:szCs w:val="20"/>
                </w:rPr>
                <w:br/>
                <w:t>[Accessed 18 November 2021].</w:t>
              </w:r>
            </w:p>
            <w:p w14:paraId="0D7EF600" w14:textId="77777777" w:rsidR="00C304CC" w:rsidRPr="00C304CC" w:rsidRDefault="00C304CC" w:rsidP="00C304CC">
              <w:pPr>
                <w:pStyle w:val="Bibliography"/>
                <w:rPr>
                  <w:rFonts w:ascii="Arial" w:hAnsi="Arial" w:cs="Arial"/>
                  <w:noProof/>
                  <w:sz w:val="20"/>
                  <w:szCs w:val="20"/>
                </w:rPr>
              </w:pPr>
              <w:r w:rsidRPr="00C304CC">
                <w:rPr>
                  <w:rFonts w:ascii="Arial" w:hAnsi="Arial" w:cs="Arial"/>
                  <w:noProof/>
                  <w:sz w:val="20"/>
                  <w:szCs w:val="20"/>
                </w:rPr>
                <w:t xml:space="preserve">Safe Work Australia, 2018-19. </w:t>
              </w:r>
              <w:r w:rsidRPr="00C304CC">
                <w:rPr>
                  <w:rFonts w:ascii="Arial" w:hAnsi="Arial" w:cs="Arial"/>
                  <w:i/>
                  <w:iCs/>
                  <w:noProof/>
                  <w:sz w:val="20"/>
                  <w:szCs w:val="20"/>
                </w:rPr>
                <w:t xml:space="preserve">Feature story: Nationally consistent explosives framework. </w:t>
              </w:r>
              <w:r w:rsidRPr="00C304CC">
                <w:rPr>
                  <w:rFonts w:ascii="Arial" w:hAnsi="Arial" w:cs="Arial"/>
                  <w:noProof/>
                  <w:sz w:val="20"/>
                  <w:szCs w:val="20"/>
                </w:rPr>
                <w:t xml:space="preserve">[Online] </w:t>
              </w:r>
              <w:r w:rsidRPr="00C304CC">
                <w:rPr>
                  <w:rFonts w:ascii="Arial" w:hAnsi="Arial" w:cs="Arial"/>
                  <w:noProof/>
                  <w:sz w:val="20"/>
                  <w:szCs w:val="20"/>
                </w:rPr>
                <w:br/>
                <w:t xml:space="preserve">Available at: </w:t>
              </w:r>
              <w:r w:rsidRPr="00C304CC">
                <w:rPr>
                  <w:rFonts w:ascii="Arial" w:hAnsi="Arial" w:cs="Arial"/>
                  <w:noProof/>
                  <w:sz w:val="20"/>
                  <w:szCs w:val="20"/>
                  <w:u w:val="single"/>
                </w:rPr>
                <w:t>https://www.transparency.gov.au/annual-reports/safe-work-australia/reporting-year/2018-2019-5</w:t>
              </w:r>
              <w:r w:rsidRPr="00C304CC">
                <w:rPr>
                  <w:rFonts w:ascii="Arial" w:hAnsi="Arial" w:cs="Arial"/>
                  <w:noProof/>
                  <w:sz w:val="20"/>
                  <w:szCs w:val="20"/>
                </w:rPr>
                <w:br/>
                <w:t>[Accessed 1 September 2021].</w:t>
              </w:r>
            </w:p>
            <w:p w14:paraId="5AB01E5D" w14:textId="77777777" w:rsidR="00C304CC" w:rsidRPr="00C304CC" w:rsidRDefault="00C304CC" w:rsidP="00C304CC">
              <w:pPr>
                <w:pStyle w:val="Bibliography"/>
                <w:rPr>
                  <w:rFonts w:ascii="Arial" w:hAnsi="Arial" w:cs="Arial"/>
                  <w:noProof/>
                  <w:sz w:val="20"/>
                  <w:szCs w:val="20"/>
                </w:rPr>
              </w:pPr>
              <w:r w:rsidRPr="00C304CC">
                <w:rPr>
                  <w:rFonts w:ascii="Arial" w:hAnsi="Arial" w:cs="Arial"/>
                  <w:noProof/>
                  <w:sz w:val="20"/>
                  <w:szCs w:val="20"/>
                </w:rPr>
                <w:t xml:space="preserve">The Age, 2007. </w:t>
              </w:r>
              <w:r w:rsidRPr="00C304CC">
                <w:rPr>
                  <w:rFonts w:ascii="Arial" w:hAnsi="Arial" w:cs="Arial"/>
                  <w:i/>
                  <w:iCs/>
                  <w:noProof/>
                  <w:sz w:val="20"/>
                  <w:szCs w:val="20"/>
                </w:rPr>
                <w:t xml:space="preserve">Bail denied over rocket launcher theft. </w:t>
              </w:r>
              <w:r w:rsidRPr="00C304CC">
                <w:rPr>
                  <w:rFonts w:ascii="Arial" w:hAnsi="Arial" w:cs="Arial"/>
                  <w:noProof/>
                  <w:sz w:val="20"/>
                  <w:szCs w:val="20"/>
                </w:rPr>
                <w:t xml:space="preserve">[Online] </w:t>
              </w:r>
              <w:r w:rsidRPr="00C304CC">
                <w:rPr>
                  <w:rFonts w:ascii="Arial" w:hAnsi="Arial" w:cs="Arial"/>
                  <w:noProof/>
                  <w:sz w:val="20"/>
                  <w:szCs w:val="20"/>
                </w:rPr>
                <w:br/>
                <w:t xml:space="preserve">Available at: </w:t>
              </w:r>
              <w:r w:rsidRPr="00C304CC">
                <w:rPr>
                  <w:rFonts w:ascii="Arial" w:hAnsi="Arial" w:cs="Arial"/>
                  <w:noProof/>
                  <w:sz w:val="20"/>
                  <w:szCs w:val="20"/>
                  <w:u w:val="single"/>
                </w:rPr>
                <w:t>theage.com.au/national/bail-denied-over-rocket-launcher-theft-20070412-ge4n3g.html</w:t>
              </w:r>
              <w:r w:rsidRPr="00C304CC">
                <w:rPr>
                  <w:rFonts w:ascii="Arial" w:hAnsi="Arial" w:cs="Arial"/>
                  <w:noProof/>
                  <w:sz w:val="20"/>
                  <w:szCs w:val="20"/>
                </w:rPr>
                <w:br/>
                <w:t>[Accessed 15 October 2021].</w:t>
              </w:r>
            </w:p>
            <w:p w14:paraId="52A7249B" w14:textId="0018C5DD" w:rsidR="00C304CC" w:rsidRDefault="00C304CC" w:rsidP="00C304CC">
              <w:r w:rsidRPr="00C304CC">
                <w:rPr>
                  <w:rFonts w:ascii="Arial" w:hAnsi="Arial" w:cs="Arial"/>
                  <w:b/>
                  <w:bCs/>
                  <w:noProof/>
                  <w:sz w:val="20"/>
                  <w:szCs w:val="20"/>
                </w:rPr>
                <w:fldChar w:fldCharType="end"/>
              </w:r>
            </w:p>
          </w:sdtContent>
        </w:sdt>
      </w:sdtContent>
    </w:sdt>
    <w:p w14:paraId="581C2628" w14:textId="3B145204" w:rsidR="00911964" w:rsidRPr="00867040" w:rsidRDefault="00911964" w:rsidP="00867040">
      <w:pPr>
        <w:rPr>
          <w:rFonts w:ascii="Arial" w:eastAsia="Calibri" w:hAnsi="Arial" w:cs="Arial"/>
          <w:color w:val="997339"/>
        </w:rPr>
      </w:pPr>
      <w:r w:rsidRPr="000D68DB">
        <w:rPr>
          <w:rFonts w:ascii="Arial" w:eastAsia="Calibri" w:hAnsi="Arial" w:cs="Arial"/>
          <w:b/>
          <w:bCs/>
          <w:i/>
          <w:iCs/>
          <w:color w:val="997339"/>
          <w:u w:val="single"/>
        </w:rPr>
        <w:br w:type="page"/>
      </w:r>
    </w:p>
    <w:p w14:paraId="39830BAE" w14:textId="7EE75F49" w:rsidR="006C04C5" w:rsidRPr="00D27093" w:rsidRDefault="00911964" w:rsidP="00D27093">
      <w:pPr>
        <w:pStyle w:val="Heading1"/>
        <w:rPr>
          <w:rFonts w:ascii="Georgia" w:eastAsia="Times New Roman" w:hAnsi="Georgia"/>
          <w:b/>
          <w:bCs/>
          <w:color w:val="ED7D31" w:themeColor="accent2"/>
        </w:rPr>
      </w:pPr>
      <w:bookmarkStart w:id="61" w:name="_Toc101961128"/>
      <w:r w:rsidRPr="00D27093">
        <w:rPr>
          <w:rFonts w:ascii="Georgia" w:eastAsia="Times New Roman" w:hAnsi="Georgia"/>
          <w:b/>
          <w:bCs/>
          <w:color w:val="ED7D31" w:themeColor="accent2"/>
        </w:rPr>
        <w:lastRenderedPageBreak/>
        <w:t xml:space="preserve">Appendix </w:t>
      </w:r>
      <w:r w:rsidR="00867040" w:rsidRPr="00D27093">
        <w:rPr>
          <w:rFonts w:ascii="Georgia" w:eastAsia="Times New Roman" w:hAnsi="Georgia"/>
          <w:b/>
          <w:bCs/>
          <w:color w:val="ED7D31" w:themeColor="accent2"/>
        </w:rPr>
        <w:t>B</w:t>
      </w:r>
      <w:r w:rsidRPr="00D27093">
        <w:rPr>
          <w:rFonts w:ascii="Georgia" w:eastAsia="Times New Roman" w:hAnsi="Georgia"/>
          <w:b/>
          <w:bCs/>
          <w:color w:val="ED7D31" w:themeColor="accent2"/>
        </w:rPr>
        <w:t>: List of Tables and Figures</w:t>
      </w:r>
      <w:bookmarkEnd w:id="61"/>
    </w:p>
    <w:p w14:paraId="629E3DAD" w14:textId="157163BF" w:rsidR="003F4DF2" w:rsidRDefault="003F4DF2">
      <w:pPr>
        <w:rPr>
          <w:rFonts w:ascii="Arial" w:eastAsia="Calibri" w:hAnsi="Arial" w:cs="Arial"/>
          <w:color w:val="997339"/>
        </w:rPr>
      </w:pPr>
      <w:r>
        <w:rPr>
          <w:rFonts w:ascii="Arial" w:eastAsia="Calibri" w:hAnsi="Arial" w:cs="Arial"/>
          <w:color w:val="997339"/>
        </w:rPr>
        <w:t xml:space="preserve">List of </w:t>
      </w:r>
      <w:r w:rsidR="000613AB">
        <w:rPr>
          <w:rFonts w:ascii="Arial" w:eastAsia="Calibri" w:hAnsi="Arial" w:cs="Arial"/>
          <w:color w:val="997339"/>
        </w:rPr>
        <w:t>Figures</w:t>
      </w:r>
      <w:r>
        <w:rPr>
          <w:rFonts w:ascii="Arial" w:eastAsia="Calibri" w:hAnsi="Arial" w:cs="Arial"/>
          <w:color w:val="997339"/>
        </w:rPr>
        <w:t xml:space="preserve"> </w:t>
      </w:r>
    </w:p>
    <w:p w14:paraId="1E8A660E" w14:textId="7149BDFD" w:rsidR="000613AB" w:rsidRPr="000613AB" w:rsidRDefault="000613AB">
      <w:pPr>
        <w:pStyle w:val="TableofFigures"/>
        <w:tabs>
          <w:tab w:val="right" w:leader="dot" w:pos="9016"/>
        </w:tabs>
        <w:rPr>
          <w:rFonts w:ascii="Arial" w:hAnsi="Arial" w:cs="Arial"/>
          <w:noProof/>
        </w:rPr>
      </w:pPr>
      <w:r w:rsidRPr="000613AB">
        <w:rPr>
          <w:rFonts w:ascii="Arial" w:eastAsia="Calibri" w:hAnsi="Arial" w:cs="Arial"/>
          <w:color w:val="997339"/>
        </w:rPr>
        <w:fldChar w:fldCharType="begin"/>
      </w:r>
      <w:r w:rsidRPr="000613AB">
        <w:rPr>
          <w:rFonts w:ascii="Arial" w:eastAsia="Calibri" w:hAnsi="Arial" w:cs="Arial"/>
          <w:color w:val="997339"/>
        </w:rPr>
        <w:instrText xml:space="preserve"> TOC \h \z \c "Figure" </w:instrText>
      </w:r>
      <w:r w:rsidRPr="000613AB">
        <w:rPr>
          <w:rFonts w:ascii="Arial" w:eastAsia="Calibri" w:hAnsi="Arial" w:cs="Arial"/>
          <w:color w:val="997339"/>
        </w:rPr>
        <w:fldChar w:fldCharType="separate"/>
      </w:r>
      <w:hyperlink r:id="rId17" w:anchor="_Toc90385829" w:history="1">
        <w:r w:rsidRPr="000613AB">
          <w:rPr>
            <w:rStyle w:val="Hyperlink"/>
            <w:rFonts w:ascii="Arial" w:hAnsi="Arial" w:cs="Arial"/>
            <w:b/>
            <w:bCs/>
            <w:noProof/>
          </w:rPr>
          <w:t>Figure 1:</w:t>
        </w:r>
        <w:r w:rsidRPr="000613AB">
          <w:rPr>
            <w:rStyle w:val="Hyperlink"/>
            <w:rFonts w:ascii="Arial" w:hAnsi="Arial" w:cs="Arial"/>
            <w:noProof/>
          </w:rPr>
          <w:t xml:space="preserve"> Overview of Explosives Legislative Ecosystem</w:t>
        </w:r>
        <w:r w:rsidRPr="000613AB">
          <w:rPr>
            <w:rFonts w:ascii="Arial" w:hAnsi="Arial" w:cs="Arial"/>
            <w:noProof/>
            <w:webHidden/>
          </w:rPr>
          <w:tab/>
        </w:r>
        <w:r w:rsidRPr="000613AB">
          <w:rPr>
            <w:rFonts w:ascii="Arial" w:hAnsi="Arial" w:cs="Arial"/>
            <w:noProof/>
            <w:webHidden/>
          </w:rPr>
          <w:fldChar w:fldCharType="begin"/>
        </w:r>
        <w:r w:rsidRPr="000613AB">
          <w:rPr>
            <w:rFonts w:ascii="Arial" w:hAnsi="Arial" w:cs="Arial"/>
            <w:noProof/>
            <w:webHidden/>
          </w:rPr>
          <w:instrText xml:space="preserve"> PAGEREF _Toc90385829 \h </w:instrText>
        </w:r>
        <w:r w:rsidRPr="000613AB">
          <w:rPr>
            <w:rFonts w:ascii="Arial" w:hAnsi="Arial" w:cs="Arial"/>
            <w:noProof/>
            <w:webHidden/>
          </w:rPr>
        </w:r>
        <w:r w:rsidRPr="000613AB">
          <w:rPr>
            <w:rFonts w:ascii="Arial" w:hAnsi="Arial" w:cs="Arial"/>
            <w:noProof/>
            <w:webHidden/>
          </w:rPr>
          <w:fldChar w:fldCharType="separate"/>
        </w:r>
        <w:r w:rsidR="00486329">
          <w:rPr>
            <w:rFonts w:ascii="Arial" w:hAnsi="Arial" w:cs="Arial"/>
            <w:noProof/>
            <w:webHidden/>
          </w:rPr>
          <w:t>3</w:t>
        </w:r>
        <w:r w:rsidRPr="000613AB">
          <w:rPr>
            <w:rFonts w:ascii="Arial" w:hAnsi="Arial" w:cs="Arial"/>
            <w:noProof/>
            <w:webHidden/>
          </w:rPr>
          <w:fldChar w:fldCharType="end"/>
        </w:r>
      </w:hyperlink>
    </w:p>
    <w:p w14:paraId="3E79F709" w14:textId="70B21D2D" w:rsidR="000613AB" w:rsidRPr="000613AB" w:rsidRDefault="00E876B6">
      <w:pPr>
        <w:pStyle w:val="TableofFigures"/>
        <w:tabs>
          <w:tab w:val="right" w:leader="dot" w:pos="9016"/>
        </w:tabs>
        <w:rPr>
          <w:rFonts w:ascii="Arial" w:hAnsi="Arial" w:cs="Arial"/>
          <w:noProof/>
        </w:rPr>
      </w:pPr>
      <w:hyperlink r:id="rId18" w:anchor="_Toc90385830" w:history="1">
        <w:r w:rsidR="000613AB" w:rsidRPr="000613AB">
          <w:rPr>
            <w:rStyle w:val="Hyperlink"/>
            <w:rFonts w:ascii="Arial" w:hAnsi="Arial" w:cs="Arial"/>
            <w:b/>
            <w:bCs/>
            <w:noProof/>
          </w:rPr>
          <w:t>Figure 2:</w:t>
        </w:r>
        <w:r w:rsidR="000613AB" w:rsidRPr="000613AB">
          <w:rPr>
            <w:rStyle w:val="Hyperlink"/>
            <w:rFonts w:ascii="Arial" w:hAnsi="Arial" w:cs="Arial"/>
            <w:noProof/>
          </w:rPr>
          <w:t xml:space="preserve"> Summary of Explosives Act Developments</w:t>
        </w:r>
        <w:r w:rsidR="000613AB" w:rsidRPr="000613AB">
          <w:rPr>
            <w:rFonts w:ascii="Arial" w:hAnsi="Arial" w:cs="Arial"/>
            <w:noProof/>
            <w:webHidden/>
          </w:rPr>
          <w:tab/>
        </w:r>
        <w:r w:rsidR="000613AB" w:rsidRPr="000613AB">
          <w:rPr>
            <w:rFonts w:ascii="Arial" w:hAnsi="Arial" w:cs="Arial"/>
            <w:noProof/>
            <w:webHidden/>
          </w:rPr>
          <w:fldChar w:fldCharType="begin"/>
        </w:r>
        <w:r w:rsidR="000613AB" w:rsidRPr="000613AB">
          <w:rPr>
            <w:rFonts w:ascii="Arial" w:hAnsi="Arial" w:cs="Arial"/>
            <w:noProof/>
            <w:webHidden/>
          </w:rPr>
          <w:instrText xml:space="preserve"> PAGEREF _Toc90385830 \h </w:instrText>
        </w:r>
        <w:r w:rsidR="000613AB" w:rsidRPr="000613AB">
          <w:rPr>
            <w:rFonts w:ascii="Arial" w:hAnsi="Arial" w:cs="Arial"/>
            <w:noProof/>
            <w:webHidden/>
          </w:rPr>
        </w:r>
        <w:r w:rsidR="000613AB" w:rsidRPr="000613AB">
          <w:rPr>
            <w:rFonts w:ascii="Arial" w:hAnsi="Arial" w:cs="Arial"/>
            <w:noProof/>
            <w:webHidden/>
          </w:rPr>
          <w:fldChar w:fldCharType="separate"/>
        </w:r>
        <w:r w:rsidR="00486329">
          <w:rPr>
            <w:rFonts w:ascii="Arial" w:hAnsi="Arial" w:cs="Arial"/>
            <w:noProof/>
            <w:webHidden/>
          </w:rPr>
          <w:t>6</w:t>
        </w:r>
        <w:r w:rsidR="000613AB" w:rsidRPr="000613AB">
          <w:rPr>
            <w:rFonts w:ascii="Arial" w:hAnsi="Arial" w:cs="Arial"/>
            <w:noProof/>
            <w:webHidden/>
          </w:rPr>
          <w:fldChar w:fldCharType="end"/>
        </w:r>
      </w:hyperlink>
    </w:p>
    <w:p w14:paraId="6806E6D7" w14:textId="7E115A8D" w:rsidR="000613AB" w:rsidRPr="000613AB" w:rsidRDefault="00E876B6">
      <w:pPr>
        <w:pStyle w:val="TableofFigures"/>
        <w:tabs>
          <w:tab w:val="right" w:leader="dot" w:pos="9016"/>
        </w:tabs>
        <w:rPr>
          <w:rFonts w:ascii="Arial" w:hAnsi="Arial" w:cs="Arial"/>
          <w:noProof/>
        </w:rPr>
      </w:pPr>
      <w:hyperlink r:id="rId19" w:anchor="_Toc90385831" w:history="1">
        <w:r w:rsidR="000613AB" w:rsidRPr="000613AB">
          <w:rPr>
            <w:rStyle w:val="Hyperlink"/>
            <w:rFonts w:ascii="Arial" w:hAnsi="Arial" w:cs="Arial"/>
            <w:b/>
            <w:bCs/>
            <w:noProof/>
          </w:rPr>
          <w:t>Figure 3:</w:t>
        </w:r>
        <w:r w:rsidR="000613AB" w:rsidRPr="000613AB">
          <w:rPr>
            <w:rStyle w:val="Hyperlink"/>
            <w:rFonts w:ascii="Arial" w:hAnsi="Arial" w:cs="Arial"/>
            <w:noProof/>
          </w:rPr>
          <w:t xml:space="preserve"> Overview of Model WHS Law Development</w:t>
        </w:r>
        <w:r w:rsidR="000613AB" w:rsidRPr="000613AB">
          <w:rPr>
            <w:rFonts w:ascii="Arial" w:hAnsi="Arial" w:cs="Arial"/>
            <w:noProof/>
            <w:webHidden/>
          </w:rPr>
          <w:tab/>
        </w:r>
        <w:r w:rsidR="000613AB" w:rsidRPr="000613AB">
          <w:rPr>
            <w:rFonts w:ascii="Arial" w:hAnsi="Arial" w:cs="Arial"/>
            <w:noProof/>
            <w:webHidden/>
          </w:rPr>
          <w:fldChar w:fldCharType="begin"/>
        </w:r>
        <w:r w:rsidR="000613AB" w:rsidRPr="000613AB">
          <w:rPr>
            <w:rFonts w:ascii="Arial" w:hAnsi="Arial" w:cs="Arial"/>
            <w:noProof/>
            <w:webHidden/>
          </w:rPr>
          <w:instrText xml:space="preserve"> PAGEREF _Toc90385831 \h </w:instrText>
        </w:r>
        <w:r w:rsidR="000613AB" w:rsidRPr="000613AB">
          <w:rPr>
            <w:rFonts w:ascii="Arial" w:hAnsi="Arial" w:cs="Arial"/>
            <w:noProof/>
            <w:webHidden/>
          </w:rPr>
        </w:r>
        <w:r w:rsidR="000613AB" w:rsidRPr="000613AB">
          <w:rPr>
            <w:rFonts w:ascii="Arial" w:hAnsi="Arial" w:cs="Arial"/>
            <w:noProof/>
            <w:webHidden/>
          </w:rPr>
          <w:fldChar w:fldCharType="separate"/>
        </w:r>
        <w:r w:rsidR="00486329">
          <w:rPr>
            <w:rFonts w:ascii="Arial" w:hAnsi="Arial" w:cs="Arial"/>
            <w:noProof/>
            <w:webHidden/>
          </w:rPr>
          <w:t>7</w:t>
        </w:r>
        <w:r w:rsidR="000613AB" w:rsidRPr="000613AB">
          <w:rPr>
            <w:rFonts w:ascii="Arial" w:hAnsi="Arial" w:cs="Arial"/>
            <w:noProof/>
            <w:webHidden/>
          </w:rPr>
          <w:fldChar w:fldCharType="end"/>
        </w:r>
      </w:hyperlink>
    </w:p>
    <w:p w14:paraId="6BD2A663" w14:textId="7555F28E" w:rsidR="000613AB" w:rsidRPr="000613AB" w:rsidRDefault="00E876B6">
      <w:pPr>
        <w:pStyle w:val="TableofFigures"/>
        <w:tabs>
          <w:tab w:val="right" w:leader="dot" w:pos="9016"/>
        </w:tabs>
        <w:rPr>
          <w:rFonts w:ascii="Arial" w:hAnsi="Arial" w:cs="Arial"/>
          <w:noProof/>
        </w:rPr>
      </w:pPr>
      <w:hyperlink r:id="rId20" w:anchor="_Toc90385832" w:history="1">
        <w:r w:rsidR="000613AB" w:rsidRPr="000613AB">
          <w:rPr>
            <w:rStyle w:val="Hyperlink"/>
            <w:rFonts w:ascii="Arial" w:hAnsi="Arial" w:cs="Arial"/>
            <w:b/>
            <w:bCs/>
            <w:noProof/>
          </w:rPr>
          <w:t>Figure 4</w:t>
        </w:r>
        <w:r w:rsidR="000613AB" w:rsidRPr="000613AB">
          <w:rPr>
            <w:rStyle w:val="Hyperlink"/>
            <w:rFonts w:ascii="Arial" w:hAnsi="Arial" w:cs="Arial"/>
            <w:noProof/>
          </w:rPr>
          <w:t>: EATR Project Timeline</w:t>
        </w:r>
        <w:r w:rsidR="000613AB" w:rsidRPr="000613AB">
          <w:rPr>
            <w:rFonts w:ascii="Arial" w:hAnsi="Arial" w:cs="Arial"/>
            <w:noProof/>
            <w:webHidden/>
          </w:rPr>
          <w:tab/>
        </w:r>
        <w:r w:rsidR="000613AB" w:rsidRPr="000613AB">
          <w:rPr>
            <w:rFonts w:ascii="Arial" w:hAnsi="Arial" w:cs="Arial"/>
            <w:noProof/>
            <w:webHidden/>
          </w:rPr>
          <w:fldChar w:fldCharType="begin"/>
        </w:r>
        <w:r w:rsidR="000613AB" w:rsidRPr="000613AB">
          <w:rPr>
            <w:rFonts w:ascii="Arial" w:hAnsi="Arial" w:cs="Arial"/>
            <w:noProof/>
            <w:webHidden/>
          </w:rPr>
          <w:instrText xml:space="preserve"> PAGEREF _Toc90385832 \h </w:instrText>
        </w:r>
        <w:r w:rsidR="000613AB" w:rsidRPr="000613AB">
          <w:rPr>
            <w:rFonts w:ascii="Arial" w:hAnsi="Arial" w:cs="Arial"/>
            <w:noProof/>
            <w:webHidden/>
          </w:rPr>
        </w:r>
        <w:r w:rsidR="000613AB" w:rsidRPr="000613AB">
          <w:rPr>
            <w:rFonts w:ascii="Arial" w:hAnsi="Arial" w:cs="Arial"/>
            <w:noProof/>
            <w:webHidden/>
          </w:rPr>
          <w:fldChar w:fldCharType="separate"/>
        </w:r>
        <w:r w:rsidR="00486329">
          <w:rPr>
            <w:rFonts w:ascii="Arial" w:hAnsi="Arial" w:cs="Arial"/>
            <w:noProof/>
            <w:webHidden/>
          </w:rPr>
          <w:t>8</w:t>
        </w:r>
        <w:r w:rsidR="000613AB" w:rsidRPr="000613AB">
          <w:rPr>
            <w:rFonts w:ascii="Arial" w:hAnsi="Arial" w:cs="Arial"/>
            <w:noProof/>
            <w:webHidden/>
          </w:rPr>
          <w:fldChar w:fldCharType="end"/>
        </w:r>
      </w:hyperlink>
    </w:p>
    <w:p w14:paraId="0B460D78" w14:textId="2AFE15CB" w:rsidR="000613AB" w:rsidRPr="000613AB" w:rsidRDefault="00E876B6">
      <w:pPr>
        <w:pStyle w:val="TableofFigures"/>
        <w:tabs>
          <w:tab w:val="right" w:leader="dot" w:pos="9016"/>
        </w:tabs>
        <w:rPr>
          <w:rFonts w:ascii="Arial" w:hAnsi="Arial" w:cs="Arial"/>
          <w:noProof/>
        </w:rPr>
      </w:pPr>
      <w:hyperlink r:id="rId21" w:anchor="_Toc90385833" w:history="1">
        <w:r w:rsidR="000613AB" w:rsidRPr="000613AB">
          <w:rPr>
            <w:rStyle w:val="Hyperlink"/>
            <w:rFonts w:ascii="Arial" w:hAnsi="Arial" w:cs="Arial"/>
            <w:b/>
            <w:bCs/>
            <w:noProof/>
          </w:rPr>
          <w:t>Figure 5:</w:t>
        </w:r>
        <w:r w:rsidR="000613AB" w:rsidRPr="000613AB">
          <w:rPr>
            <w:rStyle w:val="Hyperlink"/>
            <w:rFonts w:ascii="Arial" w:hAnsi="Arial" w:cs="Arial"/>
            <w:noProof/>
          </w:rPr>
          <w:t xml:space="preserve"> Consultation Roadmap</w:t>
        </w:r>
        <w:r w:rsidR="000613AB" w:rsidRPr="000613AB">
          <w:rPr>
            <w:rFonts w:ascii="Arial" w:hAnsi="Arial" w:cs="Arial"/>
            <w:noProof/>
            <w:webHidden/>
          </w:rPr>
          <w:tab/>
        </w:r>
        <w:r w:rsidR="000613AB" w:rsidRPr="000613AB">
          <w:rPr>
            <w:rFonts w:ascii="Arial" w:hAnsi="Arial" w:cs="Arial"/>
            <w:noProof/>
            <w:webHidden/>
          </w:rPr>
          <w:fldChar w:fldCharType="begin"/>
        </w:r>
        <w:r w:rsidR="000613AB" w:rsidRPr="000613AB">
          <w:rPr>
            <w:rFonts w:ascii="Arial" w:hAnsi="Arial" w:cs="Arial"/>
            <w:noProof/>
            <w:webHidden/>
          </w:rPr>
          <w:instrText xml:space="preserve"> PAGEREF _Toc90385833 \h </w:instrText>
        </w:r>
        <w:r w:rsidR="000613AB" w:rsidRPr="000613AB">
          <w:rPr>
            <w:rFonts w:ascii="Arial" w:hAnsi="Arial" w:cs="Arial"/>
            <w:noProof/>
            <w:webHidden/>
          </w:rPr>
        </w:r>
        <w:r w:rsidR="000613AB" w:rsidRPr="000613AB">
          <w:rPr>
            <w:rFonts w:ascii="Arial" w:hAnsi="Arial" w:cs="Arial"/>
            <w:noProof/>
            <w:webHidden/>
          </w:rPr>
          <w:fldChar w:fldCharType="separate"/>
        </w:r>
        <w:r w:rsidR="00486329">
          <w:rPr>
            <w:rFonts w:ascii="Arial" w:hAnsi="Arial" w:cs="Arial"/>
            <w:noProof/>
            <w:webHidden/>
          </w:rPr>
          <w:t>8</w:t>
        </w:r>
        <w:r w:rsidR="000613AB" w:rsidRPr="000613AB">
          <w:rPr>
            <w:rFonts w:ascii="Arial" w:hAnsi="Arial" w:cs="Arial"/>
            <w:noProof/>
            <w:webHidden/>
          </w:rPr>
          <w:fldChar w:fldCharType="end"/>
        </w:r>
      </w:hyperlink>
    </w:p>
    <w:p w14:paraId="197F5E7B" w14:textId="64C60071" w:rsidR="000613AB" w:rsidRPr="000613AB" w:rsidRDefault="00E876B6">
      <w:pPr>
        <w:pStyle w:val="TableofFigures"/>
        <w:tabs>
          <w:tab w:val="right" w:leader="dot" w:pos="9016"/>
        </w:tabs>
        <w:rPr>
          <w:rFonts w:ascii="Arial" w:hAnsi="Arial" w:cs="Arial"/>
          <w:noProof/>
        </w:rPr>
      </w:pPr>
      <w:hyperlink r:id="rId22" w:anchor="_Toc90385834" w:history="1">
        <w:r w:rsidR="000613AB" w:rsidRPr="000613AB">
          <w:rPr>
            <w:rStyle w:val="Hyperlink"/>
            <w:rFonts w:ascii="Arial" w:hAnsi="Arial" w:cs="Arial"/>
            <w:b/>
            <w:bCs/>
            <w:noProof/>
          </w:rPr>
          <w:t>Figure 6:</w:t>
        </w:r>
        <w:r w:rsidR="000613AB" w:rsidRPr="000613AB">
          <w:rPr>
            <w:rStyle w:val="Hyperlink"/>
            <w:rFonts w:ascii="Arial" w:hAnsi="Arial" w:cs="Arial"/>
            <w:noProof/>
          </w:rPr>
          <w:t xml:space="preserve"> Consultation Insights</w:t>
        </w:r>
        <w:r w:rsidR="000613AB" w:rsidRPr="000613AB">
          <w:rPr>
            <w:rFonts w:ascii="Arial" w:hAnsi="Arial" w:cs="Arial"/>
            <w:noProof/>
            <w:webHidden/>
          </w:rPr>
          <w:tab/>
        </w:r>
        <w:r w:rsidR="000613AB" w:rsidRPr="000613AB">
          <w:rPr>
            <w:rFonts w:ascii="Arial" w:hAnsi="Arial" w:cs="Arial"/>
            <w:noProof/>
            <w:webHidden/>
          </w:rPr>
          <w:fldChar w:fldCharType="begin"/>
        </w:r>
        <w:r w:rsidR="000613AB" w:rsidRPr="000613AB">
          <w:rPr>
            <w:rFonts w:ascii="Arial" w:hAnsi="Arial" w:cs="Arial"/>
            <w:noProof/>
            <w:webHidden/>
          </w:rPr>
          <w:instrText xml:space="preserve"> PAGEREF _Toc90385834 \h </w:instrText>
        </w:r>
        <w:r w:rsidR="000613AB" w:rsidRPr="000613AB">
          <w:rPr>
            <w:rFonts w:ascii="Arial" w:hAnsi="Arial" w:cs="Arial"/>
            <w:noProof/>
            <w:webHidden/>
          </w:rPr>
        </w:r>
        <w:r w:rsidR="000613AB" w:rsidRPr="000613AB">
          <w:rPr>
            <w:rFonts w:ascii="Arial" w:hAnsi="Arial" w:cs="Arial"/>
            <w:noProof/>
            <w:webHidden/>
          </w:rPr>
          <w:fldChar w:fldCharType="separate"/>
        </w:r>
        <w:r w:rsidR="00486329">
          <w:rPr>
            <w:rFonts w:ascii="Arial" w:hAnsi="Arial" w:cs="Arial"/>
            <w:noProof/>
            <w:webHidden/>
          </w:rPr>
          <w:t>10</w:t>
        </w:r>
        <w:r w:rsidR="000613AB" w:rsidRPr="000613AB">
          <w:rPr>
            <w:rFonts w:ascii="Arial" w:hAnsi="Arial" w:cs="Arial"/>
            <w:noProof/>
            <w:webHidden/>
          </w:rPr>
          <w:fldChar w:fldCharType="end"/>
        </w:r>
      </w:hyperlink>
    </w:p>
    <w:p w14:paraId="46585CC4" w14:textId="32AFF041" w:rsidR="000613AB" w:rsidRPr="000613AB" w:rsidRDefault="00E876B6">
      <w:pPr>
        <w:pStyle w:val="TableofFigures"/>
        <w:tabs>
          <w:tab w:val="right" w:leader="dot" w:pos="9016"/>
        </w:tabs>
        <w:rPr>
          <w:rFonts w:ascii="Arial" w:hAnsi="Arial" w:cs="Arial"/>
          <w:noProof/>
        </w:rPr>
      </w:pPr>
      <w:hyperlink r:id="rId23" w:anchor="_Toc90385835" w:history="1">
        <w:r w:rsidR="000613AB" w:rsidRPr="000613AB">
          <w:rPr>
            <w:rStyle w:val="Hyperlink"/>
            <w:rFonts w:ascii="Arial" w:hAnsi="Arial" w:cs="Arial"/>
            <w:b/>
            <w:bCs/>
            <w:noProof/>
          </w:rPr>
          <w:t>Figure 7:</w:t>
        </w:r>
        <w:r w:rsidR="000613AB" w:rsidRPr="000613AB">
          <w:rPr>
            <w:rStyle w:val="Hyperlink"/>
            <w:rFonts w:ascii="Arial" w:hAnsi="Arial" w:cs="Arial"/>
            <w:noProof/>
          </w:rPr>
          <w:t xml:space="preserve"> Consultation Insights</w:t>
        </w:r>
        <w:r w:rsidR="000613AB" w:rsidRPr="000613AB">
          <w:rPr>
            <w:rFonts w:ascii="Arial" w:hAnsi="Arial" w:cs="Arial"/>
            <w:noProof/>
            <w:webHidden/>
          </w:rPr>
          <w:tab/>
        </w:r>
        <w:r w:rsidR="000613AB" w:rsidRPr="000613AB">
          <w:rPr>
            <w:rFonts w:ascii="Arial" w:hAnsi="Arial" w:cs="Arial"/>
            <w:noProof/>
            <w:webHidden/>
          </w:rPr>
          <w:fldChar w:fldCharType="begin"/>
        </w:r>
        <w:r w:rsidR="000613AB" w:rsidRPr="000613AB">
          <w:rPr>
            <w:rFonts w:ascii="Arial" w:hAnsi="Arial" w:cs="Arial"/>
            <w:noProof/>
            <w:webHidden/>
          </w:rPr>
          <w:instrText xml:space="preserve"> PAGEREF _Toc90385835 \h </w:instrText>
        </w:r>
        <w:r w:rsidR="000613AB" w:rsidRPr="000613AB">
          <w:rPr>
            <w:rFonts w:ascii="Arial" w:hAnsi="Arial" w:cs="Arial"/>
            <w:noProof/>
            <w:webHidden/>
          </w:rPr>
        </w:r>
        <w:r w:rsidR="000613AB" w:rsidRPr="000613AB">
          <w:rPr>
            <w:rFonts w:ascii="Arial" w:hAnsi="Arial" w:cs="Arial"/>
            <w:noProof/>
            <w:webHidden/>
          </w:rPr>
          <w:fldChar w:fldCharType="separate"/>
        </w:r>
        <w:r w:rsidR="00486329">
          <w:rPr>
            <w:rFonts w:ascii="Arial" w:hAnsi="Arial" w:cs="Arial"/>
            <w:noProof/>
            <w:webHidden/>
          </w:rPr>
          <w:t>17</w:t>
        </w:r>
        <w:r w:rsidR="000613AB" w:rsidRPr="000613AB">
          <w:rPr>
            <w:rFonts w:ascii="Arial" w:hAnsi="Arial" w:cs="Arial"/>
            <w:noProof/>
            <w:webHidden/>
          </w:rPr>
          <w:fldChar w:fldCharType="end"/>
        </w:r>
      </w:hyperlink>
    </w:p>
    <w:p w14:paraId="46EB9B00" w14:textId="0AB4D9F9" w:rsidR="000613AB" w:rsidRPr="000613AB" w:rsidRDefault="00E876B6">
      <w:pPr>
        <w:pStyle w:val="TableofFigures"/>
        <w:tabs>
          <w:tab w:val="right" w:leader="dot" w:pos="9016"/>
        </w:tabs>
        <w:rPr>
          <w:rFonts w:ascii="Arial" w:hAnsi="Arial" w:cs="Arial"/>
          <w:noProof/>
        </w:rPr>
      </w:pPr>
      <w:hyperlink r:id="rId24" w:anchor="_Toc90385836" w:history="1">
        <w:r w:rsidR="000613AB" w:rsidRPr="000613AB">
          <w:rPr>
            <w:rStyle w:val="Hyperlink"/>
            <w:rFonts w:ascii="Arial" w:hAnsi="Arial" w:cs="Arial"/>
            <w:b/>
            <w:bCs/>
            <w:noProof/>
          </w:rPr>
          <w:t>Figure 8:</w:t>
        </w:r>
        <w:r w:rsidR="000613AB" w:rsidRPr="000613AB">
          <w:rPr>
            <w:rStyle w:val="Hyperlink"/>
            <w:rFonts w:ascii="Arial" w:hAnsi="Arial" w:cs="Arial"/>
            <w:noProof/>
          </w:rPr>
          <w:t xml:space="preserve"> Consultation Insights</w:t>
        </w:r>
        <w:r w:rsidR="000613AB" w:rsidRPr="000613AB">
          <w:rPr>
            <w:rFonts w:ascii="Arial" w:hAnsi="Arial" w:cs="Arial"/>
            <w:noProof/>
            <w:webHidden/>
          </w:rPr>
          <w:tab/>
        </w:r>
        <w:r w:rsidR="000613AB" w:rsidRPr="000613AB">
          <w:rPr>
            <w:rFonts w:ascii="Arial" w:hAnsi="Arial" w:cs="Arial"/>
            <w:noProof/>
            <w:webHidden/>
          </w:rPr>
          <w:fldChar w:fldCharType="begin"/>
        </w:r>
        <w:r w:rsidR="000613AB" w:rsidRPr="000613AB">
          <w:rPr>
            <w:rFonts w:ascii="Arial" w:hAnsi="Arial" w:cs="Arial"/>
            <w:noProof/>
            <w:webHidden/>
          </w:rPr>
          <w:instrText xml:space="preserve"> PAGEREF _Toc90385836 \h </w:instrText>
        </w:r>
        <w:r w:rsidR="000613AB" w:rsidRPr="000613AB">
          <w:rPr>
            <w:rFonts w:ascii="Arial" w:hAnsi="Arial" w:cs="Arial"/>
            <w:noProof/>
            <w:webHidden/>
          </w:rPr>
        </w:r>
        <w:r w:rsidR="000613AB" w:rsidRPr="000613AB">
          <w:rPr>
            <w:rFonts w:ascii="Arial" w:hAnsi="Arial" w:cs="Arial"/>
            <w:noProof/>
            <w:webHidden/>
          </w:rPr>
          <w:fldChar w:fldCharType="separate"/>
        </w:r>
        <w:r w:rsidR="00486329">
          <w:rPr>
            <w:rFonts w:ascii="Arial" w:hAnsi="Arial" w:cs="Arial"/>
            <w:noProof/>
            <w:webHidden/>
          </w:rPr>
          <w:t>18</w:t>
        </w:r>
        <w:r w:rsidR="000613AB" w:rsidRPr="000613AB">
          <w:rPr>
            <w:rFonts w:ascii="Arial" w:hAnsi="Arial" w:cs="Arial"/>
            <w:noProof/>
            <w:webHidden/>
          </w:rPr>
          <w:fldChar w:fldCharType="end"/>
        </w:r>
      </w:hyperlink>
    </w:p>
    <w:p w14:paraId="57A639FF" w14:textId="3F25F649" w:rsidR="000613AB" w:rsidRPr="000613AB" w:rsidRDefault="00E876B6">
      <w:pPr>
        <w:pStyle w:val="TableofFigures"/>
        <w:tabs>
          <w:tab w:val="right" w:leader="dot" w:pos="9016"/>
        </w:tabs>
        <w:rPr>
          <w:rFonts w:ascii="Arial" w:hAnsi="Arial" w:cs="Arial"/>
          <w:noProof/>
        </w:rPr>
      </w:pPr>
      <w:hyperlink r:id="rId25" w:anchor="_Toc90385837" w:history="1">
        <w:r w:rsidR="000613AB" w:rsidRPr="000613AB">
          <w:rPr>
            <w:rStyle w:val="Hyperlink"/>
            <w:rFonts w:ascii="Arial" w:hAnsi="Arial" w:cs="Arial"/>
            <w:b/>
            <w:bCs/>
            <w:noProof/>
          </w:rPr>
          <w:t>Figure 9:</w:t>
        </w:r>
        <w:r w:rsidR="000613AB" w:rsidRPr="000613AB">
          <w:rPr>
            <w:rStyle w:val="Hyperlink"/>
            <w:rFonts w:ascii="Arial" w:hAnsi="Arial" w:cs="Arial"/>
            <w:noProof/>
          </w:rPr>
          <w:t xml:space="preserve"> Consultation Insights</w:t>
        </w:r>
        <w:r w:rsidR="000613AB" w:rsidRPr="000613AB">
          <w:rPr>
            <w:rFonts w:ascii="Arial" w:hAnsi="Arial" w:cs="Arial"/>
            <w:noProof/>
            <w:webHidden/>
          </w:rPr>
          <w:tab/>
        </w:r>
        <w:r w:rsidR="000613AB" w:rsidRPr="000613AB">
          <w:rPr>
            <w:rFonts w:ascii="Arial" w:hAnsi="Arial" w:cs="Arial"/>
            <w:noProof/>
            <w:webHidden/>
          </w:rPr>
          <w:fldChar w:fldCharType="begin"/>
        </w:r>
        <w:r w:rsidR="000613AB" w:rsidRPr="000613AB">
          <w:rPr>
            <w:rFonts w:ascii="Arial" w:hAnsi="Arial" w:cs="Arial"/>
            <w:noProof/>
            <w:webHidden/>
          </w:rPr>
          <w:instrText xml:space="preserve"> PAGEREF _Toc90385837 \h </w:instrText>
        </w:r>
        <w:r w:rsidR="000613AB" w:rsidRPr="000613AB">
          <w:rPr>
            <w:rFonts w:ascii="Arial" w:hAnsi="Arial" w:cs="Arial"/>
            <w:noProof/>
            <w:webHidden/>
          </w:rPr>
        </w:r>
        <w:r w:rsidR="000613AB" w:rsidRPr="000613AB">
          <w:rPr>
            <w:rFonts w:ascii="Arial" w:hAnsi="Arial" w:cs="Arial"/>
            <w:noProof/>
            <w:webHidden/>
          </w:rPr>
          <w:fldChar w:fldCharType="separate"/>
        </w:r>
        <w:r w:rsidR="00486329">
          <w:rPr>
            <w:rFonts w:ascii="Arial" w:hAnsi="Arial" w:cs="Arial"/>
            <w:noProof/>
            <w:webHidden/>
          </w:rPr>
          <w:t>18</w:t>
        </w:r>
        <w:r w:rsidR="000613AB" w:rsidRPr="000613AB">
          <w:rPr>
            <w:rFonts w:ascii="Arial" w:hAnsi="Arial" w:cs="Arial"/>
            <w:noProof/>
            <w:webHidden/>
          </w:rPr>
          <w:fldChar w:fldCharType="end"/>
        </w:r>
      </w:hyperlink>
    </w:p>
    <w:p w14:paraId="1F0BD42A" w14:textId="1FA2E90C" w:rsidR="000613AB" w:rsidRPr="000613AB" w:rsidRDefault="00E876B6">
      <w:pPr>
        <w:pStyle w:val="TableofFigures"/>
        <w:tabs>
          <w:tab w:val="right" w:leader="dot" w:pos="9016"/>
        </w:tabs>
        <w:rPr>
          <w:rFonts w:ascii="Arial" w:hAnsi="Arial" w:cs="Arial"/>
          <w:noProof/>
        </w:rPr>
      </w:pPr>
      <w:hyperlink r:id="rId26" w:anchor="_Toc90385838" w:history="1">
        <w:r w:rsidR="000613AB" w:rsidRPr="000613AB">
          <w:rPr>
            <w:rStyle w:val="Hyperlink"/>
            <w:rFonts w:ascii="Arial" w:hAnsi="Arial" w:cs="Arial"/>
            <w:b/>
            <w:bCs/>
            <w:noProof/>
          </w:rPr>
          <w:t>Figure 10:</w:t>
        </w:r>
        <w:r w:rsidR="000613AB" w:rsidRPr="000613AB">
          <w:rPr>
            <w:rStyle w:val="Hyperlink"/>
            <w:rFonts w:ascii="Arial" w:hAnsi="Arial" w:cs="Arial"/>
            <w:noProof/>
          </w:rPr>
          <w:t xml:space="preserve"> Consultation Insights</w:t>
        </w:r>
        <w:r w:rsidR="000613AB" w:rsidRPr="000613AB">
          <w:rPr>
            <w:rFonts w:ascii="Arial" w:hAnsi="Arial" w:cs="Arial"/>
            <w:noProof/>
            <w:webHidden/>
          </w:rPr>
          <w:tab/>
        </w:r>
        <w:r w:rsidR="000613AB" w:rsidRPr="000613AB">
          <w:rPr>
            <w:rFonts w:ascii="Arial" w:hAnsi="Arial" w:cs="Arial"/>
            <w:noProof/>
            <w:webHidden/>
          </w:rPr>
          <w:fldChar w:fldCharType="begin"/>
        </w:r>
        <w:r w:rsidR="000613AB" w:rsidRPr="000613AB">
          <w:rPr>
            <w:rFonts w:ascii="Arial" w:hAnsi="Arial" w:cs="Arial"/>
            <w:noProof/>
            <w:webHidden/>
          </w:rPr>
          <w:instrText xml:space="preserve"> PAGEREF _Toc90385838 \h </w:instrText>
        </w:r>
        <w:r w:rsidR="000613AB" w:rsidRPr="000613AB">
          <w:rPr>
            <w:rFonts w:ascii="Arial" w:hAnsi="Arial" w:cs="Arial"/>
            <w:noProof/>
            <w:webHidden/>
          </w:rPr>
        </w:r>
        <w:r w:rsidR="000613AB" w:rsidRPr="000613AB">
          <w:rPr>
            <w:rFonts w:ascii="Arial" w:hAnsi="Arial" w:cs="Arial"/>
            <w:noProof/>
            <w:webHidden/>
          </w:rPr>
          <w:fldChar w:fldCharType="separate"/>
        </w:r>
        <w:r w:rsidR="00486329">
          <w:rPr>
            <w:rFonts w:ascii="Arial" w:hAnsi="Arial" w:cs="Arial"/>
            <w:noProof/>
            <w:webHidden/>
          </w:rPr>
          <w:t>19</w:t>
        </w:r>
        <w:r w:rsidR="000613AB" w:rsidRPr="000613AB">
          <w:rPr>
            <w:rFonts w:ascii="Arial" w:hAnsi="Arial" w:cs="Arial"/>
            <w:noProof/>
            <w:webHidden/>
          </w:rPr>
          <w:fldChar w:fldCharType="end"/>
        </w:r>
      </w:hyperlink>
    </w:p>
    <w:p w14:paraId="23D711A5" w14:textId="09D17C13" w:rsidR="000613AB" w:rsidRPr="000613AB" w:rsidRDefault="00E876B6">
      <w:pPr>
        <w:pStyle w:val="TableofFigures"/>
        <w:tabs>
          <w:tab w:val="right" w:leader="dot" w:pos="9016"/>
        </w:tabs>
        <w:rPr>
          <w:rFonts w:ascii="Arial" w:hAnsi="Arial" w:cs="Arial"/>
          <w:noProof/>
        </w:rPr>
      </w:pPr>
      <w:hyperlink r:id="rId27" w:anchor="_Toc90385839" w:history="1">
        <w:r w:rsidR="000613AB" w:rsidRPr="000613AB">
          <w:rPr>
            <w:rStyle w:val="Hyperlink"/>
            <w:rFonts w:ascii="Arial" w:hAnsi="Arial" w:cs="Arial"/>
            <w:b/>
            <w:bCs/>
            <w:noProof/>
          </w:rPr>
          <w:t>Figure 11:</w:t>
        </w:r>
        <w:r w:rsidR="000613AB" w:rsidRPr="000613AB">
          <w:rPr>
            <w:rStyle w:val="Hyperlink"/>
            <w:rFonts w:ascii="Arial" w:hAnsi="Arial" w:cs="Arial"/>
            <w:noProof/>
          </w:rPr>
          <w:t xml:space="preserve"> Consultation Insights</w:t>
        </w:r>
        <w:r w:rsidR="000613AB" w:rsidRPr="000613AB">
          <w:rPr>
            <w:rFonts w:ascii="Arial" w:hAnsi="Arial" w:cs="Arial"/>
            <w:noProof/>
            <w:webHidden/>
          </w:rPr>
          <w:tab/>
        </w:r>
        <w:r w:rsidR="000613AB" w:rsidRPr="000613AB">
          <w:rPr>
            <w:rFonts w:ascii="Arial" w:hAnsi="Arial" w:cs="Arial"/>
            <w:noProof/>
            <w:webHidden/>
          </w:rPr>
          <w:fldChar w:fldCharType="begin"/>
        </w:r>
        <w:r w:rsidR="000613AB" w:rsidRPr="000613AB">
          <w:rPr>
            <w:rFonts w:ascii="Arial" w:hAnsi="Arial" w:cs="Arial"/>
            <w:noProof/>
            <w:webHidden/>
          </w:rPr>
          <w:instrText xml:space="preserve"> PAGEREF _Toc90385839 \h </w:instrText>
        </w:r>
        <w:r w:rsidR="000613AB" w:rsidRPr="000613AB">
          <w:rPr>
            <w:rFonts w:ascii="Arial" w:hAnsi="Arial" w:cs="Arial"/>
            <w:noProof/>
            <w:webHidden/>
          </w:rPr>
        </w:r>
        <w:r w:rsidR="000613AB" w:rsidRPr="000613AB">
          <w:rPr>
            <w:rFonts w:ascii="Arial" w:hAnsi="Arial" w:cs="Arial"/>
            <w:noProof/>
            <w:webHidden/>
          </w:rPr>
          <w:fldChar w:fldCharType="separate"/>
        </w:r>
        <w:r w:rsidR="00486329">
          <w:rPr>
            <w:rFonts w:ascii="Arial" w:hAnsi="Arial" w:cs="Arial"/>
            <w:noProof/>
            <w:webHidden/>
          </w:rPr>
          <w:t>19</w:t>
        </w:r>
        <w:r w:rsidR="000613AB" w:rsidRPr="000613AB">
          <w:rPr>
            <w:rFonts w:ascii="Arial" w:hAnsi="Arial" w:cs="Arial"/>
            <w:noProof/>
            <w:webHidden/>
          </w:rPr>
          <w:fldChar w:fldCharType="end"/>
        </w:r>
      </w:hyperlink>
    </w:p>
    <w:p w14:paraId="0CCCBE3C" w14:textId="1FBADC7C" w:rsidR="000613AB" w:rsidRPr="000613AB" w:rsidRDefault="00E876B6">
      <w:pPr>
        <w:pStyle w:val="TableofFigures"/>
        <w:tabs>
          <w:tab w:val="right" w:leader="dot" w:pos="9016"/>
        </w:tabs>
        <w:rPr>
          <w:rFonts w:ascii="Arial" w:hAnsi="Arial" w:cs="Arial"/>
          <w:noProof/>
        </w:rPr>
      </w:pPr>
      <w:hyperlink r:id="rId28" w:anchor="_Toc90385840" w:history="1">
        <w:r w:rsidR="000613AB" w:rsidRPr="000613AB">
          <w:rPr>
            <w:rStyle w:val="Hyperlink"/>
            <w:rFonts w:ascii="Arial" w:hAnsi="Arial" w:cs="Arial"/>
            <w:b/>
            <w:bCs/>
            <w:noProof/>
          </w:rPr>
          <w:t>Figure 12:</w:t>
        </w:r>
        <w:r w:rsidR="000613AB" w:rsidRPr="000613AB">
          <w:rPr>
            <w:rStyle w:val="Hyperlink"/>
            <w:rFonts w:ascii="Arial" w:hAnsi="Arial" w:cs="Arial"/>
            <w:noProof/>
          </w:rPr>
          <w:t xml:space="preserve"> Consultation Insights</w:t>
        </w:r>
        <w:r w:rsidR="000613AB" w:rsidRPr="000613AB">
          <w:rPr>
            <w:rFonts w:ascii="Arial" w:hAnsi="Arial" w:cs="Arial"/>
            <w:noProof/>
            <w:webHidden/>
          </w:rPr>
          <w:tab/>
        </w:r>
        <w:r w:rsidR="000613AB" w:rsidRPr="000613AB">
          <w:rPr>
            <w:rFonts w:ascii="Arial" w:hAnsi="Arial" w:cs="Arial"/>
            <w:noProof/>
            <w:webHidden/>
          </w:rPr>
          <w:fldChar w:fldCharType="begin"/>
        </w:r>
        <w:r w:rsidR="000613AB" w:rsidRPr="000613AB">
          <w:rPr>
            <w:rFonts w:ascii="Arial" w:hAnsi="Arial" w:cs="Arial"/>
            <w:noProof/>
            <w:webHidden/>
          </w:rPr>
          <w:instrText xml:space="preserve"> PAGEREF _Toc90385840 \h </w:instrText>
        </w:r>
        <w:r w:rsidR="000613AB" w:rsidRPr="000613AB">
          <w:rPr>
            <w:rFonts w:ascii="Arial" w:hAnsi="Arial" w:cs="Arial"/>
            <w:noProof/>
            <w:webHidden/>
          </w:rPr>
        </w:r>
        <w:r w:rsidR="000613AB" w:rsidRPr="000613AB">
          <w:rPr>
            <w:rFonts w:ascii="Arial" w:hAnsi="Arial" w:cs="Arial"/>
            <w:noProof/>
            <w:webHidden/>
          </w:rPr>
          <w:fldChar w:fldCharType="separate"/>
        </w:r>
        <w:r w:rsidR="00486329">
          <w:rPr>
            <w:rFonts w:ascii="Arial" w:hAnsi="Arial" w:cs="Arial"/>
            <w:noProof/>
            <w:webHidden/>
          </w:rPr>
          <w:t>20</w:t>
        </w:r>
        <w:r w:rsidR="000613AB" w:rsidRPr="000613AB">
          <w:rPr>
            <w:rFonts w:ascii="Arial" w:hAnsi="Arial" w:cs="Arial"/>
            <w:noProof/>
            <w:webHidden/>
          </w:rPr>
          <w:fldChar w:fldCharType="end"/>
        </w:r>
      </w:hyperlink>
    </w:p>
    <w:p w14:paraId="25AACEBA" w14:textId="1BF4CE7E" w:rsidR="000613AB" w:rsidRPr="000613AB" w:rsidRDefault="00E876B6">
      <w:pPr>
        <w:pStyle w:val="TableofFigures"/>
        <w:tabs>
          <w:tab w:val="right" w:leader="dot" w:pos="9016"/>
        </w:tabs>
        <w:rPr>
          <w:rFonts w:ascii="Arial" w:hAnsi="Arial" w:cs="Arial"/>
          <w:noProof/>
        </w:rPr>
      </w:pPr>
      <w:hyperlink r:id="rId29" w:anchor="_Toc90385841" w:history="1">
        <w:r w:rsidR="000613AB" w:rsidRPr="000613AB">
          <w:rPr>
            <w:rStyle w:val="Hyperlink"/>
            <w:rFonts w:ascii="Arial" w:hAnsi="Arial" w:cs="Arial"/>
            <w:b/>
            <w:bCs/>
            <w:noProof/>
          </w:rPr>
          <w:t xml:space="preserve">Figure 13: </w:t>
        </w:r>
        <w:r w:rsidR="000613AB" w:rsidRPr="000613AB">
          <w:rPr>
            <w:rStyle w:val="Hyperlink"/>
            <w:rFonts w:ascii="Arial" w:hAnsi="Arial" w:cs="Arial"/>
            <w:noProof/>
          </w:rPr>
          <w:t>Consultation Insights</w:t>
        </w:r>
        <w:r w:rsidR="000613AB" w:rsidRPr="000613AB">
          <w:rPr>
            <w:rFonts w:ascii="Arial" w:hAnsi="Arial" w:cs="Arial"/>
            <w:noProof/>
            <w:webHidden/>
          </w:rPr>
          <w:tab/>
        </w:r>
        <w:r w:rsidR="000613AB" w:rsidRPr="000613AB">
          <w:rPr>
            <w:rFonts w:ascii="Arial" w:hAnsi="Arial" w:cs="Arial"/>
            <w:noProof/>
            <w:webHidden/>
          </w:rPr>
          <w:fldChar w:fldCharType="begin"/>
        </w:r>
        <w:r w:rsidR="000613AB" w:rsidRPr="000613AB">
          <w:rPr>
            <w:rFonts w:ascii="Arial" w:hAnsi="Arial" w:cs="Arial"/>
            <w:noProof/>
            <w:webHidden/>
          </w:rPr>
          <w:instrText xml:space="preserve"> PAGEREF _Toc90385841 \h </w:instrText>
        </w:r>
        <w:r w:rsidR="000613AB" w:rsidRPr="000613AB">
          <w:rPr>
            <w:rFonts w:ascii="Arial" w:hAnsi="Arial" w:cs="Arial"/>
            <w:noProof/>
            <w:webHidden/>
          </w:rPr>
        </w:r>
        <w:r w:rsidR="000613AB" w:rsidRPr="000613AB">
          <w:rPr>
            <w:rFonts w:ascii="Arial" w:hAnsi="Arial" w:cs="Arial"/>
            <w:noProof/>
            <w:webHidden/>
          </w:rPr>
          <w:fldChar w:fldCharType="separate"/>
        </w:r>
        <w:r w:rsidR="00486329">
          <w:rPr>
            <w:rFonts w:ascii="Arial" w:hAnsi="Arial" w:cs="Arial"/>
            <w:noProof/>
            <w:webHidden/>
          </w:rPr>
          <w:t>22</w:t>
        </w:r>
        <w:r w:rsidR="000613AB" w:rsidRPr="000613AB">
          <w:rPr>
            <w:rFonts w:ascii="Arial" w:hAnsi="Arial" w:cs="Arial"/>
            <w:noProof/>
            <w:webHidden/>
          </w:rPr>
          <w:fldChar w:fldCharType="end"/>
        </w:r>
      </w:hyperlink>
    </w:p>
    <w:p w14:paraId="030C8962" w14:textId="24C981A0" w:rsidR="003F4DF2" w:rsidRDefault="000613AB">
      <w:pPr>
        <w:rPr>
          <w:rFonts w:ascii="Arial" w:eastAsia="Calibri" w:hAnsi="Arial" w:cs="Arial"/>
          <w:color w:val="997339"/>
        </w:rPr>
      </w:pPr>
      <w:r w:rsidRPr="000613AB">
        <w:rPr>
          <w:rFonts w:ascii="Arial" w:eastAsia="Calibri" w:hAnsi="Arial" w:cs="Arial"/>
          <w:color w:val="997339"/>
        </w:rPr>
        <w:fldChar w:fldCharType="end"/>
      </w:r>
    </w:p>
    <w:p w14:paraId="34812083" w14:textId="77777777" w:rsidR="000613AB" w:rsidRDefault="003F4DF2">
      <w:pPr>
        <w:rPr>
          <w:rFonts w:ascii="Arial" w:eastAsia="Calibri" w:hAnsi="Arial" w:cs="Arial"/>
          <w:color w:val="997339"/>
        </w:rPr>
      </w:pPr>
      <w:r>
        <w:rPr>
          <w:rFonts w:ascii="Arial" w:eastAsia="Calibri" w:hAnsi="Arial" w:cs="Arial"/>
          <w:color w:val="997339"/>
        </w:rPr>
        <w:t xml:space="preserve">List of </w:t>
      </w:r>
      <w:r w:rsidR="000613AB">
        <w:rPr>
          <w:rFonts w:ascii="Arial" w:eastAsia="Calibri" w:hAnsi="Arial" w:cs="Arial"/>
          <w:color w:val="997339"/>
        </w:rPr>
        <w:t>Tables</w:t>
      </w:r>
    </w:p>
    <w:p w14:paraId="4FAA9DE5" w14:textId="52FA8A2B" w:rsidR="000613AB" w:rsidRPr="000613AB" w:rsidRDefault="000613AB">
      <w:pPr>
        <w:pStyle w:val="TableofFigures"/>
        <w:tabs>
          <w:tab w:val="right" w:leader="dot" w:pos="9016"/>
        </w:tabs>
        <w:rPr>
          <w:rFonts w:ascii="Arial" w:eastAsiaTheme="minorEastAsia" w:hAnsi="Arial" w:cs="Arial"/>
          <w:noProof/>
          <w:lang w:eastAsia="en-AU"/>
        </w:rPr>
      </w:pPr>
      <w:r>
        <w:rPr>
          <w:rFonts w:ascii="Arial" w:eastAsia="Calibri" w:hAnsi="Arial" w:cs="Arial"/>
          <w:color w:val="997339"/>
        </w:rPr>
        <w:fldChar w:fldCharType="begin"/>
      </w:r>
      <w:r>
        <w:rPr>
          <w:rFonts w:ascii="Arial" w:eastAsia="Calibri" w:hAnsi="Arial" w:cs="Arial"/>
          <w:color w:val="997339"/>
        </w:rPr>
        <w:instrText xml:space="preserve"> TOC \h \z \c "Table" </w:instrText>
      </w:r>
      <w:r>
        <w:rPr>
          <w:rFonts w:ascii="Arial" w:eastAsia="Calibri" w:hAnsi="Arial" w:cs="Arial"/>
          <w:color w:val="997339"/>
        </w:rPr>
        <w:fldChar w:fldCharType="separate"/>
      </w:r>
      <w:hyperlink w:anchor="_Toc90385853" w:history="1">
        <w:r w:rsidRPr="000613AB">
          <w:rPr>
            <w:rStyle w:val="Hyperlink"/>
            <w:rFonts w:ascii="Arial" w:eastAsia="Calibri" w:hAnsi="Arial" w:cs="Arial"/>
            <w:b/>
            <w:bCs/>
            <w:noProof/>
          </w:rPr>
          <w:t>Table 1:</w:t>
        </w:r>
        <w:r w:rsidRPr="000613AB">
          <w:rPr>
            <w:rStyle w:val="Hyperlink"/>
            <w:rFonts w:ascii="Arial" w:eastAsia="Calibri" w:hAnsi="Arial" w:cs="Arial"/>
            <w:noProof/>
          </w:rPr>
          <w:t xml:space="preserve"> Overview of State and Territory Explosives Instruments</w:t>
        </w:r>
        <w:r w:rsidRPr="000613AB">
          <w:rPr>
            <w:rFonts w:ascii="Arial" w:hAnsi="Arial" w:cs="Arial"/>
            <w:noProof/>
            <w:webHidden/>
          </w:rPr>
          <w:tab/>
        </w:r>
        <w:r w:rsidRPr="000613AB">
          <w:rPr>
            <w:rFonts w:ascii="Arial" w:hAnsi="Arial" w:cs="Arial"/>
            <w:noProof/>
            <w:webHidden/>
          </w:rPr>
          <w:fldChar w:fldCharType="begin"/>
        </w:r>
        <w:r w:rsidRPr="000613AB">
          <w:rPr>
            <w:rFonts w:ascii="Arial" w:hAnsi="Arial" w:cs="Arial"/>
            <w:noProof/>
            <w:webHidden/>
          </w:rPr>
          <w:instrText xml:space="preserve"> PAGEREF _Toc90385853 \h </w:instrText>
        </w:r>
        <w:r w:rsidRPr="000613AB">
          <w:rPr>
            <w:rFonts w:ascii="Arial" w:hAnsi="Arial" w:cs="Arial"/>
            <w:noProof/>
            <w:webHidden/>
          </w:rPr>
        </w:r>
        <w:r w:rsidRPr="000613AB">
          <w:rPr>
            <w:rFonts w:ascii="Arial" w:hAnsi="Arial" w:cs="Arial"/>
            <w:noProof/>
            <w:webHidden/>
          </w:rPr>
          <w:fldChar w:fldCharType="separate"/>
        </w:r>
        <w:r w:rsidR="00486329">
          <w:rPr>
            <w:rFonts w:ascii="Arial" w:hAnsi="Arial" w:cs="Arial"/>
            <w:noProof/>
            <w:webHidden/>
          </w:rPr>
          <w:t>6</w:t>
        </w:r>
        <w:r w:rsidRPr="000613AB">
          <w:rPr>
            <w:rFonts w:ascii="Arial" w:hAnsi="Arial" w:cs="Arial"/>
            <w:noProof/>
            <w:webHidden/>
          </w:rPr>
          <w:fldChar w:fldCharType="end"/>
        </w:r>
      </w:hyperlink>
    </w:p>
    <w:p w14:paraId="5F783740" w14:textId="667E6FA3" w:rsidR="000613AB" w:rsidRPr="000613AB" w:rsidRDefault="00E876B6">
      <w:pPr>
        <w:pStyle w:val="TableofFigures"/>
        <w:tabs>
          <w:tab w:val="right" w:leader="dot" w:pos="9016"/>
        </w:tabs>
        <w:rPr>
          <w:rFonts w:ascii="Arial" w:eastAsiaTheme="minorEastAsia" w:hAnsi="Arial" w:cs="Arial"/>
          <w:noProof/>
          <w:lang w:eastAsia="en-AU"/>
        </w:rPr>
      </w:pPr>
      <w:hyperlink w:anchor="_Toc90385854" w:history="1">
        <w:r w:rsidR="000613AB" w:rsidRPr="000613AB">
          <w:rPr>
            <w:rStyle w:val="Hyperlink"/>
            <w:rFonts w:ascii="Arial" w:eastAsia="Calibri" w:hAnsi="Arial" w:cs="Arial"/>
            <w:b/>
            <w:bCs/>
            <w:noProof/>
          </w:rPr>
          <w:t>Table 2:</w:t>
        </w:r>
        <w:r w:rsidR="000613AB" w:rsidRPr="000613AB">
          <w:rPr>
            <w:rStyle w:val="Hyperlink"/>
            <w:rFonts w:ascii="Arial" w:eastAsia="Calibri" w:hAnsi="Arial" w:cs="Arial"/>
            <w:noProof/>
          </w:rPr>
          <w:t xml:space="preserve"> Summary of Problem Elements</w:t>
        </w:r>
        <w:r w:rsidR="000613AB" w:rsidRPr="000613AB">
          <w:rPr>
            <w:rFonts w:ascii="Arial" w:hAnsi="Arial" w:cs="Arial"/>
            <w:noProof/>
            <w:webHidden/>
          </w:rPr>
          <w:tab/>
        </w:r>
        <w:r w:rsidR="000613AB" w:rsidRPr="000613AB">
          <w:rPr>
            <w:rFonts w:ascii="Arial" w:hAnsi="Arial" w:cs="Arial"/>
            <w:noProof/>
            <w:webHidden/>
          </w:rPr>
          <w:fldChar w:fldCharType="begin"/>
        </w:r>
        <w:r w:rsidR="000613AB" w:rsidRPr="000613AB">
          <w:rPr>
            <w:rFonts w:ascii="Arial" w:hAnsi="Arial" w:cs="Arial"/>
            <w:noProof/>
            <w:webHidden/>
          </w:rPr>
          <w:instrText xml:space="preserve"> PAGEREF _Toc90385854 \h </w:instrText>
        </w:r>
        <w:r w:rsidR="000613AB" w:rsidRPr="000613AB">
          <w:rPr>
            <w:rFonts w:ascii="Arial" w:hAnsi="Arial" w:cs="Arial"/>
            <w:noProof/>
            <w:webHidden/>
          </w:rPr>
        </w:r>
        <w:r w:rsidR="000613AB" w:rsidRPr="000613AB">
          <w:rPr>
            <w:rFonts w:ascii="Arial" w:hAnsi="Arial" w:cs="Arial"/>
            <w:noProof/>
            <w:webHidden/>
          </w:rPr>
          <w:fldChar w:fldCharType="separate"/>
        </w:r>
        <w:r w:rsidR="00486329">
          <w:rPr>
            <w:rFonts w:ascii="Arial" w:hAnsi="Arial" w:cs="Arial"/>
            <w:noProof/>
            <w:webHidden/>
          </w:rPr>
          <w:t>9</w:t>
        </w:r>
        <w:r w:rsidR="000613AB" w:rsidRPr="000613AB">
          <w:rPr>
            <w:rFonts w:ascii="Arial" w:hAnsi="Arial" w:cs="Arial"/>
            <w:noProof/>
            <w:webHidden/>
          </w:rPr>
          <w:fldChar w:fldCharType="end"/>
        </w:r>
      </w:hyperlink>
    </w:p>
    <w:p w14:paraId="21EC8305" w14:textId="236FD058" w:rsidR="000613AB" w:rsidRPr="000613AB" w:rsidRDefault="00E876B6">
      <w:pPr>
        <w:pStyle w:val="TableofFigures"/>
        <w:tabs>
          <w:tab w:val="right" w:leader="dot" w:pos="9016"/>
        </w:tabs>
        <w:rPr>
          <w:rFonts w:ascii="Arial" w:eastAsiaTheme="minorEastAsia" w:hAnsi="Arial" w:cs="Arial"/>
          <w:noProof/>
          <w:lang w:eastAsia="en-AU"/>
        </w:rPr>
      </w:pPr>
      <w:hyperlink w:anchor="_Toc90385855" w:history="1">
        <w:r w:rsidR="000613AB" w:rsidRPr="000613AB">
          <w:rPr>
            <w:rStyle w:val="Hyperlink"/>
            <w:rFonts w:ascii="Arial" w:eastAsia="Calibri" w:hAnsi="Arial" w:cs="Arial"/>
            <w:b/>
            <w:bCs/>
            <w:noProof/>
          </w:rPr>
          <w:t>Table 3:</w:t>
        </w:r>
        <w:r w:rsidR="000613AB" w:rsidRPr="000613AB">
          <w:rPr>
            <w:rStyle w:val="Hyperlink"/>
            <w:rFonts w:ascii="Arial" w:eastAsia="Calibri" w:hAnsi="Arial" w:cs="Arial"/>
            <w:noProof/>
          </w:rPr>
          <w:t xml:space="preserve"> Gaps in Current Safety, Security, Compliance and Enforcement Regime</w:t>
        </w:r>
        <w:r w:rsidR="000613AB" w:rsidRPr="000613AB">
          <w:rPr>
            <w:rFonts w:ascii="Arial" w:hAnsi="Arial" w:cs="Arial"/>
            <w:noProof/>
            <w:webHidden/>
          </w:rPr>
          <w:tab/>
        </w:r>
        <w:r w:rsidR="000613AB" w:rsidRPr="000613AB">
          <w:rPr>
            <w:rFonts w:ascii="Arial" w:hAnsi="Arial" w:cs="Arial"/>
            <w:noProof/>
            <w:webHidden/>
          </w:rPr>
          <w:fldChar w:fldCharType="begin"/>
        </w:r>
        <w:r w:rsidR="000613AB" w:rsidRPr="000613AB">
          <w:rPr>
            <w:rFonts w:ascii="Arial" w:hAnsi="Arial" w:cs="Arial"/>
            <w:noProof/>
            <w:webHidden/>
          </w:rPr>
          <w:instrText xml:space="preserve"> PAGEREF _Toc90385855 \h </w:instrText>
        </w:r>
        <w:r w:rsidR="000613AB" w:rsidRPr="000613AB">
          <w:rPr>
            <w:rFonts w:ascii="Arial" w:hAnsi="Arial" w:cs="Arial"/>
            <w:noProof/>
            <w:webHidden/>
          </w:rPr>
        </w:r>
        <w:r w:rsidR="000613AB" w:rsidRPr="000613AB">
          <w:rPr>
            <w:rFonts w:ascii="Arial" w:hAnsi="Arial" w:cs="Arial"/>
            <w:noProof/>
            <w:webHidden/>
          </w:rPr>
          <w:fldChar w:fldCharType="separate"/>
        </w:r>
        <w:r w:rsidR="00486329">
          <w:rPr>
            <w:rFonts w:ascii="Arial" w:hAnsi="Arial" w:cs="Arial"/>
            <w:noProof/>
            <w:webHidden/>
          </w:rPr>
          <w:t>14</w:t>
        </w:r>
        <w:r w:rsidR="000613AB" w:rsidRPr="000613AB">
          <w:rPr>
            <w:rFonts w:ascii="Arial" w:hAnsi="Arial" w:cs="Arial"/>
            <w:noProof/>
            <w:webHidden/>
          </w:rPr>
          <w:fldChar w:fldCharType="end"/>
        </w:r>
      </w:hyperlink>
    </w:p>
    <w:p w14:paraId="3E327D3C" w14:textId="56EB2A82" w:rsidR="00761991" w:rsidRPr="00D27093" w:rsidRDefault="000613AB" w:rsidP="00D27093">
      <w:pPr>
        <w:pStyle w:val="Heading1"/>
        <w:rPr>
          <w:rFonts w:ascii="Georgia" w:eastAsia="Times New Roman" w:hAnsi="Georgia"/>
          <w:b/>
          <w:bCs/>
        </w:rPr>
      </w:pPr>
      <w:r>
        <w:rPr>
          <w:rFonts w:ascii="Arial" w:eastAsia="Calibri" w:hAnsi="Arial"/>
          <w:color w:val="997339"/>
        </w:rPr>
        <w:fldChar w:fldCharType="end"/>
      </w:r>
      <w:r w:rsidR="006C04C5">
        <w:rPr>
          <w:rFonts w:ascii="Arial" w:eastAsia="Calibri" w:hAnsi="Arial"/>
          <w:color w:val="997339"/>
        </w:rPr>
        <w:br w:type="page"/>
      </w:r>
      <w:bookmarkStart w:id="62" w:name="_Toc101961129"/>
      <w:r w:rsidR="00761991" w:rsidRPr="00D27093">
        <w:rPr>
          <w:rFonts w:ascii="Georgia" w:eastAsia="Times New Roman" w:hAnsi="Georgia"/>
          <w:b/>
          <w:bCs/>
          <w:color w:val="ED7D31" w:themeColor="accent2"/>
        </w:rPr>
        <w:lastRenderedPageBreak/>
        <w:t xml:space="preserve">Appendix </w:t>
      </w:r>
      <w:r w:rsidR="00867040" w:rsidRPr="00D27093">
        <w:rPr>
          <w:rFonts w:ascii="Georgia" w:eastAsia="Times New Roman" w:hAnsi="Georgia"/>
          <w:b/>
          <w:bCs/>
          <w:color w:val="ED7D31" w:themeColor="accent2"/>
        </w:rPr>
        <w:t>C</w:t>
      </w:r>
      <w:r w:rsidR="00761991" w:rsidRPr="00D27093">
        <w:rPr>
          <w:rFonts w:ascii="Georgia" w:eastAsia="Times New Roman" w:hAnsi="Georgia"/>
          <w:b/>
          <w:bCs/>
          <w:color w:val="ED7D31" w:themeColor="accent2"/>
        </w:rPr>
        <w:t>: Summary of Consultation Insights</w:t>
      </w:r>
      <w:bookmarkEnd w:id="62"/>
    </w:p>
    <w:p w14:paraId="31FB3446" w14:textId="77777777" w:rsidR="00761991" w:rsidRDefault="00761991" w:rsidP="00761991">
      <w:pPr>
        <w:spacing w:line="240" w:lineRule="auto"/>
        <w:rPr>
          <w:rFonts w:ascii="Arial" w:eastAsia="Times New Roman" w:hAnsi="Arial" w:cs="Arial"/>
        </w:rPr>
      </w:pPr>
      <w:r w:rsidRPr="003E3A62">
        <w:rPr>
          <w:rFonts w:ascii="Arial" w:eastAsia="Times New Roman" w:hAnsi="Arial" w:cs="Arial"/>
        </w:rPr>
        <w:t xml:space="preserve">The following tables summarises the insight gained through consultation with Commonwealth, State, Territory and industry stakeholders on the analysis and recommendations tabled in the CRP. In addition to the questions and answers set out below, each session involved extensive discussion on each topic area. Key insights have been extracted into the body of this RIS. Names have been redacted to ensure stakeholders’ anonymity. </w:t>
      </w:r>
    </w:p>
    <w:p w14:paraId="0D11343B" w14:textId="77777777" w:rsidR="00761991" w:rsidRPr="00001B77" w:rsidRDefault="00761991" w:rsidP="00761991">
      <w:pPr>
        <w:spacing w:line="240" w:lineRule="auto"/>
        <w:rPr>
          <w:rFonts w:ascii="Arial" w:eastAsia="Times New Roman" w:hAnsi="Arial" w:cs="Arial"/>
          <w:color w:val="B35E06"/>
          <w:sz w:val="26"/>
          <w:szCs w:val="26"/>
        </w:rPr>
      </w:pPr>
      <w:r w:rsidRPr="00001B77">
        <w:rPr>
          <w:rFonts w:ascii="Arial" w:eastAsia="Times New Roman" w:hAnsi="Arial" w:cs="Arial"/>
          <w:color w:val="B35E06"/>
          <w:sz w:val="26"/>
          <w:szCs w:val="26"/>
        </w:rPr>
        <w:t xml:space="preserve">Workshop 1 </w:t>
      </w:r>
    </w:p>
    <w:p w14:paraId="680D63E5" w14:textId="77777777" w:rsidR="00761991" w:rsidRDefault="00761991" w:rsidP="00761991">
      <w:pPr>
        <w:spacing w:line="240" w:lineRule="auto"/>
        <w:rPr>
          <w:rFonts w:ascii="Arial" w:eastAsia="Calibri" w:hAnsi="Arial" w:cs="Arial"/>
          <w:color w:val="997339"/>
        </w:rPr>
      </w:pPr>
      <w:r w:rsidRPr="009C0425">
        <w:rPr>
          <w:rFonts w:ascii="Arial" w:eastAsia="Calibri" w:hAnsi="Arial" w:cs="Arial"/>
          <w:color w:val="997339"/>
        </w:rPr>
        <w:t xml:space="preserve">Commonwealth Stakeholders </w:t>
      </w:r>
    </w:p>
    <w:tbl>
      <w:tblPr>
        <w:tblStyle w:val="TableGrid"/>
        <w:tblW w:w="0" w:type="auto"/>
        <w:tblLook w:val="04A0" w:firstRow="1" w:lastRow="0" w:firstColumn="1" w:lastColumn="0" w:noHBand="0" w:noVBand="1"/>
      </w:tblPr>
      <w:tblGrid>
        <w:gridCol w:w="1622"/>
        <w:gridCol w:w="3193"/>
        <w:gridCol w:w="4201"/>
      </w:tblGrid>
      <w:tr w:rsidR="00761991" w14:paraId="562FEEC1" w14:textId="77777777" w:rsidTr="00373EA8">
        <w:tc>
          <w:tcPr>
            <w:tcW w:w="1622" w:type="dxa"/>
            <w:shd w:val="clear" w:color="auto" w:fill="ED7D31" w:themeFill="accent2"/>
          </w:tcPr>
          <w:p w14:paraId="64BE2553" w14:textId="77777777" w:rsidR="00761991" w:rsidRPr="00373EA8" w:rsidRDefault="00761991" w:rsidP="00373EA8">
            <w:pPr>
              <w:jc w:val="center"/>
              <w:rPr>
                <w:rFonts w:ascii="Arial" w:eastAsia="Calibri" w:hAnsi="Arial" w:cs="Arial"/>
                <w:b/>
                <w:bCs/>
                <w:color w:val="FFFFFF" w:themeColor="background1"/>
              </w:rPr>
            </w:pPr>
            <w:r w:rsidRPr="00373EA8">
              <w:rPr>
                <w:rFonts w:ascii="Arial" w:eastAsia="Calibri" w:hAnsi="Arial" w:cs="Arial"/>
                <w:b/>
                <w:bCs/>
                <w:color w:val="FFFFFF" w:themeColor="background1"/>
              </w:rPr>
              <w:t>Topic</w:t>
            </w:r>
          </w:p>
        </w:tc>
        <w:tc>
          <w:tcPr>
            <w:tcW w:w="3193" w:type="dxa"/>
            <w:shd w:val="clear" w:color="auto" w:fill="ED7D31" w:themeFill="accent2"/>
          </w:tcPr>
          <w:p w14:paraId="6DAAD8E3" w14:textId="77777777" w:rsidR="00761991" w:rsidRPr="00373EA8" w:rsidRDefault="00761991" w:rsidP="00373EA8">
            <w:pPr>
              <w:jc w:val="center"/>
              <w:rPr>
                <w:rFonts w:ascii="Arial" w:eastAsia="Calibri" w:hAnsi="Arial" w:cs="Arial"/>
                <w:b/>
                <w:bCs/>
                <w:color w:val="FFFFFF" w:themeColor="background1"/>
              </w:rPr>
            </w:pPr>
            <w:r w:rsidRPr="00373EA8">
              <w:rPr>
                <w:rFonts w:ascii="Arial" w:eastAsia="Calibri" w:hAnsi="Arial" w:cs="Arial"/>
                <w:b/>
                <w:bCs/>
                <w:color w:val="FFFFFF" w:themeColor="background1"/>
              </w:rPr>
              <w:t>Question</w:t>
            </w:r>
          </w:p>
        </w:tc>
        <w:tc>
          <w:tcPr>
            <w:tcW w:w="4201" w:type="dxa"/>
            <w:shd w:val="clear" w:color="auto" w:fill="ED7D31" w:themeFill="accent2"/>
          </w:tcPr>
          <w:p w14:paraId="4E4F6058" w14:textId="77777777" w:rsidR="00761991" w:rsidRPr="00373EA8" w:rsidRDefault="00761991" w:rsidP="00373EA8">
            <w:pPr>
              <w:jc w:val="center"/>
              <w:rPr>
                <w:rFonts w:ascii="Arial" w:eastAsia="Calibri" w:hAnsi="Arial" w:cs="Arial"/>
                <w:b/>
                <w:bCs/>
                <w:color w:val="FFFFFF" w:themeColor="background1"/>
              </w:rPr>
            </w:pPr>
            <w:r w:rsidRPr="00373EA8">
              <w:rPr>
                <w:rFonts w:ascii="Arial" w:eastAsia="Calibri" w:hAnsi="Arial" w:cs="Arial"/>
                <w:b/>
                <w:bCs/>
                <w:color w:val="FFFFFF" w:themeColor="background1"/>
              </w:rPr>
              <w:t>Responses</w:t>
            </w:r>
          </w:p>
        </w:tc>
      </w:tr>
      <w:tr w:rsidR="00761991" w14:paraId="7B7AAD77" w14:textId="77777777" w:rsidTr="00373EA8">
        <w:tc>
          <w:tcPr>
            <w:tcW w:w="1622" w:type="dxa"/>
            <w:vMerge w:val="restart"/>
            <w:shd w:val="clear" w:color="auto" w:fill="FBE4D5" w:themeFill="accent2" w:themeFillTint="33"/>
            <w:vAlign w:val="center"/>
          </w:tcPr>
          <w:p w14:paraId="07E73357" w14:textId="074606EC" w:rsidR="00761991" w:rsidRPr="000B65E2" w:rsidRDefault="00761991" w:rsidP="00373EA8">
            <w:pPr>
              <w:jc w:val="center"/>
              <w:rPr>
                <w:rFonts w:ascii="Arial" w:eastAsia="Calibri" w:hAnsi="Arial" w:cs="Arial"/>
                <w:b/>
                <w:bCs/>
                <w:color w:val="997339"/>
              </w:rPr>
            </w:pPr>
            <w:r w:rsidRPr="000B65E2">
              <w:rPr>
                <w:rFonts w:ascii="Arial" w:eastAsia="Calibri" w:hAnsi="Arial" w:cs="Arial"/>
                <w:b/>
                <w:bCs/>
                <w:color w:val="000000" w:themeColor="text1"/>
              </w:rPr>
              <w:t>Definitions</w:t>
            </w:r>
          </w:p>
        </w:tc>
        <w:tc>
          <w:tcPr>
            <w:tcW w:w="3193" w:type="dxa"/>
            <w:shd w:val="clear" w:color="auto" w:fill="auto"/>
          </w:tcPr>
          <w:p w14:paraId="4BA9402F" w14:textId="77777777" w:rsidR="00761991" w:rsidRPr="00693C4E" w:rsidRDefault="00761991" w:rsidP="00FD7A5B">
            <w:pPr>
              <w:rPr>
                <w:rFonts w:ascii="Arial" w:eastAsia="Calibri" w:hAnsi="Arial" w:cs="Arial"/>
                <w:color w:val="000000" w:themeColor="text1"/>
              </w:rPr>
            </w:pPr>
            <w:r w:rsidRPr="00693C4E">
              <w:rPr>
                <w:rFonts w:ascii="Arial" w:eastAsia="Calibri" w:hAnsi="Arial" w:cs="Arial"/>
                <w:color w:val="000000" w:themeColor="text1"/>
              </w:rPr>
              <w:t xml:space="preserve">Do you agree or disagree with the themes we have identified as emerging from your feedback forms? </w:t>
            </w:r>
          </w:p>
          <w:p w14:paraId="37103207" w14:textId="77777777" w:rsidR="00761991" w:rsidRPr="00693C4E" w:rsidRDefault="00761991" w:rsidP="00FD7A5B">
            <w:pPr>
              <w:rPr>
                <w:rFonts w:ascii="Arial" w:eastAsia="Calibri" w:hAnsi="Arial" w:cs="Arial"/>
                <w:color w:val="000000" w:themeColor="text1"/>
              </w:rPr>
            </w:pPr>
          </w:p>
        </w:tc>
        <w:tc>
          <w:tcPr>
            <w:tcW w:w="4201" w:type="dxa"/>
            <w:shd w:val="clear" w:color="auto" w:fill="auto"/>
          </w:tcPr>
          <w:p w14:paraId="035C000D" w14:textId="77777777" w:rsidR="00761991" w:rsidRDefault="00761991" w:rsidP="00FD7A5B">
            <w:pPr>
              <w:rPr>
                <w:rFonts w:ascii="Arial" w:eastAsia="Calibri" w:hAnsi="Arial" w:cs="Arial"/>
                <w:color w:val="997339"/>
              </w:rPr>
            </w:pPr>
            <w:r w:rsidRPr="000B65E2">
              <w:rPr>
                <w:rFonts w:ascii="Arial" w:eastAsia="Calibri" w:hAnsi="Arial" w:cs="Arial"/>
                <w:color w:val="000000" w:themeColor="text1"/>
              </w:rPr>
              <w:t>I agree with the issues and themes identified. No further suggestions.</w:t>
            </w:r>
          </w:p>
        </w:tc>
      </w:tr>
      <w:tr w:rsidR="00761991" w14:paraId="07D35995" w14:textId="77777777" w:rsidTr="00373EA8">
        <w:tc>
          <w:tcPr>
            <w:tcW w:w="1622" w:type="dxa"/>
            <w:vMerge/>
            <w:shd w:val="clear" w:color="auto" w:fill="FBE4D5" w:themeFill="accent2" w:themeFillTint="33"/>
            <w:vAlign w:val="center"/>
          </w:tcPr>
          <w:p w14:paraId="2C5D97A8" w14:textId="77777777" w:rsidR="00761991" w:rsidRPr="000B65E2" w:rsidRDefault="00761991" w:rsidP="00373EA8">
            <w:pPr>
              <w:jc w:val="center"/>
              <w:rPr>
                <w:rFonts w:ascii="Arial" w:eastAsia="Calibri" w:hAnsi="Arial" w:cs="Arial"/>
                <w:b/>
                <w:bCs/>
                <w:color w:val="000000" w:themeColor="text1"/>
              </w:rPr>
            </w:pPr>
          </w:p>
        </w:tc>
        <w:tc>
          <w:tcPr>
            <w:tcW w:w="3193" w:type="dxa"/>
            <w:shd w:val="clear" w:color="auto" w:fill="auto"/>
          </w:tcPr>
          <w:p w14:paraId="1D8FD163" w14:textId="77777777" w:rsidR="00761991" w:rsidRPr="00693C4E" w:rsidRDefault="00761991" w:rsidP="00FD7A5B">
            <w:pPr>
              <w:rPr>
                <w:rFonts w:ascii="Arial" w:eastAsia="Calibri" w:hAnsi="Arial" w:cs="Arial"/>
                <w:color w:val="000000" w:themeColor="text1"/>
              </w:rPr>
            </w:pPr>
            <w:r w:rsidRPr="00693C4E">
              <w:rPr>
                <w:rFonts w:ascii="Arial" w:eastAsia="Calibri" w:hAnsi="Arial" w:cs="Arial"/>
                <w:color w:val="000000" w:themeColor="text1"/>
              </w:rPr>
              <w:t xml:space="preserve">How do you anticipate our ideas for reform (purpose and principles-based definitions) will impact your agency/organisation? </w:t>
            </w:r>
          </w:p>
          <w:p w14:paraId="31609623" w14:textId="77777777" w:rsidR="00761991" w:rsidRPr="00693C4E" w:rsidRDefault="00761991" w:rsidP="00FD7A5B">
            <w:pPr>
              <w:rPr>
                <w:rFonts w:ascii="Arial" w:eastAsia="Calibri" w:hAnsi="Arial" w:cs="Arial"/>
                <w:color w:val="000000" w:themeColor="text1"/>
              </w:rPr>
            </w:pPr>
          </w:p>
        </w:tc>
        <w:tc>
          <w:tcPr>
            <w:tcW w:w="4201" w:type="dxa"/>
            <w:shd w:val="clear" w:color="auto" w:fill="auto"/>
          </w:tcPr>
          <w:p w14:paraId="616C8804" w14:textId="77777777" w:rsidR="00761991" w:rsidRPr="000B65E2" w:rsidRDefault="00761991" w:rsidP="00FD7A5B">
            <w:pPr>
              <w:rPr>
                <w:rFonts w:ascii="Arial" w:eastAsia="Calibri" w:hAnsi="Arial" w:cs="Arial"/>
                <w:color w:val="000000" w:themeColor="text1"/>
              </w:rPr>
            </w:pPr>
            <w:r w:rsidRPr="000B65E2">
              <w:rPr>
                <w:rFonts w:ascii="Arial" w:eastAsia="Calibri" w:hAnsi="Arial" w:cs="Arial"/>
                <w:color w:val="000000" w:themeColor="text1"/>
              </w:rPr>
              <w:t xml:space="preserve">The impact on CASA is only that classification of Commonwealth explosives for air transport on civil aircraft will need to have been conducted in accordance with the ICAO Technical Instructions (basically UN model regulations). </w:t>
            </w:r>
          </w:p>
          <w:p w14:paraId="1BAAF059" w14:textId="77777777" w:rsidR="00761991" w:rsidRPr="000B65E2" w:rsidRDefault="00761991" w:rsidP="00FD7A5B">
            <w:pPr>
              <w:rPr>
                <w:rFonts w:ascii="Arial" w:eastAsia="Calibri" w:hAnsi="Arial" w:cs="Arial"/>
                <w:color w:val="000000" w:themeColor="text1"/>
              </w:rPr>
            </w:pPr>
          </w:p>
        </w:tc>
      </w:tr>
      <w:tr w:rsidR="00761991" w14:paraId="03CD7E27" w14:textId="77777777" w:rsidTr="00373EA8">
        <w:tc>
          <w:tcPr>
            <w:tcW w:w="1622" w:type="dxa"/>
            <w:vMerge/>
            <w:shd w:val="clear" w:color="auto" w:fill="FBE4D5" w:themeFill="accent2" w:themeFillTint="33"/>
            <w:vAlign w:val="center"/>
          </w:tcPr>
          <w:p w14:paraId="52205509" w14:textId="77777777" w:rsidR="00761991" w:rsidRPr="000B65E2" w:rsidRDefault="00761991" w:rsidP="00373EA8">
            <w:pPr>
              <w:jc w:val="center"/>
              <w:rPr>
                <w:rFonts w:ascii="Arial" w:eastAsia="Calibri" w:hAnsi="Arial" w:cs="Arial"/>
                <w:b/>
                <w:bCs/>
                <w:color w:val="000000" w:themeColor="text1"/>
              </w:rPr>
            </w:pPr>
          </w:p>
        </w:tc>
        <w:tc>
          <w:tcPr>
            <w:tcW w:w="3193" w:type="dxa"/>
            <w:shd w:val="clear" w:color="auto" w:fill="auto"/>
          </w:tcPr>
          <w:p w14:paraId="3D6B250B" w14:textId="77777777" w:rsidR="00761991" w:rsidRPr="00693C4E" w:rsidRDefault="00761991" w:rsidP="00FD7A5B">
            <w:pPr>
              <w:rPr>
                <w:rFonts w:ascii="Arial" w:eastAsia="Calibri" w:hAnsi="Arial" w:cs="Arial"/>
                <w:color w:val="000000" w:themeColor="text1"/>
              </w:rPr>
            </w:pPr>
            <w:r w:rsidRPr="00693C4E">
              <w:rPr>
                <w:rFonts w:ascii="Arial" w:eastAsia="Calibri" w:hAnsi="Arial" w:cs="Arial"/>
                <w:color w:val="000000" w:themeColor="text1"/>
              </w:rPr>
              <w:t>Do you agree or disagree with the issues regarding definitions identified in the CRP?</w:t>
            </w:r>
          </w:p>
        </w:tc>
        <w:tc>
          <w:tcPr>
            <w:tcW w:w="4201" w:type="dxa"/>
            <w:shd w:val="clear" w:color="auto" w:fill="auto"/>
          </w:tcPr>
          <w:p w14:paraId="5278EA9E" w14:textId="77777777" w:rsidR="00761991" w:rsidRPr="000B65E2" w:rsidRDefault="00761991" w:rsidP="00FD7A5B">
            <w:pPr>
              <w:rPr>
                <w:rFonts w:ascii="Arial" w:eastAsia="Calibri" w:hAnsi="Arial" w:cs="Arial"/>
                <w:color w:val="000000" w:themeColor="text1"/>
              </w:rPr>
            </w:pPr>
            <w:r w:rsidRPr="000B65E2">
              <w:rPr>
                <w:rFonts w:ascii="Arial" w:eastAsia="Calibri" w:hAnsi="Arial" w:cs="Arial"/>
                <w:color w:val="000000" w:themeColor="text1"/>
              </w:rPr>
              <w:t xml:space="preserve">The existing definition doesn’t cause CASA an issue. Classification for transport doesn’t need including in the definition. </w:t>
            </w:r>
          </w:p>
        </w:tc>
      </w:tr>
      <w:tr w:rsidR="00761991" w14:paraId="4E65388C" w14:textId="77777777" w:rsidTr="00373EA8">
        <w:tc>
          <w:tcPr>
            <w:tcW w:w="1622" w:type="dxa"/>
            <w:vMerge w:val="restart"/>
            <w:shd w:val="clear" w:color="auto" w:fill="FBE4D5" w:themeFill="accent2" w:themeFillTint="33"/>
            <w:vAlign w:val="center"/>
          </w:tcPr>
          <w:p w14:paraId="7D6D4DF8" w14:textId="77777777" w:rsidR="00761991" w:rsidRPr="00693C4E" w:rsidRDefault="00761991" w:rsidP="00373EA8">
            <w:pPr>
              <w:jc w:val="center"/>
              <w:rPr>
                <w:rFonts w:ascii="Arial" w:eastAsia="Calibri" w:hAnsi="Arial" w:cs="Arial"/>
                <w:b/>
                <w:bCs/>
                <w:color w:val="997339"/>
              </w:rPr>
            </w:pPr>
            <w:r w:rsidRPr="00693C4E">
              <w:rPr>
                <w:rFonts w:ascii="Arial" w:eastAsia="Calibri" w:hAnsi="Arial" w:cs="Arial"/>
                <w:b/>
                <w:bCs/>
                <w:color w:val="000000" w:themeColor="text1"/>
              </w:rPr>
              <w:t>Accreditation</w:t>
            </w:r>
          </w:p>
        </w:tc>
        <w:tc>
          <w:tcPr>
            <w:tcW w:w="3193" w:type="dxa"/>
            <w:shd w:val="clear" w:color="auto" w:fill="auto"/>
          </w:tcPr>
          <w:p w14:paraId="65551EF3" w14:textId="77777777" w:rsidR="00761991" w:rsidRDefault="00761991" w:rsidP="00FD7A5B">
            <w:pPr>
              <w:rPr>
                <w:rFonts w:ascii="Arial" w:eastAsia="Calibri" w:hAnsi="Arial" w:cs="Arial"/>
                <w:color w:val="000000" w:themeColor="text1"/>
              </w:rPr>
            </w:pPr>
            <w:r>
              <w:rPr>
                <w:rFonts w:ascii="Arial" w:eastAsia="Calibri" w:hAnsi="Arial" w:cs="Arial"/>
                <w:color w:val="000000" w:themeColor="text1"/>
              </w:rPr>
              <w:t xml:space="preserve">Do you agree or disagree with the themes we have identified as emerging from your feedback forms? </w:t>
            </w:r>
          </w:p>
          <w:p w14:paraId="0D9133DC" w14:textId="77777777" w:rsidR="00761991" w:rsidRDefault="00761991" w:rsidP="00FD7A5B">
            <w:pPr>
              <w:rPr>
                <w:rFonts w:ascii="Arial" w:eastAsia="Calibri" w:hAnsi="Arial" w:cs="Arial"/>
                <w:color w:val="000000" w:themeColor="text1"/>
              </w:rPr>
            </w:pPr>
          </w:p>
          <w:p w14:paraId="167F41C3" w14:textId="77777777" w:rsidR="00761991" w:rsidRPr="00693C4E" w:rsidRDefault="00761991" w:rsidP="00FD7A5B">
            <w:pPr>
              <w:rPr>
                <w:rFonts w:ascii="Arial" w:eastAsia="Calibri" w:hAnsi="Arial" w:cs="Arial"/>
                <w:color w:val="000000" w:themeColor="text1"/>
              </w:rPr>
            </w:pPr>
            <w:r>
              <w:rPr>
                <w:rFonts w:ascii="Arial" w:eastAsia="Calibri" w:hAnsi="Arial" w:cs="Arial"/>
                <w:color w:val="000000" w:themeColor="text1"/>
              </w:rPr>
              <w:t xml:space="preserve">Do you have other questions or suggestions related to accreditation? </w:t>
            </w:r>
          </w:p>
        </w:tc>
        <w:tc>
          <w:tcPr>
            <w:tcW w:w="4201" w:type="dxa"/>
            <w:shd w:val="clear" w:color="auto" w:fill="auto"/>
          </w:tcPr>
          <w:p w14:paraId="2B0A8A37" w14:textId="77777777" w:rsidR="00761991" w:rsidRPr="00693C4E" w:rsidRDefault="00761991" w:rsidP="00FD7A5B">
            <w:pPr>
              <w:rPr>
                <w:rFonts w:ascii="Arial" w:eastAsia="Calibri" w:hAnsi="Arial" w:cs="Arial"/>
                <w:color w:val="000000" w:themeColor="text1"/>
              </w:rPr>
            </w:pPr>
            <w:r>
              <w:rPr>
                <w:rFonts w:ascii="Arial" w:eastAsia="Calibri" w:hAnsi="Arial" w:cs="Arial"/>
                <w:color w:val="000000" w:themeColor="text1"/>
              </w:rPr>
              <w:t xml:space="preserve">Additional accreditation not needed as explosives normally forbidden for air transport are subject to specific approval (accreditation) for that flight. (Adrian-CASA) </w:t>
            </w:r>
          </w:p>
        </w:tc>
      </w:tr>
      <w:tr w:rsidR="00761991" w14:paraId="177A4303" w14:textId="77777777" w:rsidTr="00373EA8">
        <w:tc>
          <w:tcPr>
            <w:tcW w:w="1622" w:type="dxa"/>
            <w:vMerge/>
            <w:shd w:val="clear" w:color="auto" w:fill="FBE4D5" w:themeFill="accent2" w:themeFillTint="33"/>
            <w:vAlign w:val="center"/>
          </w:tcPr>
          <w:p w14:paraId="1C372129" w14:textId="77777777" w:rsidR="00761991" w:rsidRPr="00693C4E" w:rsidRDefault="00761991" w:rsidP="00373EA8">
            <w:pPr>
              <w:jc w:val="center"/>
              <w:rPr>
                <w:rFonts w:ascii="Arial" w:eastAsia="Calibri" w:hAnsi="Arial" w:cs="Arial"/>
                <w:b/>
                <w:bCs/>
                <w:color w:val="000000" w:themeColor="text1"/>
              </w:rPr>
            </w:pPr>
          </w:p>
        </w:tc>
        <w:tc>
          <w:tcPr>
            <w:tcW w:w="3193" w:type="dxa"/>
            <w:shd w:val="clear" w:color="auto" w:fill="auto"/>
          </w:tcPr>
          <w:p w14:paraId="09FFF49E" w14:textId="77777777" w:rsidR="00761991" w:rsidRPr="00B5383C" w:rsidRDefault="00761991" w:rsidP="00FD7A5B">
            <w:pPr>
              <w:rPr>
                <w:rFonts w:ascii="Arial" w:eastAsia="Calibri" w:hAnsi="Arial" w:cs="Arial"/>
                <w:color w:val="000000" w:themeColor="text1"/>
              </w:rPr>
            </w:pPr>
            <w:r w:rsidRPr="00B5383C">
              <w:rPr>
                <w:rFonts w:ascii="Arial" w:eastAsia="Calibri" w:hAnsi="Arial" w:cs="Arial"/>
                <w:color w:val="000000" w:themeColor="text1"/>
              </w:rPr>
              <w:t xml:space="preserve">Do you agree or disagree with the issues identified in the CRP regarding the current framework? </w:t>
            </w:r>
          </w:p>
          <w:p w14:paraId="3B581941" w14:textId="77777777" w:rsidR="00761991" w:rsidRDefault="00761991" w:rsidP="00FD7A5B">
            <w:pPr>
              <w:rPr>
                <w:rFonts w:ascii="Arial" w:eastAsia="Calibri" w:hAnsi="Arial" w:cs="Arial"/>
                <w:color w:val="000000" w:themeColor="text1"/>
              </w:rPr>
            </w:pPr>
          </w:p>
        </w:tc>
        <w:tc>
          <w:tcPr>
            <w:tcW w:w="4201" w:type="dxa"/>
            <w:shd w:val="clear" w:color="auto" w:fill="auto"/>
          </w:tcPr>
          <w:p w14:paraId="3DCDB3DF" w14:textId="77777777" w:rsidR="00761991" w:rsidRDefault="00761991" w:rsidP="00FD7A5B">
            <w:pPr>
              <w:rPr>
                <w:rFonts w:ascii="Arial" w:eastAsia="Calibri" w:hAnsi="Arial" w:cs="Arial"/>
                <w:color w:val="000000" w:themeColor="text1"/>
              </w:rPr>
            </w:pPr>
            <w:r w:rsidRPr="00B5383C">
              <w:rPr>
                <w:rFonts w:ascii="Arial" w:eastAsia="Calibri" w:hAnsi="Arial" w:cs="Arial"/>
                <w:color w:val="000000" w:themeColor="text1"/>
              </w:rPr>
              <w:t>Are we comfortable that Commonwealth agencies would not be accredited? Is this the model that ARPANSA use?</w:t>
            </w:r>
          </w:p>
        </w:tc>
      </w:tr>
      <w:tr w:rsidR="00761991" w14:paraId="72516EDD" w14:textId="77777777" w:rsidTr="00373EA8">
        <w:tc>
          <w:tcPr>
            <w:tcW w:w="1622" w:type="dxa"/>
            <w:vMerge/>
            <w:shd w:val="clear" w:color="auto" w:fill="FBE4D5" w:themeFill="accent2" w:themeFillTint="33"/>
            <w:vAlign w:val="center"/>
          </w:tcPr>
          <w:p w14:paraId="48698B21" w14:textId="77777777" w:rsidR="00761991" w:rsidRPr="00693C4E" w:rsidRDefault="00761991" w:rsidP="00373EA8">
            <w:pPr>
              <w:jc w:val="center"/>
              <w:rPr>
                <w:rFonts w:ascii="Arial" w:eastAsia="Calibri" w:hAnsi="Arial" w:cs="Arial"/>
                <w:b/>
                <w:bCs/>
                <w:color w:val="000000" w:themeColor="text1"/>
              </w:rPr>
            </w:pPr>
          </w:p>
        </w:tc>
        <w:tc>
          <w:tcPr>
            <w:tcW w:w="3193" w:type="dxa"/>
            <w:shd w:val="clear" w:color="auto" w:fill="auto"/>
          </w:tcPr>
          <w:p w14:paraId="140B3DF1" w14:textId="77777777" w:rsidR="00761991" w:rsidRPr="00B5383C" w:rsidRDefault="00761991" w:rsidP="00FD7A5B">
            <w:pPr>
              <w:rPr>
                <w:rFonts w:ascii="Arial" w:eastAsia="Calibri" w:hAnsi="Arial" w:cs="Arial"/>
                <w:color w:val="000000" w:themeColor="text1"/>
              </w:rPr>
            </w:pPr>
            <w:r w:rsidRPr="00B5383C">
              <w:rPr>
                <w:rFonts w:ascii="Arial" w:eastAsia="Calibri" w:hAnsi="Arial" w:cs="Arial"/>
                <w:color w:val="000000" w:themeColor="text1"/>
              </w:rPr>
              <w:t xml:space="preserve">How do you anticipate our ideas for reform (implementation of accreditation scheme) will impact your agency/organisation? </w:t>
            </w:r>
          </w:p>
          <w:p w14:paraId="0E540EEF" w14:textId="77777777" w:rsidR="00761991" w:rsidRPr="00B5383C" w:rsidRDefault="00761991" w:rsidP="00FD7A5B">
            <w:pPr>
              <w:rPr>
                <w:rFonts w:ascii="Arial" w:eastAsia="Calibri" w:hAnsi="Arial" w:cs="Arial"/>
                <w:color w:val="000000" w:themeColor="text1"/>
              </w:rPr>
            </w:pPr>
          </w:p>
        </w:tc>
        <w:tc>
          <w:tcPr>
            <w:tcW w:w="4201" w:type="dxa"/>
            <w:shd w:val="clear" w:color="auto" w:fill="auto"/>
          </w:tcPr>
          <w:p w14:paraId="49CDAC22" w14:textId="6081C123" w:rsidR="00761991" w:rsidRPr="00B5383C" w:rsidRDefault="00761991" w:rsidP="00FD7A5B">
            <w:pPr>
              <w:rPr>
                <w:rFonts w:ascii="Arial" w:eastAsia="Calibri" w:hAnsi="Arial" w:cs="Arial"/>
                <w:color w:val="000000" w:themeColor="text1"/>
              </w:rPr>
            </w:pPr>
            <w:r w:rsidRPr="00B5383C">
              <w:rPr>
                <w:rFonts w:ascii="Arial" w:eastAsia="Calibri" w:hAnsi="Arial" w:cs="Arial"/>
                <w:color w:val="000000" w:themeColor="text1"/>
              </w:rPr>
              <w:t xml:space="preserve">At CASA we regulate air </w:t>
            </w:r>
            <w:r w:rsidR="00812AA5" w:rsidRPr="00B5383C">
              <w:rPr>
                <w:rFonts w:ascii="Arial" w:eastAsia="Calibri" w:hAnsi="Arial" w:cs="Arial"/>
                <w:color w:val="000000" w:themeColor="text1"/>
              </w:rPr>
              <w:t>operators</w:t>
            </w:r>
            <w:r w:rsidRPr="00B5383C">
              <w:rPr>
                <w:rFonts w:ascii="Arial" w:eastAsia="Calibri" w:hAnsi="Arial" w:cs="Arial"/>
                <w:color w:val="000000" w:themeColor="text1"/>
              </w:rPr>
              <w:t xml:space="preserve"> and foreign air operators coming into Australia. This basically includes accreditation to carry or not carry dangerous good including explosives that aren’t forbidden for air transport. Additional accreditation not.</w:t>
            </w:r>
          </w:p>
        </w:tc>
      </w:tr>
      <w:tr w:rsidR="00FF0F0F" w14:paraId="27591788" w14:textId="77777777" w:rsidTr="00FF0F0F">
        <w:trPr>
          <w:trHeight w:val="1408"/>
        </w:trPr>
        <w:tc>
          <w:tcPr>
            <w:tcW w:w="1622" w:type="dxa"/>
            <w:shd w:val="clear" w:color="auto" w:fill="FBE4D5" w:themeFill="accent2" w:themeFillTint="33"/>
            <w:vAlign w:val="center"/>
          </w:tcPr>
          <w:p w14:paraId="3916FE4F" w14:textId="1CC48B56" w:rsidR="00FF0F0F" w:rsidRPr="00C83AD8" w:rsidRDefault="00FF0F0F" w:rsidP="00373EA8">
            <w:pPr>
              <w:jc w:val="center"/>
              <w:rPr>
                <w:rFonts w:ascii="Arial" w:eastAsia="Calibri" w:hAnsi="Arial" w:cs="Arial"/>
                <w:b/>
                <w:bCs/>
                <w:color w:val="000000" w:themeColor="text1"/>
              </w:rPr>
            </w:pPr>
            <w:r>
              <w:rPr>
                <w:rFonts w:ascii="Arial" w:eastAsia="Calibri" w:hAnsi="Arial" w:cs="Arial"/>
                <w:b/>
                <w:bCs/>
                <w:color w:val="000000" w:themeColor="text1"/>
              </w:rPr>
              <w:lastRenderedPageBreak/>
              <w:t>Independent Regulator</w:t>
            </w:r>
          </w:p>
        </w:tc>
        <w:tc>
          <w:tcPr>
            <w:tcW w:w="3193" w:type="dxa"/>
            <w:shd w:val="clear" w:color="auto" w:fill="auto"/>
          </w:tcPr>
          <w:p w14:paraId="64DD9ECD" w14:textId="5D8CBE22" w:rsidR="00FF0F0F" w:rsidRPr="00DF1DF5" w:rsidRDefault="00FF0F0F" w:rsidP="00FD7A5B">
            <w:pPr>
              <w:rPr>
                <w:rFonts w:ascii="Arial" w:eastAsia="Calibri" w:hAnsi="Arial" w:cs="Arial"/>
                <w:color w:val="000000" w:themeColor="text1"/>
              </w:rPr>
            </w:pPr>
            <w:r w:rsidRPr="00AC7963">
              <w:rPr>
                <w:rFonts w:ascii="Arial" w:eastAsia="Calibri" w:hAnsi="Arial" w:cs="Arial"/>
                <w:color w:val="000000" w:themeColor="text1"/>
              </w:rPr>
              <w:t xml:space="preserve">How do you anticipate our ideas for reform (establishment of an independent regulator) will impact your agency/organisation? </w:t>
            </w:r>
          </w:p>
        </w:tc>
        <w:tc>
          <w:tcPr>
            <w:tcW w:w="4201" w:type="dxa"/>
            <w:shd w:val="clear" w:color="auto" w:fill="auto"/>
          </w:tcPr>
          <w:p w14:paraId="252213AA" w14:textId="2B2778B7" w:rsidR="00FF0F0F" w:rsidRPr="00024160" w:rsidRDefault="00FF0F0F" w:rsidP="00FD7A5B">
            <w:pPr>
              <w:rPr>
                <w:rFonts w:ascii="Arial" w:eastAsia="Calibri" w:hAnsi="Arial" w:cs="Arial"/>
                <w:color w:val="000000" w:themeColor="text1"/>
              </w:rPr>
            </w:pPr>
            <w:r w:rsidRPr="00024160">
              <w:rPr>
                <w:rFonts w:ascii="Arial" w:eastAsia="Calibri" w:hAnsi="Arial" w:cs="Arial"/>
                <w:color w:val="000000" w:themeColor="text1"/>
              </w:rPr>
              <w:t>An Independent Regulator for Commonwealth explosives will be essential under the new legislation. The role and responsibilities avoiding unnecessary burden and overreach is needed</w:t>
            </w:r>
            <w:r>
              <w:rPr>
                <w:rFonts w:ascii="Arial" w:eastAsia="Calibri" w:hAnsi="Arial" w:cs="Arial"/>
                <w:color w:val="000000" w:themeColor="text1"/>
              </w:rPr>
              <w:t>.</w:t>
            </w:r>
          </w:p>
        </w:tc>
      </w:tr>
    </w:tbl>
    <w:p w14:paraId="0DF2E92C" w14:textId="77777777" w:rsidR="00761991" w:rsidRDefault="00761991" w:rsidP="00373EA8">
      <w:pPr>
        <w:spacing w:before="240" w:line="240" w:lineRule="auto"/>
        <w:rPr>
          <w:rFonts w:ascii="Arial" w:eastAsia="Calibri" w:hAnsi="Arial" w:cs="Arial"/>
          <w:color w:val="997339"/>
        </w:rPr>
      </w:pPr>
      <w:r w:rsidRPr="009C0425">
        <w:rPr>
          <w:rFonts w:ascii="Arial" w:eastAsia="Calibri" w:hAnsi="Arial" w:cs="Arial"/>
          <w:color w:val="997339"/>
        </w:rPr>
        <w:t xml:space="preserve">State and Territory Stakeholders </w:t>
      </w:r>
    </w:p>
    <w:p w14:paraId="04FFCC57" w14:textId="528BB74C" w:rsidR="00761991" w:rsidRPr="00373EA8" w:rsidRDefault="00761991" w:rsidP="00761991">
      <w:pPr>
        <w:spacing w:line="240" w:lineRule="auto"/>
        <w:rPr>
          <w:rFonts w:ascii="Arial" w:eastAsia="Calibri" w:hAnsi="Arial" w:cs="Arial"/>
          <w:i/>
          <w:iCs/>
        </w:rPr>
      </w:pPr>
      <w:r w:rsidRPr="00373EA8">
        <w:rPr>
          <w:rFonts w:ascii="Arial" w:eastAsia="Calibri" w:hAnsi="Arial" w:cs="Arial"/>
          <w:i/>
          <w:iCs/>
        </w:rPr>
        <w:t xml:space="preserve">Verbal discussion only – no written responses submitted. </w:t>
      </w:r>
    </w:p>
    <w:p w14:paraId="644ED329" w14:textId="77777777" w:rsidR="00761991" w:rsidRDefault="00761991" w:rsidP="00761991">
      <w:pPr>
        <w:spacing w:line="240" w:lineRule="auto"/>
        <w:rPr>
          <w:rFonts w:ascii="Arial" w:eastAsia="Calibri" w:hAnsi="Arial" w:cs="Arial"/>
          <w:color w:val="997339"/>
        </w:rPr>
      </w:pPr>
      <w:r w:rsidRPr="009C0425">
        <w:rPr>
          <w:rFonts w:ascii="Arial" w:eastAsia="Calibri" w:hAnsi="Arial" w:cs="Arial"/>
          <w:color w:val="997339"/>
        </w:rPr>
        <w:t xml:space="preserve">Industry Stakeholders </w:t>
      </w:r>
    </w:p>
    <w:tbl>
      <w:tblPr>
        <w:tblStyle w:val="TableGrid"/>
        <w:tblW w:w="0" w:type="auto"/>
        <w:tblLook w:val="04A0" w:firstRow="1" w:lastRow="0" w:firstColumn="1" w:lastColumn="0" w:noHBand="0" w:noVBand="1"/>
      </w:tblPr>
      <w:tblGrid>
        <w:gridCol w:w="1555"/>
        <w:gridCol w:w="3402"/>
        <w:gridCol w:w="4059"/>
      </w:tblGrid>
      <w:tr w:rsidR="00761991" w14:paraId="578885B1" w14:textId="77777777" w:rsidTr="00B44D27">
        <w:tc>
          <w:tcPr>
            <w:tcW w:w="1555" w:type="dxa"/>
            <w:shd w:val="clear" w:color="auto" w:fill="ED7D31" w:themeFill="accent2"/>
          </w:tcPr>
          <w:p w14:paraId="3F07B685" w14:textId="77777777" w:rsidR="00761991" w:rsidRPr="00373EA8" w:rsidRDefault="00761991" w:rsidP="00373EA8">
            <w:pPr>
              <w:jc w:val="center"/>
              <w:rPr>
                <w:rFonts w:ascii="Arial" w:eastAsia="Calibri" w:hAnsi="Arial" w:cs="Arial"/>
                <w:b/>
                <w:bCs/>
                <w:color w:val="FFFFFF" w:themeColor="background1"/>
              </w:rPr>
            </w:pPr>
            <w:r w:rsidRPr="00373EA8">
              <w:rPr>
                <w:rFonts w:ascii="Arial" w:eastAsia="Calibri" w:hAnsi="Arial" w:cs="Arial"/>
                <w:b/>
                <w:bCs/>
                <w:color w:val="FFFFFF" w:themeColor="background1"/>
              </w:rPr>
              <w:t>Topic</w:t>
            </w:r>
          </w:p>
        </w:tc>
        <w:tc>
          <w:tcPr>
            <w:tcW w:w="3402" w:type="dxa"/>
            <w:shd w:val="clear" w:color="auto" w:fill="ED7D31" w:themeFill="accent2"/>
          </w:tcPr>
          <w:p w14:paraId="25F1D200" w14:textId="77777777" w:rsidR="00761991" w:rsidRPr="00373EA8" w:rsidRDefault="00761991" w:rsidP="00373EA8">
            <w:pPr>
              <w:jc w:val="center"/>
              <w:rPr>
                <w:rFonts w:ascii="Arial" w:eastAsia="Calibri" w:hAnsi="Arial" w:cs="Arial"/>
                <w:b/>
                <w:bCs/>
                <w:color w:val="FFFFFF" w:themeColor="background1"/>
              </w:rPr>
            </w:pPr>
            <w:r w:rsidRPr="00373EA8">
              <w:rPr>
                <w:rFonts w:ascii="Arial" w:eastAsia="Calibri" w:hAnsi="Arial" w:cs="Arial"/>
                <w:b/>
                <w:bCs/>
                <w:color w:val="FFFFFF" w:themeColor="background1"/>
              </w:rPr>
              <w:t>Question</w:t>
            </w:r>
          </w:p>
        </w:tc>
        <w:tc>
          <w:tcPr>
            <w:tcW w:w="4059" w:type="dxa"/>
            <w:shd w:val="clear" w:color="auto" w:fill="ED7D31" w:themeFill="accent2"/>
          </w:tcPr>
          <w:p w14:paraId="491220FE" w14:textId="77777777" w:rsidR="00761991" w:rsidRPr="00373EA8" w:rsidRDefault="00761991" w:rsidP="00373EA8">
            <w:pPr>
              <w:jc w:val="center"/>
              <w:rPr>
                <w:rFonts w:ascii="Arial" w:eastAsia="Calibri" w:hAnsi="Arial" w:cs="Arial"/>
                <w:b/>
                <w:bCs/>
                <w:color w:val="FFFFFF" w:themeColor="background1"/>
              </w:rPr>
            </w:pPr>
            <w:r w:rsidRPr="00373EA8">
              <w:rPr>
                <w:rFonts w:ascii="Arial" w:eastAsia="Calibri" w:hAnsi="Arial" w:cs="Arial"/>
                <w:b/>
                <w:bCs/>
                <w:color w:val="FFFFFF" w:themeColor="background1"/>
              </w:rPr>
              <w:t>Responses</w:t>
            </w:r>
          </w:p>
        </w:tc>
      </w:tr>
      <w:tr w:rsidR="00761991" w14:paraId="11A59A53" w14:textId="77777777" w:rsidTr="00B44D27">
        <w:tc>
          <w:tcPr>
            <w:tcW w:w="1555" w:type="dxa"/>
            <w:vMerge w:val="restart"/>
            <w:shd w:val="clear" w:color="auto" w:fill="FBE4D5" w:themeFill="accent2" w:themeFillTint="33"/>
            <w:vAlign w:val="center"/>
          </w:tcPr>
          <w:p w14:paraId="2B7DB3D7" w14:textId="77777777" w:rsidR="00761991" w:rsidRPr="006E5F60" w:rsidRDefault="00761991" w:rsidP="00373EA8">
            <w:pPr>
              <w:jc w:val="center"/>
              <w:rPr>
                <w:rFonts w:ascii="Arial" w:eastAsia="Calibri" w:hAnsi="Arial" w:cs="Arial"/>
                <w:b/>
                <w:bCs/>
                <w:color w:val="997339"/>
              </w:rPr>
            </w:pPr>
            <w:r w:rsidRPr="006E5F60">
              <w:rPr>
                <w:rFonts w:ascii="Arial" w:eastAsia="Calibri" w:hAnsi="Arial" w:cs="Arial"/>
                <w:b/>
                <w:bCs/>
                <w:color w:val="000000" w:themeColor="text1"/>
              </w:rPr>
              <w:t>Definitions</w:t>
            </w:r>
          </w:p>
        </w:tc>
        <w:tc>
          <w:tcPr>
            <w:tcW w:w="3402" w:type="dxa"/>
            <w:shd w:val="clear" w:color="auto" w:fill="auto"/>
            <w:vAlign w:val="center"/>
          </w:tcPr>
          <w:p w14:paraId="1068FF19" w14:textId="77777777" w:rsidR="00761991" w:rsidRPr="00693C4E" w:rsidRDefault="00761991" w:rsidP="00B44D27">
            <w:pPr>
              <w:rPr>
                <w:rFonts w:ascii="Arial" w:eastAsia="Calibri" w:hAnsi="Arial" w:cs="Arial"/>
                <w:color w:val="000000" w:themeColor="text1"/>
              </w:rPr>
            </w:pPr>
            <w:r w:rsidRPr="00693C4E">
              <w:rPr>
                <w:rFonts w:ascii="Arial" w:eastAsia="Calibri" w:hAnsi="Arial" w:cs="Arial"/>
                <w:color w:val="000000" w:themeColor="text1"/>
              </w:rPr>
              <w:t>Do you agree or disagree with the issues regarding definitions identified in the CRP?</w:t>
            </w:r>
          </w:p>
          <w:p w14:paraId="270F1A35" w14:textId="77777777" w:rsidR="00761991" w:rsidRDefault="00761991" w:rsidP="00B44D27">
            <w:pPr>
              <w:rPr>
                <w:rFonts w:ascii="Arial" w:eastAsia="Calibri" w:hAnsi="Arial" w:cs="Arial"/>
                <w:color w:val="997339"/>
              </w:rPr>
            </w:pPr>
          </w:p>
        </w:tc>
        <w:tc>
          <w:tcPr>
            <w:tcW w:w="4059" w:type="dxa"/>
            <w:shd w:val="clear" w:color="auto" w:fill="auto"/>
            <w:vAlign w:val="center"/>
          </w:tcPr>
          <w:p w14:paraId="096D189B" w14:textId="77777777" w:rsidR="00761991" w:rsidRDefault="00761991" w:rsidP="00B44D27">
            <w:pPr>
              <w:rPr>
                <w:rFonts w:ascii="Arial" w:eastAsia="Calibri" w:hAnsi="Arial" w:cs="Arial"/>
                <w:color w:val="000000" w:themeColor="text1"/>
              </w:rPr>
            </w:pPr>
            <w:r w:rsidRPr="00542093">
              <w:rPr>
                <w:rFonts w:ascii="Arial" w:eastAsia="Calibri" w:hAnsi="Arial" w:cs="Arial"/>
                <w:color w:val="000000" w:themeColor="text1"/>
              </w:rPr>
              <w:t xml:space="preserve">Would an item ever stop being a Commonwealth Explosive – for example, after being transferred to a disposal organisation? </w:t>
            </w:r>
          </w:p>
          <w:p w14:paraId="3955B25F" w14:textId="77777777" w:rsidR="00761991" w:rsidRDefault="00761991" w:rsidP="00B44D27">
            <w:pPr>
              <w:rPr>
                <w:rFonts w:ascii="Arial" w:eastAsia="Calibri" w:hAnsi="Arial" w:cs="Arial"/>
                <w:color w:val="000000" w:themeColor="text1"/>
              </w:rPr>
            </w:pPr>
          </w:p>
          <w:p w14:paraId="27A8CBF7" w14:textId="77777777" w:rsidR="00761991" w:rsidRPr="00542093" w:rsidRDefault="00761991" w:rsidP="00B44D27">
            <w:pPr>
              <w:rPr>
                <w:rFonts w:ascii="Arial" w:eastAsia="Calibri" w:hAnsi="Arial" w:cs="Arial"/>
                <w:color w:val="000000" w:themeColor="text1"/>
              </w:rPr>
            </w:pPr>
          </w:p>
        </w:tc>
      </w:tr>
      <w:tr w:rsidR="00373EA8" w14:paraId="53E948F9" w14:textId="77777777" w:rsidTr="00B44D27">
        <w:trPr>
          <w:trHeight w:val="2550"/>
        </w:trPr>
        <w:tc>
          <w:tcPr>
            <w:tcW w:w="1555" w:type="dxa"/>
            <w:vMerge/>
            <w:shd w:val="clear" w:color="auto" w:fill="FBE4D5" w:themeFill="accent2" w:themeFillTint="33"/>
            <w:vAlign w:val="center"/>
          </w:tcPr>
          <w:p w14:paraId="191E2298" w14:textId="77777777" w:rsidR="00373EA8" w:rsidRPr="006E5F60" w:rsidRDefault="00373EA8" w:rsidP="00373EA8">
            <w:pPr>
              <w:jc w:val="center"/>
              <w:rPr>
                <w:rFonts w:ascii="Arial" w:eastAsia="Calibri" w:hAnsi="Arial" w:cs="Arial"/>
                <w:b/>
                <w:bCs/>
                <w:color w:val="000000" w:themeColor="text1"/>
              </w:rPr>
            </w:pPr>
          </w:p>
        </w:tc>
        <w:tc>
          <w:tcPr>
            <w:tcW w:w="3402" w:type="dxa"/>
            <w:shd w:val="clear" w:color="auto" w:fill="auto"/>
            <w:vAlign w:val="center"/>
          </w:tcPr>
          <w:p w14:paraId="3421DCCA" w14:textId="77777777" w:rsidR="00373EA8" w:rsidRPr="00BF6CAB" w:rsidRDefault="00373EA8" w:rsidP="00B44D27">
            <w:pPr>
              <w:rPr>
                <w:rFonts w:ascii="Arial" w:eastAsia="Calibri" w:hAnsi="Arial" w:cs="Arial"/>
                <w:color w:val="000000" w:themeColor="text1"/>
              </w:rPr>
            </w:pPr>
            <w:r w:rsidRPr="00BF6CAB">
              <w:rPr>
                <w:rFonts w:ascii="Arial" w:eastAsia="Calibri" w:hAnsi="Arial" w:cs="Arial"/>
                <w:color w:val="000000" w:themeColor="text1"/>
              </w:rPr>
              <w:t xml:space="preserve">How do you anticipate our ideas for reform (purpose and principles-based definitions) will impact your agency/organisation? </w:t>
            </w:r>
          </w:p>
          <w:p w14:paraId="121FF45F" w14:textId="77777777" w:rsidR="00373EA8" w:rsidRPr="00693C4E" w:rsidRDefault="00373EA8" w:rsidP="00B44D27">
            <w:pPr>
              <w:rPr>
                <w:rFonts w:ascii="Arial" w:eastAsia="Calibri" w:hAnsi="Arial" w:cs="Arial"/>
                <w:color w:val="000000" w:themeColor="text1"/>
              </w:rPr>
            </w:pPr>
          </w:p>
        </w:tc>
        <w:tc>
          <w:tcPr>
            <w:tcW w:w="4059" w:type="dxa"/>
            <w:shd w:val="clear" w:color="auto" w:fill="auto"/>
            <w:vAlign w:val="center"/>
          </w:tcPr>
          <w:p w14:paraId="6EEEA2D2" w14:textId="5BDEEC4D" w:rsidR="00373EA8" w:rsidRPr="00542093" w:rsidRDefault="00373EA8" w:rsidP="00B44D27">
            <w:pPr>
              <w:rPr>
                <w:rFonts w:ascii="Arial" w:eastAsia="Calibri" w:hAnsi="Arial" w:cs="Arial"/>
                <w:color w:val="000000" w:themeColor="text1"/>
              </w:rPr>
            </w:pPr>
            <w:r w:rsidRPr="00BF6CAB">
              <w:rPr>
                <w:rFonts w:ascii="Arial" w:eastAsia="Calibri" w:hAnsi="Arial" w:cs="Arial"/>
                <w:color w:val="000000" w:themeColor="text1"/>
              </w:rPr>
              <w:t>It</w:t>
            </w:r>
            <w:r>
              <w:rPr>
                <w:rFonts w:ascii="Arial" w:eastAsia="Calibri" w:hAnsi="Arial" w:cs="Arial"/>
                <w:color w:val="000000" w:themeColor="text1"/>
              </w:rPr>
              <w:t>’</w:t>
            </w:r>
            <w:r w:rsidRPr="00BF6CAB">
              <w:rPr>
                <w:rFonts w:ascii="Arial" w:eastAsia="Calibri" w:hAnsi="Arial" w:cs="Arial"/>
                <w:color w:val="000000" w:themeColor="text1"/>
              </w:rPr>
              <w:t>s positive to have mentioned disposals in the def</w:t>
            </w:r>
            <w:r>
              <w:rPr>
                <w:rFonts w:ascii="Arial" w:eastAsia="Calibri" w:hAnsi="Arial" w:cs="Arial"/>
                <w:color w:val="000000" w:themeColor="text1"/>
              </w:rPr>
              <w:t>i</w:t>
            </w:r>
            <w:r w:rsidRPr="00BF6CAB">
              <w:rPr>
                <w:rFonts w:ascii="Arial" w:eastAsia="Calibri" w:hAnsi="Arial" w:cs="Arial"/>
                <w:color w:val="000000" w:themeColor="text1"/>
              </w:rPr>
              <w:t>n</w:t>
            </w:r>
            <w:r>
              <w:rPr>
                <w:rFonts w:ascii="Arial" w:eastAsia="Calibri" w:hAnsi="Arial" w:cs="Arial"/>
                <w:color w:val="000000" w:themeColor="text1"/>
              </w:rPr>
              <w:t>ition</w:t>
            </w:r>
            <w:r w:rsidRPr="00BF6CAB">
              <w:rPr>
                <w:rFonts w:ascii="Arial" w:eastAsia="Calibri" w:hAnsi="Arial" w:cs="Arial"/>
                <w:color w:val="000000" w:themeColor="text1"/>
              </w:rPr>
              <w:t xml:space="preserve"> of activities. Disposals are broad and evolving, unlikely to encourage or see innovation in Commonwealth facilities. The discussion must consider SME involvement and value to this ecosystem</w:t>
            </w:r>
          </w:p>
        </w:tc>
      </w:tr>
    </w:tbl>
    <w:p w14:paraId="75DEBF8C" w14:textId="77777777" w:rsidR="00761991" w:rsidRPr="00001B77" w:rsidRDefault="00761991" w:rsidP="000D68DB">
      <w:pPr>
        <w:spacing w:before="240" w:line="240" w:lineRule="auto"/>
        <w:rPr>
          <w:rFonts w:ascii="Arial" w:eastAsia="Times New Roman" w:hAnsi="Arial" w:cs="Arial"/>
          <w:color w:val="B35E06"/>
          <w:sz w:val="26"/>
          <w:szCs w:val="26"/>
        </w:rPr>
      </w:pPr>
      <w:r w:rsidRPr="00001B77">
        <w:rPr>
          <w:rFonts w:ascii="Arial" w:eastAsia="Times New Roman" w:hAnsi="Arial" w:cs="Arial"/>
          <w:color w:val="B35E06"/>
          <w:sz w:val="26"/>
          <w:szCs w:val="26"/>
        </w:rPr>
        <w:t xml:space="preserve">Workshop </w:t>
      </w:r>
      <w:r>
        <w:rPr>
          <w:rFonts w:ascii="Arial" w:eastAsia="Times New Roman" w:hAnsi="Arial" w:cs="Arial"/>
          <w:color w:val="B35E06"/>
          <w:sz w:val="26"/>
          <w:szCs w:val="26"/>
        </w:rPr>
        <w:t>2</w:t>
      </w:r>
      <w:r w:rsidRPr="00001B77">
        <w:rPr>
          <w:rFonts w:ascii="Arial" w:eastAsia="Times New Roman" w:hAnsi="Arial" w:cs="Arial"/>
          <w:color w:val="B35E06"/>
          <w:sz w:val="26"/>
          <w:szCs w:val="26"/>
        </w:rPr>
        <w:t xml:space="preserve"> </w:t>
      </w:r>
    </w:p>
    <w:p w14:paraId="7D67615B" w14:textId="77777777" w:rsidR="00761991" w:rsidRDefault="00761991" w:rsidP="00761991">
      <w:pPr>
        <w:spacing w:line="240" w:lineRule="auto"/>
        <w:rPr>
          <w:rFonts w:ascii="Arial" w:eastAsia="Calibri" w:hAnsi="Arial" w:cs="Arial"/>
          <w:color w:val="997339"/>
        </w:rPr>
      </w:pPr>
      <w:r w:rsidRPr="009C0425">
        <w:rPr>
          <w:rFonts w:ascii="Arial" w:eastAsia="Calibri" w:hAnsi="Arial" w:cs="Arial"/>
          <w:color w:val="997339"/>
        </w:rPr>
        <w:t xml:space="preserve">Commonwealth Stakeholders </w:t>
      </w:r>
    </w:p>
    <w:p w14:paraId="1683D975" w14:textId="4ECDB3C4" w:rsidR="00761991" w:rsidRPr="00FF0F0F" w:rsidRDefault="00FF0F0F" w:rsidP="00761991">
      <w:pPr>
        <w:spacing w:line="240" w:lineRule="auto"/>
        <w:rPr>
          <w:rFonts w:ascii="Arial" w:eastAsia="Calibri" w:hAnsi="Arial" w:cs="Arial"/>
          <w:i/>
          <w:iCs/>
        </w:rPr>
      </w:pPr>
      <w:r w:rsidRPr="00373EA8">
        <w:rPr>
          <w:rFonts w:ascii="Arial" w:eastAsia="Calibri" w:hAnsi="Arial" w:cs="Arial"/>
          <w:i/>
          <w:iCs/>
        </w:rPr>
        <w:t xml:space="preserve">Verbal discussion only – no written responses submitted. </w:t>
      </w:r>
    </w:p>
    <w:p w14:paraId="5B3A0C2F" w14:textId="77777777" w:rsidR="00761991" w:rsidRDefault="00761991" w:rsidP="00761991">
      <w:pPr>
        <w:spacing w:line="240" w:lineRule="auto"/>
        <w:rPr>
          <w:rFonts w:ascii="Arial" w:eastAsia="Calibri" w:hAnsi="Arial" w:cs="Arial"/>
          <w:color w:val="997339"/>
        </w:rPr>
      </w:pPr>
      <w:r w:rsidRPr="009C0425">
        <w:rPr>
          <w:rFonts w:ascii="Arial" w:eastAsia="Calibri" w:hAnsi="Arial" w:cs="Arial"/>
          <w:color w:val="997339"/>
        </w:rPr>
        <w:t xml:space="preserve">State and Territory Stakeholders </w:t>
      </w:r>
    </w:p>
    <w:tbl>
      <w:tblPr>
        <w:tblStyle w:val="TableGrid"/>
        <w:tblW w:w="0" w:type="auto"/>
        <w:tblLook w:val="04A0" w:firstRow="1" w:lastRow="0" w:firstColumn="1" w:lastColumn="0" w:noHBand="0" w:noVBand="1"/>
      </w:tblPr>
      <w:tblGrid>
        <w:gridCol w:w="1555"/>
        <w:gridCol w:w="3402"/>
        <w:gridCol w:w="4059"/>
      </w:tblGrid>
      <w:tr w:rsidR="00761991" w14:paraId="743B50FF" w14:textId="77777777" w:rsidTr="00EA6543">
        <w:tc>
          <w:tcPr>
            <w:tcW w:w="1555" w:type="dxa"/>
            <w:shd w:val="clear" w:color="auto" w:fill="ED7D31" w:themeFill="accent2"/>
          </w:tcPr>
          <w:p w14:paraId="5CF24721" w14:textId="77777777" w:rsidR="00761991" w:rsidRPr="00FF0F0F" w:rsidRDefault="00761991" w:rsidP="00FF0F0F">
            <w:pPr>
              <w:jc w:val="center"/>
              <w:rPr>
                <w:rFonts w:ascii="Arial" w:eastAsia="Calibri" w:hAnsi="Arial" w:cs="Arial"/>
                <w:b/>
                <w:bCs/>
                <w:color w:val="FFFFFF" w:themeColor="background1"/>
              </w:rPr>
            </w:pPr>
            <w:r w:rsidRPr="00FF0F0F">
              <w:rPr>
                <w:rFonts w:ascii="Arial" w:eastAsia="Calibri" w:hAnsi="Arial" w:cs="Arial"/>
                <w:b/>
                <w:bCs/>
                <w:color w:val="FFFFFF" w:themeColor="background1"/>
              </w:rPr>
              <w:t>Topic</w:t>
            </w:r>
          </w:p>
        </w:tc>
        <w:tc>
          <w:tcPr>
            <w:tcW w:w="3402" w:type="dxa"/>
            <w:shd w:val="clear" w:color="auto" w:fill="ED7D31" w:themeFill="accent2"/>
          </w:tcPr>
          <w:p w14:paraId="559FB7F2" w14:textId="77777777" w:rsidR="00761991" w:rsidRPr="00FF0F0F" w:rsidRDefault="00761991" w:rsidP="00FF0F0F">
            <w:pPr>
              <w:jc w:val="center"/>
              <w:rPr>
                <w:rFonts w:ascii="Arial" w:eastAsia="Calibri" w:hAnsi="Arial" w:cs="Arial"/>
                <w:b/>
                <w:bCs/>
                <w:color w:val="FFFFFF" w:themeColor="background1"/>
              </w:rPr>
            </w:pPr>
            <w:r w:rsidRPr="00FF0F0F">
              <w:rPr>
                <w:rFonts w:ascii="Arial" w:eastAsia="Calibri" w:hAnsi="Arial" w:cs="Arial"/>
                <w:b/>
                <w:bCs/>
                <w:color w:val="FFFFFF" w:themeColor="background1"/>
              </w:rPr>
              <w:t>Question</w:t>
            </w:r>
          </w:p>
        </w:tc>
        <w:tc>
          <w:tcPr>
            <w:tcW w:w="4059" w:type="dxa"/>
            <w:shd w:val="clear" w:color="auto" w:fill="ED7D31" w:themeFill="accent2"/>
          </w:tcPr>
          <w:p w14:paraId="6B609B86" w14:textId="77777777" w:rsidR="00761991" w:rsidRPr="00FF0F0F" w:rsidRDefault="00761991" w:rsidP="00FF0F0F">
            <w:pPr>
              <w:jc w:val="center"/>
              <w:rPr>
                <w:rFonts w:ascii="Arial" w:eastAsia="Calibri" w:hAnsi="Arial" w:cs="Arial"/>
                <w:b/>
                <w:bCs/>
                <w:color w:val="FFFFFF" w:themeColor="background1"/>
              </w:rPr>
            </w:pPr>
            <w:r w:rsidRPr="00FF0F0F">
              <w:rPr>
                <w:rFonts w:ascii="Arial" w:eastAsia="Calibri" w:hAnsi="Arial" w:cs="Arial"/>
                <w:b/>
                <w:bCs/>
                <w:color w:val="FFFFFF" w:themeColor="background1"/>
              </w:rPr>
              <w:t>Responses</w:t>
            </w:r>
          </w:p>
        </w:tc>
      </w:tr>
      <w:tr w:rsidR="00761991" w14:paraId="727F814F" w14:textId="77777777" w:rsidTr="0068774C">
        <w:tc>
          <w:tcPr>
            <w:tcW w:w="1555" w:type="dxa"/>
            <w:vMerge w:val="restart"/>
            <w:shd w:val="clear" w:color="auto" w:fill="FBE4D5" w:themeFill="accent2" w:themeFillTint="33"/>
            <w:vAlign w:val="center"/>
          </w:tcPr>
          <w:p w14:paraId="229F4771" w14:textId="6EF32332" w:rsidR="00761991" w:rsidRPr="00EA6543" w:rsidRDefault="00761991" w:rsidP="0068774C">
            <w:pPr>
              <w:jc w:val="center"/>
              <w:rPr>
                <w:rFonts w:ascii="Arial" w:eastAsia="Calibri" w:hAnsi="Arial" w:cs="Arial"/>
                <w:b/>
                <w:bCs/>
                <w:color w:val="000000" w:themeColor="text1"/>
              </w:rPr>
            </w:pPr>
            <w:r w:rsidRPr="00EA6543">
              <w:rPr>
                <w:rFonts w:ascii="Arial" w:eastAsia="Calibri" w:hAnsi="Arial" w:cs="Arial"/>
                <w:b/>
                <w:bCs/>
                <w:color w:val="000000" w:themeColor="text1"/>
              </w:rPr>
              <w:t xml:space="preserve">Outstanding </w:t>
            </w:r>
            <w:r w:rsidR="00FF0F0F" w:rsidRPr="00EA6543">
              <w:rPr>
                <w:rFonts w:ascii="Arial" w:eastAsia="Calibri" w:hAnsi="Arial" w:cs="Arial"/>
                <w:b/>
                <w:bCs/>
                <w:color w:val="000000" w:themeColor="text1"/>
              </w:rPr>
              <w:t>Q</w:t>
            </w:r>
            <w:r w:rsidRPr="00EA6543">
              <w:rPr>
                <w:rFonts w:ascii="Arial" w:eastAsia="Calibri" w:hAnsi="Arial" w:cs="Arial"/>
                <w:b/>
                <w:bCs/>
                <w:color w:val="000000" w:themeColor="text1"/>
              </w:rPr>
              <w:t xml:space="preserve">uestions </w:t>
            </w:r>
            <w:r w:rsidR="00EA6543" w:rsidRPr="00EA6543">
              <w:rPr>
                <w:rFonts w:ascii="Arial" w:eastAsia="Calibri" w:hAnsi="Arial" w:cs="Arial"/>
                <w:b/>
                <w:bCs/>
                <w:color w:val="000000" w:themeColor="text1"/>
              </w:rPr>
              <w:t>from Workshop</w:t>
            </w:r>
            <w:r w:rsidRPr="00EA6543">
              <w:rPr>
                <w:rFonts w:ascii="Arial" w:eastAsia="Calibri" w:hAnsi="Arial" w:cs="Arial"/>
                <w:b/>
                <w:bCs/>
                <w:color w:val="000000" w:themeColor="text1"/>
              </w:rPr>
              <w:t xml:space="preserve"> 1</w:t>
            </w:r>
          </w:p>
        </w:tc>
        <w:tc>
          <w:tcPr>
            <w:tcW w:w="3402" w:type="dxa"/>
            <w:vMerge w:val="restart"/>
            <w:shd w:val="clear" w:color="auto" w:fill="auto"/>
            <w:vAlign w:val="center"/>
          </w:tcPr>
          <w:p w14:paraId="538476D1" w14:textId="77777777" w:rsidR="00761991" w:rsidRPr="006E3D5E" w:rsidRDefault="00761991" w:rsidP="00EA6543">
            <w:pPr>
              <w:rPr>
                <w:rFonts w:ascii="Arial" w:eastAsia="Calibri" w:hAnsi="Arial" w:cs="Arial"/>
                <w:color w:val="000000" w:themeColor="text1"/>
              </w:rPr>
            </w:pPr>
            <w:r>
              <w:rPr>
                <w:rFonts w:ascii="Arial" w:eastAsia="Calibri" w:hAnsi="Arial" w:cs="Arial"/>
                <w:color w:val="000000" w:themeColor="text1"/>
              </w:rPr>
              <w:t>Do you have any outstanding questions or comments from workshop 1?</w:t>
            </w:r>
          </w:p>
        </w:tc>
        <w:tc>
          <w:tcPr>
            <w:tcW w:w="4059" w:type="dxa"/>
            <w:shd w:val="clear" w:color="auto" w:fill="auto"/>
          </w:tcPr>
          <w:p w14:paraId="1BCF15AE" w14:textId="77777777" w:rsidR="00761991" w:rsidRPr="00267F48" w:rsidRDefault="00761991" w:rsidP="00FD7A5B">
            <w:pPr>
              <w:rPr>
                <w:rFonts w:ascii="Arial" w:eastAsia="Calibri" w:hAnsi="Arial" w:cs="Arial"/>
                <w:color w:val="000000" w:themeColor="text1"/>
              </w:rPr>
            </w:pPr>
            <w:r w:rsidRPr="00267F48">
              <w:rPr>
                <w:rFonts w:ascii="Arial" w:eastAsia="Calibri" w:hAnsi="Arial" w:cs="Arial"/>
                <w:color w:val="000000" w:themeColor="text1"/>
              </w:rPr>
              <w:t>As a regulator, I am interested in this intending to take over the regulation of all explosives and explosive related MHF’s in the states/territory (as indicated in sections 1.16 and 1.17 of the original consultation document.</w:t>
            </w:r>
          </w:p>
        </w:tc>
      </w:tr>
      <w:tr w:rsidR="00761991" w14:paraId="05EF7D96" w14:textId="77777777" w:rsidTr="00EA6543">
        <w:tc>
          <w:tcPr>
            <w:tcW w:w="1555" w:type="dxa"/>
            <w:vMerge/>
            <w:shd w:val="clear" w:color="auto" w:fill="FBE4D5" w:themeFill="accent2" w:themeFillTint="33"/>
          </w:tcPr>
          <w:p w14:paraId="2090B062" w14:textId="77777777" w:rsidR="00761991" w:rsidRPr="006E3D5E" w:rsidRDefault="00761991" w:rsidP="00FD7A5B">
            <w:pPr>
              <w:rPr>
                <w:rFonts w:ascii="Arial" w:eastAsia="Calibri" w:hAnsi="Arial" w:cs="Arial"/>
                <w:b/>
                <w:bCs/>
                <w:color w:val="000000" w:themeColor="text1"/>
              </w:rPr>
            </w:pPr>
          </w:p>
        </w:tc>
        <w:tc>
          <w:tcPr>
            <w:tcW w:w="3402" w:type="dxa"/>
            <w:vMerge/>
            <w:shd w:val="clear" w:color="auto" w:fill="auto"/>
          </w:tcPr>
          <w:p w14:paraId="69CB5CAA" w14:textId="77777777" w:rsidR="00761991" w:rsidRDefault="00761991" w:rsidP="00FD7A5B">
            <w:pPr>
              <w:rPr>
                <w:rFonts w:ascii="Arial" w:eastAsia="Calibri" w:hAnsi="Arial" w:cs="Arial"/>
                <w:color w:val="000000" w:themeColor="text1"/>
              </w:rPr>
            </w:pPr>
          </w:p>
        </w:tc>
        <w:tc>
          <w:tcPr>
            <w:tcW w:w="4059" w:type="dxa"/>
            <w:shd w:val="clear" w:color="auto" w:fill="auto"/>
          </w:tcPr>
          <w:p w14:paraId="39AEE762" w14:textId="77777777" w:rsidR="00761991" w:rsidRPr="00267F48" w:rsidRDefault="00761991" w:rsidP="00FD7A5B">
            <w:pPr>
              <w:rPr>
                <w:rFonts w:ascii="Arial" w:eastAsia="Calibri" w:hAnsi="Arial" w:cs="Arial"/>
                <w:color w:val="000000" w:themeColor="text1"/>
              </w:rPr>
            </w:pPr>
            <w:r w:rsidRPr="00BF6CAB">
              <w:rPr>
                <w:rFonts w:ascii="Arial" w:eastAsia="Calibri" w:hAnsi="Arial" w:cs="Arial"/>
                <w:color w:val="000000" w:themeColor="text1"/>
              </w:rPr>
              <w:t>When foreign force explosives come into Australia are they imported under the Commonwealth control?</w:t>
            </w:r>
          </w:p>
        </w:tc>
      </w:tr>
    </w:tbl>
    <w:p w14:paraId="4C62189E" w14:textId="77777777" w:rsidR="00761991" w:rsidRDefault="00761991" w:rsidP="0068774C">
      <w:pPr>
        <w:spacing w:before="240" w:line="240" w:lineRule="auto"/>
        <w:rPr>
          <w:rFonts w:ascii="Arial" w:eastAsia="Calibri" w:hAnsi="Arial" w:cs="Arial"/>
          <w:color w:val="997339"/>
        </w:rPr>
      </w:pPr>
      <w:r w:rsidRPr="009C0425">
        <w:rPr>
          <w:rFonts w:ascii="Arial" w:eastAsia="Calibri" w:hAnsi="Arial" w:cs="Arial"/>
          <w:color w:val="997339"/>
        </w:rPr>
        <w:t xml:space="preserve">Industry Stakeholders </w:t>
      </w:r>
    </w:p>
    <w:p w14:paraId="4AF08762" w14:textId="77777777" w:rsidR="0068774C" w:rsidRPr="00FF0F0F" w:rsidRDefault="0068774C" w:rsidP="0068774C">
      <w:pPr>
        <w:spacing w:line="240" w:lineRule="auto"/>
        <w:rPr>
          <w:rFonts w:ascii="Arial" w:eastAsia="Calibri" w:hAnsi="Arial" w:cs="Arial"/>
          <w:i/>
          <w:iCs/>
        </w:rPr>
      </w:pPr>
      <w:r w:rsidRPr="00373EA8">
        <w:rPr>
          <w:rFonts w:ascii="Arial" w:eastAsia="Calibri" w:hAnsi="Arial" w:cs="Arial"/>
          <w:i/>
          <w:iCs/>
        </w:rPr>
        <w:t xml:space="preserve">Verbal discussion only – no written responses submitted. </w:t>
      </w:r>
    </w:p>
    <w:p w14:paraId="49EE4056" w14:textId="2F90DF3F" w:rsidR="00761991" w:rsidRPr="009C0425" w:rsidRDefault="0068774C" w:rsidP="0068774C">
      <w:pPr>
        <w:rPr>
          <w:rFonts w:ascii="Arial" w:eastAsia="Calibri" w:hAnsi="Arial" w:cs="Arial"/>
          <w:color w:val="997339"/>
        </w:rPr>
      </w:pPr>
      <w:r>
        <w:rPr>
          <w:rFonts w:ascii="Arial" w:eastAsia="Calibri" w:hAnsi="Arial" w:cs="Arial"/>
          <w:color w:val="997339"/>
        </w:rPr>
        <w:br w:type="page"/>
      </w:r>
    </w:p>
    <w:p w14:paraId="3B994CA7" w14:textId="77777777" w:rsidR="00761991" w:rsidRPr="00001B77" w:rsidRDefault="00761991" w:rsidP="00761991">
      <w:pPr>
        <w:spacing w:line="240" w:lineRule="auto"/>
        <w:rPr>
          <w:rFonts w:ascii="Arial" w:eastAsia="Times New Roman" w:hAnsi="Arial" w:cs="Arial"/>
          <w:color w:val="B35E06"/>
          <w:sz w:val="26"/>
          <w:szCs w:val="26"/>
        </w:rPr>
      </w:pPr>
      <w:r w:rsidRPr="00001B77">
        <w:rPr>
          <w:rFonts w:ascii="Arial" w:eastAsia="Times New Roman" w:hAnsi="Arial" w:cs="Arial"/>
          <w:color w:val="B35E06"/>
          <w:sz w:val="26"/>
          <w:szCs w:val="26"/>
        </w:rPr>
        <w:lastRenderedPageBreak/>
        <w:t xml:space="preserve">Workshop </w:t>
      </w:r>
      <w:r>
        <w:rPr>
          <w:rFonts w:ascii="Arial" w:eastAsia="Times New Roman" w:hAnsi="Arial" w:cs="Arial"/>
          <w:color w:val="B35E06"/>
          <w:sz w:val="26"/>
          <w:szCs w:val="26"/>
        </w:rPr>
        <w:t>3</w:t>
      </w:r>
    </w:p>
    <w:p w14:paraId="031E73D2" w14:textId="77777777" w:rsidR="00761991" w:rsidRDefault="00761991" w:rsidP="00761991">
      <w:pPr>
        <w:spacing w:line="240" w:lineRule="auto"/>
        <w:rPr>
          <w:rFonts w:ascii="Arial" w:eastAsia="Calibri" w:hAnsi="Arial" w:cs="Arial"/>
          <w:color w:val="997339"/>
        </w:rPr>
      </w:pPr>
      <w:r w:rsidRPr="009C0425">
        <w:rPr>
          <w:rFonts w:ascii="Arial" w:eastAsia="Calibri" w:hAnsi="Arial" w:cs="Arial"/>
          <w:color w:val="997339"/>
        </w:rPr>
        <w:t xml:space="preserve">Commonwealth Stakeholders </w:t>
      </w:r>
    </w:p>
    <w:tbl>
      <w:tblPr>
        <w:tblStyle w:val="TableGrid"/>
        <w:tblW w:w="0" w:type="auto"/>
        <w:tblLook w:val="04A0" w:firstRow="1" w:lastRow="0" w:firstColumn="1" w:lastColumn="0" w:noHBand="0" w:noVBand="1"/>
      </w:tblPr>
      <w:tblGrid>
        <w:gridCol w:w="1696"/>
        <w:gridCol w:w="3402"/>
        <w:gridCol w:w="3918"/>
      </w:tblGrid>
      <w:tr w:rsidR="00761991" w14:paraId="74212452" w14:textId="77777777" w:rsidTr="0068774C">
        <w:tc>
          <w:tcPr>
            <w:tcW w:w="1696" w:type="dxa"/>
            <w:shd w:val="clear" w:color="auto" w:fill="ED7D31" w:themeFill="accent2"/>
          </w:tcPr>
          <w:p w14:paraId="424DE7E6" w14:textId="77777777" w:rsidR="00761991" w:rsidRPr="0068774C" w:rsidRDefault="00761991" w:rsidP="0068774C">
            <w:pPr>
              <w:jc w:val="center"/>
              <w:rPr>
                <w:rFonts w:ascii="Arial" w:eastAsia="Calibri" w:hAnsi="Arial" w:cs="Arial"/>
                <w:b/>
                <w:bCs/>
                <w:color w:val="FFFFFF" w:themeColor="background1"/>
              </w:rPr>
            </w:pPr>
            <w:r w:rsidRPr="0068774C">
              <w:rPr>
                <w:rFonts w:ascii="Arial" w:eastAsia="Calibri" w:hAnsi="Arial" w:cs="Arial"/>
                <w:b/>
                <w:bCs/>
                <w:color w:val="FFFFFF" w:themeColor="background1"/>
              </w:rPr>
              <w:t>Topic</w:t>
            </w:r>
          </w:p>
        </w:tc>
        <w:tc>
          <w:tcPr>
            <w:tcW w:w="3402" w:type="dxa"/>
            <w:shd w:val="clear" w:color="auto" w:fill="ED7D31" w:themeFill="accent2"/>
          </w:tcPr>
          <w:p w14:paraId="41C64DA1" w14:textId="77777777" w:rsidR="00761991" w:rsidRPr="0068774C" w:rsidRDefault="00761991" w:rsidP="0068774C">
            <w:pPr>
              <w:jc w:val="center"/>
              <w:rPr>
                <w:rFonts w:ascii="Arial" w:eastAsia="Calibri" w:hAnsi="Arial" w:cs="Arial"/>
                <w:b/>
                <w:bCs/>
                <w:color w:val="FFFFFF" w:themeColor="background1"/>
              </w:rPr>
            </w:pPr>
            <w:r w:rsidRPr="0068774C">
              <w:rPr>
                <w:rFonts w:ascii="Arial" w:eastAsia="Calibri" w:hAnsi="Arial" w:cs="Arial"/>
                <w:b/>
                <w:bCs/>
                <w:color w:val="FFFFFF" w:themeColor="background1"/>
              </w:rPr>
              <w:t>Question</w:t>
            </w:r>
          </w:p>
        </w:tc>
        <w:tc>
          <w:tcPr>
            <w:tcW w:w="3918" w:type="dxa"/>
            <w:shd w:val="clear" w:color="auto" w:fill="ED7D31" w:themeFill="accent2"/>
          </w:tcPr>
          <w:p w14:paraId="6F9CF99E" w14:textId="77777777" w:rsidR="00761991" w:rsidRPr="0068774C" w:rsidRDefault="00761991" w:rsidP="0068774C">
            <w:pPr>
              <w:jc w:val="center"/>
              <w:rPr>
                <w:rFonts w:ascii="Arial" w:eastAsia="Calibri" w:hAnsi="Arial" w:cs="Arial"/>
                <w:b/>
                <w:bCs/>
                <w:color w:val="FFFFFF" w:themeColor="background1"/>
              </w:rPr>
            </w:pPr>
            <w:r w:rsidRPr="0068774C">
              <w:rPr>
                <w:rFonts w:ascii="Arial" w:eastAsia="Calibri" w:hAnsi="Arial" w:cs="Arial"/>
                <w:b/>
                <w:bCs/>
                <w:color w:val="FFFFFF" w:themeColor="background1"/>
              </w:rPr>
              <w:t>Responses</w:t>
            </w:r>
          </w:p>
        </w:tc>
      </w:tr>
      <w:tr w:rsidR="0068774C" w14:paraId="61DFE835" w14:textId="77777777" w:rsidTr="00911A81">
        <w:tc>
          <w:tcPr>
            <w:tcW w:w="1696" w:type="dxa"/>
            <w:vMerge w:val="restart"/>
            <w:shd w:val="clear" w:color="auto" w:fill="FBE4D5" w:themeFill="accent2" w:themeFillTint="33"/>
            <w:vAlign w:val="center"/>
          </w:tcPr>
          <w:p w14:paraId="367B5CCB" w14:textId="2369AFDB" w:rsidR="0068774C" w:rsidRPr="00F744CC" w:rsidRDefault="0068774C" w:rsidP="0068774C">
            <w:pPr>
              <w:jc w:val="center"/>
              <w:rPr>
                <w:rFonts w:ascii="Arial" w:eastAsia="Calibri" w:hAnsi="Arial" w:cs="Arial"/>
                <w:b/>
                <w:bCs/>
                <w:color w:val="000000" w:themeColor="text1"/>
              </w:rPr>
            </w:pPr>
            <w:r>
              <w:rPr>
                <w:rFonts w:ascii="Arial" w:eastAsia="Calibri" w:hAnsi="Arial" w:cs="Arial"/>
                <w:b/>
                <w:bCs/>
                <w:color w:val="000000" w:themeColor="text1"/>
              </w:rPr>
              <w:t>Concurrent Operation</w:t>
            </w:r>
          </w:p>
        </w:tc>
        <w:tc>
          <w:tcPr>
            <w:tcW w:w="3402" w:type="dxa"/>
            <w:shd w:val="clear" w:color="auto" w:fill="auto"/>
            <w:vAlign w:val="center"/>
          </w:tcPr>
          <w:p w14:paraId="35A3AD17" w14:textId="77777777" w:rsidR="0068774C" w:rsidRPr="0023250B" w:rsidRDefault="0068774C" w:rsidP="0068774C">
            <w:pPr>
              <w:rPr>
                <w:rFonts w:ascii="Arial" w:eastAsia="Calibri" w:hAnsi="Arial" w:cs="Arial"/>
                <w:color w:val="000000" w:themeColor="text1"/>
              </w:rPr>
            </w:pPr>
            <w:r w:rsidRPr="0023250B">
              <w:rPr>
                <w:rFonts w:ascii="Arial" w:eastAsia="Calibri" w:hAnsi="Arial" w:cs="Arial"/>
                <w:color w:val="000000" w:themeColor="text1"/>
              </w:rPr>
              <w:t xml:space="preserve">Should the Commonwealth explosives regime apply to the exclusion of the States and Territories? </w:t>
            </w:r>
          </w:p>
        </w:tc>
        <w:tc>
          <w:tcPr>
            <w:tcW w:w="3918" w:type="dxa"/>
            <w:shd w:val="clear" w:color="auto" w:fill="auto"/>
          </w:tcPr>
          <w:p w14:paraId="633420EC" w14:textId="77777777" w:rsidR="0068774C" w:rsidRPr="0023250B" w:rsidRDefault="0068774C" w:rsidP="00FD7A5B">
            <w:pPr>
              <w:rPr>
                <w:rFonts w:ascii="Arial" w:eastAsia="Calibri" w:hAnsi="Arial" w:cs="Arial"/>
                <w:color w:val="000000" w:themeColor="text1"/>
              </w:rPr>
            </w:pPr>
            <w:r w:rsidRPr="0023250B">
              <w:rPr>
                <w:rFonts w:ascii="Arial" w:eastAsia="Calibri" w:hAnsi="Arial" w:cs="Arial"/>
                <w:color w:val="000000" w:themeColor="text1"/>
              </w:rPr>
              <w:t xml:space="preserve">Yes. The Commonwealth must override the State legislation unless the state regulation is fully harmonised with the Commonwealth legislation. The Commonwealth should not be hampered in its operations due to State/territory differences. </w:t>
            </w:r>
          </w:p>
        </w:tc>
      </w:tr>
      <w:tr w:rsidR="0068774C" w14:paraId="5B2A36A0" w14:textId="77777777" w:rsidTr="00911A81">
        <w:tc>
          <w:tcPr>
            <w:tcW w:w="1696" w:type="dxa"/>
            <w:vMerge/>
            <w:shd w:val="clear" w:color="auto" w:fill="FBE4D5" w:themeFill="accent2" w:themeFillTint="33"/>
          </w:tcPr>
          <w:p w14:paraId="65DC175D" w14:textId="6CBA0B9B" w:rsidR="0068774C" w:rsidRPr="00F744CC" w:rsidRDefault="0068774C" w:rsidP="00FD7A5B">
            <w:pPr>
              <w:rPr>
                <w:rFonts w:ascii="Arial" w:eastAsia="Calibri" w:hAnsi="Arial" w:cs="Arial"/>
                <w:b/>
                <w:bCs/>
                <w:color w:val="997339"/>
              </w:rPr>
            </w:pPr>
          </w:p>
        </w:tc>
        <w:tc>
          <w:tcPr>
            <w:tcW w:w="3402" w:type="dxa"/>
            <w:shd w:val="clear" w:color="auto" w:fill="auto"/>
            <w:vAlign w:val="center"/>
          </w:tcPr>
          <w:p w14:paraId="47792A05" w14:textId="77777777" w:rsidR="0068774C" w:rsidRPr="0023250B" w:rsidRDefault="0068774C" w:rsidP="0068774C">
            <w:pPr>
              <w:rPr>
                <w:rFonts w:ascii="Arial" w:eastAsia="Calibri" w:hAnsi="Arial" w:cs="Arial"/>
                <w:color w:val="000000" w:themeColor="text1"/>
              </w:rPr>
            </w:pPr>
            <w:r w:rsidRPr="0023250B">
              <w:rPr>
                <w:rFonts w:ascii="Arial" w:eastAsia="Calibri" w:hAnsi="Arial" w:cs="Arial"/>
                <w:color w:val="000000" w:themeColor="text1"/>
              </w:rPr>
              <w:t xml:space="preserve">Should the Commonwealth explosives regime apply to the exclusion of the States and Territories? </w:t>
            </w:r>
          </w:p>
        </w:tc>
        <w:tc>
          <w:tcPr>
            <w:tcW w:w="3918" w:type="dxa"/>
            <w:shd w:val="clear" w:color="auto" w:fill="auto"/>
          </w:tcPr>
          <w:p w14:paraId="0E4DD67D" w14:textId="73BFE53C" w:rsidR="0068774C" w:rsidRPr="0023250B" w:rsidRDefault="0068774C" w:rsidP="00FD7A5B">
            <w:pPr>
              <w:rPr>
                <w:rFonts w:ascii="Arial" w:eastAsia="Calibri" w:hAnsi="Arial" w:cs="Arial"/>
                <w:color w:val="000000" w:themeColor="text1"/>
              </w:rPr>
            </w:pPr>
            <w:r w:rsidRPr="0023250B">
              <w:rPr>
                <w:rFonts w:ascii="Arial" w:eastAsia="Calibri" w:hAnsi="Arial" w:cs="Arial"/>
                <w:color w:val="000000" w:themeColor="text1"/>
              </w:rPr>
              <w:t>Some of the Commonwealth explosives regime will need to apply beyond Australian territory especially in circumstances where local legislation in those areas is non-existent or unsafe. E.g</w:t>
            </w:r>
            <w:r>
              <w:rPr>
                <w:rFonts w:ascii="Arial" w:eastAsia="Calibri" w:hAnsi="Arial" w:cs="Arial"/>
                <w:color w:val="000000" w:themeColor="text1"/>
              </w:rPr>
              <w:t>.</w:t>
            </w:r>
            <w:r w:rsidRPr="0023250B">
              <w:rPr>
                <w:rFonts w:ascii="Arial" w:eastAsia="Calibri" w:hAnsi="Arial" w:cs="Arial"/>
                <w:color w:val="000000" w:themeColor="text1"/>
              </w:rPr>
              <w:t xml:space="preserve"> for packing, transport or storage</w:t>
            </w:r>
            <w:r>
              <w:rPr>
                <w:rFonts w:ascii="Arial" w:eastAsia="Calibri" w:hAnsi="Arial" w:cs="Arial"/>
                <w:color w:val="000000" w:themeColor="text1"/>
              </w:rPr>
              <w:t>.</w:t>
            </w:r>
          </w:p>
        </w:tc>
      </w:tr>
      <w:tr w:rsidR="0068774C" w14:paraId="396286F0" w14:textId="77777777" w:rsidTr="00911A81">
        <w:tc>
          <w:tcPr>
            <w:tcW w:w="1696" w:type="dxa"/>
            <w:vMerge/>
            <w:shd w:val="clear" w:color="auto" w:fill="FBE4D5" w:themeFill="accent2" w:themeFillTint="33"/>
          </w:tcPr>
          <w:p w14:paraId="7D7E8152" w14:textId="63D13A64" w:rsidR="0068774C" w:rsidRPr="00F744CC" w:rsidRDefault="0068774C" w:rsidP="00FD7A5B">
            <w:pPr>
              <w:rPr>
                <w:rFonts w:ascii="Arial" w:eastAsia="Calibri" w:hAnsi="Arial" w:cs="Arial"/>
                <w:b/>
                <w:bCs/>
                <w:color w:val="997339"/>
              </w:rPr>
            </w:pPr>
          </w:p>
        </w:tc>
        <w:tc>
          <w:tcPr>
            <w:tcW w:w="3402" w:type="dxa"/>
            <w:shd w:val="clear" w:color="auto" w:fill="auto"/>
            <w:vAlign w:val="center"/>
          </w:tcPr>
          <w:p w14:paraId="793427E3" w14:textId="77777777" w:rsidR="0068774C" w:rsidRPr="00550EBF" w:rsidRDefault="0068774C" w:rsidP="0068774C">
            <w:pPr>
              <w:rPr>
                <w:rFonts w:ascii="Arial" w:eastAsia="Calibri" w:hAnsi="Arial" w:cs="Arial"/>
                <w:color w:val="000000" w:themeColor="text1"/>
              </w:rPr>
            </w:pPr>
            <w:r w:rsidRPr="00550EBF">
              <w:rPr>
                <w:rFonts w:ascii="Arial" w:eastAsia="Calibri" w:hAnsi="Arial" w:cs="Arial"/>
                <w:color w:val="000000" w:themeColor="text1"/>
              </w:rPr>
              <w:t xml:space="preserve">Should the Commonwealth explosives law leverage, where appropriate, Australia’s WHS regime </w:t>
            </w:r>
          </w:p>
        </w:tc>
        <w:tc>
          <w:tcPr>
            <w:tcW w:w="3918" w:type="dxa"/>
            <w:shd w:val="clear" w:color="auto" w:fill="auto"/>
          </w:tcPr>
          <w:p w14:paraId="60EB2E77" w14:textId="1CF2F656" w:rsidR="0068774C" w:rsidRPr="00550EBF" w:rsidRDefault="0068774C" w:rsidP="00FD7A5B">
            <w:pPr>
              <w:rPr>
                <w:rFonts w:ascii="Arial" w:eastAsia="Calibri" w:hAnsi="Arial" w:cs="Arial"/>
                <w:color w:val="000000" w:themeColor="text1"/>
              </w:rPr>
            </w:pPr>
            <w:r w:rsidRPr="00550EBF">
              <w:rPr>
                <w:rFonts w:ascii="Arial" w:eastAsia="Calibri" w:hAnsi="Arial" w:cs="Arial"/>
                <w:color w:val="000000" w:themeColor="text1"/>
              </w:rPr>
              <w:t>Yes, to the extent it complements the Commonwealth activity e.g</w:t>
            </w:r>
            <w:r>
              <w:rPr>
                <w:rFonts w:ascii="Arial" w:eastAsia="Calibri" w:hAnsi="Arial" w:cs="Arial"/>
                <w:color w:val="000000" w:themeColor="text1"/>
              </w:rPr>
              <w:t>.</w:t>
            </w:r>
            <w:r w:rsidRPr="00550EBF">
              <w:rPr>
                <w:rFonts w:ascii="Arial" w:eastAsia="Calibri" w:hAnsi="Arial" w:cs="Arial"/>
                <w:color w:val="000000" w:themeColor="text1"/>
              </w:rPr>
              <w:t xml:space="preserve"> Codes of Practice</w:t>
            </w:r>
            <w:r>
              <w:rPr>
                <w:rFonts w:ascii="Arial" w:eastAsia="Calibri" w:hAnsi="Arial" w:cs="Arial"/>
                <w:color w:val="000000" w:themeColor="text1"/>
              </w:rPr>
              <w:t>.</w:t>
            </w:r>
            <w:r w:rsidRPr="00550EBF">
              <w:rPr>
                <w:rFonts w:ascii="Arial" w:eastAsia="Calibri" w:hAnsi="Arial" w:cs="Arial"/>
                <w:color w:val="000000" w:themeColor="text1"/>
              </w:rPr>
              <w:t xml:space="preserve"> </w:t>
            </w:r>
          </w:p>
        </w:tc>
      </w:tr>
      <w:tr w:rsidR="00761991" w14:paraId="5876E061" w14:textId="77777777" w:rsidTr="00911A81">
        <w:tc>
          <w:tcPr>
            <w:tcW w:w="1696" w:type="dxa"/>
            <w:vMerge w:val="restart"/>
            <w:shd w:val="clear" w:color="auto" w:fill="FBE4D5" w:themeFill="accent2" w:themeFillTint="33"/>
            <w:vAlign w:val="center"/>
          </w:tcPr>
          <w:p w14:paraId="13DF7AC2" w14:textId="5A055E83" w:rsidR="00761991" w:rsidRPr="00F744CC" w:rsidRDefault="0068774C" w:rsidP="00911A81">
            <w:pPr>
              <w:jc w:val="center"/>
              <w:rPr>
                <w:rFonts w:ascii="Arial" w:eastAsia="Calibri" w:hAnsi="Arial" w:cs="Arial"/>
                <w:b/>
                <w:bCs/>
                <w:color w:val="000000" w:themeColor="text1"/>
              </w:rPr>
            </w:pPr>
            <w:r>
              <w:rPr>
                <w:rFonts w:ascii="Arial" w:eastAsia="Calibri" w:hAnsi="Arial" w:cs="Arial"/>
                <w:b/>
                <w:bCs/>
                <w:color w:val="000000" w:themeColor="text1"/>
              </w:rPr>
              <w:t>Standards &amp; Exemptions</w:t>
            </w:r>
          </w:p>
        </w:tc>
        <w:tc>
          <w:tcPr>
            <w:tcW w:w="3402" w:type="dxa"/>
            <w:vMerge w:val="restart"/>
            <w:shd w:val="clear" w:color="auto" w:fill="auto"/>
            <w:vAlign w:val="center"/>
          </w:tcPr>
          <w:p w14:paraId="7F752895" w14:textId="1A75D017" w:rsidR="0068774C" w:rsidRPr="0068774C" w:rsidRDefault="00761991" w:rsidP="0068774C">
            <w:pPr>
              <w:rPr>
                <w:rFonts w:ascii="Arial" w:eastAsia="Calibri" w:hAnsi="Arial" w:cs="Arial"/>
                <w:color w:val="000000" w:themeColor="text1"/>
              </w:rPr>
            </w:pPr>
            <w:r w:rsidRPr="00550EBF">
              <w:rPr>
                <w:rFonts w:ascii="Arial" w:eastAsia="Calibri" w:hAnsi="Arial" w:cs="Arial"/>
                <w:color w:val="000000" w:themeColor="text1"/>
              </w:rPr>
              <w:t xml:space="preserve">How can standards and exemptions best support the safe, secure and expedient movement of explosives? </w:t>
            </w:r>
          </w:p>
        </w:tc>
        <w:tc>
          <w:tcPr>
            <w:tcW w:w="3918" w:type="dxa"/>
            <w:shd w:val="clear" w:color="auto" w:fill="auto"/>
          </w:tcPr>
          <w:p w14:paraId="4CA2E09A" w14:textId="77777777" w:rsidR="00761991" w:rsidRPr="00550EBF" w:rsidRDefault="00761991" w:rsidP="00FD7A5B">
            <w:pPr>
              <w:rPr>
                <w:rFonts w:ascii="Arial" w:eastAsia="Calibri" w:hAnsi="Arial" w:cs="Arial"/>
                <w:color w:val="000000" w:themeColor="text1"/>
              </w:rPr>
            </w:pPr>
            <w:r w:rsidRPr="00550EBF">
              <w:rPr>
                <w:rFonts w:ascii="Arial" w:eastAsia="Calibri" w:hAnsi="Arial" w:cs="Arial"/>
                <w:color w:val="000000" w:themeColor="text1"/>
              </w:rPr>
              <w:t xml:space="preserve">Adopt the ability to issue an ‘exemption’ that achieves an ‘equivalent level of safety or security’ that’s required if you don’t have the exemption. </w:t>
            </w:r>
          </w:p>
          <w:p w14:paraId="1F8F532E" w14:textId="77777777" w:rsidR="00761991" w:rsidRPr="00550EBF" w:rsidRDefault="00761991" w:rsidP="00FD7A5B">
            <w:pPr>
              <w:rPr>
                <w:rFonts w:ascii="Arial" w:eastAsia="Calibri" w:hAnsi="Arial" w:cs="Arial"/>
                <w:color w:val="000000" w:themeColor="text1"/>
              </w:rPr>
            </w:pPr>
          </w:p>
        </w:tc>
      </w:tr>
      <w:tr w:rsidR="00761991" w14:paraId="6347FBFE" w14:textId="77777777" w:rsidTr="00911A81">
        <w:tc>
          <w:tcPr>
            <w:tcW w:w="1696" w:type="dxa"/>
            <w:vMerge/>
            <w:shd w:val="clear" w:color="auto" w:fill="FBE4D5" w:themeFill="accent2" w:themeFillTint="33"/>
          </w:tcPr>
          <w:p w14:paraId="638ACCD1" w14:textId="77777777" w:rsidR="00761991" w:rsidRPr="00F744CC" w:rsidRDefault="00761991" w:rsidP="00911A81">
            <w:pPr>
              <w:jc w:val="center"/>
              <w:rPr>
                <w:rFonts w:ascii="Arial" w:eastAsia="Calibri" w:hAnsi="Arial" w:cs="Arial"/>
                <w:b/>
                <w:bCs/>
                <w:color w:val="000000" w:themeColor="text1"/>
              </w:rPr>
            </w:pPr>
          </w:p>
        </w:tc>
        <w:tc>
          <w:tcPr>
            <w:tcW w:w="3402" w:type="dxa"/>
            <w:vMerge/>
            <w:shd w:val="clear" w:color="auto" w:fill="auto"/>
          </w:tcPr>
          <w:p w14:paraId="5EE05720" w14:textId="77777777" w:rsidR="00761991" w:rsidRPr="00550EBF" w:rsidRDefault="00761991" w:rsidP="00FD7A5B">
            <w:pPr>
              <w:rPr>
                <w:rFonts w:ascii="Arial" w:eastAsia="Calibri" w:hAnsi="Arial" w:cs="Arial"/>
                <w:color w:val="000000" w:themeColor="text1"/>
              </w:rPr>
            </w:pPr>
          </w:p>
        </w:tc>
        <w:tc>
          <w:tcPr>
            <w:tcW w:w="3918" w:type="dxa"/>
            <w:shd w:val="clear" w:color="auto" w:fill="auto"/>
          </w:tcPr>
          <w:p w14:paraId="5F7B415D" w14:textId="3895AB96" w:rsidR="00761991" w:rsidRPr="00BF6CAB" w:rsidRDefault="00761991" w:rsidP="00FD7A5B">
            <w:pPr>
              <w:rPr>
                <w:rFonts w:ascii="Arial" w:eastAsia="Calibri" w:hAnsi="Arial" w:cs="Arial"/>
                <w:color w:val="000000" w:themeColor="text1"/>
              </w:rPr>
            </w:pPr>
            <w:r w:rsidRPr="00BF6CAB">
              <w:rPr>
                <w:rFonts w:ascii="Arial" w:eastAsia="Calibri" w:hAnsi="Arial" w:cs="Arial"/>
                <w:color w:val="000000" w:themeColor="text1"/>
              </w:rPr>
              <w:t>For MHF the importance is performance</w:t>
            </w:r>
            <w:r w:rsidR="0068774C">
              <w:rPr>
                <w:rFonts w:ascii="Arial" w:eastAsia="Calibri" w:hAnsi="Arial" w:cs="Arial"/>
                <w:color w:val="000000" w:themeColor="text1"/>
              </w:rPr>
              <w:t>-</w:t>
            </w:r>
            <w:r w:rsidRPr="00BF6CAB">
              <w:rPr>
                <w:rFonts w:ascii="Arial" w:eastAsia="Calibri" w:hAnsi="Arial" w:cs="Arial"/>
                <w:color w:val="000000" w:themeColor="text1"/>
              </w:rPr>
              <w:t>based requirements that allow safety and security to be achieved through means appropriate for the facility.</w:t>
            </w:r>
          </w:p>
          <w:p w14:paraId="1687655A" w14:textId="77777777" w:rsidR="00761991" w:rsidRPr="00550EBF" w:rsidRDefault="00761991" w:rsidP="00FD7A5B">
            <w:pPr>
              <w:rPr>
                <w:rFonts w:ascii="Arial" w:eastAsia="Calibri" w:hAnsi="Arial" w:cs="Arial"/>
                <w:color w:val="000000" w:themeColor="text1"/>
              </w:rPr>
            </w:pPr>
          </w:p>
        </w:tc>
      </w:tr>
      <w:tr w:rsidR="00761991" w14:paraId="07330AFD" w14:textId="77777777" w:rsidTr="00911A81">
        <w:tc>
          <w:tcPr>
            <w:tcW w:w="1696" w:type="dxa"/>
            <w:vMerge/>
            <w:shd w:val="clear" w:color="auto" w:fill="FBE4D5" w:themeFill="accent2" w:themeFillTint="33"/>
          </w:tcPr>
          <w:p w14:paraId="5B9B385B" w14:textId="77777777" w:rsidR="00761991" w:rsidRPr="00F744CC" w:rsidRDefault="00761991" w:rsidP="00911A81">
            <w:pPr>
              <w:jc w:val="center"/>
              <w:rPr>
                <w:rFonts w:ascii="Arial" w:eastAsia="Calibri" w:hAnsi="Arial" w:cs="Arial"/>
                <w:b/>
                <w:bCs/>
                <w:color w:val="000000" w:themeColor="text1"/>
              </w:rPr>
            </w:pPr>
          </w:p>
        </w:tc>
        <w:tc>
          <w:tcPr>
            <w:tcW w:w="3402" w:type="dxa"/>
            <w:vMerge/>
            <w:shd w:val="clear" w:color="auto" w:fill="auto"/>
          </w:tcPr>
          <w:p w14:paraId="6CCDE947" w14:textId="77777777" w:rsidR="00761991" w:rsidRPr="00550EBF" w:rsidRDefault="00761991" w:rsidP="00FD7A5B">
            <w:pPr>
              <w:rPr>
                <w:rFonts w:ascii="Arial" w:eastAsia="Calibri" w:hAnsi="Arial" w:cs="Arial"/>
                <w:color w:val="000000" w:themeColor="text1"/>
              </w:rPr>
            </w:pPr>
          </w:p>
        </w:tc>
        <w:tc>
          <w:tcPr>
            <w:tcW w:w="3918" w:type="dxa"/>
            <w:shd w:val="clear" w:color="auto" w:fill="auto"/>
          </w:tcPr>
          <w:p w14:paraId="327B2A0D" w14:textId="77777777" w:rsidR="00761991" w:rsidRPr="00BF6CAB" w:rsidRDefault="00761991" w:rsidP="00FD7A5B">
            <w:pPr>
              <w:rPr>
                <w:rFonts w:ascii="Arial" w:eastAsia="Calibri" w:hAnsi="Arial" w:cs="Arial"/>
                <w:color w:val="000000" w:themeColor="text1"/>
              </w:rPr>
            </w:pPr>
            <w:r w:rsidRPr="00BF6CAB">
              <w:rPr>
                <w:rFonts w:ascii="Arial" w:eastAsia="Calibri" w:hAnsi="Arial" w:cs="Arial"/>
                <w:color w:val="000000" w:themeColor="text1"/>
              </w:rPr>
              <w:t xml:space="preserve">Use the requirements for a ‘safety case’ or ‘risk </w:t>
            </w:r>
            <w:proofErr w:type="gramStart"/>
            <w:r w:rsidRPr="00BF6CAB">
              <w:rPr>
                <w:rFonts w:ascii="Arial" w:eastAsia="Calibri" w:hAnsi="Arial" w:cs="Arial"/>
                <w:color w:val="000000" w:themeColor="text1"/>
              </w:rPr>
              <w:t>analysis’</w:t>
            </w:r>
            <w:proofErr w:type="gramEnd"/>
            <w:r w:rsidRPr="00BF6CAB">
              <w:rPr>
                <w:rFonts w:ascii="Arial" w:eastAsia="Calibri" w:hAnsi="Arial" w:cs="Arial"/>
                <w:color w:val="000000" w:themeColor="text1"/>
              </w:rPr>
              <w:t xml:space="preserve"> to accompany an application for an exemption.</w:t>
            </w:r>
          </w:p>
          <w:p w14:paraId="3A0905DF" w14:textId="77777777" w:rsidR="00761991" w:rsidRPr="00550EBF" w:rsidRDefault="00761991" w:rsidP="00FD7A5B">
            <w:pPr>
              <w:rPr>
                <w:rFonts w:ascii="Arial" w:eastAsia="Calibri" w:hAnsi="Arial" w:cs="Arial"/>
                <w:color w:val="000000" w:themeColor="text1"/>
              </w:rPr>
            </w:pPr>
          </w:p>
        </w:tc>
      </w:tr>
      <w:tr w:rsidR="00761991" w14:paraId="65F9DF2B" w14:textId="77777777" w:rsidTr="00911A81">
        <w:tc>
          <w:tcPr>
            <w:tcW w:w="1696" w:type="dxa"/>
            <w:vMerge/>
            <w:shd w:val="clear" w:color="auto" w:fill="FBE4D5" w:themeFill="accent2" w:themeFillTint="33"/>
          </w:tcPr>
          <w:p w14:paraId="4C39509E" w14:textId="77777777" w:rsidR="00761991" w:rsidRPr="00F744CC" w:rsidRDefault="00761991" w:rsidP="00911A81">
            <w:pPr>
              <w:jc w:val="center"/>
              <w:rPr>
                <w:rFonts w:ascii="Arial" w:eastAsia="Calibri" w:hAnsi="Arial" w:cs="Arial"/>
                <w:b/>
                <w:bCs/>
                <w:color w:val="000000" w:themeColor="text1"/>
              </w:rPr>
            </w:pPr>
          </w:p>
        </w:tc>
        <w:tc>
          <w:tcPr>
            <w:tcW w:w="3402" w:type="dxa"/>
            <w:vMerge/>
            <w:shd w:val="clear" w:color="auto" w:fill="auto"/>
          </w:tcPr>
          <w:p w14:paraId="4DD6ACE4" w14:textId="77777777" w:rsidR="00761991" w:rsidRPr="00550EBF" w:rsidRDefault="00761991" w:rsidP="00FD7A5B">
            <w:pPr>
              <w:rPr>
                <w:rFonts w:ascii="Arial" w:eastAsia="Calibri" w:hAnsi="Arial" w:cs="Arial"/>
                <w:color w:val="000000" w:themeColor="text1"/>
              </w:rPr>
            </w:pPr>
          </w:p>
        </w:tc>
        <w:tc>
          <w:tcPr>
            <w:tcW w:w="3918" w:type="dxa"/>
            <w:shd w:val="clear" w:color="auto" w:fill="auto"/>
          </w:tcPr>
          <w:p w14:paraId="3FB38B75" w14:textId="77777777" w:rsidR="00761991" w:rsidRPr="00550EBF" w:rsidRDefault="00761991" w:rsidP="00FD7A5B">
            <w:pPr>
              <w:rPr>
                <w:rFonts w:ascii="Arial" w:eastAsia="Calibri" w:hAnsi="Arial" w:cs="Arial"/>
                <w:color w:val="000000" w:themeColor="text1"/>
              </w:rPr>
            </w:pPr>
            <w:r w:rsidRPr="00BF6CAB">
              <w:rPr>
                <w:rFonts w:ascii="Arial" w:eastAsia="Calibri" w:hAnsi="Arial" w:cs="Arial"/>
                <w:color w:val="000000" w:themeColor="text1"/>
              </w:rPr>
              <w:t>If standards adopted are accepted international standards it sets a good base for international harmonisation, with recognised best practice for safety and transportation.</w:t>
            </w:r>
          </w:p>
        </w:tc>
      </w:tr>
      <w:tr w:rsidR="00761991" w14:paraId="41C749D7" w14:textId="77777777" w:rsidTr="00911A81">
        <w:tc>
          <w:tcPr>
            <w:tcW w:w="1696" w:type="dxa"/>
            <w:shd w:val="clear" w:color="auto" w:fill="FBE4D5" w:themeFill="accent2" w:themeFillTint="33"/>
            <w:vAlign w:val="center"/>
          </w:tcPr>
          <w:p w14:paraId="3DF36264" w14:textId="1A5432ED" w:rsidR="00761991" w:rsidRPr="00F744CC" w:rsidRDefault="00761991" w:rsidP="00911A81">
            <w:pPr>
              <w:jc w:val="center"/>
              <w:rPr>
                <w:rFonts w:ascii="Arial" w:eastAsia="Calibri" w:hAnsi="Arial" w:cs="Arial"/>
                <w:b/>
                <w:bCs/>
                <w:color w:val="000000" w:themeColor="text1"/>
              </w:rPr>
            </w:pPr>
            <w:r w:rsidRPr="00F744CC">
              <w:rPr>
                <w:rFonts w:ascii="Arial" w:eastAsia="Calibri" w:hAnsi="Arial" w:cs="Arial"/>
                <w:b/>
                <w:bCs/>
                <w:color w:val="000000" w:themeColor="text1"/>
              </w:rPr>
              <w:t xml:space="preserve">Storage of </w:t>
            </w:r>
            <w:r w:rsidR="0068774C">
              <w:rPr>
                <w:rFonts w:ascii="Arial" w:eastAsia="Calibri" w:hAnsi="Arial" w:cs="Arial"/>
                <w:b/>
                <w:bCs/>
                <w:color w:val="000000" w:themeColor="text1"/>
              </w:rPr>
              <w:t>E</w:t>
            </w:r>
            <w:r w:rsidRPr="00F744CC">
              <w:rPr>
                <w:rFonts w:ascii="Arial" w:eastAsia="Calibri" w:hAnsi="Arial" w:cs="Arial"/>
                <w:b/>
                <w:bCs/>
                <w:color w:val="000000" w:themeColor="text1"/>
              </w:rPr>
              <w:t>xplosives</w:t>
            </w:r>
          </w:p>
        </w:tc>
        <w:tc>
          <w:tcPr>
            <w:tcW w:w="3402" w:type="dxa"/>
            <w:shd w:val="clear" w:color="auto" w:fill="auto"/>
            <w:vAlign w:val="center"/>
          </w:tcPr>
          <w:p w14:paraId="3D127424" w14:textId="77777777" w:rsidR="00761991" w:rsidRPr="00EB52C7" w:rsidRDefault="00761991" w:rsidP="0068774C">
            <w:pPr>
              <w:rPr>
                <w:rFonts w:ascii="Arial" w:eastAsia="Calibri" w:hAnsi="Arial" w:cs="Arial"/>
                <w:color w:val="000000" w:themeColor="text1"/>
              </w:rPr>
            </w:pPr>
            <w:r w:rsidRPr="00EB52C7">
              <w:rPr>
                <w:rFonts w:ascii="Arial" w:eastAsia="Calibri" w:hAnsi="Arial" w:cs="Arial"/>
                <w:color w:val="000000" w:themeColor="text1"/>
              </w:rPr>
              <w:t xml:space="preserve">Should safety and security duties apply to storage of explosives below MHF thresholds? </w:t>
            </w:r>
          </w:p>
        </w:tc>
        <w:tc>
          <w:tcPr>
            <w:tcW w:w="3918" w:type="dxa"/>
            <w:shd w:val="clear" w:color="auto" w:fill="auto"/>
            <w:vAlign w:val="center"/>
          </w:tcPr>
          <w:p w14:paraId="07FE4C71" w14:textId="77777777" w:rsidR="00761991" w:rsidRPr="00550EBF" w:rsidRDefault="00761991" w:rsidP="0068774C">
            <w:pPr>
              <w:rPr>
                <w:rFonts w:ascii="Arial" w:eastAsia="Calibri" w:hAnsi="Arial" w:cs="Arial"/>
                <w:color w:val="000000" w:themeColor="text1"/>
              </w:rPr>
            </w:pPr>
            <w:r w:rsidRPr="00550EBF">
              <w:rPr>
                <w:rFonts w:ascii="Arial" w:eastAsia="Calibri" w:hAnsi="Arial" w:cs="Arial"/>
                <w:color w:val="000000" w:themeColor="text1"/>
              </w:rPr>
              <w:t>Consequences from security or storage even below MHF thresholds is a significant risk. Public perception is also a factor. How many people can you kill and have the risk level tolerable? Storage below MHF thresholds is very important</w:t>
            </w:r>
            <w:r>
              <w:rPr>
                <w:rFonts w:ascii="Arial" w:eastAsia="Calibri" w:hAnsi="Arial" w:cs="Arial"/>
                <w:color w:val="000000" w:themeColor="text1"/>
              </w:rPr>
              <w:t>.</w:t>
            </w:r>
            <w:r w:rsidRPr="00550EBF">
              <w:rPr>
                <w:rFonts w:ascii="Arial" w:eastAsia="Calibri" w:hAnsi="Arial" w:cs="Arial"/>
                <w:color w:val="000000" w:themeColor="text1"/>
              </w:rPr>
              <w:t xml:space="preserve"> </w:t>
            </w:r>
          </w:p>
        </w:tc>
      </w:tr>
      <w:tr w:rsidR="00761991" w14:paraId="2365B4A2" w14:textId="77777777" w:rsidTr="00911A81">
        <w:trPr>
          <w:cantSplit/>
        </w:trPr>
        <w:tc>
          <w:tcPr>
            <w:tcW w:w="1696" w:type="dxa"/>
            <w:vMerge w:val="restart"/>
            <w:shd w:val="clear" w:color="auto" w:fill="FBE4D5" w:themeFill="accent2" w:themeFillTint="33"/>
            <w:vAlign w:val="center"/>
          </w:tcPr>
          <w:p w14:paraId="15689F31" w14:textId="77777777" w:rsidR="00761991" w:rsidRPr="00F744CC" w:rsidRDefault="00761991" w:rsidP="00911A81">
            <w:pPr>
              <w:jc w:val="center"/>
              <w:rPr>
                <w:rFonts w:ascii="Arial" w:eastAsia="Calibri" w:hAnsi="Arial" w:cs="Arial"/>
                <w:b/>
                <w:bCs/>
                <w:color w:val="000000" w:themeColor="text1"/>
              </w:rPr>
            </w:pPr>
            <w:r>
              <w:rPr>
                <w:rFonts w:ascii="Arial" w:eastAsia="Calibri" w:hAnsi="Arial" w:cs="Arial"/>
                <w:b/>
                <w:bCs/>
                <w:color w:val="000000" w:themeColor="text1"/>
              </w:rPr>
              <w:lastRenderedPageBreak/>
              <w:t>Domestic and International Standards</w:t>
            </w:r>
          </w:p>
        </w:tc>
        <w:tc>
          <w:tcPr>
            <w:tcW w:w="3402" w:type="dxa"/>
            <w:vMerge w:val="restart"/>
            <w:shd w:val="clear" w:color="auto" w:fill="auto"/>
            <w:vAlign w:val="center"/>
          </w:tcPr>
          <w:p w14:paraId="69AFC55C" w14:textId="77777777" w:rsidR="00761991" w:rsidRPr="00EB52C7" w:rsidRDefault="00761991" w:rsidP="0068774C">
            <w:pPr>
              <w:rPr>
                <w:rFonts w:ascii="Arial" w:eastAsia="Calibri" w:hAnsi="Arial" w:cs="Arial"/>
                <w:color w:val="000000" w:themeColor="text1"/>
              </w:rPr>
            </w:pPr>
            <w:r w:rsidRPr="00EB52C7">
              <w:rPr>
                <w:rFonts w:ascii="Arial" w:eastAsia="Calibri" w:hAnsi="Arial" w:cs="Arial"/>
                <w:color w:val="000000" w:themeColor="text1"/>
              </w:rPr>
              <w:t xml:space="preserve">How can we leverage domestic and international standards related to explosives storage and manufacture? </w:t>
            </w:r>
          </w:p>
        </w:tc>
        <w:tc>
          <w:tcPr>
            <w:tcW w:w="3918" w:type="dxa"/>
            <w:shd w:val="clear" w:color="auto" w:fill="auto"/>
          </w:tcPr>
          <w:p w14:paraId="17333ADB" w14:textId="7EE66E53" w:rsidR="00761991" w:rsidRPr="00550EBF" w:rsidRDefault="00761991" w:rsidP="00FD7A5B">
            <w:pPr>
              <w:rPr>
                <w:rFonts w:ascii="Arial" w:eastAsia="Calibri" w:hAnsi="Arial" w:cs="Arial"/>
                <w:color w:val="000000" w:themeColor="text1"/>
              </w:rPr>
            </w:pPr>
            <w:r w:rsidRPr="00550EBF">
              <w:rPr>
                <w:rFonts w:ascii="Arial" w:eastAsia="Calibri" w:hAnsi="Arial" w:cs="Arial"/>
                <w:color w:val="000000" w:themeColor="text1"/>
              </w:rPr>
              <w:t>Storage requirements that can also use overpressure computer modelling helps but the biggest consideration for storage should be to adopt a zero</w:t>
            </w:r>
            <w:r w:rsidR="0068774C">
              <w:rPr>
                <w:rFonts w:ascii="Arial" w:eastAsia="Calibri" w:hAnsi="Arial" w:cs="Arial"/>
                <w:color w:val="000000" w:themeColor="text1"/>
              </w:rPr>
              <w:t>-</w:t>
            </w:r>
            <w:r w:rsidRPr="00550EBF">
              <w:rPr>
                <w:rFonts w:ascii="Arial" w:eastAsia="Calibri" w:hAnsi="Arial" w:cs="Arial"/>
                <w:color w:val="000000" w:themeColor="text1"/>
              </w:rPr>
              <w:t>hazard quantity distance methodology so that the public is not hurt in the event of an explosion</w:t>
            </w:r>
            <w:r>
              <w:rPr>
                <w:rFonts w:ascii="Arial" w:eastAsia="Calibri" w:hAnsi="Arial" w:cs="Arial"/>
                <w:color w:val="000000" w:themeColor="text1"/>
              </w:rPr>
              <w:t>.</w:t>
            </w:r>
          </w:p>
        </w:tc>
      </w:tr>
      <w:tr w:rsidR="00761991" w14:paraId="5DD58ACC" w14:textId="77777777" w:rsidTr="00911A81">
        <w:tc>
          <w:tcPr>
            <w:tcW w:w="1696" w:type="dxa"/>
            <w:vMerge/>
            <w:shd w:val="clear" w:color="auto" w:fill="FBE4D5" w:themeFill="accent2" w:themeFillTint="33"/>
            <w:vAlign w:val="center"/>
          </w:tcPr>
          <w:p w14:paraId="0FCF72DC" w14:textId="77777777" w:rsidR="00761991" w:rsidRDefault="00761991" w:rsidP="00911A81">
            <w:pPr>
              <w:jc w:val="center"/>
              <w:rPr>
                <w:rFonts w:ascii="Arial" w:eastAsia="Calibri" w:hAnsi="Arial" w:cs="Arial"/>
                <w:b/>
                <w:bCs/>
                <w:color w:val="000000" w:themeColor="text1"/>
              </w:rPr>
            </w:pPr>
          </w:p>
        </w:tc>
        <w:tc>
          <w:tcPr>
            <w:tcW w:w="3402" w:type="dxa"/>
            <w:vMerge/>
            <w:shd w:val="clear" w:color="auto" w:fill="auto"/>
          </w:tcPr>
          <w:p w14:paraId="24762AC1" w14:textId="77777777" w:rsidR="00761991" w:rsidRPr="00EB52C7" w:rsidRDefault="00761991" w:rsidP="00FD7A5B">
            <w:pPr>
              <w:rPr>
                <w:rFonts w:ascii="Arial" w:eastAsia="Calibri" w:hAnsi="Arial" w:cs="Arial"/>
                <w:color w:val="000000" w:themeColor="text1"/>
              </w:rPr>
            </w:pPr>
          </w:p>
        </w:tc>
        <w:tc>
          <w:tcPr>
            <w:tcW w:w="3918" w:type="dxa"/>
            <w:shd w:val="clear" w:color="auto" w:fill="auto"/>
          </w:tcPr>
          <w:p w14:paraId="6452F6DE" w14:textId="77777777" w:rsidR="00761991" w:rsidRPr="00550EBF" w:rsidRDefault="00761991" w:rsidP="00FD7A5B">
            <w:pPr>
              <w:rPr>
                <w:rFonts w:ascii="Arial" w:eastAsia="Calibri" w:hAnsi="Arial" w:cs="Arial"/>
                <w:color w:val="000000" w:themeColor="text1"/>
              </w:rPr>
            </w:pPr>
            <w:r w:rsidRPr="00BF6CAB">
              <w:rPr>
                <w:rFonts w:ascii="Arial" w:eastAsia="Calibri" w:hAnsi="Arial" w:cs="Arial"/>
                <w:color w:val="000000" w:themeColor="text1"/>
              </w:rPr>
              <w:t xml:space="preserve">A good reference is the UK manufacture and storage of explosives regulations Code of Practice.  </w:t>
            </w:r>
          </w:p>
        </w:tc>
      </w:tr>
      <w:tr w:rsidR="00761991" w14:paraId="18D5EB3B" w14:textId="77777777" w:rsidTr="00911A81">
        <w:tc>
          <w:tcPr>
            <w:tcW w:w="1696" w:type="dxa"/>
            <w:shd w:val="clear" w:color="auto" w:fill="FBE4D5" w:themeFill="accent2" w:themeFillTint="33"/>
            <w:vAlign w:val="center"/>
          </w:tcPr>
          <w:p w14:paraId="643AA061" w14:textId="0EC44755" w:rsidR="00761991" w:rsidRDefault="00761991" w:rsidP="00911A81">
            <w:pPr>
              <w:jc w:val="center"/>
              <w:rPr>
                <w:rFonts w:ascii="Arial" w:eastAsia="Calibri" w:hAnsi="Arial" w:cs="Arial"/>
                <w:b/>
                <w:bCs/>
                <w:color w:val="000000" w:themeColor="text1"/>
              </w:rPr>
            </w:pPr>
            <w:r>
              <w:rPr>
                <w:rFonts w:ascii="Arial" w:eastAsia="Calibri" w:hAnsi="Arial" w:cs="Arial"/>
                <w:b/>
                <w:bCs/>
                <w:color w:val="000000" w:themeColor="text1"/>
              </w:rPr>
              <w:t xml:space="preserve">Alternative </w:t>
            </w:r>
            <w:r w:rsidR="000D68DB">
              <w:rPr>
                <w:rFonts w:ascii="Arial" w:eastAsia="Calibri" w:hAnsi="Arial" w:cs="Arial"/>
                <w:b/>
                <w:bCs/>
                <w:color w:val="000000" w:themeColor="text1"/>
              </w:rPr>
              <w:t>M</w:t>
            </w:r>
            <w:r>
              <w:rPr>
                <w:rFonts w:ascii="Arial" w:eastAsia="Calibri" w:hAnsi="Arial" w:cs="Arial"/>
                <w:b/>
                <w:bCs/>
                <w:color w:val="000000" w:themeColor="text1"/>
              </w:rPr>
              <w:t>easures</w:t>
            </w:r>
          </w:p>
        </w:tc>
        <w:tc>
          <w:tcPr>
            <w:tcW w:w="3402" w:type="dxa"/>
            <w:shd w:val="clear" w:color="auto" w:fill="auto"/>
          </w:tcPr>
          <w:p w14:paraId="38279523" w14:textId="77777777" w:rsidR="00761991" w:rsidRPr="00EB52C7" w:rsidRDefault="00761991" w:rsidP="00FD7A5B">
            <w:pPr>
              <w:rPr>
                <w:rFonts w:ascii="Arial" w:eastAsia="Calibri" w:hAnsi="Arial" w:cs="Arial"/>
                <w:color w:val="000000" w:themeColor="text1"/>
              </w:rPr>
            </w:pPr>
            <w:r>
              <w:rPr>
                <w:rFonts w:ascii="Arial" w:eastAsia="Calibri" w:hAnsi="Arial" w:cs="Arial"/>
                <w:color w:val="000000" w:themeColor="text1"/>
              </w:rPr>
              <w:t xml:space="preserve">Should we allow approval of alternative measures which achieve a comparable level of risk mitigation? </w:t>
            </w:r>
          </w:p>
        </w:tc>
        <w:tc>
          <w:tcPr>
            <w:tcW w:w="3918" w:type="dxa"/>
            <w:shd w:val="clear" w:color="auto" w:fill="auto"/>
          </w:tcPr>
          <w:p w14:paraId="619128C5" w14:textId="77777777" w:rsidR="00761991" w:rsidRPr="00550EBF" w:rsidRDefault="00761991" w:rsidP="00FD7A5B">
            <w:pPr>
              <w:rPr>
                <w:rFonts w:ascii="Arial" w:eastAsia="Calibri" w:hAnsi="Arial" w:cs="Arial"/>
                <w:color w:val="000000" w:themeColor="text1"/>
              </w:rPr>
            </w:pPr>
            <w:r>
              <w:rPr>
                <w:rFonts w:ascii="Arial" w:eastAsia="Calibri" w:hAnsi="Arial" w:cs="Arial"/>
                <w:color w:val="000000" w:themeColor="text1"/>
              </w:rPr>
              <w:t>Measures that achieve an equivalent level of safety or security should be permitted whenever they don’t increase the risk.</w:t>
            </w:r>
          </w:p>
        </w:tc>
      </w:tr>
    </w:tbl>
    <w:p w14:paraId="61ADEBDB" w14:textId="77777777" w:rsidR="00761991" w:rsidRPr="009C0425" w:rsidRDefault="00761991" w:rsidP="00761991">
      <w:pPr>
        <w:spacing w:line="240" w:lineRule="auto"/>
        <w:rPr>
          <w:rFonts w:ascii="Arial" w:eastAsia="Calibri" w:hAnsi="Arial" w:cs="Arial"/>
          <w:color w:val="997339"/>
        </w:rPr>
      </w:pPr>
    </w:p>
    <w:p w14:paraId="763F2F18" w14:textId="77777777" w:rsidR="00761991" w:rsidRPr="009C0425" w:rsidRDefault="00761991" w:rsidP="00761991">
      <w:pPr>
        <w:spacing w:line="240" w:lineRule="auto"/>
        <w:rPr>
          <w:rFonts w:ascii="Arial" w:eastAsia="Calibri" w:hAnsi="Arial" w:cs="Arial"/>
          <w:color w:val="997339"/>
        </w:rPr>
      </w:pPr>
    </w:p>
    <w:p w14:paraId="70FEA540" w14:textId="77777777" w:rsidR="00761991" w:rsidRPr="009C0425" w:rsidRDefault="00761991" w:rsidP="00761991">
      <w:pPr>
        <w:spacing w:line="240" w:lineRule="auto"/>
        <w:rPr>
          <w:rFonts w:ascii="Arial" w:eastAsia="Calibri" w:hAnsi="Arial" w:cs="Arial"/>
          <w:color w:val="997339"/>
        </w:rPr>
      </w:pPr>
    </w:p>
    <w:p w14:paraId="74167A10" w14:textId="77777777" w:rsidR="00761991" w:rsidRPr="009C0425" w:rsidRDefault="00761991" w:rsidP="00761991">
      <w:pPr>
        <w:spacing w:line="240" w:lineRule="auto"/>
        <w:rPr>
          <w:rFonts w:ascii="Arial" w:eastAsia="Calibri" w:hAnsi="Arial" w:cs="Arial"/>
          <w:color w:val="997339"/>
        </w:rPr>
      </w:pPr>
    </w:p>
    <w:p w14:paraId="1D55B4B8" w14:textId="77777777" w:rsidR="00761991" w:rsidRDefault="00761991" w:rsidP="00761991"/>
    <w:p w14:paraId="62F7FDF3" w14:textId="7C02C8E3" w:rsidR="006C04C5" w:rsidRDefault="006C04C5">
      <w:pPr>
        <w:rPr>
          <w:rFonts w:ascii="Arial" w:eastAsia="Calibri" w:hAnsi="Arial" w:cs="Arial"/>
          <w:color w:val="997339"/>
        </w:rPr>
      </w:pPr>
    </w:p>
    <w:sectPr w:rsidR="006C04C5">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B216A" w14:textId="77777777" w:rsidR="00E876B6" w:rsidRDefault="00E876B6" w:rsidP="00A12B00">
      <w:pPr>
        <w:spacing w:after="0" w:line="240" w:lineRule="auto"/>
      </w:pPr>
      <w:r>
        <w:separator/>
      </w:r>
    </w:p>
  </w:endnote>
  <w:endnote w:type="continuationSeparator" w:id="0">
    <w:p w14:paraId="1A381CCE" w14:textId="77777777" w:rsidR="00E876B6" w:rsidRDefault="00E876B6" w:rsidP="00A12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3E033" w14:textId="77777777" w:rsidR="00C208AC" w:rsidRDefault="00C20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51D1B" w14:textId="77777777" w:rsidR="00B3427F" w:rsidRPr="00C208AC" w:rsidRDefault="00B3427F" w:rsidP="00C208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09B9E" w14:textId="77777777" w:rsidR="00C208AC" w:rsidRDefault="00C20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82255" w14:textId="77777777" w:rsidR="00E876B6" w:rsidRDefault="00E876B6" w:rsidP="00A12B00">
      <w:pPr>
        <w:spacing w:after="0" w:line="240" w:lineRule="auto"/>
      </w:pPr>
      <w:r>
        <w:separator/>
      </w:r>
    </w:p>
  </w:footnote>
  <w:footnote w:type="continuationSeparator" w:id="0">
    <w:p w14:paraId="15E2EDCC" w14:textId="77777777" w:rsidR="00E876B6" w:rsidRDefault="00E876B6" w:rsidP="00A12B00">
      <w:pPr>
        <w:spacing w:after="0" w:line="240" w:lineRule="auto"/>
      </w:pPr>
      <w:r>
        <w:continuationSeparator/>
      </w:r>
    </w:p>
  </w:footnote>
  <w:footnote w:id="1">
    <w:p w14:paraId="0AC1EFAF" w14:textId="77777777" w:rsidR="00B3427F" w:rsidRPr="00354EE3" w:rsidRDefault="00B3427F" w:rsidP="00A12B00">
      <w:pPr>
        <w:pStyle w:val="FootnoteText"/>
        <w:rPr>
          <w:rFonts w:ascii="Arial" w:hAnsi="Arial" w:cs="Arial"/>
          <w:b/>
          <w:bCs/>
          <w:i/>
          <w:iCs/>
          <w:sz w:val="16"/>
          <w:szCs w:val="16"/>
        </w:rPr>
      </w:pPr>
      <w:r w:rsidRPr="00354EE3">
        <w:rPr>
          <w:rStyle w:val="FootnoteReference"/>
          <w:rFonts w:ascii="Arial" w:hAnsi="Arial" w:cs="Arial"/>
          <w:b/>
          <w:bCs/>
          <w:i/>
          <w:iCs/>
          <w:sz w:val="16"/>
          <w:szCs w:val="16"/>
        </w:rPr>
        <w:footnoteRef/>
      </w:r>
      <w:r w:rsidRPr="00354EE3">
        <w:rPr>
          <w:rFonts w:ascii="Arial" w:hAnsi="Arial" w:cs="Arial"/>
          <w:b/>
          <w:bCs/>
          <w:i/>
          <w:iCs/>
          <w:sz w:val="16"/>
          <w:szCs w:val="16"/>
        </w:rPr>
        <w:t xml:space="preserve"> </w:t>
      </w:r>
      <w:r w:rsidRPr="00EF60DE">
        <w:rPr>
          <w:rFonts w:ascii="Arial" w:hAnsi="Arial" w:cs="Arial"/>
          <w:b/>
          <w:bCs/>
          <w:sz w:val="16"/>
          <w:szCs w:val="16"/>
        </w:rPr>
        <w:t>A Note on Terminology:</w:t>
      </w:r>
      <w:r w:rsidRPr="00EF60DE">
        <w:rPr>
          <w:rFonts w:ascii="Arial" w:hAnsi="Arial" w:cs="Arial"/>
          <w:sz w:val="16"/>
          <w:szCs w:val="16"/>
        </w:rPr>
        <w:t xml:space="preserve"> For the purposes of this RIS, </w:t>
      </w:r>
      <w:r>
        <w:rPr>
          <w:rFonts w:ascii="Arial" w:hAnsi="Arial" w:cs="Arial"/>
          <w:sz w:val="16"/>
          <w:szCs w:val="16"/>
        </w:rPr>
        <w:t xml:space="preserve">a </w:t>
      </w:r>
      <w:r w:rsidRPr="00EF60DE">
        <w:rPr>
          <w:rFonts w:ascii="Arial" w:hAnsi="Arial" w:cs="Arial"/>
          <w:sz w:val="16"/>
          <w:szCs w:val="16"/>
        </w:rPr>
        <w:t>reference to the ‘Explosives Regulations’ is a reference to the Transport Regulations and Areas Regulations collectively, while a reference to the ‘Commonwealth explosives regulatory regime’ or ‘the regulatory regime’ is a reference to the Explosives Regulations and the Explosives Act.</w:t>
      </w:r>
    </w:p>
  </w:footnote>
  <w:footnote w:id="2">
    <w:p w14:paraId="4D14D0D5" w14:textId="77777777" w:rsidR="00B3427F" w:rsidRPr="00BA344D" w:rsidRDefault="00B3427F" w:rsidP="00A12B00">
      <w:pPr>
        <w:pStyle w:val="FootnoteText"/>
        <w:rPr>
          <w:rFonts w:ascii="Arial" w:hAnsi="Arial" w:cs="Arial"/>
          <w:sz w:val="16"/>
          <w:szCs w:val="16"/>
        </w:rPr>
      </w:pPr>
      <w:r w:rsidRPr="00BA344D">
        <w:rPr>
          <w:rStyle w:val="FootnoteReference"/>
          <w:rFonts w:ascii="Arial" w:hAnsi="Arial" w:cs="Arial"/>
          <w:sz w:val="16"/>
          <w:szCs w:val="16"/>
        </w:rPr>
        <w:footnoteRef/>
      </w:r>
      <w:r w:rsidRPr="00BA344D">
        <w:rPr>
          <w:rFonts w:ascii="Arial" w:hAnsi="Arial" w:cs="Arial"/>
          <w:sz w:val="16"/>
          <w:szCs w:val="16"/>
        </w:rPr>
        <w:t xml:space="preserve"> </w:t>
      </w:r>
      <w:r w:rsidRPr="00BA344D">
        <w:rPr>
          <w:rFonts w:ascii="Arial" w:hAnsi="Arial" w:cs="Arial"/>
          <w:b/>
          <w:bCs/>
          <w:sz w:val="16"/>
          <w:szCs w:val="16"/>
        </w:rPr>
        <w:t xml:space="preserve">Note: </w:t>
      </w:r>
      <w:r w:rsidRPr="00BA344D">
        <w:rPr>
          <w:rFonts w:ascii="Arial" w:hAnsi="Arial" w:cs="Arial"/>
          <w:sz w:val="16"/>
          <w:szCs w:val="16"/>
        </w:rPr>
        <w:t>Queensland’s Explosives Act is not applicable to explosives to which the Commonwealth Explosives Act applies.</w:t>
      </w:r>
    </w:p>
  </w:footnote>
  <w:footnote w:id="3">
    <w:p w14:paraId="571C5146" w14:textId="457E6D31" w:rsidR="00B3427F" w:rsidRPr="00FC0B9B" w:rsidRDefault="00B3427F" w:rsidP="00A12B00">
      <w:pPr>
        <w:pStyle w:val="FootnoteText"/>
        <w:rPr>
          <w:rFonts w:ascii="Arial" w:hAnsi="Arial" w:cs="Arial"/>
          <w:sz w:val="16"/>
          <w:szCs w:val="16"/>
        </w:rPr>
      </w:pPr>
      <w:r w:rsidRPr="00FC0B9B">
        <w:rPr>
          <w:rStyle w:val="FootnoteReference"/>
          <w:rFonts w:ascii="Arial" w:hAnsi="Arial" w:cs="Arial"/>
          <w:sz w:val="16"/>
          <w:szCs w:val="16"/>
        </w:rPr>
        <w:footnoteRef/>
      </w:r>
      <w:r w:rsidRPr="00FC0B9B">
        <w:rPr>
          <w:rFonts w:ascii="Arial" w:hAnsi="Arial" w:cs="Arial"/>
          <w:sz w:val="16"/>
          <w:szCs w:val="16"/>
        </w:rPr>
        <w:t xml:space="preserve"> </w:t>
      </w:r>
      <w:r w:rsidRPr="004109BB">
        <w:rPr>
          <w:rFonts w:ascii="Arial" w:hAnsi="Arial" w:cs="Arial"/>
          <w:noProof/>
          <w:sz w:val="16"/>
          <w:szCs w:val="16"/>
        </w:rPr>
        <w:t>Australian Government, 2021</w:t>
      </w:r>
    </w:p>
  </w:footnote>
  <w:footnote w:id="4">
    <w:p w14:paraId="7466C6F7" w14:textId="2853EB38" w:rsidR="00B3427F" w:rsidRPr="00AC4631" w:rsidRDefault="00B3427F" w:rsidP="00A12B00">
      <w:pPr>
        <w:pStyle w:val="FootnoteText"/>
        <w:rPr>
          <w:rFonts w:ascii="Arial" w:hAnsi="Arial" w:cs="Arial"/>
          <w:sz w:val="16"/>
          <w:szCs w:val="16"/>
        </w:rPr>
      </w:pPr>
      <w:r w:rsidRPr="00AC4631">
        <w:rPr>
          <w:rStyle w:val="FootnoteReference"/>
          <w:rFonts w:ascii="Arial" w:hAnsi="Arial" w:cs="Arial"/>
          <w:sz w:val="16"/>
          <w:szCs w:val="16"/>
        </w:rPr>
        <w:footnoteRef/>
      </w:r>
      <w:r w:rsidRPr="00AC4631">
        <w:rPr>
          <w:rFonts w:ascii="Arial" w:hAnsi="Arial" w:cs="Arial"/>
          <w:sz w:val="16"/>
          <w:szCs w:val="16"/>
        </w:rPr>
        <w:t xml:space="preserve"> </w:t>
      </w:r>
      <w:r w:rsidRPr="000A69BB">
        <w:rPr>
          <w:rFonts w:ascii="Arial" w:hAnsi="Arial" w:cs="Arial"/>
          <w:noProof/>
          <w:sz w:val="16"/>
          <w:szCs w:val="16"/>
        </w:rPr>
        <w:t>Department of Defence, 2020</w:t>
      </w:r>
      <w:r>
        <w:rPr>
          <w:rFonts w:ascii="Arial" w:hAnsi="Arial" w:cs="Arial"/>
          <w:noProof/>
          <w:sz w:val="16"/>
          <w:szCs w:val="16"/>
        </w:rPr>
        <w:t xml:space="preserve"> pg. 13</w:t>
      </w:r>
    </w:p>
  </w:footnote>
  <w:footnote w:id="5">
    <w:p w14:paraId="25EBD816" w14:textId="42466610" w:rsidR="00B3427F" w:rsidRPr="00AC4631" w:rsidRDefault="00B3427F" w:rsidP="00A12B00">
      <w:pPr>
        <w:pStyle w:val="FootnoteText"/>
        <w:rPr>
          <w:rFonts w:ascii="Arial" w:hAnsi="Arial" w:cs="Arial"/>
          <w:sz w:val="16"/>
          <w:szCs w:val="16"/>
        </w:rPr>
      </w:pPr>
      <w:r w:rsidRPr="00AC4631">
        <w:rPr>
          <w:rStyle w:val="FootnoteReference"/>
          <w:rFonts w:ascii="Arial" w:hAnsi="Arial" w:cs="Arial"/>
          <w:sz w:val="16"/>
          <w:szCs w:val="16"/>
        </w:rPr>
        <w:footnoteRef/>
      </w:r>
      <w:r w:rsidRPr="00AC4631">
        <w:rPr>
          <w:rFonts w:ascii="Arial" w:hAnsi="Arial" w:cs="Arial"/>
          <w:sz w:val="16"/>
          <w:szCs w:val="16"/>
        </w:rPr>
        <w:t xml:space="preserve"> </w:t>
      </w:r>
      <w:r w:rsidRPr="000A69BB">
        <w:rPr>
          <w:rFonts w:ascii="Arial" w:hAnsi="Arial" w:cs="Arial"/>
          <w:noProof/>
          <w:sz w:val="16"/>
          <w:szCs w:val="16"/>
        </w:rPr>
        <w:t>Department of Defence, 2020</w:t>
      </w:r>
      <w:r>
        <w:rPr>
          <w:rFonts w:ascii="Arial" w:hAnsi="Arial" w:cs="Arial"/>
          <w:noProof/>
          <w:sz w:val="16"/>
          <w:szCs w:val="16"/>
        </w:rPr>
        <w:t xml:space="preserve"> pg. 13</w:t>
      </w:r>
    </w:p>
  </w:footnote>
  <w:footnote w:id="6">
    <w:p w14:paraId="63CD7C43" w14:textId="3DF6C7AF" w:rsidR="00B3427F" w:rsidRPr="00AC4631" w:rsidRDefault="00B3427F" w:rsidP="00A12B00">
      <w:pPr>
        <w:pStyle w:val="FootnoteText"/>
        <w:rPr>
          <w:rFonts w:ascii="Arial" w:hAnsi="Arial" w:cs="Arial"/>
          <w:sz w:val="16"/>
          <w:szCs w:val="16"/>
        </w:rPr>
      </w:pPr>
      <w:r w:rsidRPr="00AC4631">
        <w:rPr>
          <w:rStyle w:val="FootnoteReference"/>
          <w:rFonts w:ascii="Arial" w:hAnsi="Arial" w:cs="Arial"/>
          <w:sz w:val="16"/>
          <w:szCs w:val="16"/>
        </w:rPr>
        <w:footnoteRef/>
      </w:r>
      <w:r w:rsidRPr="00AC4631">
        <w:rPr>
          <w:rFonts w:ascii="Arial" w:hAnsi="Arial" w:cs="Arial"/>
          <w:sz w:val="16"/>
          <w:szCs w:val="16"/>
        </w:rPr>
        <w:t xml:space="preserve"> </w:t>
      </w:r>
      <w:r w:rsidRPr="000A69BB">
        <w:rPr>
          <w:rFonts w:ascii="Arial" w:hAnsi="Arial" w:cs="Arial"/>
          <w:noProof/>
          <w:sz w:val="16"/>
          <w:szCs w:val="16"/>
        </w:rPr>
        <w:t>Department of Defence, 2020</w:t>
      </w:r>
      <w:r>
        <w:rPr>
          <w:rFonts w:ascii="Arial" w:hAnsi="Arial" w:cs="Arial"/>
          <w:noProof/>
          <w:sz w:val="16"/>
          <w:szCs w:val="16"/>
        </w:rPr>
        <w:t xml:space="preserve"> pg. 13</w:t>
      </w:r>
    </w:p>
  </w:footnote>
  <w:footnote w:id="7">
    <w:p w14:paraId="5D24FFFD" w14:textId="4B66511D" w:rsidR="00B3427F" w:rsidRDefault="00B3427F" w:rsidP="00A12B00">
      <w:pPr>
        <w:pStyle w:val="FootnoteText"/>
      </w:pPr>
      <w:r w:rsidRPr="00AC4631">
        <w:rPr>
          <w:rStyle w:val="FootnoteReference"/>
          <w:rFonts w:ascii="Arial" w:hAnsi="Arial" w:cs="Arial"/>
          <w:sz w:val="16"/>
          <w:szCs w:val="16"/>
        </w:rPr>
        <w:footnoteRef/>
      </w:r>
      <w:r w:rsidRPr="00AC4631">
        <w:rPr>
          <w:rFonts w:ascii="Arial" w:hAnsi="Arial" w:cs="Arial"/>
          <w:sz w:val="16"/>
          <w:szCs w:val="16"/>
        </w:rPr>
        <w:t xml:space="preserve"> </w:t>
      </w:r>
      <w:r w:rsidRPr="00DD314F">
        <w:rPr>
          <w:rFonts w:ascii="Arial" w:hAnsi="Arial" w:cs="Arial"/>
          <w:noProof/>
          <w:sz w:val="16"/>
          <w:szCs w:val="16"/>
        </w:rPr>
        <w:t>MP, 2020</w:t>
      </w:r>
    </w:p>
  </w:footnote>
  <w:footnote w:id="8">
    <w:p w14:paraId="6F7D6B18" w14:textId="2EFF54F3" w:rsidR="00B3427F" w:rsidRPr="00294FCA" w:rsidRDefault="00B3427F" w:rsidP="00A12B00">
      <w:pPr>
        <w:pStyle w:val="FootnoteText"/>
        <w:rPr>
          <w:rFonts w:ascii="Arial" w:hAnsi="Arial" w:cs="Arial"/>
          <w:sz w:val="16"/>
          <w:szCs w:val="16"/>
        </w:rPr>
      </w:pPr>
      <w:r w:rsidRPr="00294FCA">
        <w:rPr>
          <w:rStyle w:val="FootnoteReference"/>
          <w:rFonts w:ascii="Arial" w:hAnsi="Arial" w:cs="Arial"/>
          <w:sz w:val="16"/>
          <w:szCs w:val="16"/>
        </w:rPr>
        <w:footnoteRef/>
      </w:r>
      <w:r w:rsidRPr="00294FCA">
        <w:rPr>
          <w:rFonts w:ascii="Arial" w:hAnsi="Arial" w:cs="Arial"/>
          <w:sz w:val="16"/>
          <w:szCs w:val="16"/>
        </w:rPr>
        <w:t xml:space="preserve"> </w:t>
      </w:r>
      <w:r>
        <w:rPr>
          <w:rFonts w:ascii="Arial" w:hAnsi="Arial" w:cs="Arial"/>
          <w:sz w:val="16"/>
          <w:szCs w:val="16"/>
        </w:rPr>
        <w:t xml:space="preserve">Extract </w:t>
      </w:r>
      <w:r w:rsidRPr="00294FCA">
        <w:rPr>
          <w:rFonts w:ascii="Arial" w:hAnsi="Arial" w:cs="Arial"/>
          <w:sz w:val="16"/>
          <w:szCs w:val="16"/>
        </w:rPr>
        <w:t xml:space="preserve">from DOS </w:t>
      </w:r>
      <w:r>
        <w:rPr>
          <w:rFonts w:ascii="Arial" w:hAnsi="Arial" w:cs="Arial"/>
          <w:sz w:val="16"/>
          <w:szCs w:val="16"/>
        </w:rPr>
        <w:t>P</w:t>
      </w:r>
      <w:r w:rsidRPr="00294FCA">
        <w:rPr>
          <w:rFonts w:ascii="Arial" w:hAnsi="Arial" w:cs="Arial"/>
          <w:sz w:val="16"/>
          <w:szCs w:val="16"/>
        </w:rPr>
        <w:t>osters, April 2021.</w:t>
      </w:r>
    </w:p>
  </w:footnote>
  <w:footnote w:id="9">
    <w:p w14:paraId="39825DEC" w14:textId="3D952B10" w:rsidR="00B3427F" w:rsidRPr="00DA3392" w:rsidRDefault="00B3427F" w:rsidP="00A12B00">
      <w:pPr>
        <w:pStyle w:val="FootnoteText"/>
        <w:rPr>
          <w:rFonts w:ascii="Arial" w:hAnsi="Arial" w:cs="Arial"/>
          <w:sz w:val="16"/>
          <w:szCs w:val="16"/>
        </w:rPr>
      </w:pPr>
      <w:r w:rsidRPr="00DA3392">
        <w:rPr>
          <w:rStyle w:val="FootnoteReference"/>
          <w:rFonts w:ascii="Arial" w:hAnsi="Arial" w:cs="Arial"/>
          <w:sz w:val="16"/>
          <w:szCs w:val="16"/>
        </w:rPr>
        <w:footnoteRef/>
      </w:r>
      <w:r w:rsidRPr="00DA3392">
        <w:rPr>
          <w:rFonts w:ascii="Arial" w:hAnsi="Arial" w:cs="Arial"/>
          <w:sz w:val="16"/>
          <w:szCs w:val="16"/>
        </w:rPr>
        <w:t xml:space="preserve"> </w:t>
      </w:r>
      <w:r w:rsidRPr="00EC5368">
        <w:rPr>
          <w:rFonts w:ascii="Arial" w:hAnsi="Arial" w:cs="Arial"/>
          <w:noProof/>
          <w:sz w:val="16"/>
          <w:szCs w:val="16"/>
        </w:rPr>
        <w:t>ABC News, 2014</w:t>
      </w:r>
    </w:p>
  </w:footnote>
  <w:footnote w:id="10">
    <w:p w14:paraId="5959F748" w14:textId="0C7ECC7A" w:rsidR="00B3427F" w:rsidRPr="007C4C87" w:rsidRDefault="00B3427F" w:rsidP="00A12B00">
      <w:pPr>
        <w:pStyle w:val="FootnoteText"/>
        <w:rPr>
          <w:rFonts w:ascii="Arial" w:hAnsi="Arial" w:cs="Arial"/>
          <w:sz w:val="16"/>
          <w:szCs w:val="16"/>
        </w:rPr>
      </w:pPr>
      <w:r w:rsidRPr="007C4C87">
        <w:rPr>
          <w:rStyle w:val="FootnoteReference"/>
          <w:rFonts w:ascii="Arial" w:hAnsi="Arial" w:cs="Arial"/>
          <w:sz w:val="16"/>
          <w:szCs w:val="16"/>
        </w:rPr>
        <w:footnoteRef/>
      </w:r>
      <w:r w:rsidRPr="007C4C87">
        <w:rPr>
          <w:rFonts w:ascii="Arial" w:hAnsi="Arial" w:cs="Arial"/>
          <w:sz w:val="16"/>
          <w:szCs w:val="16"/>
        </w:rPr>
        <w:t xml:space="preserve"> </w:t>
      </w:r>
      <w:r w:rsidRPr="00EC5368">
        <w:rPr>
          <w:rFonts w:ascii="Arial" w:hAnsi="Arial" w:cs="Arial"/>
          <w:noProof/>
          <w:sz w:val="16"/>
          <w:szCs w:val="16"/>
        </w:rPr>
        <w:t>ABC News, 2014</w:t>
      </w:r>
    </w:p>
  </w:footnote>
  <w:footnote w:id="11">
    <w:p w14:paraId="788E1DD0" w14:textId="46D1DCFC" w:rsidR="00B3427F" w:rsidRPr="00EC3AF3" w:rsidRDefault="00B3427F">
      <w:pPr>
        <w:pStyle w:val="FootnoteText"/>
        <w:rPr>
          <w:rFonts w:ascii="Arial" w:hAnsi="Arial" w:cs="Arial"/>
          <w:sz w:val="16"/>
          <w:szCs w:val="16"/>
        </w:rPr>
      </w:pPr>
      <w:r w:rsidRPr="00EC3AF3">
        <w:rPr>
          <w:rStyle w:val="FootnoteReference"/>
          <w:rFonts w:ascii="Arial" w:hAnsi="Arial" w:cs="Arial"/>
          <w:sz w:val="16"/>
          <w:szCs w:val="16"/>
        </w:rPr>
        <w:footnoteRef/>
      </w:r>
      <w:r w:rsidRPr="00EC3AF3">
        <w:rPr>
          <w:rFonts w:ascii="Arial" w:hAnsi="Arial" w:cs="Arial"/>
          <w:sz w:val="16"/>
          <w:szCs w:val="16"/>
        </w:rPr>
        <w:t xml:space="preserve"> https://www.visionofhumanity.org/wp-content/uploads/2022/03/GTI-2022-web.pdf</w:t>
      </w:r>
    </w:p>
  </w:footnote>
  <w:footnote w:id="12">
    <w:p w14:paraId="1679193B" w14:textId="53416648" w:rsidR="00B3427F" w:rsidRDefault="00B3427F">
      <w:pPr>
        <w:pStyle w:val="FootnoteText"/>
      </w:pPr>
      <w:r w:rsidRPr="00EC3AF3">
        <w:rPr>
          <w:rStyle w:val="FootnoteReference"/>
          <w:rFonts w:ascii="Arial" w:hAnsi="Arial" w:cs="Arial"/>
          <w:sz w:val="16"/>
          <w:szCs w:val="16"/>
        </w:rPr>
        <w:footnoteRef/>
      </w:r>
      <w:r w:rsidRPr="00EC3AF3">
        <w:rPr>
          <w:rFonts w:ascii="Arial" w:hAnsi="Arial" w:cs="Arial"/>
          <w:sz w:val="16"/>
          <w:szCs w:val="16"/>
        </w:rPr>
        <w:t xml:space="preserve"> https://www.asio.gov.au/australias-security-environment-and-outlook.html</w:t>
      </w:r>
    </w:p>
  </w:footnote>
  <w:footnote w:id="13">
    <w:p w14:paraId="6B70691C" w14:textId="58FB29DC" w:rsidR="00B3427F" w:rsidRPr="00294FCA" w:rsidRDefault="00B3427F" w:rsidP="00A12B00">
      <w:pPr>
        <w:pStyle w:val="FootnoteText"/>
        <w:rPr>
          <w:rFonts w:ascii="Arial" w:hAnsi="Arial" w:cs="Arial"/>
          <w:sz w:val="16"/>
          <w:szCs w:val="16"/>
        </w:rPr>
      </w:pPr>
      <w:r w:rsidRPr="007C4C87">
        <w:rPr>
          <w:rStyle w:val="FootnoteReference"/>
          <w:rFonts w:ascii="Arial" w:hAnsi="Arial" w:cs="Arial"/>
          <w:sz w:val="16"/>
          <w:szCs w:val="16"/>
        </w:rPr>
        <w:footnoteRef/>
      </w:r>
      <w:r w:rsidRPr="007C4C87">
        <w:rPr>
          <w:rFonts w:ascii="Arial" w:hAnsi="Arial" w:cs="Arial"/>
          <w:sz w:val="16"/>
          <w:szCs w:val="16"/>
        </w:rPr>
        <w:t xml:space="preserve"> </w:t>
      </w:r>
      <w:r w:rsidRPr="00205A5B">
        <w:rPr>
          <w:rFonts w:ascii="Arial" w:hAnsi="Arial" w:cs="Arial"/>
          <w:noProof/>
          <w:sz w:val="16"/>
          <w:szCs w:val="16"/>
        </w:rPr>
        <w:t>The Age, 2007</w:t>
      </w:r>
    </w:p>
  </w:footnote>
  <w:footnote w:id="14">
    <w:p w14:paraId="527D3CD9" w14:textId="58C5AF75" w:rsidR="00B3427F" w:rsidRPr="007C4C87" w:rsidRDefault="00B3427F" w:rsidP="00A12B00">
      <w:pPr>
        <w:pStyle w:val="FootnoteText"/>
        <w:rPr>
          <w:rFonts w:ascii="Arial" w:hAnsi="Arial" w:cs="Arial"/>
          <w:sz w:val="16"/>
          <w:szCs w:val="16"/>
        </w:rPr>
      </w:pPr>
      <w:r w:rsidRPr="007C4C87">
        <w:rPr>
          <w:rStyle w:val="FootnoteReference"/>
          <w:rFonts w:ascii="Arial" w:hAnsi="Arial" w:cs="Arial"/>
          <w:sz w:val="16"/>
          <w:szCs w:val="16"/>
        </w:rPr>
        <w:footnoteRef/>
      </w:r>
      <w:r w:rsidRPr="007C4C87">
        <w:rPr>
          <w:rFonts w:ascii="Arial" w:hAnsi="Arial" w:cs="Arial"/>
          <w:sz w:val="16"/>
          <w:szCs w:val="16"/>
        </w:rPr>
        <w:t xml:space="preserve"> </w:t>
      </w:r>
      <w:r w:rsidRPr="008B22E1">
        <w:rPr>
          <w:rFonts w:ascii="Arial" w:hAnsi="Arial" w:cs="Arial"/>
          <w:noProof/>
          <w:sz w:val="16"/>
          <w:szCs w:val="16"/>
        </w:rPr>
        <w:t>9News, 2014</w:t>
      </w:r>
    </w:p>
  </w:footnote>
  <w:footnote w:id="15">
    <w:p w14:paraId="29943D68" w14:textId="32E8FFFC" w:rsidR="00B3427F" w:rsidRPr="00294FCA" w:rsidRDefault="00B3427F" w:rsidP="00A12B00">
      <w:pPr>
        <w:pStyle w:val="FootnoteText"/>
        <w:rPr>
          <w:rFonts w:ascii="Arial" w:hAnsi="Arial" w:cs="Arial"/>
          <w:sz w:val="16"/>
          <w:szCs w:val="16"/>
        </w:rPr>
      </w:pPr>
      <w:r w:rsidRPr="00294FCA">
        <w:rPr>
          <w:rStyle w:val="FootnoteReference"/>
          <w:rFonts w:ascii="Arial" w:hAnsi="Arial" w:cs="Arial"/>
          <w:sz w:val="16"/>
          <w:szCs w:val="16"/>
        </w:rPr>
        <w:footnoteRef/>
      </w:r>
      <w:r w:rsidRPr="00294FCA">
        <w:rPr>
          <w:rFonts w:ascii="Arial" w:hAnsi="Arial" w:cs="Arial"/>
          <w:sz w:val="16"/>
          <w:szCs w:val="16"/>
        </w:rPr>
        <w:t xml:space="preserve"> </w:t>
      </w:r>
      <w:r w:rsidRPr="00DF6C28">
        <w:rPr>
          <w:rFonts w:ascii="Arial" w:hAnsi="Arial" w:cs="Arial"/>
          <w:noProof/>
          <w:sz w:val="16"/>
          <w:szCs w:val="16"/>
        </w:rPr>
        <w:t>Dyer, 2021</w:t>
      </w:r>
    </w:p>
  </w:footnote>
  <w:footnote w:id="16">
    <w:p w14:paraId="370479D3" w14:textId="2FB13047" w:rsidR="00B3427F" w:rsidRDefault="00B3427F" w:rsidP="00A12B00">
      <w:pPr>
        <w:pStyle w:val="FootnoteText"/>
      </w:pPr>
      <w:r w:rsidRPr="00294FCA">
        <w:rPr>
          <w:rStyle w:val="FootnoteReference"/>
          <w:rFonts w:ascii="Arial" w:hAnsi="Arial" w:cs="Arial"/>
          <w:sz w:val="16"/>
          <w:szCs w:val="16"/>
        </w:rPr>
        <w:footnoteRef/>
      </w:r>
      <w:r w:rsidRPr="00294FCA">
        <w:rPr>
          <w:rFonts w:ascii="Arial" w:hAnsi="Arial" w:cs="Arial"/>
          <w:sz w:val="16"/>
          <w:szCs w:val="16"/>
        </w:rPr>
        <w:t xml:space="preserve"> </w:t>
      </w:r>
      <w:r w:rsidRPr="009C6BC9">
        <w:rPr>
          <w:rFonts w:ascii="Arial" w:hAnsi="Arial" w:cs="Arial"/>
          <w:noProof/>
          <w:sz w:val="16"/>
          <w:szCs w:val="16"/>
        </w:rPr>
        <w:t>Kastner, 2021</w:t>
      </w:r>
    </w:p>
  </w:footnote>
  <w:footnote w:id="17">
    <w:p w14:paraId="41890453" w14:textId="50A66F8A" w:rsidR="00845DC4" w:rsidRPr="00220E55" w:rsidRDefault="00845DC4" w:rsidP="00845DC4">
      <w:pPr>
        <w:pStyle w:val="EndnoteText"/>
        <w:rPr>
          <w:rFonts w:ascii="Arial" w:hAnsi="Arial" w:cs="Arial"/>
          <w:sz w:val="16"/>
          <w:szCs w:val="16"/>
        </w:rPr>
      </w:pPr>
      <w:r w:rsidRPr="00220E55">
        <w:rPr>
          <w:rStyle w:val="FootnoteReference"/>
          <w:rFonts w:ascii="Arial" w:hAnsi="Arial" w:cs="Arial"/>
          <w:sz w:val="16"/>
          <w:szCs w:val="16"/>
        </w:rPr>
        <w:footnoteRef/>
      </w:r>
      <w:r w:rsidRPr="00220E55">
        <w:rPr>
          <w:rFonts w:ascii="Arial" w:hAnsi="Arial" w:cs="Arial"/>
          <w:sz w:val="16"/>
          <w:szCs w:val="16"/>
        </w:rPr>
        <w:t xml:space="preserve"> EO accident. An accident is an unplanned, unintended, unexpected and/or undesired event, or series of events involving ammunition or EO, which results in:</w:t>
      </w:r>
    </w:p>
    <w:p w14:paraId="4077BA8C" w14:textId="77777777" w:rsidR="00845DC4" w:rsidRPr="00220E55" w:rsidRDefault="00845DC4" w:rsidP="00845DC4">
      <w:pPr>
        <w:pStyle w:val="EndnoteText"/>
        <w:rPr>
          <w:rFonts w:ascii="Arial" w:hAnsi="Arial" w:cs="Arial"/>
          <w:sz w:val="16"/>
          <w:szCs w:val="16"/>
        </w:rPr>
      </w:pPr>
      <w:r w:rsidRPr="00220E55">
        <w:rPr>
          <w:rFonts w:ascii="Arial" w:hAnsi="Arial" w:cs="Arial"/>
          <w:sz w:val="16"/>
          <w:szCs w:val="16"/>
        </w:rPr>
        <w:t>(1) Death, injury or occupational illness,</w:t>
      </w:r>
    </w:p>
    <w:p w14:paraId="4C3C50E5" w14:textId="77777777" w:rsidR="00845DC4" w:rsidRPr="00220E55" w:rsidRDefault="00845DC4" w:rsidP="00845DC4">
      <w:pPr>
        <w:pStyle w:val="EndnoteText"/>
        <w:rPr>
          <w:rFonts w:ascii="Arial" w:hAnsi="Arial" w:cs="Arial"/>
          <w:sz w:val="16"/>
          <w:szCs w:val="16"/>
        </w:rPr>
      </w:pPr>
      <w:r w:rsidRPr="00220E55">
        <w:rPr>
          <w:rFonts w:ascii="Arial" w:hAnsi="Arial" w:cs="Arial"/>
          <w:sz w:val="16"/>
          <w:szCs w:val="16"/>
        </w:rPr>
        <w:t>(2) Substantial damage to the environment, or</w:t>
      </w:r>
    </w:p>
    <w:p w14:paraId="11DFD10D" w14:textId="3B58D080" w:rsidR="00845DC4" w:rsidRPr="00220E55" w:rsidRDefault="00845DC4" w:rsidP="00845DC4">
      <w:pPr>
        <w:pStyle w:val="FootnoteText"/>
        <w:rPr>
          <w:rFonts w:ascii="Arial" w:hAnsi="Arial" w:cs="Arial"/>
          <w:sz w:val="16"/>
          <w:szCs w:val="16"/>
        </w:rPr>
      </w:pPr>
      <w:r w:rsidRPr="00220E55">
        <w:rPr>
          <w:rFonts w:ascii="Arial" w:hAnsi="Arial" w:cs="Arial"/>
          <w:sz w:val="16"/>
          <w:szCs w:val="16"/>
        </w:rPr>
        <w:t>(3) Damage to equipment or property, regardless of ownership.</w:t>
      </w:r>
    </w:p>
    <w:p w14:paraId="5943A1EE" w14:textId="77777777" w:rsidR="00845DC4" w:rsidRPr="00220E55" w:rsidRDefault="00845DC4" w:rsidP="00845DC4">
      <w:pPr>
        <w:pStyle w:val="FootnoteText"/>
        <w:rPr>
          <w:rFonts w:ascii="Arial" w:hAnsi="Arial" w:cs="Arial"/>
          <w:sz w:val="16"/>
          <w:szCs w:val="16"/>
        </w:rPr>
      </w:pPr>
    </w:p>
  </w:footnote>
  <w:footnote w:id="18">
    <w:p w14:paraId="376F1C7E" w14:textId="77777777" w:rsidR="00845DC4" w:rsidRPr="00220E55" w:rsidRDefault="00845DC4" w:rsidP="00845DC4">
      <w:pPr>
        <w:pStyle w:val="FootnoteText"/>
        <w:rPr>
          <w:rFonts w:ascii="Arial" w:hAnsi="Arial" w:cs="Arial"/>
          <w:sz w:val="16"/>
          <w:szCs w:val="16"/>
        </w:rPr>
      </w:pPr>
      <w:r w:rsidRPr="00220E55">
        <w:rPr>
          <w:rStyle w:val="FootnoteReference"/>
          <w:rFonts w:ascii="Arial" w:hAnsi="Arial" w:cs="Arial"/>
          <w:sz w:val="16"/>
          <w:szCs w:val="16"/>
        </w:rPr>
        <w:footnoteRef/>
      </w:r>
      <w:r w:rsidRPr="00220E55">
        <w:rPr>
          <w:rFonts w:ascii="Arial" w:hAnsi="Arial" w:cs="Arial"/>
          <w:sz w:val="16"/>
          <w:szCs w:val="16"/>
        </w:rPr>
        <w:t>EO near miss. An EO near miss is an event where no person is injured or property significantly damaged, but the event is worth analysing as:</w:t>
      </w:r>
    </w:p>
    <w:p w14:paraId="3CA4CFDC" w14:textId="77777777" w:rsidR="00845DC4" w:rsidRPr="00220E55" w:rsidRDefault="00845DC4" w:rsidP="00845DC4">
      <w:pPr>
        <w:pStyle w:val="FootnoteText"/>
        <w:rPr>
          <w:rFonts w:ascii="Arial" w:hAnsi="Arial" w:cs="Arial"/>
          <w:sz w:val="16"/>
          <w:szCs w:val="16"/>
        </w:rPr>
      </w:pPr>
      <w:r w:rsidRPr="00220E55">
        <w:rPr>
          <w:rFonts w:ascii="Arial" w:hAnsi="Arial" w:cs="Arial"/>
          <w:sz w:val="16"/>
          <w:szCs w:val="16"/>
        </w:rPr>
        <w:t>(1) Any repeat occurrences may result in an accident, or</w:t>
      </w:r>
    </w:p>
    <w:p w14:paraId="161A5EF6" w14:textId="19C70CB5" w:rsidR="00845DC4" w:rsidRDefault="00845DC4" w:rsidP="00845DC4">
      <w:pPr>
        <w:pStyle w:val="FootnoteText"/>
      </w:pPr>
      <w:r w:rsidRPr="00220E55">
        <w:rPr>
          <w:rFonts w:ascii="Arial" w:hAnsi="Arial" w:cs="Arial"/>
          <w:sz w:val="16"/>
          <w:szCs w:val="16"/>
        </w:rPr>
        <w:t>(2) The event may indicate a wider problem requiring investigation and possible remedial action to mitigate the potential of another event occurring.</w:t>
      </w:r>
      <w:r>
        <w:t xml:space="preserve"> </w:t>
      </w:r>
    </w:p>
  </w:footnote>
  <w:footnote w:id="19">
    <w:p w14:paraId="41C27296" w14:textId="0FD2B162" w:rsidR="00B3427F" w:rsidRPr="00294FCA" w:rsidRDefault="00B3427F" w:rsidP="00A12B00">
      <w:pPr>
        <w:pStyle w:val="FootnoteText"/>
        <w:rPr>
          <w:rFonts w:ascii="Arial" w:hAnsi="Arial" w:cs="Arial"/>
        </w:rPr>
      </w:pPr>
      <w:r w:rsidRPr="00294FCA">
        <w:rPr>
          <w:rStyle w:val="FootnoteReference"/>
          <w:rFonts w:ascii="Arial" w:hAnsi="Arial" w:cs="Arial"/>
          <w:sz w:val="16"/>
          <w:szCs w:val="16"/>
        </w:rPr>
        <w:footnoteRef/>
      </w:r>
      <w:r w:rsidRPr="00294FCA">
        <w:rPr>
          <w:rFonts w:ascii="Arial" w:hAnsi="Arial" w:cs="Arial"/>
          <w:sz w:val="16"/>
          <w:szCs w:val="16"/>
        </w:rPr>
        <w:t xml:space="preserve"> </w:t>
      </w:r>
      <w:r w:rsidRPr="00657034">
        <w:rPr>
          <w:rFonts w:ascii="Arial" w:hAnsi="Arial" w:cs="Arial"/>
          <w:noProof/>
          <w:sz w:val="16"/>
          <w:szCs w:val="16"/>
        </w:rPr>
        <w:t>Safe Work Australia, 2016</w:t>
      </w:r>
    </w:p>
  </w:footnote>
  <w:footnote w:id="20">
    <w:p w14:paraId="5BB2C3A6" w14:textId="6681F088" w:rsidR="00B3427F" w:rsidRPr="00AC4631" w:rsidRDefault="00B3427F" w:rsidP="00A12B00">
      <w:pPr>
        <w:pStyle w:val="FootnoteText"/>
        <w:rPr>
          <w:rFonts w:ascii="Arial" w:hAnsi="Arial" w:cs="Arial"/>
          <w:sz w:val="16"/>
          <w:szCs w:val="16"/>
        </w:rPr>
      </w:pPr>
      <w:r w:rsidRPr="00AC4631">
        <w:rPr>
          <w:rStyle w:val="FootnoteReference"/>
          <w:rFonts w:ascii="Arial" w:hAnsi="Arial" w:cs="Arial"/>
          <w:sz w:val="16"/>
          <w:szCs w:val="16"/>
        </w:rPr>
        <w:footnoteRef/>
      </w:r>
      <w:r w:rsidRPr="00AC4631">
        <w:rPr>
          <w:rFonts w:ascii="Arial" w:hAnsi="Arial" w:cs="Arial"/>
          <w:sz w:val="16"/>
          <w:szCs w:val="16"/>
        </w:rPr>
        <w:t xml:space="preserve"> </w:t>
      </w:r>
      <w:r w:rsidRPr="00000726">
        <w:rPr>
          <w:rFonts w:ascii="Arial" w:hAnsi="Arial" w:cs="Arial"/>
          <w:noProof/>
          <w:sz w:val="16"/>
          <w:szCs w:val="16"/>
        </w:rPr>
        <w:t>Safe Work Australia, 2015</w:t>
      </w:r>
    </w:p>
  </w:footnote>
  <w:footnote w:id="21">
    <w:p w14:paraId="7408AB5E" w14:textId="48FCDCBC" w:rsidR="00B3427F" w:rsidRPr="00AC4631" w:rsidRDefault="00B3427F" w:rsidP="00A12B00">
      <w:pPr>
        <w:pStyle w:val="FootnoteText"/>
        <w:rPr>
          <w:rFonts w:ascii="Arial" w:hAnsi="Arial" w:cs="Arial"/>
          <w:sz w:val="16"/>
          <w:szCs w:val="16"/>
        </w:rPr>
      </w:pPr>
      <w:r w:rsidRPr="00AC4631">
        <w:rPr>
          <w:rStyle w:val="FootnoteReference"/>
          <w:rFonts w:ascii="Arial" w:hAnsi="Arial" w:cs="Arial"/>
          <w:sz w:val="16"/>
          <w:szCs w:val="16"/>
        </w:rPr>
        <w:footnoteRef/>
      </w:r>
      <w:r w:rsidRPr="00AC4631">
        <w:rPr>
          <w:rFonts w:ascii="Arial" w:hAnsi="Arial" w:cs="Arial"/>
          <w:sz w:val="16"/>
          <w:szCs w:val="16"/>
        </w:rPr>
        <w:t xml:space="preserve"> </w:t>
      </w:r>
      <w:r w:rsidRPr="00000726">
        <w:rPr>
          <w:rFonts w:ascii="Arial" w:hAnsi="Arial" w:cs="Arial"/>
          <w:noProof/>
          <w:sz w:val="16"/>
          <w:szCs w:val="16"/>
        </w:rPr>
        <w:t>Safe Work Australia, 2015</w:t>
      </w:r>
    </w:p>
  </w:footnote>
  <w:footnote w:id="22">
    <w:p w14:paraId="0BA31CDA" w14:textId="37B58A44" w:rsidR="00B3427F" w:rsidRPr="00AC4631" w:rsidRDefault="00B3427F" w:rsidP="00A12B00">
      <w:pPr>
        <w:pStyle w:val="FootnoteText"/>
        <w:rPr>
          <w:rFonts w:ascii="Arial" w:hAnsi="Arial" w:cs="Arial"/>
          <w:sz w:val="16"/>
          <w:szCs w:val="16"/>
        </w:rPr>
      </w:pPr>
      <w:r w:rsidRPr="00AC4631">
        <w:rPr>
          <w:rStyle w:val="FootnoteReference"/>
          <w:rFonts w:ascii="Arial" w:hAnsi="Arial" w:cs="Arial"/>
          <w:sz w:val="16"/>
          <w:szCs w:val="16"/>
        </w:rPr>
        <w:footnoteRef/>
      </w:r>
      <w:r w:rsidRPr="00AC4631">
        <w:rPr>
          <w:rFonts w:ascii="Arial" w:hAnsi="Arial" w:cs="Arial"/>
          <w:sz w:val="16"/>
          <w:szCs w:val="16"/>
        </w:rPr>
        <w:t xml:space="preserve"> </w:t>
      </w:r>
      <w:r w:rsidRPr="00000726">
        <w:rPr>
          <w:rFonts w:ascii="Arial" w:hAnsi="Arial" w:cs="Arial"/>
          <w:noProof/>
          <w:sz w:val="16"/>
          <w:szCs w:val="16"/>
        </w:rPr>
        <w:t>Safe Work Australia, 201</w:t>
      </w:r>
      <w:r>
        <w:rPr>
          <w:rFonts w:ascii="Arial" w:hAnsi="Arial" w:cs="Arial"/>
          <w:noProof/>
          <w:sz w:val="16"/>
          <w:szCs w:val="16"/>
        </w:rPr>
        <w:t>6</w:t>
      </w:r>
    </w:p>
  </w:footnote>
  <w:footnote w:id="23">
    <w:p w14:paraId="0B9699A9" w14:textId="219DFA96" w:rsidR="00B3427F" w:rsidRDefault="00B3427F" w:rsidP="00A12B00">
      <w:pPr>
        <w:pStyle w:val="FootnoteText"/>
      </w:pPr>
      <w:r w:rsidRPr="00AC4631">
        <w:rPr>
          <w:rStyle w:val="FootnoteReference"/>
          <w:rFonts w:ascii="Arial" w:hAnsi="Arial" w:cs="Arial"/>
          <w:sz w:val="16"/>
          <w:szCs w:val="16"/>
        </w:rPr>
        <w:footnoteRef/>
      </w:r>
      <w:r w:rsidRPr="00AC4631">
        <w:rPr>
          <w:rFonts w:ascii="Arial" w:hAnsi="Arial" w:cs="Arial"/>
          <w:sz w:val="16"/>
          <w:szCs w:val="16"/>
        </w:rPr>
        <w:t xml:space="preserve"> </w:t>
      </w:r>
      <w:r w:rsidRPr="00000726">
        <w:rPr>
          <w:rFonts w:ascii="Arial" w:hAnsi="Arial" w:cs="Arial"/>
          <w:noProof/>
          <w:sz w:val="16"/>
          <w:szCs w:val="16"/>
        </w:rPr>
        <w:t>Safe Work Australia, 2018-19</w:t>
      </w:r>
    </w:p>
  </w:footnote>
  <w:footnote w:id="24">
    <w:p w14:paraId="2B91A04B" w14:textId="77777777" w:rsidR="00B3427F" w:rsidRPr="00220E55" w:rsidRDefault="00B3427F" w:rsidP="00A12B00">
      <w:pPr>
        <w:pStyle w:val="FootnoteText"/>
        <w:rPr>
          <w:rFonts w:ascii="Arial" w:eastAsia="Calibri" w:hAnsi="Arial" w:cs="Arial"/>
          <w:color w:val="000000"/>
          <w:sz w:val="16"/>
          <w:szCs w:val="16"/>
        </w:rPr>
      </w:pPr>
      <w:r w:rsidRPr="00220E55">
        <w:rPr>
          <w:rFonts w:ascii="Arial" w:eastAsia="Calibri" w:hAnsi="Arial" w:cs="Arial"/>
          <w:color w:val="000000"/>
          <w:sz w:val="16"/>
          <w:szCs w:val="16"/>
          <w:vertAlign w:val="superscript"/>
        </w:rPr>
        <w:footnoteRef/>
      </w:r>
      <w:r w:rsidRPr="00220E55">
        <w:rPr>
          <w:rFonts w:ascii="Arial" w:eastAsia="Calibri" w:hAnsi="Arial" w:cs="Arial"/>
          <w:color w:val="000000"/>
          <w:sz w:val="16"/>
          <w:szCs w:val="16"/>
          <w:vertAlign w:val="superscript"/>
        </w:rPr>
        <w:t xml:space="preserve"> </w:t>
      </w:r>
      <w:r w:rsidRPr="00220E55">
        <w:rPr>
          <w:rFonts w:ascii="Arial" w:eastAsia="Calibri" w:hAnsi="Arial" w:cs="Arial"/>
          <w:color w:val="000000"/>
          <w:sz w:val="16"/>
          <w:szCs w:val="16"/>
        </w:rPr>
        <w:t>Section 9(b), Explosives Act 1964 (</w:t>
      </w:r>
      <w:proofErr w:type="spellStart"/>
      <w:r w:rsidRPr="00220E55">
        <w:rPr>
          <w:rFonts w:ascii="Arial" w:eastAsia="Calibri" w:hAnsi="Arial" w:cs="Arial"/>
          <w:color w:val="000000"/>
          <w:sz w:val="16"/>
          <w:szCs w:val="16"/>
        </w:rPr>
        <w:t>Cth</w:t>
      </w:r>
      <w:proofErr w:type="spellEnd"/>
      <w:r w:rsidRPr="00220E55">
        <w:rPr>
          <w:rFonts w:ascii="Arial" w:eastAsia="Calibri" w:hAnsi="Arial" w:cs="Arial"/>
          <w:color w:val="000000"/>
          <w:sz w:val="16"/>
          <w:szCs w:val="16"/>
        </w:rPr>
        <w:t>).</w:t>
      </w:r>
    </w:p>
  </w:footnote>
  <w:footnote w:id="25">
    <w:p w14:paraId="7A70DC8A" w14:textId="1DF916F9" w:rsidR="00B3427F" w:rsidRPr="00220E55" w:rsidRDefault="00B3427F">
      <w:pPr>
        <w:pStyle w:val="FootnoteText"/>
        <w:rPr>
          <w:rFonts w:ascii="Arial" w:eastAsia="Calibri" w:hAnsi="Arial" w:cs="Arial"/>
          <w:sz w:val="16"/>
          <w:szCs w:val="16"/>
        </w:rPr>
      </w:pPr>
      <w:r w:rsidRPr="00220E55">
        <w:rPr>
          <w:rFonts w:ascii="Arial" w:eastAsia="Calibri" w:hAnsi="Arial" w:cs="Arial"/>
          <w:color w:val="000000"/>
          <w:sz w:val="16"/>
          <w:szCs w:val="16"/>
          <w:vertAlign w:val="superscript"/>
        </w:rPr>
        <w:footnoteRef/>
      </w:r>
      <w:r w:rsidRPr="00220E55">
        <w:rPr>
          <w:rFonts w:ascii="Arial" w:eastAsia="Calibri" w:hAnsi="Arial" w:cs="Arial"/>
          <w:color w:val="000000"/>
          <w:sz w:val="16"/>
          <w:szCs w:val="16"/>
          <w:vertAlign w:val="superscript"/>
        </w:rPr>
        <w:t xml:space="preserve"> </w:t>
      </w:r>
      <w:r w:rsidR="00220E55">
        <w:rPr>
          <w:rFonts w:ascii="Arial" w:eastAsia="Calibri" w:hAnsi="Arial" w:cs="Arial"/>
          <w:color w:val="000000"/>
          <w:sz w:val="16"/>
          <w:szCs w:val="16"/>
          <w:vertAlign w:val="superscript"/>
        </w:rPr>
        <w:t xml:space="preserve"> </w:t>
      </w:r>
      <w:hyperlink r:id="rId1" w:history="1">
        <w:r w:rsidR="00220E55" w:rsidRPr="00220E55">
          <w:rPr>
            <w:rStyle w:val="Hyperlink"/>
            <w:rFonts w:ascii="Arial" w:eastAsia="Calibri" w:hAnsi="Arial" w:cs="Arial"/>
            <w:color w:val="auto"/>
            <w:sz w:val="16"/>
            <w:szCs w:val="16"/>
          </w:rPr>
          <w:t>Aljazeera News - More US Troops to Come (2021)</w:t>
        </w:r>
      </w:hyperlink>
      <w:r w:rsidR="00220E55" w:rsidRPr="00220E55">
        <w:rPr>
          <w:rFonts w:ascii="Arial" w:eastAsia="Calibri" w:hAnsi="Arial" w:cs="Arial"/>
          <w:sz w:val="16"/>
          <w:szCs w:val="16"/>
        </w:rPr>
        <w:t xml:space="preserve"> </w:t>
      </w:r>
    </w:p>
  </w:footnote>
  <w:footnote w:id="26">
    <w:p w14:paraId="1E6E7405" w14:textId="725E1EC7" w:rsidR="00B3427F" w:rsidRDefault="00B3427F">
      <w:pPr>
        <w:pStyle w:val="FootnoteText"/>
      </w:pPr>
      <w:r w:rsidRPr="00220E55">
        <w:rPr>
          <w:rFonts w:ascii="Arial" w:eastAsia="Calibri" w:hAnsi="Arial" w:cs="Arial"/>
          <w:sz w:val="16"/>
          <w:szCs w:val="16"/>
          <w:vertAlign w:val="superscript"/>
        </w:rPr>
        <w:footnoteRef/>
      </w:r>
      <w:r w:rsidRPr="00220E55">
        <w:rPr>
          <w:rFonts w:ascii="Arial" w:eastAsia="Calibri" w:hAnsi="Arial" w:cs="Arial"/>
          <w:sz w:val="16"/>
          <w:szCs w:val="16"/>
          <w:vertAlign w:val="superscript"/>
        </w:rPr>
        <w:t xml:space="preserve"> </w:t>
      </w:r>
      <w:hyperlink r:id="rId2" w:history="1">
        <w:r w:rsidR="00220E55" w:rsidRPr="00220E55">
          <w:rPr>
            <w:rStyle w:val="Hyperlink"/>
            <w:rFonts w:ascii="Arial" w:eastAsia="Calibri" w:hAnsi="Arial" w:cs="Arial"/>
            <w:color w:val="auto"/>
            <w:sz w:val="16"/>
            <w:szCs w:val="16"/>
          </w:rPr>
          <w:t>Aljazeera News - More US Troops to Come (2021)</w:t>
        </w:r>
      </w:hyperlink>
    </w:p>
  </w:footnote>
  <w:footnote w:id="27">
    <w:p w14:paraId="0A6CA3BE" w14:textId="53B7DD29" w:rsidR="00B3427F" w:rsidRPr="00FC4248" w:rsidRDefault="00B3427F" w:rsidP="00F0517B">
      <w:pPr>
        <w:pStyle w:val="FootnoteText"/>
        <w:rPr>
          <w:rFonts w:ascii="Arial" w:hAnsi="Arial" w:cs="Arial"/>
          <w:sz w:val="16"/>
          <w:szCs w:val="16"/>
        </w:rPr>
      </w:pPr>
      <w:r w:rsidRPr="00FC4248">
        <w:rPr>
          <w:rStyle w:val="FootnoteReference"/>
          <w:rFonts w:ascii="Arial" w:hAnsi="Arial" w:cs="Arial"/>
          <w:sz w:val="16"/>
          <w:szCs w:val="16"/>
        </w:rPr>
        <w:footnoteRef/>
      </w:r>
      <w:r w:rsidRPr="00FC4248">
        <w:rPr>
          <w:rFonts w:ascii="Arial" w:hAnsi="Arial" w:cs="Arial"/>
          <w:sz w:val="16"/>
          <w:szCs w:val="16"/>
        </w:rPr>
        <w:t xml:space="preserve"> </w:t>
      </w:r>
      <w:r w:rsidRPr="00971F0D">
        <w:rPr>
          <w:rFonts w:ascii="Arial" w:hAnsi="Arial" w:cs="Arial"/>
          <w:noProof/>
          <w:sz w:val="16"/>
          <w:szCs w:val="16"/>
        </w:rPr>
        <w:t>Office of Best Practice Regulation, 2021</w:t>
      </w:r>
    </w:p>
  </w:footnote>
  <w:footnote w:id="28">
    <w:p w14:paraId="4560AD58" w14:textId="40B1C6C3" w:rsidR="00B3427F" w:rsidRPr="00472EBD" w:rsidRDefault="00B3427F">
      <w:pPr>
        <w:pStyle w:val="FootnoteText"/>
        <w:rPr>
          <w:rFonts w:ascii="Arial" w:hAnsi="Arial" w:cs="Arial"/>
          <w:sz w:val="16"/>
          <w:szCs w:val="16"/>
        </w:rPr>
      </w:pPr>
      <w:r w:rsidRPr="00472EBD">
        <w:rPr>
          <w:rStyle w:val="FootnoteReference"/>
          <w:rFonts w:ascii="Arial" w:hAnsi="Arial" w:cs="Arial"/>
          <w:sz w:val="16"/>
          <w:szCs w:val="16"/>
        </w:rPr>
        <w:footnoteRef/>
      </w:r>
      <w:r w:rsidRPr="00472EBD">
        <w:rPr>
          <w:rFonts w:ascii="Arial" w:hAnsi="Arial" w:cs="Arial"/>
          <w:sz w:val="16"/>
          <w:szCs w:val="16"/>
        </w:rPr>
        <w:t xml:space="preserve"> </w:t>
      </w:r>
      <w:r>
        <w:rPr>
          <w:rFonts w:ascii="Arial" w:hAnsi="Arial" w:cs="Arial"/>
          <w:noProof/>
          <w:sz w:val="16"/>
          <w:szCs w:val="16"/>
        </w:rPr>
        <w:t xml:space="preserve">Office of Best Practice </w:t>
      </w:r>
      <w:r w:rsidRPr="00C304CC">
        <w:rPr>
          <w:rFonts w:ascii="Arial" w:hAnsi="Arial" w:cs="Arial"/>
          <w:noProof/>
          <w:sz w:val="16"/>
          <w:szCs w:val="16"/>
        </w:rPr>
        <w:t>Regulation,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8A059" w14:textId="77777777" w:rsidR="00C208AC" w:rsidRDefault="00C208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9974B" w14:textId="6D6951CC" w:rsidR="00B3427F" w:rsidRPr="00A12B00" w:rsidRDefault="00B3427F" w:rsidP="00A12B00">
    <w:pPr>
      <w:jc w:val="center"/>
      <w:rPr>
        <w:rFonts w:ascii="Arial" w:hAnsi="Arial" w:cs="Arial"/>
        <w:b/>
        <w:bCs/>
        <w:color w:val="C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BD009" w14:textId="77777777" w:rsidR="00C208AC" w:rsidRDefault="00C20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7E6"/>
    <w:multiLevelType w:val="hybridMultilevel"/>
    <w:tmpl w:val="9E7A4EA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80A0C"/>
    <w:multiLevelType w:val="multilevel"/>
    <w:tmpl w:val="B3626C4E"/>
    <w:lvl w:ilvl="0">
      <w:start w:val="1"/>
      <w:numFmt w:val="bullet"/>
      <w:pStyle w:val="ListBulletLevel1"/>
      <w:lvlText w:val=""/>
      <w:lvlJc w:val="left"/>
      <w:pPr>
        <w:tabs>
          <w:tab w:val="num" w:pos="596"/>
        </w:tabs>
        <w:ind w:left="596" w:hanging="454"/>
      </w:pPr>
      <w:rPr>
        <w:rFonts w:ascii="Symbol" w:hAnsi="Symbol" w:hint="default"/>
        <w:color w:val="auto"/>
        <w:sz w:val="16"/>
        <w:szCs w:val="16"/>
      </w:rPr>
    </w:lvl>
    <w:lvl w:ilvl="1">
      <w:start w:val="1"/>
      <w:numFmt w:val="bullet"/>
      <w:pStyle w:val="ListBulletLevel2"/>
      <w:lvlText w:val=""/>
      <w:lvlJc w:val="left"/>
      <w:pPr>
        <w:tabs>
          <w:tab w:val="num" w:pos="1049"/>
        </w:tabs>
        <w:ind w:left="1049" w:hanging="453"/>
      </w:pPr>
      <w:rPr>
        <w:rFonts w:ascii="Symbol" w:hAnsi="Symbol" w:hint="default"/>
        <w:color w:val="auto"/>
        <w:sz w:val="16"/>
        <w:szCs w:val="16"/>
      </w:rPr>
    </w:lvl>
    <w:lvl w:ilvl="2">
      <w:start w:val="1"/>
      <w:numFmt w:val="none"/>
      <w:lvlText w:val=""/>
      <w:lvlJc w:val="left"/>
      <w:pPr>
        <w:tabs>
          <w:tab w:val="num" w:pos="1503"/>
        </w:tabs>
        <w:ind w:left="1503" w:hanging="454"/>
      </w:pPr>
      <w:rPr>
        <w:rFonts w:hint="default"/>
      </w:rPr>
    </w:lvl>
    <w:lvl w:ilvl="3">
      <w:start w:val="1"/>
      <w:numFmt w:val="none"/>
      <w:lvlText w:val=""/>
      <w:lvlJc w:val="left"/>
      <w:pPr>
        <w:ind w:left="1582" w:hanging="360"/>
      </w:pPr>
      <w:rPr>
        <w:rFonts w:hint="default"/>
      </w:rPr>
    </w:lvl>
    <w:lvl w:ilvl="4">
      <w:start w:val="1"/>
      <w:numFmt w:val="none"/>
      <w:lvlText w:val=""/>
      <w:lvlJc w:val="left"/>
      <w:pPr>
        <w:ind w:left="1942" w:hanging="360"/>
      </w:pPr>
      <w:rPr>
        <w:rFonts w:hint="default"/>
      </w:rPr>
    </w:lvl>
    <w:lvl w:ilvl="5">
      <w:start w:val="1"/>
      <w:numFmt w:val="none"/>
      <w:lvlText w:val=""/>
      <w:lvlJc w:val="left"/>
      <w:pPr>
        <w:ind w:left="2302" w:hanging="360"/>
      </w:pPr>
      <w:rPr>
        <w:rFonts w:hint="default"/>
      </w:rPr>
    </w:lvl>
    <w:lvl w:ilvl="6">
      <w:start w:val="1"/>
      <w:numFmt w:val="none"/>
      <w:lvlText w:val=""/>
      <w:lvlJc w:val="left"/>
      <w:pPr>
        <w:ind w:left="2662" w:hanging="360"/>
      </w:pPr>
      <w:rPr>
        <w:rFonts w:hint="default"/>
      </w:rPr>
    </w:lvl>
    <w:lvl w:ilvl="7">
      <w:start w:val="1"/>
      <w:numFmt w:val="none"/>
      <w:lvlText w:val=""/>
      <w:lvlJc w:val="left"/>
      <w:pPr>
        <w:ind w:left="3022" w:hanging="360"/>
      </w:pPr>
      <w:rPr>
        <w:rFonts w:hint="default"/>
      </w:rPr>
    </w:lvl>
    <w:lvl w:ilvl="8">
      <w:start w:val="1"/>
      <w:numFmt w:val="none"/>
      <w:lvlText w:val=""/>
      <w:lvlJc w:val="left"/>
      <w:pPr>
        <w:ind w:left="3382" w:hanging="360"/>
      </w:pPr>
      <w:rPr>
        <w:rFonts w:hint="default"/>
      </w:rPr>
    </w:lvl>
  </w:abstractNum>
  <w:abstractNum w:abstractNumId="2" w15:restartNumberingAfterBreak="0">
    <w:nsid w:val="02593AD5"/>
    <w:multiLevelType w:val="hybridMultilevel"/>
    <w:tmpl w:val="65A84C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3C128E8"/>
    <w:multiLevelType w:val="hybridMultilevel"/>
    <w:tmpl w:val="E042C1F6"/>
    <w:lvl w:ilvl="0" w:tplc="868C103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88E62A8"/>
    <w:multiLevelType w:val="hybridMultilevel"/>
    <w:tmpl w:val="1DCA27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CFD7DDF"/>
    <w:multiLevelType w:val="hybridMultilevel"/>
    <w:tmpl w:val="7166F2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D954B35"/>
    <w:multiLevelType w:val="hybridMultilevel"/>
    <w:tmpl w:val="9948E118"/>
    <w:lvl w:ilvl="0" w:tplc="65328BEE">
      <w:start w:val="1"/>
      <w:numFmt w:val="lowerLetter"/>
      <w:lvlText w:val="(%1)"/>
      <w:lvlJc w:val="left"/>
      <w:pPr>
        <w:ind w:left="2185" w:hanging="360"/>
      </w:pPr>
      <w:rPr>
        <w:rFonts w:hint="default"/>
      </w:rPr>
    </w:lvl>
    <w:lvl w:ilvl="1" w:tplc="0C090019" w:tentative="1">
      <w:start w:val="1"/>
      <w:numFmt w:val="lowerLetter"/>
      <w:lvlText w:val="%2."/>
      <w:lvlJc w:val="left"/>
      <w:pPr>
        <w:ind w:left="2905" w:hanging="360"/>
      </w:pPr>
    </w:lvl>
    <w:lvl w:ilvl="2" w:tplc="0C09001B" w:tentative="1">
      <w:start w:val="1"/>
      <w:numFmt w:val="lowerRoman"/>
      <w:lvlText w:val="%3."/>
      <w:lvlJc w:val="right"/>
      <w:pPr>
        <w:ind w:left="3625" w:hanging="180"/>
      </w:pPr>
    </w:lvl>
    <w:lvl w:ilvl="3" w:tplc="0C09000F" w:tentative="1">
      <w:start w:val="1"/>
      <w:numFmt w:val="decimal"/>
      <w:lvlText w:val="%4."/>
      <w:lvlJc w:val="left"/>
      <w:pPr>
        <w:ind w:left="4345" w:hanging="360"/>
      </w:pPr>
    </w:lvl>
    <w:lvl w:ilvl="4" w:tplc="0C090019" w:tentative="1">
      <w:start w:val="1"/>
      <w:numFmt w:val="lowerLetter"/>
      <w:lvlText w:val="%5."/>
      <w:lvlJc w:val="left"/>
      <w:pPr>
        <w:ind w:left="5065" w:hanging="360"/>
      </w:pPr>
    </w:lvl>
    <w:lvl w:ilvl="5" w:tplc="0C09001B" w:tentative="1">
      <w:start w:val="1"/>
      <w:numFmt w:val="lowerRoman"/>
      <w:lvlText w:val="%6."/>
      <w:lvlJc w:val="right"/>
      <w:pPr>
        <w:ind w:left="5785" w:hanging="180"/>
      </w:pPr>
    </w:lvl>
    <w:lvl w:ilvl="6" w:tplc="0C09000F" w:tentative="1">
      <w:start w:val="1"/>
      <w:numFmt w:val="decimal"/>
      <w:lvlText w:val="%7."/>
      <w:lvlJc w:val="left"/>
      <w:pPr>
        <w:ind w:left="6505" w:hanging="360"/>
      </w:pPr>
    </w:lvl>
    <w:lvl w:ilvl="7" w:tplc="0C090019" w:tentative="1">
      <w:start w:val="1"/>
      <w:numFmt w:val="lowerLetter"/>
      <w:lvlText w:val="%8."/>
      <w:lvlJc w:val="left"/>
      <w:pPr>
        <w:ind w:left="7225" w:hanging="360"/>
      </w:pPr>
    </w:lvl>
    <w:lvl w:ilvl="8" w:tplc="0C09001B" w:tentative="1">
      <w:start w:val="1"/>
      <w:numFmt w:val="lowerRoman"/>
      <w:lvlText w:val="%9."/>
      <w:lvlJc w:val="right"/>
      <w:pPr>
        <w:ind w:left="7945" w:hanging="180"/>
      </w:pPr>
    </w:lvl>
  </w:abstractNum>
  <w:abstractNum w:abstractNumId="7" w15:restartNumberingAfterBreak="0">
    <w:nsid w:val="0EEA51DF"/>
    <w:multiLevelType w:val="hybridMultilevel"/>
    <w:tmpl w:val="4A60C9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19B16E6"/>
    <w:multiLevelType w:val="hybridMultilevel"/>
    <w:tmpl w:val="648E06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3764A10"/>
    <w:multiLevelType w:val="hybridMultilevel"/>
    <w:tmpl w:val="198A0C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188F6AF0"/>
    <w:multiLevelType w:val="hybridMultilevel"/>
    <w:tmpl w:val="B04CCE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C077B87"/>
    <w:multiLevelType w:val="hybridMultilevel"/>
    <w:tmpl w:val="04D24DBE"/>
    <w:lvl w:ilvl="0" w:tplc="C2EEA98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6390E0F"/>
    <w:multiLevelType w:val="hybridMultilevel"/>
    <w:tmpl w:val="43ACAAD8"/>
    <w:lvl w:ilvl="0" w:tplc="E20C700E">
      <w:start w:val="4"/>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3" w15:restartNumberingAfterBreak="0">
    <w:nsid w:val="283403C8"/>
    <w:multiLevelType w:val="hybridMultilevel"/>
    <w:tmpl w:val="8D3CD1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89D3EA3"/>
    <w:multiLevelType w:val="hybridMultilevel"/>
    <w:tmpl w:val="20EA1FE0"/>
    <w:lvl w:ilvl="0" w:tplc="5CF219DA">
      <w:start w:val="1"/>
      <w:numFmt w:val="bullet"/>
      <w:lvlText w:val=""/>
      <w:lvlJc w:val="left"/>
      <w:pPr>
        <w:ind w:left="360" w:hanging="360"/>
      </w:pPr>
      <w:rPr>
        <w:rFonts w:ascii="Symbol" w:hAnsi="Symbol" w:hint="default"/>
        <w:color w:val="auto"/>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A931565"/>
    <w:multiLevelType w:val="multilevel"/>
    <w:tmpl w:val="1174D2C0"/>
    <w:lvl w:ilvl="0">
      <w:start w:val="1"/>
      <w:numFmt w:val="decimal"/>
      <w:lvlText w:val="%1."/>
      <w:lvlJc w:val="left"/>
      <w:pPr>
        <w:ind w:left="360" w:hanging="360"/>
      </w:pPr>
      <w:rPr>
        <w:rFonts w:hint="default"/>
      </w:rPr>
    </w:lvl>
    <w:lvl w:ilvl="1">
      <w:start w:val="1"/>
      <w:numFmt w:val="decimal"/>
      <w:isLgl/>
      <w:lvlText w:val="%1.%2"/>
      <w:lvlJc w:val="left"/>
      <w:pPr>
        <w:ind w:left="567" w:hanging="56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CC77C9D"/>
    <w:multiLevelType w:val="hybridMultilevel"/>
    <w:tmpl w:val="5C083374"/>
    <w:lvl w:ilvl="0" w:tplc="65A86B92">
      <w:start w:val="2"/>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7" w15:restartNumberingAfterBreak="0">
    <w:nsid w:val="2CFA342A"/>
    <w:multiLevelType w:val="hybridMultilevel"/>
    <w:tmpl w:val="DF7881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D1B1D52"/>
    <w:multiLevelType w:val="hybridMultilevel"/>
    <w:tmpl w:val="22B4B4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9D3A94"/>
    <w:multiLevelType w:val="hybridMultilevel"/>
    <w:tmpl w:val="0936DC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B26569"/>
    <w:multiLevelType w:val="hybridMultilevel"/>
    <w:tmpl w:val="92C656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81D74FD"/>
    <w:multiLevelType w:val="hybridMultilevel"/>
    <w:tmpl w:val="C3FC2E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8EC6841"/>
    <w:multiLevelType w:val="hybridMultilevel"/>
    <w:tmpl w:val="84E489B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8F970DA"/>
    <w:multiLevelType w:val="hybridMultilevel"/>
    <w:tmpl w:val="56E030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AA32EED"/>
    <w:multiLevelType w:val="hybridMultilevel"/>
    <w:tmpl w:val="FAE4B9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CDA478F"/>
    <w:multiLevelType w:val="hybridMultilevel"/>
    <w:tmpl w:val="059A2E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3AC505B"/>
    <w:multiLevelType w:val="hybridMultilevel"/>
    <w:tmpl w:val="D49855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41A5EE1"/>
    <w:multiLevelType w:val="hybridMultilevel"/>
    <w:tmpl w:val="467A44F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4425DB6"/>
    <w:multiLevelType w:val="hybridMultilevel"/>
    <w:tmpl w:val="910029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AB5416A"/>
    <w:multiLevelType w:val="hybridMultilevel"/>
    <w:tmpl w:val="A15CAE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D5B4FC8"/>
    <w:multiLevelType w:val="hybridMultilevel"/>
    <w:tmpl w:val="EA9885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1725BC5"/>
    <w:multiLevelType w:val="multilevel"/>
    <w:tmpl w:val="A7D646DA"/>
    <w:lvl w:ilvl="0">
      <w:start w:val="1"/>
      <w:numFmt w:val="decimal"/>
      <w:lvlText w:val="%1."/>
      <w:lvlJc w:val="left"/>
      <w:pPr>
        <w:ind w:left="360" w:hanging="360"/>
      </w:pPr>
      <w:rPr>
        <w:rFonts w:hint="default"/>
      </w:rPr>
    </w:lvl>
    <w:lvl w:ilvl="1">
      <w:start w:val="2"/>
      <w:numFmt w:val="decimal"/>
      <w:isLgl/>
      <w:lvlText w:val="%1.%2"/>
      <w:lvlJc w:val="left"/>
      <w:pPr>
        <w:ind w:left="1092" w:hanging="720"/>
      </w:pPr>
      <w:rPr>
        <w:rFonts w:hint="default"/>
      </w:rPr>
    </w:lvl>
    <w:lvl w:ilvl="2">
      <w:start w:val="1"/>
      <w:numFmt w:val="decimal"/>
      <w:isLgl/>
      <w:lvlText w:val="%1.%2.%3"/>
      <w:lvlJc w:val="left"/>
      <w:pPr>
        <w:ind w:left="1464" w:hanging="720"/>
      </w:pPr>
      <w:rPr>
        <w:rFonts w:hint="default"/>
      </w:rPr>
    </w:lvl>
    <w:lvl w:ilvl="3">
      <w:start w:val="1"/>
      <w:numFmt w:val="decimal"/>
      <w:isLgl/>
      <w:lvlText w:val="%1.%2.%3.%4"/>
      <w:lvlJc w:val="left"/>
      <w:pPr>
        <w:ind w:left="2196" w:hanging="1080"/>
      </w:pPr>
      <w:rPr>
        <w:rFonts w:hint="default"/>
      </w:rPr>
    </w:lvl>
    <w:lvl w:ilvl="4">
      <w:start w:val="1"/>
      <w:numFmt w:val="decimal"/>
      <w:isLgl/>
      <w:lvlText w:val="%1.%2.%3.%4.%5"/>
      <w:lvlJc w:val="left"/>
      <w:pPr>
        <w:ind w:left="2568"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4032" w:hanging="1800"/>
      </w:pPr>
      <w:rPr>
        <w:rFonts w:hint="default"/>
      </w:rPr>
    </w:lvl>
    <w:lvl w:ilvl="7">
      <w:start w:val="1"/>
      <w:numFmt w:val="decimal"/>
      <w:isLgl/>
      <w:lvlText w:val="%1.%2.%3.%4.%5.%6.%7.%8"/>
      <w:lvlJc w:val="left"/>
      <w:pPr>
        <w:ind w:left="4404" w:hanging="1800"/>
      </w:pPr>
      <w:rPr>
        <w:rFonts w:hint="default"/>
      </w:rPr>
    </w:lvl>
    <w:lvl w:ilvl="8">
      <w:start w:val="1"/>
      <w:numFmt w:val="decimal"/>
      <w:isLgl/>
      <w:lvlText w:val="%1.%2.%3.%4.%5.%6.%7.%8.%9"/>
      <w:lvlJc w:val="left"/>
      <w:pPr>
        <w:ind w:left="5136" w:hanging="2160"/>
      </w:pPr>
      <w:rPr>
        <w:rFonts w:hint="default"/>
      </w:rPr>
    </w:lvl>
  </w:abstractNum>
  <w:abstractNum w:abstractNumId="32" w15:restartNumberingAfterBreak="0">
    <w:nsid w:val="51B716EE"/>
    <w:multiLevelType w:val="hybridMultilevel"/>
    <w:tmpl w:val="FB1AB44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4BE4487"/>
    <w:multiLevelType w:val="hybridMultilevel"/>
    <w:tmpl w:val="4EC422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4D539C1"/>
    <w:multiLevelType w:val="singleLevel"/>
    <w:tmpl w:val="53B6CBCC"/>
    <w:lvl w:ilvl="0">
      <w:start w:val="1"/>
      <w:numFmt w:val="bullet"/>
      <w:lvlText w:val=""/>
      <w:lvlJc w:val="left"/>
      <w:pPr>
        <w:tabs>
          <w:tab w:val="num" w:pos="340"/>
        </w:tabs>
        <w:ind w:left="340" w:hanging="340"/>
      </w:pPr>
      <w:rPr>
        <w:rFonts w:ascii="Symbol" w:hAnsi="Symbol" w:hint="default"/>
        <w:color w:val="auto"/>
        <w:sz w:val="22"/>
      </w:rPr>
    </w:lvl>
  </w:abstractNum>
  <w:abstractNum w:abstractNumId="35" w15:restartNumberingAfterBreak="0">
    <w:nsid w:val="55A723E3"/>
    <w:multiLevelType w:val="hybridMultilevel"/>
    <w:tmpl w:val="12E2C7D8"/>
    <w:lvl w:ilvl="0" w:tplc="4F4CAC28">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36" w15:restartNumberingAfterBreak="0">
    <w:nsid w:val="587D061A"/>
    <w:multiLevelType w:val="hybridMultilevel"/>
    <w:tmpl w:val="A998A0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93872DC"/>
    <w:multiLevelType w:val="hybridMultilevel"/>
    <w:tmpl w:val="0EF885A2"/>
    <w:lvl w:ilvl="0" w:tplc="FC32B526">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96B2BFF"/>
    <w:multiLevelType w:val="singleLevel"/>
    <w:tmpl w:val="161A3CE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9" w15:restartNumberingAfterBreak="0">
    <w:nsid w:val="5C200B17"/>
    <w:multiLevelType w:val="hybridMultilevel"/>
    <w:tmpl w:val="682263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CD77F4F"/>
    <w:multiLevelType w:val="hybridMultilevel"/>
    <w:tmpl w:val="A9BABA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07D74AD"/>
    <w:multiLevelType w:val="hybridMultilevel"/>
    <w:tmpl w:val="E31080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0944A38"/>
    <w:multiLevelType w:val="hybridMultilevel"/>
    <w:tmpl w:val="077C6F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17B7F52"/>
    <w:multiLevelType w:val="hybridMultilevel"/>
    <w:tmpl w:val="22A67D14"/>
    <w:lvl w:ilvl="0" w:tplc="2668B696">
      <w:start w:val="3"/>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44" w15:restartNumberingAfterBreak="0">
    <w:nsid w:val="69A0615E"/>
    <w:multiLevelType w:val="hybridMultilevel"/>
    <w:tmpl w:val="2730AF1C"/>
    <w:lvl w:ilvl="0" w:tplc="E75A0850">
      <w:start w:val="1"/>
      <w:numFmt w:val="decimal"/>
      <w:lvlText w:val="%1."/>
      <w:lvlJc w:val="left"/>
      <w:pPr>
        <w:ind w:left="360" w:hanging="360"/>
      </w:pPr>
      <w:rPr>
        <w:rFonts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B4173D2"/>
    <w:multiLevelType w:val="hybridMultilevel"/>
    <w:tmpl w:val="3C46D4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BA61762"/>
    <w:multiLevelType w:val="hybridMultilevel"/>
    <w:tmpl w:val="8A80DA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6E7C598B"/>
    <w:multiLevelType w:val="hybridMultilevel"/>
    <w:tmpl w:val="C1E272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1D70DFE"/>
    <w:multiLevelType w:val="hybridMultilevel"/>
    <w:tmpl w:val="A4B429F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62D7815"/>
    <w:multiLevelType w:val="hybridMultilevel"/>
    <w:tmpl w:val="DBCCC6E8"/>
    <w:lvl w:ilvl="0" w:tplc="023E4E62">
      <w:start w:val="1"/>
      <w:numFmt w:val="lowerRoman"/>
      <w:lvlText w:val="%1."/>
      <w:lvlJc w:val="left"/>
      <w:pPr>
        <w:ind w:left="360" w:hanging="360"/>
      </w:pPr>
      <w:rPr>
        <w:rFonts w:hint="default"/>
        <w:b/>
        <w:bCs/>
        <w:color w:val="E86D1F"/>
        <w:sz w:val="32"/>
        <w:szCs w:val="3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76CA0348"/>
    <w:multiLevelType w:val="hybridMultilevel"/>
    <w:tmpl w:val="243A482E"/>
    <w:lvl w:ilvl="0" w:tplc="74F2D1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C065885"/>
    <w:multiLevelType w:val="hybridMultilevel"/>
    <w:tmpl w:val="F8CEB3F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5"/>
  </w:num>
  <w:num w:numId="2">
    <w:abstractNumId w:val="19"/>
  </w:num>
  <w:num w:numId="3">
    <w:abstractNumId w:val="18"/>
  </w:num>
  <w:num w:numId="4">
    <w:abstractNumId w:val="2"/>
  </w:num>
  <w:num w:numId="5">
    <w:abstractNumId w:val="46"/>
  </w:num>
  <w:num w:numId="6">
    <w:abstractNumId w:val="17"/>
  </w:num>
  <w:num w:numId="7">
    <w:abstractNumId w:val="5"/>
  </w:num>
  <w:num w:numId="8">
    <w:abstractNumId w:val="6"/>
  </w:num>
  <w:num w:numId="9">
    <w:abstractNumId w:val="24"/>
  </w:num>
  <w:num w:numId="10">
    <w:abstractNumId w:val="36"/>
  </w:num>
  <w:num w:numId="11">
    <w:abstractNumId w:val="39"/>
  </w:num>
  <w:num w:numId="12">
    <w:abstractNumId w:val="10"/>
  </w:num>
  <w:num w:numId="13">
    <w:abstractNumId w:val="31"/>
  </w:num>
  <w:num w:numId="14">
    <w:abstractNumId w:val="32"/>
  </w:num>
  <w:num w:numId="15">
    <w:abstractNumId w:val="13"/>
  </w:num>
  <w:num w:numId="16">
    <w:abstractNumId w:val="22"/>
  </w:num>
  <w:num w:numId="17">
    <w:abstractNumId w:val="42"/>
  </w:num>
  <w:num w:numId="18">
    <w:abstractNumId w:val="49"/>
  </w:num>
  <w:num w:numId="19">
    <w:abstractNumId w:val="21"/>
  </w:num>
  <w:num w:numId="20">
    <w:abstractNumId w:val="23"/>
  </w:num>
  <w:num w:numId="21">
    <w:abstractNumId w:val="47"/>
  </w:num>
  <w:num w:numId="22">
    <w:abstractNumId w:val="0"/>
  </w:num>
  <w:num w:numId="23">
    <w:abstractNumId w:val="45"/>
  </w:num>
  <w:num w:numId="24">
    <w:abstractNumId w:val="50"/>
  </w:num>
  <w:num w:numId="25">
    <w:abstractNumId w:val="29"/>
  </w:num>
  <w:num w:numId="26">
    <w:abstractNumId w:val="30"/>
  </w:num>
  <w:num w:numId="27">
    <w:abstractNumId w:val="3"/>
  </w:num>
  <w:num w:numId="28">
    <w:abstractNumId w:val="33"/>
  </w:num>
  <w:num w:numId="29">
    <w:abstractNumId w:val="34"/>
  </w:num>
  <w:num w:numId="30">
    <w:abstractNumId w:val="20"/>
  </w:num>
  <w:num w:numId="31">
    <w:abstractNumId w:val="14"/>
  </w:num>
  <w:num w:numId="32">
    <w:abstractNumId w:val="44"/>
  </w:num>
  <w:num w:numId="33">
    <w:abstractNumId w:val="4"/>
  </w:num>
  <w:num w:numId="34">
    <w:abstractNumId w:val="7"/>
  </w:num>
  <w:num w:numId="35">
    <w:abstractNumId w:val="25"/>
  </w:num>
  <w:num w:numId="36">
    <w:abstractNumId w:val="40"/>
  </w:num>
  <w:num w:numId="37">
    <w:abstractNumId w:val="8"/>
  </w:num>
  <w:num w:numId="38">
    <w:abstractNumId w:val="48"/>
  </w:num>
  <w:num w:numId="39">
    <w:abstractNumId w:val="26"/>
  </w:num>
  <w:num w:numId="40">
    <w:abstractNumId w:val="11"/>
  </w:num>
  <w:num w:numId="41">
    <w:abstractNumId w:val="28"/>
  </w:num>
  <w:num w:numId="42">
    <w:abstractNumId w:val="9"/>
  </w:num>
  <w:num w:numId="43">
    <w:abstractNumId w:val="1"/>
  </w:num>
  <w:num w:numId="44">
    <w:abstractNumId w:val="38"/>
  </w:num>
  <w:num w:numId="45">
    <w:abstractNumId w:val="41"/>
  </w:num>
  <w:num w:numId="46">
    <w:abstractNumId w:val="37"/>
  </w:num>
  <w:num w:numId="47">
    <w:abstractNumId w:val="35"/>
  </w:num>
  <w:num w:numId="48">
    <w:abstractNumId w:val="16"/>
  </w:num>
  <w:num w:numId="49">
    <w:abstractNumId w:val="43"/>
  </w:num>
  <w:num w:numId="50">
    <w:abstractNumId w:val="12"/>
  </w:num>
  <w:num w:numId="51">
    <w:abstractNumId w:val="51"/>
  </w:num>
  <w:num w:numId="52">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B00"/>
    <w:rsid w:val="00000726"/>
    <w:rsid w:val="00001B77"/>
    <w:rsid w:val="00007E3D"/>
    <w:rsid w:val="00013226"/>
    <w:rsid w:val="000148A0"/>
    <w:rsid w:val="00016BBC"/>
    <w:rsid w:val="00017BE1"/>
    <w:rsid w:val="000277F7"/>
    <w:rsid w:val="00033E88"/>
    <w:rsid w:val="00037D85"/>
    <w:rsid w:val="00041F6D"/>
    <w:rsid w:val="000507DA"/>
    <w:rsid w:val="000541CF"/>
    <w:rsid w:val="00054306"/>
    <w:rsid w:val="00054BE8"/>
    <w:rsid w:val="00055C8D"/>
    <w:rsid w:val="000565EF"/>
    <w:rsid w:val="000613AB"/>
    <w:rsid w:val="00062060"/>
    <w:rsid w:val="000676C6"/>
    <w:rsid w:val="00067DFF"/>
    <w:rsid w:val="0007078F"/>
    <w:rsid w:val="00072281"/>
    <w:rsid w:val="000722A2"/>
    <w:rsid w:val="000729E0"/>
    <w:rsid w:val="0008052B"/>
    <w:rsid w:val="00080945"/>
    <w:rsid w:val="00081277"/>
    <w:rsid w:val="00081BE1"/>
    <w:rsid w:val="00082CD8"/>
    <w:rsid w:val="00085307"/>
    <w:rsid w:val="00085317"/>
    <w:rsid w:val="000900CA"/>
    <w:rsid w:val="0009463A"/>
    <w:rsid w:val="000963E3"/>
    <w:rsid w:val="00096D16"/>
    <w:rsid w:val="000A3692"/>
    <w:rsid w:val="000A69BB"/>
    <w:rsid w:val="000A6B50"/>
    <w:rsid w:val="000B06FB"/>
    <w:rsid w:val="000B0956"/>
    <w:rsid w:val="000B3940"/>
    <w:rsid w:val="000B3BEB"/>
    <w:rsid w:val="000B7109"/>
    <w:rsid w:val="000C3FC2"/>
    <w:rsid w:val="000C5C71"/>
    <w:rsid w:val="000C759C"/>
    <w:rsid w:val="000D010E"/>
    <w:rsid w:val="000D4885"/>
    <w:rsid w:val="000D68DB"/>
    <w:rsid w:val="000E4F83"/>
    <w:rsid w:val="000F0231"/>
    <w:rsid w:val="000F5C3A"/>
    <w:rsid w:val="000F70CC"/>
    <w:rsid w:val="000F7E33"/>
    <w:rsid w:val="001019C3"/>
    <w:rsid w:val="00104EBB"/>
    <w:rsid w:val="00110E7C"/>
    <w:rsid w:val="00120A53"/>
    <w:rsid w:val="0012427C"/>
    <w:rsid w:val="00130215"/>
    <w:rsid w:val="0013298B"/>
    <w:rsid w:val="00132A94"/>
    <w:rsid w:val="001333CC"/>
    <w:rsid w:val="00141A2A"/>
    <w:rsid w:val="001468E2"/>
    <w:rsid w:val="00147EC7"/>
    <w:rsid w:val="001541AC"/>
    <w:rsid w:val="001551B9"/>
    <w:rsid w:val="001633E5"/>
    <w:rsid w:val="00163CCA"/>
    <w:rsid w:val="001640E3"/>
    <w:rsid w:val="00166449"/>
    <w:rsid w:val="00174360"/>
    <w:rsid w:val="00182BF3"/>
    <w:rsid w:val="00184A57"/>
    <w:rsid w:val="00191AFF"/>
    <w:rsid w:val="00193281"/>
    <w:rsid w:val="001A22DA"/>
    <w:rsid w:val="001A592B"/>
    <w:rsid w:val="001A7CF8"/>
    <w:rsid w:val="001B070F"/>
    <w:rsid w:val="001B14D4"/>
    <w:rsid w:val="001B352F"/>
    <w:rsid w:val="001B3568"/>
    <w:rsid w:val="001B565E"/>
    <w:rsid w:val="001B5B2D"/>
    <w:rsid w:val="001C0837"/>
    <w:rsid w:val="001C2288"/>
    <w:rsid w:val="001C237A"/>
    <w:rsid w:val="001D0B09"/>
    <w:rsid w:val="001D0FB0"/>
    <w:rsid w:val="001E2D72"/>
    <w:rsid w:val="001E446E"/>
    <w:rsid w:val="001E4807"/>
    <w:rsid w:val="001E6487"/>
    <w:rsid w:val="001F1DFD"/>
    <w:rsid w:val="001F3E68"/>
    <w:rsid w:val="002020D1"/>
    <w:rsid w:val="00202DB9"/>
    <w:rsid w:val="002035F0"/>
    <w:rsid w:val="00204B77"/>
    <w:rsid w:val="00204C8D"/>
    <w:rsid w:val="00205A5B"/>
    <w:rsid w:val="00211C68"/>
    <w:rsid w:val="00215E8A"/>
    <w:rsid w:val="00216B51"/>
    <w:rsid w:val="002176AF"/>
    <w:rsid w:val="00220E55"/>
    <w:rsid w:val="002211E7"/>
    <w:rsid w:val="002304E2"/>
    <w:rsid w:val="00232665"/>
    <w:rsid w:val="0023620B"/>
    <w:rsid w:val="002364DD"/>
    <w:rsid w:val="002379FF"/>
    <w:rsid w:val="00242104"/>
    <w:rsid w:val="00246EB1"/>
    <w:rsid w:val="002476D0"/>
    <w:rsid w:val="00260519"/>
    <w:rsid w:val="002611FC"/>
    <w:rsid w:val="00263620"/>
    <w:rsid w:val="00272C0E"/>
    <w:rsid w:val="002731EE"/>
    <w:rsid w:val="00281FB7"/>
    <w:rsid w:val="00285F3C"/>
    <w:rsid w:val="00286212"/>
    <w:rsid w:val="00287755"/>
    <w:rsid w:val="0029022C"/>
    <w:rsid w:val="00295444"/>
    <w:rsid w:val="002974AF"/>
    <w:rsid w:val="002A2EAD"/>
    <w:rsid w:val="002A5F01"/>
    <w:rsid w:val="002A5F1B"/>
    <w:rsid w:val="002B42FA"/>
    <w:rsid w:val="002B56FB"/>
    <w:rsid w:val="002B67D1"/>
    <w:rsid w:val="002C399A"/>
    <w:rsid w:val="002C5E77"/>
    <w:rsid w:val="002D152D"/>
    <w:rsid w:val="002D22DC"/>
    <w:rsid w:val="002D4222"/>
    <w:rsid w:val="002E03B2"/>
    <w:rsid w:val="002E0DC4"/>
    <w:rsid w:val="002E36DA"/>
    <w:rsid w:val="002F15B0"/>
    <w:rsid w:val="002F174C"/>
    <w:rsid w:val="003016CE"/>
    <w:rsid w:val="00305BD6"/>
    <w:rsid w:val="00320E82"/>
    <w:rsid w:val="003217BB"/>
    <w:rsid w:val="00323D8A"/>
    <w:rsid w:val="00327E5A"/>
    <w:rsid w:val="00335876"/>
    <w:rsid w:val="003434FC"/>
    <w:rsid w:val="003501E7"/>
    <w:rsid w:val="00355409"/>
    <w:rsid w:val="00366BAD"/>
    <w:rsid w:val="003672AB"/>
    <w:rsid w:val="003714C3"/>
    <w:rsid w:val="00373EA8"/>
    <w:rsid w:val="00374D09"/>
    <w:rsid w:val="00377B7B"/>
    <w:rsid w:val="003807BB"/>
    <w:rsid w:val="003820D0"/>
    <w:rsid w:val="00383A62"/>
    <w:rsid w:val="00383EDA"/>
    <w:rsid w:val="0038553D"/>
    <w:rsid w:val="003A640E"/>
    <w:rsid w:val="003A648F"/>
    <w:rsid w:val="003B2A79"/>
    <w:rsid w:val="003B5049"/>
    <w:rsid w:val="003B7ACC"/>
    <w:rsid w:val="003C2CDB"/>
    <w:rsid w:val="003C2ED1"/>
    <w:rsid w:val="003C66B8"/>
    <w:rsid w:val="003C71F3"/>
    <w:rsid w:val="003C7970"/>
    <w:rsid w:val="003E26EA"/>
    <w:rsid w:val="003E3A62"/>
    <w:rsid w:val="003F4882"/>
    <w:rsid w:val="003F4DF2"/>
    <w:rsid w:val="003F4EE9"/>
    <w:rsid w:val="003F70E5"/>
    <w:rsid w:val="00402956"/>
    <w:rsid w:val="004037A6"/>
    <w:rsid w:val="00403BD7"/>
    <w:rsid w:val="00405717"/>
    <w:rsid w:val="00405C07"/>
    <w:rsid w:val="004109BB"/>
    <w:rsid w:val="00412837"/>
    <w:rsid w:val="00415C54"/>
    <w:rsid w:val="004243C8"/>
    <w:rsid w:val="00425D4D"/>
    <w:rsid w:val="00430425"/>
    <w:rsid w:val="00430865"/>
    <w:rsid w:val="00432EE7"/>
    <w:rsid w:val="0044458C"/>
    <w:rsid w:val="00453FE2"/>
    <w:rsid w:val="0045522F"/>
    <w:rsid w:val="004620B3"/>
    <w:rsid w:val="00470A33"/>
    <w:rsid w:val="00471108"/>
    <w:rsid w:val="00472EBD"/>
    <w:rsid w:val="0048064E"/>
    <w:rsid w:val="00480D14"/>
    <w:rsid w:val="004825A8"/>
    <w:rsid w:val="004826FD"/>
    <w:rsid w:val="00486329"/>
    <w:rsid w:val="0049224C"/>
    <w:rsid w:val="0049380D"/>
    <w:rsid w:val="004970B4"/>
    <w:rsid w:val="004A0E85"/>
    <w:rsid w:val="004A166C"/>
    <w:rsid w:val="004B00A6"/>
    <w:rsid w:val="004B1B4D"/>
    <w:rsid w:val="004C746F"/>
    <w:rsid w:val="004D1C94"/>
    <w:rsid w:val="004D2214"/>
    <w:rsid w:val="004D5C72"/>
    <w:rsid w:val="004D76A3"/>
    <w:rsid w:val="004F0C52"/>
    <w:rsid w:val="004F2301"/>
    <w:rsid w:val="004F3483"/>
    <w:rsid w:val="00504EB8"/>
    <w:rsid w:val="00507373"/>
    <w:rsid w:val="00511C2E"/>
    <w:rsid w:val="00515566"/>
    <w:rsid w:val="005200C6"/>
    <w:rsid w:val="00521F25"/>
    <w:rsid w:val="005231EE"/>
    <w:rsid w:val="005239F7"/>
    <w:rsid w:val="00524ABB"/>
    <w:rsid w:val="00526561"/>
    <w:rsid w:val="00527C78"/>
    <w:rsid w:val="00532CCA"/>
    <w:rsid w:val="00533F90"/>
    <w:rsid w:val="0053498F"/>
    <w:rsid w:val="005349E6"/>
    <w:rsid w:val="00552BCC"/>
    <w:rsid w:val="00557559"/>
    <w:rsid w:val="00565924"/>
    <w:rsid w:val="00574A1D"/>
    <w:rsid w:val="0057671D"/>
    <w:rsid w:val="00582E11"/>
    <w:rsid w:val="00585C38"/>
    <w:rsid w:val="00586442"/>
    <w:rsid w:val="00593920"/>
    <w:rsid w:val="00596B30"/>
    <w:rsid w:val="005A0C2E"/>
    <w:rsid w:val="005A4404"/>
    <w:rsid w:val="005A6B0E"/>
    <w:rsid w:val="005B00E8"/>
    <w:rsid w:val="005B758B"/>
    <w:rsid w:val="005C4E30"/>
    <w:rsid w:val="005C7170"/>
    <w:rsid w:val="005E3716"/>
    <w:rsid w:val="005E6309"/>
    <w:rsid w:val="005F1BFB"/>
    <w:rsid w:val="005F28A2"/>
    <w:rsid w:val="005F2C55"/>
    <w:rsid w:val="005F5CBF"/>
    <w:rsid w:val="00606AFC"/>
    <w:rsid w:val="00606E1B"/>
    <w:rsid w:val="00606FE6"/>
    <w:rsid w:val="006072E7"/>
    <w:rsid w:val="00610726"/>
    <w:rsid w:val="00611647"/>
    <w:rsid w:val="00615AAC"/>
    <w:rsid w:val="006177B3"/>
    <w:rsid w:val="00622093"/>
    <w:rsid w:val="00636BF8"/>
    <w:rsid w:val="00637982"/>
    <w:rsid w:val="006408BE"/>
    <w:rsid w:val="00641A12"/>
    <w:rsid w:val="006458BA"/>
    <w:rsid w:val="006508FB"/>
    <w:rsid w:val="00650C7C"/>
    <w:rsid w:val="00655661"/>
    <w:rsid w:val="00656ACF"/>
    <w:rsid w:val="00657034"/>
    <w:rsid w:val="006616C5"/>
    <w:rsid w:val="006621E9"/>
    <w:rsid w:val="0066375E"/>
    <w:rsid w:val="0066664F"/>
    <w:rsid w:val="006717CC"/>
    <w:rsid w:val="00672FB7"/>
    <w:rsid w:val="0067493B"/>
    <w:rsid w:val="00681ACE"/>
    <w:rsid w:val="006820C3"/>
    <w:rsid w:val="00684038"/>
    <w:rsid w:val="0068774C"/>
    <w:rsid w:val="0069668B"/>
    <w:rsid w:val="006A09FD"/>
    <w:rsid w:val="006A4568"/>
    <w:rsid w:val="006C04C5"/>
    <w:rsid w:val="006C339C"/>
    <w:rsid w:val="006C47A6"/>
    <w:rsid w:val="006C5106"/>
    <w:rsid w:val="006D5FD4"/>
    <w:rsid w:val="006E0252"/>
    <w:rsid w:val="006E0C53"/>
    <w:rsid w:val="006E6395"/>
    <w:rsid w:val="006E77A2"/>
    <w:rsid w:val="006F0A7C"/>
    <w:rsid w:val="006F0E66"/>
    <w:rsid w:val="006F162E"/>
    <w:rsid w:val="007138BC"/>
    <w:rsid w:val="00733F4D"/>
    <w:rsid w:val="00737328"/>
    <w:rsid w:val="00741F2C"/>
    <w:rsid w:val="0075432F"/>
    <w:rsid w:val="00761991"/>
    <w:rsid w:val="00761C96"/>
    <w:rsid w:val="00765AEB"/>
    <w:rsid w:val="00766850"/>
    <w:rsid w:val="0077440F"/>
    <w:rsid w:val="0077552F"/>
    <w:rsid w:val="00777082"/>
    <w:rsid w:val="00781691"/>
    <w:rsid w:val="00786992"/>
    <w:rsid w:val="00792CD0"/>
    <w:rsid w:val="007978F6"/>
    <w:rsid w:val="007A222B"/>
    <w:rsid w:val="007A605D"/>
    <w:rsid w:val="007A6142"/>
    <w:rsid w:val="007B1A84"/>
    <w:rsid w:val="007B76C2"/>
    <w:rsid w:val="007B7FEF"/>
    <w:rsid w:val="007C4FDE"/>
    <w:rsid w:val="007D3155"/>
    <w:rsid w:val="007D4548"/>
    <w:rsid w:val="007E0331"/>
    <w:rsid w:val="007E2760"/>
    <w:rsid w:val="007E3063"/>
    <w:rsid w:val="007E58DE"/>
    <w:rsid w:val="007E6891"/>
    <w:rsid w:val="007F42FC"/>
    <w:rsid w:val="007F67D2"/>
    <w:rsid w:val="0080126B"/>
    <w:rsid w:val="008121F2"/>
    <w:rsid w:val="00812AA5"/>
    <w:rsid w:val="0081622E"/>
    <w:rsid w:val="00820F7B"/>
    <w:rsid w:val="0082723C"/>
    <w:rsid w:val="00827CD3"/>
    <w:rsid w:val="00836E1A"/>
    <w:rsid w:val="0083707A"/>
    <w:rsid w:val="00837F1B"/>
    <w:rsid w:val="00845DC4"/>
    <w:rsid w:val="00851B3B"/>
    <w:rsid w:val="008532A1"/>
    <w:rsid w:val="00855899"/>
    <w:rsid w:val="0085677C"/>
    <w:rsid w:val="0086314C"/>
    <w:rsid w:val="00864209"/>
    <w:rsid w:val="00865108"/>
    <w:rsid w:val="00865DB8"/>
    <w:rsid w:val="00867040"/>
    <w:rsid w:val="00871013"/>
    <w:rsid w:val="00871705"/>
    <w:rsid w:val="00873D68"/>
    <w:rsid w:val="00875F27"/>
    <w:rsid w:val="00876C5F"/>
    <w:rsid w:val="0088048B"/>
    <w:rsid w:val="00886266"/>
    <w:rsid w:val="0088682C"/>
    <w:rsid w:val="00890845"/>
    <w:rsid w:val="0089666A"/>
    <w:rsid w:val="008A5173"/>
    <w:rsid w:val="008A636E"/>
    <w:rsid w:val="008B22E1"/>
    <w:rsid w:val="008B7D8C"/>
    <w:rsid w:val="008C0F9F"/>
    <w:rsid w:val="008C732E"/>
    <w:rsid w:val="008C779D"/>
    <w:rsid w:val="008E15B8"/>
    <w:rsid w:val="008E3888"/>
    <w:rsid w:val="008E3AD5"/>
    <w:rsid w:val="008F19E3"/>
    <w:rsid w:val="008F4B91"/>
    <w:rsid w:val="009025AC"/>
    <w:rsid w:val="00903925"/>
    <w:rsid w:val="00911797"/>
    <w:rsid w:val="00911964"/>
    <w:rsid w:val="00911A81"/>
    <w:rsid w:val="009130D6"/>
    <w:rsid w:val="00916AE9"/>
    <w:rsid w:val="00925633"/>
    <w:rsid w:val="00926326"/>
    <w:rsid w:val="0092693E"/>
    <w:rsid w:val="00930D3E"/>
    <w:rsid w:val="009341DA"/>
    <w:rsid w:val="00940D33"/>
    <w:rsid w:val="00943E04"/>
    <w:rsid w:val="00961EDE"/>
    <w:rsid w:val="009634AE"/>
    <w:rsid w:val="0096706F"/>
    <w:rsid w:val="00971F0D"/>
    <w:rsid w:val="009724C7"/>
    <w:rsid w:val="00974820"/>
    <w:rsid w:val="00974BD8"/>
    <w:rsid w:val="00990164"/>
    <w:rsid w:val="00991AA9"/>
    <w:rsid w:val="0099305E"/>
    <w:rsid w:val="009967E0"/>
    <w:rsid w:val="00996E2A"/>
    <w:rsid w:val="009A21FB"/>
    <w:rsid w:val="009A22C0"/>
    <w:rsid w:val="009A5C23"/>
    <w:rsid w:val="009A616D"/>
    <w:rsid w:val="009B4E1E"/>
    <w:rsid w:val="009B720A"/>
    <w:rsid w:val="009C0425"/>
    <w:rsid w:val="009C12D0"/>
    <w:rsid w:val="009C6BC9"/>
    <w:rsid w:val="009C7954"/>
    <w:rsid w:val="009D3FC0"/>
    <w:rsid w:val="009D49DF"/>
    <w:rsid w:val="009D6625"/>
    <w:rsid w:val="009D71C8"/>
    <w:rsid w:val="009D71E2"/>
    <w:rsid w:val="009E3DA4"/>
    <w:rsid w:val="009E5EDB"/>
    <w:rsid w:val="009F37FD"/>
    <w:rsid w:val="009F567D"/>
    <w:rsid w:val="009F611E"/>
    <w:rsid w:val="00A008F8"/>
    <w:rsid w:val="00A10553"/>
    <w:rsid w:val="00A10DB7"/>
    <w:rsid w:val="00A111BB"/>
    <w:rsid w:val="00A1158A"/>
    <w:rsid w:val="00A12B00"/>
    <w:rsid w:val="00A12BBE"/>
    <w:rsid w:val="00A14AF5"/>
    <w:rsid w:val="00A166C6"/>
    <w:rsid w:val="00A16B8A"/>
    <w:rsid w:val="00A20E06"/>
    <w:rsid w:val="00A25601"/>
    <w:rsid w:val="00A26CDA"/>
    <w:rsid w:val="00A27704"/>
    <w:rsid w:val="00A27AB0"/>
    <w:rsid w:val="00A32789"/>
    <w:rsid w:val="00A34A1D"/>
    <w:rsid w:val="00A34CF2"/>
    <w:rsid w:val="00A37CE1"/>
    <w:rsid w:val="00A405F8"/>
    <w:rsid w:val="00A446F8"/>
    <w:rsid w:val="00A467AE"/>
    <w:rsid w:val="00A53ED2"/>
    <w:rsid w:val="00A6573B"/>
    <w:rsid w:val="00A65A50"/>
    <w:rsid w:val="00A72490"/>
    <w:rsid w:val="00A75377"/>
    <w:rsid w:val="00A75676"/>
    <w:rsid w:val="00A9171A"/>
    <w:rsid w:val="00A97C81"/>
    <w:rsid w:val="00AA303C"/>
    <w:rsid w:val="00AA36D5"/>
    <w:rsid w:val="00AA424F"/>
    <w:rsid w:val="00AB1080"/>
    <w:rsid w:val="00AB4CE0"/>
    <w:rsid w:val="00AB5E5D"/>
    <w:rsid w:val="00AC1EAB"/>
    <w:rsid w:val="00AC4631"/>
    <w:rsid w:val="00AD3956"/>
    <w:rsid w:val="00AE0FA8"/>
    <w:rsid w:val="00AE3C6C"/>
    <w:rsid w:val="00AF29AF"/>
    <w:rsid w:val="00AF506B"/>
    <w:rsid w:val="00B01B6D"/>
    <w:rsid w:val="00B04E69"/>
    <w:rsid w:val="00B0718C"/>
    <w:rsid w:val="00B1422B"/>
    <w:rsid w:val="00B16645"/>
    <w:rsid w:val="00B173A3"/>
    <w:rsid w:val="00B222BA"/>
    <w:rsid w:val="00B224EB"/>
    <w:rsid w:val="00B2445C"/>
    <w:rsid w:val="00B2475A"/>
    <w:rsid w:val="00B26D49"/>
    <w:rsid w:val="00B27225"/>
    <w:rsid w:val="00B3427F"/>
    <w:rsid w:val="00B37A57"/>
    <w:rsid w:val="00B415E6"/>
    <w:rsid w:val="00B41F86"/>
    <w:rsid w:val="00B44D27"/>
    <w:rsid w:val="00B46544"/>
    <w:rsid w:val="00B501D1"/>
    <w:rsid w:val="00B535A2"/>
    <w:rsid w:val="00B54C29"/>
    <w:rsid w:val="00B8566D"/>
    <w:rsid w:val="00B9793E"/>
    <w:rsid w:val="00BA0C65"/>
    <w:rsid w:val="00BB5989"/>
    <w:rsid w:val="00BB75FA"/>
    <w:rsid w:val="00BC5890"/>
    <w:rsid w:val="00BC7BDA"/>
    <w:rsid w:val="00BD19FB"/>
    <w:rsid w:val="00BD1E1D"/>
    <w:rsid w:val="00BE7A02"/>
    <w:rsid w:val="00BF4F84"/>
    <w:rsid w:val="00BF64EB"/>
    <w:rsid w:val="00BF67BB"/>
    <w:rsid w:val="00C0253E"/>
    <w:rsid w:val="00C05F6D"/>
    <w:rsid w:val="00C12825"/>
    <w:rsid w:val="00C150A6"/>
    <w:rsid w:val="00C208AC"/>
    <w:rsid w:val="00C21E54"/>
    <w:rsid w:val="00C23B9A"/>
    <w:rsid w:val="00C304CC"/>
    <w:rsid w:val="00C30928"/>
    <w:rsid w:val="00C33BB6"/>
    <w:rsid w:val="00C36DE2"/>
    <w:rsid w:val="00C3769C"/>
    <w:rsid w:val="00C45648"/>
    <w:rsid w:val="00C47279"/>
    <w:rsid w:val="00C47A39"/>
    <w:rsid w:val="00C50A92"/>
    <w:rsid w:val="00C57760"/>
    <w:rsid w:val="00C63160"/>
    <w:rsid w:val="00C654A5"/>
    <w:rsid w:val="00C65FC4"/>
    <w:rsid w:val="00C80118"/>
    <w:rsid w:val="00C91523"/>
    <w:rsid w:val="00C97EB8"/>
    <w:rsid w:val="00CA0168"/>
    <w:rsid w:val="00CA1551"/>
    <w:rsid w:val="00CB0533"/>
    <w:rsid w:val="00CB6930"/>
    <w:rsid w:val="00CB73D7"/>
    <w:rsid w:val="00CE5A25"/>
    <w:rsid w:val="00CF19AF"/>
    <w:rsid w:val="00CF7196"/>
    <w:rsid w:val="00CF745C"/>
    <w:rsid w:val="00D00669"/>
    <w:rsid w:val="00D054E3"/>
    <w:rsid w:val="00D13248"/>
    <w:rsid w:val="00D15638"/>
    <w:rsid w:val="00D21427"/>
    <w:rsid w:val="00D24855"/>
    <w:rsid w:val="00D25945"/>
    <w:rsid w:val="00D27093"/>
    <w:rsid w:val="00D27FF6"/>
    <w:rsid w:val="00D325AB"/>
    <w:rsid w:val="00D35BCE"/>
    <w:rsid w:val="00D45944"/>
    <w:rsid w:val="00D5099D"/>
    <w:rsid w:val="00D51CD1"/>
    <w:rsid w:val="00D60B46"/>
    <w:rsid w:val="00D62281"/>
    <w:rsid w:val="00D634F1"/>
    <w:rsid w:val="00D63D30"/>
    <w:rsid w:val="00D64090"/>
    <w:rsid w:val="00D70277"/>
    <w:rsid w:val="00D72E1B"/>
    <w:rsid w:val="00D754B5"/>
    <w:rsid w:val="00D77CF9"/>
    <w:rsid w:val="00D85F21"/>
    <w:rsid w:val="00D9214B"/>
    <w:rsid w:val="00D95E98"/>
    <w:rsid w:val="00DA10CF"/>
    <w:rsid w:val="00DA1B60"/>
    <w:rsid w:val="00DA4D6D"/>
    <w:rsid w:val="00DC19ED"/>
    <w:rsid w:val="00DC632A"/>
    <w:rsid w:val="00DD1B24"/>
    <w:rsid w:val="00DD205E"/>
    <w:rsid w:val="00DD24D3"/>
    <w:rsid w:val="00DD314F"/>
    <w:rsid w:val="00DD3716"/>
    <w:rsid w:val="00DD3800"/>
    <w:rsid w:val="00DD3FF9"/>
    <w:rsid w:val="00DE4378"/>
    <w:rsid w:val="00DF2179"/>
    <w:rsid w:val="00DF2A3B"/>
    <w:rsid w:val="00DF51F2"/>
    <w:rsid w:val="00DF6BFF"/>
    <w:rsid w:val="00DF6C28"/>
    <w:rsid w:val="00DF7063"/>
    <w:rsid w:val="00E174A0"/>
    <w:rsid w:val="00E27550"/>
    <w:rsid w:val="00E3505F"/>
    <w:rsid w:val="00E3531D"/>
    <w:rsid w:val="00E413EE"/>
    <w:rsid w:val="00E42883"/>
    <w:rsid w:val="00E44A22"/>
    <w:rsid w:val="00E5029B"/>
    <w:rsid w:val="00E51E69"/>
    <w:rsid w:val="00E539A6"/>
    <w:rsid w:val="00E54685"/>
    <w:rsid w:val="00E61B42"/>
    <w:rsid w:val="00E7343D"/>
    <w:rsid w:val="00E7579E"/>
    <w:rsid w:val="00E764D0"/>
    <w:rsid w:val="00E85FC2"/>
    <w:rsid w:val="00E876B6"/>
    <w:rsid w:val="00E96FCB"/>
    <w:rsid w:val="00EA094C"/>
    <w:rsid w:val="00EA09B9"/>
    <w:rsid w:val="00EA11D4"/>
    <w:rsid w:val="00EA6543"/>
    <w:rsid w:val="00EC3AF3"/>
    <w:rsid w:val="00EC5368"/>
    <w:rsid w:val="00EC556B"/>
    <w:rsid w:val="00ED130E"/>
    <w:rsid w:val="00ED3DA8"/>
    <w:rsid w:val="00ED43A0"/>
    <w:rsid w:val="00ED6773"/>
    <w:rsid w:val="00EE0ACC"/>
    <w:rsid w:val="00EE5562"/>
    <w:rsid w:val="00EE6AD4"/>
    <w:rsid w:val="00EE7113"/>
    <w:rsid w:val="00EF12AC"/>
    <w:rsid w:val="00EF201B"/>
    <w:rsid w:val="00EF376A"/>
    <w:rsid w:val="00EF4424"/>
    <w:rsid w:val="00F00BEB"/>
    <w:rsid w:val="00F02455"/>
    <w:rsid w:val="00F0517B"/>
    <w:rsid w:val="00F1010F"/>
    <w:rsid w:val="00F15371"/>
    <w:rsid w:val="00F21007"/>
    <w:rsid w:val="00F21E16"/>
    <w:rsid w:val="00F2661B"/>
    <w:rsid w:val="00F3134A"/>
    <w:rsid w:val="00F355C1"/>
    <w:rsid w:val="00F37D11"/>
    <w:rsid w:val="00F412B0"/>
    <w:rsid w:val="00F44947"/>
    <w:rsid w:val="00F51EC8"/>
    <w:rsid w:val="00F55353"/>
    <w:rsid w:val="00F55DC0"/>
    <w:rsid w:val="00F60EE6"/>
    <w:rsid w:val="00F615F4"/>
    <w:rsid w:val="00F61886"/>
    <w:rsid w:val="00F61C0C"/>
    <w:rsid w:val="00F655CC"/>
    <w:rsid w:val="00F70CDC"/>
    <w:rsid w:val="00F7307D"/>
    <w:rsid w:val="00F73463"/>
    <w:rsid w:val="00F81099"/>
    <w:rsid w:val="00F83EB8"/>
    <w:rsid w:val="00F855D1"/>
    <w:rsid w:val="00F90240"/>
    <w:rsid w:val="00F95879"/>
    <w:rsid w:val="00F97428"/>
    <w:rsid w:val="00F97D3A"/>
    <w:rsid w:val="00FA080D"/>
    <w:rsid w:val="00FA2AAE"/>
    <w:rsid w:val="00FA3C4F"/>
    <w:rsid w:val="00FA52C0"/>
    <w:rsid w:val="00FA6BC7"/>
    <w:rsid w:val="00FB003C"/>
    <w:rsid w:val="00FB024F"/>
    <w:rsid w:val="00FB263F"/>
    <w:rsid w:val="00FB2BFE"/>
    <w:rsid w:val="00FB4D01"/>
    <w:rsid w:val="00FB67BF"/>
    <w:rsid w:val="00FB7B95"/>
    <w:rsid w:val="00FC4248"/>
    <w:rsid w:val="00FC4454"/>
    <w:rsid w:val="00FD0775"/>
    <w:rsid w:val="00FD4732"/>
    <w:rsid w:val="00FD6C35"/>
    <w:rsid w:val="00FD7A5B"/>
    <w:rsid w:val="00FE3596"/>
    <w:rsid w:val="00FE79F2"/>
    <w:rsid w:val="00FF0F0F"/>
    <w:rsid w:val="00FF33D5"/>
    <w:rsid w:val="00FF5096"/>
    <w:rsid w:val="00FF5B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C28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rsid w:val="00A12B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12B00"/>
    <w:pPr>
      <w:keepNext/>
      <w:keepLines/>
      <w:spacing w:before="40" w:after="0"/>
      <w:outlineLvl w:val="1"/>
    </w:pPr>
    <w:rPr>
      <w:rFonts w:ascii="Calibri Light" w:eastAsia="Times New Roman" w:hAnsi="Calibri Light" w:cs="Times New Roman"/>
      <w:color w:val="B35E06"/>
      <w:sz w:val="26"/>
      <w:szCs w:val="26"/>
    </w:rPr>
  </w:style>
  <w:style w:type="paragraph" w:styleId="Heading3">
    <w:name w:val="heading 3"/>
    <w:basedOn w:val="Normal"/>
    <w:next w:val="Normal"/>
    <w:link w:val="Heading3Char"/>
    <w:uiPriority w:val="9"/>
    <w:semiHidden/>
    <w:unhideWhenUsed/>
    <w:qFormat/>
    <w:rsid w:val="00A12B00"/>
    <w:pPr>
      <w:keepNext/>
      <w:keepLines/>
      <w:spacing w:before="40" w:after="0"/>
      <w:outlineLvl w:val="2"/>
    </w:pPr>
    <w:rPr>
      <w:rFonts w:ascii="Calibri Light" w:eastAsia="Times New Roman" w:hAnsi="Calibri Light" w:cs="Times New Roman"/>
      <w:color w:val="773F0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A12B00"/>
    <w:pPr>
      <w:keepNext/>
      <w:keepLines/>
      <w:spacing w:before="240" w:after="0"/>
      <w:outlineLvl w:val="0"/>
    </w:pPr>
    <w:rPr>
      <w:rFonts w:ascii="Calibri Light" w:eastAsia="Times New Roman" w:hAnsi="Calibri Light" w:cs="Times New Roman"/>
      <w:color w:val="B35E06"/>
      <w:sz w:val="32"/>
      <w:szCs w:val="32"/>
    </w:rPr>
  </w:style>
  <w:style w:type="paragraph" w:customStyle="1" w:styleId="Heading21">
    <w:name w:val="Heading 21"/>
    <w:basedOn w:val="Normal"/>
    <w:next w:val="Normal"/>
    <w:uiPriority w:val="9"/>
    <w:unhideWhenUsed/>
    <w:qFormat/>
    <w:rsid w:val="00A12B00"/>
    <w:pPr>
      <w:keepNext/>
      <w:keepLines/>
      <w:spacing w:before="40" w:after="0"/>
      <w:outlineLvl w:val="1"/>
    </w:pPr>
    <w:rPr>
      <w:rFonts w:ascii="Calibri Light" w:eastAsia="Times New Roman" w:hAnsi="Calibri Light" w:cs="Times New Roman"/>
      <w:color w:val="B35E06"/>
      <w:sz w:val="26"/>
      <w:szCs w:val="26"/>
    </w:rPr>
  </w:style>
  <w:style w:type="paragraph" w:customStyle="1" w:styleId="Heading31">
    <w:name w:val="Heading 31"/>
    <w:basedOn w:val="Normal"/>
    <w:next w:val="Normal"/>
    <w:uiPriority w:val="9"/>
    <w:unhideWhenUsed/>
    <w:qFormat/>
    <w:rsid w:val="00A12B00"/>
    <w:pPr>
      <w:keepNext/>
      <w:keepLines/>
      <w:spacing w:before="40" w:after="0"/>
      <w:outlineLvl w:val="2"/>
    </w:pPr>
    <w:rPr>
      <w:rFonts w:ascii="Calibri Light" w:eastAsia="Times New Roman" w:hAnsi="Calibri Light" w:cs="Times New Roman"/>
      <w:color w:val="773F04"/>
      <w:sz w:val="24"/>
      <w:szCs w:val="24"/>
    </w:rPr>
  </w:style>
  <w:style w:type="numbering" w:customStyle="1" w:styleId="NoList1">
    <w:name w:val="No List1"/>
    <w:next w:val="NoList"/>
    <w:uiPriority w:val="99"/>
    <w:semiHidden/>
    <w:unhideWhenUsed/>
    <w:rsid w:val="00A12B00"/>
  </w:style>
  <w:style w:type="paragraph" w:styleId="Header">
    <w:name w:val="header"/>
    <w:basedOn w:val="Normal"/>
    <w:link w:val="HeaderChar"/>
    <w:uiPriority w:val="99"/>
    <w:unhideWhenUsed/>
    <w:rsid w:val="00A12B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B00"/>
  </w:style>
  <w:style w:type="paragraph" w:styleId="Footer">
    <w:name w:val="footer"/>
    <w:basedOn w:val="Normal"/>
    <w:link w:val="FooterChar"/>
    <w:uiPriority w:val="99"/>
    <w:unhideWhenUsed/>
    <w:rsid w:val="00A12B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B00"/>
  </w:style>
  <w:style w:type="character" w:customStyle="1" w:styleId="Heading1Char">
    <w:name w:val="Heading 1 Char"/>
    <w:basedOn w:val="DefaultParagraphFont"/>
    <w:link w:val="Heading11"/>
    <w:uiPriority w:val="9"/>
    <w:rsid w:val="00A12B00"/>
    <w:rPr>
      <w:rFonts w:ascii="Calibri Light" w:eastAsia="Times New Roman" w:hAnsi="Calibri Light" w:cs="Times New Roman"/>
      <w:color w:val="B35E06"/>
      <w:sz w:val="32"/>
      <w:szCs w:val="32"/>
    </w:rPr>
  </w:style>
  <w:style w:type="paragraph" w:styleId="ListParagraph">
    <w:name w:val="List Paragraph"/>
    <w:basedOn w:val="Normal"/>
    <w:uiPriority w:val="34"/>
    <w:qFormat/>
    <w:rsid w:val="00A12B00"/>
    <w:pPr>
      <w:ind w:left="720"/>
      <w:contextualSpacing/>
    </w:pPr>
  </w:style>
  <w:style w:type="paragraph" w:customStyle="1" w:styleId="Default">
    <w:name w:val="Default"/>
    <w:rsid w:val="00A12B0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A12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qFormat/>
    <w:rsid w:val="00A12B00"/>
    <w:pPr>
      <w:spacing w:after="200" w:line="240" w:lineRule="auto"/>
    </w:pPr>
    <w:rPr>
      <w:i/>
      <w:iCs/>
      <w:color w:val="323232"/>
      <w:sz w:val="18"/>
      <w:szCs w:val="18"/>
    </w:rPr>
  </w:style>
  <w:style w:type="character" w:customStyle="1" w:styleId="Heading2Char">
    <w:name w:val="Heading 2 Char"/>
    <w:basedOn w:val="DefaultParagraphFont"/>
    <w:link w:val="Heading2"/>
    <w:uiPriority w:val="9"/>
    <w:rsid w:val="00A12B00"/>
    <w:rPr>
      <w:rFonts w:ascii="Calibri Light" w:eastAsia="Times New Roman" w:hAnsi="Calibri Light" w:cs="Times New Roman"/>
      <w:color w:val="B35E06"/>
      <w:sz w:val="26"/>
      <w:szCs w:val="26"/>
    </w:rPr>
  </w:style>
  <w:style w:type="character" w:styleId="CommentReference">
    <w:name w:val="annotation reference"/>
    <w:basedOn w:val="DefaultParagraphFont"/>
    <w:uiPriority w:val="99"/>
    <w:semiHidden/>
    <w:unhideWhenUsed/>
    <w:rsid w:val="00A12B00"/>
    <w:rPr>
      <w:sz w:val="16"/>
      <w:szCs w:val="16"/>
    </w:rPr>
  </w:style>
  <w:style w:type="paragraph" w:styleId="CommentText">
    <w:name w:val="annotation text"/>
    <w:basedOn w:val="Normal"/>
    <w:link w:val="CommentTextChar"/>
    <w:uiPriority w:val="99"/>
    <w:semiHidden/>
    <w:unhideWhenUsed/>
    <w:rsid w:val="00A12B00"/>
    <w:pPr>
      <w:spacing w:line="240" w:lineRule="auto"/>
    </w:pPr>
    <w:rPr>
      <w:sz w:val="20"/>
      <w:szCs w:val="20"/>
    </w:rPr>
  </w:style>
  <w:style w:type="character" w:customStyle="1" w:styleId="CommentTextChar">
    <w:name w:val="Comment Text Char"/>
    <w:basedOn w:val="DefaultParagraphFont"/>
    <w:link w:val="CommentText"/>
    <w:uiPriority w:val="99"/>
    <w:semiHidden/>
    <w:rsid w:val="00A12B00"/>
    <w:rPr>
      <w:sz w:val="20"/>
      <w:szCs w:val="20"/>
    </w:rPr>
  </w:style>
  <w:style w:type="paragraph" w:styleId="CommentSubject">
    <w:name w:val="annotation subject"/>
    <w:basedOn w:val="CommentText"/>
    <w:next w:val="CommentText"/>
    <w:link w:val="CommentSubjectChar"/>
    <w:uiPriority w:val="99"/>
    <w:semiHidden/>
    <w:unhideWhenUsed/>
    <w:rsid w:val="00A12B00"/>
    <w:rPr>
      <w:b/>
      <w:bCs/>
    </w:rPr>
  </w:style>
  <w:style w:type="character" w:customStyle="1" w:styleId="CommentSubjectChar">
    <w:name w:val="Comment Subject Char"/>
    <w:basedOn w:val="CommentTextChar"/>
    <w:link w:val="CommentSubject"/>
    <w:uiPriority w:val="99"/>
    <w:semiHidden/>
    <w:rsid w:val="00A12B00"/>
    <w:rPr>
      <w:b/>
      <w:bCs/>
      <w:sz w:val="20"/>
      <w:szCs w:val="20"/>
    </w:rPr>
  </w:style>
  <w:style w:type="paragraph" w:styleId="BalloonText">
    <w:name w:val="Balloon Text"/>
    <w:basedOn w:val="Normal"/>
    <w:link w:val="BalloonTextChar"/>
    <w:uiPriority w:val="99"/>
    <w:semiHidden/>
    <w:unhideWhenUsed/>
    <w:rsid w:val="00A12B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B00"/>
    <w:rPr>
      <w:rFonts w:ascii="Segoe UI" w:hAnsi="Segoe UI" w:cs="Segoe UI"/>
      <w:sz w:val="18"/>
      <w:szCs w:val="18"/>
    </w:rPr>
  </w:style>
  <w:style w:type="character" w:customStyle="1" w:styleId="Heading3Char">
    <w:name w:val="Heading 3 Char"/>
    <w:basedOn w:val="DefaultParagraphFont"/>
    <w:link w:val="Heading3"/>
    <w:uiPriority w:val="9"/>
    <w:rsid w:val="00A12B00"/>
    <w:rPr>
      <w:rFonts w:ascii="Calibri Light" w:eastAsia="Times New Roman" w:hAnsi="Calibri Light" w:cs="Times New Roman"/>
      <w:color w:val="773F04"/>
      <w:sz w:val="24"/>
      <w:szCs w:val="24"/>
    </w:rPr>
  </w:style>
  <w:style w:type="table" w:customStyle="1" w:styleId="GridTable4-Accent11">
    <w:name w:val="Grid Table 4 - Accent 11"/>
    <w:basedOn w:val="TableNormal"/>
    <w:next w:val="GridTable4-Accent1"/>
    <w:uiPriority w:val="49"/>
    <w:rsid w:val="00A12B00"/>
    <w:pPr>
      <w:spacing w:after="0" w:line="240" w:lineRule="auto"/>
    </w:p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paragraph" w:styleId="FootnoteText">
    <w:name w:val="footnote text"/>
    <w:basedOn w:val="Normal"/>
    <w:link w:val="FootnoteTextChar"/>
    <w:uiPriority w:val="99"/>
    <w:unhideWhenUsed/>
    <w:rsid w:val="00A12B00"/>
    <w:pPr>
      <w:spacing w:after="0" w:line="240" w:lineRule="auto"/>
    </w:pPr>
    <w:rPr>
      <w:sz w:val="20"/>
      <w:szCs w:val="20"/>
    </w:rPr>
  </w:style>
  <w:style w:type="character" w:customStyle="1" w:styleId="FootnoteTextChar">
    <w:name w:val="Footnote Text Char"/>
    <w:basedOn w:val="DefaultParagraphFont"/>
    <w:link w:val="FootnoteText"/>
    <w:uiPriority w:val="99"/>
    <w:rsid w:val="00A12B00"/>
    <w:rPr>
      <w:sz w:val="20"/>
      <w:szCs w:val="20"/>
    </w:rPr>
  </w:style>
  <w:style w:type="character" w:styleId="FootnoteReference">
    <w:name w:val="footnote reference"/>
    <w:basedOn w:val="DefaultParagraphFont"/>
    <w:uiPriority w:val="99"/>
    <w:unhideWhenUsed/>
    <w:rsid w:val="00A12B00"/>
    <w:rPr>
      <w:vertAlign w:val="superscript"/>
    </w:rPr>
  </w:style>
  <w:style w:type="character" w:customStyle="1" w:styleId="Hyperlink1">
    <w:name w:val="Hyperlink1"/>
    <w:basedOn w:val="DefaultParagraphFont"/>
    <w:uiPriority w:val="99"/>
    <w:unhideWhenUsed/>
    <w:rsid w:val="00A12B00"/>
    <w:rPr>
      <w:color w:val="6B9F25"/>
      <w:u w:val="single"/>
    </w:rPr>
  </w:style>
  <w:style w:type="character" w:customStyle="1" w:styleId="UnresolvedMention1">
    <w:name w:val="Unresolved Mention1"/>
    <w:basedOn w:val="DefaultParagraphFont"/>
    <w:uiPriority w:val="99"/>
    <w:unhideWhenUsed/>
    <w:rsid w:val="00A12B00"/>
    <w:rPr>
      <w:color w:val="605E5C"/>
      <w:shd w:val="clear" w:color="auto" w:fill="E1DFDD"/>
    </w:rPr>
  </w:style>
  <w:style w:type="paragraph" w:styleId="NoSpacing">
    <w:name w:val="No Spacing"/>
    <w:uiPriority w:val="1"/>
    <w:qFormat/>
    <w:rsid w:val="00A12B00"/>
    <w:pPr>
      <w:spacing w:after="0" w:line="240" w:lineRule="auto"/>
    </w:pPr>
  </w:style>
  <w:style w:type="table" w:customStyle="1" w:styleId="GridTable1Light-Accent11">
    <w:name w:val="Grid Table 1 Light - Accent 11"/>
    <w:basedOn w:val="TableNormal"/>
    <w:next w:val="GridTable1Light-Accent1"/>
    <w:uiPriority w:val="46"/>
    <w:rsid w:val="00A12B00"/>
    <w:pPr>
      <w:spacing w:after="0" w:line="240" w:lineRule="auto"/>
    </w:pPr>
    <w:tblPr>
      <w:tblStyleRowBandSize w:val="1"/>
      <w:tblStyleColBandSize w:val="1"/>
      <w:tblBorders>
        <w:top w:val="single" w:sz="4" w:space="0" w:color="FBCB9A"/>
        <w:left w:val="single" w:sz="4" w:space="0" w:color="FBCB9A"/>
        <w:bottom w:val="single" w:sz="4" w:space="0" w:color="FBCB9A"/>
        <w:right w:val="single" w:sz="4" w:space="0" w:color="FBCB9A"/>
        <w:insideH w:val="single" w:sz="4" w:space="0" w:color="FBCB9A"/>
        <w:insideV w:val="single" w:sz="4" w:space="0" w:color="FBCB9A"/>
      </w:tblBorders>
    </w:tblPr>
    <w:tblStylePr w:type="firstRow">
      <w:rPr>
        <w:b/>
        <w:bCs/>
      </w:rPr>
      <w:tblPr/>
      <w:tcPr>
        <w:tcBorders>
          <w:bottom w:val="single" w:sz="12" w:space="0" w:color="F9B268"/>
        </w:tcBorders>
      </w:tcPr>
    </w:tblStylePr>
    <w:tblStylePr w:type="lastRow">
      <w:rPr>
        <w:b/>
        <w:bCs/>
      </w:rPr>
      <w:tblPr/>
      <w:tcPr>
        <w:tcBorders>
          <w:top w:val="double" w:sz="2" w:space="0" w:color="F9B268"/>
        </w:tcBorders>
      </w:tcPr>
    </w:tblStylePr>
    <w:tblStylePr w:type="firstCol">
      <w:rPr>
        <w:b/>
        <w:bCs/>
      </w:rPr>
    </w:tblStylePr>
    <w:tblStylePr w:type="lastCol">
      <w:rPr>
        <w:b/>
        <w:bCs/>
      </w:rPr>
    </w:tblStylePr>
  </w:style>
  <w:style w:type="character" w:customStyle="1" w:styleId="Heading1Char1">
    <w:name w:val="Heading 1 Char1"/>
    <w:basedOn w:val="DefaultParagraphFont"/>
    <w:link w:val="Heading1"/>
    <w:uiPriority w:val="9"/>
    <w:rsid w:val="00A12B0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12B00"/>
    <w:pPr>
      <w:outlineLvl w:val="9"/>
    </w:pPr>
    <w:rPr>
      <w:lang w:val="en-US"/>
    </w:rPr>
  </w:style>
  <w:style w:type="paragraph" w:styleId="TOC1">
    <w:name w:val="toc 1"/>
    <w:basedOn w:val="Normal"/>
    <w:next w:val="Normal"/>
    <w:autoRedefine/>
    <w:uiPriority w:val="39"/>
    <w:unhideWhenUsed/>
    <w:rsid w:val="00D27093"/>
    <w:pPr>
      <w:tabs>
        <w:tab w:val="left" w:pos="660"/>
        <w:tab w:val="right" w:leader="dot" w:pos="9016"/>
      </w:tabs>
      <w:spacing w:before="240" w:after="100"/>
    </w:pPr>
  </w:style>
  <w:style w:type="paragraph" w:styleId="TOC2">
    <w:name w:val="toc 2"/>
    <w:basedOn w:val="Normal"/>
    <w:next w:val="Normal"/>
    <w:autoRedefine/>
    <w:uiPriority w:val="39"/>
    <w:unhideWhenUsed/>
    <w:rsid w:val="00A12B00"/>
    <w:pPr>
      <w:spacing w:after="100"/>
      <w:ind w:left="220"/>
    </w:pPr>
  </w:style>
  <w:style w:type="paragraph" w:styleId="TOC3">
    <w:name w:val="toc 3"/>
    <w:basedOn w:val="Normal"/>
    <w:next w:val="Normal"/>
    <w:autoRedefine/>
    <w:uiPriority w:val="39"/>
    <w:unhideWhenUsed/>
    <w:rsid w:val="00A12B00"/>
    <w:pPr>
      <w:spacing w:after="100"/>
      <w:ind w:left="440"/>
    </w:pPr>
  </w:style>
  <w:style w:type="table" w:customStyle="1" w:styleId="GridTable2-Accent11">
    <w:name w:val="Grid Table 2 - Accent 11"/>
    <w:basedOn w:val="TableNormal"/>
    <w:next w:val="GridTable2-Accent1"/>
    <w:uiPriority w:val="47"/>
    <w:rsid w:val="00A12B00"/>
    <w:pPr>
      <w:spacing w:after="0" w:line="240" w:lineRule="auto"/>
    </w:p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paragraph" w:customStyle="1" w:styleId="subsection">
    <w:name w:val="subsection"/>
    <w:basedOn w:val="Normal"/>
    <w:rsid w:val="00A12B0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A12B0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A12B0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1">
    <w:name w:val="Heading 2 Char1"/>
    <w:basedOn w:val="DefaultParagraphFont"/>
    <w:uiPriority w:val="9"/>
    <w:semiHidden/>
    <w:rsid w:val="00A12B00"/>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A12B00"/>
    <w:rPr>
      <w:rFonts w:asciiTheme="majorHAnsi" w:eastAsiaTheme="majorEastAsia" w:hAnsiTheme="majorHAnsi" w:cstheme="majorBidi"/>
      <w:color w:val="1F3763" w:themeColor="accent1" w:themeShade="7F"/>
      <w:sz w:val="24"/>
      <w:szCs w:val="24"/>
    </w:rPr>
  </w:style>
  <w:style w:type="table" w:styleId="GridTable4-Accent1">
    <w:name w:val="Grid Table 4 Accent 1"/>
    <w:basedOn w:val="TableNormal"/>
    <w:uiPriority w:val="49"/>
    <w:rsid w:val="00A12B0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12B00"/>
    <w:rPr>
      <w:color w:val="0563C1" w:themeColor="hyperlink"/>
      <w:u w:val="single"/>
    </w:rPr>
  </w:style>
  <w:style w:type="table" w:styleId="GridTable1Light-Accent1">
    <w:name w:val="Grid Table 1 Light Accent 1"/>
    <w:basedOn w:val="TableNormal"/>
    <w:uiPriority w:val="46"/>
    <w:rsid w:val="00A12B0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A12B00"/>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uiPriority w:val="35"/>
    <w:unhideWhenUsed/>
    <w:qFormat/>
    <w:rsid w:val="00DD205E"/>
    <w:pPr>
      <w:spacing w:after="200" w:line="240" w:lineRule="auto"/>
    </w:pPr>
    <w:rPr>
      <w:i/>
      <w:iCs/>
      <w:color w:val="44546A" w:themeColor="text2"/>
      <w:sz w:val="18"/>
      <w:szCs w:val="18"/>
    </w:rPr>
  </w:style>
  <w:style w:type="paragraph" w:styleId="EndnoteText">
    <w:name w:val="endnote text"/>
    <w:basedOn w:val="Normal"/>
    <w:link w:val="EndnoteTextChar"/>
    <w:uiPriority w:val="99"/>
    <w:semiHidden/>
    <w:unhideWhenUsed/>
    <w:rsid w:val="00DF6C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6C28"/>
    <w:rPr>
      <w:sz w:val="20"/>
      <w:szCs w:val="20"/>
    </w:rPr>
  </w:style>
  <w:style w:type="character" w:styleId="EndnoteReference">
    <w:name w:val="endnote reference"/>
    <w:basedOn w:val="DefaultParagraphFont"/>
    <w:uiPriority w:val="99"/>
    <w:semiHidden/>
    <w:unhideWhenUsed/>
    <w:rsid w:val="00DF6C28"/>
    <w:rPr>
      <w:vertAlign w:val="superscript"/>
    </w:rPr>
  </w:style>
  <w:style w:type="character" w:styleId="FollowedHyperlink">
    <w:name w:val="FollowedHyperlink"/>
    <w:basedOn w:val="DefaultParagraphFont"/>
    <w:uiPriority w:val="99"/>
    <w:semiHidden/>
    <w:unhideWhenUsed/>
    <w:rsid w:val="00000726"/>
    <w:rPr>
      <w:color w:val="954F72" w:themeColor="followedHyperlink"/>
      <w:u w:val="single"/>
    </w:rPr>
  </w:style>
  <w:style w:type="paragraph" w:styleId="Bibliography">
    <w:name w:val="Bibliography"/>
    <w:basedOn w:val="Normal"/>
    <w:next w:val="Normal"/>
    <w:uiPriority w:val="37"/>
    <w:unhideWhenUsed/>
    <w:rsid w:val="00C304CC"/>
  </w:style>
  <w:style w:type="paragraph" w:styleId="TableofFigures">
    <w:name w:val="table of figures"/>
    <w:basedOn w:val="Normal"/>
    <w:next w:val="Normal"/>
    <w:uiPriority w:val="99"/>
    <w:unhideWhenUsed/>
    <w:rsid w:val="000613AB"/>
    <w:pPr>
      <w:spacing w:after="0"/>
    </w:pPr>
  </w:style>
  <w:style w:type="character" w:styleId="Emphasis">
    <w:name w:val="Emphasis"/>
    <w:basedOn w:val="DefaultParagraphFont"/>
    <w:uiPriority w:val="20"/>
    <w:qFormat/>
    <w:rsid w:val="00246EB1"/>
    <w:rPr>
      <w:i/>
      <w:iCs/>
    </w:rPr>
  </w:style>
  <w:style w:type="paragraph" w:styleId="BodyText">
    <w:name w:val="Body Text"/>
    <w:link w:val="BodyTextChar"/>
    <w:qFormat/>
    <w:rsid w:val="00615AAC"/>
    <w:pPr>
      <w:suppressAutoHyphens/>
      <w:spacing w:before="280" w:after="140" w:line="336" w:lineRule="auto"/>
    </w:pPr>
    <w:rPr>
      <w:rFonts w:ascii="Arial" w:eastAsia="Times" w:hAnsi="Arial" w:cs="Arial"/>
      <w:sz w:val="24"/>
      <w:szCs w:val="24"/>
      <w:lang w:eastAsia="en-AU"/>
    </w:rPr>
  </w:style>
  <w:style w:type="character" w:customStyle="1" w:styleId="BodyTextChar">
    <w:name w:val="Body Text Char"/>
    <w:basedOn w:val="DefaultParagraphFont"/>
    <w:link w:val="BodyText"/>
    <w:rsid w:val="00615AAC"/>
    <w:rPr>
      <w:rFonts w:ascii="Arial" w:eastAsia="Times" w:hAnsi="Arial" w:cs="Arial"/>
      <w:sz w:val="24"/>
      <w:szCs w:val="24"/>
      <w:lang w:eastAsia="en-AU"/>
    </w:rPr>
  </w:style>
  <w:style w:type="paragraph" w:customStyle="1" w:styleId="ListBulletLevel1">
    <w:name w:val="List Bullet Level 1"/>
    <w:basedOn w:val="BodyText"/>
    <w:link w:val="ListBulletLevel1Char"/>
    <w:qFormat/>
    <w:rsid w:val="00615AAC"/>
    <w:pPr>
      <w:numPr>
        <w:numId w:val="43"/>
      </w:numPr>
      <w:spacing w:before="140"/>
    </w:pPr>
    <w:rPr>
      <w:rFonts w:eastAsia="Times New Roman"/>
    </w:rPr>
  </w:style>
  <w:style w:type="paragraph" w:customStyle="1" w:styleId="ListBulletLevel2">
    <w:name w:val="List Bullet Level 2"/>
    <w:basedOn w:val="ListBulletLevel1"/>
    <w:qFormat/>
    <w:rsid w:val="00615AAC"/>
    <w:pPr>
      <w:numPr>
        <w:ilvl w:val="1"/>
      </w:numPr>
      <w:tabs>
        <w:tab w:val="clear" w:pos="1049"/>
        <w:tab w:val="left" w:pos="454"/>
      </w:tabs>
      <w:spacing w:before="0"/>
      <w:ind w:left="1080" w:hanging="360"/>
    </w:pPr>
  </w:style>
  <w:style w:type="character" w:customStyle="1" w:styleId="ListBulletLevel1Char">
    <w:name w:val="List Bullet Level 1 Char"/>
    <w:link w:val="ListBulletLevel1"/>
    <w:rsid w:val="00615AAC"/>
    <w:rPr>
      <w:rFonts w:ascii="Arial" w:eastAsia="Times New Roman" w:hAnsi="Arial" w:cs="Arial"/>
      <w:sz w:val="24"/>
      <w:szCs w:val="24"/>
      <w:lang w:eastAsia="en-AU"/>
    </w:rPr>
  </w:style>
  <w:style w:type="paragraph" w:customStyle="1" w:styleId="Heading4NoNumbers">
    <w:name w:val="Heading4 No Numbers"/>
    <w:basedOn w:val="Normal"/>
    <w:next w:val="BodyText"/>
    <w:link w:val="Heading4NoNumbersChar"/>
    <w:qFormat/>
    <w:rsid w:val="00FB7B95"/>
    <w:pPr>
      <w:keepNext/>
      <w:keepLines/>
      <w:numPr>
        <w:ilvl w:val="3"/>
      </w:numPr>
      <w:spacing w:before="280" w:after="0" w:line="240" w:lineRule="auto"/>
      <w:outlineLvl w:val="3"/>
    </w:pPr>
    <w:rPr>
      <w:rFonts w:ascii="Arial" w:eastAsia="Times" w:hAnsi="Arial" w:cs="Lucida Sans Unicode"/>
      <w:b/>
      <w:color w:val="2C476E"/>
      <w:kern w:val="28"/>
      <w:sz w:val="24"/>
      <w:lang w:eastAsia="en-AU"/>
    </w:rPr>
  </w:style>
  <w:style w:type="character" w:customStyle="1" w:styleId="Heading4NoNumbersChar">
    <w:name w:val="Heading4 No Numbers Char"/>
    <w:link w:val="Heading4NoNumbers"/>
    <w:rsid w:val="00FB7B95"/>
    <w:rPr>
      <w:rFonts w:ascii="Arial" w:eastAsia="Times" w:hAnsi="Arial" w:cs="Lucida Sans Unicode"/>
      <w:b/>
      <w:color w:val="2C476E"/>
      <w:kern w:val="28"/>
      <w:sz w:val="24"/>
      <w:lang w:eastAsia="en-AU"/>
    </w:rPr>
  </w:style>
  <w:style w:type="character" w:customStyle="1" w:styleId="UnresolvedMention">
    <w:name w:val="Unresolved Mention"/>
    <w:basedOn w:val="DefaultParagraphFont"/>
    <w:uiPriority w:val="99"/>
    <w:semiHidden/>
    <w:unhideWhenUsed/>
    <w:rsid w:val="00220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7858">
      <w:bodyDiv w:val="1"/>
      <w:marLeft w:val="0"/>
      <w:marRight w:val="0"/>
      <w:marTop w:val="0"/>
      <w:marBottom w:val="0"/>
      <w:divBdr>
        <w:top w:val="none" w:sz="0" w:space="0" w:color="auto"/>
        <w:left w:val="none" w:sz="0" w:space="0" w:color="auto"/>
        <w:bottom w:val="none" w:sz="0" w:space="0" w:color="auto"/>
        <w:right w:val="none" w:sz="0" w:space="0" w:color="auto"/>
      </w:divBdr>
    </w:div>
    <w:div w:id="75826590">
      <w:bodyDiv w:val="1"/>
      <w:marLeft w:val="0"/>
      <w:marRight w:val="0"/>
      <w:marTop w:val="0"/>
      <w:marBottom w:val="0"/>
      <w:divBdr>
        <w:top w:val="none" w:sz="0" w:space="0" w:color="auto"/>
        <w:left w:val="none" w:sz="0" w:space="0" w:color="auto"/>
        <w:bottom w:val="none" w:sz="0" w:space="0" w:color="auto"/>
        <w:right w:val="none" w:sz="0" w:space="0" w:color="auto"/>
      </w:divBdr>
    </w:div>
    <w:div w:id="218169522">
      <w:bodyDiv w:val="1"/>
      <w:marLeft w:val="0"/>
      <w:marRight w:val="0"/>
      <w:marTop w:val="0"/>
      <w:marBottom w:val="0"/>
      <w:divBdr>
        <w:top w:val="none" w:sz="0" w:space="0" w:color="auto"/>
        <w:left w:val="none" w:sz="0" w:space="0" w:color="auto"/>
        <w:bottom w:val="none" w:sz="0" w:space="0" w:color="auto"/>
        <w:right w:val="none" w:sz="0" w:space="0" w:color="auto"/>
      </w:divBdr>
    </w:div>
    <w:div w:id="262418751">
      <w:bodyDiv w:val="1"/>
      <w:marLeft w:val="0"/>
      <w:marRight w:val="0"/>
      <w:marTop w:val="0"/>
      <w:marBottom w:val="0"/>
      <w:divBdr>
        <w:top w:val="none" w:sz="0" w:space="0" w:color="auto"/>
        <w:left w:val="none" w:sz="0" w:space="0" w:color="auto"/>
        <w:bottom w:val="none" w:sz="0" w:space="0" w:color="auto"/>
        <w:right w:val="none" w:sz="0" w:space="0" w:color="auto"/>
      </w:divBdr>
    </w:div>
    <w:div w:id="264001397">
      <w:bodyDiv w:val="1"/>
      <w:marLeft w:val="0"/>
      <w:marRight w:val="0"/>
      <w:marTop w:val="0"/>
      <w:marBottom w:val="0"/>
      <w:divBdr>
        <w:top w:val="none" w:sz="0" w:space="0" w:color="auto"/>
        <w:left w:val="none" w:sz="0" w:space="0" w:color="auto"/>
        <w:bottom w:val="none" w:sz="0" w:space="0" w:color="auto"/>
        <w:right w:val="none" w:sz="0" w:space="0" w:color="auto"/>
      </w:divBdr>
    </w:div>
    <w:div w:id="320544109">
      <w:bodyDiv w:val="1"/>
      <w:marLeft w:val="0"/>
      <w:marRight w:val="0"/>
      <w:marTop w:val="0"/>
      <w:marBottom w:val="0"/>
      <w:divBdr>
        <w:top w:val="none" w:sz="0" w:space="0" w:color="auto"/>
        <w:left w:val="none" w:sz="0" w:space="0" w:color="auto"/>
        <w:bottom w:val="none" w:sz="0" w:space="0" w:color="auto"/>
        <w:right w:val="none" w:sz="0" w:space="0" w:color="auto"/>
      </w:divBdr>
    </w:div>
    <w:div w:id="350423911">
      <w:bodyDiv w:val="1"/>
      <w:marLeft w:val="0"/>
      <w:marRight w:val="0"/>
      <w:marTop w:val="0"/>
      <w:marBottom w:val="0"/>
      <w:divBdr>
        <w:top w:val="none" w:sz="0" w:space="0" w:color="auto"/>
        <w:left w:val="none" w:sz="0" w:space="0" w:color="auto"/>
        <w:bottom w:val="none" w:sz="0" w:space="0" w:color="auto"/>
        <w:right w:val="none" w:sz="0" w:space="0" w:color="auto"/>
      </w:divBdr>
    </w:div>
    <w:div w:id="360518681">
      <w:bodyDiv w:val="1"/>
      <w:marLeft w:val="0"/>
      <w:marRight w:val="0"/>
      <w:marTop w:val="0"/>
      <w:marBottom w:val="0"/>
      <w:divBdr>
        <w:top w:val="none" w:sz="0" w:space="0" w:color="auto"/>
        <w:left w:val="none" w:sz="0" w:space="0" w:color="auto"/>
        <w:bottom w:val="none" w:sz="0" w:space="0" w:color="auto"/>
        <w:right w:val="none" w:sz="0" w:space="0" w:color="auto"/>
      </w:divBdr>
    </w:div>
    <w:div w:id="567770997">
      <w:bodyDiv w:val="1"/>
      <w:marLeft w:val="0"/>
      <w:marRight w:val="0"/>
      <w:marTop w:val="0"/>
      <w:marBottom w:val="0"/>
      <w:divBdr>
        <w:top w:val="none" w:sz="0" w:space="0" w:color="auto"/>
        <w:left w:val="none" w:sz="0" w:space="0" w:color="auto"/>
        <w:bottom w:val="none" w:sz="0" w:space="0" w:color="auto"/>
        <w:right w:val="none" w:sz="0" w:space="0" w:color="auto"/>
      </w:divBdr>
    </w:div>
    <w:div w:id="652680991">
      <w:bodyDiv w:val="1"/>
      <w:marLeft w:val="0"/>
      <w:marRight w:val="0"/>
      <w:marTop w:val="0"/>
      <w:marBottom w:val="0"/>
      <w:divBdr>
        <w:top w:val="none" w:sz="0" w:space="0" w:color="auto"/>
        <w:left w:val="none" w:sz="0" w:space="0" w:color="auto"/>
        <w:bottom w:val="none" w:sz="0" w:space="0" w:color="auto"/>
        <w:right w:val="none" w:sz="0" w:space="0" w:color="auto"/>
      </w:divBdr>
    </w:div>
    <w:div w:id="653995903">
      <w:bodyDiv w:val="1"/>
      <w:marLeft w:val="0"/>
      <w:marRight w:val="0"/>
      <w:marTop w:val="0"/>
      <w:marBottom w:val="0"/>
      <w:divBdr>
        <w:top w:val="none" w:sz="0" w:space="0" w:color="auto"/>
        <w:left w:val="none" w:sz="0" w:space="0" w:color="auto"/>
        <w:bottom w:val="none" w:sz="0" w:space="0" w:color="auto"/>
        <w:right w:val="none" w:sz="0" w:space="0" w:color="auto"/>
      </w:divBdr>
    </w:div>
    <w:div w:id="721251471">
      <w:bodyDiv w:val="1"/>
      <w:marLeft w:val="0"/>
      <w:marRight w:val="0"/>
      <w:marTop w:val="0"/>
      <w:marBottom w:val="0"/>
      <w:divBdr>
        <w:top w:val="none" w:sz="0" w:space="0" w:color="auto"/>
        <w:left w:val="none" w:sz="0" w:space="0" w:color="auto"/>
        <w:bottom w:val="none" w:sz="0" w:space="0" w:color="auto"/>
        <w:right w:val="none" w:sz="0" w:space="0" w:color="auto"/>
      </w:divBdr>
    </w:div>
    <w:div w:id="756901961">
      <w:bodyDiv w:val="1"/>
      <w:marLeft w:val="0"/>
      <w:marRight w:val="0"/>
      <w:marTop w:val="0"/>
      <w:marBottom w:val="0"/>
      <w:divBdr>
        <w:top w:val="none" w:sz="0" w:space="0" w:color="auto"/>
        <w:left w:val="none" w:sz="0" w:space="0" w:color="auto"/>
        <w:bottom w:val="none" w:sz="0" w:space="0" w:color="auto"/>
        <w:right w:val="none" w:sz="0" w:space="0" w:color="auto"/>
      </w:divBdr>
    </w:div>
    <w:div w:id="788276382">
      <w:bodyDiv w:val="1"/>
      <w:marLeft w:val="0"/>
      <w:marRight w:val="0"/>
      <w:marTop w:val="0"/>
      <w:marBottom w:val="0"/>
      <w:divBdr>
        <w:top w:val="none" w:sz="0" w:space="0" w:color="auto"/>
        <w:left w:val="none" w:sz="0" w:space="0" w:color="auto"/>
        <w:bottom w:val="none" w:sz="0" w:space="0" w:color="auto"/>
        <w:right w:val="none" w:sz="0" w:space="0" w:color="auto"/>
      </w:divBdr>
    </w:div>
    <w:div w:id="815226839">
      <w:bodyDiv w:val="1"/>
      <w:marLeft w:val="0"/>
      <w:marRight w:val="0"/>
      <w:marTop w:val="0"/>
      <w:marBottom w:val="0"/>
      <w:divBdr>
        <w:top w:val="none" w:sz="0" w:space="0" w:color="auto"/>
        <w:left w:val="none" w:sz="0" w:space="0" w:color="auto"/>
        <w:bottom w:val="none" w:sz="0" w:space="0" w:color="auto"/>
        <w:right w:val="none" w:sz="0" w:space="0" w:color="auto"/>
      </w:divBdr>
    </w:div>
    <w:div w:id="918174214">
      <w:bodyDiv w:val="1"/>
      <w:marLeft w:val="0"/>
      <w:marRight w:val="0"/>
      <w:marTop w:val="0"/>
      <w:marBottom w:val="0"/>
      <w:divBdr>
        <w:top w:val="none" w:sz="0" w:space="0" w:color="auto"/>
        <w:left w:val="none" w:sz="0" w:space="0" w:color="auto"/>
        <w:bottom w:val="none" w:sz="0" w:space="0" w:color="auto"/>
        <w:right w:val="none" w:sz="0" w:space="0" w:color="auto"/>
      </w:divBdr>
    </w:div>
    <w:div w:id="1001856614">
      <w:bodyDiv w:val="1"/>
      <w:marLeft w:val="0"/>
      <w:marRight w:val="0"/>
      <w:marTop w:val="0"/>
      <w:marBottom w:val="0"/>
      <w:divBdr>
        <w:top w:val="none" w:sz="0" w:space="0" w:color="auto"/>
        <w:left w:val="none" w:sz="0" w:space="0" w:color="auto"/>
        <w:bottom w:val="none" w:sz="0" w:space="0" w:color="auto"/>
        <w:right w:val="none" w:sz="0" w:space="0" w:color="auto"/>
      </w:divBdr>
    </w:div>
    <w:div w:id="1007637400">
      <w:bodyDiv w:val="1"/>
      <w:marLeft w:val="0"/>
      <w:marRight w:val="0"/>
      <w:marTop w:val="0"/>
      <w:marBottom w:val="0"/>
      <w:divBdr>
        <w:top w:val="none" w:sz="0" w:space="0" w:color="auto"/>
        <w:left w:val="none" w:sz="0" w:space="0" w:color="auto"/>
        <w:bottom w:val="none" w:sz="0" w:space="0" w:color="auto"/>
        <w:right w:val="none" w:sz="0" w:space="0" w:color="auto"/>
      </w:divBdr>
    </w:div>
    <w:div w:id="1014459207">
      <w:bodyDiv w:val="1"/>
      <w:marLeft w:val="0"/>
      <w:marRight w:val="0"/>
      <w:marTop w:val="0"/>
      <w:marBottom w:val="0"/>
      <w:divBdr>
        <w:top w:val="none" w:sz="0" w:space="0" w:color="auto"/>
        <w:left w:val="none" w:sz="0" w:space="0" w:color="auto"/>
        <w:bottom w:val="none" w:sz="0" w:space="0" w:color="auto"/>
        <w:right w:val="none" w:sz="0" w:space="0" w:color="auto"/>
      </w:divBdr>
    </w:div>
    <w:div w:id="1033772521">
      <w:bodyDiv w:val="1"/>
      <w:marLeft w:val="0"/>
      <w:marRight w:val="0"/>
      <w:marTop w:val="0"/>
      <w:marBottom w:val="0"/>
      <w:divBdr>
        <w:top w:val="none" w:sz="0" w:space="0" w:color="auto"/>
        <w:left w:val="none" w:sz="0" w:space="0" w:color="auto"/>
        <w:bottom w:val="none" w:sz="0" w:space="0" w:color="auto"/>
        <w:right w:val="none" w:sz="0" w:space="0" w:color="auto"/>
      </w:divBdr>
    </w:div>
    <w:div w:id="1173688285">
      <w:bodyDiv w:val="1"/>
      <w:marLeft w:val="0"/>
      <w:marRight w:val="0"/>
      <w:marTop w:val="0"/>
      <w:marBottom w:val="0"/>
      <w:divBdr>
        <w:top w:val="none" w:sz="0" w:space="0" w:color="auto"/>
        <w:left w:val="none" w:sz="0" w:space="0" w:color="auto"/>
        <w:bottom w:val="none" w:sz="0" w:space="0" w:color="auto"/>
        <w:right w:val="none" w:sz="0" w:space="0" w:color="auto"/>
      </w:divBdr>
    </w:div>
    <w:div w:id="1257707500">
      <w:bodyDiv w:val="1"/>
      <w:marLeft w:val="0"/>
      <w:marRight w:val="0"/>
      <w:marTop w:val="0"/>
      <w:marBottom w:val="0"/>
      <w:divBdr>
        <w:top w:val="none" w:sz="0" w:space="0" w:color="auto"/>
        <w:left w:val="none" w:sz="0" w:space="0" w:color="auto"/>
        <w:bottom w:val="none" w:sz="0" w:space="0" w:color="auto"/>
        <w:right w:val="none" w:sz="0" w:space="0" w:color="auto"/>
      </w:divBdr>
    </w:div>
    <w:div w:id="1275792201">
      <w:bodyDiv w:val="1"/>
      <w:marLeft w:val="0"/>
      <w:marRight w:val="0"/>
      <w:marTop w:val="0"/>
      <w:marBottom w:val="0"/>
      <w:divBdr>
        <w:top w:val="none" w:sz="0" w:space="0" w:color="auto"/>
        <w:left w:val="none" w:sz="0" w:space="0" w:color="auto"/>
        <w:bottom w:val="none" w:sz="0" w:space="0" w:color="auto"/>
        <w:right w:val="none" w:sz="0" w:space="0" w:color="auto"/>
      </w:divBdr>
    </w:div>
    <w:div w:id="1337608883">
      <w:bodyDiv w:val="1"/>
      <w:marLeft w:val="0"/>
      <w:marRight w:val="0"/>
      <w:marTop w:val="0"/>
      <w:marBottom w:val="0"/>
      <w:divBdr>
        <w:top w:val="none" w:sz="0" w:space="0" w:color="auto"/>
        <w:left w:val="none" w:sz="0" w:space="0" w:color="auto"/>
        <w:bottom w:val="none" w:sz="0" w:space="0" w:color="auto"/>
        <w:right w:val="none" w:sz="0" w:space="0" w:color="auto"/>
      </w:divBdr>
    </w:div>
    <w:div w:id="1367563147">
      <w:bodyDiv w:val="1"/>
      <w:marLeft w:val="0"/>
      <w:marRight w:val="0"/>
      <w:marTop w:val="0"/>
      <w:marBottom w:val="0"/>
      <w:divBdr>
        <w:top w:val="none" w:sz="0" w:space="0" w:color="auto"/>
        <w:left w:val="none" w:sz="0" w:space="0" w:color="auto"/>
        <w:bottom w:val="none" w:sz="0" w:space="0" w:color="auto"/>
        <w:right w:val="none" w:sz="0" w:space="0" w:color="auto"/>
      </w:divBdr>
    </w:div>
    <w:div w:id="1501387084">
      <w:bodyDiv w:val="1"/>
      <w:marLeft w:val="0"/>
      <w:marRight w:val="0"/>
      <w:marTop w:val="0"/>
      <w:marBottom w:val="0"/>
      <w:divBdr>
        <w:top w:val="none" w:sz="0" w:space="0" w:color="auto"/>
        <w:left w:val="none" w:sz="0" w:space="0" w:color="auto"/>
        <w:bottom w:val="none" w:sz="0" w:space="0" w:color="auto"/>
        <w:right w:val="none" w:sz="0" w:space="0" w:color="auto"/>
      </w:divBdr>
    </w:div>
    <w:div w:id="1533305025">
      <w:bodyDiv w:val="1"/>
      <w:marLeft w:val="0"/>
      <w:marRight w:val="0"/>
      <w:marTop w:val="0"/>
      <w:marBottom w:val="0"/>
      <w:divBdr>
        <w:top w:val="none" w:sz="0" w:space="0" w:color="auto"/>
        <w:left w:val="none" w:sz="0" w:space="0" w:color="auto"/>
        <w:bottom w:val="none" w:sz="0" w:space="0" w:color="auto"/>
        <w:right w:val="none" w:sz="0" w:space="0" w:color="auto"/>
      </w:divBdr>
    </w:div>
    <w:div w:id="1582445775">
      <w:bodyDiv w:val="1"/>
      <w:marLeft w:val="0"/>
      <w:marRight w:val="0"/>
      <w:marTop w:val="0"/>
      <w:marBottom w:val="0"/>
      <w:divBdr>
        <w:top w:val="none" w:sz="0" w:space="0" w:color="auto"/>
        <w:left w:val="none" w:sz="0" w:space="0" w:color="auto"/>
        <w:bottom w:val="none" w:sz="0" w:space="0" w:color="auto"/>
        <w:right w:val="none" w:sz="0" w:space="0" w:color="auto"/>
      </w:divBdr>
    </w:div>
    <w:div w:id="1663240937">
      <w:bodyDiv w:val="1"/>
      <w:marLeft w:val="0"/>
      <w:marRight w:val="0"/>
      <w:marTop w:val="0"/>
      <w:marBottom w:val="0"/>
      <w:divBdr>
        <w:top w:val="none" w:sz="0" w:space="0" w:color="auto"/>
        <w:left w:val="none" w:sz="0" w:space="0" w:color="auto"/>
        <w:bottom w:val="none" w:sz="0" w:space="0" w:color="auto"/>
        <w:right w:val="none" w:sz="0" w:space="0" w:color="auto"/>
      </w:divBdr>
    </w:div>
    <w:div w:id="1795365902">
      <w:bodyDiv w:val="1"/>
      <w:marLeft w:val="0"/>
      <w:marRight w:val="0"/>
      <w:marTop w:val="0"/>
      <w:marBottom w:val="0"/>
      <w:divBdr>
        <w:top w:val="none" w:sz="0" w:space="0" w:color="auto"/>
        <w:left w:val="none" w:sz="0" w:space="0" w:color="auto"/>
        <w:bottom w:val="none" w:sz="0" w:space="0" w:color="auto"/>
        <w:right w:val="none" w:sz="0" w:space="0" w:color="auto"/>
      </w:divBdr>
    </w:div>
    <w:div w:id="1804614643">
      <w:bodyDiv w:val="1"/>
      <w:marLeft w:val="0"/>
      <w:marRight w:val="0"/>
      <w:marTop w:val="0"/>
      <w:marBottom w:val="0"/>
      <w:divBdr>
        <w:top w:val="none" w:sz="0" w:space="0" w:color="auto"/>
        <w:left w:val="none" w:sz="0" w:space="0" w:color="auto"/>
        <w:bottom w:val="none" w:sz="0" w:space="0" w:color="auto"/>
        <w:right w:val="none" w:sz="0" w:space="0" w:color="auto"/>
      </w:divBdr>
    </w:div>
    <w:div w:id="1814978804">
      <w:bodyDiv w:val="1"/>
      <w:marLeft w:val="0"/>
      <w:marRight w:val="0"/>
      <w:marTop w:val="0"/>
      <w:marBottom w:val="0"/>
      <w:divBdr>
        <w:top w:val="none" w:sz="0" w:space="0" w:color="auto"/>
        <w:left w:val="none" w:sz="0" w:space="0" w:color="auto"/>
        <w:bottom w:val="none" w:sz="0" w:space="0" w:color="auto"/>
        <w:right w:val="none" w:sz="0" w:space="0" w:color="auto"/>
      </w:divBdr>
    </w:div>
    <w:div w:id="1899198752">
      <w:bodyDiv w:val="1"/>
      <w:marLeft w:val="0"/>
      <w:marRight w:val="0"/>
      <w:marTop w:val="0"/>
      <w:marBottom w:val="0"/>
      <w:divBdr>
        <w:top w:val="none" w:sz="0" w:space="0" w:color="auto"/>
        <w:left w:val="none" w:sz="0" w:space="0" w:color="auto"/>
        <w:bottom w:val="none" w:sz="0" w:space="0" w:color="auto"/>
        <w:right w:val="none" w:sz="0" w:space="0" w:color="auto"/>
      </w:divBdr>
    </w:div>
    <w:div w:id="2052882078">
      <w:bodyDiv w:val="1"/>
      <w:marLeft w:val="0"/>
      <w:marRight w:val="0"/>
      <w:marTop w:val="0"/>
      <w:marBottom w:val="0"/>
      <w:divBdr>
        <w:top w:val="none" w:sz="0" w:space="0" w:color="auto"/>
        <w:left w:val="none" w:sz="0" w:space="0" w:color="auto"/>
        <w:bottom w:val="none" w:sz="0" w:space="0" w:color="auto"/>
        <w:right w:val="none" w:sz="0" w:space="0" w:color="auto"/>
      </w:divBdr>
    </w:div>
    <w:div w:id="213490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kpmgaust-my.sharepoint.com/personal/hwilson7_kpmg_com_au/Documents/Desktop/For%20PJ%20Review%20-%20EATR%20Early%20Assessment%20RIS%20-%20December%202021.docx" TargetMode="External"/><Relationship Id="rId26" Type="http://schemas.openxmlformats.org/officeDocument/2006/relationships/hyperlink" Target="https://kpmgaust-my.sharepoint.com/personal/hwilson7_kpmg_com_au/Documents/Desktop/For%20PJ%20Review%20-%20EATR%20Early%20Assessment%20RIS%20-%20December%202021.docx" TargetMode="External"/><Relationship Id="rId39" Type="http://schemas.openxmlformats.org/officeDocument/2006/relationships/customXml" Target="../customXml/item3.xml"/><Relationship Id="rId21" Type="http://schemas.openxmlformats.org/officeDocument/2006/relationships/hyperlink" Target="https://kpmgaust-my.sharepoint.com/personal/hwilson7_kpmg_com_au/Documents/Desktop/For%20PJ%20Review%20-%20EATR%20Early%20Assessment%20RIS%20-%20December%202021.docx" TargetMode="External"/><Relationship Id="rId34"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kpmgaust-my.sharepoint.com/personal/hwilson7_kpmg_com_au/Documents/Desktop/For%20PJ%20Review%20-%20EATR%20Early%20Assessment%20RIS%20-%20December%202021.docx" TargetMode="External"/><Relationship Id="rId29" Type="http://schemas.openxmlformats.org/officeDocument/2006/relationships/hyperlink" Target="https://kpmgaust-my.sharepoint.com/personal/hwilson7_kpmg_com_au/Documents/Desktop/For%20PJ%20Review%20-%20EATR%20Early%20Assessment%20RIS%20-%20December%202021.docx" TargetMode="External"/><Relationship Id="rId41"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Details/F2019L00476" TargetMode="External"/><Relationship Id="rId24" Type="http://schemas.openxmlformats.org/officeDocument/2006/relationships/hyperlink" Target="https://kpmgaust-my.sharepoint.com/personal/hwilson7_kpmg_com_au/Documents/Desktop/For%20PJ%20Review%20-%20EATR%20Early%20Assessment%20RIS%20-%20December%202021.docx" TargetMode="External"/><Relationship Id="rId32" Type="http://schemas.openxmlformats.org/officeDocument/2006/relationships/footer" Target="footer1.xm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kpmgaust-my.sharepoint.com/personal/hwilson7_kpmg_com_au/Documents/Desktop/For%20PJ%20Review%20-%20EATR%20Early%20Assessment%20RIS%20-%20December%202021.docx" TargetMode="External"/><Relationship Id="rId28" Type="http://schemas.openxmlformats.org/officeDocument/2006/relationships/hyperlink" Target="https://kpmgaust-my.sharepoint.com/personal/hwilson7_kpmg_com_au/Documents/Desktop/For%20PJ%20Review%20-%20EATR%20Early%20Assessment%20RIS%20-%20December%202021.docx"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kpmgaust-my.sharepoint.com/personal/hwilson7_kpmg_com_au/Documents/Desktop/For%20PJ%20Review%20-%20EATR%20Early%20Assessment%20RIS%20-%20December%202021.docx"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hyperlink" Target="https://kpmgaust-my.sharepoint.com/personal/hwilson7_kpmg_com_au/Documents/Desktop/For%20PJ%20Review%20-%20EATR%20Early%20Assessment%20RIS%20-%20December%202021.docx" TargetMode="External"/><Relationship Id="rId27" Type="http://schemas.openxmlformats.org/officeDocument/2006/relationships/hyperlink" Target="https://kpmgaust-my.sharepoint.com/personal/hwilson7_kpmg_com_au/Documents/Desktop/For%20PJ%20Review%20-%20EATR%20Early%20Assessment%20RIS%20-%20December%202021.docx"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kpmgaust-my.sharepoint.com/personal/hwilson7_kpmg_com_au/Documents/Desktop/For%20PJ%20Review%20-%20EATR%20Early%20Assessment%20RIS%20-%20December%202021.docx" TargetMode="External"/><Relationship Id="rId25" Type="http://schemas.openxmlformats.org/officeDocument/2006/relationships/hyperlink" Target="https://kpmgaust-my.sharepoint.com/personal/hwilson7_kpmg_com_au/Documents/Desktop/For%20PJ%20Review%20-%20EATR%20Early%20Assessment%20RIS%20-%20December%202021.docx" TargetMode="External"/><Relationship Id="rId33" Type="http://schemas.openxmlformats.org/officeDocument/2006/relationships/footer" Target="footer2.xml"/><Relationship Id="rId38"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s://www.aljazeera.com/news/2021/9/17/australia-says-more-us-troops-to-come-eyes-missile-work" TargetMode="External"/><Relationship Id="rId1" Type="http://schemas.openxmlformats.org/officeDocument/2006/relationships/hyperlink" Target="https://www.aljazeera.com/news/2021/9/17/australia-says-more-us-troops-to-come-eyes-missile-work"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https://kpmgaust-my.sharepoint.com/personal/hwilson7_kpmg_com_au/Documents/Desktop/Defence%20Reporting%20Summary.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000" b="0" i="0" u="none" strike="noStrike" kern="1200" spc="0" baseline="0">
                <a:solidFill>
                  <a:schemeClr val="tx1">
                    <a:lumMod val="65000"/>
                    <a:lumOff val="35000"/>
                  </a:schemeClr>
                </a:solidFill>
                <a:latin typeface="+mn-lt"/>
                <a:ea typeface="+mn-ea"/>
                <a:cs typeface="+mn-cs"/>
              </a:defRPr>
            </a:pPr>
            <a:r>
              <a:rPr lang="en-US" sz="1000">
                <a:latin typeface="Arial" panose="020B0604020202020204" pitchFamily="34" charset="0"/>
                <a:cs typeface="Arial" panose="020B0604020202020204" pitchFamily="34" charset="0"/>
              </a:rPr>
              <a:t>Are current safety and security requirements, and the governance structure enforcing them, sufficiently clear and effective?</a:t>
            </a:r>
            <a:r>
              <a:rPr lang="en-US" sz="1000" b="0">
                <a:latin typeface="Arial" panose="020B0604020202020204" pitchFamily="34" charset="0"/>
                <a:cs typeface="Arial" panose="020B0604020202020204" pitchFamily="34" charset="0"/>
              </a:rPr>
              <a:t>*</a:t>
            </a:r>
          </a:p>
        </c:rich>
      </c:tx>
      <c:overlay val="0"/>
      <c:spPr>
        <a:noFill/>
        <a:ln>
          <a:noFill/>
        </a:ln>
        <a:effectLst/>
      </c:spPr>
      <c:txPr>
        <a:bodyPr rot="0" spcFirstLastPara="1" vertOverflow="ellipsis" vert="horz" wrap="square" anchor="ctr" anchorCtr="1"/>
        <a:lstStyle/>
        <a:p>
          <a:pPr algn="ct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43F-41F9-B4EB-F934A17459C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43F-41F9-B4EB-F934A17459C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43F-41F9-B4EB-F934A17459C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43F-41F9-B4EB-F934A17459C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Sheet1!$B$2:$B$5</c:f>
              <c:numCache>
                <c:formatCode>General</c:formatCode>
                <c:ptCount val="4"/>
                <c:pt idx="0">
                  <c:v>2</c:v>
                </c:pt>
                <c:pt idx="1">
                  <c:v>11</c:v>
                </c:pt>
                <c:pt idx="2">
                  <c:v>4</c:v>
                </c:pt>
              </c:numCache>
            </c:numRef>
          </c:val>
          <c:extLst>
            <c:ext xmlns:c15="http://schemas.microsoft.com/office/drawing/2012/chart" uri="{02D57815-91ED-43cb-92C2-25804820EDAC}">
              <c15:filteredSeriesTitle>
                <c15:tx>
                  <c:strRef>
                    <c:extLst>
                      <c:ext uri="{02D57815-91ED-43cb-92C2-25804820EDAC}">
                        <c15:formulaRef>
                          <c15:sqref>Sheet1!$B$1</c15:sqref>
                        </c15:formulaRef>
                      </c:ext>
                    </c:extLst>
                    <c:strCache>
                      <c:ptCount val="1"/>
                      <c:pt idx="0">
                        <c:v>Are current safety and security requirements, and the governance structure enforcing them, sufficiently clear and effective?</c:v>
                      </c:pt>
                    </c:strCache>
                  </c:strRef>
                </c15:tx>
              </c15:filteredSeriesTitle>
            </c:ext>
            <c:ext xmlns:c15="http://schemas.microsoft.com/office/drawing/2012/chart" uri="{02D57815-91ED-43cb-92C2-25804820EDAC}">
              <c15:filteredCategoryTitle>
                <c15:cat>
                  <c:strRef>
                    <c:extLst>
                      <c:ext uri="{02D57815-91ED-43cb-92C2-25804820EDAC}">
                        <c15:formulaRef>
                          <c15:sqref>Sheet1!$A$2:$A$5</c15:sqref>
                        </c15:formulaRef>
                      </c:ext>
                    </c:extLst>
                    <c:strCache>
                      <c:ptCount val="3"/>
                      <c:pt idx="0">
                        <c:v>Yes</c:v>
                      </c:pt>
                      <c:pt idx="1">
                        <c:v>No</c:v>
                      </c:pt>
                      <c:pt idx="2">
                        <c:v>Unsure</c:v>
                      </c:pt>
                    </c:strCache>
                  </c:strRef>
                </c15:cat>
              </c15:filteredCategoryTitle>
            </c:ext>
            <c:ext xmlns:c16="http://schemas.microsoft.com/office/drawing/2014/chart" uri="{C3380CC4-5D6E-409C-BE32-E72D297353CC}">
              <c16:uniqueId val="{00000008-943F-41F9-B4EB-F934A17459C9}"/>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sz="1000" b="0" i="0" u="none" strike="noStrike" baseline="0">
                <a:effectLst/>
                <a:latin typeface="Arial" panose="020B0604020202020204" pitchFamily="34" charset="0"/>
                <a:cs typeface="Arial" panose="020B0604020202020204" pitchFamily="34" charset="0"/>
              </a:rPr>
              <a:t>Explosives Ordnance Incident Reporting &amp; Management Reports: Accidents vs. Near-Misses</a:t>
            </a:r>
            <a:endParaRPr lang="en-AU" sz="10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cke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Sheet1!$I$3:$M$3</c:f>
              <c:numCache>
                <c:formatCode>General</c:formatCode>
                <c:ptCount val="5"/>
                <c:pt idx="0">
                  <c:v>12</c:v>
                </c:pt>
                <c:pt idx="1">
                  <c:v>13</c:v>
                </c:pt>
                <c:pt idx="2">
                  <c:v>9</c:v>
                </c:pt>
                <c:pt idx="3">
                  <c:v>10</c:v>
                </c:pt>
                <c:pt idx="4">
                  <c:v>10</c:v>
                </c:pt>
              </c:numCache>
            </c:numRef>
          </c:val>
          <c:smooth val="0"/>
          <c:extLst>
            <c:ext xmlns:c15="http://schemas.microsoft.com/office/drawing/2012/chart" uri="{02D57815-91ED-43cb-92C2-25804820EDAC}">
              <c15:filteredSeriesTitle>
                <c15:tx>
                  <c:strRef>
                    <c:extLst>
                      <c:ext uri="{02D57815-91ED-43cb-92C2-25804820EDAC}">
                        <c15:formulaRef>
                          <c15:sqref>Sheet1!$H$3</c15:sqref>
                        </c15:formulaRef>
                      </c:ext>
                    </c:extLst>
                    <c:strCache>
                      <c:ptCount val="1"/>
                      <c:pt idx="0">
                        <c:v>Accidents</c:v>
                      </c:pt>
                    </c:strCache>
                  </c:strRef>
                </c15:tx>
              </c15:filteredSeriesTitle>
            </c:ext>
            <c:ext xmlns:c15="http://schemas.microsoft.com/office/drawing/2012/chart" uri="{02D57815-91ED-43cb-92C2-25804820EDAC}">
              <c15:filteredCategoryTitle>
                <c15:cat>
                  <c:numRef>
                    <c:extLst>
                      <c:ext uri="{02D57815-91ED-43cb-92C2-25804820EDAC}">
                        <c15:formulaRef>
                          <c15:sqref>Sheet1!$I$2:$M$2</c15:sqref>
                        </c15:formulaRef>
                      </c:ext>
                    </c:extLst>
                    <c:numCache>
                      <c:formatCode>General</c:formatCode>
                      <c:ptCount val="5"/>
                      <c:pt idx="0">
                        <c:v>2017</c:v>
                      </c:pt>
                      <c:pt idx="1">
                        <c:v>2018</c:v>
                      </c:pt>
                      <c:pt idx="2">
                        <c:v>2019</c:v>
                      </c:pt>
                      <c:pt idx="3">
                        <c:v>2020</c:v>
                      </c:pt>
                      <c:pt idx="4">
                        <c:v>2021</c:v>
                      </c:pt>
                    </c:numCache>
                  </c:numRef>
                </c15:cat>
              </c15:filteredCategoryTitle>
            </c:ext>
            <c:ext xmlns:c16="http://schemas.microsoft.com/office/drawing/2014/chart" uri="{C3380CC4-5D6E-409C-BE32-E72D297353CC}">
              <c16:uniqueId val="{00000000-3BD7-49F6-85C0-9DB930B01E70}"/>
            </c:ext>
          </c:extLst>
        </c:ser>
        <c: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Sheet1!$I$4:$M$4</c:f>
              <c:numCache>
                <c:formatCode>General</c:formatCode>
                <c:ptCount val="5"/>
                <c:pt idx="0">
                  <c:v>66</c:v>
                </c:pt>
                <c:pt idx="1">
                  <c:v>83</c:v>
                </c:pt>
                <c:pt idx="2">
                  <c:v>113</c:v>
                </c:pt>
                <c:pt idx="3">
                  <c:v>118</c:v>
                </c:pt>
                <c:pt idx="4">
                  <c:v>112</c:v>
                </c:pt>
              </c:numCache>
            </c:numRef>
          </c:val>
          <c:smooth val="0"/>
          <c:extLst>
            <c:ext xmlns:c15="http://schemas.microsoft.com/office/drawing/2012/chart" uri="{02D57815-91ED-43cb-92C2-25804820EDAC}">
              <c15:filteredSeriesTitle>
                <c15:tx>
                  <c:strRef>
                    <c:extLst>
                      <c:ext uri="{02D57815-91ED-43cb-92C2-25804820EDAC}">
                        <c15:formulaRef>
                          <c15:sqref>Sheet1!$H$4</c15:sqref>
                        </c15:formulaRef>
                      </c:ext>
                    </c:extLst>
                    <c:strCache>
                      <c:ptCount val="1"/>
                      <c:pt idx="0">
                        <c:v>Near Misses</c:v>
                      </c:pt>
                    </c:strCache>
                  </c:strRef>
                </c15:tx>
              </c15:filteredSeriesTitle>
            </c:ext>
            <c:ext xmlns:c15="http://schemas.microsoft.com/office/drawing/2012/chart" uri="{02D57815-91ED-43cb-92C2-25804820EDAC}">
              <c15:filteredCategoryTitle>
                <c15:cat>
                  <c:numRef>
                    <c:extLst>
                      <c:ext uri="{02D57815-91ED-43cb-92C2-25804820EDAC}">
                        <c15:formulaRef>
                          <c15:sqref>Sheet1!$I$2:$M$2</c15:sqref>
                        </c15:formulaRef>
                      </c:ext>
                    </c:extLst>
                    <c:numCache>
                      <c:formatCode>General</c:formatCode>
                      <c:ptCount val="5"/>
                      <c:pt idx="0">
                        <c:v>2017</c:v>
                      </c:pt>
                      <c:pt idx="1">
                        <c:v>2018</c:v>
                      </c:pt>
                      <c:pt idx="2">
                        <c:v>2019</c:v>
                      </c:pt>
                      <c:pt idx="3">
                        <c:v>2020</c:v>
                      </c:pt>
                      <c:pt idx="4">
                        <c:v>2021</c:v>
                      </c:pt>
                    </c:numCache>
                  </c:numRef>
                </c15:cat>
              </c15:filteredCategoryTitle>
            </c:ext>
            <c:ext xmlns:c16="http://schemas.microsoft.com/office/drawing/2014/chart" uri="{C3380CC4-5D6E-409C-BE32-E72D297353CC}">
              <c16:uniqueId val="{00000001-3BD7-49F6-85C0-9DB930B01E70}"/>
            </c:ext>
          </c:extLst>
        </c:ser>
        <c:dLbls>
          <c:showLegendKey val="0"/>
          <c:showVal val="0"/>
          <c:showCatName val="0"/>
          <c:showSerName val="0"/>
          <c:showPercent val="0"/>
          <c:showBubbleSize val="0"/>
        </c:dLbls>
        <c:marker val="1"/>
        <c:smooth val="0"/>
        <c:axId val="1956902864"/>
        <c:axId val="1956903280"/>
      </c:lineChart>
      <c:catAx>
        <c:axId val="1956902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56903280"/>
        <c:crosses val="autoZero"/>
        <c:auto val="1"/>
        <c:lblAlgn val="ctr"/>
        <c:lblOffset val="100"/>
        <c:noMultiLvlLbl val="0"/>
      </c:catAx>
      <c:valAx>
        <c:axId val="1956903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956902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Aus21</b:Tag>
    <b:SourceType>InternetSite</b:SourceType>
    <b:Guid>{CEBA38F7-57EC-4E23-AD28-CE0EC4364E42}</b:Guid>
    <b:Title>Australia's Counter-Terrorism Strategies</b:Title>
    <b:Year>2021</b:Year>
    <b:Author>
      <b:Author>
        <b:Corporate>Australian Government</b:Corporate>
      </b:Author>
    </b:Author>
    <b:YearAccessed>2021</b:YearAccessed>
    <b:MonthAccessed>December</b:MonthAccessed>
    <b:DayAccessed>1</b:DayAccessed>
    <b:URL>https://www.nationalsecurity.gov.au/what-australia-is-doing/a-national-approach/australias-counter-terrorism-strategies</b:URL>
    <b:RefOrder>1</b:RefOrder>
  </b:Source>
  <b:Source>
    <b:Tag>Dep20</b:Tag>
    <b:SourceType>DocumentFromInternetSite</b:SourceType>
    <b:Guid>{F5123C45-A106-4DA5-9D40-D44192B6670B}</b:Guid>
    <b:Title>2020 Defence Strategic Update</b:Title>
    <b:Year>2020</b:Year>
    <b:YearAccessed>2021</b:YearAccessed>
    <b:MonthAccessed>December</b:MonthAccessed>
    <b:DayAccessed>1</b:DayAccessed>
    <b:URL>https://www.defence.gov.au/about/publications/2020-defence-strategic-update</b:URL>
    <b:Author>
      <b:Author>
        <b:Corporate>Department of Defence</b:Corporate>
      </b:Author>
    </b:Author>
    <b:RefOrder>2</b:RefOrder>
  </b:Source>
  <b:Source>
    <b:Tag>Hon20</b:Tag>
    <b:SourceType>InternetSite</b:SourceType>
    <b:Guid>{592075D4-1B5A-4E2D-9BF0-A42E84CF03C8}</b:Guid>
    <b:Title>Securing domestic manufacturing capability for Australian Defence Force munitions</b:Title>
    <b:Year>2020</b:Year>
    <b:YearAccessed>2021</b:YearAccessed>
    <b:MonthAccessed>October</b:MonthAccessed>
    <b:DayAccessed>15</b:DayAccessed>
    <b:URL>https://www.minister.defence.gov.au/minister/lreynolds/media-releases/securing-domestic-manufacturing-capability-australian-defence</b:URL>
    <b:Author>
      <b:Author>
        <b:NameList>
          <b:Person>
            <b:Last>MP</b:Last>
            <b:First>Hon</b:First>
            <b:Middle>Melissa Price</b:Middle>
          </b:Person>
        </b:NameList>
      </b:Author>
    </b:Author>
    <b:RefOrder>3</b:RefOrder>
  </b:Source>
  <b:Source>
    <b:Tag>ABC14</b:Tag>
    <b:SourceType>InternetSite</b:SourceType>
    <b:Guid>{39FED7D9-0E84-4AA1-ABB6-2B63B1D6334F}</b:Guid>
    <b:Author>
      <b:Author>
        <b:Corporate>ABC News</b:Corporate>
      </b:Author>
    </b:Author>
    <b:Title>Truck hauling fertiliser explodes in outback Queensland, injuring 8</b:Title>
    <b:Year>2014</b:Year>
    <b:YearAccessed>2021</b:YearAccessed>
    <b:MonthAccessed>October</b:MonthAccessed>
    <b:DayAccessed>15</b:DayAccessed>
    <b:URL>https://www.abc.net.au/news/2014-09-06/ammonium-nitrate-truck-explodes-in-charleville-queensland-8-hurt/5724512</b:URL>
    <b:RefOrder>4</b:RefOrder>
  </b:Source>
  <b:Source>
    <b:Tag>The07</b:Tag>
    <b:SourceType>InternetSite</b:SourceType>
    <b:Guid>{FB820082-D497-42D0-A194-93008E3AB5E1}</b:Guid>
    <b:Author>
      <b:Author>
        <b:Corporate>The Age</b:Corporate>
      </b:Author>
    </b:Author>
    <b:Title>Bail denied over rocket launcher theft</b:Title>
    <b:Year>2007</b:Year>
    <b:YearAccessed>2021</b:YearAccessed>
    <b:MonthAccessed>October</b:MonthAccessed>
    <b:DayAccessed>15</b:DayAccessed>
    <b:URL>theage.com.au/national/bail-denied-over-rocket-launcher-theft-20070412-ge4n3g.html</b:URL>
    <b:RefOrder>5</b:RefOrder>
  </b:Source>
  <b:Source>
    <b:Tag>9Ne14</b:Tag>
    <b:SourceType>InternetSite</b:SourceType>
    <b:Guid>{729C992B-A4EB-4D73-82F4-93688B866AD4}</b:Guid>
    <b:Author>
      <b:Author>
        <b:Corporate>9News</b:Corporate>
      </b:Author>
    </b:Author>
    <b:Title>Police escalate search for missing rocket launchers linked to ISIL terrorists: report</b:Title>
    <b:Year>2014</b:Year>
    <b:YearAccessed>2021</b:YearAccessed>
    <b:MonthAccessed>October</b:MonthAccessed>
    <b:DayAccessed>15</b:DayAccessed>
    <b:URL>https://www.9news.com.au/national/search-escalates-for-missing-rocket-launchers/2d33da28-e26c-4a40-bca5-0ad221ef1f1d</b:URL>
    <b:RefOrder>6</b:RefOrder>
  </b:Source>
  <b:Source>
    <b:Tag>And21</b:Tag>
    <b:SourceType>InternetSite</b:SourceType>
    <b:Guid>{F250B051-50AB-4BE5-AF72-AAE3B3A6F96E}</b:Guid>
    <b:Author>
      <b:Author>
        <b:NameList>
          <b:Person>
            <b:Last>Dyer</b:Last>
            <b:First>Andrew</b:First>
          </b:Person>
        </b:NameList>
      </b:Author>
    </b:Author>
    <b:Title>Camp Pendleton recon Marine under federal investigation for stolen ammo and explosives</b:Title>
    <b:Year>2021</b:Year>
    <b:YearAccessed>2021</b:YearAccessed>
    <b:MonthAccessed>October</b:MonthAccessed>
    <b:DayAccessed>15</b:DayAccessed>
    <b:URL>https://www.sandiegouniontribune.com/news/military/story/2021-06-04/camp-pendleton-marine-stolen-ammo</b:URL>
    <b:RefOrder>7</b:RefOrder>
  </b:Source>
  <b:Source>
    <b:Tag>Jen21</b:Tag>
    <b:SourceType>InternetSite</b:SourceType>
    <b:Guid>{84721966-1488-467C-B50D-425F0691E52A}</b:Guid>
    <b:Author>
      <b:Author>
        <b:NameList>
          <b:Person>
            <b:Last>Kastner</b:Last>
            <b:First>Jennifer</b:First>
          </b:Person>
        </b:NameList>
      </b:Author>
    </b:Author>
    <b:Title>Camp Pendleton Marine sergeant pleads guilty to stealing ammo, explosives</b:Title>
    <b:Year>2021</b:Year>
    <b:YearAccessed>2021</b:YearAccessed>
    <b:MonthAccessed>October</b:MonthAccessed>
    <b:DayAccessed>15</b:DayAccessed>
    <b:URL>https://www.10news.com/news/local-news/camp-pendleton-marine-sergeant-pleads-guilty-to-stealing-ammo-explosives</b:URL>
    <b:RefOrder>8</b:RefOrder>
  </b:Source>
  <b:Source>
    <b:Tag>Saf16</b:Tag>
    <b:SourceType>InternetSite</b:SourceType>
    <b:Guid>{7AC18498-504F-4177-B3E2-C381F886C709}</b:Guid>
    <b:Author>
      <b:Author>
        <b:Corporate>Safe Work Australia</b:Corporate>
      </b:Author>
    </b:Author>
    <b:Title>Guide to the Model Work Health and Safety Act</b:Title>
    <b:Year>2016</b:Year>
    <b:YearAccessed>2021</b:YearAccessed>
    <b:MonthAccessed>November</b:MonthAccessed>
    <b:DayAccessed>18</b:DayAccessed>
    <b:URL>https://www.safeworkaustralia.gov.au/system/files/documents/1702/guide-to-the-whs-act-at-21-march-2016.pdf</b:URL>
    <b:RefOrder>9</b:RefOrder>
  </b:Source>
  <b:Source>
    <b:Tag>Acc08</b:Tag>
    <b:SourceType>DocumentFromInternetSite</b:SourceType>
    <b:Guid>{67BF5464-F14F-4008-8C86-540C7412BE67}</b:Guid>
    <b:Title>Published Impact Analyses</b:Title>
    <b:Year>2008</b:Year>
    <b:YearAccessed>2021</b:YearAccessed>
    <b:MonthAccessed>September </b:MonthAccessed>
    <b:DayAccessed>1</b:DayAccessed>
    <b:URL>https://www.safeworkaustralia.gov.au/system/files/documents/1702/regulatory_impact_statement_australian_code_transport_explosives_road_rail_3rd_edition.pdf</b:URL>
    <b:Author>
      <b:Author>
        <b:Corporate>Access Economics </b:Corporate>
      </b:Author>
    </b:Author>
    <b:Month>September</b:Month>
    <b:RefOrder>10</b:RefOrder>
  </b:Source>
  <b:Source>
    <b:Tag>Saf19</b:Tag>
    <b:SourceType>DocumentFromInternetSite</b:SourceType>
    <b:Guid>{1BD7DBFB-2F2B-4C80-B7A5-487AB2340AB4}</b:Guid>
    <b:Author>
      <b:Author>
        <b:Corporate>Safe Work Australia</b:Corporate>
      </b:Author>
    </b:Author>
    <b:Title>Feature story: Nationally consistent explosives framework</b:Title>
    <b:Year>2018-19</b:Year>
    <b:YearAccessed>2021</b:YearAccessed>
    <b:MonthAccessed>September</b:MonthAccessed>
    <b:DayAccessed>1</b:DayAccessed>
    <b:URL>https://www.transparency.gov.au/annual-reports/safe-work-australia/reporting-year/2018-2019-5</b:URL>
    <b:RefOrder>11</b:RefOrder>
  </b:Source>
  <b:Source>
    <b:Tag>Saf15</b:Tag>
    <b:SourceType>DocumentFromInternetSite</b:SourceType>
    <b:Guid>{5A614E9C-D66E-4E68-AE6E-2F09153875E9}</b:Guid>
    <b:Author>
      <b:Author>
        <b:Corporate>Safe Work Australia</b:Corporate>
      </b:Author>
    </b:Author>
    <b:Title>Explosives Regulation in Australia</b:Title>
    <b:Year>2015</b:Year>
    <b:Month>July</b:Month>
    <b:YearAccessed>2021</b:YearAccessed>
    <b:MonthAccessed>August</b:MonthAccessed>
    <b:DayAccessed>26</b:DayAccessed>
    <b:RefOrder>12</b:RefOrder>
  </b:Source>
  <b:Source>
    <b:Tag>Off21</b:Tag>
    <b:SourceType>DocumentFromInternetSite</b:SourceType>
    <b:Guid>{46339963-E6AA-445C-BEA2-15F63AA30391}</b:Guid>
    <b:Author>
      <b:Author>
        <b:Corporate>Office of Best Practice Regulation</b:Corporate>
      </b:Author>
    </b:Author>
    <b:Title>Regulatory Burden Measurement Framework</b:Title>
    <b:Year>2021</b:Year>
    <b:Month>June</b:Month>
    <b:Day>11</b:Day>
    <b:YearAccessed>2021</b:YearAccessed>
    <b:MonthAccessed>August</b:MonthAccessed>
    <b:DayAccessed>28</b:DayAccessed>
    <b:URL>https://obpr.pmc.gov.au/resources/guidance-assessing-impacts/regulatory-burden-measurement-framework</b:URL>
    <b:RefOrder>13</b:RefOrder>
  </b:Source>
  <b:Source>
    <b:Tag>Off20</b:Tag>
    <b:SourceType>DocumentFromInternetSite</b:SourceType>
    <b:Guid>{A11A0B2E-A9E3-4F5F-9F2C-9761177DC338}</b:Guid>
    <b:Author>
      <b:Author>
        <b:NameList>
          <b:Person>
            <b:Last>Regulation</b:Last>
            <b:First>Office</b:First>
            <b:Middle>of Best Practice</b:Middle>
          </b:Person>
        </b:NameList>
      </b:Author>
    </b:Author>
    <b:Title>Guidance Note: Sunsetting Legislative Instruments</b:Title>
    <b:Year>2020</b:Year>
    <b:Month>March</b:Month>
    <b:YearAccessed>2021</b:YearAccessed>
    <b:MonthAccessed>August</b:MonthAccessed>
    <b:DayAccessed>28</b:DayAccessed>
    <b:URL>https://obpr.pmc.gov.au/sites/default/files/2021-09/sunsetting.pdf</b:URL>
    <b:RefOrder>14</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lcf76f155ced4ddcb4097134ff3c332f xmlns="26285671-540d-468b-b7a1-f3e0438dd51a">
      <Terms xmlns="http://schemas.microsoft.com/office/infopath/2007/PartnerControls"/>
    </lcf76f155ced4ddcb4097134ff3c332f>
    <_dlc_DocId xmlns="4195ad5f-cdf2-4c4a-8d9b-b7944a108e98">DOCID-322795542-18541</_dlc_DocId>
    <_dlc_DocIdUrl xmlns="4195ad5f-cdf2-4c4a-8d9b-b7944a108e98">
      <Url>https://pmc01.sharepoint.com/sites/CRMOBPR/_layouts/15/DocIdRedir.aspx?ID=DOCID-322795542-18541</Url>
      <Description>DOCID-322795542-18541</Description>
    </_dlc_DocIdUrl>
  </documentManagement>
</p:properties>
</file>

<file path=customXml/itemProps1.xml><?xml version="1.0" encoding="utf-8"?>
<ds:datastoreItem xmlns:ds="http://schemas.openxmlformats.org/officeDocument/2006/customXml" ds:itemID="{B3BB9949-237E-4468-BF54-CCB4AF0E6683}">
  <ds:schemaRefs>
    <ds:schemaRef ds:uri="http://schemas.openxmlformats.org/officeDocument/2006/bibliography"/>
  </ds:schemaRefs>
</ds:datastoreItem>
</file>

<file path=customXml/itemProps2.xml><?xml version="1.0" encoding="utf-8"?>
<ds:datastoreItem xmlns:ds="http://schemas.openxmlformats.org/officeDocument/2006/customXml" ds:itemID="{F1ADAF20-AA52-499D-BEFA-7A4410B6E4B9}"/>
</file>

<file path=customXml/itemProps3.xml><?xml version="1.0" encoding="utf-8"?>
<ds:datastoreItem xmlns:ds="http://schemas.openxmlformats.org/officeDocument/2006/customXml" ds:itemID="{F78D556D-3364-4341-9093-B030784BE0BB}"/>
</file>

<file path=customXml/itemProps4.xml><?xml version="1.0" encoding="utf-8"?>
<ds:datastoreItem xmlns:ds="http://schemas.openxmlformats.org/officeDocument/2006/customXml" ds:itemID="{F6929850-47C2-4832-97FD-86B195625BEC}"/>
</file>

<file path=customXml/itemProps5.xml><?xml version="1.0" encoding="utf-8"?>
<ds:datastoreItem xmlns:ds="http://schemas.openxmlformats.org/officeDocument/2006/customXml" ds:itemID="{DD81B80A-0967-4843-B1BB-4ED0AD8FC995}"/>
</file>

<file path=docProps/app.xml><?xml version="1.0" encoding="utf-8"?>
<Properties xmlns="http://schemas.openxmlformats.org/officeDocument/2006/extended-properties" xmlns:vt="http://schemas.openxmlformats.org/officeDocument/2006/docPropsVTypes">
  <Template>Normal</Template>
  <TotalTime>0</TotalTime>
  <Pages>52</Pages>
  <Words>19897</Words>
  <Characters>113418</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2022-08-03T05:21:00Z</dcterms:created>
  <dcterms:modified xsi:type="dcterms:W3CDTF">2022-08-03T05:21:00Z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5228beea-74c6-4971-be98-3e0ff765950a</vt:lpwstr>
  </property>
</Properties>
</file>