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37" w:rsidRDefault="00170B37">
      <w:pPr>
        <w:spacing w:after="246" w:line="252" w:lineRule="auto"/>
        <w:ind w:left="115"/>
        <w:jc w:val="both"/>
        <w:rPr>
          <w:rFonts w:ascii="Times New Roman" w:eastAsia="Times New Roman" w:hAnsi="Times New Roman" w:cs="Times New Roman"/>
          <w:sz w:val="36"/>
        </w:rPr>
      </w:pPr>
      <w:r>
        <w:rPr>
          <w:noProof/>
        </w:rPr>
        <w:drawing>
          <wp:inline distT="0" distB="0" distL="0" distR="0" wp14:anchorId="3B40BB14" wp14:editId="5B132D90">
            <wp:extent cx="5596255" cy="10242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96255" cy="1024255"/>
                    </a:xfrm>
                    <a:prstGeom prst="rect">
                      <a:avLst/>
                    </a:prstGeom>
                  </pic:spPr>
                </pic:pic>
              </a:graphicData>
            </a:graphic>
          </wp:inline>
        </w:drawing>
      </w:r>
    </w:p>
    <w:p w:rsidR="009A4AA2" w:rsidRDefault="00170B37" w:rsidP="00170B37">
      <w:pPr>
        <w:spacing w:after="246" w:line="252" w:lineRule="auto"/>
        <w:ind w:firstLine="115"/>
        <w:jc w:val="both"/>
      </w:pPr>
      <w:r>
        <w:rPr>
          <w:rFonts w:ascii="Times New Roman" w:eastAsia="Times New Roman" w:hAnsi="Times New Roman" w:cs="Times New Roman"/>
          <w:sz w:val="24"/>
        </w:rPr>
        <w:t>BM45122547</w:t>
      </w:r>
    </w:p>
    <w:p w:rsidR="009A4AA2" w:rsidRDefault="00170B37">
      <w:pPr>
        <w:spacing w:after="0"/>
        <w:ind w:left="130"/>
      </w:pPr>
      <w:r>
        <w:rPr>
          <w:rFonts w:ascii="Times New Roman" w:eastAsia="Times New Roman" w:hAnsi="Times New Roman" w:cs="Times New Roman"/>
          <w:sz w:val="26"/>
        </w:rPr>
        <w:t>Mr Jason Lange</w:t>
      </w:r>
    </w:p>
    <w:p w:rsidR="009A4AA2" w:rsidRDefault="00170B37">
      <w:pPr>
        <w:spacing w:after="8" w:line="252" w:lineRule="auto"/>
        <w:ind w:left="115"/>
        <w:jc w:val="both"/>
      </w:pPr>
      <w:r>
        <w:rPr>
          <w:rFonts w:ascii="Times New Roman" w:eastAsia="Times New Roman" w:hAnsi="Times New Roman" w:cs="Times New Roman"/>
          <w:sz w:val="24"/>
        </w:rPr>
        <w:t>Executive Director</w:t>
      </w:r>
    </w:p>
    <w:p w:rsidR="009A4AA2" w:rsidRDefault="00170B37">
      <w:pPr>
        <w:spacing w:after="8" w:line="252" w:lineRule="auto"/>
        <w:ind w:left="115"/>
        <w:jc w:val="both"/>
      </w:pPr>
      <w:r>
        <w:rPr>
          <w:rFonts w:ascii="Times New Roman" w:eastAsia="Times New Roman" w:hAnsi="Times New Roman" w:cs="Times New Roman"/>
          <w:sz w:val="24"/>
        </w:rPr>
        <w:t>Office of Best Practice Regulation</w:t>
      </w:r>
    </w:p>
    <w:p w:rsidR="009A4AA2" w:rsidRDefault="00170B37">
      <w:pPr>
        <w:spacing w:after="8" w:line="252" w:lineRule="auto"/>
        <w:ind w:left="115"/>
        <w:jc w:val="both"/>
      </w:pPr>
      <w:r>
        <w:rPr>
          <w:rFonts w:ascii="Times New Roman" w:eastAsia="Times New Roman" w:hAnsi="Times New Roman" w:cs="Times New Roman"/>
          <w:sz w:val="24"/>
        </w:rPr>
        <w:t>Department of the Prime Minister and Cabinet</w:t>
      </w:r>
    </w:p>
    <w:p w:rsidR="009A4AA2" w:rsidRDefault="00170B37">
      <w:pPr>
        <w:spacing w:after="8" w:line="252" w:lineRule="auto"/>
        <w:ind w:left="115"/>
        <w:jc w:val="both"/>
      </w:pPr>
      <w:r>
        <w:rPr>
          <w:rFonts w:ascii="Times New Roman" w:eastAsia="Times New Roman" w:hAnsi="Times New Roman" w:cs="Times New Roman"/>
          <w:sz w:val="24"/>
        </w:rPr>
        <w:t>1 National Circuit</w:t>
      </w:r>
      <w:bookmarkStart w:id="0" w:name="_GoBack"/>
      <w:bookmarkEnd w:id="0"/>
    </w:p>
    <w:p w:rsidR="009A4AA2" w:rsidRDefault="00170B37">
      <w:pPr>
        <w:spacing w:after="246" w:line="252" w:lineRule="auto"/>
        <w:ind w:left="115"/>
        <w:jc w:val="both"/>
      </w:pPr>
      <w:r>
        <w:rPr>
          <w:rFonts w:ascii="Times New Roman" w:eastAsia="Times New Roman" w:hAnsi="Times New Roman" w:cs="Times New Roman"/>
          <w:sz w:val="24"/>
        </w:rPr>
        <w:t>BARTON ACT 2600</w:t>
      </w:r>
    </w:p>
    <w:p w:rsidR="009A4AA2" w:rsidRDefault="00170B37">
      <w:pPr>
        <w:spacing w:after="505" w:line="252" w:lineRule="auto"/>
        <w:ind w:left="115"/>
        <w:jc w:val="both"/>
      </w:pPr>
      <w:r>
        <w:rPr>
          <w:rFonts w:ascii="Times New Roman" w:eastAsia="Times New Roman" w:hAnsi="Times New Roman" w:cs="Times New Roman"/>
          <w:sz w:val="24"/>
        </w:rPr>
        <w:t>Email: helpdesk-OBPR@pmc.gov.au</w:t>
      </w:r>
    </w:p>
    <w:p w:rsidR="009A4AA2" w:rsidRDefault="00170B37">
      <w:pPr>
        <w:spacing w:after="246" w:line="252" w:lineRule="auto"/>
        <w:ind w:left="115"/>
        <w:jc w:val="both"/>
      </w:pPr>
      <w:r>
        <w:rPr>
          <w:rFonts w:ascii="Times New Roman" w:eastAsia="Times New Roman" w:hAnsi="Times New Roman" w:cs="Times New Roman"/>
          <w:sz w:val="24"/>
        </w:rPr>
        <w:t>Dear Mr Lange</w:t>
      </w:r>
    </w:p>
    <w:p w:rsidR="009A4AA2" w:rsidRDefault="00170B37">
      <w:pPr>
        <w:spacing w:after="246" w:line="252" w:lineRule="auto"/>
        <w:ind w:left="115"/>
        <w:jc w:val="both"/>
      </w:pPr>
      <w:r>
        <w:rPr>
          <w:rFonts w:ascii="Times New Roman" w:eastAsia="Times New Roman" w:hAnsi="Times New Roman" w:cs="Times New Roman"/>
          <w:sz w:val="24"/>
        </w:rPr>
        <w:t>REGULATION IMPACT STATEMENT FOR EARLY ASSESSMENT</w:t>
      </w:r>
    </w:p>
    <w:p w:rsidR="009A4AA2" w:rsidRDefault="00170B37">
      <w:pPr>
        <w:spacing w:after="246" w:line="252" w:lineRule="auto"/>
        <w:ind w:left="115" w:right="139"/>
        <w:jc w:val="both"/>
      </w:pPr>
      <w:r>
        <w:rPr>
          <w:rFonts w:ascii="Times New Roman" w:eastAsia="Times New Roman" w:hAnsi="Times New Roman" w:cs="Times New Roman"/>
          <w:sz w:val="24"/>
        </w:rPr>
        <w:t xml:space="preserve">I am writing in relation to the attached </w:t>
      </w:r>
      <w:r>
        <w:rPr>
          <w:rFonts w:ascii="Times New Roman" w:eastAsia="Times New Roman" w:hAnsi="Times New Roman" w:cs="Times New Roman"/>
          <w:sz w:val="24"/>
        </w:rPr>
        <w:t>Early Assessment Regulation Impact Statement (RIS), prepared for the Explosives Act T</w:t>
      </w:r>
      <w:r>
        <w:rPr>
          <w:rFonts w:ascii="Times New Roman" w:eastAsia="Times New Roman" w:hAnsi="Times New Roman" w:cs="Times New Roman"/>
          <w:sz w:val="24"/>
        </w:rPr>
        <w:t>hematic Review Project's consideration of reform of the Commonwealth explosives regulatory regime.</w:t>
      </w:r>
    </w:p>
    <w:p w:rsidR="009A4AA2" w:rsidRDefault="00170B37">
      <w:pPr>
        <w:spacing w:after="246" w:line="252" w:lineRule="auto"/>
        <w:ind w:left="115" w:right="667"/>
        <w:jc w:val="both"/>
      </w:pPr>
      <w:r>
        <w:rPr>
          <w:rFonts w:ascii="Times New Roman" w:eastAsia="Times New Roman" w:hAnsi="Times New Roman" w:cs="Times New Roman"/>
          <w:sz w:val="24"/>
        </w:rPr>
        <w:t xml:space="preserve">I believe the RIS meets the requirements set out in the </w:t>
      </w:r>
      <w:r w:rsidRPr="00170B37">
        <w:rPr>
          <w:rFonts w:ascii="Times New Roman" w:eastAsia="Times New Roman" w:hAnsi="Times New Roman" w:cs="Times New Roman"/>
          <w:i/>
          <w:sz w:val="24"/>
        </w:rPr>
        <w:t>Australian Government Guide to Regulatory Impact Analysis</w:t>
      </w:r>
      <w:r>
        <w:rPr>
          <w:rFonts w:ascii="Times New Roman" w:eastAsia="Times New Roman" w:hAnsi="Times New Roman" w:cs="Times New Roman"/>
          <w:sz w:val="24"/>
        </w:rPr>
        <w:t xml:space="preserve"> and is consistent with the six principles for Australian Government policy makers.</w:t>
      </w:r>
    </w:p>
    <w:p w:rsidR="009A4AA2" w:rsidRDefault="00170B37">
      <w:pPr>
        <w:spacing w:after="251" w:line="248" w:lineRule="auto"/>
        <w:ind w:left="96" w:firstLine="5"/>
      </w:pPr>
      <w:r>
        <w:rPr>
          <w:rFonts w:ascii="Times New Roman" w:eastAsia="Times New Roman" w:hAnsi="Times New Roman" w:cs="Times New Roman"/>
          <w:sz w:val="24"/>
        </w:rPr>
        <w:t>This Early Assessment RIS is a culmination of detailed anal</w:t>
      </w:r>
      <w:r>
        <w:rPr>
          <w:rFonts w:ascii="Times New Roman" w:eastAsia="Times New Roman" w:hAnsi="Times New Roman" w:cs="Times New Roman"/>
          <w:sz w:val="24"/>
        </w:rPr>
        <w:t>ysis of all relevant legislation and subsidiary regulations, as well as close consultation with key stakeholders across government and industry. These activities have occurred as part of the Explosives Act Thematic Review (EATR) Project, which commenced in</w:t>
      </w:r>
      <w:r>
        <w:rPr>
          <w:rFonts w:ascii="Times New Roman" w:eastAsia="Times New Roman" w:hAnsi="Times New Roman" w:cs="Times New Roman"/>
          <w:sz w:val="24"/>
        </w:rPr>
        <w:t xml:space="preserve"> response to the upcoming </w:t>
      </w:r>
      <w:proofErr w:type="spellStart"/>
      <w:r>
        <w:rPr>
          <w:rFonts w:ascii="Times New Roman" w:eastAsia="Times New Roman" w:hAnsi="Times New Roman" w:cs="Times New Roman"/>
          <w:sz w:val="24"/>
        </w:rPr>
        <w:t>sunsetting</w:t>
      </w:r>
      <w:proofErr w:type="spellEnd"/>
      <w:r>
        <w:rPr>
          <w:rFonts w:ascii="Times New Roman" w:eastAsia="Times New Roman" w:hAnsi="Times New Roman" w:cs="Times New Roman"/>
          <w:sz w:val="24"/>
        </w:rPr>
        <w:t xml:space="preserve"> of the </w:t>
      </w:r>
      <w:r w:rsidRPr="00170B37">
        <w:rPr>
          <w:rFonts w:ascii="Times New Roman" w:eastAsia="Times New Roman" w:hAnsi="Times New Roman" w:cs="Times New Roman"/>
          <w:i/>
          <w:sz w:val="24"/>
        </w:rPr>
        <w:t>Explosives Transport Regulations 2002</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Cth</w:t>
      </w:r>
      <w:proofErr w:type="spellEnd"/>
      <w:r>
        <w:rPr>
          <w:rFonts w:ascii="Times New Roman" w:eastAsia="Times New Roman" w:hAnsi="Times New Roman" w:cs="Times New Roman"/>
          <w:sz w:val="24"/>
        </w:rPr>
        <w:t xml:space="preserve">) and the </w:t>
      </w:r>
      <w:r w:rsidRPr="00170B37">
        <w:rPr>
          <w:rFonts w:ascii="Times New Roman" w:eastAsia="Times New Roman" w:hAnsi="Times New Roman" w:cs="Times New Roman"/>
          <w:i/>
          <w:sz w:val="24"/>
        </w:rPr>
        <w:t>Explosives Areas Regulations 2003</w:t>
      </w:r>
      <w:r>
        <w:rPr>
          <w:rFonts w:ascii="Times New Roman" w:eastAsia="Times New Roman" w:hAnsi="Times New Roman" w:cs="Times New Roman"/>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Cth</w:t>
      </w:r>
      <w:proofErr w:type="spellEnd"/>
      <w:r>
        <w:rPr>
          <w:rFonts w:ascii="Times New Roman" w:eastAsia="Times New Roman" w:hAnsi="Times New Roman" w:cs="Times New Roman"/>
          <w:sz w:val="24"/>
        </w:rPr>
        <w:t>). The EATR Project has been ongoing since 2019.</w:t>
      </w:r>
    </w:p>
    <w:p w:rsidR="009A4AA2" w:rsidRDefault="00170B37">
      <w:pPr>
        <w:spacing w:after="339" w:line="252" w:lineRule="auto"/>
        <w:ind w:left="115"/>
        <w:jc w:val="both"/>
      </w:pPr>
      <w:r>
        <w:rPr>
          <w:rFonts w:ascii="Times New Roman" w:eastAsia="Times New Roman" w:hAnsi="Times New Roman" w:cs="Times New Roman"/>
          <w:sz w:val="24"/>
        </w:rPr>
        <w:t>In particular, the RIS addresses the first four RIS questions:</w:t>
      </w:r>
    </w:p>
    <w:p w:rsidR="009A4AA2" w:rsidRDefault="00170B37">
      <w:pPr>
        <w:spacing w:after="165" w:line="252" w:lineRule="auto"/>
        <w:ind w:left="38"/>
        <w:jc w:val="both"/>
      </w:pPr>
      <w:proofErr w:type="gramStart"/>
      <w:r>
        <w:rPr>
          <w:rFonts w:ascii="Times New Roman" w:eastAsia="Times New Roman" w:hAnsi="Times New Roman" w:cs="Times New Roman"/>
          <w:sz w:val="24"/>
        </w:rPr>
        <w:t>l .</w:t>
      </w:r>
      <w:proofErr w:type="gramEnd"/>
      <w:r>
        <w:rPr>
          <w:rFonts w:ascii="Times New Roman" w:eastAsia="Times New Roman" w:hAnsi="Times New Roman" w:cs="Times New Roman"/>
          <w:sz w:val="24"/>
        </w:rPr>
        <w:t xml:space="preserve"> What i</w:t>
      </w:r>
      <w:r>
        <w:rPr>
          <w:rFonts w:ascii="Times New Roman" w:eastAsia="Times New Roman" w:hAnsi="Times New Roman" w:cs="Times New Roman"/>
          <w:sz w:val="24"/>
        </w:rPr>
        <w:t>s the problem?</w:t>
      </w:r>
    </w:p>
    <w:p w:rsidR="009A4AA2" w:rsidRDefault="00170B37">
      <w:pPr>
        <w:spacing w:after="246" w:line="252" w:lineRule="auto"/>
        <w:ind w:left="350" w:right="432"/>
        <w:jc w:val="both"/>
      </w:pPr>
      <w:r>
        <w:rPr>
          <w:rFonts w:ascii="Times New Roman" w:eastAsia="Times New Roman" w:hAnsi="Times New Roman" w:cs="Times New Roman"/>
          <w:sz w:val="24"/>
        </w:rPr>
        <w:t>The RIS identifies that an ability to access, transport and use explosives in a safe and secure manner is essential for fulfilling the unique operational requirements of the Commonwealth Government Agencies, and may not be best achieved unde</w:t>
      </w:r>
      <w:r>
        <w:rPr>
          <w:rFonts w:ascii="Times New Roman" w:eastAsia="Times New Roman" w:hAnsi="Times New Roman" w:cs="Times New Roman"/>
          <w:sz w:val="24"/>
        </w:rPr>
        <w:t>r the current regulatory framework.</w:t>
      </w:r>
    </w:p>
    <w:p w:rsidR="00170B37" w:rsidRDefault="00170B37" w:rsidP="00170B37">
      <w:pPr>
        <w:spacing w:after="246" w:line="252" w:lineRule="auto"/>
        <w:ind w:left="451" w:right="47"/>
        <w:jc w:val="both"/>
      </w:pPr>
    </w:p>
    <w:p w:rsidR="00170B37" w:rsidRPr="00170B37" w:rsidRDefault="00170B37" w:rsidP="00170B37">
      <w:pPr>
        <w:spacing w:after="246" w:line="252" w:lineRule="auto"/>
        <w:ind w:left="451" w:right="47"/>
        <w:jc w:val="both"/>
      </w:pPr>
    </w:p>
    <w:p w:rsidR="009A4AA2" w:rsidRDefault="00170B37">
      <w:pPr>
        <w:numPr>
          <w:ilvl w:val="0"/>
          <w:numId w:val="1"/>
        </w:numPr>
        <w:spacing w:after="246" w:line="252" w:lineRule="auto"/>
        <w:ind w:right="47" w:hanging="346"/>
        <w:jc w:val="both"/>
      </w:pPr>
      <w:r>
        <w:rPr>
          <w:rFonts w:ascii="Times New Roman" w:eastAsia="Times New Roman" w:hAnsi="Times New Roman" w:cs="Times New Roman"/>
          <w:sz w:val="24"/>
        </w:rPr>
        <w:lastRenderedPageBreak/>
        <w:t>Why is government action needed?</w:t>
      </w:r>
    </w:p>
    <w:p w:rsidR="009A4AA2" w:rsidRPr="00170B37" w:rsidRDefault="00170B37" w:rsidP="00170B37">
      <w:pPr>
        <w:spacing w:after="246" w:line="252" w:lineRule="auto"/>
        <w:ind w:left="341" w:right="91"/>
        <w:jc w:val="both"/>
      </w:pPr>
      <w:r>
        <w:rPr>
          <w:rFonts w:ascii="Times New Roman" w:eastAsia="Times New Roman" w:hAnsi="Times New Roman" w:cs="Times New Roman"/>
          <w:sz w:val="24"/>
        </w:rPr>
        <w:t>The RIS sets out four clear objectives for government. Firstly the creation of a Commonwealth explosives regulatory regime with modern, enduring mechanisms for accommodating Australia's s</w:t>
      </w:r>
      <w:r>
        <w:rPr>
          <w:rFonts w:ascii="Times New Roman" w:eastAsia="Times New Roman" w:hAnsi="Times New Roman" w:cs="Times New Roman"/>
          <w:sz w:val="24"/>
        </w:rPr>
        <w:t>trategic needs and responding to evolving risks. Secondly, a reduction in the likelihood of explosives-related safety and security incidents, through increased compliance and independent oversight. Thirdly, a reduction in regulatory burden,</w:t>
      </w:r>
      <w:r>
        <w:t xml:space="preserve"> </w:t>
      </w:r>
      <w:r w:rsidRPr="00170B37">
        <w:rPr>
          <w:rFonts w:ascii="Times New Roman" w:eastAsia="Times New Roman" w:hAnsi="Times New Roman" w:cs="Times New Roman"/>
          <w:sz w:val="24"/>
        </w:rPr>
        <w:t>resulting in fe</w:t>
      </w:r>
      <w:r w:rsidRPr="00170B37">
        <w:rPr>
          <w:rFonts w:ascii="Times New Roman" w:eastAsia="Times New Roman" w:hAnsi="Times New Roman" w:cs="Times New Roman"/>
          <w:sz w:val="24"/>
        </w:rPr>
        <w:t>wer costs, greater clarity, and improved competition across industry. Finally, a reduction in the likelihood of explosives-related safety and security incidents, through the simplification and removal of competing and ambiguous requirements across regulato</w:t>
      </w:r>
      <w:r w:rsidRPr="00170B37">
        <w:rPr>
          <w:rFonts w:ascii="Times New Roman" w:eastAsia="Times New Roman" w:hAnsi="Times New Roman" w:cs="Times New Roman"/>
          <w:sz w:val="24"/>
        </w:rPr>
        <w:t>ry jurisdictions.</w:t>
      </w:r>
    </w:p>
    <w:p w:rsidR="009A4AA2" w:rsidRDefault="00170B37">
      <w:pPr>
        <w:numPr>
          <w:ilvl w:val="0"/>
          <w:numId w:val="1"/>
        </w:numPr>
        <w:spacing w:after="234"/>
        <w:ind w:right="47" w:hanging="346"/>
        <w:jc w:val="both"/>
      </w:pPr>
      <w:r>
        <w:rPr>
          <w:rFonts w:ascii="Times New Roman" w:eastAsia="Times New Roman" w:hAnsi="Times New Roman" w:cs="Times New Roman"/>
          <w:sz w:val="24"/>
        </w:rPr>
        <w:t>What policy options are you considering?</w:t>
      </w:r>
    </w:p>
    <w:p w:rsidR="009A4AA2" w:rsidRDefault="00170B37">
      <w:pPr>
        <w:spacing w:after="0"/>
        <w:ind w:left="422" w:right="47"/>
        <w:jc w:val="both"/>
      </w:pPr>
      <w:r>
        <w:rPr>
          <w:rFonts w:ascii="Times New Roman" w:eastAsia="Times New Roman" w:hAnsi="Times New Roman" w:cs="Times New Roman"/>
          <w:sz w:val="24"/>
        </w:rPr>
        <w:t>The RIS considers three viable options. Option l</w:t>
      </w:r>
      <w:r>
        <w:rPr>
          <w:rFonts w:ascii="Times New Roman" w:eastAsia="Times New Roman" w:hAnsi="Times New Roman" w:cs="Times New Roman"/>
          <w:sz w:val="24"/>
        </w:rPr>
        <w:t>, allows the Transport and Areas</w:t>
      </w:r>
    </w:p>
    <w:p w:rsidR="009A4AA2" w:rsidRDefault="00170B37">
      <w:pPr>
        <w:spacing w:after="265"/>
        <w:ind w:left="413" w:right="47"/>
        <w:jc w:val="both"/>
      </w:pPr>
      <w:r>
        <w:rPr>
          <w:rFonts w:ascii="Times New Roman" w:eastAsia="Times New Roman" w:hAnsi="Times New Roman" w:cs="Times New Roman"/>
          <w:sz w:val="24"/>
        </w:rPr>
        <w:t xml:space="preserve">Regulations to sunset (a 'non-regulatory' option). Option 2, maintaining the </w:t>
      </w:r>
      <w:r w:rsidRPr="00170B37">
        <w:rPr>
          <w:rFonts w:ascii="Times New Roman" w:eastAsia="Times New Roman" w:hAnsi="Times New Roman" w:cs="Times New Roman"/>
          <w:i/>
          <w:sz w:val="24"/>
        </w:rPr>
        <w:t>Explosives Act 1964</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Cth</w:t>
      </w:r>
      <w:proofErr w:type="spellEnd"/>
      <w:r>
        <w:rPr>
          <w:rFonts w:ascii="Times New Roman" w:eastAsia="Times New Roman" w:hAnsi="Times New Roman" w:cs="Times New Roman"/>
          <w:sz w:val="24"/>
        </w:rPr>
        <w:t>) in its current form and amending the subsidiary regulations only, represents a light-touch regulatory option. Finally, Option 3 considers the introductio</w:t>
      </w:r>
      <w:r>
        <w:rPr>
          <w:rFonts w:ascii="Times New Roman" w:eastAsia="Times New Roman" w:hAnsi="Times New Roman" w:cs="Times New Roman"/>
          <w:sz w:val="24"/>
        </w:rPr>
        <w:t>n of a new regulatory regime, through amendment to primary legislation, subsidiary regulation, and consequential amendments to other legislative frameworks as required.</w:t>
      </w:r>
    </w:p>
    <w:p w:rsidR="009A4AA2" w:rsidRDefault="00170B37">
      <w:pPr>
        <w:numPr>
          <w:ilvl w:val="0"/>
          <w:numId w:val="1"/>
        </w:numPr>
        <w:spacing w:after="234"/>
        <w:ind w:right="47" w:hanging="346"/>
        <w:jc w:val="both"/>
      </w:pPr>
      <w:r>
        <w:rPr>
          <w:rFonts w:ascii="Times New Roman" w:eastAsia="Times New Roman" w:hAnsi="Times New Roman" w:cs="Times New Roman"/>
          <w:sz w:val="24"/>
        </w:rPr>
        <w:t>What is the likely net benefit of each option?</w:t>
      </w:r>
    </w:p>
    <w:p w:rsidR="009A4AA2" w:rsidRDefault="00170B37">
      <w:pPr>
        <w:spacing w:after="234"/>
        <w:ind w:left="403" w:right="47"/>
        <w:jc w:val="both"/>
      </w:pPr>
      <w:r>
        <w:rPr>
          <w:rFonts w:ascii="Times New Roman" w:eastAsia="Times New Roman" w:hAnsi="Times New Roman" w:cs="Times New Roman"/>
          <w:sz w:val="24"/>
        </w:rPr>
        <w:t xml:space="preserve">The RIS, at this stage, offers detailed </w:t>
      </w:r>
      <w:r>
        <w:rPr>
          <w:rFonts w:ascii="Times New Roman" w:eastAsia="Times New Roman" w:hAnsi="Times New Roman" w:cs="Times New Roman"/>
          <w:sz w:val="24"/>
        </w:rPr>
        <w:t>qualitative analysis on the overall impacts and regulatory costs associated with each of the above options. These costs will be quantified in a later version of this RIS, in line with the Regulatory Burden Measurement Framework, and will be supported by in</w:t>
      </w:r>
      <w:r>
        <w:rPr>
          <w:rFonts w:ascii="Times New Roman" w:eastAsia="Times New Roman" w:hAnsi="Times New Roman" w:cs="Times New Roman"/>
          <w:sz w:val="24"/>
        </w:rPr>
        <w:t>sights from relevant stakeholders. In addition, the RIS contains an appropriate consultation plan.</w:t>
      </w:r>
    </w:p>
    <w:p w:rsidR="009A4AA2" w:rsidRDefault="00170B37">
      <w:pPr>
        <w:spacing w:after="243" w:line="248" w:lineRule="auto"/>
        <w:ind w:left="115" w:hanging="5"/>
        <w:jc w:val="both"/>
      </w:pPr>
      <w:r>
        <w:rPr>
          <w:rFonts w:ascii="Times New Roman" w:eastAsia="Times New Roman" w:hAnsi="Times New Roman" w:cs="Times New Roman"/>
        </w:rPr>
        <w:t>I submit the certified RIS to the Office of Best Practice Regulation for early assessment, consistent with best practice.</w:t>
      </w:r>
    </w:p>
    <w:p w:rsidR="009A4AA2" w:rsidRDefault="00170B37">
      <w:pPr>
        <w:spacing w:after="0"/>
        <w:ind w:left="105" w:right="47"/>
        <w:jc w:val="both"/>
      </w:pPr>
      <w:r>
        <w:rPr>
          <w:rFonts w:ascii="Times New Roman" w:eastAsia="Times New Roman" w:hAnsi="Times New Roman" w:cs="Times New Roman"/>
          <w:sz w:val="24"/>
        </w:rPr>
        <w:t>Yours sincerely</w:t>
      </w:r>
    </w:p>
    <w:p w:rsidR="009A4AA2" w:rsidRDefault="00170B37">
      <w:pPr>
        <w:spacing w:after="0"/>
        <w:ind w:left="-173"/>
      </w:pPr>
      <w:r>
        <w:rPr>
          <w:noProof/>
        </w:rPr>
        <w:drawing>
          <wp:inline distT="0" distB="0" distL="0" distR="0">
            <wp:extent cx="1621536" cy="606725"/>
            <wp:effectExtent l="0" t="0" r="0" b="0"/>
            <wp:docPr id="3903" name="Picture 3903"/>
            <wp:cNvGraphicFramePr/>
            <a:graphic xmlns:a="http://schemas.openxmlformats.org/drawingml/2006/main">
              <a:graphicData uri="http://schemas.openxmlformats.org/drawingml/2006/picture">
                <pic:pic xmlns:pic="http://schemas.openxmlformats.org/drawingml/2006/picture">
                  <pic:nvPicPr>
                    <pic:cNvPr id="3903" name="Picture 3903"/>
                    <pic:cNvPicPr/>
                  </pic:nvPicPr>
                  <pic:blipFill>
                    <a:blip r:embed="rId6"/>
                    <a:stretch>
                      <a:fillRect/>
                    </a:stretch>
                  </pic:blipFill>
                  <pic:spPr>
                    <a:xfrm>
                      <a:off x="0" y="0"/>
                      <a:ext cx="1621536" cy="606725"/>
                    </a:xfrm>
                    <a:prstGeom prst="rect">
                      <a:avLst/>
                    </a:prstGeom>
                  </pic:spPr>
                </pic:pic>
              </a:graphicData>
            </a:graphic>
          </wp:inline>
        </w:drawing>
      </w:r>
    </w:p>
    <w:p w:rsidR="009A4AA2" w:rsidRDefault="00170B37">
      <w:pPr>
        <w:spacing w:after="0"/>
        <w:ind w:left="106"/>
      </w:pPr>
      <w:r>
        <w:rPr>
          <w:rFonts w:ascii="Times New Roman" w:eastAsia="Times New Roman" w:hAnsi="Times New Roman" w:cs="Times New Roman"/>
          <w:sz w:val="26"/>
        </w:rPr>
        <w:t>IG Murray</w:t>
      </w:r>
    </w:p>
    <w:p w:rsidR="009A4AA2" w:rsidRDefault="00170B37">
      <w:pPr>
        <w:spacing w:after="10" w:line="248" w:lineRule="auto"/>
        <w:ind w:left="115" w:hanging="5"/>
        <w:jc w:val="both"/>
      </w:pPr>
      <w:r>
        <w:rPr>
          <w:rFonts w:ascii="Times New Roman" w:eastAsia="Times New Roman" w:hAnsi="Times New Roman" w:cs="Times New Roman"/>
        </w:rPr>
        <w:t>Rear Ad</w:t>
      </w:r>
      <w:r>
        <w:rPr>
          <w:rFonts w:ascii="Times New Roman" w:eastAsia="Times New Roman" w:hAnsi="Times New Roman" w:cs="Times New Roman"/>
        </w:rPr>
        <w:t>miral, RAN</w:t>
      </w:r>
    </w:p>
    <w:p w:rsidR="009A4AA2" w:rsidRDefault="00170B37">
      <w:pPr>
        <w:spacing w:after="234"/>
        <w:ind w:left="105" w:right="47"/>
        <w:jc w:val="both"/>
      </w:pPr>
      <w:r>
        <w:rPr>
          <w:rFonts w:ascii="Times New Roman" w:eastAsia="Times New Roman" w:hAnsi="Times New Roman" w:cs="Times New Roman"/>
          <w:sz w:val="24"/>
        </w:rPr>
        <w:t>Acting Chief of Joint Capabilities</w:t>
      </w:r>
    </w:p>
    <w:p w:rsidR="009A4AA2" w:rsidRDefault="00170B37">
      <w:pPr>
        <w:spacing w:after="410"/>
        <w:ind w:left="105" w:right="47"/>
        <w:jc w:val="both"/>
      </w:pPr>
      <w:r>
        <w:rPr>
          <w:rFonts w:ascii="Times New Roman" w:eastAsia="Times New Roman" w:hAnsi="Times New Roman" w:cs="Times New Roman"/>
          <w:sz w:val="24"/>
        </w:rPr>
        <w:t>(02) 6265 6130</w:t>
      </w:r>
    </w:p>
    <w:p w:rsidR="009A4AA2" w:rsidRDefault="00170B37">
      <w:pPr>
        <w:spacing w:after="234"/>
        <w:ind w:left="105" w:right="47"/>
        <w:jc w:val="both"/>
      </w:pPr>
      <w:r>
        <w:rPr>
          <w:rFonts w:ascii="Times New Roman" w:eastAsia="Times New Roman" w:hAnsi="Times New Roman" w:cs="Times New Roman"/>
          <w:sz w:val="24"/>
        </w:rPr>
        <w:t>8 June 2022</w:t>
      </w:r>
    </w:p>
    <w:sectPr w:rsidR="009A4AA2">
      <w:pgSz w:w="11904" w:h="16834"/>
      <w:pgMar w:top="1589" w:right="1584" w:bottom="1428" w:left="15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A14D2"/>
    <w:multiLevelType w:val="hybridMultilevel"/>
    <w:tmpl w:val="C4BCEF0C"/>
    <w:lvl w:ilvl="0" w:tplc="2C726724">
      <w:start w:val="2"/>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4182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BA225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92EC6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A6774C">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881A3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30E71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0D58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C091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A2"/>
    <w:rsid w:val="00170B37"/>
    <w:rsid w:val="009A4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8E21"/>
  <w15:docId w15:val="{F054570A-4342-40DA-ABBB-77D8FAB2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DOCID-322795542-18500</_dlc_DocId>
    <_dlc_DocIdUrl xmlns="4195ad5f-cdf2-4c4a-8d9b-b7944a108e98">
      <Url>https://pmc01.sharepoint.com/sites/CRMOBPR/_layouts/15/DocIdRedir.aspx?ID=DOCID-322795542-18500</Url>
      <Description>DOCID-322795542-18500</Description>
    </_dlc_DocIdUrl>
  </documentManagement>
</p:properties>
</file>

<file path=customXml/itemProps1.xml><?xml version="1.0" encoding="utf-8"?>
<ds:datastoreItem xmlns:ds="http://schemas.openxmlformats.org/officeDocument/2006/customXml" ds:itemID="{6EB6E375-2986-46A4-907D-271551AEF23A}"/>
</file>

<file path=customXml/itemProps2.xml><?xml version="1.0" encoding="utf-8"?>
<ds:datastoreItem xmlns:ds="http://schemas.openxmlformats.org/officeDocument/2006/customXml" ds:itemID="{57D6F4BD-8FAF-4431-B4BD-E6B1F0C9B139}"/>
</file>

<file path=customXml/itemProps3.xml><?xml version="1.0" encoding="utf-8"?>
<ds:datastoreItem xmlns:ds="http://schemas.openxmlformats.org/officeDocument/2006/customXml" ds:itemID="{26230A3F-0A7D-4831-AFE6-C6DE5CD1A607}"/>
</file>

<file path=customXml/itemProps4.xml><?xml version="1.0" encoding="utf-8"?>
<ds:datastoreItem xmlns:ds="http://schemas.openxmlformats.org/officeDocument/2006/customXml" ds:itemID="{E67BC51A-FAC1-4A6D-A4B9-FC8B0804C6FB}"/>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2989</Characters>
  <Application>Microsoft Office Word</Application>
  <DocSecurity>0</DocSecurity>
  <Lines>24</Lines>
  <Paragraphs>7</Paragraphs>
  <ScaleCrop>false</ScaleCrop>
  <Company>Department of the Prime Minister and Cabinet</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SAFA17331.d22060810122</dc:title>
  <dc:subject/>
  <dc:creator>sineid.doyle@defence.gov.au</dc:creator>
  <cp:keywords/>
  <cp:lastModifiedBy>Vines, Harry</cp:lastModifiedBy>
  <cp:revision>2</cp:revision>
  <dcterms:created xsi:type="dcterms:W3CDTF">2022-08-02T23:53:00Z</dcterms:created>
  <dcterms:modified xsi:type="dcterms:W3CDTF">2022-08-02T23:53:00Z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8f4a5376-7917-4e9f-a943-047a5dc2b7f6</vt:lpwstr>
  </property>
  <property fmtid="{D5CDD505-2E9C-101B-9397-08002B2CF9AE}" pid="4" name="MediaServiceImageTags">
    <vt:lpwstr/>
  </property>
</Properties>
</file>