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C54" w:rsidRDefault="00C47C54" w:rsidP="00ED3CD3">
      <w:bookmarkStart w:id="0" w:name="_GoBack"/>
      <w:bookmarkEnd w:id="0"/>
    </w:p>
    <w:p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9264" behindDoc="0" locked="0" layoutInCell="1" allowOverlap="1" wp14:anchorId="1B7E4172" wp14:editId="55A17062">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14D" w:rsidRPr="00694C76" w:rsidRDefault="00FE5B7F" w:rsidP="00B6214D">
                            <w:pPr>
                              <w:pStyle w:val="Title"/>
                            </w:pPr>
                            <w:r>
                              <w:t>RESPONSE TO SUBMISSIONS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7E4172" id="Rectangle 12" o:spid="_x0000_s1026" alt="Title: Background shape - Description: Background shape" style="position:absolute;left:0;text-align:left;margin-left:51.05pt;margin-top:96.35pt;width:187.65pt;height:54.4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rsidR="00B6214D" w:rsidRPr="00694C76" w:rsidRDefault="00FE5B7F" w:rsidP="00B6214D">
                      <w:pPr>
                        <w:pStyle w:val="Title"/>
                      </w:pPr>
                      <w:r>
                        <w:t>RESPONSE TO SUBMISSIONS</w:t>
                      </w:r>
                    </w:p>
                  </w:txbxContent>
                </v:textbox>
                <w10:wrap anchorx="page"/>
              </v:rect>
            </w:pict>
          </mc:Fallback>
        </mc:AlternateContent>
      </w:r>
      <w:r w:rsidR="00FE5B7F">
        <w:t>RESPONSE TO SUBMISSIONS</w:t>
      </w:r>
      <w:r w:rsidR="00FE110C" w:rsidRPr="008A3584">
        <w:rPr>
          <w:noProof/>
          <w:lang w:eastAsia="en-AU"/>
        </w:rPr>
        <mc:AlternateContent>
          <mc:Choice Requires="wps">
            <w:drawing>
              <wp:anchor distT="0" distB="0" distL="114300" distR="114300" simplePos="0" relativeHeight="251657214" behindDoc="1" locked="0" layoutInCell="1" allowOverlap="1" wp14:anchorId="4470E18D" wp14:editId="10E0DD25">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10C" w:rsidRDefault="00FE5B7F" w:rsidP="00FE110C">
                            <w:pPr>
                              <w:pStyle w:val="PaperTitle"/>
                            </w:pPr>
                            <w:r>
                              <w:t>APS 111 Capital Adequacy: Measurement of Capital</w:t>
                            </w:r>
                          </w:p>
                          <w:p w:rsidR="00FE110C" w:rsidRPr="00FE110C" w:rsidRDefault="00FE5B7F" w:rsidP="00FE110C">
                            <w:pPr>
                              <w:pStyle w:val="CoverDate"/>
                            </w:pPr>
                            <w:r>
                              <w:t>10 May 2021</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70E18D" id="Rectangle 6" o:spid="_x0000_s1027" alt="Title: Background shape - Description: Background shape" style="position:absolute;left:0;text-align:left;margin-left:-1in;margin-top:80.25pt;width:525.55pt;height:239.8pt;z-index:-25165926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rsidR="00FE110C" w:rsidRDefault="00FE5B7F" w:rsidP="00FE110C">
                      <w:pPr>
                        <w:pStyle w:val="PaperTitle"/>
                      </w:pPr>
                      <w:r>
                        <w:t>APS 111 Capital Adequacy: Measurement of Capital</w:t>
                      </w:r>
                    </w:p>
                    <w:p w:rsidR="00FE110C" w:rsidRPr="00FE110C" w:rsidRDefault="00FE5B7F" w:rsidP="00FE110C">
                      <w:pPr>
                        <w:pStyle w:val="CoverDate"/>
                      </w:pPr>
                      <w:r>
                        <w:t>10 May 2021</w:t>
                      </w:r>
                    </w:p>
                  </w:txbxContent>
                </v:textbox>
                <w10:wrap anchorx="margin" anchory="margin"/>
              </v:rect>
            </w:pict>
          </mc:Fallback>
        </mc:AlternateContent>
      </w:r>
    </w:p>
    <w:p w:rsidR="003B51A4" w:rsidRDefault="003B51A4" w:rsidP="00C47C54">
      <w:r>
        <w:br w:type="page"/>
      </w:r>
    </w:p>
    <w:p w:rsidR="003B51A4" w:rsidRPr="005923AB" w:rsidRDefault="005923AB" w:rsidP="005923AB">
      <w:pPr>
        <w:rPr>
          <w:rFonts w:eastAsiaTheme="majorEastAsia" w:cstheme="majorBidi"/>
          <w:sz w:val="90"/>
          <w:szCs w:val="52"/>
        </w:rPr>
      </w:pPr>
      <w:r w:rsidRPr="005923AB">
        <w:rPr>
          <w:noProof/>
          <w:lang w:eastAsia="en-AU"/>
        </w:rPr>
        <w:lastRenderedPageBreak/>
        <mc:AlternateContent>
          <mc:Choice Requires="wps">
            <w:drawing>
              <wp:anchor distT="0" distB="0" distL="114300" distR="114300" simplePos="0" relativeHeight="251681792" behindDoc="0" locked="0" layoutInCell="1" allowOverlap="1" wp14:anchorId="203A7FEB" wp14:editId="7F4A1988">
                <wp:simplePos x="0" y="0"/>
                <wp:positionH relativeFrom="column">
                  <wp:posOffset>4542</wp:posOffset>
                </wp:positionH>
                <wp:positionV relativeFrom="paragraph">
                  <wp:posOffset>6130778</wp:posOffset>
                </wp:positionV>
                <wp:extent cx="5743575" cy="265747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5743575" cy="26574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23AB" w:rsidRPr="00331560" w:rsidRDefault="005923AB" w:rsidP="005923AB">
                            <w:pPr>
                              <w:pStyle w:val="BasicParagraph"/>
                              <w:spacing w:after="240"/>
                              <w:rPr>
                                <w:rFonts w:ascii="DIN OT Medium" w:hAnsi="DIN OT Medium" w:cs="DIN Offc"/>
                                <w:bCs/>
                                <w:color w:val="000000" w:themeColor="text1"/>
                                <w:sz w:val="28"/>
                                <w:szCs w:val="28"/>
                              </w:rPr>
                            </w:pPr>
                            <w:r w:rsidRPr="00331560">
                              <w:rPr>
                                <w:rFonts w:ascii="DIN OT Medium" w:hAnsi="DIN OT Medium" w:cs="DIN Offc"/>
                                <w:bCs/>
                                <w:color w:val="000000" w:themeColor="text1"/>
                                <w:sz w:val="28"/>
                                <w:szCs w:val="28"/>
                              </w:rPr>
                              <w:t>Disclaimer and Copyright</w:t>
                            </w:r>
                          </w:p>
                          <w:p w:rsidR="005923AB" w:rsidRPr="009D42A8" w:rsidRDefault="005923AB" w:rsidP="005923AB">
                            <w:pPr>
                              <w:pStyle w:val="APRANORMAL"/>
                              <w:rPr>
                                <w:color w:val="000000" w:themeColor="text1"/>
                              </w:rPr>
                            </w:pPr>
                            <w:r w:rsidRPr="009D42A8">
                              <w:rPr>
                                <w:color w:val="000000" w:themeColor="text1"/>
                              </w:rPr>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rsidR="005923AB" w:rsidRPr="009D42A8" w:rsidRDefault="005923AB" w:rsidP="005923AB">
                            <w:pPr>
                              <w:rPr>
                                <w:rFonts w:ascii="DIN Offc Medium" w:hAnsi="DIN Offc Medium"/>
                                <w:color w:val="000000" w:themeColor="text1"/>
                              </w:rPr>
                            </w:pPr>
                            <w:r w:rsidRPr="009D42A8">
                              <w:rPr>
                                <w:rFonts w:ascii="DIN Offc Medium" w:hAnsi="DIN Offc Medium"/>
                                <w:color w:val="000000" w:themeColor="text1"/>
                              </w:rPr>
                              <w:t>© Australian Prudential Regulation Authority (APRA)</w:t>
                            </w:r>
                          </w:p>
                          <w:p w:rsidR="005923AB" w:rsidRPr="00785B01" w:rsidRDefault="005923AB" w:rsidP="005923AB">
                            <w:pPr>
                              <w:pStyle w:val="APRANORMAL"/>
                            </w:pPr>
                            <w:r w:rsidRPr="00785B01">
                              <w:rPr>
                                <w:color w:val="000000" w:themeColor="text1"/>
                              </w:rPr>
                              <w:t xml:space="preserve">This work is licensed under the Creative Commons Attribution 3.0 Australia Licence </w:t>
                            </w:r>
                            <w:r w:rsidRPr="00785B01">
                              <w:rPr>
                                <w:color w:val="000000" w:themeColor="text1"/>
                              </w:rPr>
                              <w:br/>
                              <w:t xml:space="preserve">(CCBY 3.0). This licence allows you to copy, distribute and adapt this work, provided you attribute the work and do not suggest that APRA endorses you or your work. To view a full copy of the terms of this licence, visit </w:t>
                            </w:r>
                            <w:hyperlink r:id="rId8" w:history="1">
                              <w:r w:rsidRPr="00BA7C0B">
                                <w:rPr>
                                  <w:rStyle w:val="Hyperlink"/>
                                </w:rPr>
                                <w:t>https://creativecommons.org/licenses/by/3.0/au/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A7FEB" id="Rectangle 17" o:spid="_x0000_s1028" style="position:absolute;left:0;text-align:left;margin-left:.35pt;margin-top:482.75pt;width:452.25pt;height:20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" fillcolor="#d8d8d8 [2732]" stroked="f" strokeweight="2pt">
                <v:textbox>
                  <w:txbxContent>
                    <w:p w:rsidR="005923AB" w:rsidRPr="00331560" w:rsidRDefault="005923AB" w:rsidP="005923AB">
                      <w:pPr>
                        <w:pStyle w:val="BasicParagraph"/>
                        <w:spacing w:after="240"/>
                        <w:rPr>
                          <w:rFonts w:ascii="DIN OT Medium" w:hAnsi="DIN OT Medium" w:cs="DIN Offc"/>
                          <w:bCs/>
                          <w:color w:val="000000" w:themeColor="text1"/>
                          <w:sz w:val="28"/>
                          <w:szCs w:val="28"/>
                        </w:rPr>
                      </w:pPr>
                      <w:r w:rsidRPr="00331560">
                        <w:rPr>
                          <w:rFonts w:ascii="DIN OT Medium" w:hAnsi="DIN OT Medium" w:cs="DIN Offc"/>
                          <w:bCs/>
                          <w:color w:val="000000" w:themeColor="text1"/>
                          <w:sz w:val="28"/>
                          <w:szCs w:val="28"/>
                        </w:rPr>
                        <w:t>Disclaimer and Copyright</w:t>
                      </w:r>
                    </w:p>
                    <w:p w:rsidR="005923AB" w:rsidRPr="009D42A8" w:rsidRDefault="005923AB" w:rsidP="005923AB">
                      <w:pPr>
                        <w:pStyle w:val="APRANORMAL"/>
                        <w:rPr>
                          <w:color w:val="000000" w:themeColor="text1"/>
                        </w:rPr>
                      </w:pPr>
                      <w:r w:rsidRPr="009D42A8">
                        <w:rPr>
                          <w:color w:val="000000" w:themeColor="text1"/>
                        </w:rPr>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w:t>
                      </w:r>
                      <w:bookmarkStart w:id="1" w:name="_GoBack"/>
                      <w:bookmarkEnd w:id="1"/>
                      <w:r w:rsidRPr="009D42A8">
                        <w:rPr>
                          <w:color w:val="000000" w:themeColor="text1"/>
                        </w:rPr>
                        <w:t>ication.</w:t>
                      </w:r>
                    </w:p>
                    <w:p w:rsidR="005923AB" w:rsidRPr="009D42A8" w:rsidRDefault="005923AB" w:rsidP="005923AB">
                      <w:pPr>
                        <w:rPr>
                          <w:rFonts w:ascii="DIN Offc Medium" w:hAnsi="DIN Offc Medium"/>
                          <w:color w:val="000000" w:themeColor="text1"/>
                        </w:rPr>
                      </w:pPr>
                      <w:r w:rsidRPr="009D42A8">
                        <w:rPr>
                          <w:rFonts w:ascii="DIN Offc Medium" w:hAnsi="DIN Offc Medium"/>
                          <w:color w:val="000000" w:themeColor="text1"/>
                        </w:rPr>
                        <w:t>© Australian Prudential Regulation Authority (APRA)</w:t>
                      </w:r>
                    </w:p>
                    <w:p w:rsidR="005923AB" w:rsidRPr="00785B01" w:rsidRDefault="005923AB" w:rsidP="005923AB">
                      <w:pPr>
                        <w:pStyle w:val="APRANORMAL"/>
                      </w:pPr>
                      <w:r w:rsidRPr="00785B01">
                        <w:rPr>
                          <w:color w:val="000000" w:themeColor="text1"/>
                        </w:rPr>
                        <w:t xml:space="preserve">This work is licensed under the Creative Commons Attribution 3.0 Australia Licence </w:t>
                      </w:r>
                      <w:r w:rsidRPr="00785B01">
                        <w:rPr>
                          <w:color w:val="000000" w:themeColor="text1"/>
                        </w:rPr>
                        <w:br/>
                        <w:t xml:space="preserve">(CCBY 3.0). This licence allows you to copy, distribute and adapt this work, provided you attribute the work and do not suggest that APRA endorses you or your work. To view a full copy of the terms of this licence, visit </w:t>
                      </w:r>
                      <w:hyperlink r:id="rId10" w:history="1">
                        <w:r w:rsidRPr="00BA7C0B">
                          <w:rPr>
                            <w:rStyle w:val="Hyperlink"/>
                          </w:rPr>
                          <w:t>https://creativecommons.org/licenses/by/3.0/au/</w:t>
                        </w:r>
                      </w:hyperlink>
                    </w:p>
                  </w:txbxContent>
                </v:textbox>
              </v:rect>
            </w:pict>
          </mc:Fallback>
        </mc:AlternateContent>
      </w:r>
      <w:r w:rsidR="003B51A4" w:rsidRPr="005923AB">
        <w:br w:type="page"/>
      </w:r>
    </w:p>
    <w:p w:rsidR="00C636DA" w:rsidRPr="005923AB" w:rsidRDefault="00C636DA" w:rsidP="005923AB">
      <w:pPr>
        <w:pStyle w:val="TOCHeading"/>
      </w:pPr>
      <w:r w:rsidRPr="005923AB">
        <w:lastRenderedPageBreak/>
        <w:t>Contents</w:t>
      </w:r>
    </w:p>
    <w:p w:rsidR="007F793C" w:rsidRDefault="00AD393D">
      <w:pPr>
        <w:pStyle w:val="TOC1"/>
        <w:rPr>
          <w:rFonts w:asciiTheme="minorHAnsi" w:eastAsiaTheme="minorEastAsia" w:hAnsiTheme="minorHAnsi"/>
          <w:noProof/>
          <w:color w:val="auto"/>
          <w:lang w:eastAsia="en-AU"/>
        </w:rPr>
      </w:pPr>
      <w:r>
        <w:rPr>
          <w:rFonts w:ascii="DIN OT Light" w:hAnsi="DIN OT Light"/>
          <w:noProof/>
          <w:lang w:val="en-US"/>
        </w:rPr>
        <w:fldChar w:fldCharType="begin"/>
      </w:r>
      <w:r w:rsidRPr="005923AB">
        <w:rPr>
          <w:noProof/>
          <w:lang w:val="en-US"/>
        </w:rPr>
        <w:instrText xml:space="preserve"> TOC \o "1-3" \h \z \u </w:instrText>
      </w:r>
      <w:r>
        <w:rPr>
          <w:rFonts w:ascii="DIN OT Light" w:hAnsi="DIN OT Light"/>
          <w:noProof/>
          <w:lang w:val="en-US"/>
        </w:rPr>
        <w:fldChar w:fldCharType="separate"/>
      </w:r>
      <w:hyperlink w:anchor="_Toc71274556" w:history="1">
        <w:r w:rsidR="007F793C" w:rsidRPr="00AE34C9">
          <w:rPr>
            <w:rStyle w:val="Hyperlink"/>
            <w:noProof/>
          </w:rPr>
          <w:t>Executive summary</w:t>
        </w:r>
        <w:r w:rsidR="007F793C">
          <w:rPr>
            <w:noProof/>
            <w:webHidden/>
          </w:rPr>
          <w:tab/>
        </w:r>
        <w:r w:rsidR="007F793C">
          <w:rPr>
            <w:noProof/>
            <w:webHidden/>
          </w:rPr>
          <w:fldChar w:fldCharType="begin"/>
        </w:r>
        <w:r w:rsidR="007F793C">
          <w:rPr>
            <w:noProof/>
            <w:webHidden/>
          </w:rPr>
          <w:instrText xml:space="preserve"> PAGEREF _Toc71274556 \h </w:instrText>
        </w:r>
        <w:r w:rsidR="007F793C">
          <w:rPr>
            <w:noProof/>
            <w:webHidden/>
          </w:rPr>
        </w:r>
        <w:r w:rsidR="007F793C">
          <w:rPr>
            <w:noProof/>
            <w:webHidden/>
          </w:rPr>
          <w:fldChar w:fldCharType="separate"/>
        </w:r>
        <w:r w:rsidR="00FE5B7F">
          <w:rPr>
            <w:noProof/>
            <w:webHidden/>
          </w:rPr>
          <w:t>4</w:t>
        </w:r>
        <w:r w:rsidR="007F793C">
          <w:rPr>
            <w:noProof/>
            <w:webHidden/>
          </w:rPr>
          <w:fldChar w:fldCharType="end"/>
        </w:r>
      </w:hyperlink>
    </w:p>
    <w:p w:rsidR="007F793C" w:rsidRDefault="00F43A77">
      <w:pPr>
        <w:pStyle w:val="TOC1"/>
        <w:rPr>
          <w:rFonts w:asciiTheme="minorHAnsi" w:eastAsiaTheme="minorEastAsia" w:hAnsiTheme="minorHAnsi"/>
          <w:noProof/>
          <w:color w:val="auto"/>
          <w:lang w:eastAsia="en-AU"/>
        </w:rPr>
      </w:pPr>
      <w:hyperlink w:anchor="_Toc71274557" w:history="1">
        <w:r w:rsidR="007F793C" w:rsidRPr="00AE34C9">
          <w:rPr>
            <w:rStyle w:val="Hyperlink"/>
            <w:noProof/>
          </w:rPr>
          <w:t>Glossary</w:t>
        </w:r>
        <w:r w:rsidR="007F793C">
          <w:rPr>
            <w:noProof/>
            <w:webHidden/>
          </w:rPr>
          <w:tab/>
        </w:r>
        <w:r w:rsidR="007F793C">
          <w:rPr>
            <w:noProof/>
            <w:webHidden/>
          </w:rPr>
          <w:fldChar w:fldCharType="begin"/>
        </w:r>
        <w:r w:rsidR="007F793C">
          <w:rPr>
            <w:noProof/>
            <w:webHidden/>
          </w:rPr>
          <w:instrText xml:space="preserve"> PAGEREF _Toc71274557 \h </w:instrText>
        </w:r>
        <w:r w:rsidR="007F793C">
          <w:rPr>
            <w:noProof/>
            <w:webHidden/>
          </w:rPr>
        </w:r>
        <w:r w:rsidR="007F793C">
          <w:rPr>
            <w:noProof/>
            <w:webHidden/>
          </w:rPr>
          <w:fldChar w:fldCharType="separate"/>
        </w:r>
        <w:r w:rsidR="00FE5B7F">
          <w:rPr>
            <w:noProof/>
            <w:webHidden/>
          </w:rPr>
          <w:t>6</w:t>
        </w:r>
        <w:r w:rsidR="007F793C">
          <w:rPr>
            <w:noProof/>
            <w:webHidden/>
          </w:rPr>
          <w:fldChar w:fldCharType="end"/>
        </w:r>
      </w:hyperlink>
    </w:p>
    <w:p w:rsidR="007F793C" w:rsidRDefault="00F43A77">
      <w:pPr>
        <w:pStyle w:val="TOC1"/>
        <w:rPr>
          <w:rFonts w:asciiTheme="minorHAnsi" w:eastAsiaTheme="minorEastAsia" w:hAnsiTheme="minorHAnsi"/>
          <w:noProof/>
          <w:color w:val="auto"/>
          <w:lang w:eastAsia="en-AU"/>
        </w:rPr>
      </w:pPr>
      <w:hyperlink w:anchor="_Toc71274558" w:history="1">
        <w:r w:rsidR="007F793C" w:rsidRPr="00AE34C9">
          <w:rPr>
            <w:rStyle w:val="Hyperlink"/>
            <w:noProof/>
          </w:rPr>
          <w:t>Chapter 1 - Introduction</w:t>
        </w:r>
        <w:r w:rsidR="007F793C">
          <w:rPr>
            <w:noProof/>
            <w:webHidden/>
          </w:rPr>
          <w:tab/>
        </w:r>
        <w:r w:rsidR="007F793C">
          <w:rPr>
            <w:noProof/>
            <w:webHidden/>
          </w:rPr>
          <w:fldChar w:fldCharType="begin"/>
        </w:r>
        <w:r w:rsidR="007F793C">
          <w:rPr>
            <w:noProof/>
            <w:webHidden/>
          </w:rPr>
          <w:instrText xml:space="preserve"> PAGEREF _Toc71274558 \h </w:instrText>
        </w:r>
        <w:r w:rsidR="007F793C">
          <w:rPr>
            <w:noProof/>
            <w:webHidden/>
          </w:rPr>
        </w:r>
        <w:r w:rsidR="007F793C">
          <w:rPr>
            <w:noProof/>
            <w:webHidden/>
          </w:rPr>
          <w:fldChar w:fldCharType="separate"/>
        </w:r>
        <w:r w:rsidR="00FE5B7F">
          <w:rPr>
            <w:noProof/>
            <w:webHidden/>
          </w:rPr>
          <w:t>7</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59" w:history="1">
        <w:r w:rsidR="007F793C" w:rsidRPr="00AE34C9">
          <w:rPr>
            <w:rStyle w:val="Hyperlink"/>
            <w:noProof/>
          </w:rPr>
          <w:t>First consultation – October 2019</w:t>
        </w:r>
        <w:r w:rsidR="007F793C">
          <w:rPr>
            <w:noProof/>
            <w:webHidden/>
          </w:rPr>
          <w:tab/>
        </w:r>
        <w:r w:rsidR="007F793C">
          <w:rPr>
            <w:noProof/>
            <w:webHidden/>
          </w:rPr>
          <w:fldChar w:fldCharType="begin"/>
        </w:r>
        <w:r w:rsidR="007F793C">
          <w:rPr>
            <w:noProof/>
            <w:webHidden/>
          </w:rPr>
          <w:instrText xml:space="preserve"> PAGEREF _Toc71274559 \h </w:instrText>
        </w:r>
        <w:r w:rsidR="007F793C">
          <w:rPr>
            <w:noProof/>
            <w:webHidden/>
          </w:rPr>
        </w:r>
        <w:r w:rsidR="007F793C">
          <w:rPr>
            <w:noProof/>
            <w:webHidden/>
          </w:rPr>
          <w:fldChar w:fldCharType="separate"/>
        </w:r>
        <w:r w:rsidR="00FE5B7F">
          <w:rPr>
            <w:noProof/>
            <w:webHidden/>
          </w:rPr>
          <w:t>7</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60" w:history="1">
        <w:r w:rsidR="007F793C" w:rsidRPr="00AE34C9">
          <w:rPr>
            <w:rStyle w:val="Hyperlink"/>
            <w:noProof/>
          </w:rPr>
          <w:t>Second consultation – May 2021</w:t>
        </w:r>
        <w:r w:rsidR="007F793C">
          <w:rPr>
            <w:noProof/>
            <w:webHidden/>
          </w:rPr>
          <w:tab/>
        </w:r>
        <w:r w:rsidR="007F793C">
          <w:rPr>
            <w:noProof/>
            <w:webHidden/>
          </w:rPr>
          <w:fldChar w:fldCharType="begin"/>
        </w:r>
        <w:r w:rsidR="007F793C">
          <w:rPr>
            <w:noProof/>
            <w:webHidden/>
          </w:rPr>
          <w:instrText xml:space="preserve"> PAGEREF _Toc71274560 \h </w:instrText>
        </w:r>
        <w:r w:rsidR="007F793C">
          <w:rPr>
            <w:noProof/>
            <w:webHidden/>
          </w:rPr>
        </w:r>
        <w:r w:rsidR="007F793C">
          <w:rPr>
            <w:noProof/>
            <w:webHidden/>
          </w:rPr>
          <w:fldChar w:fldCharType="separate"/>
        </w:r>
        <w:r w:rsidR="00FE5B7F">
          <w:rPr>
            <w:noProof/>
            <w:webHidden/>
          </w:rPr>
          <w:t>8</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61" w:history="1">
        <w:r w:rsidR="007F793C" w:rsidRPr="00AE34C9">
          <w:rPr>
            <w:rStyle w:val="Hyperlink"/>
            <w:noProof/>
          </w:rPr>
          <w:t>Implementation timetable</w:t>
        </w:r>
        <w:r w:rsidR="007F793C">
          <w:rPr>
            <w:noProof/>
            <w:webHidden/>
          </w:rPr>
          <w:tab/>
        </w:r>
        <w:r w:rsidR="007F793C">
          <w:rPr>
            <w:noProof/>
            <w:webHidden/>
          </w:rPr>
          <w:fldChar w:fldCharType="begin"/>
        </w:r>
        <w:r w:rsidR="007F793C">
          <w:rPr>
            <w:noProof/>
            <w:webHidden/>
          </w:rPr>
          <w:instrText xml:space="preserve"> PAGEREF _Toc71274561 \h </w:instrText>
        </w:r>
        <w:r w:rsidR="007F793C">
          <w:rPr>
            <w:noProof/>
            <w:webHidden/>
          </w:rPr>
        </w:r>
        <w:r w:rsidR="007F793C">
          <w:rPr>
            <w:noProof/>
            <w:webHidden/>
          </w:rPr>
          <w:fldChar w:fldCharType="separate"/>
        </w:r>
        <w:r w:rsidR="00FE5B7F">
          <w:rPr>
            <w:noProof/>
            <w:webHidden/>
          </w:rPr>
          <w:t>8</w:t>
        </w:r>
        <w:r w:rsidR="007F793C">
          <w:rPr>
            <w:noProof/>
            <w:webHidden/>
          </w:rPr>
          <w:fldChar w:fldCharType="end"/>
        </w:r>
      </w:hyperlink>
    </w:p>
    <w:p w:rsidR="007F793C" w:rsidRDefault="00F43A77">
      <w:pPr>
        <w:pStyle w:val="TOC1"/>
        <w:rPr>
          <w:rFonts w:asciiTheme="minorHAnsi" w:eastAsiaTheme="minorEastAsia" w:hAnsiTheme="minorHAnsi"/>
          <w:noProof/>
          <w:color w:val="auto"/>
          <w:lang w:eastAsia="en-AU"/>
        </w:rPr>
      </w:pPr>
      <w:hyperlink w:anchor="_Toc71274562" w:history="1">
        <w:r w:rsidR="007F793C" w:rsidRPr="00AE34C9">
          <w:rPr>
            <w:rStyle w:val="Hyperlink"/>
            <w:noProof/>
          </w:rPr>
          <w:t>Chapter 2 - Response to consultation</w:t>
        </w:r>
        <w:r w:rsidR="007F793C">
          <w:rPr>
            <w:noProof/>
            <w:webHidden/>
          </w:rPr>
          <w:tab/>
        </w:r>
        <w:r w:rsidR="007F793C">
          <w:rPr>
            <w:noProof/>
            <w:webHidden/>
          </w:rPr>
          <w:fldChar w:fldCharType="begin"/>
        </w:r>
        <w:r w:rsidR="007F793C">
          <w:rPr>
            <w:noProof/>
            <w:webHidden/>
          </w:rPr>
          <w:instrText xml:space="preserve"> PAGEREF _Toc71274562 \h </w:instrText>
        </w:r>
        <w:r w:rsidR="007F793C">
          <w:rPr>
            <w:noProof/>
            <w:webHidden/>
          </w:rPr>
        </w:r>
        <w:r w:rsidR="007F793C">
          <w:rPr>
            <w:noProof/>
            <w:webHidden/>
          </w:rPr>
          <w:fldChar w:fldCharType="separate"/>
        </w:r>
        <w:r w:rsidR="00FE5B7F">
          <w:rPr>
            <w:noProof/>
            <w:webHidden/>
          </w:rPr>
          <w:t>9</w:t>
        </w:r>
        <w:r w:rsidR="007F793C">
          <w:rPr>
            <w:noProof/>
            <w:webHidden/>
          </w:rPr>
          <w:fldChar w:fldCharType="end"/>
        </w:r>
      </w:hyperlink>
    </w:p>
    <w:p w:rsidR="007F793C" w:rsidRDefault="00F43A77" w:rsidP="007F793C">
      <w:pPr>
        <w:pStyle w:val="TOC2"/>
        <w:rPr>
          <w:rFonts w:asciiTheme="minorHAnsi" w:eastAsiaTheme="minorEastAsia" w:hAnsiTheme="minorHAnsi"/>
          <w:noProof/>
          <w:color w:val="auto"/>
          <w:lang w:eastAsia="en-AU"/>
        </w:rPr>
      </w:pPr>
      <w:hyperlink w:anchor="_Toc71274563" w:history="1">
        <w:r w:rsidR="007F793C" w:rsidRPr="00AE34C9">
          <w:rPr>
            <w:rStyle w:val="Hyperlink"/>
            <w:noProof/>
            <w14:scene3d>
              <w14:camera w14:prst="orthographicFront"/>
              <w14:lightRig w14:rig="threePt" w14:dir="t">
                <w14:rot w14:lat="0" w14:lon="0" w14:rev="0"/>
              </w14:lightRig>
            </w14:scene3d>
          </w:rPr>
          <w:t>2.1</w:t>
        </w:r>
        <w:r w:rsidR="007F793C">
          <w:rPr>
            <w:rFonts w:asciiTheme="minorHAnsi" w:eastAsiaTheme="minorEastAsia" w:hAnsiTheme="minorHAnsi"/>
            <w:noProof/>
            <w:color w:val="auto"/>
            <w:lang w:eastAsia="en-AU"/>
          </w:rPr>
          <w:tab/>
        </w:r>
        <w:r w:rsidR="007F793C" w:rsidRPr="00AE34C9">
          <w:rPr>
            <w:rStyle w:val="Hyperlink"/>
            <w:noProof/>
          </w:rPr>
          <w:t>Key policy issues</w:t>
        </w:r>
        <w:r w:rsidR="007F793C">
          <w:rPr>
            <w:noProof/>
            <w:webHidden/>
          </w:rPr>
          <w:tab/>
        </w:r>
        <w:r w:rsidR="007F793C">
          <w:rPr>
            <w:noProof/>
            <w:webHidden/>
          </w:rPr>
          <w:fldChar w:fldCharType="begin"/>
        </w:r>
        <w:r w:rsidR="007F793C">
          <w:rPr>
            <w:noProof/>
            <w:webHidden/>
          </w:rPr>
          <w:instrText xml:space="preserve"> PAGEREF _Toc71274563 \h </w:instrText>
        </w:r>
        <w:r w:rsidR="007F793C">
          <w:rPr>
            <w:noProof/>
            <w:webHidden/>
          </w:rPr>
        </w:r>
        <w:r w:rsidR="007F793C">
          <w:rPr>
            <w:noProof/>
            <w:webHidden/>
          </w:rPr>
          <w:fldChar w:fldCharType="separate"/>
        </w:r>
        <w:r w:rsidR="00FE5B7F">
          <w:rPr>
            <w:noProof/>
            <w:webHidden/>
          </w:rPr>
          <w:t>9</w:t>
        </w:r>
        <w:r w:rsidR="007F793C">
          <w:rPr>
            <w:noProof/>
            <w:webHidden/>
          </w:rPr>
          <w:fldChar w:fldCharType="end"/>
        </w:r>
      </w:hyperlink>
    </w:p>
    <w:p w:rsidR="007F793C" w:rsidRDefault="00F43A77" w:rsidP="007F793C">
      <w:pPr>
        <w:pStyle w:val="TOC2"/>
        <w:rPr>
          <w:rFonts w:asciiTheme="minorHAnsi" w:eastAsiaTheme="minorEastAsia" w:hAnsiTheme="minorHAnsi"/>
          <w:noProof/>
          <w:color w:val="auto"/>
          <w:lang w:eastAsia="en-AU"/>
        </w:rPr>
      </w:pPr>
      <w:hyperlink w:anchor="_Toc71274567" w:history="1">
        <w:r w:rsidR="007F793C" w:rsidRPr="00AE34C9">
          <w:rPr>
            <w:rStyle w:val="Hyperlink"/>
            <w:noProof/>
            <w14:scene3d>
              <w14:camera w14:prst="orthographicFront"/>
              <w14:lightRig w14:rig="threePt" w14:dir="t">
                <w14:rot w14:lat="0" w14:lon="0" w14:rev="0"/>
              </w14:lightRig>
            </w14:scene3d>
          </w:rPr>
          <w:t>2.2</w:t>
        </w:r>
        <w:r w:rsidR="007F793C">
          <w:rPr>
            <w:rFonts w:asciiTheme="minorHAnsi" w:eastAsiaTheme="minorEastAsia" w:hAnsiTheme="minorHAnsi"/>
            <w:noProof/>
            <w:color w:val="auto"/>
            <w:lang w:eastAsia="en-AU"/>
          </w:rPr>
          <w:tab/>
        </w:r>
        <w:r w:rsidR="007F793C" w:rsidRPr="00AE34C9">
          <w:rPr>
            <w:rStyle w:val="Hyperlink"/>
            <w:noProof/>
          </w:rPr>
          <w:t>Other policy issues</w:t>
        </w:r>
        <w:r w:rsidR="007F793C">
          <w:rPr>
            <w:noProof/>
            <w:webHidden/>
          </w:rPr>
          <w:tab/>
        </w:r>
        <w:r w:rsidR="007F793C">
          <w:rPr>
            <w:noProof/>
            <w:webHidden/>
          </w:rPr>
          <w:fldChar w:fldCharType="begin"/>
        </w:r>
        <w:r w:rsidR="007F793C">
          <w:rPr>
            <w:noProof/>
            <w:webHidden/>
          </w:rPr>
          <w:instrText xml:space="preserve"> PAGEREF _Toc71274567 \h </w:instrText>
        </w:r>
        <w:r w:rsidR="007F793C">
          <w:rPr>
            <w:noProof/>
            <w:webHidden/>
          </w:rPr>
        </w:r>
        <w:r w:rsidR="007F793C">
          <w:rPr>
            <w:noProof/>
            <w:webHidden/>
          </w:rPr>
          <w:fldChar w:fldCharType="separate"/>
        </w:r>
        <w:r w:rsidR="00FE5B7F">
          <w:rPr>
            <w:noProof/>
            <w:webHidden/>
          </w:rPr>
          <w:t>11</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74" w:history="1">
        <w:r w:rsidR="007F793C" w:rsidRPr="00AE34C9">
          <w:rPr>
            <w:rStyle w:val="Hyperlink"/>
            <w:noProof/>
            <w14:scene3d>
              <w14:camera w14:prst="orthographicFront"/>
              <w14:lightRig w14:rig="threePt" w14:dir="t">
                <w14:rot w14:lat="0" w14:lon="0" w14:rev="0"/>
              </w14:lightRig>
            </w14:scene3d>
          </w:rPr>
          <w:t>2.3</w:t>
        </w:r>
        <w:r w:rsidR="007F793C">
          <w:rPr>
            <w:rFonts w:asciiTheme="minorHAnsi" w:eastAsiaTheme="minorEastAsia" w:hAnsiTheme="minorHAnsi"/>
            <w:noProof/>
            <w:color w:val="auto"/>
            <w:lang w:eastAsia="en-AU"/>
          </w:rPr>
          <w:tab/>
        </w:r>
        <w:r w:rsidR="007F793C" w:rsidRPr="00AE34C9">
          <w:rPr>
            <w:rStyle w:val="Hyperlink"/>
            <w:noProof/>
          </w:rPr>
          <w:t>Other clarifications</w:t>
        </w:r>
        <w:r w:rsidR="007F793C">
          <w:rPr>
            <w:noProof/>
            <w:webHidden/>
          </w:rPr>
          <w:tab/>
        </w:r>
        <w:r w:rsidR="007F793C">
          <w:rPr>
            <w:noProof/>
            <w:webHidden/>
          </w:rPr>
          <w:fldChar w:fldCharType="begin"/>
        </w:r>
        <w:r w:rsidR="007F793C">
          <w:rPr>
            <w:noProof/>
            <w:webHidden/>
          </w:rPr>
          <w:instrText xml:space="preserve"> PAGEREF _Toc71274574 \h </w:instrText>
        </w:r>
        <w:r w:rsidR="007F793C">
          <w:rPr>
            <w:noProof/>
            <w:webHidden/>
          </w:rPr>
        </w:r>
        <w:r w:rsidR="007F793C">
          <w:rPr>
            <w:noProof/>
            <w:webHidden/>
          </w:rPr>
          <w:fldChar w:fldCharType="separate"/>
        </w:r>
        <w:r w:rsidR="00FE5B7F">
          <w:rPr>
            <w:noProof/>
            <w:webHidden/>
          </w:rPr>
          <w:t>14</w:t>
        </w:r>
        <w:r w:rsidR="007F793C">
          <w:rPr>
            <w:noProof/>
            <w:webHidden/>
          </w:rPr>
          <w:fldChar w:fldCharType="end"/>
        </w:r>
      </w:hyperlink>
    </w:p>
    <w:p w:rsidR="007F793C" w:rsidRDefault="00F43A77">
      <w:pPr>
        <w:pStyle w:val="TOC1"/>
        <w:rPr>
          <w:rFonts w:asciiTheme="minorHAnsi" w:eastAsiaTheme="minorEastAsia" w:hAnsiTheme="minorHAnsi"/>
          <w:noProof/>
          <w:color w:val="auto"/>
          <w:lang w:eastAsia="en-AU"/>
        </w:rPr>
      </w:pPr>
      <w:hyperlink w:anchor="_Toc71274575" w:history="1">
        <w:r w:rsidR="007F793C" w:rsidRPr="00AE34C9">
          <w:rPr>
            <w:rStyle w:val="Hyperlink"/>
            <w:noProof/>
          </w:rPr>
          <w:t>Chapter 3 - New proposed revisions</w:t>
        </w:r>
        <w:r w:rsidR="007F793C">
          <w:rPr>
            <w:noProof/>
            <w:webHidden/>
          </w:rPr>
          <w:tab/>
        </w:r>
        <w:r w:rsidR="007F793C">
          <w:rPr>
            <w:noProof/>
            <w:webHidden/>
          </w:rPr>
          <w:fldChar w:fldCharType="begin"/>
        </w:r>
        <w:r w:rsidR="007F793C">
          <w:rPr>
            <w:noProof/>
            <w:webHidden/>
          </w:rPr>
          <w:instrText xml:space="preserve"> PAGEREF _Toc71274575 \h </w:instrText>
        </w:r>
        <w:r w:rsidR="007F793C">
          <w:rPr>
            <w:noProof/>
            <w:webHidden/>
          </w:rPr>
        </w:r>
        <w:r w:rsidR="007F793C">
          <w:rPr>
            <w:noProof/>
            <w:webHidden/>
          </w:rPr>
          <w:fldChar w:fldCharType="separate"/>
        </w:r>
        <w:r w:rsidR="00FE5B7F">
          <w:rPr>
            <w:noProof/>
            <w:webHidden/>
          </w:rPr>
          <w:t>16</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76" w:history="1">
        <w:r w:rsidR="007F793C" w:rsidRPr="00AE34C9">
          <w:rPr>
            <w:rStyle w:val="Hyperlink"/>
            <w:noProof/>
            <w14:scene3d>
              <w14:camera w14:prst="orthographicFront"/>
              <w14:lightRig w14:rig="threePt" w14:dir="t">
                <w14:rot w14:lat="0" w14:lon="0" w14:rev="0"/>
              </w14:lightRig>
            </w14:scene3d>
          </w:rPr>
          <w:t>3.1</w:t>
        </w:r>
        <w:r w:rsidR="007F793C">
          <w:rPr>
            <w:rFonts w:asciiTheme="minorHAnsi" w:eastAsiaTheme="minorEastAsia" w:hAnsiTheme="minorHAnsi"/>
            <w:noProof/>
            <w:color w:val="auto"/>
            <w:lang w:eastAsia="en-AU"/>
          </w:rPr>
          <w:tab/>
        </w:r>
        <w:r w:rsidR="007F793C" w:rsidRPr="00AE34C9">
          <w:rPr>
            <w:rStyle w:val="Hyperlink"/>
            <w:noProof/>
          </w:rPr>
          <w:t>Definition of Common Equity Tier 1 capital</w:t>
        </w:r>
        <w:r w:rsidR="007F793C">
          <w:rPr>
            <w:noProof/>
            <w:webHidden/>
          </w:rPr>
          <w:tab/>
        </w:r>
        <w:r w:rsidR="007F793C">
          <w:rPr>
            <w:noProof/>
            <w:webHidden/>
          </w:rPr>
          <w:fldChar w:fldCharType="begin"/>
        </w:r>
        <w:r w:rsidR="007F793C">
          <w:rPr>
            <w:noProof/>
            <w:webHidden/>
          </w:rPr>
          <w:instrText xml:space="preserve"> PAGEREF _Toc71274576 \h </w:instrText>
        </w:r>
        <w:r w:rsidR="007F793C">
          <w:rPr>
            <w:noProof/>
            <w:webHidden/>
          </w:rPr>
        </w:r>
        <w:r w:rsidR="007F793C">
          <w:rPr>
            <w:noProof/>
            <w:webHidden/>
          </w:rPr>
          <w:fldChar w:fldCharType="separate"/>
        </w:r>
        <w:r w:rsidR="00FE5B7F">
          <w:rPr>
            <w:noProof/>
            <w:webHidden/>
          </w:rPr>
          <w:t>16</w:t>
        </w:r>
        <w:r w:rsidR="007F793C">
          <w:rPr>
            <w:noProof/>
            <w:webHidden/>
          </w:rPr>
          <w:fldChar w:fldCharType="end"/>
        </w:r>
      </w:hyperlink>
    </w:p>
    <w:p w:rsidR="007F793C" w:rsidRDefault="00F43A77" w:rsidP="007F793C">
      <w:pPr>
        <w:pStyle w:val="TOC2"/>
        <w:rPr>
          <w:rFonts w:asciiTheme="minorHAnsi" w:eastAsiaTheme="minorEastAsia" w:hAnsiTheme="minorHAnsi"/>
          <w:noProof/>
          <w:color w:val="auto"/>
          <w:lang w:eastAsia="en-AU"/>
        </w:rPr>
      </w:pPr>
      <w:hyperlink w:anchor="_Toc71274577" w:history="1">
        <w:r w:rsidR="007F793C" w:rsidRPr="00AE34C9">
          <w:rPr>
            <w:rStyle w:val="Hyperlink"/>
            <w:noProof/>
            <w14:scene3d>
              <w14:camera w14:prst="orthographicFront"/>
              <w14:lightRig w14:rig="threePt" w14:dir="t">
                <w14:rot w14:lat="0" w14:lon="0" w14:rev="0"/>
              </w14:lightRig>
            </w14:scene3d>
          </w:rPr>
          <w:t>3.2</w:t>
        </w:r>
        <w:r w:rsidR="007F793C">
          <w:rPr>
            <w:rFonts w:asciiTheme="minorHAnsi" w:eastAsiaTheme="minorEastAsia" w:hAnsiTheme="minorHAnsi"/>
            <w:noProof/>
            <w:color w:val="auto"/>
            <w:lang w:eastAsia="en-AU"/>
          </w:rPr>
          <w:tab/>
        </w:r>
        <w:r w:rsidR="007F793C" w:rsidRPr="00AE34C9">
          <w:rPr>
            <w:rStyle w:val="Hyperlink"/>
            <w:noProof/>
          </w:rPr>
          <w:t>Other amendments</w:t>
        </w:r>
        <w:r w:rsidR="007F793C">
          <w:rPr>
            <w:noProof/>
            <w:webHidden/>
          </w:rPr>
          <w:tab/>
        </w:r>
        <w:r w:rsidR="007F793C">
          <w:rPr>
            <w:noProof/>
            <w:webHidden/>
          </w:rPr>
          <w:fldChar w:fldCharType="begin"/>
        </w:r>
        <w:r w:rsidR="007F793C">
          <w:rPr>
            <w:noProof/>
            <w:webHidden/>
          </w:rPr>
          <w:instrText xml:space="preserve"> PAGEREF _Toc71274577 \h </w:instrText>
        </w:r>
        <w:r w:rsidR="007F793C">
          <w:rPr>
            <w:noProof/>
            <w:webHidden/>
          </w:rPr>
        </w:r>
        <w:r w:rsidR="007F793C">
          <w:rPr>
            <w:noProof/>
            <w:webHidden/>
          </w:rPr>
          <w:fldChar w:fldCharType="separate"/>
        </w:r>
        <w:r w:rsidR="00FE5B7F">
          <w:rPr>
            <w:noProof/>
            <w:webHidden/>
          </w:rPr>
          <w:t>17</w:t>
        </w:r>
        <w:r w:rsidR="007F793C">
          <w:rPr>
            <w:noProof/>
            <w:webHidden/>
          </w:rPr>
          <w:fldChar w:fldCharType="end"/>
        </w:r>
      </w:hyperlink>
    </w:p>
    <w:p w:rsidR="007F793C" w:rsidRDefault="00F43A77">
      <w:pPr>
        <w:pStyle w:val="TOC1"/>
        <w:rPr>
          <w:rFonts w:asciiTheme="minorHAnsi" w:eastAsiaTheme="minorEastAsia" w:hAnsiTheme="minorHAnsi"/>
          <w:noProof/>
          <w:color w:val="auto"/>
          <w:lang w:eastAsia="en-AU"/>
        </w:rPr>
      </w:pPr>
      <w:hyperlink w:anchor="_Toc71274581" w:history="1">
        <w:r w:rsidR="007F793C" w:rsidRPr="00AE34C9">
          <w:rPr>
            <w:rStyle w:val="Hyperlink"/>
            <w:noProof/>
          </w:rPr>
          <w:t>Chapter 4 - Consultation</w:t>
        </w:r>
        <w:r w:rsidR="007F793C">
          <w:rPr>
            <w:noProof/>
            <w:webHidden/>
          </w:rPr>
          <w:tab/>
        </w:r>
        <w:r w:rsidR="007F793C">
          <w:rPr>
            <w:noProof/>
            <w:webHidden/>
          </w:rPr>
          <w:fldChar w:fldCharType="begin"/>
        </w:r>
        <w:r w:rsidR="007F793C">
          <w:rPr>
            <w:noProof/>
            <w:webHidden/>
          </w:rPr>
          <w:instrText xml:space="preserve"> PAGEREF _Toc71274581 \h </w:instrText>
        </w:r>
        <w:r w:rsidR="007F793C">
          <w:rPr>
            <w:noProof/>
            <w:webHidden/>
          </w:rPr>
        </w:r>
        <w:r w:rsidR="007F793C">
          <w:rPr>
            <w:noProof/>
            <w:webHidden/>
          </w:rPr>
          <w:fldChar w:fldCharType="separate"/>
        </w:r>
        <w:r w:rsidR="00FE5B7F">
          <w:rPr>
            <w:noProof/>
            <w:webHidden/>
          </w:rPr>
          <w:t>18</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82" w:history="1">
        <w:r w:rsidR="007F793C" w:rsidRPr="00AE34C9">
          <w:rPr>
            <w:rStyle w:val="Hyperlink"/>
            <w:rFonts w:eastAsia="Times New Roman"/>
            <w:noProof/>
          </w:rPr>
          <w:t>Request for submissions</w:t>
        </w:r>
        <w:r w:rsidR="007F793C">
          <w:rPr>
            <w:noProof/>
            <w:webHidden/>
          </w:rPr>
          <w:tab/>
        </w:r>
        <w:r w:rsidR="007F793C">
          <w:rPr>
            <w:noProof/>
            <w:webHidden/>
          </w:rPr>
          <w:fldChar w:fldCharType="begin"/>
        </w:r>
        <w:r w:rsidR="007F793C">
          <w:rPr>
            <w:noProof/>
            <w:webHidden/>
          </w:rPr>
          <w:instrText xml:space="preserve"> PAGEREF _Toc71274582 \h </w:instrText>
        </w:r>
        <w:r w:rsidR="007F793C">
          <w:rPr>
            <w:noProof/>
            <w:webHidden/>
          </w:rPr>
        </w:r>
        <w:r w:rsidR="007F793C">
          <w:rPr>
            <w:noProof/>
            <w:webHidden/>
          </w:rPr>
          <w:fldChar w:fldCharType="separate"/>
        </w:r>
        <w:r w:rsidR="00FE5B7F">
          <w:rPr>
            <w:noProof/>
            <w:webHidden/>
          </w:rPr>
          <w:t>18</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83" w:history="1">
        <w:r w:rsidR="007F793C" w:rsidRPr="00AE34C9">
          <w:rPr>
            <w:rStyle w:val="Hyperlink"/>
            <w:rFonts w:eastAsia="Times New Roman"/>
            <w:noProof/>
          </w:rPr>
          <w:t>Important disclosure notice – publication of submissions</w:t>
        </w:r>
        <w:r w:rsidR="007F793C">
          <w:rPr>
            <w:noProof/>
            <w:webHidden/>
          </w:rPr>
          <w:tab/>
        </w:r>
        <w:r w:rsidR="007F793C">
          <w:rPr>
            <w:noProof/>
            <w:webHidden/>
          </w:rPr>
          <w:fldChar w:fldCharType="begin"/>
        </w:r>
        <w:r w:rsidR="007F793C">
          <w:rPr>
            <w:noProof/>
            <w:webHidden/>
          </w:rPr>
          <w:instrText xml:space="preserve"> PAGEREF _Toc71274583 \h </w:instrText>
        </w:r>
        <w:r w:rsidR="007F793C">
          <w:rPr>
            <w:noProof/>
            <w:webHidden/>
          </w:rPr>
        </w:r>
        <w:r w:rsidR="007F793C">
          <w:rPr>
            <w:noProof/>
            <w:webHidden/>
          </w:rPr>
          <w:fldChar w:fldCharType="separate"/>
        </w:r>
        <w:r w:rsidR="00FE5B7F">
          <w:rPr>
            <w:noProof/>
            <w:webHidden/>
          </w:rPr>
          <w:t>18</w:t>
        </w:r>
        <w:r w:rsidR="007F793C">
          <w:rPr>
            <w:noProof/>
            <w:webHidden/>
          </w:rPr>
          <w:fldChar w:fldCharType="end"/>
        </w:r>
      </w:hyperlink>
    </w:p>
    <w:p w:rsidR="007F793C" w:rsidRDefault="00F43A77">
      <w:pPr>
        <w:pStyle w:val="TOC2"/>
        <w:rPr>
          <w:rFonts w:asciiTheme="minorHAnsi" w:eastAsiaTheme="minorEastAsia" w:hAnsiTheme="minorHAnsi"/>
          <w:noProof/>
          <w:color w:val="auto"/>
          <w:lang w:eastAsia="en-AU"/>
        </w:rPr>
      </w:pPr>
      <w:hyperlink w:anchor="_Toc71274584" w:history="1">
        <w:r w:rsidR="007F793C" w:rsidRPr="00AE34C9">
          <w:rPr>
            <w:rStyle w:val="Hyperlink"/>
            <w:rFonts w:eastAsia="Times New Roman"/>
            <w:noProof/>
          </w:rPr>
          <w:t>Request for cost-benefit analysis information</w:t>
        </w:r>
        <w:r w:rsidR="007F793C">
          <w:rPr>
            <w:noProof/>
            <w:webHidden/>
          </w:rPr>
          <w:tab/>
        </w:r>
        <w:r w:rsidR="007F793C">
          <w:rPr>
            <w:noProof/>
            <w:webHidden/>
          </w:rPr>
          <w:fldChar w:fldCharType="begin"/>
        </w:r>
        <w:r w:rsidR="007F793C">
          <w:rPr>
            <w:noProof/>
            <w:webHidden/>
          </w:rPr>
          <w:instrText xml:space="preserve"> PAGEREF _Toc71274584 \h </w:instrText>
        </w:r>
        <w:r w:rsidR="007F793C">
          <w:rPr>
            <w:noProof/>
            <w:webHidden/>
          </w:rPr>
        </w:r>
        <w:r w:rsidR="007F793C">
          <w:rPr>
            <w:noProof/>
            <w:webHidden/>
          </w:rPr>
          <w:fldChar w:fldCharType="separate"/>
        </w:r>
        <w:r w:rsidR="00FE5B7F">
          <w:rPr>
            <w:noProof/>
            <w:webHidden/>
          </w:rPr>
          <w:t>18</w:t>
        </w:r>
        <w:r w:rsidR="007F793C">
          <w:rPr>
            <w:noProof/>
            <w:webHidden/>
          </w:rPr>
          <w:fldChar w:fldCharType="end"/>
        </w:r>
      </w:hyperlink>
    </w:p>
    <w:p w:rsidR="003109C5" w:rsidRDefault="00AD393D" w:rsidP="00A41226">
      <w:pPr>
        <w:tabs>
          <w:tab w:val="left" w:pos="1843"/>
        </w:tabs>
        <w:ind w:hanging="142"/>
        <w:rPr>
          <w:rFonts w:ascii="DIN OT Medium" w:hAnsi="DIN OT Medium"/>
          <w:noProof/>
          <w:lang w:val="en-US"/>
        </w:rPr>
      </w:pPr>
      <w:r>
        <w:rPr>
          <w:rFonts w:ascii="DIN OT Medium" w:hAnsi="DIN OT Medium"/>
          <w:noProof/>
          <w:lang w:val="en-US"/>
        </w:rPr>
        <w:fldChar w:fldCharType="end"/>
      </w:r>
      <w:r w:rsidR="003109C5">
        <w:rPr>
          <w:rFonts w:ascii="DIN OT Medium" w:hAnsi="DIN OT Medium"/>
          <w:noProof/>
          <w:lang w:val="en-US"/>
        </w:rPr>
        <w:br w:type="page"/>
      </w:r>
    </w:p>
    <w:p w:rsidR="0099595F" w:rsidRDefault="005034BA" w:rsidP="0099595F">
      <w:pPr>
        <w:pStyle w:val="Heading1"/>
      </w:pPr>
      <w:bookmarkStart w:id="1" w:name="_Toc71274556"/>
      <w:r>
        <w:t>Executive summary</w:t>
      </w:r>
      <w:bookmarkEnd w:id="1"/>
    </w:p>
    <w:p w:rsidR="005034BA" w:rsidRPr="005034BA" w:rsidRDefault="005034BA" w:rsidP="005034BA">
      <w:pPr>
        <w:pStyle w:val="APRANORMAL"/>
        <w:rPr>
          <w:rStyle w:val="APRANORMALChar"/>
        </w:rPr>
      </w:pPr>
      <w:r w:rsidRPr="005034BA">
        <w:rPr>
          <w:rStyle w:val="APRANORMALChar"/>
        </w:rPr>
        <w:t xml:space="preserve">An authorised deposit-taking institution’s (ADI's) capital base is the cornerstone of its financial soundness. </w:t>
      </w:r>
      <w:r w:rsidRPr="005034BA">
        <w:rPr>
          <w:rStyle w:val="APRANORMALChar"/>
          <w:i/>
        </w:rPr>
        <w:t>Prudential Standard APS 111 Capital Adequacy: Measurement of Capital</w:t>
      </w:r>
      <w:r w:rsidRPr="005034BA">
        <w:rPr>
          <w:rStyle w:val="APRANORMALChar"/>
        </w:rPr>
        <w:t xml:space="preserve"> (APS 111) sets out detailed criteria for measuring an ADI's regulatory capital.</w:t>
      </w:r>
    </w:p>
    <w:p w:rsidR="005034BA" w:rsidRPr="005034BA" w:rsidRDefault="005034BA" w:rsidP="005034BA">
      <w:pPr>
        <w:pStyle w:val="APRANORMAL"/>
        <w:rPr>
          <w:rStyle w:val="APRANORMALChar"/>
        </w:rPr>
      </w:pPr>
      <w:r w:rsidRPr="005034BA">
        <w:rPr>
          <w:rStyle w:val="APRANORMALChar"/>
        </w:rPr>
        <w:t>In October 2019, APRA released a Discussion Paper, setting out proposed revisions to APS 111 for consultation.</w:t>
      </w:r>
      <w:r w:rsidRPr="005034BA">
        <w:rPr>
          <w:rStyle w:val="FootnoteReference"/>
        </w:rPr>
        <w:footnoteReference w:id="1"/>
      </w:r>
      <w:r w:rsidRPr="005034BA">
        <w:rPr>
          <w:rStyle w:val="APRANORMALChar"/>
        </w:rPr>
        <w:t xml:space="preserve"> The key proposals focused on: </w:t>
      </w:r>
    </w:p>
    <w:p w:rsidR="005034BA" w:rsidRPr="005034BA" w:rsidRDefault="005034BA" w:rsidP="005034BA">
      <w:pPr>
        <w:pStyle w:val="ListBullet"/>
        <w:rPr>
          <w:rStyle w:val="APRANORMALChar"/>
          <w:color w:val="000000"/>
        </w:rPr>
      </w:pPr>
      <w:r w:rsidRPr="005034BA">
        <w:rPr>
          <w:rStyle w:val="APRANORMALChar"/>
          <w:color w:val="000000"/>
        </w:rPr>
        <w:t xml:space="preserve">reinforcing financial system resilience, through changes to the capital treatment of a parent ADI’s equity investments in their banking and insurance subsidiaries; </w:t>
      </w:r>
    </w:p>
    <w:p w:rsidR="005034BA" w:rsidRPr="005034BA" w:rsidRDefault="005034BA" w:rsidP="005034BA">
      <w:pPr>
        <w:pStyle w:val="ListBullet"/>
        <w:rPr>
          <w:rStyle w:val="APRANORMALChar"/>
          <w:color w:val="000000"/>
        </w:rPr>
      </w:pPr>
      <w:r w:rsidRPr="005034BA">
        <w:rPr>
          <w:rStyle w:val="APRANORMALChar"/>
          <w:color w:val="000000"/>
        </w:rPr>
        <w:t>promoting simple and transparent capital issuance, through the removal of the allowance for the use of special purpose vehicles (SPVs) in regulatory capital issuance; and</w:t>
      </w:r>
    </w:p>
    <w:p w:rsidR="005034BA" w:rsidRPr="005034BA" w:rsidRDefault="005034BA" w:rsidP="005034BA">
      <w:pPr>
        <w:pStyle w:val="ListBullet"/>
        <w:rPr>
          <w:rStyle w:val="APRANORMALChar"/>
          <w:color w:val="000000"/>
        </w:rPr>
      </w:pPr>
      <w:r w:rsidRPr="005034BA">
        <w:rPr>
          <w:rStyle w:val="APRANORMALChar"/>
          <w:color w:val="000000"/>
        </w:rPr>
        <w:t>clarifying various parts of APS 111, including through providing additional technical information to assist ADIs in issuing capital instruments.</w:t>
      </w:r>
    </w:p>
    <w:p w:rsidR="005034BA" w:rsidRPr="005034BA" w:rsidRDefault="005034BA" w:rsidP="005034BA">
      <w:pPr>
        <w:pStyle w:val="APRANORMAL"/>
        <w:rPr>
          <w:rStyle w:val="APRANORMALChar"/>
        </w:rPr>
      </w:pPr>
      <w:bookmarkStart w:id="2" w:name="_Hlk71212039"/>
      <w:r w:rsidRPr="005034BA">
        <w:rPr>
          <w:rStyle w:val="APRANORMALChar"/>
        </w:rPr>
        <w:t>APRA had originally planned to finalise these APS 111 reforms in 2020, but delayed this to allow entities to focus on managing the risks associated with COVID-19. With the recommencement of the policy agenda in 2021, APRA is now seeking to finalise APS 111.</w:t>
      </w:r>
      <w:bookmarkEnd w:id="2"/>
      <w:r w:rsidRPr="005034BA">
        <w:rPr>
          <w:rStyle w:val="APRANORMALChar"/>
        </w:rPr>
        <w:t xml:space="preserve"> This paper summarises the industry submissions to the 2019 consultation, and outlines APRA’s responses to the issues raised. It also sets out some further minor revisions for consultation.</w:t>
      </w:r>
    </w:p>
    <w:p w:rsidR="0099595F" w:rsidRDefault="005034BA" w:rsidP="005034BA">
      <w:pPr>
        <w:pStyle w:val="SubHeadingNoTOC"/>
      </w:pPr>
      <w:r>
        <w:t>Summary of industry feedback</w:t>
      </w:r>
    </w:p>
    <w:p w:rsidR="005034BA" w:rsidRDefault="005034BA" w:rsidP="005034BA">
      <w:pPr>
        <w:pStyle w:val="APRANORMAL"/>
        <w:rPr>
          <w:rStyle w:val="APRANORMALChar"/>
        </w:rPr>
      </w:pPr>
      <w:r>
        <w:rPr>
          <w:rStyle w:val="APRANORMALChar"/>
        </w:rPr>
        <w:t xml:space="preserve">The </w:t>
      </w:r>
      <w:bookmarkStart w:id="3" w:name="_Hlk71213392"/>
      <w:r>
        <w:rPr>
          <w:rStyle w:val="APRANORMALChar"/>
        </w:rPr>
        <w:t xml:space="preserve">changes to the capital treatment of equity investments in subsidiaries </w:t>
      </w:r>
      <w:bookmarkEnd w:id="3"/>
      <w:r>
        <w:rPr>
          <w:rStyle w:val="APRANORMALChar"/>
        </w:rPr>
        <w:t xml:space="preserve">was the most material proposed revision to APS 111. APRA’s objective was to reduce the potential risks to Australian depositors from large and leveraged equity investments. The revised APS 111 will, in effect, increase the amount of capital required to support equity investments in large subsidiaries and reduce the amount required for small subsidiaries. </w:t>
      </w:r>
      <w:bookmarkStart w:id="4" w:name="_Hlk71213077"/>
      <w:r w:rsidRPr="00187549">
        <w:rPr>
          <w:rStyle w:val="APRANORMALChar"/>
        </w:rPr>
        <w:t xml:space="preserve">While the impact will differ across individual </w:t>
      </w:r>
      <w:r>
        <w:rPr>
          <w:rStyle w:val="APRANORMALChar"/>
        </w:rPr>
        <w:t>ADIs</w:t>
      </w:r>
      <w:r w:rsidRPr="00187549">
        <w:rPr>
          <w:rStyle w:val="APRANORMALChar"/>
        </w:rPr>
        <w:t>, this change is not expected to materially increase existing capital requirements for the system in aggregate</w:t>
      </w:r>
      <w:bookmarkEnd w:id="4"/>
      <w:r>
        <w:rPr>
          <w:rStyle w:val="APRANORMALChar"/>
        </w:rPr>
        <w:t>.</w:t>
      </w:r>
    </w:p>
    <w:p w:rsidR="005034BA" w:rsidRPr="00962040" w:rsidRDefault="005034BA" w:rsidP="005034BA">
      <w:pPr>
        <w:pStyle w:val="APRANORMAL"/>
        <w:rPr>
          <w:rStyle w:val="APRANORMALChar"/>
        </w:rPr>
      </w:pPr>
      <w:r w:rsidRPr="00962040">
        <w:rPr>
          <w:rStyle w:val="APRANORMALChar"/>
        </w:rPr>
        <w:t xml:space="preserve">APRA received seven submissions to its proposals. APRA’s response to issues raised </w:t>
      </w:r>
      <w:r>
        <w:rPr>
          <w:rStyle w:val="APRANORMALChar"/>
        </w:rPr>
        <w:t>is</w:t>
      </w:r>
      <w:r w:rsidRPr="00962040">
        <w:rPr>
          <w:rStyle w:val="APRANORMALChar"/>
        </w:rPr>
        <w:t xml:space="preserve"> set out in Chapter 2 of this paper.</w:t>
      </w:r>
      <w:r>
        <w:rPr>
          <w:rStyle w:val="APRANORMALChar"/>
        </w:rPr>
        <w:t xml:space="preserve"> </w:t>
      </w:r>
      <w:r w:rsidRPr="00962040">
        <w:rPr>
          <w:rStyle w:val="APRANORMALChar"/>
        </w:rPr>
        <w:t xml:space="preserve">Submissions were supportive of </w:t>
      </w:r>
      <w:r>
        <w:rPr>
          <w:rStyle w:val="APRANORMALChar"/>
        </w:rPr>
        <w:t xml:space="preserve">the majority of </w:t>
      </w:r>
      <w:r w:rsidRPr="00962040">
        <w:rPr>
          <w:rStyle w:val="APRANORMALChar"/>
        </w:rPr>
        <w:t xml:space="preserve">APRA’s proposed reforms, including the change to the treatment of equity investments in subsidiaries. </w:t>
      </w:r>
    </w:p>
    <w:p w:rsidR="005034BA" w:rsidRDefault="005034BA" w:rsidP="005034BA">
      <w:pPr>
        <w:pStyle w:val="APRANORMAL"/>
        <w:rPr>
          <w:rStyle w:val="APRANORMALChar"/>
        </w:rPr>
      </w:pPr>
      <w:r>
        <w:rPr>
          <w:rStyle w:val="APRANORMALChar"/>
        </w:rPr>
        <w:t>S</w:t>
      </w:r>
      <w:r w:rsidRPr="00962040">
        <w:rPr>
          <w:rStyle w:val="APRANORMALChar"/>
        </w:rPr>
        <w:t xml:space="preserve">ome submissions raised concerns regarding APRA’s proposal to remove the allowance for SPVs in capital issuance. These submissions suggested that the inclusion of SPVs could reduce the additional costs from the Reserve Bank of New Zealand’s (RBNZ’s) proposed changes to </w:t>
      </w:r>
      <w:r>
        <w:rPr>
          <w:rStyle w:val="APRANORMALChar"/>
        </w:rPr>
        <w:t>its</w:t>
      </w:r>
      <w:r w:rsidRPr="00962040">
        <w:rPr>
          <w:rStyle w:val="APRANORMALChar"/>
        </w:rPr>
        <w:t xml:space="preserve"> definitions of Additional Tier 1</w:t>
      </w:r>
      <w:r>
        <w:rPr>
          <w:rStyle w:val="APRANORMALChar"/>
        </w:rPr>
        <w:t xml:space="preserve"> (AT1) </w:t>
      </w:r>
      <w:r w:rsidRPr="00962040">
        <w:rPr>
          <w:rStyle w:val="APRANORMALChar"/>
        </w:rPr>
        <w:t>and Tier 2 capital</w:t>
      </w:r>
      <w:r>
        <w:rPr>
          <w:rStyle w:val="APRANORMALChar"/>
        </w:rPr>
        <w:t xml:space="preserve">. The implementation of the RBNZ’s proposed reforms will mean that APRA and RBNZ definitions of AT1 and Tier 2 capital will no longer align, requiring ADIs to issue two sets of AT1 and Tier 2 capital instruments for New Zealand subsidiary assets. </w:t>
      </w:r>
    </w:p>
    <w:p w:rsidR="005034BA" w:rsidRDefault="005034BA" w:rsidP="005034BA">
      <w:pPr>
        <w:pStyle w:val="APRANORMAL"/>
        <w:rPr>
          <w:rStyle w:val="APRANORMALChar"/>
        </w:rPr>
      </w:pPr>
      <w:r w:rsidRPr="00962040">
        <w:rPr>
          <w:rStyle w:val="APRANORMALChar"/>
        </w:rPr>
        <w:t xml:space="preserve">APRA does not consider the use of SPVs an appropriate policy response to this issue, as it would </w:t>
      </w:r>
      <w:r>
        <w:rPr>
          <w:rStyle w:val="APRANORMALChar"/>
        </w:rPr>
        <w:t>increase</w:t>
      </w:r>
      <w:r w:rsidRPr="00962040">
        <w:rPr>
          <w:rStyle w:val="APRANORMALChar"/>
        </w:rPr>
        <w:t xml:space="preserve"> complexity and </w:t>
      </w:r>
      <w:r>
        <w:rPr>
          <w:rStyle w:val="APRANORMALChar"/>
        </w:rPr>
        <w:t>reduce</w:t>
      </w:r>
      <w:r w:rsidRPr="00962040">
        <w:rPr>
          <w:rStyle w:val="APRANORMALChar"/>
        </w:rPr>
        <w:t xml:space="preserve"> transparency in the</w:t>
      </w:r>
      <w:r>
        <w:rPr>
          <w:rStyle w:val="APRANORMALChar"/>
        </w:rPr>
        <w:t xml:space="preserve"> Australian</w:t>
      </w:r>
      <w:r w:rsidRPr="00962040">
        <w:rPr>
          <w:rStyle w:val="APRANORMALChar"/>
        </w:rPr>
        <w:t xml:space="preserve"> capital framework. APRA is</w:t>
      </w:r>
      <w:r>
        <w:rPr>
          <w:rStyle w:val="APRANORMALChar"/>
        </w:rPr>
        <w:t xml:space="preserve"> therefore</w:t>
      </w:r>
      <w:r w:rsidRPr="00962040">
        <w:rPr>
          <w:rStyle w:val="APRANORMALChar"/>
        </w:rPr>
        <w:t xml:space="preserve"> maintaining its original policy proposal</w:t>
      </w:r>
      <w:r>
        <w:rPr>
          <w:rStyle w:val="APRANORMALChar"/>
        </w:rPr>
        <w:t>.</w:t>
      </w:r>
    </w:p>
    <w:p w:rsidR="005034BA" w:rsidRDefault="005034BA" w:rsidP="005034BA">
      <w:pPr>
        <w:pStyle w:val="APRANORMAL"/>
        <w:rPr>
          <w:rStyle w:val="APRANORMALChar"/>
        </w:rPr>
      </w:pPr>
      <w:r>
        <w:rPr>
          <w:rStyle w:val="APRANORMALChar"/>
        </w:rPr>
        <w:t>However, APRA is</w:t>
      </w:r>
      <w:r w:rsidRPr="00962040">
        <w:rPr>
          <w:rStyle w:val="APRANORMALChar"/>
        </w:rPr>
        <w:t xml:space="preserve"> engag</w:t>
      </w:r>
      <w:r>
        <w:rPr>
          <w:rStyle w:val="APRANORMALChar"/>
        </w:rPr>
        <w:t>ing</w:t>
      </w:r>
      <w:r w:rsidRPr="00962040">
        <w:rPr>
          <w:rStyle w:val="APRANORMALChar"/>
        </w:rPr>
        <w:t xml:space="preserve"> with </w:t>
      </w:r>
      <w:r>
        <w:rPr>
          <w:rStyle w:val="APRANORMALChar"/>
        </w:rPr>
        <w:t xml:space="preserve">relevant ADIs </w:t>
      </w:r>
      <w:r w:rsidRPr="00962040">
        <w:rPr>
          <w:rStyle w:val="APRANORMALChar"/>
        </w:rPr>
        <w:t xml:space="preserve">and the RBNZ on </w:t>
      </w:r>
      <w:r>
        <w:rPr>
          <w:rStyle w:val="APRANORMALChar"/>
        </w:rPr>
        <w:t>alternative policy responses, which would reduce the need for double issuance of AT1 and Tier 2 capital</w:t>
      </w:r>
      <w:r w:rsidRPr="00962040">
        <w:rPr>
          <w:rStyle w:val="APRANORMALChar"/>
        </w:rPr>
        <w:t>.</w:t>
      </w:r>
      <w:r w:rsidRPr="00B3524B">
        <w:rPr>
          <w:rStyle w:val="APRANORMALChar"/>
        </w:rPr>
        <w:t xml:space="preserve"> </w:t>
      </w:r>
      <w:r>
        <w:rPr>
          <w:rStyle w:val="APRANORMALChar"/>
        </w:rPr>
        <w:t>Rather than introduce unnecessary complexity into the capital framework, APRA’s preference is to consider how RBNZ capital instruments could be used in supporting the overall loss absorbing capacity of a group. This approach seeks to maintain the integrity of APRA’s capital framework and strengthen cross-border resolution.</w:t>
      </w:r>
    </w:p>
    <w:p w:rsidR="005034BA" w:rsidRDefault="005034BA" w:rsidP="00F814C6">
      <w:pPr>
        <w:pStyle w:val="SubHeadingNoTOC"/>
      </w:pPr>
      <w:r>
        <w:t>Further revisions</w:t>
      </w:r>
    </w:p>
    <w:p w:rsidR="005034BA" w:rsidRDefault="005034BA" w:rsidP="0099595F">
      <w:pPr>
        <w:pStyle w:val="APRANORMAL"/>
      </w:pPr>
      <w:r w:rsidRPr="00962040">
        <w:rPr>
          <w:rStyle w:val="APRANORMALChar"/>
        </w:rPr>
        <w:t xml:space="preserve">As part of this response paper, APRA is also consulting on </w:t>
      </w:r>
      <w:r>
        <w:rPr>
          <w:rStyle w:val="APRANORMALChar"/>
        </w:rPr>
        <w:t>further</w:t>
      </w:r>
      <w:r w:rsidRPr="00962040">
        <w:rPr>
          <w:rStyle w:val="APRANORMALChar"/>
        </w:rPr>
        <w:t xml:space="preserve"> proposed revisions that were not included in the October 2019 </w:t>
      </w:r>
      <w:r>
        <w:rPr>
          <w:rStyle w:val="APRANORMALChar"/>
        </w:rPr>
        <w:t>consultation</w:t>
      </w:r>
      <w:r w:rsidRPr="00962040">
        <w:rPr>
          <w:rStyle w:val="APRANORMALChar"/>
        </w:rPr>
        <w:t xml:space="preserve">. </w:t>
      </w:r>
      <w:r w:rsidRPr="0025046D">
        <w:rPr>
          <w:rStyle w:val="APRANORMALChar"/>
        </w:rPr>
        <w:t xml:space="preserve">Recently, APRA has observed some ADIs attempting to use more complex equity arrangements to raise </w:t>
      </w:r>
      <w:r>
        <w:rPr>
          <w:rStyle w:val="APRANORMALChar"/>
        </w:rPr>
        <w:t>Common Equity Tier 1 (</w:t>
      </w:r>
      <w:r w:rsidRPr="0025046D">
        <w:rPr>
          <w:rStyle w:val="APRANORMALChar"/>
        </w:rPr>
        <w:t>CET1</w:t>
      </w:r>
      <w:r>
        <w:rPr>
          <w:rStyle w:val="APRANORMALChar"/>
        </w:rPr>
        <w:t>) capital</w:t>
      </w:r>
      <w:r w:rsidRPr="0025046D">
        <w:rPr>
          <w:rStyle w:val="APRANORMALChar"/>
        </w:rPr>
        <w:t xml:space="preserve">. </w:t>
      </w:r>
      <w:r w:rsidRPr="00962040">
        <w:rPr>
          <w:rStyle w:val="APRANORMALChar"/>
        </w:rPr>
        <w:t>The new revisions to APS 111 are set out in Chapter 3</w:t>
      </w:r>
      <w:r>
        <w:rPr>
          <w:rStyle w:val="APRANORMALChar"/>
        </w:rPr>
        <w:t>, and</w:t>
      </w:r>
      <w:r w:rsidRPr="00962040">
        <w:rPr>
          <w:rStyle w:val="APRANORMALChar"/>
        </w:rPr>
        <w:t xml:space="preserve"> clarify that </w:t>
      </w:r>
      <w:r w:rsidRPr="0025046D">
        <w:rPr>
          <w:rStyle w:val="APRANORMALChar"/>
        </w:rPr>
        <w:t>C</w:t>
      </w:r>
      <w:r>
        <w:rPr>
          <w:rStyle w:val="APRANORMALChar"/>
        </w:rPr>
        <w:t>ET1 capital</w:t>
      </w:r>
      <w:r w:rsidRPr="0025046D">
        <w:rPr>
          <w:rStyle w:val="APRANORMALChar"/>
        </w:rPr>
        <w:t xml:space="preserve"> </w:t>
      </w:r>
      <w:r>
        <w:rPr>
          <w:rStyle w:val="APRANORMALChar"/>
        </w:rPr>
        <w:t>is</w:t>
      </w:r>
      <w:r w:rsidRPr="0025046D">
        <w:rPr>
          <w:rStyle w:val="APRANORMALChar"/>
        </w:rPr>
        <w:t xml:space="preserve"> not permitted to have any features that could undermine its role as the highest quality loss absorbing capital. </w:t>
      </w:r>
    </w:p>
    <w:p w:rsidR="005034BA" w:rsidRDefault="005034BA" w:rsidP="00F814C6">
      <w:pPr>
        <w:pStyle w:val="SubHeadingNoTOC"/>
      </w:pPr>
      <w:r>
        <w:t>Next steps</w:t>
      </w:r>
    </w:p>
    <w:p w:rsidR="005034BA" w:rsidRPr="00962040" w:rsidRDefault="005034BA" w:rsidP="005034BA">
      <w:pPr>
        <w:pStyle w:val="APRANORMAL"/>
        <w:rPr>
          <w:rStyle w:val="APRANORMALChar"/>
        </w:rPr>
      </w:pPr>
      <w:r w:rsidRPr="00962040">
        <w:rPr>
          <w:rStyle w:val="APRANORMALChar"/>
        </w:rPr>
        <w:t>APRA intends to finalise APS 111 in July 2021, and the final revised Prudential Standard will come into force from 1 January 2022.</w:t>
      </w:r>
      <w:r w:rsidRPr="00BA4CDA">
        <w:rPr>
          <w:rStyle w:val="APRANORMALChar"/>
        </w:rPr>
        <w:t xml:space="preserve"> </w:t>
      </w:r>
      <w:r>
        <w:rPr>
          <w:rStyle w:val="APRANORMALChar"/>
        </w:rPr>
        <w:t xml:space="preserve">APRA’s response to issues raised in the October 2019 consultation set out in Chapter 2 should be considered final. </w:t>
      </w:r>
      <w:r w:rsidRPr="00962040">
        <w:rPr>
          <w:rStyle w:val="APRANORMALChar"/>
        </w:rPr>
        <w:t xml:space="preserve">APRA requests industry feedback on the new proposed revisions, outlined in Chapter 3, by </w:t>
      </w:r>
      <w:r w:rsidRPr="009C78D4">
        <w:rPr>
          <w:rStyle w:val="APRANORMALChar"/>
        </w:rPr>
        <w:t>10</w:t>
      </w:r>
      <w:r w:rsidRPr="00962040">
        <w:rPr>
          <w:rStyle w:val="APRANORMALChar"/>
        </w:rPr>
        <w:t xml:space="preserve"> </w:t>
      </w:r>
      <w:r>
        <w:rPr>
          <w:rStyle w:val="APRANORMALChar"/>
        </w:rPr>
        <w:t>June</w:t>
      </w:r>
      <w:r w:rsidRPr="00962040">
        <w:rPr>
          <w:rStyle w:val="APRANORMALChar"/>
        </w:rPr>
        <w:t xml:space="preserve"> 2021.This paper and the draft revised Prudential Standard are available on APRA’s website at </w:t>
      </w:r>
      <w:hyperlink r:id="rId11" w:history="1">
        <w:r w:rsidRPr="00962040">
          <w:rPr>
            <w:rStyle w:val="Hyperlink"/>
          </w:rPr>
          <w:t>www.apra.gov.au</w:t>
        </w:r>
      </w:hyperlink>
      <w:r w:rsidRPr="00962040">
        <w:rPr>
          <w:rStyle w:val="APRANORMALChar"/>
        </w:rPr>
        <w:t xml:space="preserve">. </w:t>
      </w:r>
    </w:p>
    <w:p w:rsidR="005034BA" w:rsidRDefault="005034BA" w:rsidP="0099595F">
      <w:pPr>
        <w:pStyle w:val="APRANORMAL"/>
      </w:pPr>
    </w:p>
    <w:p w:rsidR="005034BA" w:rsidRDefault="005034BA" w:rsidP="0099595F">
      <w:pPr>
        <w:pStyle w:val="APRANORMAL"/>
      </w:pPr>
    </w:p>
    <w:p w:rsidR="005034BA" w:rsidRDefault="005034BA" w:rsidP="0099595F">
      <w:pPr>
        <w:pStyle w:val="APRANORMAL"/>
      </w:pPr>
    </w:p>
    <w:p w:rsidR="0099595F" w:rsidRDefault="0099595F" w:rsidP="0099595F">
      <w:pPr>
        <w:pStyle w:val="APRANORMAL"/>
      </w:pPr>
    </w:p>
    <w:p w:rsidR="0099595F" w:rsidRDefault="00F814C6" w:rsidP="0099595F">
      <w:pPr>
        <w:pStyle w:val="Heading1"/>
      </w:pPr>
      <w:bookmarkStart w:id="5" w:name="_Toc71274557"/>
      <w:r>
        <w:t>Glossary</w:t>
      </w:r>
      <w:bookmarkEnd w:id="5"/>
    </w:p>
    <w:tbl>
      <w:tblPr>
        <w:tblStyle w:val="TableOption2"/>
        <w:tblW w:w="0" w:type="auto"/>
        <w:tblLook w:val="0480" w:firstRow="0" w:lastRow="0" w:firstColumn="1" w:lastColumn="0" w:noHBand="0" w:noVBand="1"/>
      </w:tblPr>
      <w:tblGrid>
        <w:gridCol w:w="1980"/>
        <w:gridCol w:w="7036"/>
      </w:tblGrid>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ADI</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Authorised Deposit-taking Institution</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Additional Tier 1 capital</w:t>
            </w:r>
          </w:p>
        </w:tc>
        <w:tc>
          <w:tcPr>
            <w:tcW w:w="7036" w:type="dxa"/>
          </w:tcPr>
          <w:p w:rsidR="00F814C6" w:rsidRPr="00C05BE0" w:rsidRDefault="00F814C6" w:rsidP="00B8092E">
            <w:pPr>
              <w:pStyle w:val="APRANORMAL"/>
              <w:spacing w:before="100" w:after="100"/>
              <w:cnfStyle w:val="000000010000" w:firstRow="0" w:lastRow="0" w:firstColumn="0" w:lastColumn="0" w:oddVBand="0" w:evenVBand="0" w:oddHBand="0" w:evenHBand="1" w:firstRowFirstColumn="0" w:firstRowLastColumn="0" w:lastRowFirstColumn="0" w:lastRowLastColumn="0"/>
              <w:rPr>
                <w:szCs w:val="20"/>
              </w:rPr>
            </w:pPr>
            <w:r w:rsidRPr="003C0C8E">
              <w:rPr>
                <w:szCs w:val="20"/>
              </w:rPr>
              <w:t xml:space="preserve">Capital instruments that provide loss-absorption while the ADI remains a going concern, but do not satisfy all of the criteria for inclusion in CET1 </w:t>
            </w:r>
            <w:r>
              <w:rPr>
                <w:szCs w:val="20"/>
              </w:rPr>
              <w:t>c</w:t>
            </w:r>
            <w:r w:rsidRPr="003C0C8E">
              <w:rPr>
                <w:szCs w:val="20"/>
              </w:rPr>
              <w:t>apital.</w:t>
            </w:r>
          </w:p>
        </w:tc>
      </w:tr>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APRA</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Australian Prudential Regulation Authority</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APS 220</w:t>
            </w:r>
          </w:p>
        </w:tc>
        <w:tc>
          <w:tcPr>
            <w:tcW w:w="7036" w:type="dxa"/>
          </w:tcPr>
          <w:p w:rsidR="00F814C6" w:rsidRPr="00C05BE0" w:rsidRDefault="00F814C6" w:rsidP="00B8092E">
            <w:pPr>
              <w:pStyle w:val="APRANORMAL"/>
              <w:spacing w:before="100" w:after="100"/>
              <w:cnfStyle w:val="000000010000" w:firstRow="0" w:lastRow="0" w:firstColumn="0" w:lastColumn="0" w:oddVBand="0" w:evenVBand="0" w:oddHBand="0" w:evenHBand="1" w:firstRowFirstColumn="0" w:firstRowLastColumn="0" w:lastRowFirstColumn="0" w:lastRowLastColumn="0"/>
              <w:rPr>
                <w:i/>
                <w:szCs w:val="20"/>
              </w:rPr>
            </w:pPr>
            <w:r w:rsidRPr="00C05BE0">
              <w:rPr>
                <w:i/>
                <w:szCs w:val="20"/>
              </w:rPr>
              <w:t>Prudential Standard APS 220 Credit Risk Management</w:t>
            </w:r>
          </w:p>
        </w:tc>
      </w:tr>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Basel Committee</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Basel Committee on Banking Supervision</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CET1 capital</w:t>
            </w:r>
          </w:p>
        </w:tc>
        <w:tc>
          <w:tcPr>
            <w:tcW w:w="7036" w:type="dxa"/>
          </w:tcPr>
          <w:p w:rsidR="00F814C6" w:rsidRPr="00C05BE0" w:rsidRDefault="00F814C6" w:rsidP="00B8092E">
            <w:pPr>
              <w:pStyle w:val="APRANORMAL"/>
              <w:spacing w:before="100" w:after="100"/>
              <w:cnfStyle w:val="000000010000" w:firstRow="0" w:lastRow="0" w:firstColumn="0" w:lastColumn="0" w:oddVBand="0" w:evenVBand="0" w:oddHBand="0" w:evenHBand="1" w:firstRowFirstColumn="0" w:firstRowLastColumn="0" w:lastRowFirstColumn="0" w:lastRowLastColumn="0"/>
              <w:rPr>
                <w:szCs w:val="20"/>
              </w:rPr>
            </w:pPr>
            <w:r w:rsidRPr="00C05BE0">
              <w:rPr>
                <w:szCs w:val="20"/>
              </w:rPr>
              <w:t>Common</w:t>
            </w:r>
            <w:r>
              <w:rPr>
                <w:szCs w:val="20"/>
              </w:rPr>
              <w:t xml:space="preserve"> E</w:t>
            </w:r>
            <w:r w:rsidRPr="00C05BE0">
              <w:rPr>
                <w:szCs w:val="20"/>
              </w:rPr>
              <w:t xml:space="preserve">quity Tier 1 </w:t>
            </w:r>
            <w:r>
              <w:rPr>
                <w:szCs w:val="20"/>
              </w:rPr>
              <w:t>c</w:t>
            </w:r>
            <w:r w:rsidRPr="00C05BE0">
              <w:rPr>
                <w:szCs w:val="20"/>
              </w:rPr>
              <w:t xml:space="preserve">apital </w:t>
            </w:r>
            <w:r>
              <w:rPr>
                <w:szCs w:val="20"/>
              </w:rPr>
              <w:t xml:space="preserve">comprises </w:t>
            </w:r>
            <w:r w:rsidRPr="00C05BE0">
              <w:rPr>
                <w:szCs w:val="20"/>
              </w:rPr>
              <w:t>the highest quality component</w:t>
            </w:r>
            <w:r>
              <w:rPr>
                <w:szCs w:val="20"/>
              </w:rPr>
              <w:t>s</w:t>
            </w:r>
            <w:r w:rsidRPr="00C05BE0">
              <w:rPr>
                <w:szCs w:val="20"/>
              </w:rPr>
              <w:t xml:space="preserve"> of capital. It is subordinated to all other elements of funding, absorbs losses as and when they occur, has full flexibility of dividend payments and has no maturity date.</w:t>
            </w:r>
          </w:p>
        </w:tc>
      </w:tr>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Regulatory capital</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 xml:space="preserve">Consists of Tier 1 </w:t>
            </w:r>
            <w:r>
              <w:rPr>
                <w:szCs w:val="20"/>
              </w:rPr>
              <w:t>c</w:t>
            </w:r>
            <w:r w:rsidRPr="00C05BE0">
              <w:rPr>
                <w:szCs w:val="20"/>
              </w:rPr>
              <w:t xml:space="preserve">apital and Tier 2 </w:t>
            </w:r>
            <w:r>
              <w:rPr>
                <w:szCs w:val="20"/>
              </w:rPr>
              <w:t>c</w:t>
            </w:r>
            <w:r w:rsidRPr="00C05BE0">
              <w:rPr>
                <w:szCs w:val="20"/>
              </w:rPr>
              <w:t>apital.</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Level 1</w:t>
            </w:r>
          </w:p>
        </w:tc>
        <w:tc>
          <w:tcPr>
            <w:tcW w:w="7036" w:type="dxa"/>
          </w:tcPr>
          <w:p w:rsidR="00F814C6" w:rsidRPr="00C05BE0" w:rsidRDefault="00F814C6" w:rsidP="00B8092E">
            <w:pPr>
              <w:pStyle w:val="APRANORMAL"/>
              <w:spacing w:before="100" w:after="100"/>
              <w:cnfStyle w:val="000000010000" w:firstRow="0" w:lastRow="0" w:firstColumn="0" w:lastColumn="0" w:oddVBand="0" w:evenVBand="0" w:oddHBand="0" w:evenHBand="1" w:firstRowFirstColumn="0" w:firstRowLastColumn="0" w:lastRowFirstColumn="0" w:lastRowLastColumn="0"/>
              <w:rPr>
                <w:szCs w:val="20"/>
              </w:rPr>
            </w:pPr>
            <w:r w:rsidRPr="00C05BE0">
              <w:rPr>
                <w:szCs w:val="20"/>
              </w:rPr>
              <w:t>The ADI itself or the Extended Licensed Entity.</w:t>
            </w:r>
          </w:p>
        </w:tc>
      </w:tr>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Level 2</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The consolidation of the ADI and all its subsidiaries other than non-consolidated subsidiaries; or if the ADI is a subsidiary of a non-operating holding company (NOHC), the consolidation of the immediate parent NOHC and all the immediate parent NOHC’s subsidiaries (including any ADIs and their subsidiaries) other than non-consolidated subsidiaries.</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Tier 1 capital</w:t>
            </w:r>
          </w:p>
        </w:tc>
        <w:tc>
          <w:tcPr>
            <w:tcW w:w="7036" w:type="dxa"/>
          </w:tcPr>
          <w:p w:rsidR="00F814C6" w:rsidRPr="00C05BE0" w:rsidRDefault="00F814C6" w:rsidP="00B8092E">
            <w:pPr>
              <w:pStyle w:val="APRANORMAL"/>
              <w:spacing w:before="100" w:after="100"/>
              <w:cnfStyle w:val="000000010000" w:firstRow="0" w:lastRow="0" w:firstColumn="0" w:lastColumn="0" w:oddVBand="0" w:evenVBand="0" w:oddHBand="0" w:evenHBand="1" w:firstRowFirstColumn="0" w:firstRowLastColumn="0" w:lastRowFirstColumn="0" w:lastRowLastColumn="0"/>
              <w:rPr>
                <w:szCs w:val="20"/>
              </w:rPr>
            </w:pPr>
            <w:r w:rsidRPr="00C05BE0">
              <w:rPr>
                <w:szCs w:val="20"/>
              </w:rPr>
              <w:t xml:space="preserve">The sum of the components of CET1 </w:t>
            </w:r>
            <w:r>
              <w:rPr>
                <w:szCs w:val="20"/>
              </w:rPr>
              <w:t>c</w:t>
            </w:r>
            <w:r w:rsidRPr="00C05BE0">
              <w:rPr>
                <w:szCs w:val="20"/>
              </w:rPr>
              <w:t xml:space="preserve">apital, Additional Tier 1 </w:t>
            </w:r>
            <w:r>
              <w:rPr>
                <w:szCs w:val="20"/>
              </w:rPr>
              <w:t>c</w:t>
            </w:r>
            <w:r w:rsidRPr="00C05BE0">
              <w:rPr>
                <w:szCs w:val="20"/>
              </w:rPr>
              <w:t xml:space="preserve">apital, and eligible mutual equity interests </w:t>
            </w:r>
            <w:r>
              <w:rPr>
                <w:szCs w:val="20"/>
              </w:rPr>
              <w:t>(MEIs) issued by a mutually owned ADI (where the MEIs have not already been recognised</w:t>
            </w:r>
            <w:r w:rsidRPr="00C05BE0">
              <w:rPr>
                <w:szCs w:val="20"/>
              </w:rPr>
              <w:t xml:space="preserve"> as CET1 </w:t>
            </w:r>
            <w:r>
              <w:rPr>
                <w:szCs w:val="20"/>
              </w:rPr>
              <w:t>c</w:t>
            </w:r>
            <w:r w:rsidRPr="00C05BE0">
              <w:rPr>
                <w:szCs w:val="20"/>
              </w:rPr>
              <w:t>apital</w:t>
            </w:r>
            <w:r>
              <w:rPr>
                <w:szCs w:val="20"/>
              </w:rPr>
              <w:t>)</w:t>
            </w:r>
            <w:r w:rsidRPr="00C05BE0">
              <w:rPr>
                <w:szCs w:val="20"/>
              </w:rPr>
              <w:t>.</w:t>
            </w:r>
          </w:p>
        </w:tc>
      </w:tr>
      <w:tr w:rsidR="00F814C6" w:rsidRPr="00C05BE0"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Tier 2 capital</w:t>
            </w:r>
          </w:p>
        </w:tc>
        <w:tc>
          <w:tcPr>
            <w:tcW w:w="7036" w:type="dxa"/>
          </w:tcPr>
          <w:p w:rsidR="00F814C6" w:rsidRPr="00C05BE0" w:rsidRDefault="00F814C6" w:rsidP="00B8092E">
            <w:pPr>
              <w:pStyle w:val="APRANORMAL"/>
              <w:spacing w:before="100" w:after="100"/>
              <w:cnfStyle w:val="000000100000" w:firstRow="0" w:lastRow="0" w:firstColumn="0" w:lastColumn="0" w:oddVBand="0" w:evenVBand="0" w:oddHBand="1" w:evenHBand="0" w:firstRowFirstColumn="0" w:firstRowLastColumn="0" w:lastRowFirstColumn="0" w:lastRowLastColumn="0"/>
              <w:rPr>
                <w:szCs w:val="20"/>
              </w:rPr>
            </w:pPr>
            <w:r w:rsidRPr="00C05BE0">
              <w:rPr>
                <w:szCs w:val="20"/>
              </w:rPr>
              <w:t xml:space="preserve">Other components of </w:t>
            </w:r>
            <w:r>
              <w:rPr>
                <w:szCs w:val="20"/>
              </w:rPr>
              <w:t>r</w:t>
            </w:r>
            <w:r w:rsidRPr="00C05BE0">
              <w:rPr>
                <w:szCs w:val="20"/>
              </w:rPr>
              <w:t xml:space="preserve">egulatory </w:t>
            </w:r>
            <w:r>
              <w:rPr>
                <w:szCs w:val="20"/>
              </w:rPr>
              <w:t>c</w:t>
            </w:r>
            <w:r w:rsidRPr="00C05BE0">
              <w:rPr>
                <w:szCs w:val="20"/>
              </w:rPr>
              <w:t xml:space="preserve">apital that, to varying degrees, fall short of the quality of Tier 1 </w:t>
            </w:r>
            <w:r>
              <w:rPr>
                <w:szCs w:val="20"/>
              </w:rPr>
              <w:t>c</w:t>
            </w:r>
            <w:r w:rsidRPr="00C05BE0">
              <w:rPr>
                <w:szCs w:val="20"/>
              </w:rPr>
              <w:t>apital but nonetheless contribute to the overall strength of an ADI and its capacity to absorb losses.</w:t>
            </w:r>
          </w:p>
        </w:tc>
      </w:tr>
      <w:tr w:rsidR="00F814C6" w:rsidRPr="00C05BE0"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F814C6" w:rsidRDefault="00F814C6" w:rsidP="00F814C6">
            <w:pPr>
              <w:pStyle w:val="Tableheading0"/>
              <w:rPr>
                <w:i/>
              </w:rPr>
            </w:pPr>
            <w:r w:rsidRPr="00F814C6">
              <w:t>TLAC standard</w:t>
            </w:r>
          </w:p>
        </w:tc>
        <w:tc>
          <w:tcPr>
            <w:tcW w:w="7036" w:type="dxa"/>
          </w:tcPr>
          <w:p w:rsidR="00F814C6" w:rsidRPr="00C05BE0" w:rsidRDefault="00F814C6" w:rsidP="00B8092E">
            <w:pPr>
              <w:pStyle w:val="APRANORMAL"/>
              <w:keepNext/>
              <w:spacing w:before="100" w:after="100"/>
              <w:cnfStyle w:val="000000010000" w:firstRow="0" w:lastRow="0" w:firstColumn="0" w:lastColumn="0" w:oddVBand="0" w:evenVBand="0" w:oddHBand="0" w:evenHBand="1" w:firstRowFirstColumn="0" w:firstRowLastColumn="0" w:lastRowFirstColumn="0" w:lastRowLastColumn="0"/>
              <w:rPr>
                <w:szCs w:val="20"/>
              </w:rPr>
            </w:pPr>
            <w:r w:rsidRPr="00C05BE0">
              <w:rPr>
                <w:szCs w:val="20"/>
              </w:rPr>
              <w:t>Total Loss Absorbing Capacity</w:t>
            </w:r>
            <w:r>
              <w:rPr>
                <w:szCs w:val="20"/>
              </w:rPr>
              <w:t xml:space="preserve"> standard</w:t>
            </w:r>
            <w:r w:rsidRPr="00C05BE0">
              <w:rPr>
                <w:szCs w:val="20"/>
              </w:rPr>
              <w:t xml:space="preserve">, </w:t>
            </w:r>
            <w:r w:rsidRPr="00E53B4E">
              <w:rPr>
                <w:szCs w:val="20"/>
              </w:rPr>
              <w:t xml:space="preserve">set out in </w:t>
            </w:r>
            <w:r w:rsidRPr="0038329A">
              <w:rPr>
                <w:i/>
                <w:szCs w:val="20"/>
              </w:rPr>
              <w:t>Principles on Loss-absorbing and Recapitalisation Capacity of G-SIBs in Resolution</w:t>
            </w:r>
            <w:r w:rsidRPr="00E53B4E">
              <w:rPr>
                <w:szCs w:val="20"/>
              </w:rPr>
              <w:t xml:space="preserve"> issued by the Financial Stability Board on 9 November 2015</w:t>
            </w:r>
            <w:r>
              <w:rPr>
                <w:szCs w:val="20"/>
              </w:rPr>
              <w:t>.</w:t>
            </w:r>
            <w:r>
              <w:t xml:space="preserve"> </w:t>
            </w:r>
          </w:p>
        </w:tc>
      </w:tr>
    </w:tbl>
    <w:p w:rsidR="00F814C6" w:rsidRDefault="00F814C6" w:rsidP="0099595F">
      <w:pPr>
        <w:pStyle w:val="APRANORMAL"/>
      </w:pPr>
    </w:p>
    <w:p w:rsidR="0099595F" w:rsidRPr="0099595F" w:rsidRDefault="0099595F" w:rsidP="0099595F">
      <w:pPr>
        <w:numPr>
          <w:ilvl w:val="0"/>
          <w:numId w:val="0"/>
        </w:numPr>
      </w:pPr>
    </w:p>
    <w:p w:rsidR="00134F0A" w:rsidRDefault="00F814C6" w:rsidP="00134F0A">
      <w:pPr>
        <w:pStyle w:val="Heading1Numbers"/>
      </w:pPr>
      <w:bookmarkStart w:id="6" w:name="_Toc71274558"/>
      <w:r>
        <w:t>Introduction</w:t>
      </w:r>
      <w:bookmarkEnd w:id="6"/>
    </w:p>
    <w:p w:rsidR="00F814C6" w:rsidRDefault="00F814C6" w:rsidP="00F814C6">
      <w:pPr>
        <w:pStyle w:val="APRANORMAL"/>
      </w:pPr>
      <w:r>
        <w:t>This chapter summarises APRA’s response to issues raised in the consultation on proposed revisions to APS 111. The consultation period was from October 2019 to January 2020. It also sets out new proposed revisions that were not included in this original consultation, but which would help to clarify aspects of the Prudential Standard.</w:t>
      </w:r>
    </w:p>
    <w:p w:rsidR="00F814C6" w:rsidRPr="00D700CF" w:rsidRDefault="00F814C6" w:rsidP="00F814C6">
      <w:pPr>
        <w:pStyle w:val="Heading2"/>
      </w:pPr>
      <w:bookmarkStart w:id="7" w:name="_Toc67403392"/>
      <w:bookmarkStart w:id="8" w:name="_Toc67403804"/>
      <w:bookmarkStart w:id="9" w:name="_Toc67403895"/>
      <w:bookmarkStart w:id="10" w:name="_Toc67406211"/>
      <w:bookmarkStart w:id="11" w:name="_Toc68086317"/>
      <w:bookmarkStart w:id="12" w:name="_Toc71274501"/>
      <w:bookmarkStart w:id="13" w:name="_Toc71274530"/>
      <w:bookmarkStart w:id="14" w:name="_Toc71274559"/>
      <w:r>
        <w:t>First</w:t>
      </w:r>
      <w:r w:rsidRPr="00D700CF">
        <w:t xml:space="preserve"> </w:t>
      </w:r>
      <w:r w:rsidRPr="000B70F1">
        <w:t>consultation</w:t>
      </w:r>
      <w:bookmarkEnd w:id="7"/>
      <w:bookmarkEnd w:id="8"/>
      <w:bookmarkEnd w:id="9"/>
      <w:bookmarkEnd w:id="10"/>
      <w:bookmarkEnd w:id="11"/>
      <w:r w:rsidRPr="000B70F1">
        <w:t xml:space="preserve"> – October 2019</w:t>
      </w:r>
      <w:bookmarkEnd w:id="12"/>
      <w:bookmarkEnd w:id="13"/>
      <w:bookmarkEnd w:id="14"/>
    </w:p>
    <w:p w:rsidR="00F814C6" w:rsidRDefault="00F814C6" w:rsidP="00F814C6">
      <w:pPr>
        <w:pStyle w:val="APRANORMAL"/>
      </w:pPr>
      <w:r w:rsidRPr="00177FAF">
        <w:t>APRA received seven submissions to its</w:t>
      </w:r>
      <w:r>
        <w:t xml:space="preserve"> consultation on</w:t>
      </w:r>
      <w:r w:rsidRPr="00177FAF">
        <w:t xml:space="preserve"> propos</w:t>
      </w:r>
      <w:r>
        <w:t>ed changes to APS 111</w:t>
      </w:r>
      <w:r w:rsidRPr="00177FAF">
        <w:t>, of which five were confidential.</w:t>
      </w:r>
      <w:r>
        <w:t xml:space="preserve"> The two non-confidential submissions have been published on APRA’s website.</w:t>
      </w:r>
    </w:p>
    <w:p w:rsidR="00F814C6" w:rsidRDefault="00F814C6" w:rsidP="00F814C6">
      <w:pPr>
        <w:pStyle w:val="APRANORMAL"/>
      </w:pPr>
      <w:r>
        <w:t xml:space="preserve">APRA has largely maintained the key revisions proposed in the APS 111 consultation. In making amendments to these proposed revisions, APRA has sought to provide greater clarity on its expectations, consistent with industry feedback. The main amendments to the proposals are summarised </w:t>
      </w:r>
      <w:r w:rsidRPr="00693960">
        <w:t>below</w:t>
      </w:r>
      <w:r>
        <w:t xml:space="preserve">. Further detail is provided in </w:t>
      </w:r>
      <w:r w:rsidRPr="00B36527">
        <w:t>Chapter 2</w:t>
      </w:r>
      <w:r>
        <w:t>.</w:t>
      </w:r>
    </w:p>
    <w:p w:rsidR="00F814C6" w:rsidRDefault="00F814C6" w:rsidP="00F814C6">
      <w:pPr>
        <w:pStyle w:val="Numberedtableheading"/>
      </w:pPr>
      <w:r>
        <w:t>Key amendments to original proposals</w:t>
      </w:r>
    </w:p>
    <w:tbl>
      <w:tblPr>
        <w:tblStyle w:val="TableOption2"/>
        <w:tblW w:w="0" w:type="auto"/>
        <w:tblLook w:val="04A0" w:firstRow="1" w:lastRow="0" w:firstColumn="1" w:lastColumn="0" w:noHBand="0" w:noVBand="1"/>
      </w:tblPr>
      <w:tblGrid>
        <w:gridCol w:w="1980"/>
        <w:gridCol w:w="7036"/>
      </w:tblGrid>
      <w:tr w:rsidR="00F814C6" w:rsidRPr="00D71E2D" w:rsidTr="007F793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rsidR="00F814C6" w:rsidRPr="007F793C" w:rsidRDefault="00F814C6" w:rsidP="007F793C">
            <w:pPr>
              <w:pStyle w:val="Tableheading0"/>
            </w:pPr>
            <w:r w:rsidRPr="007F793C">
              <w:t>Issue</w:t>
            </w:r>
          </w:p>
        </w:tc>
        <w:tc>
          <w:tcPr>
            <w:tcW w:w="7036" w:type="dxa"/>
          </w:tcPr>
          <w:p w:rsidR="00F814C6" w:rsidRPr="007F793C" w:rsidRDefault="00F814C6" w:rsidP="007F793C">
            <w:pPr>
              <w:pStyle w:val="Tableheading0"/>
              <w:cnfStyle w:val="100000000000" w:firstRow="1" w:lastRow="0" w:firstColumn="0" w:lastColumn="0" w:oddVBand="0" w:evenVBand="0" w:oddHBand="0" w:evenHBand="0" w:firstRowFirstColumn="0" w:firstRowLastColumn="0" w:lastRowFirstColumn="0" w:lastRowLastColumn="0"/>
            </w:pPr>
            <w:r w:rsidRPr="007F793C">
              <w:t>APRA amendment</w:t>
            </w:r>
          </w:p>
        </w:tc>
      </w:tr>
      <w:tr w:rsidR="00F814C6" w:rsidRPr="00D71E2D" w:rsidTr="007F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7F793C" w:rsidRDefault="00F814C6" w:rsidP="007F793C">
            <w:pPr>
              <w:pStyle w:val="Tableheading0"/>
              <w:rPr>
                <w:i/>
              </w:rPr>
            </w:pPr>
            <w:r w:rsidRPr="007F793C">
              <w:t>Level 1 treatment of equity investments in banking and insurance subsidiaries</w:t>
            </w:r>
          </w:p>
        </w:tc>
        <w:tc>
          <w:tcPr>
            <w:tcW w:w="7036" w:type="dxa"/>
          </w:tcPr>
          <w:p w:rsidR="00F814C6" w:rsidRPr="009F5C97" w:rsidRDefault="00F814C6" w:rsidP="00B8092E">
            <w:pPr>
              <w:pStyle w:val="APRANORMAL"/>
              <w:cnfStyle w:val="000000100000" w:firstRow="0" w:lastRow="0" w:firstColumn="0" w:lastColumn="0" w:oddVBand="0" w:evenVBand="0" w:oddHBand="1" w:evenHBand="0" w:firstRowFirstColumn="0" w:firstRowLastColumn="0" w:lastRowFirstColumn="0" w:lastRowLastColumn="0"/>
              <w:rPr>
                <w:szCs w:val="20"/>
              </w:rPr>
            </w:pPr>
            <w:r w:rsidRPr="009F5C97">
              <w:rPr>
                <w:szCs w:val="20"/>
              </w:rPr>
              <w:t xml:space="preserve">APRA has </w:t>
            </w:r>
            <w:r>
              <w:rPr>
                <w:szCs w:val="20"/>
              </w:rPr>
              <w:t>clarified</w:t>
            </w:r>
            <w:r w:rsidRPr="009F5C97">
              <w:rPr>
                <w:szCs w:val="20"/>
              </w:rPr>
              <w:t xml:space="preserve"> that</w:t>
            </w:r>
            <w:r>
              <w:rPr>
                <w:szCs w:val="20"/>
              </w:rPr>
              <w:t>, for the purposes of meeting this requirement,</w:t>
            </w:r>
            <w:r w:rsidRPr="009F5C97">
              <w:rPr>
                <w:szCs w:val="20"/>
              </w:rPr>
              <w:t xml:space="preserve"> CET1 capital </w:t>
            </w:r>
            <w:r>
              <w:rPr>
                <w:szCs w:val="20"/>
              </w:rPr>
              <w:t>should be</w:t>
            </w:r>
            <w:r w:rsidRPr="009F5C97">
              <w:rPr>
                <w:szCs w:val="20"/>
              </w:rPr>
              <w:t xml:space="preserve"> calculated after all regulatory adjustments</w:t>
            </w:r>
            <w:r>
              <w:rPr>
                <w:szCs w:val="20"/>
              </w:rPr>
              <w:t xml:space="preserve"> </w:t>
            </w:r>
            <w:r w:rsidRPr="002E5440">
              <w:rPr>
                <w:szCs w:val="20"/>
              </w:rPr>
              <w:t xml:space="preserve">excluding </w:t>
            </w:r>
            <w:r>
              <w:rPr>
                <w:szCs w:val="20"/>
              </w:rPr>
              <w:t>any</w:t>
            </w:r>
            <w:r w:rsidRPr="002E5440">
              <w:rPr>
                <w:szCs w:val="20"/>
              </w:rPr>
              <w:t xml:space="preserve"> capital deduction resulting from equity investments in banking and insurance subsidiaries exceeding the 10</w:t>
            </w:r>
            <w:r>
              <w:rPr>
                <w:szCs w:val="20"/>
              </w:rPr>
              <w:t> </w:t>
            </w:r>
            <w:r w:rsidRPr="002E5440">
              <w:rPr>
                <w:szCs w:val="20"/>
              </w:rPr>
              <w:t>per cent threshold. This avoids a ‘circular reference’</w:t>
            </w:r>
            <w:r>
              <w:rPr>
                <w:szCs w:val="20"/>
              </w:rPr>
              <w:t>.</w:t>
            </w:r>
          </w:p>
        </w:tc>
      </w:tr>
      <w:tr w:rsidR="00F814C6" w:rsidRPr="001A422F" w:rsidTr="007F7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7F793C" w:rsidRDefault="00F814C6" w:rsidP="007F793C">
            <w:pPr>
              <w:pStyle w:val="Tableheading0"/>
              <w:rPr>
                <w:i/>
                <w:color w:val="FFFFFF" w:themeColor="background1"/>
              </w:rPr>
            </w:pPr>
            <w:r w:rsidRPr="007F793C">
              <w:rPr>
                <w:color w:val="FFFFFF" w:themeColor="background1"/>
              </w:rPr>
              <w:t>Funding of capital instruments</w:t>
            </w:r>
          </w:p>
        </w:tc>
        <w:tc>
          <w:tcPr>
            <w:tcW w:w="7036" w:type="dxa"/>
          </w:tcPr>
          <w:p w:rsidR="00F814C6" w:rsidRPr="009F5C97" w:rsidRDefault="00F814C6" w:rsidP="00B8092E">
            <w:pPr>
              <w:pStyle w:val="APRANORMAL"/>
              <w:cnfStyle w:val="000000010000" w:firstRow="0" w:lastRow="0" w:firstColumn="0" w:lastColumn="0" w:oddVBand="0" w:evenVBand="0" w:oddHBand="0" w:evenHBand="1" w:firstRowFirstColumn="0" w:firstRowLastColumn="0" w:lastRowFirstColumn="0" w:lastRowLastColumn="0"/>
              <w:rPr>
                <w:szCs w:val="20"/>
              </w:rPr>
            </w:pPr>
            <w:r>
              <w:rPr>
                <w:szCs w:val="20"/>
              </w:rPr>
              <w:t>For an instrument t</w:t>
            </w:r>
            <w:r w:rsidRPr="00693960">
              <w:rPr>
                <w:szCs w:val="20"/>
              </w:rPr>
              <w:t xml:space="preserve">o be classified as </w:t>
            </w:r>
            <w:r>
              <w:rPr>
                <w:szCs w:val="20"/>
              </w:rPr>
              <w:t>r</w:t>
            </w:r>
            <w:r w:rsidRPr="00693960">
              <w:rPr>
                <w:szCs w:val="20"/>
              </w:rPr>
              <w:t xml:space="preserve">egulatory </w:t>
            </w:r>
            <w:r>
              <w:rPr>
                <w:szCs w:val="20"/>
              </w:rPr>
              <w:t>c</w:t>
            </w:r>
            <w:r w:rsidRPr="00693960">
              <w:rPr>
                <w:szCs w:val="20"/>
              </w:rPr>
              <w:t>apital</w:t>
            </w:r>
            <w:r>
              <w:rPr>
                <w:szCs w:val="20"/>
              </w:rPr>
              <w:t>,</w:t>
            </w:r>
            <w:r w:rsidRPr="00693960">
              <w:rPr>
                <w:szCs w:val="20"/>
              </w:rPr>
              <w:t xml:space="preserve"> the issuer cannot directly or indirectly </w:t>
            </w:r>
            <w:r>
              <w:rPr>
                <w:szCs w:val="20"/>
              </w:rPr>
              <w:t xml:space="preserve">have </w:t>
            </w:r>
            <w:r w:rsidRPr="00693960">
              <w:rPr>
                <w:szCs w:val="20"/>
              </w:rPr>
              <w:t>funded the purchase of the instrument</w:t>
            </w:r>
            <w:r>
              <w:rPr>
                <w:szCs w:val="20"/>
              </w:rPr>
              <w:t xml:space="preserve">. </w:t>
            </w:r>
            <w:r w:rsidRPr="009F5C97">
              <w:rPr>
                <w:szCs w:val="20"/>
              </w:rPr>
              <w:t xml:space="preserve">APRA has </w:t>
            </w:r>
            <w:r>
              <w:rPr>
                <w:szCs w:val="20"/>
              </w:rPr>
              <w:t xml:space="preserve">clarified that, as an example, </w:t>
            </w:r>
            <w:r w:rsidRPr="009F5C97">
              <w:rPr>
                <w:szCs w:val="20"/>
              </w:rPr>
              <w:t>indirect funding</w:t>
            </w:r>
            <w:r>
              <w:rPr>
                <w:szCs w:val="20"/>
              </w:rPr>
              <w:t xml:space="preserve"> would</w:t>
            </w:r>
            <w:r w:rsidRPr="009F5C97">
              <w:rPr>
                <w:szCs w:val="20"/>
              </w:rPr>
              <w:t xml:space="preserve"> include lending to a borrower on a non-recourse basis secured against any capital instruments of the ADI</w:t>
            </w:r>
            <w:r>
              <w:rPr>
                <w:szCs w:val="20"/>
              </w:rPr>
              <w:t>.</w:t>
            </w:r>
            <w:r w:rsidRPr="009F5C97">
              <w:rPr>
                <w:szCs w:val="20"/>
              </w:rPr>
              <w:t xml:space="preserve"> </w:t>
            </w:r>
          </w:p>
        </w:tc>
      </w:tr>
      <w:tr w:rsidR="00F814C6" w:rsidRPr="001A422F" w:rsidTr="007F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7F793C" w:rsidRDefault="00F814C6" w:rsidP="007F793C">
            <w:pPr>
              <w:pStyle w:val="Tableheading0"/>
              <w:rPr>
                <w:i/>
                <w:color w:val="FFFFFF" w:themeColor="background1"/>
              </w:rPr>
            </w:pPr>
            <w:r w:rsidRPr="007F793C">
              <w:rPr>
                <w:color w:val="FFFFFF" w:themeColor="background1"/>
              </w:rPr>
              <w:t>Minority interest</w:t>
            </w:r>
          </w:p>
        </w:tc>
        <w:tc>
          <w:tcPr>
            <w:tcW w:w="7036" w:type="dxa"/>
          </w:tcPr>
          <w:p w:rsidR="00F814C6" w:rsidRPr="009F5C97" w:rsidRDefault="00F814C6" w:rsidP="00B8092E">
            <w:pPr>
              <w:pStyle w:val="APRANORMAL"/>
              <w:cnfStyle w:val="000000100000" w:firstRow="0" w:lastRow="0" w:firstColumn="0" w:lastColumn="0" w:oddVBand="0" w:evenVBand="0" w:oddHBand="1" w:evenHBand="0" w:firstRowFirstColumn="0" w:firstRowLastColumn="0" w:lastRowFirstColumn="0" w:lastRowLastColumn="0"/>
              <w:rPr>
                <w:szCs w:val="20"/>
              </w:rPr>
            </w:pPr>
            <w:r w:rsidRPr="002D6F9C">
              <w:rPr>
                <w:szCs w:val="20"/>
              </w:rPr>
              <w:t>APRA</w:t>
            </w:r>
            <w:r>
              <w:rPr>
                <w:szCs w:val="20"/>
              </w:rPr>
              <w:t xml:space="preserve"> has clarified that,</w:t>
            </w:r>
            <w:r w:rsidRPr="002D6F9C">
              <w:rPr>
                <w:szCs w:val="20"/>
              </w:rPr>
              <w:t xml:space="preserve"> where </w:t>
            </w:r>
            <w:r>
              <w:rPr>
                <w:szCs w:val="20"/>
              </w:rPr>
              <w:t xml:space="preserve">a NOHC </w:t>
            </w:r>
            <w:r w:rsidRPr="002D6F9C">
              <w:rPr>
                <w:szCs w:val="20"/>
              </w:rPr>
              <w:t>is head of the Level 2 group and owns other businesses</w:t>
            </w:r>
            <w:r>
              <w:rPr>
                <w:szCs w:val="20"/>
              </w:rPr>
              <w:t xml:space="preserve">, capital instruments issued by the subsidiary ADI </w:t>
            </w:r>
            <w:r w:rsidRPr="002D6F9C">
              <w:rPr>
                <w:szCs w:val="20"/>
              </w:rPr>
              <w:t xml:space="preserve">would be subject to the minority interest requirements of </w:t>
            </w:r>
            <w:r>
              <w:rPr>
                <w:szCs w:val="20"/>
              </w:rPr>
              <w:t>APS 111</w:t>
            </w:r>
            <w:r w:rsidRPr="002D6F9C">
              <w:rPr>
                <w:szCs w:val="20"/>
              </w:rPr>
              <w:t xml:space="preserve">. </w:t>
            </w:r>
          </w:p>
        </w:tc>
      </w:tr>
      <w:tr w:rsidR="00F814C6" w:rsidRPr="001A422F" w:rsidTr="007F7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7F793C" w:rsidRDefault="00F814C6" w:rsidP="007F793C">
            <w:pPr>
              <w:pStyle w:val="Tableheading0"/>
              <w:rPr>
                <w:i/>
                <w:color w:val="FFFFFF" w:themeColor="background1"/>
              </w:rPr>
            </w:pPr>
            <w:r w:rsidRPr="007F793C">
              <w:t>Documentation and statement of compliance</w:t>
            </w:r>
          </w:p>
        </w:tc>
        <w:tc>
          <w:tcPr>
            <w:tcW w:w="7036" w:type="dxa"/>
          </w:tcPr>
          <w:p w:rsidR="00F814C6" w:rsidRPr="009F5C97" w:rsidRDefault="00F814C6" w:rsidP="00B8092E">
            <w:pPr>
              <w:pStyle w:val="APRANORMAL"/>
              <w:cnfStyle w:val="000000010000" w:firstRow="0" w:lastRow="0" w:firstColumn="0" w:lastColumn="0" w:oddVBand="0" w:evenVBand="0" w:oddHBand="0" w:evenHBand="1" w:firstRowFirstColumn="0" w:firstRowLastColumn="0" w:lastRowFirstColumn="0" w:lastRowLastColumn="0"/>
              <w:rPr>
                <w:szCs w:val="20"/>
              </w:rPr>
            </w:pPr>
            <w:r w:rsidRPr="009F5C97">
              <w:rPr>
                <w:szCs w:val="20"/>
              </w:rPr>
              <w:t xml:space="preserve">APRA has </w:t>
            </w:r>
            <w:r>
              <w:rPr>
                <w:szCs w:val="20"/>
              </w:rPr>
              <w:t>clarified</w:t>
            </w:r>
            <w:r w:rsidRPr="009F5C97">
              <w:rPr>
                <w:szCs w:val="20"/>
              </w:rPr>
              <w:t xml:space="preserve"> that an ADI is not required to provide documentation</w:t>
            </w:r>
            <w:r>
              <w:rPr>
                <w:szCs w:val="20"/>
              </w:rPr>
              <w:t xml:space="preserve"> to APRA</w:t>
            </w:r>
            <w:r w:rsidRPr="009F5C97">
              <w:rPr>
                <w:szCs w:val="20"/>
              </w:rPr>
              <w:t xml:space="preserve"> for</w:t>
            </w:r>
            <w:r>
              <w:rPr>
                <w:szCs w:val="20"/>
              </w:rPr>
              <w:t xml:space="preserve"> CET1 capital instruments, such as ordinary shares.</w:t>
            </w:r>
          </w:p>
        </w:tc>
      </w:tr>
    </w:tbl>
    <w:p w:rsidR="00F814C6" w:rsidRDefault="00F814C6" w:rsidP="00F814C6">
      <w:pPr>
        <w:pStyle w:val="APRANORMAL"/>
      </w:pPr>
    </w:p>
    <w:p w:rsidR="00F814C6" w:rsidRDefault="00F814C6" w:rsidP="00F814C6">
      <w:pPr>
        <w:pStyle w:val="APRANORMAL"/>
      </w:pPr>
      <w:r>
        <w:rPr>
          <w:rStyle w:val="APRANORMALChar"/>
        </w:rPr>
        <w:t>While industry did not support APRA’s proposal to remove</w:t>
      </w:r>
      <w:r w:rsidRPr="00553756">
        <w:rPr>
          <w:rStyle w:val="APRANORMALChar"/>
        </w:rPr>
        <w:t xml:space="preserve"> the </w:t>
      </w:r>
      <w:r>
        <w:rPr>
          <w:rStyle w:val="APRANORMALChar"/>
        </w:rPr>
        <w:t xml:space="preserve">allowance for SPVs in regulatory capital issuance, APRA has maintained its original proposal. The approach suggested by ADIs would </w:t>
      </w:r>
      <w:r>
        <w:t xml:space="preserve">not comply with </w:t>
      </w:r>
      <w:r w:rsidRPr="008A5C79">
        <w:t>international</w:t>
      </w:r>
      <w:r>
        <w:t>ly</w:t>
      </w:r>
      <w:r w:rsidRPr="008A5C79">
        <w:t xml:space="preserve"> </w:t>
      </w:r>
      <w:r>
        <w:t>agreed Basel Committee standards, would require complex assessments of instrument eligibility and would introduce new risks from a resolvability perspective. APRA will continue to engage with relevant ADIs and the RBNZ on potential alternative policy responses.</w:t>
      </w:r>
    </w:p>
    <w:p w:rsidR="00F814C6" w:rsidRPr="00D700CF" w:rsidRDefault="00F814C6" w:rsidP="00F814C6">
      <w:pPr>
        <w:pStyle w:val="Heading2"/>
      </w:pPr>
      <w:bookmarkStart w:id="15" w:name="_Toc67403393"/>
      <w:bookmarkStart w:id="16" w:name="_Toc67403805"/>
      <w:bookmarkStart w:id="17" w:name="_Toc67403896"/>
      <w:bookmarkStart w:id="18" w:name="_Toc67406212"/>
      <w:bookmarkStart w:id="19" w:name="_Toc68086318"/>
      <w:bookmarkStart w:id="20" w:name="_Toc71274502"/>
      <w:bookmarkStart w:id="21" w:name="_Toc71274531"/>
      <w:bookmarkStart w:id="22" w:name="_Toc71274560"/>
      <w:bookmarkStart w:id="23" w:name="_Toc63069479"/>
      <w:bookmarkStart w:id="24" w:name="_Toc63070459"/>
      <w:bookmarkStart w:id="25" w:name="_Toc63071205"/>
      <w:bookmarkStart w:id="26" w:name="_Toc63944968"/>
      <w:bookmarkStart w:id="27" w:name="_Toc65846175"/>
      <w:bookmarkStart w:id="28" w:name="_Toc65857435"/>
      <w:bookmarkStart w:id="29" w:name="_Toc66268316"/>
      <w:bookmarkStart w:id="30" w:name="_Toc66283784"/>
      <w:bookmarkStart w:id="31" w:name="_Toc66283921"/>
      <w:bookmarkStart w:id="32" w:name="_Toc66906178"/>
      <w:r>
        <w:t>Second</w:t>
      </w:r>
      <w:r w:rsidRPr="00D700CF">
        <w:t xml:space="preserve"> consultation</w:t>
      </w:r>
      <w:bookmarkEnd w:id="15"/>
      <w:bookmarkEnd w:id="16"/>
      <w:bookmarkEnd w:id="17"/>
      <w:bookmarkEnd w:id="18"/>
      <w:bookmarkEnd w:id="19"/>
      <w:r>
        <w:t xml:space="preserve"> – May 2021</w:t>
      </w:r>
      <w:bookmarkEnd w:id="20"/>
      <w:bookmarkEnd w:id="21"/>
      <w:bookmarkEnd w:id="22"/>
    </w:p>
    <w:p w:rsidR="00F814C6" w:rsidRDefault="00F814C6" w:rsidP="00F814C6">
      <w:pPr>
        <w:pStyle w:val="APRANORMAL"/>
      </w:pPr>
      <w:r>
        <w:t>APRA is proposing some new revisions to APS 111 that were not part of the October 2019 consultation.</w:t>
      </w:r>
      <w:r w:rsidRPr="00790733">
        <w:t xml:space="preserve"> </w:t>
      </w:r>
      <w:r>
        <w:t xml:space="preserve">These new revisions make clear that certain prudential requirements historically more relevant to AT1 and Tier 2 capital equally apply to all forms of regulatory capital. Further details are provided in </w:t>
      </w:r>
      <w:r w:rsidRPr="00B36527">
        <w:t>Chapter 3.</w:t>
      </w:r>
    </w:p>
    <w:p w:rsidR="00F814C6" w:rsidRPr="00D700CF" w:rsidRDefault="00F814C6" w:rsidP="00F814C6">
      <w:pPr>
        <w:pStyle w:val="Heading2"/>
      </w:pPr>
      <w:bookmarkStart w:id="33" w:name="_Toc67403394"/>
      <w:bookmarkStart w:id="34" w:name="_Toc67403806"/>
      <w:bookmarkStart w:id="35" w:name="_Toc67403897"/>
      <w:bookmarkStart w:id="36" w:name="_Toc67406213"/>
      <w:bookmarkStart w:id="37" w:name="_Toc68086319"/>
      <w:bookmarkStart w:id="38" w:name="_Toc71274503"/>
      <w:bookmarkStart w:id="39" w:name="_Toc71274532"/>
      <w:bookmarkStart w:id="40" w:name="_Toc71274561"/>
      <w:r w:rsidRPr="00D700CF">
        <w:t>Implementation timetable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814C6" w:rsidRDefault="00F814C6" w:rsidP="00F814C6">
      <w:pPr>
        <w:pStyle w:val="APRANORMAL"/>
      </w:pPr>
      <w:r w:rsidRPr="00BD4937">
        <w:t xml:space="preserve">Revisions to APS 111 were first consulted </w:t>
      </w:r>
      <w:r>
        <w:t>on in October</w:t>
      </w:r>
      <w:r w:rsidRPr="00BD4937">
        <w:t xml:space="preserve"> 2019, with the intention that the revised standard would be finalised and implemented from 1 January 2021. However, with the onset of COVID-19, </w:t>
      </w:r>
      <w:r>
        <w:t xml:space="preserve">APRA delayed these timelines to allow ADIs to prioritise managing risks associated with the pandemic. </w:t>
      </w:r>
    </w:p>
    <w:p w:rsidR="00F814C6" w:rsidRDefault="00F814C6" w:rsidP="00F814C6">
      <w:pPr>
        <w:pStyle w:val="APRANORMAL"/>
      </w:pPr>
      <w:r>
        <w:t xml:space="preserve">APRA expects that the final revised APS 111 will be effective from 1 January 2022. APRA is running a short consultation on some new amendments to APS 111, which are expected to be finalised in July 2021. Feedback on the proposed new revisions should be provided by </w:t>
      </w:r>
      <w:r w:rsidRPr="003933A9">
        <w:t>10</w:t>
      </w:r>
      <w:r w:rsidRPr="005F4187">
        <w:t xml:space="preserve"> </w:t>
      </w:r>
      <w:r>
        <w:t>June 2021.</w:t>
      </w:r>
    </w:p>
    <w:p w:rsidR="00F814C6" w:rsidRDefault="00F814C6" w:rsidP="00F814C6">
      <w:pPr>
        <w:pStyle w:val="APRANORMAL"/>
      </w:pPr>
      <w:r>
        <w:t xml:space="preserve">Ahead of the implementation of the final revised APS 111, ADIs must continue to meet APRA’s interim expectations on </w:t>
      </w:r>
      <w:r w:rsidRPr="00265DE4">
        <w:t>the capital treatment of new or additional equity investments in banking and insurance subsidiaries</w:t>
      </w:r>
      <w:r>
        <w:t>.</w:t>
      </w:r>
      <w:r>
        <w:rPr>
          <w:rStyle w:val="FootnoteReference"/>
        </w:rPr>
        <w:footnoteReference w:id="2"/>
      </w:r>
      <w:r>
        <w:t xml:space="preserve"> </w:t>
      </w:r>
      <w:r w:rsidRPr="00BD4937">
        <w:t>Th</w:t>
      </w:r>
      <w:r>
        <w:t>is was announced in November 2020,</w:t>
      </w:r>
      <w:r w:rsidRPr="00BD4937">
        <w:t xml:space="preserve"> to ensure that any new or additional investments in subsidiaries aligns with the intended future state of APS</w:t>
      </w:r>
      <w:r>
        <w:t xml:space="preserve"> 111.</w:t>
      </w:r>
    </w:p>
    <w:p w:rsidR="00F814C6" w:rsidRDefault="00F814C6" w:rsidP="00F814C6">
      <w:pPr>
        <w:pStyle w:val="Numberedtableheading"/>
      </w:pPr>
      <w:r>
        <w:t>Implementation timeline</w:t>
      </w:r>
    </w:p>
    <w:tbl>
      <w:tblPr>
        <w:tblStyle w:val="TableOption2"/>
        <w:tblW w:w="0" w:type="auto"/>
        <w:tblLook w:val="04A0" w:firstRow="1" w:lastRow="0" w:firstColumn="1" w:lastColumn="0" w:noHBand="0" w:noVBand="1"/>
      </w:tblPr>
      <w:tblGrid>
        <w:gridCol w:w="1980"/>
        <w:gridCol w:w="7036"/>
      </w:tblGrid>
      <w:tr w:rsidR="00F814C6" w:rsidRPr="00BF29BF" w:rsidTr="007F7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2F26F4" w:rsidRDefault="00F814C6" w:rsidP="007F793C">
            <w:pPr>
              <w:pStyle w:val="Tableheading0"/>
              <w:rPr>
                <w:i/>
              </w:rPr>
            </w:pPr>
            <w:r w:rsidRPr="002F26F4">
              <w:t>Date</w:t>
            </w:r>
          </w:p>
        </w:tc>
        <w:tc>
          <w:tcPr>
            <w:tcW w:w="7036" w:type="dxa"/>
          </w:tcPr>
          <w:p w:rsidR="00F814C6" w:rsidRPr="002F26F4" w:rsidRDefault="00F814C6" w:rsidP="007F793C">
            <w:pPr>
              <w:pStyle w:val="Tableheading0"/>
              <w:cnfStyle w:val="100000000000" w:firstRow="1" w:lastRow="0" w:firstColumn="0" w:lastColumn="0" w:oddVBand="0" w:evenVBand="0" w:oddHBand="0" w:evenHBand="0" w:firstRowFirstColumn="0" w:firstRowLastColumn="0" w:lastRowFirstColumn="0" w:lastRowLastColumn="0"/>
            </w:pPr>
            <w:r w:rsidRPr="002F26F4">
              <w:t>Step</w:t>
            </w:r>
          </w:p>
        </w:tc>
      </w:tr>
      <w:tr w:rsidR="00F814C6" w:rsidRPr="009F5C97" w:rsidTr="007F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2F26F4" w:rsidRDefault="00F814C6" w:rsidP="007F793C">
            <w:pPr>
              <w:pStyle w:val="Tableheading0"/>
              <w:rPr>
                <w:i/>
              </w:rPr>
            </w:pPr>
            <w:r w:rsidRPr="003933A9">
              <w:t>10</w:t>
            </w:r>
            <w:r w:rsidRPr="002F26F4">
              <w:t xml:space="preserve"> </w:t>
            </w:r>
            <w:r>
              <w:t>May</w:t>
            </w:r>
            <w:r w:rsidRPr="002F26F4">
              <w:t xml:space="preserve"> 2021</w:t>
            </w:r>
          </w:p>
        </w:tc>
        <w:tc>
          <w:tcPr>
            <w:tcW w:w="7036" w:type="dxa"/>
          </w:tcPr>
          <w:p w:rsidR="00F814C6" w:rsidRPr="008C082B" w:rsidRDefault="00F814C6" w:rsidP="00FE5B7F">
            <w:pPr>
              <w:pStyle w:val="ListBullet"/>
              <w:cnfStyle w:val="000000100000" w:firstRow="0" w:lastRow="0" w:firstColumn="0" w:lastColumn="0" w:oddVBand="0" w:evenVBand="0" w:oddHBand="1" w:evenHBand="0" w:firstRowFirstColumn="0" w:firstRowLastColumn="0" w:lastRowFirstColumn="0" w:lastRowLastColumn="0"/>
            </w:pPr>
            <w:r w:rsidRPr="008C082B">
              <w:t>Response to October 2019 consultation</w:t>
            </w:r>
          </w:p>
          <w:p w:rsidR="00F814C6" w:rsidRPr="008C082B" w:rsidRDefault="00F814C6" w:rsidP="00FE5B7F">
            <w:pPr>
              <w:pStyle w:val="ListBullet"/>
              <w:cnfStyle w:val="000000100000" w:firstRow="0" w:lastRow="0" w:firstColumn="0" w:lastColumn="0" w:oddVBand="0" w:evenVBand="0" w:oddHBand="1" w:evenHBand="0" w:firstRowFirstColumn="0" w:firstRowLastColumn="0" w:lastRowFirstColumn="0" w:lastRowLastColumn="0"/>
            </w:pPr>
            <w:r w:rsidRPr="008C082B">
              <w:t>New consultation on additional revisions</w:t>
            </w:r>
          </w:p>
        </w:tc>
      </w:tr>
      <w:tr w:rsidR="00F814C6" w:rsidRPr="009F5C97" w:rsidTr="007F7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2F26F4" w:rsidRDefault="00F814C6" w:rsidP="007F793C">
            <w:pPr>
              <w:pStyle w:val="Tableheading0"/>
              <w:rPr>
                <w:i/>
              </w:rPr>
            </w:pPr>
            <w:r w:rsidRPr="003933A9">
              <w:t>10</w:t>
            </w:r>
            <w:r w:rsidRPr="002F26F4">
              <w:t xml:space="preserve"> </w:t>
            </w:r>
            <w:r>
              <w:t>June</w:t>
            </w:r>
            <w:r w:rsidRPr="002F26F4">
              <w:t xml:space="preserve"> 2021</w:t>
            </w:r>
          </w:p>
        </w:tc>
        <w:tc>
          <w:tcPr>
            <w:tcW w:w="7036" w:type="dxa"/>
          </w:tcPr>
          <w:p w:rsidR="00F814C6" w:rsidRPr="00C6524B" w:rsidRDefault="00F814C6" w:rsidP="00FE5B7F">
            <w:pPr>
              <w:pStyle w:val="ListBullet"/>
              <w:cnfStyle w:val="000000010000" w:firstRow="0" w:lastRow="0" w:firstColumn="0" w:lastColumn="0" w:oddVBand="0" w:evenVBand="0" w:oddHBand="0" w:evenHBand="1" w:firstRowFirstColumn="0" w:firstRowLastColumn="0" w:lastRowFirstColumn="0" w:lastRowLastColumn="0"/>
            </w:pPr>
            <w:r w:rsidRPr="008C082B">
              <w:t>Consultation on additional revisions closes</w:t>
            </w:r>
          </w:p>
        </w:tc>
      </w:tr>
      <w:tr w:rsidR="00F814C6" w:rsidRPr="009F5C97" w:rsidTr="007F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2F26F4" w:rsidRDefault="00F814C6" w:rsidP="007F793C">
            <w:pPr>
              <w:pStyle w:val="Tableheading0"/>
              <w:rPr>
                <w:i/>
              </w:rPr>
            </w:pPr>
            <w:r w:rsidRPr="002F26F4">
              <w:t>Mid-July 2021</w:t>
            </w:r>
          </w:p>
        </w:tc>
        <w:tc>
          <w:tcPr>
            <w:tcW w:w="7036" w:type="dxa"/>
          </w:tcPr>
          <w:p w:rsidR="00F814C6" w:rsidRPr="008C082B" w:rsidRDefault="00F814C6" w:rsidP="00FE5B7F">
            <w:pPr>
              <w:pStyle w:val="ListBullet"/>
              <w:cnfStyle w:val="000000100000" w:firstRow="0" w:lastRow="0" w:firstColumn="0" w:lastColumn="0" w:oddVBand="0" w:evenVBand="0" w:oddHBand="1" w:evenHBand="0" w:firstRowFirstColumn="0" w:firstRowLastColumn="0" w:lastRowFirstColumn="0" w:lastRowLastColumn="0"/>
            </w:pPr>
            <w:r w:rsidRPr="008C082B">
              <w:t>Response to May 2021 consultation</w:t>
            </w:r>
          </w:p>
          <w:p w:rsidR="00F814C6" w:rsidRPr="00C6524B" w:rsidRDefault="00F814C6" w:rsidP="00FE5B7F">
            <w:pPr>
              <w:pStyle w:val="ListBullet"/>
              <w:cnfStyle w:val="000000100000" w:firstRow="0" w:lastRow="0" w:firstColumn="0" w:lastColumn="0" w:oddVBand="0" w:evenVBand="0" w:oddHBand="1" w:evenHBand="0" w:firstRowFirstColumn="0" w:firstRowLastColumn="0" w:lastRowFirstColumn="0" w:lastRowLastColumn="0"/>
            </w:pPr>
            <w:r w:rsidRPr="008C082B">
              <w:t>Final revised APS 111</w:t>
            </w:r>
            <w:r>
              <w:t xml:space="preserve"> released</w:t>
            </w:r>
          </w:p>
        </w:tc>
      </w:tr>
      <w:tr w:rsidR="00F814C6" w:rsidRPr="009F5C97" w:rsidTr="007F79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F814C6" w:rsidRPr="002F26F4" w:rsidRDefault="00F814C6" w:rsidP="007F793C">
            <w:pPr>
              <w:pStyle w:val="Tableheading0"/>
              <w:rPr>
                <w:i/>
              </w:rPr>
            </w:pPr>
            <w:r w:rsidRPr="002F26F4">
              <w:t>1 January 2022</w:t>
            </w:r>
          </w:p>
        </w:tc>
        <w:tc>
          <w:tcPr>
            <w:tcW w:w="7036" w:type="dxa"/>
          </w:tcPr>
          <w:p w:rsidR="00F814C6" w:rsidRPr="00C6524B" w:rsidRDefault="00F814C6" w:rsidP="00FE5B7F">
            <w:pPr>
              <w:pStyle w:val="ListBullet"/>
              <w:cnfStyle w:val="000000010000" w:firstRow="0" w:lastRow="0" w:firstColumn="0" w:lastColumn="0" w:oddVBand="0" w:evenVBand="0" w:oddHBand="0" w:evenHBand="1" w:firstRowFirstColumn="0" w:firstRowLastColumn="0" w:lastRowFirstColumn="0" w:lastRowLastColumn="0"/>
            </w:pPr>
            <w:r w:rsidRPr="00C6524B">
              <w:t>Final revised APS 111 in effect</w:t>
            </w:r>
          </w:p>
        </w:tc>
      </w:tr>
    </w:tbl>
    <w:p w:rsidR="00BB1E49" w:rsidRDefault="00BB1E49" w:rsidP="00162A81">
      <w:pPr>
        <w:numPr>
          <w:ilvl w:val="0"/>
          <w:numId w:val="0"/>
        </w:numPr>
      </w:pPr>
    </w:p>
    <w:p w:rsidR="00BB1E49" w:rsidRDefault="00F814C6" w:rsidP="00F814C6">
      <w:pPr>
        <w:pStyle w:val="Heading1Numbers"/>
      </w:pPr>
      <w:bookmarkStart w:id="41" w:name="_Toc71274562"/>
      <w:r>
        <w:t>Response to consultation</w:t>
      </w:r>
      <w:bookmarkEnd w:id="41"/>
    </w:p>
    <w:p w:rsidR="00F814C6" w:rsidRPr="000A79E9" w:rsidRDefault="00F814C6" w:rsidP="00F814C6">
      <w:pPr>
        <w:pStyle w:val="APRANORMAL"/>
      </w:pPr>
      <w:bookmarkStart w:id="42" w:name="_Toc67403396"/>
      <w:bookmarkStart w:id="43" w:name="_Toc67403808"/>
      <w:bookmarkStart w:id="44" w:name="_Toc67403899"/>
      <w:bookmarkStart w:id="45" w:name="_Toc67406215"/>
      <w:bookmarkStart w:id="46" w:name="_Toc32239925"/>
      <w:bookmarkStart w:id="47" w:name="_Toc32484048"/>
      <w:bookmarkStart w:id="48" w:name="_Toc34139733"/>
      <w:bookmarkStart w:id="49" w:name="_Toc34317868"/>
      <w:bookmarkStart w:id="50" w:name="_Toc34392767"/>
      <w:bookmarkStart w:id="51" w:name="_Toc34729827"/>
      <w:bookmarkStart w:id="52" w:name="_Toc34729886"/>
      <w:bookmarkStart w:id="53" w:name="_Toc34825274"/>
      <w:bookmarkStart w:id="54" w:name="_Toc48914291"/>
      <w:bookmarkStart w:id="55" w:name="_Toc62649482"/>
      <w:bookmarkStart w:id="56" w:name="_Toc63069481"/>
      <w:bookmarkStart w:id="57" w:name="_Toc63070460"/>
      <w:bookmarkStart w:id="58" w:name="_Toc63071207"/>
      <w:bookmarkStart w:id="59" w:name="_Toc63944970"/>
      <w:bookmarkStart w:id="60" w:name="_Toc65846177"/>
      <w:bookmarkStart w:id="61" w:name="_Toc65857437"/>
      <w:bookmarkStart w:id="62" w:name="_Toc66268318"/>
      <w:bookmarkStart w:id="63" w:name="_Toc66283786"/>
      <w:bookmarkStart w:id="64" w:name="_Toc66283923"/>
      <w:bookmarkStart w:id="65" w:name="_Toc66906180"/>
      <w:r w:rsidRPr="00662316">
        <w:t>This</w:t>
      </w:r>
      <w:r>
        <w:t xml:space="preserve"> chapter provides further detail on APRA’s response to issues raised in the original consultation on proposed revisions to APS 111.</w:t>
      </w:r>
      <w:r w:rsidRPr="00EA74D5">
        <w:t xml:space="preserve"> </w:t>
      </w:r>
      <w:r>
        <w:t>The consultation period was from October 2019 to January 2020.</w:t>
      </w:r>
    </w:p>
    <w:p w:rsidR="00F814C6" w:rsidRPr="00F814C6" w:rsidRDefault="00F814C6" w:rsidP="00F814C6">
      <w:pPr>
        <w:pStyle w:val="Heading2Numbers"/>
        <w:rPr>
          <w:rStyle w:val="APRANORMALChar"/>
          <w:rFonts w:ascii="DIN OT Medium" w:hAnsi="DIN OT Medium" w:cstheme="majorBidi"/>
          <w:color w:val="012169"/>
          <w:lang w:val="en-AU"/>
        </w:rPr>
      </w:pPr>
      <w:bookmarkStart w:id="66" w:name="_Toc68086321"/>
      <w:bookmarkStart w:id="67" w:name="_Toc71274563"/>
      <w:r w:rsidRPr="00F814C6">
        <w:rPr>
          <w:rStyle w:val="APRANORMALChar"/>
          <w:rFonts w:ascii="DIN OT Medium" w:hAnsi="DIN OT Medium" w:cstheme="majorBidi"/>
          <w:color w:val="012169"/>
          <w:lang w:val="en-AU"/>
        </w:rPr>
        <w:t>Key policy issues</w:t>
      </w:r>
      <w:bookmarkEnd w:id="42"/>
      <w:bookmarkEnd w:id="43"/>
      <w:bookmarkEnd w:id="44"/>
      <w:bookmarkEnd w:id="45"/>
      <w:bookmarkEnd w:id="66"/>
      <w:bookmarkEnd w:id="67"/>
    </w:p>
    <w:p w:rsidR="00F814C6" w:rsidRPr="00F814C6" w:rsidRDefault="00F814C6" w:rsidP="00F814C6">
      <w:pPr>
        <w:pStyle w:val="Heading3Numbers"/>
        <w:numPr>
          <w:ilvl w:val="2"/>
          <w:numId w:val="36"/>
        </w:numPr>
      </w:pPr>
      <w:bookmarkStart w:id="68" w:name="_Toc67403397"/>
      <w:bookmarkStart w:id="69" w:name="_Toc67403809"/>
      <w:bookmarkStart w:id="70" w:name="_Toc67403900"/>
      <w:bookmarkStart w:id="71" w:name="_Toc67406216"/>
      <w:bookmarkStart w:id="72" w:name="_Toc68086322"/>
      <w:bookmarkStart w:id="73" w:name="_Toc71274506"/>
      <w:bookmarkStart w:id="74" w:name="_Toc71274564"/>
      <w:r w:rsidRPr="00F814C6">
        <w:rPr>
          <w:rStyle w:val="APRANORMALChar"/>
          <w:rFonts w:ascii="DIN OT Medium" w:hAnsi="DIN OT Medium" w:cstheme="majorBidi"/>
          <w:color w:val="012169" w:themeColor="text2"/>
          <w:lang w:val="en-AU"/>
        </w:rPr>
        <w:t>ADI equity investments in banking and insurance subsidiaries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8"/>
      <w:bookmarkEnd w:id="69"/>
      <w:bookmarkEnd w:id="70"/>
      <w:bookmarkEnd w:id="71"/>
      <w:bookmarkEnd w:id="72"/>
      <w:bookmarkEnd w:id="73"/>
      <w:bookmarkEnd w:id="74"/>
    </w:p>
    <w:p w:rsidR="00F814C6" w:rsidRDefault="00F814C6" w:rsidP="00F814C6">
      <w:pPr>
        <w:pStyle w:val="APRANORMAL"/>
      </w:pPr>
      <w:r>
        <w:t xml:space="preserve">In the October 2019 consultation, </w:t>
      </w:r>
      <w:r w:rsidRPr="00E01B57">
        <w:rPr>
          <w:rStyle w:val="APRANORMALChar"/>
        </w:rPr>
        <w:t>APRA propos</w:t>
      </w:r>
      <w:r>
        <w:rPr>
          <w:rStyle w:val="APRANORMALChar"/>
        </w:rPr>
        <w:t>ed</w:t>
      </w:r>
      <w:r w:rsidRPr="00332B88">
        <w:t xml:space="preserve"> </w:t>
      </w:r>
      <w:r>
        <w:t xml:space="preserve">that an ADI, </w:t>
      </w:r>
      <w:r w:rsidRPr="00325FB4">
        <w:t xml:space="preserve">at Level 1, deduct </w:t>
      </w:r>
      <w:r>
        <w:t xml:space="preserve">its </w:t>
      </w:r>
      <w:r w:rsidRPr="00325FB4">
        <w:t>equity investment</w:t>
      </w:r>
      <w:r>
        <w:t>s</w:t>
      </w:r>
      <w:r w:rsidRPr="00325FB4">
        <w:t xml:space="preserve"> </w:t>
      </w:r>
      <w:r>
        <w:t xml:space="preserve">in its banking and insurance subsidiaries </w:t>
      </w:r>
      <w:r w:rsidRPr="00325FB4">
        <w:t xml:space="preserve">from CET1 </w:t>
      </w:r>
      <w:r>
        <w:t>c</w:t>
      </w:r>
      <w:r w:rsidRPr="00325FB4">
        <w:t xml:space="preserve">apital, but only to the extent </w:t>
      </w:r>
      <w:r>
        <w:t xml:space="preserve">that </w:t>
      </w:r>
      <w:r w:rsidRPr="00325FB4">
        <w:t>the investment in the subsidiary</w:t>
      </w:r>
      <w:r>
        <w:t xml:space="preserve"> is in</w:t>
      </w:r>
      <w:r w:rsidRPr="00325FB4">
        <w:t xml:space="preserve"> excess of 10 per cent of CET1 </w:t>
      </w:r>
      <w:r>
        <w:t>c</w:t>
      </w:r>
      <w:r w:rsidRPr="00325FB4">
        <w:t xml:space="preserve">apital. </w:t>
      </w:r>
      <w:r>
        <w:t>T</w:t>
      </w:r>
      <w:r w:rsidRPr="00325FB4">
        <w:t xml:space="preserve">o the extent the investment </w:t>
      </w:r>
      <w:r>
        <w:t>is</w:t>
      </w:r>
      <w:r w:rsidRPr="00325FB4">
        <w:t xml:space="preserve"> below this 10 per cent threshold</w:t>
      </w:r>
      <w:r>
        <w:t>,</w:t>
      </w:r>
      <w:r w:rsidRPr="00325FB4">
        <w:t xml:space="preserve"> </w:t>
      </w:r>
      <w:r>
        <w:t>a</w:t>
      </w:r>
      <w:r w:rsidRPr="00325FB4">
        <w:t xml:space="preserve">n ADI </w:t>
      </w:r>
      <w:r>
        <w:t>would</w:t>
      </w:r>
      <w:r w:rsidRPr="00325FB4">
        <w:t xml:space="preserve"> risk weight the investment</w:t>
      </w:r>
      <w:r>
        <w:t xml:space="preserve"> </w:t>
      </w:r>
      <w:r w:rsidRPr="00325FB4">
        <w:t>at 250 per cent.</w:t>
      </w:r>
      <w:r>
        <w:t xml:space="preserve"> This risk weight would be a reduction on the current required level.</w:t>
      </w:r>
    </w:p>
    <w:p w:rsidR="00F814C6" w:rsidRDefault="00F814C6" w:rsidP="00F814C6">
      <w:pPr>
        <w:pStyle w:val="SubHeadingNoTOC"/>
      </w:pPr>
      <w:bookmarkStart w:id="75" w:name="_Toc22208529"/>
      <w:bookmarkStart w:id="76" w:name="_Toc23158199"/>
      <w:bookmarkStart w:id="77" w:name="_Toc23161082"/>
      <w:bookmarkStart w:id="78" w:name="_Toc23162033"/>
      <w:bookmarkStart w:id="79" w:name="_Toc23325352"/>
      <w:bookmarkStart w:id="80" w:name="_Toc24106592"/>
      <w:bookmarkStart w:id="81" w:name="_Toc25747982"/>
      <w:bookmarkStart w:id="82" w:name="_Toc26945838"/>
      <w:bookmarkStart w:id="83" w:name="_Toc26947914"/>
      <w:bookmarkStart w:id="84" w:name="_Toc32228629"/>
      <w:bookmarkStart w:id="85" w:name="_Toc32235342"/>
      <w:bookmarkStart w:id="86" w:name="_Toc32239926"/>
      <w:bookmarkStart w:id="87" w:name="_Toc32484049"/>
      <w:bookmarkStart w:id="88" w:name="_Toc34139734"/>
      <w:bookmarkStart w:id="89" w:name="_Toc34317869"/>
      <w:bookmarkStart w:id="90" w:name="_Toc34392768"/>
      <w:bookmarkStart w:id="91" w:name="_Toc34729828"/>
      <w:bookmarkStart w:id="92" w:name="_Toc34729887"/>
      <w:bookmarkStart w:id="93" w:name="_Toc34825275"/>
      <w:bookmarkStart w:id="94" w:name="_Toc48914292"/>
      <w:bookmarkStart w:id="95" w:name="_Toc62649483"/>
      <w:bookmarkStart w:id="96" w:name="_Toc63069482"/>
      <w:bookmarkStart w:id="97" w:name="_Toc63070461"/>
      <w:bookmarkStart w:id="98" w:name="_Toc63071208"/>
      <w:bookmarkStart w:id="99" w:name="_Toc63944971"/>
      <w:bookmarkStart w:id="100" w:name="_Toc65846178"/>
      <w:bookmarkStart w:id="101" w:name="_Toc65857438"/>
      <w:bookmarkStart w:id="102" w:name="_Toc66268319"/>
      <w:bookmarkStart w:id="103" w:name="_Toc66283787"/>
      <w:bookmarkStart w:id="104" w:name="_Toc66283924"/>
      <w:bookmarkStart w:id="105" w:name="_Toc66906181"/>
      <w:bookmarkStart w:id="106" w:name="_Toc67403398"/>
      <w:bookmarkStart w:id="107" w:name="_Toc67403810"/>
      <w:bookmarkStart w:id="108" w:name="_Toc67403901"/>
      <w:bookmarkStart w:id="109" w:name="_Toc67406217"/>
      <w:bookmarkStart w:id="110" w:name="_Toc68086323"/>
      <w:r>
        <w:t>Comments received</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814C6" w:rsidRDefault="00F814C6" w:rsidP="00F814C6">
      <w:pPr>
        <w:pStyle w:val="APRANORMAL"/>
        <w:rPr>
          <w:rStyle w:val="APRANORMALChar"/>
        </w:rPr>
      </w:pPr>
      <w:r>
        <w:rPr>
          <w:rStyle w:val="APRANORMALChar"/>
        </w:rPr>
        <w:t xml:space="preserve">Some submissions commented that, </w:t>
      </w:r>
      <w:r>
        <w:t>f</w:t>
      </w:r>
      <w:r w:rsidRPr="00DA7452">
        <w:t>or the purpose of th</w:t>
      </w:r>
      <w:r>
        <w:t xml:space="preserve">e 10 per cent </w:t>
      </w:r>
      <w:r w:rsidRPr="00DA7452">
        <w:t>threshold</w:t>
      </w:r>
      <w:r>
        <w:t xml:space="preserve">, </w:t>
      </w:r>
      <w:r w:rsidRPr="00B7696B">
        <w:rPr>
          <w:rStyle w:val="APRANORMALChar"/>
        </w:rPr>
        <w:t>CET1</w:t>
      </w:r>
      <w:r>
        <w:rPr>
          <w:rStyle w:val="APRANORMALChar"/>
        </w:rPr>
        <w:t xml:space="preserve"> c</w:t>
      </w:r>
      <w:r w:rsidRPr="00B7696B">
        <w:rPr>
          <w:rStyle w:val="APRANORMALChar"/>
        </w:rPr>
        <w:t>apital</w:t>
      </w:r>
      <w:r>
        <w:rPr>
          <w:rStyle w:val="APRANORMALChar"/>
        </w:rPr>
        <w:t xml:space="preserve"> should be </w:t>
      </w:r>
      <w:r w:rsidRPr="00B7696B">
        <w:rPr>
          <w:rStyle w:val="APRANORMALChar"/>
        </w:rPr>
        <w:t xml:space="preserve">calculated </w:t>
      </w:r>
      <w:r>
        <w:rPr>
          <w:rStyle w:val="APRANORMALChar"/>
        </w:rPr>
        <w:t>after all other re</w:t>
      </w:r>
      <w:r w:rsidRPr="00B7696B">
        <w:rPr>
          <w:rStyle w:val="APRANORMALChar"/>
        </w:rPr>
        <w:t>gulatory adjustments.</w:t>
      </w:r>
      <w:r>
        <w:rPr>
          <w:rStyle w:val="APRANORMALChar"/>
        </w:rPr>
        <w:t xml:space="preserve"> Submissions also suggested that </w:t>
      </w:r>
      <w:r w:rsidRPr="00B7696B">
        <w:rPr>
          <w:rStyle w:val="APRANORMALChar"/>
        </w:rPr>
        <w:t xml:space="preserve">capital support provided to </w:t>
      </w:r>
      <w:r>
        <w:rPr>
          <w:rStyle w:val="APRANORMALChar"/>
        </w:rPr>
        <w:t xml:space="preserve">banking and insurance </w:t>
      </w:r>
      <w:r w:rsidRPr="00B7696B">
        <w:rPr>
          <w:rStyle w:val="APRANORMALChar"/>
        </w:rPr>
        <w:t>subsidiaries</w:t>
      </w:r>
      <w:r>
        <w:rPr>
          <w:rStyle w:val="APRANORMALChar"/>
        </w:rPr>
        <w:t xml:space="preserve"> should </w:t>
      </w:r>
      <w:r w:rsidRPr="00B7696B">
        <w:rPr>
          <w:rStyle w:val="APRANORMALChar"/>
        </w:rPr>
        <w:t xml:space="preserve">allow </w:t>
      </w:r>
      <w:r>
        <w:rPr>
          <w:rStyle w:val="APRANORMALChar"/>
        </w:rPr>
        <w:t xml:space="preserve">a corresponding </w:t>
      </w:r>
      <w:r w:rsidRPr="00B7696B">
        <w:rPr>
          <w:rStyle w:val="APRANORMALChar"/>
        </w:rPr>
        <w:t xml:space="preserve">deduction </w:t>
      </w:r>
      <w:r>
        <w:rPr>
          <w:rStyle w:val="APRANORMALChar"/>
        </w:rPr>
        <w:t>approach</w:t>
      </w:r>
      <w:r w:rsidRPr="00B7696B">
        <w:rPr>
          <w:rStyle w:val="APRANORMALChar"/>
        </w:rPr>
        <w:t>.</w:t>
      </w:r>
      <w:r>
        <w:rPr>
          <w:rStyle w:val="APRANORMALChar"/>
        </w:rPr>
        <w:t xml:space="preserve"> O</w:t>
      </w:r>
      <w:r w:rsidRPr="00FC1A00">
        <w:rPr>
          <w:rStyle w:val="APRANORMALChar"/>
        </w:rPr>
        <w:t>ne submission suggested that the thresho</w:t>
      </w:r>
      <w:r>
        <w:rPr>
          <w:rStyle w:val="APRANORMALChar"/>
        </w:rPr>
        <w:t>l</w:t>
      </w:r>
      <w:r w:rsidRPr="00FC1A00">
        <w:rPr>
          <w:rStyle w:val="APRANORMALChar"/>
        </w:rPr>
        <w:t xml:space="preserve">d be set annually, based on the closing balance of Level 1 CET1 </w:t>
      </w:r>
      <w:r>
        <w:rPr>
          <w:rStyle w:val="APRANORMALChar"/>
        </w:rPr>
        <w:t>c</w:t>
      </w:r>
      <w:r w:rsidRPr="00FC1A00">
        <w:rPr>
          <w:rStyle w:val="APRANORMALChar"/>
        </w:rPr>
        <w:t>apital at the end of each financial year.</w:t>
      </w:r>
    </w:p>
    <w:p w:rsidR="00F814C6" w:rsidRDefault="00F814C6" w:rsidP="00F814C6">
      <w:pPr>
        <w:pStyle w:val="SubHeadingNoTOC"/>
      </w:pPr>
      <w:bookmarkStart w:id="111" w:name="_Toc22208530"/>
      <w:bookmarkStart w:id="112" w:name="_Toc23158200"/>
      <w:bookmarkStart w:id="113" w:name="_Toc23161083"/>
      <w:bookmarkStart w:id="114" w:name="_Toc23162034"/>
      <w:bookmarkStart w:id="115" w:name="_Toc23325353"/>
      <w:bookmarkStart w:id="116" w:name="_Toc24106593"/>
      <w:bookmarkStart w:id="117" w:name="_Toc25747983"/>
      <w:bookmarkStart w:id="118" w:name="_Toc26945839"/>
      <w:bookmarkStart w:id="119" w:name="_Toc26947915"/>
      <w:bookmarkStart w:id="120" w:name="_Toc32228630"/>
      <w:bookmarkStart w:id="121" w:name="_Toc32235343"/>
      <w:bookmarkStart w:id="122" w:name="_Toc32239927"/>
      <w:bookmarkStart w:id="123" w:name="_Toc32484050"/>
      <w:bookmarkStart w:id="124" w:name="_Toc34139735"/>
      <w:bookmarkStart w:id="125" w:name="_Toc34317870"/>
      <w:bookmarkStart w:id="126" w:name="_Toc34392769"/>
      <w:bookmarkStart w:id="127" w:name="_Toc34729829"/>
      <w:bookmarkStart w:id="128" w:name="_Toc34729888"/>
      <w:bookmarkStart w:id="129" w:name="_Toc34825276"/>
      <w:bookmarkStart w:id="130" w:name="_Toc48914293"/>
      <w:bookmarkStart w:id="131" w:name="_Toc62649484"/>
      <w:bookmarkStart w:id="132" w:name="_Toc63069483"/>
      <w:bookmarkStart w:id="133" w:name="_Toc63070462"/>
      <w:bookmarkStart w:id="134" w:name="_Toc63071209"/>
      <w:bookmarkStart w:id="135" w:name="_Toc63944972"/>
      <w:bookmarkStart w:id="136" w:name="_Toc65846179"/>
      <w:bookmarkStart w:id="137" w:name="_Toc65857439"/>
      <w:bookmarkStart w:id="138" w:name="_Toc66268320"/>
      <w:bookmarkStart w:id="139" w:name="_Toc66283788"/>
      <w:bookmarkStart w:id="140" w:name="_Toc66283925"/>
      <w:bookmarkStart w:id="141" w:name="_Toc66906182"/>
      <w:bookmarkStart w:id="142" w:name="_Toc67403399"/>
      <w:bookmarkStart w:id="143" w:name="_Toc67403811"/>
      <w:bookmarkStart w:id="144" w:name="_Toc67403902"/>
      <w:bookmarkStart w:id="145" w:name="_Toc67406218"/>
      <w:bookmarkStart w:id="146" w:name="_Toc68086324"/>
      <w:r>
        <w:t>APRA response</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F814C6" w:rsidRDefault="00F814C6" w:rsidP="00F814C6">
      <w:pPr>
        <w:pStyle w:val="APRANORMAL"/>
      </w:pPr>
      <w:bookmarkStart w:id="147" w:name="_Toc22208531"/>
      <w:bookmarkEnd w:id="147"/>
      <w:r>
        <w:t>APRA has amended the Prudential Standard to specify that, for the purposes of the 10 per cent threshold, CET1 capital is calculated after all other regulatory adjustments. This avoids a ‘circular reference’ by excluding any capital deduction resulting from equity investments in banking and insurance subsidiaries exceeding the 10 per cent threshold.</w:t>
      </w:r>
    </w:p>
    <w:p w:rsidR="00F814C6" w:rsidRDefault="00F814C6" w:rsidP="00F814C6">
      <w:pPr>
        <w:pStyle w:val="APRANORMAL"/>
      </w:pPr>
      <w:r>
        <w:t>APRA does not consider a deduction from AT1 or Tier 2 capital appropriate for the purpose of the threshold deduction, as the threshold is based on CET1 capital and so the deduction would apply to this category of capital.</w:t>
      </w:r>
    </w:p>
    <w:p w:rsidR="00F814C6" w:rsidRDefault="00F814C6" w:rsidP="00F814C6">
      <w:pPr>
        <w:pStyle w:val="APRANORMAL"/>
      </w:pPr>
      <w:r>
        <w:t xml:space="preserve">Capital adequacy must be capable of being calculated at all times. An annual calculation alone would increase the risks of ADIs being undercapitalised through the year. </w:t>
      </w:r>
      <w:r>
        <w:br/>
        <w:t>APRA therefore does not support the industry suggestion for the 10 per cent threshold to be set annually.</w:t>
      </w:r>
    </w:p>
    <w:p w:rsidR="00F814C6" w:rsidRPr="00F814C6" w:rsidRDefault="00F814C6" w:rsidP="00F814C6">
      <w:pPr>
        <w:pStyle w:val="Heading3Numbers"/>
      </w:pPr>
      <w:bookmarkStart w:id="148" w:name="_Toc32228631"/>
      <w:bookmarkStart w:id="149" w:name="_Toc32235344"/>
      <w:bookmarkStart w:id="150" w:name="_Toc32239928"/>
      <w:bookmarkStart w:id="151" w:name="_Toc32484051"/>
      <w:bookmarkStart w:id="152" w:name="_Toc34139736"/>
      <w:bookmarkStart w:id="153" w:name="_Toc34317871"/>
      <w:bookmarkStart w:id="154" w:name="_Toc34392770"/>
      <w:bookmarkStart w:id="155" w:name="_Toc34729830"/>
      <w:bookmarkStart w:id="156" w:name="_Toc34729889"/>
      <w:bookmarkStart w:id="157" w:name="_Toc34825277"/>
      <w:bookmarkStart w:id="158" w:name="_Toc48914294"/>
      <w:bookmarkStart w:id="159" w:name="_Toc62649485"/>
      <w:bookmarkStart w:id="160" w:name="_Toc63069484"/>
      <w:bookmarkStart w:id="161" w:name="_Toc63070463"/>
      <w:bookmarkStart w:id="162" w:name="_Toc63071210"/>
      <w:bookmarkStart w:id="163" w:name="_Toc63944973"/>
      <w:bookmarkStart w:id="164" w:name="_Toc65846180"/>
      <w:bookmarkStart w:id="165" w:name="_Toc65857440"/>
      <w:bookmarkStart w:id="166" w:name="_Toc66268321"/>
      <w:bookmarkStart w:id="167" w:name="_Toc66283789"/>
      <w:bookmarkStart w:id="168" w:name="_Toc66283926"/>
      <w:bookmarkStart w:id="169" w:name="_Toc66906183"/>
      <w:bookmarkStart w:id="170" w:name="_Toc67403400"/>
      <w:bookmarkStart w:id="171" w:name="_Toc67403812"/>
      <w:bookmarkStart w:id="172" w:name="_Toc67403903"/>
      <w:bookmarkStart w:id="173" w:name="_Toc67406219"/>
      <w:bookmarkStart w:id="174" w:name="_Toc68086325"/>
      <w:bookmarkStart w:id="175" w:name="_Toc71274507"/>
      <w:bookmarkStart w:id="176" w:name="_Toc71274565"/>
      <w:bookmarkEnd w:id="148"/>
      <w:bookmarkEnd w:id="149"/>
      <w:r w:rsidRPr="00F814C6">
        <w:rPr>
          <w:rStyle w:val="APRANORMALChar"/>
          <w:rFonts w:ascii="DIN OT Medium" w:hAnsi="DIN OT Medium" w:cstheme="majorBidi"/>
          <w:color w:val="012169" w:themeColor="text2"/>
          <w:lang w:val="en-AU"/>
        </w:rPr>
        <w:t>TLAC holdings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F814C6" w:rsidRDefault="00F814C6" w:rsidP="00F814C6">
      <w:pPr>
        <w:pStyle w:val="APRANORMAL"/>
        <w:rPr>
          <w:rStyle w:val="APRANORMALChar"/>
        </w:rPr>
      </w:pPr>
      <w:r>
        <w:t>In its October 2019 consultation,</w:t>
      </w:r>
      <w:r w:rsidRPr="00325FB4">
        <w:rPr>
          <w:rStyle w:val="APRANORMALChar"/>
        </w:rPr>
        <w:t xml:space="preserve"> APRA propos</w:t>
      </w:r>
      <w:r>
        <w:rPr>
          <w:rStyle w:val="APRANORMALChar"/>
        </w:rPr>
        <w:t>ed</w:t>
      </w:r>
      <w:r w:rsidRPr="00325FB4">
        <w:rPr>
          <w:rStyle w:val="APRANORMALChar"/>
        </w:rPr>
        <w:t xml:space="preserve"> </w:t>
      </w:r>
      <w:r>
        <w:rPr>
          <w:rStyle w:val="APRANORMALChar"/>
        </w:rPr>
        <w:t xml:space="preserve">that ADIs </w:t>
      </w:r>
      <w:r w:rsidRPr="00D97344">
        <w:rPr>
          <w:rStyle w:val="APRANORMALChar"/>
        </w:rPr>
        <w:t xml:space="preserve">deduct their holdings </w:t>
      </w:r>
      <w:r>
        <w:rPr>
          <w:rStyle w:val="APRANORMALChar"/>
        </w:rPr>
        <w:t xml:space="preserve">of other banks’ TLAC instruments </w:t>
      </w:r>
      <w:r w:rsidRPr="00D97344">
        <w:rPr>
          <w:rStyle w:val="APRANORMALChar"/>
        </w:rPr>
        <w:t xml:space="preserve">from Tier 2 </w:t>
      </w:r>
      <w:r>
        <w:rPr>
          <w:rStyle w:val="APRANORMALChar"/>
        </w:rPr>
        <w:t>c</w:t>
      </w:r>
      <w:r w:rsidRPr="00D97344">
        <w:rPr>
          <w:rStyle w:val="APRANORMALChar"/>
        </w:rPr>
        <w:t>apital.</w:t>
      </w:r>
      <w:r w:rsidRPr="00261104">
        <w:rPr>
          <w:rStyle w:val="APRANORMALChar"/>
        </w:rPr>
        <w:t xml:space="preserve"> APRA’s proposal adopted the Basel Committee’s approach of requiring a Tier 2 </w:t>
      </w:r>
      <w:r>
        <w:rPr>
          <w:rStyle w:val="APRANORMALChar"/>
        </w:rPr>
        <w:t>c</w:t>
      </w:r>
      <w:r w:rsidRPr="00261104">
        <w:rPr>
          <w:rStyle w:val="APRANORMALChar"/>
        </w:rPr>
        <w:t>apital deduction, but did not adopt a threshold</w:t>
      </w:r>
      <w:r>
        <w:rPr>
          <w:rStyle w:val="APRANORMALChar"/>
        </w:rPr>
        <w:t xml:space="preserve"> </w:t>
      </w:r>
      <w:r w:rsidRPr="00261104">
        <w:rPr>
          <w:rStyle w:val="APRANORMALChar"/>
        </w:rPr>
        <w:t>approach</w:t>
      </w:r>
      <w:r>
        <w:t xml:space="preserve"> whereby the deduction would only apply above a specified level.</w:t>
      </w:r>
    </w:p>
    <w:p w:rsidR="00F814C6" w:rsidRDefault="00F814C6" w:rsidP="00F814C6">
      <w:pPr>
        <w:pStyle w:val="APRANORMAL"/>
        <w:rPr>
          <w:rStyle w:val="APRANORMALChar"/>
        </w:rPr>
      </w:pPr>
      <w:r>
        <w:rPr>
          <w:rStyle w:val="APRANORMALChar"/>
        </w:rPr>
        <w:t xml:space="preserve">For the purpose of this deduction, APRA defined </w:t>
      </w:r>
      <w:r w:rsidRPr="00E07B7B">
        <w:rPr>
          <w:rStyle w:val="APRANORMALChar"/>
        </w:rPr>
        <w:t xml:space="preserve">TLAC instruments </w:t>
      </w:r>
      <w:r>
        <w:rPr>
          <w:rStyle w:val="APRANORMALChar"/>
        </w:rPr>
        <w:t xml:space="preserve">for other banks (not subject to Australian prudential requirements) </w:t>
      </w:r>
      <w:r w:rsidRPr="00E07B7B">
        <w:rPr>
          <w:rStyle w:val="APRANORMALChar"/>
        </w:rPr>
        <w:t xml:space="preserve">with reference to the </w:t>
      </w:r>
      <w:r>
        <w:rPr>
          <w:rStyle w:val="APRANORMALChar"/>
        </w:rPr>
        <w:t xml:space="preserve">TLAC standard </w:t>
      </w:r>
      <w:r w:rsidRPr="00081338">
        <w:rPr>
          <w:rStyle w:val="APRANORMALChar"/>
        </w:rPr>
        <w:t xml:space="preserve">set out in </w:t>
      </w:r>
      <w:r w:rsidRPr="00A44E51">
        <w:rPr>
          <w:rStyle w:val="APRANORMALChar"/>
          <w:i/>
        </w:rPr>
        <w:t>Principles on Loss-absorbing and Recapitalisation Capacity of G-SIBs in Resolution</w:t>
      </w:r>
      <w:r w:rsidRPr="00081338">
        <w:rPr>
          <w:rStyle w:val="APRANORMALChar"/>
        </w:rPr>
        <w:t xml:space="preserve"> issued by the Financial Stability Board </w:t>
      </w:r>
      <w:r>
        <w:rPr>
          <w:rStyle w:val="APRANORMALChar"/>
        </w:rPr>
        <w:t xml:space="preserve">(FSB) </w:t>
      </w:r>
      <w:r w:rsidRPr="00081338">
        <w:rPr>
          <w:rStyle w:val="APRANORMALChar"/>
        </w:rPr>
        <w:t>on 9 November 2015.</w:t>
      </w:r>
    </w:p>
    <w:p w:rsidR="00F814C6" w:rsidRDefault="00F814C6" w:rsidP="00F814C6">
      <w:pPr>
        <w:pStyle w:val="SubHeadingNoTOC"/>
      </w:pPr>
      <w:bookmarkStart w:id="177" w:name="_Toc32228632"/>
      <w:bookmarkStart w:id="178" w:name="_Toc32235345"/>
      <w:bookmarkStart w:id="179" w:name="_Toc32239929"/>
      <w:bookmarkStart w:id="180" w:name="_Toc32484052"/>
      <w:bookmarkStart w:id="181" w:name="_Toc34139737"/>
      <w:bookmarkStart w:id="182" w:name="_Toc34317872"/>
      <w:bookmarkStart w:id="183" w:name="_Toc34392771"/>
      <w:bookmarkStart w:id="184" w:name="_Toc34729831"/>
      <w:bookmarkStart w:id="185" w:name="_Toc34729890"/>
      <w:bookmarkStart w:id="186" w:name="_Toc34825278"/>
      <w:bookmarkStart w:id="187" w:name="_Toc48914295"/>
      <w:bookmarkStart w:id="188" w:name="_Toc62649486"/>
      <w:bookmarkStart w:id="189" w:name="_Toc63069485"/>
      <w:bookmarkStart w:id="190" w:name="_Toc63070464"/>
      <w:bookmarkStart w:id="191" w:name="_Toc63071211"/>
      <w:bookmarkStart w:id="192" w:name="_Toc63944974"/>
      <w:bookmarkStart w:id="193" w:name="_Toc65846181"/>
      <w:bookmarkStart w:id="194" w:name="_Toc65857441"/>
      <w:bookmarkStart w:id="195" w:name="_Toc66268322"/>
      <w:bookmarkStart w:id="196" w:name="_Toc66283790"/>
      <w:bookmarkStart w:id="197" w:name="_Toc66283927"/>
      <w:bookmarkStart w:id="198" w:name="_Toc66906184"/>
      <w:bookmarkStart w:id="199" w:name="_Toc67403401"/>
      <w:bookmarkStart w:id="200" w:name="_Toc67403813"/>
      <w:bookmarkStart w:id="201" w:name="_Toc67403904"/>
      <w:bookmarkStart w:id="202" w:name="_Toc67406220"/>
      <w:bookmarkStart w:id="203" w:name="_Toc68086326"/>
      <w:r>
        <w:t>Comments received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F814C6" w:rsidRDefault="00F814C6" w:rsidP="00F814C6">
      <w:pPr>
        <w:pStyle w:val="APRANORMAL"/>
      </w:pPr>
      <w:r>
        <w:t xml:space="preserve">Some submissions noted that by not allowing a threshold deduction approach, Australian ADIs could be at a competitive disadvantage compared to international peers. These ADIs noted that this could hinder the development of the local Tier 2 capital market and suggested that APRA introduce a ‘market facilitation’ exemption for holdings of Tier 2 capital instruments issued by third parties. Some submissions also suggested that the definition of </w:t>
      </w:r>
      <w:r w:rsidRPr="00D7539C">
        <w:t>TLAC instruments</w:t>
      </w:r>
      <w:r>
        <w:t xml:space="preserve"> for other banks</w:t>
      </w:r>
      <w:r w:rsidRPr="00D7539C">
        <w:t xml:space="preserve"> </w:t>
      </w:r>
      <w:r>
        <w:t>required greater clarification</w:t>
      </w:r>
      <w:r w:rsidRPr="00D7539C">
        <w:t>.</w:t>
      </w:r>
      <w:r>
        <w:t xml:space="preserve"> </w:t>
      </w:r>
    </w:p>
    <w:p w:rsidR="00F814C6" w:rsidRDefault="00F814C6" w:rsidP="00F814C6">
      <w:pPr>
        <w:pStyle w:val="SubHeadingNoTOC"/>
      </w:pPr>
      <w:bookmarkStart w:id="204" w:name="_Toc32228633"/>
      <w:bookmarkStart w:id="205" w:name="_Toc32235346"/>
      <w:bookmarkStart w:id="206" w:name="_Toc32239930"/>
      <w:bookmarkStart w:id="207" w:name="_Toc32484053"/>
      <w:bookmarkStart w:id="208" w:name="_Toc34139738"/>
      <w:bookmarkStart w:id="209" w:name="_Toc34317873"/>
      <w:bookmarkStart w:id="210" w:name="_Toc34392772"/>
      <w:bookmarkStart w:id="211" w:name="_Toc34729832"/>
      <w:bookmarkStart w:id="212" w:name="_Toc34729891"/>
      <w:bookmarkStart w:id="213" w:name="_Toc34825279"/>
      <w:bookmarkStart w:id="214" w:name="_Toc48914296"/>
      <w:bookmarkStart w:id="215" w:name="_Toc62649487"/>
      <w:bookmarkStart w:id="216" w:name="_Toc63069486"/>
      <w:bookmarkStart w:id="217" w:name="_Toc63070465"/>
      <w:bookmarkStart w:id="218" w:name="_Toc63071212"/>
      <w:bookmarkStart w:id="219" w:name="_Toc63944975"/>
      <w:bookmarkStart w:id="220" w:name="_Toc65846182"/>
      <w:bookmarkStart w:id="221" w:name="_Toc65857442"/>
      <w:bookmarkStart w:id="222" w:name="_Toc66268323"/>
      <w:bookmarkStart w:id="223" w:name="_Toc66283791"/>
      <w:bookmarkStart w:id="224" w:name="_Toc66283928"/>
      <w:bookmarkStart w:id="225" w:name="_Toc66906185"/>
      <w:bookmarkStart w:id="226" w:name="_Toc67403402"/>
      <w:bookmarkStart w:id="227" w:name="_Toc67403814"/>
      <w:bookmarkStart w:id="228" w:name="_Toc67403905"/>
      <w:bookmarkStart w:id="229" w:name="_Toc67406221"/>
      <w:bookmarkStart w:id="230" w:name="_Toc68086327"/>
      <w:r>
        <w:t>APRA response</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F814C6" w:rsidRDefault="00F814C6" w:rsidP="00F814C6">
      <w:pPr>
        <w:pStyle w:val="APRANORMAL"/>
        <w:rPr>
          <w:rStyle w:val="APRANORMALChar"/>
        </w:rPr>
      </w:pPr>
      <w:r w:rsidRPr="0063287B">
        <w:rPr>
          <w:rStyle w:val="APRANORMALChar"/>
        </w:rPr>
        <w:t xml:space="preserve">APRA </w:t>
      </w:r>
      <w:r>
        <w:rPr>
          <w:rStyle w:val="APRANORMALChar"/>
        </w:rPr>
        <w:t xml:space="preserve">does not support a threshold deduction approach for TLAC </w:t>
      </w:r>
      <w:r w:rsidRPr="0063287B">
        <w:rPr>
          <w:rStyle w:val="APRANORMALChar"/>
        </w:rPr>
        <w:t>holdings</w:t>
      </w:r>
      <w:r>
        <w:rPr>
          <w:rStyle w:val="APRANORMALChar"/>
        </w:rPr>
        <w:t xml:space="preserve">. </w:t>
      </w:r>
      <w:r w:rsidRPr="002353B2">
        <w:rPr>
          <w:rStyle w:val="APRANORMALChar"/>
        </w:rPr>
        <w:t xml:space="preserve">Without </w:t>
      </w:r>
      <w:r>
        <w:rPr>
          <w:rStyle w:val="APRANORMALChar"/>
        </w:rPr>
        <w:t xml:space="preserve">full </w:t>
      </w:r>
      <w:r w:rsidRPr="002353B2">
        <w:rPr>
          <w:rStyle w:val="APRANORMALChar"/>
        </w:rPr>
        <w:t xml:space="preserve">deduction of TLAC holdings across </w:t>
      </w:r>
      <w:r>
        <w:rPr>
          <w:rStyle w:val="APRANORMALChar"/>
        </w:rPr>
        <w:t>banks</w:t>
      </w:r>
      <w:r w:rsidRPr="002353B2">
        <w:rPr>
          <w:rStyle w:val="APRANORMALChar"/>
        </w:rPr>
        <w:t xml:space="preserve">, the failure of one bank could lead to a reduction in </w:t>
      </w:r>
      <w:r>
        <w:rPr>
          <w:rStyle w:val="APRANORMALChar"/>
        </w:rPr>
        <w:t>capital</w:t>
      </w:r>
      <w:r w:rsidRPr="002353B2">
        <w:rPr>
          <w:rStyle w:val="APRANORMALChar"/>
        </w:rPr>
        <w:t xml:space="preserve"> of another bank. Deducting TLAC holdings </w:t>
      </w:r>
      <w:r>
        <w:rPr>
          <w:rStyle w:val="APRANORMALChar"/>
        </w:rPr>
        <w:t>in full</w:t>
      </w:r>
      <w:r w:rsidRPr="002353B2">
        <w:rPr>
          <w:rStyle w:val="APRANORMALChar"/>
        </w:rPr>
        <w:t xml:space="preserve"> </w:t>
      </w:r>
      <w:r>
        <w:rPr>
          <w:rStyle w:val="APRANORMALChar"/>
        </w:rPr>
        <w:t>reduces contagion risks in the financial system, which is particularly important given the structure of the domestic banking market</w:t>
      </w:r>
      <w:r w:rsidRPr="002353B2">
        <w:rPr>
          <w:rStyle w:val="APRANORMALChar"/>
        </w:rPr>
        <w:t>.</w:t>
      </w:r>
    </w:p>
    <w:p w:rsidR="00F814C6" w:rsidRDefault="00F814C6" w:rsidP="00F814C6">
      <w:pPr>
        <w:pStyle w:val="APRANORMAL"/>
      </w:pPr>
      <w:r>
        <w:rPr>
          <w:rStyle w:val="APRANORMALChar"/>
        </w:rPr>
        <w:t>APRA expects an ADI to use the FSB’s TLAC standard for the purposes of defining holdings of other banks’ TLAC that needs to be deducted. These TLAC holdings would include any facility or instrument recognised or otherwise accepted by regulators, market participants and creditors as a TLAC instrument.</w:t>
      </w:r>
      <w:r>
        <w:rPr>
          <w:rStyle w:val="FootnoteReference"/>
        </w:rPr>
        <w:footnoteReference w:id="3"/>
      </w:r>
      <w:r>
        <w:rPr>
          <w:rStyle w:val="APRANORMALChar"/>
        </w:rPr>
        <w:t xml:space="preserve"> </w:t>
      </w:r>
    </w:p>
    <w:p w:rsidR="00F814C6" w:rsidRPr="00F814C6" w:rsidRDefault="00F814C6" w:rsidP="00F814C6">
      <w:pPr>
        <w:pStyle w:val="Heading3Numbers"/>
      </w:pPr>
      <w:bookmarkStart w:id="231" w:name="_Toc67403403"/>
      <w:bookmarkStart w:id="232" w:name="_Toc67403815"/>
      <w:bookmarkStart w:id="233" w:name="_Toc67403906"/>
      <w:bookmarkStart w:id="234" w:name="_Toc67406222"/>
      <w:bookmarkStart w:id="235" w:name="_Toc68086328"/>
      <w:bookmarkStart w:id="236" w:name="_Toc71274508"/>
      <w:bookmarkStart w:id="237" w:name="_Toc71274566"/>
      <w:r w:rsidRPr="00F814C6">
        <w:rPr>
          <w:rStyle w:val="APRANORMALChar"/>
          <w:rFonts w:ascii="DIN OT Medium" w:hAnsi="DIN OT Medium" w:cstheme="majorBidi"/>
          <w:color w:val="012169" w:themeColor="text2"/>
          <w:lang w:val="en-AU"/>
        </w:rPr>
        <w:t>Use of special purpose vehicles and stapled security structures</w:t>
      </w:r>
      <w:bookmarkEnd w:id="231"/>
      <w:bookmarkEnd w:id="232"/>
      <w:bookmarkEnd w:id="233"/>
      <w:bookmarkEnd w:id="234"/>
      <w:bookmarkEnd w:id="235"/>
      <w:bookmarkEnd w:id="236"/>
      <w:bookmarkEnd w:id="237"/>
    </w:p>
    <w:p w:rsidR="00F814C6" w:rsidRPr="00D570B1" w:rsidRDefault="00F814C6" w:rsidP="00F814C6">
      <w:pPr>
        <w:pStyle w:val="APRANORMAL"/>
        <w:rPr>
          <w:lang w:val="en-AU"/>
        </w:rPr>
      </w:pPr>
      <w:r>
        <w:t xml:space="preserve">In its October 2019 consultation, </w:t>
      </w:r>
      <w:r w:rsidRPr="00E01B57">
        <w:rPr>
          <w:rStyle w:val="APRANORMALChar"/>
        </w:rPr>
        <w:t>APRA propos</w:t>
      </w:r>
      <w:r>
        <w:rPr>
          <w:rStyle w:val="APRANORMALChar"/>
        </w:rPr>
        <w:t>ed</w:t>
      </w:r>
      <w:r w:rsidRPr="00332B88">
        <w:t xml:space="preserve"> </w:t>
      </w:r>
      <w:r w:rsidRPr="008B0135">
        <w:rPr>
          <w:rStyle w:val="APRANORMALChar"/>
        </w:rPr>
        <w:t>to amend APS 111 s</w:t>
      </w:r>
      <w:r>
        <w:rPr>
          <w:rStyle w:val="APRANORMALChar"/>
        </w:rPr>
        <w:t>uch</w:t>
      </w:r>
      <w:r w:rsidRPr="008B0135">
        <w:rPr>
          <w:rStyle w:val="APRANORMALChar"/>
        </w:rPr>
        <w:t xml:space="preserve"> that capital instruments involving</w:t>
      </w:r>
      <w:r>
        <w:rPr>
          <w:rStyle w:val="APRANORMALChar"/>
        </w:rPr>
        <w:t xml:space="preserve"> </w:t>
      </w:r>
      <w:r w:rsidRPr="008B0135">
        <w:rPr>
          <w:rStyle w:val="APRANORMALChar"/>
        </w:rPr>
        <w:t xml:space="preserve">SPVs and stapled security structures </w:t>
      </w:r>
      <w:r>
        <w:rPr>
          <w:rStyle w:val="APRANORMALChar"/>
        </w:rPr>
        <w:t>would</w:t>
      </w:r>
      <w:r w:rsidRPr="008B0135">
        <w:rPr>
          <w:rStyle w:val="APRANORMALChar"/>
        </w:rPr>
        <w:t xml:space="preserve"> not </w:t>
      </w:r>
      <w:r>
        <w:rPr>
          <w:rStyle w:val="APRANORMALChar"/>
        </w:rPr>
        <w:t xml:space="preserve">be </w:t>
      </w:r>
      <w:r w:rsidRPr="008B0135">
        <w:rPr>
          <w:rStyle w:val="APRANORMALChar"/>
        </w:rPr>
        <w:t xml:space="preserve">recognised for </w:t>
      </w:r>
      <w:r>
        <w:rPr>
          <w:rStyle w:val="APRANORMALChar"/>
        </w:rPr>
        <w:t xml:space="preserve">regulatory capital </w:t>
      </w:r>
      <w:r w:rsidRPr="008B0135">
        <w:rPr>
          <w:rStyle w:val="APRANORMALChar"/>
        </w:rPr>
        <w:t>purposes</w:t>
      </w:r>
      <w:r>
        <w:rPr>
          <w:rStyle w:val="APRANORMALChar"/>
        </w:rPr>
        <w:t>.</w:t>
      </w:r>
      <w:r w:rsidRPr="008B0135">
        <w:rPr>
          <w:rStyle w:val="APRANORMALChar"/>
        </w:rPr>
        <w:t xml:space="preserve"> </w:t>
      </w:r>
      <w:r>
        <w:rPr>
          <w:rStyle w:val="APRANORMALChar"/>
        </w:rPr>
        <w:t xml:space="preserve">APRA’s objective was to </w:t>
      </w:r>
      <w:r w:rsidRPr="008B0135">
        <w:rPr>
          <w:rStyle w:val="APRANORMALChar"/>
        </w:rPr>
        <w:t>ensur</w:t>
      </w:r>
      <w:r>
        <w:rPr>
          <w:rStyle w:val="APRANORMALChar"/>
        </w:rPr>
        <w:t>e</w:t>
      </w:r>
      <w:r w:rsidRPr="008B0135">
        <w:rPr>
          <w:rStyle w:val="APRANORMALChar"/>
        </w:rPr>
        <w:t xml:space="preserve"> that capital instruments are </w:t>
      </w:r>
      <w:r>
        <w:rPr>
          <w:rStyle w:val="APRANORMALChar"/>
        </w:rPr>
        <w:t xml:space="preserve">simple, </w:t>
      </w:r>
      <w:r w:rsidRPr="008B0135">
        <w:rPr>
          <w:rStyle w:val="APRANORMALChar"/>
        </w:rPr>
        <w:t>transparent and capable of being readily understood</w:t>
      </w:r>
      <w:r>
        <w:rPr>
          <w:rStyle w:val="APRANORMALChar"/>
        </w:rPr>
        <w:t xml:space="preserve"> by investors and other market participants</w:t>
      </w:r>
      <w:r w:rsidRPr="008B0135">
        <w:rPr>
          <w:rStyle w:val="APRANORMALChar"/>
        </w:rPr>
        <w:t>.</w:t>
      </w:r>
      <w:r>
        <w:rPr>
          <w:lang w:val="en-AU"/>
        </w:rPr>
        <w:t xml:space="preserve"> </w:t>
      </w:r>
    </w:p>
    <w:p w:rsidR="00F814C6" w:rsidRDefault="00F814C6" w:rsidP="00F814C6">
      <w:pPr>
        <w:pStyle w:val="SubHeadingNoTOC"/>
      </w:pPr>
      <w:bookmarkStart w:id="238" w:name="_Toc67403404"/>
      <w:bookmarkStart w:id="239" w:name="_Toc67403816"/>
      <w:bookmarkStart w:id="240" w:name="_Toc67403907"/>
      <w:bookmarkStart w:id="241" w:name="_Toc67406223"/>
      <w:bookmarkStart w:id="242" w:name="_Toc68086329"/>
      <w:r>
        <w:t>Comments received</w:t>
      </w:r>
      <w:bookmarkEnd w:id="238"/>
      <w:bookmarkEnd w:id="239"/>
      <w:bookmarkEnd w:id="240"/>
      <w:bookmarkEnd w:id="241"/>
      <w:bookmarkEnd w:id="242"/>
    </w:p>
    <w:p w:rsidR="00F814C6" w:rsidRDefault="00F814C6" w:rsidP="00F814C6">
      <w:pPr>
        <w:pStyle w:val="APRANORMAL"/>
        <w:rPr>
          <w:rStyle w:val="APRANORMALChar"/>
        </w:rPr>
      </w:pPr>
      <w:r>
        <w:rPr>
          <w:rStyle w:val="APRANORMALChar"/>
        </w:rPr>
        <w:t>Some submissions did not support</w:t>
      </w:r>
      <w:r w:rsidRPr="008A5C79">
        <w:rPr>
          <w:rStyle w:val="APRANORMALChar"/>
        </w:rPr>
        <w:t xml:space="preserve"> APRA’s proposal to remove</w:t>
      </w:r>
      <w:r>
        <w:rPr>
          <w:rStyle w:val="APRANORMALChar"/>
        </w:rPr>
        <w:t xml:space="preserve"> the use of</w:t>
      </w:r>
      <w:r w:rsidRPr="008A5C79">
        <w:rPr>
          <w:rStyle w:val="APRANORMALChar"/>
        </w:rPr>
        <w:t xml:space="preserve"> SPVs from </w:t>
      </w:r>
      <w:r>
        <w:rPr>
          <w:rStyle w:val="APRANORMALChar"/>
        </w:rPr>
        <w:t xml:space="preserve">the revised Prudential Standard. These submissions requested that APRA allow complex issuance structures involving SPVs to reduce the additional costs from the RBNZ’s proposed changes to its definitions of AT1 and Tier 2 capital. </w:t>
      </w:r>
    </w:p>
    <w:p w:rsidR="00F814C6" w:rsidRDefault="00F814C6" w:rsidP="00F814C6">
      <w:pPr>
        <w:pStyle w:val="APRANORMAL"/>
        <w:rPr>
          <w:rStyle w:val="APRANORMALChar"/>
        </w:rPr>
      </w:pPr>
      <w:r>
        <w:rPr>
          <w:rStyle w:val="APRANORMALChar"/>
        </w:rPr>
        <w:t xml:space="preserve">ADIs noted that, under the </w:t>
      </w:r>
      <w:r w:rsidRPr="00BA6AD1">
        <w:rPr>
          <w:rStyle w:val="APRANORMALChar"/>
        </w:rPr>
        <w:t>RBNZ</w:t>
      </w:r>
      <w:r>
        <w:rPr>
          <w:rStyle w:val="APRANORMALChar"/>
        </w:rPr>
        <w:t>’s</w:t>
      </w:r>
      <w:r w:rsidRPr="00BA6AD1">
        <w:rPr>
          <w:rStyle w:val="APRANORMALChar"/>
        </w:rPr>
        <w:t xml:space="preserve"> proposals for implementing their final </w:t>
      </w:r>
      <w:r>
        <w:rPr>
          <w:rStyle w:val="APRANORMALChar"/>
        </w:rPr>
        <w:t>proposed rules,</w:t>
      </w:r>
      <w:r w:rsidRPr="00BA6AD1">
        <w:rPr>
          <w:rStyle w:val="APRANORMALChar"/>
        </w:rPr>
        <w:t xml:space="preserve"> there will no longer be compatibility between RBNZ and APRA rules on A</w:t>
      </w:r>
      <w:r>
        <w:rPr>
          <w:rStyle w:val="APRANORMALChar"/>
        </w:rPr>
        <w:t xml:space="preserve">T1 </w:t>
      </w:r>
      <w:r w:rsidRPr="00BA6AD1">
        <w:rPr>
          <w:rStyle w:val="APRANORMALChar"/>
        </w:rPr>
        <w:t xml:space="preserve">and Tier 2 capital instruments. In effect, </w:t>
      </w:r>
      <w:r>
        <w:rPr>
          <w:rStyle w:val="APRANORMALChar"/>
        </w:rPr>
        <w:t xml:space="preserve">this would require ADIs </w:t>
      </w:r>
      <w:r w:rsidRPr="00BA6AD1">
        <w:rPr>
          <w:rStyle w:val="APRANORMALChar"/>
        </w:rPr>
        <w:t>to issue two sets of A</w:t>
      </w:r>
      <w:r>
        <w:rPr>
          <w:rStyle w:val="APRANORMALChar"/>
        </w:rPr>
        <w:t>T1</w:t>
      </w:r>
      <w:r w:rsidRPr="00BA6AD1">
        <w:rPr>
          <w:rStyle w:val="APRANORMALChar"/>
        </w:rPr>
        <w:t xml:space="preserve"> and Tier 2 instruments to fund their N</w:t>
      </w:r>
      <w:r>
        <w:rPr>
          <w:rStyle w:val="APRANORMALChar"/>
        </w:rPr>
        <w:t xml:space="preserve">ew Zealand </w:t>
      </w:r>
      <w:r w:rsidRPr="00BA6AD1">
        <w:rPr>
          <w:rStyle w:val="APRANORMALChar"/>
        </w:rPr>
        <w:t>subsidiaries: one set that meets RBNZ rules and one set that meets APRA rules</w:t>
      </w:r>
      <w:r>
        <w:rPr>
          <w:rStyle w:val="APRANORMALChar"/>
        </w:rPr>
        <w:t>. Industry suggested that complex issuance structures involving SPVs could be a possible option to minimising the costs of these changes.</w:t>
      </w:r>
    </w:p>
    <w:p w:rsidR="00F814C6" w:rsidRDefault="00F814C6" w:rsidP="00F814C6">
      <w:pPr>
        <w:pStyle w:val="SubHeadingNoTOC"/>
      </w:pPr>
      <w:bookmarkStart w:id="243" w:name="_Toc67403405"/>
      <w:bookmarkStart w:id="244" w:name="_Toc67403817"/>
      <w:bookmarkStart w:id="245" w:name="_Toc67403908"/>
      <w:bookmarkStart w:id="246" w:name="_Toc67406224"/>
      <w:bookmarkStart w:id="247" w:name="_Toc68086330"/>
      <w:r>
        <w:t>APRA response</w:t>
      </w:r>
      <w:bookmarkEnd w:id="243"/>
      <w:bookmarkEnd w:id="244"/>
      <w:bookmarkEnd w:id="245"/>
      <w:bookmarkEnd w:id="246"/>
      <w:bookmarkEnd w:id="247"/>
    </w:p>
    <w:p w:rsidR="00F814C6" w:rsidRDefault="00F814C6" w:rsidP="00F814C6">
      <w:pPr>
        <w:pStyle w:val="APRANORMAL"/>
        <w:keepNext/>
      </w:pPr>
      <w:r>
        <w:t xml:space="preserve">APRA does not consider it appropriate to allow capital instruments issued through </w:t>
      </w:r>
      <w:r w:rsidRPr="008B0135">
        <w:rPr>
          <w:rStyle w:val="APRANORMALChar"/>
        </w:rPr>
        <w:t xml:space="preserve">SPVs and stapled security structures </w:t>
      </w:r>
      <w:r>
        <w:rPr>
          <w:rStyle w:val="APRANORMALChar"/>
        </w:rPr>
        <w:t>to</w:t>
      </w:r>
      <w:r w:rsidRPr="008B0135">
        <w:rPr>
          <w:rStyle w:val="APRANORMALChar"/>
        </w:rPr>
        <w:t xml:space="preserve"> </w:t>
      </w:r>
      <w:r>
        <w:rPr>
          <w:rStyle w:val="APRANORMALChar"/>
        </w:rPr>
        <w:t xml:space="preserve">be </w:t>
      </w:r>
      <w:r w:rsidRPr="008B0135">
        <w:rPr>
          <w:rStyle w:val="APRANORMALChar"/>
        </w:rPr>
        <w:t xml:space="preserve">recognised for </w:t>
      </w:r>
      <w:r>
        <w:rPr>
          <w:rStyle w:val="APRANORMALChar"/>
        </w:rPr>
        <w:t xml:space="preserve">regulatory capital </w:t>
      </w:r>
      <w:r w:rsidRPr="008B0135">
        <w:rPr>
          <w:rStyle w:val="APRANORMALChar"/>
        </w:rPr>
        <w:t>purposes</w:t>
      </w:r>
      <w:r>
        <w:t xml:space="preserve">. The SPV structure put forward in submissions would not comply with </w:t>
      </w:r>
      <w:r w:rsidRPr="008A5C79">
        <w:t>international</w:t>
      </w:r>
      <w:r>
        <w:t>ly</w:t>
      </w:r>
      <w:r w:rsidRPr="008A5C79">
        <w:t xml:space="preserve"> </w:t>
      </w:r>
      <w:r>
        <w:t>agreed Basel Committee standards, would require complex assessments of instrument eligibility and would introduce new risks from a resolvability perspective. In APRA’s view, these risks could undermine the integrity of APRA’s capital framework.</w:t>
      </w:r>
    </w:p>
    <w:p w:rsidR="00F814C6" w:rsidRDefault="00F814C6" w:rsidP="00F814C6">
      <w:pPr>
        <w:pStyle w:val="APRANORMAL"/>
      </w:pPr>
      <w:r>
        <w:t>APRA is working with the RBNZ on policy responses, including assessing how the RBNZ’s proposed new definitions of AT1 and Tier 2 capital could contribute towards the overall loss absorbing capacity of banking groups. Subject to an appropriate strengthening of cross-border resolution arrangements, APRA could take into account the RBNZ-qualifying AT1 and Tier 2 capital when determining the financial resources needed to support the orderly resolution of a major bank. APRA will continue to engage with the major banks on this issue.</w:t>
      </w:r>
      <w:r w:rsidRPr="00955E3B">
        <w:t xml:space="preserve"> </w:t>
      </w:r>
    </w:p>
    <w:p w:rsidR="00F814C6" w:rsidRPr="00F814C6" w:rsidRDefault="00F814C6" w:rsidP="00F814C6">
      <w:pPr>
        <w:pStyle w:val="Heading2Numbers"/>
        <w:rPr>
          <w:rStyle w:val="APRANORMALChar"/>
          <w:rFonts w:ascii="DIN OT Medium" w:hAnsi="DIN OT Medium" w:cstheme="majorBidi"/>
          <w:color w:val="012169"/>
          <w:lang w:val="en-AU"/>
        </w:rPr>
      </w:pPr>
      <w:bookmarkStart w:id="248" w:name="_Toc67403406"/>
      <w:bookmarkStart w:id="249" w:name="_Toc67403818"/>
      <w:bookmarkStart w:id="250" w:name="_Toc67403909"/>
      <w:bookmarkStart w:id="251" w:name="_Toc67406225"/>
      <w:bookmarkStart w:id="252" w:name="_Toc68086331"/>
      <w:bookmarkStart w:id="253" w:name="_Toc71274567"/>
      <w:bookmarkStart w:id="254" w:name="_Toc32228635"/>
      <w:bookmarkStart w:id="255" w:name="_Toc32235348"/>
      <w:bookmarkStart w:id="256" w:name="_Toc32239941"/>
      <w:bookmarkStart w:id="257" w:name="_Toc32484061"/>
      <w:bookmarkStart w:id="258" w:name="_Toc22208535"/>
      <w:bookmarkStart w:id="259" w:name="_Toc23158202"/>
      <w:bookmarkStart w:id="260" w:name="_Toc23161085"/>
      <w:bookmarkStart w:id="261" w:name="_Toc23162036"/>
      <w:bookmarkStart w:id="262" w:name="_Toc23325355"/>
      <w:bookmarkStart w:id="263" w:name="_Toc24106595"/>
      <w:bookmarkStart w:id="264" w:name="_Toc25747985"/>
      <w:bookmarkStart w:id="265" w:name="_Toc26945841"/>
      <w:bookmarkStart w:id="266" w:name="_Toc26947917"/>
      <w:bookmarkStart w:id="267" w:name="_Toc34139743"/>
      <w:r w:rsidRPr="00F814C6">
        <w:rPr>
          <w:rStyle w:val="APRANORMALChar"/>
          <w:rFonts w:ascii="DIN OT Medium" w:hAnsi="DIN OT Medium" w:cstheme="majorBidi"/>
          <w:color w:val="012169"/>
          <w:lang w:val="en-AU"/>
        </w:rPr>
        <w:t>Other policy issues</w:t>
      </w:r>
      <w:bookmarkEnd w:id="248"/>
      <w:bookmarkEnd w:id="249"/>
      <w:bookmarkEnd w:id="250"/>
      <w:bookmarkEnd w:id="251"/>
      <w:bookmarkEnd w:id="252"/>
      <w:bookmarkEnd w:id="253"/>
      <w:r w:rsidRPr="00F814C6">
        <w:rPr>
          <w:rStyle w:val="APRANORMALChar"/>
          <w:rFonts w:ascii="DIN OT Medium" w:hAnsi="DIN OT Medium" w:cstheme="majorBidi"/>
          <w:color w:val="012169"/>
          <w:lang w:val="en-AU"/>
        </w:rPr>
        <w:t xml:space="preserve"> </w:t>
      </w:r>
    </w:p>
    <w:p w:rsidR="00F814C6" w:rsidRPr="00F814C6" w:rsidRDefault="00F814C6" w:rsidP="00F814C6">
      <w:pPr>
        <w:pStyle w:val="Heading3Numbers"/>
        <w:numPr>
          <w:ilvl w:val="2"/>
          <w:numId w:val="37"/>
        </w:numPr>
      </w:pPr>
      <w:bookmarkStart w:id="268" w:name="_Toc67403407"/>
      <w:bookmarkStart w:id="269" w:name="_Toc67403819"/>
      <w:bookmarkStart w:id="270" w:name="_Toc67403910"/>
      <w:bookmarkStart w:id="271" w:name="_Toc67406226"/>
      <w:bookmarkStart w:id="272" w:name="_Toc68086332"/>
      <w:bookmarkStart w:id="273" w:name="_Toc71274568"/>
      <w:r w:rsidRPr="00F814C6">
        <w:t>Capital arbitrage transactions</w:t>
      </w:r>
      <w:bookmarkEnd w:id="268"/>
      <w:bookmarkEnd w:id="269"/>
      <w:bookmarkEnd w:id="270"/>
      <w:bookmarkEnd w:id="271"/>
      <w:bookmarkEnd w:id="272"/>
      <w:bookmarkEnd w:id="273"/>
      <w:r w:rsidRPr="00F814C6">
        <w:t xml:space="preserve"> </w:t>
      </w:r>
    </w:p>
    <w:p w:rsidR="00F814C6" w:rsidRPr="00F64CB6" w:rsidRDefault="00F814C6" w:rsidP="00F814C6">
      <w:pPr>
        <w:pStyle w:val="APRANORMAL"/>
      </w:pPr>
      <w:r>
        <w:t xml:space="preserve">In its October 2019 consultation, </w:t>
      </w:r>
      <w:r w:rsidRPr="000D1E24">
        <w:t>APRA</w:t>
      </w:r>
      <w:r>
        <w:t xml:space="preserve"> proposed </w:t>
      </w:r>
      <w:r w:rsidRPr="000D1E24">
        <w:t xml:space="preserve">that transactions that have the aim of offsetting </w:t>
      </w:r>
      <w:r>
        <w:t xml:space="preserve">capital </w:t>
      </w:r>
      <w:r w:rsidRPr="000D1E24">
        <w:t xml:space="preserve">deductions </w:t>
      </w:r>
      <w:r>
        <w:t>should</w:t>
      </w:r>
      <w:r w:rsidRPr="000D1E24">
        <w:t xml:space="preserve"> not </w:t>
      </w:r>
      <w:r>
        <w:t xml:space="preserve">be </w:t>
      </w:r>
      <w:r w:rsidRPr="000D1E24">
        <w:t>recognised for capital adequacy purposes</w:t>
      </w:r>
      <w:r>
        <w:t>. This has been a</w:t>
      </w:r>
      <w:r w:rsidRPr="000D1E24">
        <w:t xml:space="preserve"> long-standing </w:t>
      </w:r>
      <w:r>
        <w:t>APRA expectation, which APRA proposed to formalise in APS 111.</w:t>
      </w:r>
    </w:p>
    <w:p w:rsidR="00F814C6" w:rsidRDefault="00F814C6" w:rsidP="00F814C6">
      <w:pPr>
        <w:pStyle w:val="SubHeadingNoTOC"/>
      </w:pPr>
      <w:bookmarkStart w:id="274" w:name="_Toc22208543"/>
      <w:bookmarkStart w:id="275" w:name="_Toc23158213"/>
      <w:bookmarkStart w:id="276" w:name="_Toc23161096"/>
      <w:bookmarkStart w:id="277" w:name="_Toc23162047"/>
      <w:bookmarkStart w:id="278" w:name="_Toc23325366"/>
      <w:bookmarkStart w:id="279" w:name="_Toc24106606"/>
      <w:bookmarkStart w:id="280" w:name="_Toc25747996"/>
      <w:bookmarkStart w:id="281" w:name="_Toc26945852"/>
      <w:bookmarkStart w:id="282" w:name="_Toc26947928"/>
      <w:bookmarkStart w:id="283" w:name="_Toc32228646"/>
      <w:bookmarkStart w:id="284" w:name="_Toc32235359"/>
      <w:bookmarkStart w:id="285" w:name="_Toc32239952"/>
      <w:bookmarkStart w:id="286" w:name="_Toc32484072"/>
      <w:bookmarkStart w:id="287" w:name="_Toc34139754"/>
      <w:bookmarkStart w:id="288" w:name="_Toc34317876"/>
      <w:bookmarkStart w:id="289" w:name="_Toc34392778"/>
      <w:bookmarkStart w:id="290" w:name="_Toc34729838"/>
      <w:bookmarkStart w:id="291" w:name="_Toc34729897"/>
      <w:bookmarkStart w:id="292" w:name="_Toc34825285"/>
      <w:bookmarkStart w:id="293" w:name="_Toc48914299"/>
      <w:bookmarkStart w:id="294" w:name="_Toc62649490"/>
      <w:bookmarkStart w:id="295" w:name="_Toc63069489"/>
      <w:bookmarkStart w:id="296" w:name="_Toc63070468"/>
      <w:bookmarkStart w:id="297" w:name="_Toc63071215"/>
      <w:bookmarkStart w:id="298" w:name="_Toc63944978"/>
      <w:bookmarkStart w:id="299" w:name="_Toc65846185"/>
      <w:bookmarkStart w:id="300" w:name="_Toc65857445"/>
      <w:bookmarkStart w:id="301" w:name="_Toc66268326"/>
      <w:bookmarkStart w:id="302" w:name="_Toc66283794"/>
      <w:bookmarkStart w:id="303" w:name="_Toc66283931"/>
      <w:bookmarkStart w:id="304" w:name="_Toc66906188"/>
      <w:bookmarkStart w:id="305" w:name="_Toc67403408"/>
      <w:bookmarkStart w:id="306" w:name="_Toc67403820"/>
      <w:bookmarkStart w:id="307" w:name="_Toc67403911"/>
      <w:bookmarkStart w:id="308" w:name="_Toc67406227"/>
      <w:bookmarkStart w:id="309" w:name="_Toc68086333"/>
      <w:r>
        <w:t>Comments received</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F814C6" w:rsidRDefault="00F814C6" w:rsidP="00F814C6">
      <w:pPr>
        <w:pStyle w:val="APRANORMAL"/>
        <w:rPr>
          <w:rStyle w:val="APRANORMALChar"/>
        </w:rPr>
      </w:pPr>
      <w:r>
        <w:rPr>
          <w:rStyle w:val="APRANORMALChar"/>
        </w:rPr>
        <w:t>Some respondents</w:t>
      </w:r>
      <w:r w:rsidRPr="00F335EE">
        <w:rPr>
          <w:rStyle w:val="APRANORMALChar"/>
        </w:rPr>
        <w:t xml:space="preserve"> suggested that APRA not prohibit such transactions</w:t>
      </w:r>
      <w:r>
        <w:rPr>
          <w:rStyle w:val="APRANORMALChar"/>
        </w:rPr>
        <w:t xml:space="preserve">. These respondents noted </w:t>
      </w:r>
      <w:r w:rsidRPr="00F335EE">
        <w:rPr>
          <w:rStyle w:val="APRANORMALChar"/>
        </w:rPr>
        <w:t xml:space="preserve">that if such transactions effect a true transfer of risk away from the ADI to a third party, </w:t>
      </w:r>
      <w:r>
        <w:rPr>
          <w:rStyle w:val="APRANORMALChar"/>
        </w:rPr>
        <w:t>a reduction in</w:t>
      </w:r>
      <w:r w:rsidRPr="00F335EE">
        <w:rPr>
          <w:rStyle w:val="APRANORMALChar"/>
        </w:rPr>
        <w:t xml:space="preserve"> required capital should be recognised.</w:t>
      </w:r>
    </w:p>
    <w:p w:rsidR="00F814C6" w:rsidRDefault="00F814C6" w:rsidP="00F814C6">
      <w:pPr>
        <w:pStyle w:val="SubHeadingNoTOC"/>
      </w:pPr>
      <w:bookmarkStart w:id="310" w:name="_Toc22208544"/>
      <w:bookmarkStart w:id="311" w:name="_Toc23158214"/>
      <w:bookmarkStart w:id="312" w:name="_Toc23161097"/>
      <w:bookmarkStart w:id="313" w:name="_Toc23162048"/>
      <w:bookmarkStart w:id="314" w:name="_Toc23325367"/>
      <w:bookmarkStart w:id="315" w:name="_Toc24106607"/>
      <w:bookmarkStart w:id="316" w:name="_Toc25747997"/>
      <w:bookmarkStart w:id="317" w:name="_Toc26945853"/>
      <w:bookmarkStart w:id="318" w:name="_Toc26947929"/>
      <w:bookmarkStart w:id="319" w:name="_Toc32228647"/>
      <w:bookmarkStart w:id="320" w:name="_Toc32235360"/>
      <w:bookmarkStart w:id="321" w:name="_Toc32239953"/>
      <w:bookmarkStart w:id="322" w:name="_Toc32484073"/>
      <w:bookmarkStart w:id="323" w:name="_Toc34139755"/>
      <w:bookmarkStart w:id="324" w:name="_Toc34317877"/>
      <w:bookmarkStart w:id="325" w:name="_Toc34392779"/>
      <w:bookmarkStart w:id="326" w:name="_Toc34729839"/>
      <w:bookmarkStart w:id="327" w:name="_Toc34729898"/>
      <w:bookmarkStart w:id="328" w:name="_Toc34825286"/>
      <w:bookmarkStart w:id="329" w:name="_Toc48914300"/>
      <w:bookmarkStart w:id="330" w:name="_Toc62649491"/>
      <w:bookmarkStart w:id="331" w:name="_Toc63069490"/>
      <w:bookmarkStart w:id="332" w:name="_Toc63070469"/>
      <w:bookmarkStart w:id="333" w:name="_Toc63071216"/>
      <w:bookmarkStart w:id="334" w:name="_Toc63944979"/>
      <w:bookmarkStart w:id="335" w:name="_Toc65846186"/>
      <w:bookmarkStart w:id="336" w:name="_Toc65857446"/>
      <w:bookmarkStart w:id="337" w:name="_Toc66268327"/>
      <w:bookmarkStart w:id="338" w:name="_Toc66283795"/>
      <w:bookmarkStart w:id="339" w:name="_Toc66283932"/>
      <w:bookmarkStart w:id="340" w:name="_Toc66906189"/>
      <w:bookmarkStart w:id="341" w:name="_Toc67403409"/>
      <w:bookmarkStart w:id="342" w:name="_Toc67403821"/>
      <w:bookmarkStart w:id="343" w:name="_Toc67403912"/>
      <w:bookmarkStart w:id="344" w:name="_Toc67406228"/>
      <w:bookmarkStart w:id="345" w:name="_Toc68086334"/>
      <w:r>
        <w:t>APRA response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F814C6" w:rsidRDefault="00F814C6" w:rsidP="00F814C6">
      <w:pPr>
        <w:pStyle w:val="APRANORMAL"/>
        <w:rPr>
          <w:rStyle w:val="APRANORMALChar"/>
        </w:rPr>
      </w:pPr>
      <w:r>
        <w:t>In APRA’s view, these transactions can have the effect of overestimating eligible capital, without commensurately reducing the risk in the financial system. Consistent with the Basel Committee’s statement on capital arbitrage transactions,</w:t>
      </w:r>
      <w:r>
        <w:rPr>
          <w:rStyle w:val="APRANORMALChar"/>
        </w:rPr>
        <w:t xml:space="preserve"> APRA is maintaining its original proposal. This means direct </w:t>
      </w:r>
      <w:r w:rsidRPr="0035699F">
        <w:rPr>
          <w:rStyle w:val="APRANORMALChar"/>
        </w:rPr>
        <w:t xml:space="preserve">holdings of equity </w:t>
      </w:r>
      <w:r>
        <w:rPr>
          <w:rStyle w:val="APRANORMALChar"/>
        </w:rPr>
        <w:t>would be</w:t>
      </w:r>
      <w:r w:rsidRPr="0035699F">
        <w:rPr>
          <w:rStyle w:val="APRANORMALChar"/>
        </w:rPr>
        <w:t xml:space="preserve"> deduct</w:t>
      </w:r>
      <w:r>
        <w:rPr>
          <w:rStyle w:val="APRANORMALChar"/>
        </w:rPr>
        <w:t>ed</w:t>
      </w:r>
      <w:r w:rsidRPr="0035699F">
        <w:rPr>
          <w:rStyle w:val="APRANORMALChar"/>
        </w:rPr>
        <w:t xml:space="preserve"> whether or not hedged with derivatives. This is the same treatment for indirect </w:t>
      </w:r>
      <w:r>
        <w:rPr>
          <w:rStyle w:val="APRANORMALChar"/>
        </w:rPr>
        <w:t xml:space="preserve">equity </w:t>
      </w:r>
      <w:r w:rsidRPr="0035699F">
        <w:rPr>
          <w:rStyle w:val="APRANORMALChar"/>
        </w:rPr>
        <w:t>holdings.</w:t>
      </w:r>
    </w:p>
    <w:p w:rsidR="00F814C6" w:rsidRPr="00F814C6" w:rsidRDefault="00F814C6" w:rsidP="00F814C6">
      <w:pPr>
        <w:pStyle w:val="Heading3Numbers"/>
      </w:pPr>
      <w:bookmarkStart w:id="346" w:name="_Toc34317878"/>
      <w:bookmarkStart w:id="347" w:name="_Toc34392780"/>
      <w:bookmarkStart w:id="348" w:name="_Toc34729840"/>
      <w:bookmarkStart w:id="349" w:name="_Toc34729899"/>
      <w:bookmarkStart w:id="350" w:name="_Toc34825287"/>
      <w:bookmarkStart w:id="351" w:name="_Toc48914301"/>
      <w:bookmarkStart w:id="352" w:name="_Toc62649492"/>
      <w:bookmarkStart w:id="353" w:name="_Toc63069491"/>
      <w:bookmarkStart w:id="354" w:name="_Toc63070470"/>
      <w:bookmarkStart w:id="355" w:name="_Toc63071217"/>
      <w:bookmarkStart w:id="356" w:name="_Toc63944980"/>
      <w:bookmarkStart w:id="357" w:name="_Toc65846187"/>
      <w:bookmarkStart w:id="358" w:name="_Toc65857447"/>
      <w:bookmarkStart w:id="359" w:name="_Toc66268328"/>
      <w:bookmarkStart w:id="360" w:name="_Toc66283796"/>
      <w:bookmarkStart w:id="361" w:name="_Toc66283933"/>
      <w:bookmarkStart w:id="362" w:name="_Toc66906190"/>
      <w:bookmarkStart w:id="363" w:name="_Toc67403410"/>
      <w:bookmarkStart w:id="364" w:name="_Toc67403822"/>
      <w:bookmarkStart w:id="365" w:name="_Toc67403913"/>
      <w:bookmarkStart w:id="366" w:name="_Toc67406229"/>
      <w:bookmarkStart w:id="367" w:name="_Toc68086335"/>
      <w:bookmarkStart w:id="368" w:name="_Toc71274569"/>
      <w:r w:rsidRPr="00F814C6">
        <w:rPr>
          <w:rStyle w:val="APRANORMALChar"/>
          <w:rFonts w:ascii="DIN OT Medium" w:hAnsi="DIN OT Medium" w:cstheme="majorBidi"/>
          <w:color w:val="012169" w:themeColor="text2"/>
          <w:lang w:val="en-AU"/>
        </w:rPr>
        <w:t>Cross default clauses</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F814C6" w:rsidRPr="00F64CB6" w:rsidRDefault="00F814C6" w:rsidP="00F814C6">
      <w:pPr>
        <w:pStyle w:val="APRANORMAL"/>
        <w:rPr>
          <w:rStyle w:val="APRANORMALChar"/>
        </w:rPr>
      </w:pPr>
      <w:r>
        <w:t>In its October 2019 consultation,</w:t>
      </w:r>
      <w:r w:rsidRPr="002809F2">
        <w:rPr>
          <w:rStyle w:val="APRANORMALChar"/>
        </w:rPr>
        <w:t xml:space="preserve"> APRA proposed amendments to the existing cross default provisions within APS</w:t>
      </w:r>
      <w:r>
        <w:rPr>
          <w:rStyle w:val="APRANORMALChar"/>
        </w:rPr>
        <w:t xml:space="preserve"> </w:t>
      </w:r>
      <w:r w:rsidRPr="002809F2">
        <w:rPr>
          <w:rStyle w:val="APRANORMALChar"/>
        </w:rPr>
        <w:t>111</w:t>
      </w:r>
      <w:r>
        <w:rPr>
          <w:rStyle w:val="APRANORMALChar"/>
        </w:rPr>
        <w:t>.</w:t>
      </w:r>
      <w:r w:rsidRPr="002809F2">
        <w:rPr>
          <w:rStyle w:val="APRANORMALChar"/>
        </w:rPr>
        <w:t xml:space="preserve"> </w:t>
      </w:r>
      <w:r>
        <w:t xml:space="preserve">These revisions sought to formalise APRA’s current approach to assessing the eligibility of capital instruments, </w:t>
      </w:r>
      <w:r>
        <w:rPr>
          <w:rStyle w:val="APRANORMALChar"/>
        </w:rPr>
        <w:t xml:space="preserve">which </w:t>
      </w:r>
      <w:r w:rsidRPr="004B36D9">
        <w:rPr>
          <w:rStyle w:val="APRANORMALChar"/>
        </w:rPr>
        <w:t xml:space="preserve">reflects the importance of capital being </w:t>
      </w:r>
      <w:r>
        <w:rPr>
          <w:rStyle w:val="APRANORMALChar"/>
        </w:rPr>
        <w:t xml:space="preserve">freely </w:t>
      </w:r>
      <w:r w:rsidRPr="004B36D9">
        <w:rPr>
          <w:rStyle w:val="APRANORMALChar"/>
        </w:rPr>
        <w:t xml:space="preserve">available to support an ADI’s financial position. </w:t>
      </w:r>
      <w:r>
        <w:rPr>
          <w:rStyle w:val="APRANORMALChar"/>
        </w:rPr>
        <w:t>This could be undermined</w:t>
      </w:r>
      <w:r w:rsidRPr="004B36D9">
        <w:rPr>
          <w:rStyle w:val="APRANORMALChar"/>
        </w:rPr>
        <w:t xml:space="preserve"> if an adverse event relating to </w:t>
      </w:r>
      <w:r>
        <w:rPr>
          <w:rStyle w:val="APRANORMALChar"/>
        </w:rPr>
        <w:t>one</w:t>
      </w:r>
      <w:r w:rsidRPr="004B36D9">
        <w:rPr>
          <w:rStyle w:val="APRANORMALChar"/>
        </w:rPr>
        <w:t xml:space="preserve"> capital instrument could trigger a default on other instruments.</w:t>
      </w:r>
    </w:p>
    <w:p w:rsidR="00F814C6" w:rsidRDefault="00F814C6" w:rsidP="00F814C6">
      <w:pPr>
        <w:pStyle w:val="SubHeadingNoTOC"/>
      </w:pPr>
      <w:bookmarkStart w:id="369" w:name="_Toc22208536"/>
      <w:bookmarkStart w:id="370" w:name="_Toc23158203"/>
      <w:bookmarkStart w:id="371" w:name="_Toc23161086"/>
      <w:bookmarkStart w:id="372" w:name="_Toc23162037"/>
      <w:bookmarkStart w:id="373" w:name="_Toc23325356"/>
      <w:bookmarkStart w:id="374" w:name="_Toc24106596"/>
      <w:bookmarkStart w:id="375" w:name="_Toc25747986"/>
      <w:bookmarkStart w:id="376" w:name="_Toc26945842"/>
      <w:bookmarkStart w:id="377" w:name="_Toc26947918"/>
      <w:bookmarkStart w:id="378" w:name="_Toc32228636"/>
      <w:bookmarkStart w:id="379" w:name="_Toc32235349"/>
      <w:bookmarkStart w:id="380" w:name="_Toc32239942"/>
      <w:bookmarkStart w:id="381" w:name="_Toc32484062"/>
      <w:bookmarkStart w:id="382" w:name="_Toc34139744"/>
      <w:bookmarkStart w:id="383" w:name="_Toc34317879"/>
      <w:bookmarkStart w:id="384" w:name="_Toc34392781"/>
      <w:bookmarkStart w:id="385" w:name="_Toc34729841"/>
      <w:bookmarkStart w:id="386" w:name="_Toc34729900"/>
      <w:bookmarkStart w:id="387" w:name="_Toc34825288"/>
      <w:bookmarkStart w:id="388" w:name="_Toc48914302"/>
      <w:bookmarkStart w:id="389" w:name="_Toc62649493"/>
      <w:bookmarkStart w:id="390" w:name="_Toc63069492"/>
      <w:bookmarkStart w:id="391" w:name="_Toc63070471"/>
      <w:bookmarkStart w:id="392" w:name="_Toc63071218"/>
      <w:bookmarkStart w:id="393" w:name="_Toc63944981"/>
      <w:bookmarkStart w:id="394" w:name="_Toc65846188"/>
      <w:bookmarkStart w:id="395" w:name="_Toc65857448"/>
      <w:bookmarkStart w:id="396" w:name="_Toc66268329"/>
      <w:bookmarkStart w:id="397" w:name="_Toc66283797"/>
      <w:bookmarkStart w:id="398" w:name="_Toc66283934"/>
      <w:bookmarkStart w:id="399" w:name="_Toc66906191"/>
      <w:bookmarkStart w:id="400" w:name="_Toc67403411"/>
      <w:bookmarkStart w:id="401" w:name="_Toc67403823"/>
      <w:bookmarkStart w:id="402" w:name="_Toc67403914"/>
      <w:bookmarkStart w:id="403" w:name="_Toc67406230"/>
      <w:bookmarkStart w:id="404" w:name="_Toc68086336"/>
      <w:r>
        <w:t>Comments received</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F814C6" w:rsidRDefault="00F814C6" w:rsidP="00F814C6">
      <w:pPr>
        <w:pStyle w:val="APRANORMAL"/>
        <w:rPr>
          <w:rStyle w:val="APRANORMALChar"/>
        </w:rPr>
      </w:pPr>
      <w:r>
        <w:rPr>
          <w:rStyle w:val="APRANORMALChar"/>
        </w:rPr>
        <w:t xml:space="preserve">Some submissions commented that the removal of </w:t>
      </w:r>
      <w:r w:rsidRPr="002809F2">
        <w:rPr>
          <w:rStyle w:val="APRANORMALChar"/>
        </w:rPr>
        <w:t>cross</w:t>
      </w:r>
      <w:r>
        <w:rPr>
          <w:rStyle w:val="APRANORMALChar"/>
        </w:rPr>
        <w:t xml:space="preserve"> </w:t>
      </w:r>
      <w:r w:rsidRPr="002809F2">
        <w:rPr>
          <w:rStyle w:val="APRANORMALChar"/>
        </w:rPr>
        <w:t>default clauses within capital instruments themselves</w:t>
      </w:r>
      <w:r>
        <w:rPr>
          <w:rStyle w:val="APRANORMALChar"/>
        </w:rPr>
        <w:t xml:space="preserve"> was un</w:t>
      </w:r>
      <w:r w:rsidRPr="002809F2">
        <w:rPr>
          <w:rStyle w:val="APRANORMALChar"/>
        </w:rPr>
        <w:t>necessary</w:t>
      </w:r>
      <w:r>
        <w:rPr>
          <w:rStyle w:val="APRANORMALChar"/>
        </w:rPr>
        <w:t>. These submissions noted that</w:t>
      </w:r>
      <w:r w:rsidRPr="002809F2">
        <w:rPr>
          <w:rStyle w:val="APRANORMALChar"/>
        </w:rPr>
        <w:t xml:space="preserve"> </w:t>
      </w:r>
      <w:r>
        <w:rPr>
          <w:rStyle w:val="APRANORMALChar"/>
        </w:rPr>
        <w:t xml:space="preserve">an </w:t>
      </w:r>
      <w:r w:rsidRPr="002809F2">
        <w:rPr>
          <w:rStyle w:val="APRANORMALChar"/>
        </w:rPr>
        <w:t>A</w:t>
      </w:r>
      <w:r>
        <w:rPr>
          <w:rStyle w:val="APRANORMALChar"/>
        </w:rPr>
        <w:t>T1</w:t>
      </w:r>
      <w:r w:rsidRPr="002809F2">
        <w:rPr>
          <w:rStyle w:val="APRANORMALChar"/>
        </w:rPr>
        <w:t xml:space="preserve"> </w:t>
      </w:r>
      <w:r>
        <w:rPr>
          <w:rStyle w:val="APRANORMALChar"/>
        </w:rPr>
        <w:t>c</w:t>
      </w:r>
      <w:r w:rsidRPr="002809F2">
        <w:rPr>
          <w:rStyle w:val="APRANORMALChar"/>
        </w:rPr>
        <w:t>apital</w:t>
      </w:r>
      <w:r>
        <w:rPr>
          <w:rStyle w:val="APRANORMALChar"/>
        </w:rPr>
        <w:t xml:space="preserve"> instrument </w:t>
      </w:r>
      <w:r w:rsidRPr="002809F2">
        <w:rPr>
          <w:rStyle w:val="APRANORMALChar"/>
        </w:rPr>
        <w:t>must not contain any events of default and</w:t>
      </w:r>
      <w:r>
        <w:rPr>
          <w:rStyle w:val="APRANORMALChar"/>
        </w:rPr>
        <w:t xml:space="preserve"> that</w:t>
      </w:r>
      <w:r w:rsidRPr="002809F2">
        <w:rPr>
          <w:rStyle w:val="APRANORMALChar"/>
        </w:rPr>
        <w:t xml:space="preserve"> Tier 2 </w:t>
      </w:r>
      <w:r>
        <w:rPr>
          <w:rStyle w:val="APRANORMALChar"/>
        </w:rPr>
        <w:t>c</w:t>
      </w:r>
      <w:r w:rsidRPr="002809F2">
        <w:rPr>
          <w:rStyle w:val="APRANORMALChar"/>
        </w:rPr>
        <w:t>apital</w:t>
      </w:r>
      <w:r>
        <w:rPr>
          <w:rStyle w:val="APRANORMALChar"/>
        </w:rPr>
        <w:t xml:space="preserve"> instruments</w:t>
      </w:r>
      <w:r w:rsidRPr="002809F2">
        <w:rPr>
          <w:rStyle w:val="APRANORMALChar"/>
        </w:rPr>
        <w:t xml:space="preserve"> can only provide for </w:t>
      </w:r>
      <w:r>
        <w:rPr>
          <w:rStyle w:val="APRANORMALChar"/>
        </w:rPr>
        <w:t>‘e</w:t>
      </w:r>
      <w:r w:rsidRPr="002809F2">
        <w:rPr>
          <w:rStyle w:val="APRANORMALChar"/>
        </w:rPr>
        <w:t>vents of default</w:t>
      </w:r>
      <w:r>
        <w:rPr>
          <w:rStyle w:val="APRANORMALChar"/>
        </w:rPr>
        <w:t>’</w:t>
      </w:r>
      <w:r w:rsidRPr="002809F2">
        <w:rPr>
          <w:rStyle w:val="APRANORMALChar"/>
        </w:rPr>
        <w:t xml:space="preserve"> on account of default under the terms of the instrument or winding-up of the issuer.</w:t>
      </w:r>
    </w:p>
    <w:p w:rsidR="00F814C6" w:rsidRDefault="00F814C6" w:rsidP="00F814C6">
      <w:pPr>
        <w:pStyle w:val="APRANORMAL"/>
        <w:rPr>
          <w:rStyle w:val="APRANORMALChar"/>
        </w:rPr>
      </w:pPr>
      <w:r>
        <w:rPr>
          <w:rStyle w:val="APRANORMALChar"/>
        </w:rPr>
        <w:t>Some submissions requested clarification that cross default provisions</w:t>
      </w:r>
      <w:r w:rsidRPr="00A8295C">
        <w:rPr>
          <w:rStyle w:val="APRANORMALChar"/>
        </w:rPr>
        <w:t xml:space="preserve"> as a result of non-payment on a capital instrumen</w:t>
      </w:r>
      <w:r>
        <w:rPr>
          <w:rStyle w:val="APRANORMALChar"/>
        </w:rPr>
        <w:t xml:space="preserve">t would </w:t>
      </w:r>
      <w:r w:rsidRPr="00A8295C">
        <w:rPr>
          <w:rStyle w:val="APRANORMALChar"/>
        </w:rPr>
        <w:t xml:space="preserve">only </w:t>
      </w:r>
      <w:r>
        <w:rPr>
          <w:rStyle w:val="APRANORMALChar"/>
        </w:rPr>
        <w:t xml:space="preserve">relate </w:t>
      </w:r>
      <w:r w:rsidRPr="00A8295C">
        <w:rPr>
          <w:rStyle w:val="APRANORMALChar"/>
        </w:rPr>
        <w:t>to clauses in an issuer’s other debt funding and capital instruments</w:t>
      </w:r>
      <w:r>
        <w:rPr>
          <w:rStyle w:val="APRANORMALChar"/>
        </w:rPr>
        <w:t>.</w:t>
      </w:r>
      <w:r w:rsidRPr="00A8295C">
        <w:rPr>
          <w:rStyle w:val="APRANORMALChar"/>
        </w:rPr>
        <w:t xml:space="preserve"> </w:t>
      </w:r>
      <w:r>
        <w:rPr>
          <w:rStyle w:val="APRANORMALChar"/>
        </w:rPr>
        <w:t xml:space="preserve">These submissions also suggested that </w:t>
      </w:r>
      <w:r w:rsidRPr="00A8295C">
        <w:rPr>
          <w:rStyle w:val="APRANORMALChar"/>
        </w:rPr>
        <w:t xml:space="preserve">the </w:t>
      </w:r>
      <w:r>
        <w:rPr>
          <w:rStyle w:val="APRANORMALChar"/>
        </w:rPr>
        <w:t>reference in APS 111 to ‘</w:t>
      </w:r>
      <w:r w:rsidRPr="00A8295C">
        <w:rPr>
          <w:rStyle w:val="APRANORMALChar"/>
        </w:rPr>
        <w:t>the time for the appeal of the decision has passed</w:t>
      </w:r>
      <w:r>
        <w:rPr>
          <w:rStyle w:val="APRANORMALChar"/>
        </w:rPr>
        <w:t>’</w:t>
      </w:r>
      <w:r w:rsidRPr="00A8295C">
        <w:rPr>
          <w:rStyle w:val="APRANORMALChar"/>
        </w:rPr>
        <w:t xml:space="preserve"> </w:t>
      </w:r>
      <w:r>
        <w:rPr>
          <w:rStyle w:val="APRANORMALChar"/>
        </w:rPr>
        <w:t>in relation to irrevocable wind up was</w:t>
      </w:r>
      <w:r w:rsidRPr="00A8295C">
        <w:rPr>
          <w:rStyle w:val="APRANORMALChar"/>
        </w:rPr>
        <w:t xml:space="preserve"> not appropriate</w:t>
      </w:r>
      <w:r>
        <w:rPr>
          <w:rStyle w:val="APRANORMALChar"/>
        </w:rPr>
        <w:t xml:space="preserve"> as it is not desirable t</w:t>
      </w:r>
      <w:r w:rsidRPr="000F4BCB">
        <w:rPr>
          <w:rStyle w:val="APRANORMALChar"/>
        </w:rPr>
        <w:t>o delay the actions of senior creditors once a court action is granted for the holders</w:t>
      </w:r>
      <w:r>
        <w:rPr>
          <w:rStyle w:val="APRANORMALChar"/>
        </w:rPr>
        <w:t xml:space="preserve"> of Tier 2 capital instruments</w:t>
      </w:r>
      <w:r w:rsidRPr="000F4BCB">
        <w:rPr>
          <w:rStyle w:val="APRANORMALChar"/>
        </w:rPr>
        <w:t>.</w:t>
      </w:r>
    </w:p>
    <w:p w:rsidR="00F814C6" w:rsidRDefault="00F814C6" w:rsidP="00F814C6">
      <w:pPr>
        <w:pStyle w:val="SubHeadingNoTOC"/>
      </w:pPr>
      <w:bookmarkStart w:id="405" w:name="_Toc22208537"/>
      <w:bookmarkStart w:id="406" w:name="_Toc23158204"/>
      <w:bookmarkStart w:id="407" w:name="_Toc23161087"/>
      <w:bookmarkStart w:id="408" w:name="_Toc23162038"/>
      <w:bookmarkStart w:id="409" w:name="_Toc23325357"/>
      <w:bookmarkStart w:id="410" w:name="_Toc24106597"/>
      <w:bookmarkStart w:id="411" w:name="_Toc25747987"/>
      <w:bookmarkStart w:id="412" w:name="_Toc26945843"/>
      <w:bookmarkStart w:id="413" w:name="_Toc26947919"/>
      <w:bookmarkStart w:id="414" w:name="_Toc32228637"/>
      <w:bookmarkStart w:id="415" w:name="_Toc32235350"/>
      <w:bookmarkStart w:id="416" w:name="_Toc32239943"/>
      <w:bookmarkStart w:id="417" w:name="_Toc32484063"/>
      <w:bookmarkStart w:id="418" w:name="_Toc34139745"/>
      <w:bookmarkStart w:id="419" w:name="_Toc34317880"/>
      <w:bookmarkStart w:id="420" w:name="_Toc34392782"/>
      <w:bookmarkStart w:id="421" w:name="_Toc34729842"/>
      <w:bookmarkStart w:id="422" w:name="_Toc34729901"/>
      <w:bookmarkStart w:id="423" w:name="_Toc34825295"/>
      <w:bookmarkStart w:id="424" w:name="_Toc48914309"/>
      <w:bookmarkStart w:id="425" w:name="_Toc62649494"/>
      <w:bookmarkStart w:id="426" w:name="_Toc63069493"/>
      <w:bookmarkStart w:id="427" w:name="_Toc63070472"/>
      <w:bookmarkStart w:id="428" w:name="_Toc63071219"/>
      <w:bookmarkStart w:id="429" w:name="_Toc63944982"/>
      <w:bookmarkStart w:id="430" w:name="_Toc65846189"/>
      <w:bookmarkStart w:id="431" w:name="_Toc65857449"/>
      <w:bookmarkStart w:id="432" w:name="_Toc66268330"/>
      <w:bookmarkStart w:id="433" w:name="_Toc66283798"/>
      <w:bookmarkStart w:id="434" w:name="_Toc66283935"/>
      <w:bookmarkStart w:id="435" w:name="_Toc66906192"/>
      <w:bookmarkStart w:id="436" w:name="_Toc67403412"/>
      <w:bookmarkStart w:id="437" w:name="_Toc67403824"/>
      <w:bookmarkStart w:id="438" w:name="_Toc67403915"/>
      <w:bookmarkStart w:id="439" w:name="_Toc67406231"/>
      <w:bookmarkStart w:id="440" w:name="_Toc68086337"/>
      <w:r>
        <w:t>APRA response</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F814C6" w:rsidRDefault="00F814C6" w:rsidP="00F814C6">
      <w:pPr>
        <w:pStyle w:val="APRANORMAL"/>
        <w:rPr>
          <w:rStyle w:val="APRANORMALChar"/>
        </w:rPr>
      </w:pPr>
      <w:r>
        <w:rPr>
          <w:rStyle w:val="APRANORMALChar"/>
        </w:rPr>
        <w:t xml:space="preserve">APRA considers it appropriate that there be a clear prudential requirement that the terms and conditions of AT1 capital instruments must not contain cross default or event of default clauses. </w:t>
      </w:r>
    </w:p>
    <w:p w:rsidR="00F814C6" w:rsidRDefault="00F814C6" w:rsidP="00F814C6">
      <w:pPr>
        <w:pStyle w:val="APRANORMAL"/>
        <w:rPr>
          <w:rStyle w:val="APRANORMALChar"/>
        </w:rPr>
      </w:pPr>
      <w:r w:rsidRPr="0027215C">
        <w:rPr>
          <w:rStyle w:val="APRANORMALChar"/>
        </w:rPr>
        <w:t>Clause</w:t>
      </w:r>
      <w:r>
        <w:rPr>
          <w:rStyle w:val="APRANORMALChar"/>
        </w:rPr>
        <w:t>s</w:t>
      </w:r>
      <w:r w:rsidRPr="0027215C">
        <w:rPr>
          <w:rStyle w:val="APRANORMALChar"/>
        </w:rPr>
        <w:t xml:space="preserve"> specifying the irrevocable winding up</w:t>
      </w:r>
      <w:r>
        <w:rPr>
          <w:rStyle w:val="APRANORMALChar"/>
        </w:rPr>
        <w:t xml:space="preserve"> of the issuer are permitted for both AT1 and Tier 2 capital instruments. </w:t>
      </w:r>
      <w:r w:rsidRPr="006D7739">
        <w:rPr>
          <w:rStyle w:val="APRANORMALChar"/>
        </w:rPr>
        <w:t xml:space="preserve">Tier 2 </w:t>
      </w:r>
      <w:r>
        <w:rPr>
          <w:rStyle w:val="APRANORMALChar"/>
        </w:rPr>
        <w:t>c</w:t>
      </w:r>
      <w:r w:rsidRPr="006D7739">
        <w:rPr>
          <w:rStyle w:val="APRANORMALChar"/>
        </w:rPr>
        <w:t>apital instrument</w:t>
      </w:r>
      <w:r>
        <w:rPr>
          <w:rStyle w:val="APRANORMALChar"/>
        </w:rPr>
        <w:t>s</w:t>
      </w:r>
      <w:r w:rsidRPr="006D7739">
        <w:rPr>
          <w:rStyle w:val="APRANORMALChar"/>
        </w:rPr>
        <w:t xml:space="preserve"> must confer no rights on holders to accelerate repayment except in bankruptcy (including wind-up) and liquidation</w:t>
      </w:r>
      <w:r>
        <w:rPr>
          <w:rStyle w:val="APRANORMALChar"/>
        </w:rPr>
        <w:t xml:space="preserve"> and w</w:t>
      </w:r>
      <w:r w:rsidRPr="006D7739">
        <w:rPr>
          <w:rStyle w:val="APRANORMALChar"/>
        </w:rPr>
        <w:t>ind-up must be irrevocable.</w:t>
      </w:r>
      <w:r>
        <w:rPr>
          <w:rStyle w:val="APRANORMALChar"/>
        </w:rPr>
        <w:t xml:space="preserve"> </w:t>
      </w:r>
    </w:p>
    <w:p w:rsidR="00F814C6" w:rsidRDefault="00F814C6" w:rsidP="00F814C6">
      <w:pPr>
        <w:pStyle w:val="APRANORMAL"/>
        <w:rPr>
          <w:rStyle w:val="APRANORMALChar"/>
        </w:rPr>
      </w:pPr>
      <w:r w:rsidRPr="006D7739">
        <w:rPr>
          <w:rStyle w:val="APRANORMALChar"/>
        </w:rPr>
        <w:t>APRA considers wind-up to be irrevocable when there has been an effective resolution by shareholders or members for winding-up, or a court order for winding-up has been made and that time for an appeal of the decision has passed.</w:t>
      </w:r>
      <w:r>
        <w:rPr>
          <w:rStyle w:val="APRANORMALChar"/>
        </w:rPr>
        <w:t xml:space="preserve"> However, APRA does not intend for that time for the passing of an appeal to </w:t>
      </w:r>
      <w:r w:rsidRPr="00D164BB">
        <w:rPr>
          <w:rStyle w:val="APRANORMALChar"/>
        </w:rPr>
        <w:t xml:space="preserve">delay the actions of </w:t>
      </w:r>
      <w:r>
        <w:rPr>
          <w:rStyle w:val="APRANORMALChar"/>
        </w:rPr>
        <w:t xml:space="preserve">senior </w:t>
      </w:r>
      <w:r w:rsidRPr="00D164BB">
        <w:rPr>
          <w:rStyle w:val="APRANORMALChar"/>
        </w:rPr>
        <w:t>creditors.</w:t>
      </w:r>
    </w:p>
    <w:p w:rsidR="00F814C6" w:rsidRPr="00F814C6" w:rsidRDefault="00F814C6" w:rsidP="00F814C6">
      <w:pPr>
        <w:pStyle w:val="Heading3Numbers"/>
      </w:pPr>
      <w:bookmarkStart w:id="441" w:name="_Toc16773508"/>
      <w:bookmarkStart w:id="442" w:name="_Toc16773765"/>
      <w:bookmarkStart w:id="443" w:name="_Toc17097518"/>
      <w:bookmarkStart w:id="444" w:name="_Toc17103805"/>
      <w:bookmarkStart w:id="445" w:name="_Toc17105601"/>
      <w:bookmarkStart w:id="446" w:name="_Toc17276166"/>
      <w:bookmarkStart w:id="447" w:name="_Toc17283319"/>
      <w:bookmarkStart w:id="448" w:name="_Toc17291201"/>
      <w:bookmarkStart w:id="449" w:name="_Toc17375788"/>
      <w:bookmarkStart w:id="450" w:name="_Toc17376641"/>
      <w:bookmarkStart w:id="451" w:name="_Toc17450832"/>
      <w:bookmarkStart w:id="452" w:name="_Toc17468087"/>
      <w:bookmarkStart w:id="453" w:name="_Toc17811666"/>
      <w:bookmarkStart w:id="454" w:name="_Toc19122145"/>
      <w:bookmarkStart w:id="455" w:name="_Toc20405517"/>
      <w:bookmarkStart w:id="456" w:name="_Toc62649495"/>
      <w:bookmarkStart w:id="457" w:name="_Toc63069494"/>
      <w:bookmarkStart w:id="458" w:name="_Toc63070473"/>
      <w:bookmarkStart w:id="459" w:name="_Toc63071220"/>
      <w:bookmarkStart w:id="460" w:name="_Toc63944983"/>
      <w:bookmarkStart w:id="461" w:name="_Toc65846190"/>
      <w:bookmarkStart w:id="462" w:name="_Toc65857450"/>
      <w:bookmarkStart w:id="463" w:name="_Toc66268331"/>
      <w:bookmarkStart w:id="464" w:name="_Toc66283799"/>
      <w:bookmarkStart w:id="465" w:name="_Toc66283936"/>
      <w:bookmarkStart w:id="466" w:name="_Toc66906193"/>
      <w:bookmarkStart w:id="467" w:name="_Toc67403413"/>
      <w:bookmarkStart w:id="468" w:name="_Toc67403825"/>
      <w:bookmarkStart w:id="469" w:name="_Toc67403916"/>
      <w:bookmarkStart w:id="470" w:name="_Toc67406232"/>
      <w:bookmarkStart w:id="471" w:name="_Toc68086338"/>
      <w:bookmarkStart w:id="472" w:name="_Toc7127457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F814C6">
        <w:rPr>
          <w:rStyle w:val="APRANORMALChar"/>
          <w:rFonts w:ascii="DIN OT Medium" w:hAnsi="DIN OT Medium" w:cstheme="majorBidi"/>
          <w:color w:val="012169" w:themeColor="text2"/>
          <w:lang w:val="en-AU"/>
        </w:rPr>
        <w:t>Funding of capital instruments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F814C6" w:rsidRPr="00471BEC" w:rsidRDefault="00F814C6" w:rsidP="00F814C6">
      <w:pPr>
        <w:pStyle w:val="APRANORMAL"/>
      </w:pPr>
      <w:r>
        <w:t>In its October 2019 consultation, APRA clarified that,</w:t>
      </w:r>
      <w:r w:rsidRPr="00471BEC">
        <w:t xml:space="preserve"> for an instrument to be </w:t>
      </w:r>
      <w:r>
        <w:t>eligible</w:t>
      </w:r>
      <w:r w:rsidRPr="00471BEC">
        <w:t xml:space="preserve"> as </w:t>
      </w:r>
      <w:r>
        <w:t>r</w:t>
      </w:r>
      <w:r w:rsidRPr="00471BEC">
        <w:t xml:space="preserve">egulatory </w:t>
      </w:r>
      <w:r>
        <w:t>c</w:t>
      </w:r>
      <w:r w:rsidRPr="00471BEC">
        <w:t>apital</w:t>
      </w:r>
      <w:r>
        <w:t>,</w:t>
      </w:r>
      <w:r w:rsidRPr="00471BEC">
        <w:t xml:space="preserve"> the issuer, any other member of a group to which the issuer belongs, or any related entity, cannot have purchased</w:t>
      </w:r>
      <w:r>
        <w:t>,</w:t>
      </w:r>
      <w:r w:rsidRPr="00471BEC">
        <w:t xml:space="preserve"> or directly or indirectly funded</w:t>
      </w:r>
      <w:r>
        <w:t>,</w:t>
      </w:r>
      <w:r w:rsidRPr="00471BEC">
        <w:t xml:space="preserve"> the purchase of the instrument.</w:t>
      </w:r>
    </w:p>
    <w:p w:rsidR="00F814C6" w:rsidRDefault="00F814C6" w:rsidP="00F814C6">
      <w:pPr>
        <w:pStyle w:val="SubHeadingNoTOC"/>
      </w:pPr>
      <w:bookmarkStart w:id="473" w:name="_Toc62649496"/>
      <w:bookmarkStart w:id="474" w:name="_Toc63069495"/>
      <w:bookmarkStart w:id="475" w:name="_Toc63070474"/>
      <w:bookmarkStart w:id="476" w:name="_Toc63071221"/>
      <w:bookmarkStart w:id="477" w:name="_Toc63944984"/>
      <w:bookmarkStart w:id="478" w:name="_Toc65846191"/>
      <w:bookmarkStart w:id="479" w:name="_Toc65857451"/>
      <w:bookmarkStart w:id="480" w:name="_Toc66268332"/>
      <w:bookmarkStart w:id="481" w:name="_Toc66283800"/>
      <w:bookmarkStart w:id="482" w:name="_Toc66283937"/>
      <w:bookmarkStart w:id="483" w:name="_Toc66906194"/>
      <w:bookmarkStart w:id="484" w:name="_Toc67403414"/>
      <w:bookmarkStart w:id="485" w:name="_Toc67403826"/>
      <w:bookmarkStart w:id="486" w:name="_Toc67403917"/>
      <w:bookmarkStart w:id="487" w:name="_Toc67406233"/>
      <w:bookmarkStart w:id="488" w:name="_Toc68086339"/>
      <w:r>
        <w:t>Comments received</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F814C6" w:rsidRDefault="00F814C6" w:rsidP="00F814C6">
      <w:pPr>
        <w:pStyle w:val="APRANORMAL"/>
        <w:rPr>
          <w:rStyle w:val="APRANORMALChar"/>
        </w:rPr>
      </w:pPr>
      <w:r>
        <w:rPr>
          <w:rStyle w:val="APRANORMALChar"/>
        </w:rPr>
        <w:t>One submission requested</w:t>
      </w:r>
      <w:r w:rsidRPr="00471BEC">
        <w:rPr>
          <w:rStyle w:val="APRANORMALChar"/>
        </w:rPr>
        <w:t xml:space="preserve"> APRA </w:t>
      </w:r>
      <w:r>
        <w:rPr>
          <w:rStyle w:val="APRANORMALChar"/>
        </w:rPr>
        <w:t>clarify whether</w:t>
      </w:r>
      <w:r w:rsidRPr="00471BEC">
        <w:rPr>
          <w:rStyle w:val="APRANORMALChar"/>
        </w:rPr>
        <w:t xml:space="preserve"> </w:t>
      </w:r>
      <w:r>
        <w:rPr>
          <w:rStyle w:val="APRANORMALChar"/>
        </w:rPr>
        <w:t>an instrument would be eligible for regulatory capital</w:t>
      </w:r>
      <w:r w:rsidRPr="00471BEC">
        <w:rPr>
          <w:rStyle w:val="APRANORMALChar"/>
        </w:rPr>
        <w:t xml:space="preserve"> where</w:t>
      </w:r>
      <w:r>
        <w:rPr>
          <w:rStyle w:val="APRANORMALChar"/>
        </w:rPr>
        <w:t>:</w:t>
      </w:r>
      <w:r w:rsidRPr="00471BEC">
        <w:rPr>
          <w:rStyle w:val="APRANORMALChar"/>
        </w:rPr>
        <w:t xml:space="preserve"> </w:t>
      </w:r>
      <w:r>
        <w:rPr>
          <w:rStyle w:val="APRANORMALChar"/>
        </w:rPr>
        <w:t>a l</w:t>
      </w:r>
      <w:r w:rsidRPr="00471BEC">
        <w:rPr>
          <w:rStyle w:val="APRANORMALChar"/>
        </w:rPr>
        <w:t xml:space="preserve">ending facility provides for recourse against </w:t>
      </w:r>
      <w:r>
        <w:rPr>
          <w:rStyle w:val="APRANORMALChar"/>
        </w:rPr>
        <w:t>a</w:t>
      </w:r>
      <w:r w:rsidRPr="00471BEC">
        <w:rPr>
          <w:rStyle w:val="APRANORMALChar"/>
        </w:rPr>
        <w:t xml:space="preserve"> customer beyond the capital securities lodged as direct collateral for the facility; and</w:t>
      </w:r>
      <w:r>
        <w:rPr>
          <w:rStyle w:val="APRANORMALChar"/>
        </w:rPr>
        <w:t xml:space="preserve"> </w:t>
      </w:r>
      <w:r w:rsidRPr="00471BEC">
        <w:rPr>
          <w:rStyle w:val="APRANORMALChar"/>
        </w:rPr>
        <w:t>a non-recourse facility is secured by capital securities issued by financial institutions other than the ADI or ADIs within the Level 2 group.</w:t>
      </w:r>
    </w:p>
    <w:p w:rsidR="00F814C6" w:rsidRDefault="00F814C6" w:rsidP="00F814C6">
      <w:pPr>
        <w:pStyle w:val="SubHeadingNoTOC"/>
      </w:pPr>
      <w:bookmarkStart w:id="489" w:name="_Toc62649497"/>
      <w:bookmarkStart w:id="490" w:name="_Toc63069496"/>
      <w:bookmarkStart w:id="491" w:name="_Toc63070475"/>
      <w:bookmarkStart w:id="492" w:name="_Toc63071222"/>
      <w:bookmarkStart w:id="493" w:name="_Toc63944985"/>
      <w:bookmarkStart w:id="494" w:name="_Toc65846192"/>
      <w:bookmarkStart w:id="495" w:name="_Toc65857452"/>
      <w:bookmarkStart w:id="496" w:name="_Toc66268333"/>
      <w:bookmarkStart w:id="497" w:name="_Toc66283801"/>
      <w:bookmarkStart w:id="498" w:name="_Toc66283938"/>
      <w:bookmarkStart w:id="499" w:name="_Toc66906195"/>
      <w:bookmarkStart w:id="500" w:name="_Toc67403415"/>
      <w:bookmarkStart w:id="501" w:name="_Toc67403827"/>
      <w:bookmarkStart w:id="502" w:name="_Toc67403918"/>
      <w:bookmarkStart w:id="503" w:name="_Toc67406234"/>
      <w:bookmarkStart w:id="504" w:name="_Toc68086340"/>
      <w:r>
        <w:t>APRA response</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F814C6" w:rsidRPr="008147F9" w:rsidRDefault="00F814C6" w:rsidP="00F814C6">
      <w:pPr>
        <w:pStyle w:val="APRANORMAL"/>
        <w:keepNext/>
      </w:pPr>
      <w:r>
        <w:t xml:space="preserve">APRA has clarified in the revised APS 111 that </w:t>
      </w:r>
      <w:r w:rsidRPr="00987DFB">
        <w:t xml:space="preserve">lending to a borrower on a non-recourse basis secured against any capital instruments of </w:t>
      </w:r>
      <w:r>
        <w:t xml:space="preserve">the </w:t>
      </w:r>
      <w:r w:rsidRPr="00987DFB">
        <w:t xml:space="preserve">ADI </w:t>
      </w:r>
      <w:r>
        <w:t xml:space="preserve">would be considered an indirect holding. APRA has also clarified that </w:t>
      </w:r>
      <w:r w:rsidRPr="008147F9">
        <w:t>full recourse lending to a borrower to purchase a well-diversified and well-collateralised portfolio</w:t>
      </w:r>
      <w:r>
        <w:t>, which</w:t>
      </w:r>
      <w:r w:rsidRPr="008147F9">
        <w:t xml:space="preserve"> may include </w:t>
      </w:r>
      <w:r>
        <w:t>capital instruments, is not considered a direct or indirect holding</w:t>
      </w:r>
      <w:r w:rsidRPr="008147F9">
        <w:t>.</w:t>
      </w:r>
    </w:p>
    <w:p w:rsidR="00F814C6" w:rsidRPr="00F814C6" w:rsidRDefault="00F814C6" w:rsidP="00F814C6">
      <w:pPr>
        <w:pStyle w:val="Heading3Numbers"/>
      </w:pPr>
      <w:bookmarkStart w:id="505" w:name="_Toc34317881"/>
      <w:bookmarkStart w:id="506" w:name="_Toc34392783"/>
      <w:bookmarkStart w:id="507" w:name="_Toc34729843"/>
      <w:bookmarkStart w:id="508" w:name="_Toc34729902"/>
      <w:bookmarkStart w:id="509" w:name="_Toc34825289"/>
      <w:bookmarkStart w:id="510" w:name="_Toc48914303"/>
      <w:bookmarkStart w:id="511" w:name="_Toc62649498"/>
      <w:bookmarkStart w:id="512" w:name="_Toc63069497"/>
      <w:bookmarkStart w:id="513" w:name="_Toc63070476"/>
      <w:bookmarkStart w:id="514" w:name="_Toc63071223"/>
      <w:bookmarkStart w:id="515" w:name="_Toc63944986"/>
      <w:bookmarkStart w:id="516" w:name="_Toc65846193"/>
      <w:bookmarkStart w:id="517" w:name="_Toc65857453"/>
      <w:bookmarkStart w:id="518" w:name="_Toc66268334"/>
      <w:bookmarkStart w:id="519" w:name="_Toc66283802"/>
      <w:bookmarkStart w:id="520" w:name="_Toc66283939"/>
      <w:bookmarkStart w:id="521" w:name="_Toc66906196"/>
      <w:bookmarkStart w:id="522" w:name="_Toc67403416"/>
      <w:bookmarkStart w:id="523" w:name="_Toc67403828"/>
      <w:bookmarkStart w:id="524" w:name="_Toc67403919"/>
      <w:bookmarkStart w:id="525" w:name="_Toc67406235"/>
      <w:bookmarkStart w:id="526" w:name="_Toc68086341"/>
      <w:bookmarkStart w:id="527" w:name="_Toc71274513"/>
      <w:bookmarkStart w:id="528" w:name="_Toc71274571"/>
      <w:r w:rsidRPr="00F814C6">
        <w:rPr>
          <w:rStyle w:val="APRANORMALChar"/>
          <w:rFonts w:ascii="DIN OT Medium" w:hAnsi="DIN OT Medium" w:cstheme="majorBidi"/>
          <w:color w:val="012169" w:themeColor="text2"/>
          <w:lang w:val="en-AU"/>
        </w:rPr>
        <w:t>Minority interest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F814C6" w:rsidRPr="00F64CB6" w:rsidRDefault="00F814C6" w:rsidP="00F814C6">
      <w:pPr>
        <w:pStyle w:val="APRANORMAL"/>
      </w:pPr>
      <w:r>
        <w:t>In its October 2019 consultation, APRA proposed to clarify that APS 111 requirements relating to minority interest do not apply where a NOHC owns 100 per cent of, and its sole direct investment is in, the ADI subsidiary.</w:t>
      </w:r>
      <w:r w:rsidRPr="00F57D89">
        <w:t xml:space="preserve"> APRA did not propose</w:t>
      </w:r>
      <w:r>
        <w:t xml:space="preserve"> any other changes to its requirements in regard to the capital treatment of minority interest.</w:t>
      </w:r>
    </w:p>
    <w:p w:rsidR="00F814C6" w:rsidRDefault="00F814C6" w:rsidP="00F814C6">
      <w:pPr>
        <w:pStyle w:val="SubHeadingNoTOC"/>
      </w:pPr>
      <w:bookmarkStart w:id="529" w:name="_Toc34317882"/>
      <w:bookmarkStart w:id="530" w:name="_Toc34392784"/>
      <w:bookmarkStart w:id="531" w:name="_Toc34729844"/>
      <w:bookmarkStart w:id="532" w:name="_Toc34729903"/>
      <w:bookmarkStart w:id="533" w:name="_Toc34825290"/>
      <w:bookmarkStart w:id="534" w:name="_Toc48914304"/>
      <w:bookmarkStart w:id="535" w:name="_Toc62649499"/>
      <w:bookmarkStart w:id="536" w:name="_Toc63069498"/>
      <w:bookmarkStart w:id="537" w:name="_Toc63070477"/>
      <w:bookmarkStart w:id="538" w:name="_Toc63071224"/>
      <w:bookmarkStart w:id="539" w:name="_Toc63944987"/>
      <w:bookmarkStart w:id="540" w:name="_Toc65846194"/>
      <w:bookmarkStart w:id="541" w:name="_Toc65857454"/>
      <w:bookmarkStart w:id="542" w:name="_Toc66268335"/>
      <w:bookmarkStart w:id="543" w:name="_Toc66283803"/>
      <w:bookmarkStart w:id="544" w:name="_Toc66283940"/>
      <w:bookmarkStart w:id="545" w:name="_Toc66906197"/>
      <w:bookmarkStart w:id="546" w:name="_Toc67403417"/>
      <w:bookmarkStart w:id="547" w:name="_Toc67403829"/>
      <w:bookmarkStart w:id="548" w:name="_Toc67403920"/>
      <w:bookmarkStart w:id="549" w:name="_Toc67406236"/>
      <w:bookmarkStart w:id="550" w:name="_Toc68086342"/>
      <w:r>
        <w:t>Comments received</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F814C6" w:rsidRDefault="00F814C6" w:rsidP="00F814C6">
      <w:pPr>
        <w:pStyle w:val="APRANORMAL"/>
        <w:rPr>
          <w:rStyle w:val="APRANORMALChar"/>
        </w:rPr>
      </w:pPr>
      <w:r>
        <w:rPr>
          <w:rStyle w:val="APRANORMALChar"/>
        </w:rPr>
        <w:t xml:space="preserve">One submission sought </w:t>
      </w:r>
      <w:r w:rsidRPr="00D80765">
        <w:rPr>
          <w:rStyle w:val="APRANORMALChar"/>
        </w:rPr>
        <w:t>clarification as to whether the exemption would apply where the NOHC holds its investment in the ADI via an intermediate holding company</w:t>
      </w:r>
      <w:r w:rsidRPr="00693F5D">
        <w:t xml:space="preserve"> </w:t>
      </w:r>
      <w:r w:rsidRPr="00693F5D">
        <w:rPr>
          <w:rStyle w:val="APRANORMALChar"/>
        </w:rPr>
        <w:t>which principally acts as a consolidation point for the Level 2 reporting requirements for the 'banking group</w:t>
      </w:r>
      <w:r>
        <w:rPr>
          <w:rStyle w:val="APRANORMALChar"/>
        </w:rPr>
        <w:t>’.</w:t>
      </w:r>
    </w:p>
    <w:p w:rsidR="00F814C6" w:rsidRPr="00F64CB6" w:rsidRDefault="00F814C6" w:rsidP="00F814C6">
      <w:pPr>
        <w:pStyle w:val="APRANORMAL"/>
        <w:rPr>
          <w:rStyle w:val="APRANORMALChar"/>
        </w:rPr>
      </w:pPr>
      <w:r>
        <w:rPr>
          <w:rStyle w:val="APRANORMALChar"/>
        </w:rPr>
        <w:t xml:space="preserve">The same submission suggested that </w:t>
      </w:r>
      <w:r w:rsidRPr="0065593B">
        <w:rPr>
          <w:rStyle w:val="APRANORMALChar"/>
        </w:rPr>
        <w:t xml:space="preserve">the </w:t>
      </w:r>
      <w:r>
        <w:rPr>
          <w:rStyle w:val="APRANORMALChar"/>
        </w:rPr>
        <w:t>amount of shares issued to minority interest that can be included in regulatory capital at Level 2 should be</w:t>
      </w:r>
      <w:r w:rsidRPr="0065593B">
        <w:rPr>
          <w:rStyle w:val="APRANORMALChar"/>
        </w:rPr>
        <w:t xml:space="preserve"> based on </w:t>
      </w:r>
      <w:r>
        <w:rPr>
          <w:rStyle w:val="APRANORMALChar"/>
        </w:rPr>
        <w:t xml:space="preserve">gross amounts </w:t>
      </w:r>
      <w:r w:rsidRPr="0065593B">
        <w:rPr>
          <w:rStyle w:val="APRANORMALChar"/>
        </w:rPr>
        <w:t xml:space="preserve">of capital rather than </w:t>
      </w:r>
      <w:r>
        <w:rPr>
          <w:rStyle w:val="APRANORMALChar"/>
        </w:rPr>
        <w:t>net</w:t>
      </w:r>
      <w:r w:rsidRPr="0065593B">
        <w:rPr>
          <w:rStyle w:val="APRANORMALChar"/>
        </w:rPr>
        <w:t xml:space="preserve"> of amounts of capital</w:t>
      </w:r>
      <w:r>
        <w:rPr>
          <w:rStyle w:val="APRANORMALChar"/>
        </w:rPr>
        <w:t xml:space="preserve">. </w:t>
      </w:r>
      <w:r>
        <w:t>This submission also requested that APRA</w:t>
      </w:r>
      <w:r w:rsidRPr="0039042E">
        <w:rPr>
          <w:rStyle w:val="APRANORMALChar"/>
        </w:rPr>
        <w:t xml:space="preserve"> permit ordinary shares that comply with </w:t>
      </w:r>
      <w:r>
        <w:rPr>
          <w:rStyle w:val="APRANORMALChar"/>
        </w:rPr>
        <w:t xml:space="preserve">APS 111 </w:t>
      </w:r>
      <w:r w:rsidRPr="0039042E">
        <w:rPr>
          <w:rStyle w:val="APRANORMALChar"/>
        </w:rPr>
        <w:t>to be included within</w:t>
      </w:r>
      <w:r>
        <w:rPr>
          <w:rStyle w:val="APRANORMALChar"/>
        </w:rPr>
        <w:t xml:space="preserve"> Level </w:t>
      </w:r>
      <w:r w:rsidRPr="0039042E">
        <w:rPr>
          <w:rStyle w:val="APRANORMALChar"/>
        </w:rPr>
        <w:t xml:space="preserve">2 CET1 </w:t>
      </w:r>
      <w:r>
        <w:rPr>
          <w:rStyle w:val="APRANORMALChar"/>
        </w:rPr>
        <w:t xml:space="preserve">capital </w:t>
      </w:r>
      <w:r w:rsidRPr="0039042E">
        <w:rPr>
          <w:rStyle w:val="APRANORMALChar"/>
        </w:rPr>
        <w:t>irrespective of the type of subsidiary.</w:t>
      </w:r>
    </w:p>
    <w:p w:rsidR="00F814C6" w:rsidRDefault="00F814C6" w:rsidP="00F814C6">
      <w:pPr>
        <w:pStyle w:val="SubHeadingNoTOC"/>
      </w:pPr>
      <w:bookmarkStart w:id="551" w:name="_Toc34317883"/>
      <w:bookmarkStart w:id="552" w:name="_Toc34392785"/>
      <w:bookmarkStart w:id="553" w:name="_Toc34729845"/>
      <w:bookmarkStart w:id="554" w:name="_Toc34729904"/>
      <w:bookmarkStart w:id="555" w:name="_Toc34825291"/>
      <w:bookmarkStart w:id="556" w:name="_Toc48914305"/>
      <w:bookmarkStart w:id="557" w:name="_Toc62649500"/>
      <w:bookmarkStart w:id="558" w:name="_Toc63069499"/>
      <w:bookmarkStart w:id="559" w:name="_Toc63070478"/>
      <w:bookmarkStart w:id="560" w:name="_Toc63071225"/>
      <w:bookmarkStart w:id="561" w:name="_Toc63944988"/>
      <w:bookmarkStart w:id="562" w:name="_Toc65846195"/>
      <w:bookmarkStart w:id="563" w:name="_Toc65857455"/>
      <w:bookmarkStart w:id="564" w:name="_Toc66268336"/>
      <w:bookmarkStart w:id="565" w:name="_Toc66283804"/>
      <w:bookmarkStart w:id="566" w:name="_Toc66283941"/>
      <w:bookmarkStart w:id="567" w:name="_Toc66906198"/>
      <w:bookmarkStart w:id="568" w:name="_Toc67403418"/>
      <w:bookmarkStart w:id="569" w:name="_Toc67403830"/>
      <w:bookmarkStart w:id="570" w:name="_Toc67403921"/>
      <w:bookmarkStart w:id="571" w:name="_Toc67406237"/>
      <w:bookmarkStart w:id="572" w:name="_Toc68086343"/>
      <w:r>
        <w:t>APRA response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F814C6" w:rsidRDefault="00F814C6" w:rsidP="00F814C6">
      <w:pPr>
        <w:pStyle w:val="APRANORMAL"/>
      </w:pPr>
      <w:r>
        <w:t xml:space="preserve">Where the ultimate parent is a NOHC, and owns other businesses, they would be subject to the minority interest requirements of APS 111. This reflects that capital raised by the ADI subsidiary in these circumstances may not always be available for general usage by the banking group. </w:t>
      </w:r>
    </w:p>
    <w:p w:rsidR="00F814C6" w:rsidRDefault="00F814C6" w:rsidP="00F814C6">
      <w:pPr>
        <w:pStyle w:val="APRANORMAL"/>
      </w:pPr>
      <w:bookmarkStart w:id="573" w:name="_Hlk68188647"/>
      <w:r>
        <w:t xml:space="preserve">APRA considers it appropriate that the amount of capital issued to minority shareholders that can be included in regulatory capital at Level 2 is based on net amounts of capital rather than gross of amounts of capital, consistent with </w:t>
      </w:r>
      <w:r w:rsidRPr="00E531CE">
        <w:t>internationally agreed Basel standards.</w:t>
      </w:r>
      <w:r>
        <w:t xml:space="preserve"> </w:t>
      </w:r>
    </w:p>
    <w:bookmarkEnd w:id="573"/>
    <w:p w:rsidR="00F814C6" w:rsidRDefault="00F814C6" w:rsidP="00F814C6">
      <w:pPr>
        <w:pStyle w:val="APRANORMAL"/>
      </w:pPr>
      <w:r w:rsidRPr="0060529A">
        <w:t xml:space="preserve">APRA </w:t>
      </w:r>
      <w:r>
        <w:t xml:space="preserve">is also not changing its long-standing requirement </w:t>
      </w:r>
      <w:r w:rsidRPr="008B52AF">
        <w:t xml:space="preserve">that </w:t>
      </w:r>
      <w:r>
        <w:t xml:space="preserve">only </w:t>
      </w:r>
      <w:r w:rsidRPr="008B52AF">
        <w:t xml:space="preserve">ordinary shares that comply with APS 111 </w:t>
      </w:r>
      <w:r>
        <w:t xml:space="preserve">requirements can be </w:t>
      </w:r>
      <w:r w:rsidRPr="008B52AF">
        <w:t xml:space="preserve">included within Level 2 CET1 capital </w:t>
      </w:r>
      <w:r>
        <w:t xml:space="preserve">if the </w:t>
      </w:r>
      <w:r w:rsidRPr="008B52AF">
        <w:t>subsidiary</w:t>
      </w:r>
      <w:r>
        <w:t xml:space="preserve"> is prudentially regulated. This approach is consistent </w:t>
      </w:r>
      <w:r>
        <w:rPr>
          <w:rStyle w:val="APRANORMALChar"/>
        </w:rPr>
        <w:t>with internationally agreed Basel Committee standards.</w:t>
      </w:r>
      <w:r>
        <w:t xml:space="preserve"> </w:t>
      </w:r>
    </w:p>
    <w:p w:rsidR="00F814C6" w:rsidRPr="00F814C6" w:rsidRDefault="00F814C6" w:rsidP="00F814C6">
      <w:pPr>
        <w:pStyle w:val="Heading3Numbers"/>
      </w:pPr>
      <w:bookmarkStart w:id="574" w:name="_Toc34317897"/>
      <w:bookmarkStart w:id="575" w:name="_Toc34392805"/>
      <w:bookmarkStart w:id="576" w:name="_Toc34729849"/>
      <w:bookmarkStart w:id="577" w:name="_Toc34729908"/>
      <w:bookmarkStart w:id="578" w:name="_Toc34825296"/>
      <w:bookmarkStart w:id="579" w:name="_Toc48914310"/>
      <w:bookmarkStart w:id="580" w:name="_Toc62649504"/>
      <w:bookmarkStart w:id="581" w:name="_Toc63069503"/>
      <w:bookmarkStart w:id="582" w:name="_Toc63070482"/>
      <w:bookmarkStart w:id="583" w:name="_Toc63071229"/>
      <w:bookmarkStart w:id="584" w:name="_Toc63944992"/>
      <w:bookmarkStart w:id="585" w:name="_Toc65846199"/>
      <w:bookmarkStart w:id="586" w:name="_Toc65857459"/>
      <w:bookmarkStart w:id="587" w:name="_Toc66268340"/>
      <w:bookmarkStart w:id="588" w:name="_Toc66283808"/>
      <w:bookmarkStart w:id="589" w:name="_Toc66283942"/>
      <w:bookmarkStart w:id="590" w:name="_Toc66906199"/>
      <w:bookmarkStart w:id="591" w:name="_Toc67403419"/>
      <w:bookmarkStart w:id="592" w:name="_Toc67403831"/>
      <w:bookmarkStart w:id="593" w:name="_Toc67403922"/>
      <w:bookmarkStart w:id="594" w:name="_Toc67406238"/>
      <w:bookmarkStart w:id="595" w:name="_Toc68086344"/>
      <w:bookmarkStart w:id="596" w:name="_Toc71274514"/>
      <w:bookmarkStart w:id="597" w:name="_Toc71274572"/>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F814C6">
        <w:rPr>
          <w:rStyle w:val="APRANORMALChar"/>
          <w:rFonts w:ascii="DIN OT Medium" w:hAnsi="DIN OT Medium" w:cstheme="majorBidi"/>
          <w:color w:val="012169" w:themeColor="text2"/>
          <w:lang w:val="en-AU"/>
        </w:rPr>
        <w:t>Capitalised software expenses</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F814C6" w:rsidRDefault="00F814C6" w:rsidP="00F814C6">
      <w:pPr>
        <w:pStyle w:val="APRANORMAL"/>
      </w:pPr>
      <w:r w:rsidRPr="007D4449">
        <w:t xml:space="preserve">APRA requires </w:t>
      </w:r>
      <w:r>
        <w:t xml:space="preserve">ADIs </w:t>
      </w:r>
      <w:r w:rsidRPr="007D4449">
        <w:t xml:space="preserve">to </w:t>
      </w:r>
      <w:r>
        <w:t>deduct</w:t>
      </w:r>
      <w:r w:rsidRPr="007D4449">
        <w:t xml:space="preserve"> from </w:t>
      </w:r>
      <w:r>
        <w:t xml:space="preserve">regulatory capital </w:t>
      </w:r>
      <w:r w:rsidRPr="007D4449">
        <w:t xml:space="preserve">various balance sheet items </w:t>
      </w:r>
      <w:r>
        <w:t>that are likely to have limited</w:t>
      </w:r>
      <w:r w:rsidRPr="007D4449">
        <w:t xml:space="preserve"> value in insolvency, such as intangible assets.</w:t>
      </w:r>
      <w:r>
        <w:t xml:space="preserve"> AP</w:t>
      </w:r>
      <w:r w:rsidRPr="00945D74">
        <w:t>RA’s definition of intangible</w:t>
      </w:r>
      <w:r>
        <w:t xml:space="preserve"> assets that must be deducted from regulatory capital</w:t>
      </w:r>
      <w:r w:rsidRPr="00945D74">
        <w:t xml:space="preserve"> includes capitalised expenses and capitalised transaction</w:t>
      </w:r>
      <w:r>
        <w:t>s</w:t>
      </w:r>
      <w:r w:rsidRPr="00945D74">
        <w:t xml:space="preserve"> costs. </w:t>
      </w:r>
      <w:r>
        <w:t xml:space="preserve">In its </w:t>
      </w:r>
      <w:r w:rsidRPr="006D3CB7">
        <w:t xml:space="preserve">October 2019 </w:t>
      </w:r>
      <w:r>
        <w:t>consultation, APRA did not propose any change to the long-standing APS 111 requirement for ADIs to deduct these intangible assets from regulatory capital.</w:t>
      </w:r>
    </w:p>
    <w:p w:rsidR="00F814C6" w:rsidRDefault="00F814C6" w:rsidP="00F814C6">
      <w:pPr>
        <w:pStyle w:val="SubHeadingNoTOC"/>
      </w:pPr>
      <w:bookmarkStart w:id="598" w:name="_Toc34139757"/>
      <w:bookmarkStart w:id="599" w:name="_Toc34317898"/>
      <w:bookmarkStart w:id="600" w:name="_Toc34392806"/>
      <w:bookmarkStart w:id="601" w:name="_Toc34729850"/>
      <w:bookmarkStart w:id="602" w:name="_Toc34729909"/>
      <w:bookmarkStart w:id="603" w:name="_Toc34825297"/>
      <w:bookmarkStart w:id="604" w:name="_Toc48914311"/>
      <w:bookmarkStart w:id="605" w:name="_Toc62649505"/>
      <w:bookmarkStart w:id="606" w:name="_Toc63069504"/>
      <w:bookmarkStart w:id="607" w:name="_Toc63070483"/>
      <w:bookmarkStart w:id="608" w:name="_Toc63071230"/>
      <w:bookmarkStart w:id="609" w:name="_Toc63944993"/>
      <w:bookmarkStart w:id="610" w:name="_Toc65846200"/>
      <w:bookmarkStart w:id="611" w:name="_Toc65857460"/>
      <w:bookmarkStart w:id="612" w:name="_Toc66268341"/>
      <w:bookmarkStart w:id="613" w:name="_Toc66283809"/>
      <w:bookmarkStart w:id="614" w:name="_Toc66283943"/>
      <w:bookmarkStart w:id="615" w:name="_Toc66906200"/>
      <w:bookmarkStart w:id="616" w:name="_Toc67403420"/>
      <w:bookmarkStart w:id="617" w:name="_Toc67403832"/>
      <w:bookmarkStart w:id="618" w:name="_Toc67403923"/>
      <w:bookmarkStart w:id="619" w:name="_Toc67406239"/>
      <w:bookmarkStart w:id="620" w:name="_Toc68086345"/>
      <w:r>
        <w:t>Comments received</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F814C6" w:rsidRDefault="00F814C6" w:rsidP="00F814C6">
      <w:pPr>
        <w:pStyle w:val="APRANORMAL"/>
      </w:pPr>
      <w:r>
        <w:t xml:space="preserve">One submission commented that APRA’s current deduction approach to </w:t>
      </w:r>
      <w:r w:rsidRPr="00733E51">
        <w:t>capitalised software expenses</w:t>
      </w:r>
      <w:r>
        <w:t xml:space="preserve"> provides a </w:t>
      </w:r>
      <w:r w:rsidRPr="00733E51">
        <w:t>disincentive to invest in these types of assets</w:t>
      </w:r>
      <w:r>
        <w:t>. The submission noted that i</w:t>
      </w:r>
      <w:r w:rsidRPr="00733E51">
        <w:t>nvestment in technology can improve resilience, efficiency and competition.</w:t>
      </w:r>
      <w:r>
        <w:t xml:space="preserve"> The submission suggested that APRA should consider a threshold deduction approach for capitalised software expenses, whereby the deduction only applies above a specified level.</w:t>
      </w:r>
    </w:p>
    <w:p w:rsidR="00F814C6" w:rsidRDefault="00F814C6" w:rsidP="00F814C6">
      <w:pPr>
        <w:pStyle w:val="SubHeadingNoTOC"/>
      </w:pPr>
      <w:bookmarkStart w:id="621" w:name="_Toc34139758"/>
      <w:bookmarkStart w:id="622" w:name="_Toc34317899"/>
      <w:bookmarkStart w:id="623" w:name="_Toc34392807"/>
      <w:bookmarkStart w:id="624" w:name="_Toc34729851"/>
      <w:bookmarkStart w:id="625" w:name="_Toc34729910"/>
      <w:bookmarkStart w:id="626" w:name="_Toc34825298"/>
      <w:bookmarkStart w:id="627" w:name="_Toc48914312"/>
      <w:bookmarkStart w:id="628" w:name="_Toc62649506"/>
      <w:bookmarkStart w:id="629" w:name="_Toc63069505"/>
      <w:bookmarkStart w:id="630" w:name="_Toc63070484"/>
      <w:bookmarkStart w:id="631" w:name="_Toc63071231"/>
      <w:bookmarkStart w:id="632" w:name="_Toc63944994"/>
      <w:bookmarkStart w:id="633" w:name="_Toc65846201"/>
      <w:bookmarkStart w:id="634" w:name="_Toc65857461"/>
      <w:bookmarkStart w:id="635" w:name="_Toc66268342"/>
      <w:bookmarkStart w:id="636" w:name="_Toc66283810"/>
      <w:bookmarkStart w:id="637" w:name="_Toc66283944"/>
      <w:bookmarkStart w:id="638" w:name="_Toc66906201"/>
      <w:bookmarkStart w:id="639" w:name="_Toc67403421"/>
      <w:bookmarkStart w:id="640" w:name="_Toc67403833"/>
      <w:bookmarkStart w:id="641" w:name="_Toc67403924"/>
      <w:bookmarkStart w:id="642" w:name="_Toc67406240"/>
      <w:bookmarkStart w:id="643" w:name="_Toc68086346"/>
      <w:r>
        <w:t>APRA response</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F814C6" w:rsidRDefault="00F814C6" w:rsidP="00F814C6">
      <w:pPr>
        <w:pStyle w:val="APRANORMAL"/>
        <w:rPr>
          <w:rStyle w:val="APRANORMALChar"/>
        </w:rPr>
      </w:pPr>
      <w:r>
        <w:rPr>
          <w:rStyle w:val="APRANORMALChar"/>
        </w:rPr>
        <w:t>APRA agrees that investment in technology can support an ADI’s long-term resilience. However, APRA does not consider it appropriate to revise its requirement that intangible assets should be deducted from CET1 capital. Intangible assets, such as capitalised software expenses,</w:t>
      </w:r>
      <w:r w:rsidRPr="009864BE">
        <w:rPr>
          <w:rStyle w:val="APRANORMALChar"/>
        </w:rPr>
        <w:t xml:space="preserve"> can automatically lose value as a result of the threat of </w:t>
      </w:r>
      <w:r>
        <w:rPr>
          <w:rStyle w:val="APRANORMALChar"/>
        </w:rPr>
        <w:t>or actual insolvency of an ADI</w:t>
      </w:r>
      <w:r w:rsidRPr="009864BE">
        <w:rPr>
          <w:rStyle w:val="APRANORMALChar"/>
        </w:rPr>
        <w:t>.</w:t>
      </w:r>
      <w:r>
        <w:rPr>
          <w:rStyle w:val="APRANORMALChar"/>
        </w:rPr>
        <w:t xml:space="preserve"> APRA does not consider it prudent to include these assets within CET1 capital. A deduction approach to intangible assets </w:t>
      </w:r>
      <w:r w:rsidRPr="000C08DB">
        <w:rPr>
          <w:rStyle w:val="APRANORMALChar"/>
        </w:rPr>
        <w:t xml:space="preserve">provides a </w:t>
      </w:r>
      <w:r>
        <w:rPr>
          <w:rStyle w:val="APRANORMALChar"/>
        </w:rPr>
        <w:t>prudent</w:t>
      </w:r>
      <w:r w:rsidRPr="000C08DB">
        <w:rPr>
          <w:rStyle w:val="APRANORMALChar"/>
        </w:rPr>
        <w:t xml:space="preserve"> reflection of the capital that would be available in stressed conditions.</w:t>
      </w:r>
      <w:r>
        <w:rPr>
          <w:rStyle w:val="APRANORMALChar"/>
        </w:rPr>
        <w:t xml:space="preserve"> </w:t>
      </w:r>
    </w:p>
    <w:p w:rsidR="00F814C6" w:rsidRPr="00F814C6" w:rsidRDefault="00F814C6" w:rsidP="00F814C6">
      <w:pPr>
        <w:pStyle w:val="Heading3Numbers"/>
      </w:pPr>
      <w:bookmarkStart w:id="644" w:name="_Toc32239937"/>
      <w:bookmarkStart w:id="645" w:name="_Toc32484057"/>
      <w:bookmarkStart w:id="646" w:name="_Toc34139739"/>
      <w:bookmarkStart w:id="647" w:name="_Toc34317884"/>
      <w:bookmarkStart w:id="648" w:name="_Toc34392786"/>
      <w:bookmarkStart w:id="649" w:name="_Toc34729846"/>
      <w:bookmarkStart w:id="650" w:name="_Toc34729905"/>
      <w:bookmarkStart w:id="651" w:name="_Toc34825292"/>
      <w:bookmarkStart w:id="652" w:name="_Toc48914306"/>
      <w:bookmarkStart w:id="653" w:name="_Toc62649501"/>
      <w:bookmarkStart w:id="654" w:name="_Toc63069500"/>
      <w:bookmarkStart w:id="655" w:name="_Toc63070479"/>
      <w:bookmarkStart w:id="656" w:name="_Toc63071226"/>
      <w:bookmarkStart w:id="657" w:name="_Toc63944989"/>
      <w:bookmarkStart w:id="658" w:name="_Toc65846196"/>
      <w:bookmarkStart w:id="659" w:name="_Toc65857456"/>
      <w:bookmarkStart w:id="660" w:name="_Toc66268337"/>
      <w:bookmarkStart w:id="661" w:name="_Toc66283805"/>
      <w:bookmarkStart w:id="662" w:name="_Toc66283945"/>
      <w:bookmarkStart w:id="663" w:name="_Toc66906202"/>
      <w:bookmarkStart w:id="664" w:name="_Toc67403422"/>
      <w:bookmarkStart w:id="665" w:name="_Toc67403834"/>
      <w:bookmarkStart w:id="666" w:name="_Toc67403925"/>
      <w:bookmarkStart w:id="667" w:name="_Toc67406241"/>
      <w:bookmarkStart w:id="668" w:name="_Toc68086347"/>
      <w:bookmarkStart w:id="669" w:name="_Toc71274515"/>
      <w:bookmarkStart w:id="670" w:name="_Toc71274573"/>
      <w:r w:rsidRPr="00F814C6">
        <w:rPr>
          <w:rStyle w:val="APRANORMALChar"/>
          <w:rFonts w:ascii="DIN OT Medium" w:hAnsi="DIN OT Medium" w:cstheme="majorBidi"/>
          <w:color w:val="012169" w:themeColor="text2"/>
          <w:lang w:val="en-AU"/>
        </w:rPr>
        <w:t>Documentation and statement of compliance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rsidR="00F814C6" w:rsidRPr="00F64CB6" w:rsidRDefault="00F814C6" w:rsidP="00F814C6">
      <w:pPr>
        <w:pStyle w:val="APRANORMAL"/>
        <w:rPr>
          <w:rStyle w:val="APRANORMALChar"/>
        </w:rPr>
      </w:pPr>
      <w:r>
        <w:rPr>
          <w:rStyle w:val="APRANORMALChar"/>
        </w:rPr>
        <w:t xml:space="preserve">APRA has had a long-standing requirement of entities to provide supervisors with </w:t>
      </w:r>
      <w:r w:rsidRPr="0048693C">
        <w:rPr>
          <w:rStyle w:val="APRANORMALChar"/>
        </w:rPr>
        <w:t>relevant documentation of A</w:t>
      </w:r>
      <w:r>
        <w:rPr>
          <w:rStyle w:val="APRANORMALChar"/>
        </w:rPr>
        <w:t xml:space="preserve">T1 </w:t>
      </w:r>
      <w:r w:rsidRPr="0048693C">
        <w:rPr>
          <w:rStyle w:val="APRANORMALChar"/>
        </w:rPr>
        <w:t xml:space="preserve">and Tier 2 </w:t>
      </w:r>
      <w:r>
        <w:rPr>
          <w:rStyle w:val="APRANORMALChar"/>
        </w:rPr>
        <w:t>c</w:t>
      </w:r>
      <w:r w:rsidRPr="0048693C">
        <w:rPr>
          <w:rStyle w:val="APRANORMALChar"/>
        </w:rPr>
        <w:t>apital instruments</w:t>
      </w:r>
      <w:r>
        <w:rPr>
          <w:rStyle w:val="APRANORMALChar"/>
        </w:rPr>
        <w:t xml:space="preserve"> where there is a new issuance. In its October 2019 consultation, APRA proposed to extend this requirement to CET1 capital</w:t>
      </w:r>
      <w:r w:rsidRPr="0048693C">
        <w:rPr>
          <w:rStyle w:val="APRANORMALChar"/>
        </w:rPr>
        <w:t>.</w:t>
      </w:r>
    </w:p>
    <w:p w:rsidR="00F814C6" w:rsidRDefault="00F814C6" w:rsidP="00F814C6">
      <w:pPr>
        <w:pStyle w:val="SubHeadingNoTOC"/>
      </w:pPr>
      <w:bookmarkStart w:id="671" w:name="_Toc32239938"/>
      <w:bookmarkStart w:id="672" w:name="_Toc32484058"/>
      <w:bookmarkStart w:id="673" w:name="_Toc34139740"/>
      <w:bookmarkStart w:id="674" w:name="_Toc34317885"/>
      <w:bookmarkStart w:id="675" w:name="_Toc34392787"/>
      <w:bookmarkStart w:id="676" w:name="_Toc34729847"/>
      <w:bookmarkStart w:id="677" w:name="_Toc34729906"/>
      <w:bookmarkStart w:id="678" w:name="_Toc34825293"/>
      <w:bookmarkStart w:id="679" w:name="_Toc48914307"/>
      <w:bookmarkStart w:id="680" w:name="_Toc62649502"/>
      <w:bookmarkStart w:id="681" w:name="_Toc63069501"/>
      <w:bookmarkStart w:id="682" w:name="_Toc63070480"/>
      <w:bookmarkStart w:id="683" w:name="_Toc63071227"/>
      <w:bookmarkStart w:id="684" w:name="_Toc63944990"/>
      <w:bookmarkStart w:id="685" w:name="_Toc65846197"/>
      <w:bookmarkStart w:id="686" w:name="_Toc65857457"/>
      <w:bookmarkStart w:id="687" w:name="_Toc66268338"/>
      <w:bookmarkStart w:id="688" w:name="_Toc66283806"/>
      <w:bookmarkStart w:id="689" w:name="_Toc66283946"/>
      <w:bookmarkStart w:id="690" w:name="_Toc66906203"/>
      <w:bookmarkStart w:id="691" w:name="_Toc67403423"/>
      <w:bookmarkStart w:id="692" w:name="_Toc67403835"/>
      <w:bookmarkStart w:id="693" w:name="_Toc67403926"/>
      <w:bookmarkStart w:id="694" w:name="_Toc67406242"/>
      <w:bookmarkStart w:id="695" w:name="_Toc68086348"/>
      <w:r>
        <w:t>Comments received</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F814C6" w:rsidRDefault="00F814C6" w:rsidP="00F814C6">
      <w:pPr>
        <w:pStyle w:val="APRANORMAL"/>
        <w:rPr>
          <w:rStyle w:val="APRANORMALChar"/>
        </w:rPr>
      </w:pPr>
      <w:r>
        <w:rPr>
          <w:rStyle w:val="APRANORMALChar"/>
        </w:rPr>
        <w:t>Some s</w:t>
      </w:r>
      <w:r w:rsidRPr="005363FC">
        <w:rPr>
          <w:rStyle w:val="APRANORMALChar"/>
        </w:rPr>
        <w:t>ubmission</w:t>
      </w:r>
      <w:r>
        <w:rPr>
          <w:rStyle w:val="APRANORMALChar"/>
        </w:rPr>
        <w:t>s</w:t>
      </w:r>
      <w:r w:rsidRPr="005363FC">
        <w:rPr>
          <w:rStyle w:val="APRANORMALChar"/>
        </w:rPr>
        <w:t xml:space="preserve"> sought clarification whether the</w:t>
      </w:r>
      <w:r>
        <w:rPr>
          <w:rStyle w:val="APRANORMALChar"/>
        </w:rPr>
        <w:t xml:space="preserve"> proposed </w:t>
      </w:r>
      <w:r w:rsidRPr="005363FC">
        <w:rPr>
          <w:rStyle w:val="APRANORMALChar"/>
        </w:rPr>
        <w:t>amendments require</w:t>
      </w:r>
      <w:r>
        <w:rPr>
          <w:rStyle w:val="APRANORMALChar"/>
        </w:rPr>
        <w:t>d</w:t>
      </w:r>
      <w:r w:rsidRPr="005363FC">
        <w:rPr>
          <w:rStyle w:val="APRANORMALChar"/>
        </w:rPr>
        <w:t xml:space="preserve"> notification to APRA for business-as-usual issuance of ordinary shares, such as dividend reinvestment plans or employee share schemes. </w:t>
      </w:r>
      <w:r>
        <w:rPr>
          <w:rStyle w:val="APRANORMALChar"/>
        </w:rPr>
        <w:t xml:space="preserve">Submissions </w:t>
      </w:r>
      <w:r w:rsidRPr="005363FC">
        <w:rPr>
          <w:rStyle w:val="APRANORMALChar"/>
        </w:rPr>
        <w:t>commented that th</w:t>
      </w:r>
      <w:r>
        <w:rPr>
          <w:rStyle w:val="APRANORMALChar"/>
        </w:rPr>
        <w:t>e</w:t>
      </w:r>
      <w:r w:rsidRPr="005363FC">
        <w:rPr>
          <w:rStyle w:val="APRANORMALChar"/>
        </w:rPr>
        <w:t xml:space="preserve"> </w:t>
      </w:r>
      <w:r>
        <w:rPr>
          <w:rStyle w:val="APRANORMALChar"/>
        </w:rPr>
        <w:t xml:space="preserve">proposed </w:t>
      </w:r>
      <w:r w:rsidRPr="005363FC">
        <w:rPr>
          <w:rStyle w:val="APRANORMALChar"/>
        </w:rPr>
        <w:t>requirement would be burdensome.</w:t>
      </w:r>
    </w:p>
    <w:p w:rsidR="00F814C6" w:rsidRPr="005363FC" w:rsidRDefault="00F814C6" w:rsidP="00F814C6">
      <w:pPr>
        <w:pStyle w:val="APRANORMAL"/>
        <w:rPr>
          <w:rStyle w:val="APRANORMALChar"/>
        </w:rPr>
      </w:pPr>
      <w:r w:rsidRPr="005363FC">
        <w:rPr>
          <w:rStyle w:val="APRANORMALChar"/>
        </w:rPr>
        <w:t xml:space="preserve">Another submission </w:t>
      </w:r>
      <w:r>
        <w:rPr>
          <w:rStyle w:val="APRANORMALChar"/>
        </w:rPr>
        <w:t>suggested</w:t>
      </w:r>
      <w:r w:rsidRPr="005363FC">
        <w:rPr>
          <w:rStyle w:val="APRANORMALChar"/>
        </w:rPr>
        <w:t xml:space="preserve"> that </w:t>
      </w:r>
      <w:r>
        <w:rPr>
          <w:rStyle w:val="APRANORMALChar"/>
        </w:rPr>
        <w:t xml:space="preserve">APRA’s requirement for </w:t>
      </w:r>
      <w:r w:rsidRPr="005363FC">
        <w:rPr>
          <w:rStyle w:val="APRANORMALChar"/>
        </w:rPr>
        <w:t xml:space="preserve">CET1 </w:t>
      </w:r>
      <w:r>
        <w:rPr>
          <w:rStyle w:val="APRANORMALChar"/>
        </w:rPr>
        <w:t>c</w:t>
      </w:r>
      <w:r w:rsidRPr="005363FC">
        <w:rPr>
          <w:rStyle w:val="APRANORMALChar"/>
        </w:rPr>
        <w:t xml:space="preserve">apital documentation </w:t>
      </w:r>
      <w:r>
        <w:rPr>
          <w:rStyle w:val="APRANORMALChar"/>
        </w:rPr>
        <w:t>should</w:t>
      </w:r>
      <w:r w:rsidRPr="005363FC">
        <w:rPr>
          <w:rStyle w:val="APRANORMALChar"/>
        </w:rPr>
        <w:t xml:space="preserve"> </w:t>
      </w:r>
      <w:r>
        <w:rPr>
          <w:rStyle w:val="APRANORMALChar"/>
        </w:rPr>
        <w:t>be post</w:t>
      </w:r>
      <w:r w:rsidRPr="005363FC">
        <w:rPr>
          <w:rStyle w:val="APRANORMALChar"/>
        </w:rPr>
        <w:t xml:space="preserve"> issuance. Having regard to the importance of being able to rapidly execute ordinary share issuance transactions, it was suggested that APRA </w:t>
      </w:r>
      <w:r>
        <w:rPr>
          <w:rStyle w:val="APRANORMALChar"/>
        </w:rPr>
        <w:t>revise its proposal, such that CET1</w:t>
      </w:r>
      <w:r w:rsidRPr="005363FC">
        <w:rPr>
          <w:rStyle w:val="APRANORMALChar"/>
        </w:rPr>
        <w:t xml:space="preserve"> documentation </w:t>
      </w:r>
      <w:r>
        <w:rPr>
          <w:rStyle w:val="APRANORMALChar"/>
        </w:rPr>
        <w:t>would be required</w:t>
      </w:r>
      <w:r w:rsidRPr="005363FC">
        <w:rPr>
          <w:rStyle w:val="APRANORMALChar"/>
        </w:rPr>
        <w:t xml:space="preserve"> as soon as practicable </w:t>
      </w:r>
      <w:r>
        <w:rPr>
          <w:rStyle w:val="APRANORMALChar"/>
        </w:rPr>
        <w:t>after</w:t>
      </w:r>
      <w:r w:rsidRPr="005363FC">
        <w:rPr>
          <w:rStyle w:val="APRANORMALChar"/>
        </w:rPr>
        <w:t xml:space="preserve"> </w:t>
      </w:r>
      <w:r>
        <w:rPr>
          <w:rStyle w:val="APRANORMALChar"/>
        </w:rPr>
        <w:t>CET1 had been issued</w:t>
      </w:r>
      <w:r w:rsidRPr="005363FC">
        <w:rPr>
          <w:rStyle w:val="APRANORMALChar"/>
        </w:rPr>
        <w:t>.</w:t>
      </w:r>
    </w:p>
    <w:p w:rsidR="00F814C6" w:rsidRDefault="00F814C6" w:rsidP="00F814C6">
      <w:pPr>
        <w:pStyle w:val="SubHeadingNoTOC"/>
      </w:pPr>
      <w:bookmarkStart w:id="696" w:name="_Toc32239939"/>
      <w:bookmarkStart w:id="697" w:name="_Toc32484059"/>
      <w:bookmarkStart w:id="698" w:name="_Toc34139741"/>
      <w:bookmarkStart w:id="699" w:name="_Toc34317886"/>
      <w:bookmarkStart w:id="700" w:name="_Toc34392788"/>
      <w:bookmarkStart w:id="701" w:name="_Toc34729848"/>
      <w:bookmarkStart w:id="702" w:name="_Toc34729907"/>
      <w:bookmarkStart w:id="703" w:name="_Toc34825294"/>
      <w:bookmarkStart w:id="704" w:name="_Toc48914308"/>
      <w:bookmarkStart w:id="705" w:name="_Toc62649503"/>
      <w:bookmarkStart w:id="706" w:name="_Toc63069502"/>
      <w:bookmarkStart w:id="707" w:name="_Toc63070481"/>
      <w:bookmarkStart w:id="708" w:name="_Toc63071228"/>
      <w:bookmarkStart w:id="709" w:name="_Toc63944991"/>
      <w:bookmarkStart w:id="710" w:name="_Toc65846198"/>
      <w:bookmarkStart w:id="711" w:name="_Toc65857458"/>
      <w:bookmarkStart w:id="712" w:name="_Toc66268339"/>
      <w:bookmarkStart w:id="713" w:name="_Toc66283807"/>
      <w:bookmarkStart w:id="714" w:name="_Toc66283947"/>
      <w:bookmarkStart w:id="715" w:name="_Toc66906204"/>
      <w:bookmarkStart w:id="716" w:name="_Toc67403424"/>
      <w:bookmarkStart w:id="717" w:name="_Toc67403836"/>
      <w:bookmarkStart w:id="718" w:name="_Toc67403927"/>
      <w:bookmarkStart w:id="719" w:name="_Toc67406243"/>
      <w:bookmarkStart w:id="720" w:name="_Toc68086349"/>
      <w:r>
        <w:t>APRA response</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rsidR="00F814C6" w:rsidRDefault="00F814C6" w:rsidP="00F814C6">
      <w:pPr>
        <w:pStyle w:val="APRANORMAL"/>
        <w:rPr>
          <w:rStyle w:val="APRANORMALChar"/>
        </w:rPr>
      </w:pPr>
      <w:r>
        <w:rPr>
          <w:rStyle w:val="APRANORMALChar"/>
        </w:rPr>
        <w:t xml:space="preserve">In light of comments regarding increased burden on ADIs, APRA will not require ADIs to provide documentation </w:t>
      </w:r>
      <w:r w:rsidRPr="00B85D28">
        <w:rPr>
          <w:rStyle w:val="APRANORMALChar"/>
        </w:rPr>
        <w:t>for</w:t>
      </w:r>
      <w:r>
        <w:rPr>
          <w:rStyle w:val="APRANORMALChar"/>
        </w:rPr>
        <w:t xml:space="preserve"> new CET1 capital issuance, such as</w:t>
      </w:r>
      <w:r w:rsidRPr="00B85D28">
        <w:rPr>
          <w:rStyle w:val="APRANORMALChar"/>
        </w:rPr>
        <w:t xml:space="preserve"> ordinary shares.</w:t>
      </w:r>
      <w:r>
        <w:rPr>
          <w:rStyle w:val="APRANORMALChar"/>
        </w:rPr>
        <w:t xml:space="preserve"> APRA is instead proposing new eligibility requirements for CET1 instruments, as outlined in Chapter 3. These new proposed revisions</w:t>
      </w:r>
      <w:r w:rsidRPr="00962040">
        <w:rPr>
          <w:rStyle w:val="APRANORMALChar"/>
        </w:rPr>
        <w:t xml:space="preserve"> clarify that </w:t>
      </w:r>
      <w:r w:rsidRPr="0025046D">
        <w:rPr>
          <w:rStyle w:val="APRANORMALChar"/>
        </w:rPr>
        <w:t>C</w:t>
      </w:r>
      <w:r>
        <w:rPr>
          <w:rStyle w:val="APRANORMALChar"/>
        </w:rPr>
        <w:t>ET1 capital</w:t>
      </w:r>
      <w:r w:rsidRPr="0025046D">
        <w:rPr>
          <w:rStyle w:val="APRANORMALChar"/>
        </w:rPr>
        <w:t xml:space="preserve"> </w:t>
      </w:r>
      <w:r>
        <w:rPr>
          <w:rStyle w:val="APRANORMALChar"/>
        </w:rPr>
        <w:t>is</w:t>
      </w:r>
      <w:r w:rsidRPr="0025046D">
        <w:rPr>
          <w:rStyle w:val="APRANORMALChar"/>
        </w:rPr>
        <w:t xml:space="preserve"> not permitted to have any features that could undermine its role as the highest quality loss absorbing capital</w:t>
      </w:r>
      <w:r>
        <w:rPr>
          <w:rStyle w:val="APRANORMALChar"/>
        </w:rPr>
        <w:t>. APRA would expect ADI applicants and new ADIs to provide documentation for CET1 capital issuance as part of the licensing process.</w:t>
      </w:r>
    </w:p>
    <w:p w:rsidR="00F814C6" w:rsidRPr="001C63F3" w:rsidRDefault="00F814C6" w:rsidP="00F814C6">
      <w:pPr>
        <w:pStyle w:val="Heading2Numbers"/>
        <w:numPr>
          <w:ilvl w:val="1"/>
          <w:numId w:val="6"/>
        </w:numPr>
        <w:tabs>
          <w:tab w:val="clear" w:pos="2268"/>
          <w:tab w:val="num" w:pos="1844"/>
        </w:tabs>
        <w:ind w:left="851"/>
      </w:pPr>
      <w:bookmarkStart w:id="721" w:name="_Toc67403425"/>
      <w:bookmarkStart w:id="722" w:name="_Toc67403837"/>
      <w:bookmarkStart w:id="723" w:name="_Toc67403928"/>
      <w:bookmarkStart w:id="724" w:name="_Toc67406244"/>
      <w:bookmarkStart w:id="725" w:name="_Toc68086350"/>
      <w:bookmarkStart w:id="726" w:name="_Toc71274574"/>
      <w:r w:rsidRPr="001C63F3">
        <w:t>Other clarifications</w:t>
      </w:r>
      <w:bookmarkEnd w:id="721"/>
      <w:bookmarkEnd w:id="722"/>
      <w:bookmarkEnd w:id="723"/>
      <w:bookmarkEnd w:id="724"/>
      <w:bookmarkEnd w:id="725"/>
      <w:bookmarkEnd w:id="726"/>
    </w:p>
    <w:p w:rsidR="00F814C6" w:rsidRDefault="00F814C6" w:rsidP="00F814C6">
      <w:pPr>
        <w:pStyle w:val="APRANORMAL"/>
      </w:pPr>
      <w:r w:rsidRPr="005E26FF">
        <w:t>Table 3</w:t>
      </w:r>
      <w:r>
        <w:t xml:space="preserve"> sets out the response to submissions in regard to other minor clarifications to APS 111</w:t>
      </w:r>
      <w:r w:rsidRPr="00FA5AD4">
        <w:t>. These items, for the most part, do not seek to implement any change in policy</w:t>
      </w:r>
      <w:r>
        <w:t xml:space="preserve">, </w:t>
      </w:r>
      <w:r w:rsidRPr="00FA5AD4">
        <w:t xml:space="preserve">but rather seek to clarify existing </w:t>
      </w:r>
      <w:r>
        <w:t>requirements in the Prudential Standard.</w:t>
      </w:r>
    </w:p>
    <w:p w:rsidR="00F814C6" w:rsidRDefault="00F814C6" w:rsidP="00F814C6">
      <w:pPr>
        <w:pStyle w:val="Numberedtableheading"/>
      </w:pPr>
      <w:r>
        <w:t>Other clarifications</w:t>
      </w:r>
    </w:p>
    <w:tbl>
      <w:tblPr>
        <w:tblStyle w:val="TableOption2"/>
        <w:tblW w:w="5000" w:type="pct"/>
        <w:tblLook w:val="04A0" w:firstRow="1" w:lastRow="0" w:firstColumn="1" w:lastColumn="0" w:noHBand="0" w:noVBand="1"/>
      </w:tblPr>
      <w:tblGrid>
        <w:gridCol w:w="2330"/>
        <w:gridCol w:w="2246"/>
        <w:gridCol w:w="2235"/>
        <w:gridCol w:w="2239"/>
      </w:tblGrid>
      <w:tr w:rsidR="00F814C6" w:rsidRPr="00E01BDE" w:rsidTr="00F814C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287" w:type="pct"/>
            <w:vAlign w:val="center"/>
          </w:tcPr>
          <w:p w:rsidR="00F814C6" w:rsidRPr="00E01BDE" w:rsidRDefault="00F814C6" w:rsidP="00F814C6">
            <w:pPr>
              <w:pStyle w:val="Tableheading0"/>
            </w:pPr>
            <w:r w:rsidRPr="007F793C">
              <w:t>Issue</w:t>
            </w:r>
          </w:p>
        </w:tc>
        <w:tc>
          <w:tcPr>
            <w:tcW w:w="1241" w:type="pct"/>
            <w:vAlign w:val="center"/>
          </w:tcPr>
          <w:p w:rsidR="00F814C6" w:rsidRPr="00E01BDE" w:rsidRDefault="00F814C6" w:rsidP="00F814C6">
            <w:pPr>
              <w:pStyle w:val="Tableheading0"/>
              <w:cnfStyle w:val="100000000000" w:firstRow="1" w:lastRow="0" w:firstColumn="0" w:lastColumn="0" w:oddVBand="0" w:evenVBand="0" w:oddHBand="0" w:evenHBand="0" w:firstRowFirstColumn="0" w:firstRowLastColumn="0" w:lastRowFirstColumn="0" w:lastRowLastColumn="0"/>
              <w:rPr>
                <w:rFonts w:ascii="DIN OT Medium" w:hAnsi="DIN OT Medium"/>
              </w:rPr>
            </w:pPr>
            <w:r w:rsidRPr="00AE6118">
              <w:rPr>
                <w:rFonts w:ascii="DIN OT Medium" w:hAnsi="DIN OT Medium"/>
              </w:rPr>
              <w:t>Draft revised APS 111</w:t>
            </w:r>
          </w:p>
        </w:tc>
        <w:tc>
          <w:tcPr>
            <w:tcW w:w="1235" w:type="pct"/>
            <w:vAlign w:val="center"/>
          </w:tcPr>
          <w:p w:rsidR="00F814C6" w:rsidRPr="00E01BDE" w:rsidRDefault="00F814C6" w:rsidP="00F814C6">
            <w:pPr>
              <w:pStyle w:val="Tableheading0"/>
              <w:cnfStyle w:val="100000000000" w:firstRow="1" w:lastRow="0" w:firstColumn="0" w:lastColumn="0" w:oddVBand="0" w:evenVBand="0" w:oddHBand="0" w:evenHBand="0" w:firstRowFirstColumn="0" w:firstRowLastColumn="0" w:lastRowFirstColumn="0" w:lastRowLastColumn="0"/>
              <w:rPr>
                <w:rFonts w:ascii="DIN OT Medium" w:hAnsi="DIN OT Medium"/>
              </w:rPr>
            </w:pPr>
            <w:r w:rsidRPr="00AE6118">
              <w:rPr>
                <w:rFonts w:ascii="DIN OT Medium" w:hAnsi="DIN OT Medium"/>
              </w:rPr>
              <w:t>Submissions</w:t>
            </w:r>
          </w:p>
        </w:tc>
        <w:tc>
          <w:tcPr>
            <w:tcW w:w="1237" w:type="pct"/>
            <w:vAlign w:val="center"/>
          </w:tcPr>
          <w:p w:rsidR="00F814C6" w:rsidRPr="00AE6118" w:rsidRDefault="00F814C6" w:rsidP="00F814C6">
            <w:pPr>
              <w:pStyle w:val="Tableheading0"/>
              <w:cnfStyle w:val="100000000000" w:firstRow="1" w:lastRow="0" w:firstColumn="0" w:lastColumn="0" w:oddVBand="0" w:evenVBand="0" w:oddHBand="0" w:evenHBand="0" w:firstRowFirstColumn="0" w:firstRowLastColumn="0" w:lastRowFirstColumn="0" w:lastRowLastColumn="0"/>
              <w:rPr>
                <w:rFonts w:ascii="DIN OT Medium" w:hAnsi="DIN OT Medium"/>
              </w:rPr>
            </w:pPr>
            <w:r w:rsidRPr="00AE6118">
              <w:rPr>
                <w:rFonts w:ascii="DIN OT Medium" w:hAnsi="DIN OT Medium"/>
              </w:rPr>
              <w:t>APRA response</w:t>
            </w:r>
          </w:p>
        </w:tc>
      </w:tr>
      <w:tr w:rsidR="00F814C6" w:rsidRPr="00E01BDE"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rsidR="00F814C6" w:rsidRPr="00E01BDE" w:rsidRDefault="00F814C6" w:rsidP="00F814C6">
            <w:pPr>
              <w:pStyle w:val="Tableheading0"/>
            </w:pPr>
            <w:r w:rsidRPr="00E01BDE">
              <w:t>Fee income</w:t>
            </w:r>
          </w:p>
        </w:tc>
        <w:tc>
          <w:tcPr>
            <w:tcW w:w="1241" w:type="pct"/>
          </w:tcPr>
          <w:p w:rsidR="00F814C6" w:rsidRPr="00E01BDE" w:rsidRDefault="00F814C6" w:rsidP="00B8092E">
            <w:pPr>
              <w:tabs>
                <w:tab w:val="num" w:pos="1492"/>
              </w:tabs>
              <w:spacing w:before="100" w:beforeAutospacing="1"/>
              <w:cnfStyle w:val="000000100000" w:firstRow="0" w:lastRow="0" w:firstColumn="0" w:lastColumn="0" w:oddVBand="0" w:evenVBand="0" w:oddHBand="1" w:evenHBand="0" w:firstRowFirstColumn="0" w:firstRowLastColumn="0" w:lastRowFirstColumn="0" w:lastRowLastColumn="0"/>
              <w:rPr>
                <w:szCs w:val="20"/>
              </w:rPr>
            </w:pPr>
            <w:r w:rsidRPr="00AE6118">
              <w:rPr>
                <w:szCs w:val="20"/>
              </w:rPr>
              <w:t>In its October 2019</w:t>
            </w:r>
            <w:r>
              <w:rPr>
                <w:szCs w:val="20"/>
              </w:rPr>
              <w:t xml:space="preserve"> consultation</w:t>
            </w:r>
            <w:r w:rsidRPr="00AE6118">
              <w:rPr>
                <w:szCs w:val="20"/>
              </w:rPr>
              <w:t xml:space="preserve">, APRA proposed </w:t>
            </w:r>
            <w:r>
              <w:rPr>
                <w:szCs w:val="20"/>
              </w:rPr>
              <w:t>a</w:t>
            </w:r>
            <w:r w:rsidRPr="00AE6118">
              <w:rPr>
                <w:szCs w:val="20"/>
              </w:rPr>
              <w:t xml:space="preserve"> </w:t>
            </w:r>
            <w:r>
              <w:rPr>
                <w:szCs w:val="20"/>
              </w:rPr>
              <w:t>revision to</w:t>
            </w:r>
            <w:r w:rsidRPr="00AE6118">
              <w:rPr>
                <w:szCs w:val="20"/>
              </w:rPr>
              <w:t xml:space="preserve"> APS 111 </w:t>
            </w:r>
            <w:r>
              <w:rPr>
                <w:szCs w:val="20"/>
              </w:rPr>
              <w:t xml:space="preserve">that would affect the calculation of </w:t>
            </w:r>
            <w:r w:rsidRPr="00AE6118">
              <w:rPr>
                <w:szCs w:val="20"/>
              </w:rPr>
              <w:t xml:space="preserve">current year </w:t>
            </w:r>
            <w:r>
              <w:rPr>
                <w:szCs w:val="20"/>
              </w:rPr>
              <w:t xml:space="preserve">and retained </w:t>
            </w:r>
            <w:r w:rsidRPr="00AE6118">
              <w:rPr>
                <w:szCs w:val="20"/>
              </w:rPr>
              <w:t>earnings</w:t>
            </w:r>
            <w:r>
              <w:rPr>
                <w:szCs w:val="20"/>
              </w:rPr>
              <w:t>. APRA proposed that</w:t>
            </w:r>
            <w:r w:rsidRPr="00AE6118">
              <w:rPr>
                <w:szCs w:val="20"/>
              </w:rPr>
              <w:t xml:space="preserve"> all fee income</w:t>
            </w:r>
            <w:r>
              <w:rPr>
                <w:szCs w:val="20"/>
              </w:rPr>
              <w:t>, not just upfront fee income, could be included</w:t>
            </w:r>
            <w:r w:rsidRPr="00AE6118">
              <w:rPr>
                <w:szCs w:val="20"/>
              </w:rPr>
              <w:t>, subject to certain criteria.</w:t>
            </w:r>
          </w:p>
        </w:tc>
        <w:tc>
          <w:tcPr>
            <w:tcW w:w="1235" w:type="pct"/>
          </w:tcPr>
          <w:p w:rsidR="00F814C6" w:rsidRPr="00E01BDE" w:rsidRDefault="00F814C6" w:rsidP="00B8092E">
            <w:pPr>
              <w:tabs>
                <w:tab w:val="num" w:pos="1492"/>
              </w:tabs>
              <w:cnfStyle w:val="000000100000" w:firstRow="0" w:lastRow="0" w:firstColumn="0" w:lastColumn="0" w:oddVBand="0" w:evenVBand="0" w:oddHBand="1" w:evenHBand="0" w:firstRowFirstColumn="0" w:firstRowLastColumn="0" w:lastRowFirstColumn="0" w:lastRowLastColumn="0"/>
              <w:rPr>
                <w:szCs w:val="20"/>
              </w:rPr>
            </w:pPr>
            <w:r w:rsidRPr="00AE6118">
              <w:rPr>
                <w:szCs w:val="20"/>
              </w:rPr>
              <w:t xml:space="preserve">Several submissions suggested that APRA </w:t>
            </w:r>
            <w:r>
              <w:rPr>
                <w:szCs w:val="20"/>
              </w:rPr>
              <w:t>retain the narrower focus on</w:t>
            </w:r>
            <w:r w:rsidRPr="00AE6118">
              <w:rPr>
                <w:szCs w:val="20"/>
              </w:rPr>
              <w:t xml:space="preserve"> upfront fee income</w:t>
            </w:r>
            <w:r>
              <w:rPr>
                <w:szCs w:val="20"/>
              </w:rPr>
              <w:t>. They noted that</w:t>
            </w:r>
            <w:r w:rsidRPr="00AE6118">
              <w:rPr>
                <w:szCs w:val="20"/>
              </w:rPr>
              <w:t xml:space="preserve"> the proposed change could create a large undertaking by ADIs to review all transactions related to fee income and assess whether they can satisfy the criteria for inclusion in current year earnings.</w:t>
            </w:r>
          </w:p>
        </w:tc>
        <w:tc>
          <w:tcPr>
            <w:tcW w:w="1237" w:type="pct"/>
          </w:tcPr>
          <w:p w:rsidR="00F814C6" w:rsidRPr="00AE6118" w:rsidRDefault="00F814C6" w:rsidP="00B8092E">
            <w:pPr>
              <w:tabs>
                <w:tab w:val="num" w:pos="1492"/>
              </w:tabs>
              <w:cnfStyle w:val="000000100000" w:firstRow="0" w:lastRow="0" w:firstColumn="0" w:lastColumn="0" w:oddVBand="0" w:evenVBand="0" w:oddHBand="1" w:evenHBand="0" w:firstRowFirstColumn="0" w:firstRowLastColumn="0" w:lastRowFirstColumn="0" w:lastRowLastColumn="0"/>
              <w:rPr>
                <w:szCs w:val="20"/>
              </w:rPr>
            </w:pPr>
            <w:r w:rsidRPr="00AE6118">
              <w:rPr>
                <w:szCs w:val="20"/>
              </w:rPr>
              <w:t xml:space="preserve">APRA is </w:t>
            </w:r>
            <w:r>
              <w:rPr>
                <w:szCs w:val="20"/>
              </w:rPr>
              <w:t>maintaining this proposed revision to</w:t>
            </w:r>
            <w:r w:rsidRPr="00AE6118">
              <w:rPr>
                <w:szCs w:val="20"/>
              </w:rPr>
              <w:t xml:space="preserve"> APS 111. Removal of the specific reference to upfront fee income was to make clear all forms of fee income, whether received or future income, may be included in current year and retained earnings, subject to certain criteria. </w:t>
            </w:r>
          </w:p>
          <w:p w:rsidR="00F814C6" w:rsidRPr="00AE6118" w:rsidRDefault="00F814C6" w:rsidP="00B8092E">
            <w:pPr>
              <w:tabs>
                <w:tab w:val="num" w:pos="1492"/>
              </w:tabs>
              <w:cnfStyle w:val="000000100000" w:firstRow="0" w:lastRow="0" w:firstColumn="0" w:lastColumn="0" w:oddVBand="0" w:evenVBand="0" w:oddHBand="1" w:evenHBand="0" w:firstRowFirstColumn="0" w:firstRowLastColumn="0" w:lastRowFirstColumn="0" w:lastRowLastColumn="0"/>
              <w:rPr>
                <w:szCs w:val="20"/>
              </w:rPr>
            </w:pPr>
          </w:p>
        </w:tc>
      </w:tr>
      <w:tr w:rsidR="00F814C6" w:rsidRPr="00E01BDE"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Pr>
          <w:p w:rsidR="00F814C6" w:rsidRPr="00E01BDE" w:rsidRDefault="00F814C6" w:rsidP="00F814C6">
            <w:pPr>
              <w:pStyle w:val="Tableheading0"/>
            </w:pPr>
            <w:r w:rsidRPr="00AE6118">
              <w:t>Amortisation of capital instruments</w:t>
            </w:r>
          </w:p>
        </w:tc>
        <w:tc>
          <w:tcPr>
            <w:tcW w:w="1241" w:type="pct"/>
          </w:tcPr>
          <w:p w:rsidR="00F814C6" w:rsidRPr="00AE6118" w:rsidRDefault="00F814C6" w:rsidP="00B8092E">
            <w:pPr>
              <w:tabs>
                <w:tab w:val="num" w:pos="1492"/>
              </w:tabs>
              <w:spacing w:before="100" w:beforeAutospacing="1"/>
              <w:cnfStyle w:val="000000010000" w:firstRow="0" w:lastRow="0" w:firstColumn="0" w:lastColumn="0" w:oddVBand="0" w:evenVBand="0" w:oddHBand="0" w:evenHBand="1" w:firstRowFirstColumn="0" w:firstRowLastColumn="0" w:lastRowFirstColumn="0" w:lastRowLastColumn="0"/>
              <w:rPr>
                <w:szCs w:val="20"/>
              </w:rPr>
            </w:pPr>
            <w:r w:rsidRPr="00AE6118">
              <w:rPr>
                <w:szCs w:val="20"/>
              </w:rPr>
              <w:t>APS 111 requires a Tier 2 capital instrument to have a minimum original maturity of at least five years</w:t>
            </w:r>
            <w:r>
              <w:rPr>
                <w:szCs w:val="20"/>
              </w:rPr>
              <w:t>.</w:t>
            </w:r>
            <w:r w:rsidRPr="00AE6118">
              <w:rPr>
                <w:szCs w:val="20"/>
              </w:rPr>
              <w:t xml:space="preserve"> </w:t>
            </w:r>
            <w:r>
              <w:rPr>
                <w:szCs w:val="20"/>
              </w:rPr>
              <w:t>R</w:t>
            </w:r>
            <w:r w:rsidRPr="00AE6118">
              <w:rPr>
                <w:szCs w:val="20"/>
              </w:rPr>
              <w:t xml:space="preserve">ecognition in regulatory capital </w:t>
            </w:r>
            <w:r>
              <w:rPr>
                <w:szCs w:val="20"/>
              </w:rPr>
              <w:t xml:space="preserve">is </w:t>
            </w:r>
            <w:r w:rsidRPr="00AE6118">
              <w:rPr>
                <w:szCs w:val="20"/>
              </w:rPr>
              <w:t>amortised on a straight-line basis</w:t>
            </w:r>
            <w:r>
              <w:rPr>
                <w:szCs w:val="20"/>
              </w:rPr>
              <w:t xml:space="preserve"> as the instrument approaches maturity</w:t>
            </w:r>
            <w:r w:rsidRPr="00AE6118">
              <w:rPr>
                <w:szCs w:val="20"/>
              </w:rPr>
              <w:t>. In its October 2019</w:t>
            </w:r>
            <w:r>
              <w:rPr>
                <w:szCs w:val="20"/>
              </w:rPr>
              <w:t xml:space="preserve"> consultation</w:t>
            </w:r>
            <w:r w:rsidRPr="00AE6118">
              <w:rPr>
                <w:szCs w:val="20"/>
              </w:rPr>
              <w:t>, APRA did not propose any change to this requirement.</w:t>
            </w:r>
          </w:p>
          <w:p w:rsidR="00F814C6" w:rsidRPr="00E01BDE" w:rsidRDefault="00F814C6" w:rsidP="00B8092E">
            <w:pPr>
              <w:tabs>
                <w:tab w:val="num" w:pos="1492"/>
              </w:tabs>
              <w:spacing w:before="100" w:beforeAutospacing="1"/>
              <w:cnfStyle w:val="000000010000" w:firstRow="0" w:lastRow="0" w:firstColumn="0" w:lastColumn="0" w:oddVBand="0" w:evenVBand="0" w:oddHBand="0" w:evenHBand="1" w:firstRowFirstColumn="0" w:firstRowLastColumn="0" w:lastRowFirstColumn="0" w:lastRowLastColumn="0"/>
              <w:rPr>
                <w:szCs w:val="20"/>
              </w:rPr>
            </w:pPr>
          </w:p>
        </w:tc>
        <w:tc>
          <w:tcPr>
            <w:tcW w:w="1235" w:type="pct"/>
          </w:tcPr>
          <w:p w:rsidR="00F814C6" w:rsidRPr="00E01BDE" w:rsidRDefault="00F814C6" w:rsidP="00B8092E">
            <w:pPr>
              <w:tabs>
                <w:tab w:val="num" w:pos="1492"/>
              </w:tabs>
              <w:cnfStyle w:val="000000010000" w:firstRow="0" w:lastRow="0" w:firstColumn="0" w:lastColumn="0" w:oddVBand="0" w:evenVBand="0" w:oddHBand="0" w:evenHBand="1" w:firstRowFirstColumn="0" w:firstRowLastColumn="0" w:lastRowFirstColumn="0" w:lastRowLastColumn="0"/>
              <w:rPr>
                <w:szCs w:val="20"/>
              </w:rPr>
            </w:pPr>
            <w:r w:rsidRPr="00AE6118">
              <w:rPr>
                <w:szCs w:val="20"/>
              </w:rPr>
              <w:t xml:space="preserve">Some submissions commented that </w:t>
            </w:r>
            <w:r>
              <w:rPr>
                <w:szCs w:val="20"/>
              </w:rPr>
              <w:t>APRA should allow Tier 2 capital instruments with</w:t>
            </w:r>
            <w:r w:rsidRPr="00AE6118">
              <w:rPr>
                <w:szCs w:val="20"/>
              </w:rPr>
              <w:t xml:space="preserve"> more than one year to maturity to be recognised in full </w:t>
            </w:r>
            <w:r>
              <w:rPr>
                <w:szCs w:val="20"/>
              </w:rPr>
              <w:t>for loss-absorbing capacity</w:t>
            </w:r>
            <w:r w:rsidRPr="00AE6118">
              <w:rPr>
                <w:szCs w:val="20"/>
              </w:rPr>
              <w:t xml:space="preserve"> </w:t>
            </w:r>
            <w:r>
              <w:rPr>
                <w:szCs w:val="20"/>
              </w:rPr>
              <w:t>purposes, consistent with</w:t>
            </w:r>
            <w:r w:rsidRPr="00AE6118">
              <w:rPr>
                <w:szCs w:val="20"/>
              </w:rPr>
              <w:t xml:space="preserve"> </w:t>
            </w:r>
            <w:r>
              <w:rPr>
                <w:szCs w:val="20"/>
              </w:rPr>
              <w:t xml:space="preserve">the approach under the </w:t>
            </w:r>
            <w:r w:rsidRPr="00AE6118">
              <w:rPr>
                <w:szCs w:val="20"/>
              </w:rPr>
              <w:t xml:space="preserve">FSB </w:t>
            </w:r>
            <w:r>
              <w:rPr>
                <w:szCs w:val="20"/>
              </w:rPr>
              <w:t>TLAC term sheet</w:t>
            </w:r>
            <w:r w:rsidRPr="00AE6118">
              <w:rPr>
                <w:szCs w:val="20"/>
              </w:rPr>
              <w:t>. These submissions suggested</w:t>
            </w:r>
            <w:r>
              <w:rPr>
                <w:szCs w:val="20"/>
              </w:rPr>
              <w:t xml:space="preserve"> that</w:t>
            </w:r>
            <w:r w:rsidRPr="00AE6118">
              <w:rPr>
                <w:szCs w:val="20"/>
              </w:rPr>
              <w:t xml:space="preserve"> APRA </w:t>
            </w:r>
            <w:r>
              <w:rPr>
                <w:szCs w:val="20"/>
              </w:rPr>
              <w:t>introduce</w:t>
            </w:r>
            <w:r w:rsidRPr="00AE6118">
              <w:rPr>
                <w:szCs w:val="20"/>
              </w:rPr>
              <w:t xml:space="preserve"> a separate ratio, which recognises the full</w:t>
            </w:r>
            <w:r>
              <w:rPr>
                <w:szCs w:val="20"/>
              </w:rPr>
              <w:t xml:space="preserve"> </w:t>
            </w:r>
            <w:r w:rsidRPr="00AE6118">
              <w:rPr>
                <w:szCs w:val="20"/>
              </w:rPr>
              <w:t>face value of regulatory capital instruments, including Tier 2 capital, with a maturity greater than one year.</w:t>
            </w:r>
          </w:p>
        </w:tc>
        <w:tc>
          <w:tcPr>
            <w:tcW w:w="1237" w:type="pct"/>
          </w:tcPr>
          <w:p w:rsidR="00F814C6" w:rsidRPr="00AE6118" w:rsidRDefault="00F814C6" w:rsidP="00B8092E">
            <w:pPr>
              <w:tabs>
                <w:tab w:val="num" w:pos="1492"/>
              </w:tabs>
              <w:cnfStyle w:val="000000010000" w:firstRow="0" w:lastRow="0" w:firstColumn="0" w:lastColumn="0" w:oddVBand="0" w:evenVBand="0" w:oddHBand="0" w:evenHBand="1" w:firstRowFirstColumn="0" w:firstRowLastColumn="0" w:lastRowFirstColumn="0" w:lastRowLastColumn="0"/>
              <w:rPr>
                <w:szCs w:val="20"/>
              </w:rPr>
            </w:pPr>
            <w:r>
              <w:rPr>
                <w:szCs w:val="20"/>
              </w:rPr>
              <w:t xml:space="preserve">This </w:t>
            </w:r>
            <w:r w:rsidRPr="00AE6118">
              <w:rPr>
                <w:szCs w:val="20"/>
              </w:rPr>
              <w:t xml:space="preserve">issue was previously </w:t>
            </w:r>
            <w:r>
              <w:rPr>
                <w:szCs w:val="20"/>
              </w:rPr>
              <w:t>assessed</w:t>
            </w:r>
            <w:r w:rsidRPr="00AE6118">
              <w:rPr>
                <w:szCs w:val="20"/>
              </w:rPr>
              <w:t xml:space="preserve"> </w:t>
            </w:r>
            <w:r>
              <w:rPr>
                <w:szCs w:val="20"/>
              </w:rPr>
              <w:t>by APRA when developing its</w:t>
            </w:r>
            <w:r w:rsidRPr="00AE6118">
              <w:rPr>
                <w:szCs w:val="20"/>
              </w:rPr>
              <w:t xml:space="preserve"> </w:t>
            </w:r>
            <w:r>
              <w:rPr>
                <w:szCs w:val="20"/>
              </w:rPr>
              <w:t xml:space="preserve">approach to increasing loss-absorbing capacity. </w:t>
            </w:r>
            <w:r w:rsidRPr="007D2F67">
              <w:rPr>
                <w:szCs w:val="20"/>
              </w:rPr>
              <w:t xml:space="preserve">APRA is maintaining its current approach </w:t>
            </w:r>
            <w:r>
              <w:rPr>
                <w:szCs w:val="20"/>
              </w:rPr>
              <w:t xml:space="preserve">as to do otherwise introduces </w:t>
            </w:r>
            <w:r w:rsidRPr="007D2F67">
              <w:rPr>
                <w:szCs w:val="20"/>
              </w:rPr>
              <w:t>unwarranted</w:t>
            </w:r>
            <w:r>
              <w:rPr>
                <w:szCs w:val="20"/>
              </w:rPr>
              <w:t xml:space="preserve"> </w:t>
            </w:r>
            <w:r w:rsidRPr="007D2F67">
              <w:rPr>
                <w:szCs w:val="20"/>
              </w:rPr>
              <w:t>complexity into the framework.</w:t>
            </w:r>
          </w:p>
        </w:tc>
      </w:tr>
    </w:tbl>
    <w:p w:rsidR="00F814C6" w:rsidRPr="00E01BDE" w:rsidRDefault="00F814C6" w:rsidP="00F814C6">
      <w:pPr>
        <w:tabs>
          <w:tab w:val="num" w:pos="1492"/>
        </w:tabs>
        <w:rPr>
          <w:rFonts w:eastAsia="Arial" w:cs="Cordia New"/>
        </w:rPr>
      </w:pPr>
    </w:p>
    <w:p w:rsidR="00263095" w:rsidRDefault="00F814C6" w:rsidP="00F814C6">
      <w:pPr>
        <w:pStyle w:val="Heading1Numbers"/>
      </w:pPr>
      <w:bookmarkStart w:id="727" w:name="_Toc71274575"/>
      <w:r>
        <w:t>New proposed revisions</w:t>
      </w:r>
      <w:bookmarkEnd w:id="727"/>
    </w:p>
    <w:p w:rsidR="00F814C6" w:rsidRDefault="00F814C6" w:rsidP="00F814C6">
      <w:pPr>
        <w:pStyle w:val="APRANORMAL"/>
        <w:rPr>
          <w:rStyle w:val="APRANORMALChar"/>
        </w:rPr>
      </w:pPr>
      <w:bookmarkStart w:id="728" w:name="_Hlk71273998"/>
      <w:bookmarkStart w:id="729" w:name="_Toc65857488"/>
      <w:bookmarkStart w:id="730" w:name="_Toc66268345"/>
      <w:bookmarkStart w:id="731" w:name="_Toc66283813"/>
      <w:bookmarkStart w:id="732" w:name="_Toc66283950"/>
      <w:bookmarkStart w:id="733" w:name="_Toc66906207"/>
      <w:r>
        <w:rPr>
          <w:rStyle w:val="APRANORMALChar"/>
        </w:rPr>
        <w:t xml:space="preserve">As part of this response paper, APRA is also consulting on new proposed revisions to APS 111 that were not included in the October 2019 consultation. </w:t>
      </w:r>
    </w:p>
    <w:p w:rsidR="00F814C6" w:rsidRPr="00F814C6" w:rsidRDefault="00F814C6" w:rsidP="00F814C6">
      <w:pPr>
        <w:pStyle w:val="Heading2Numbers"/>
      </w:pPr>
      <w:bookmarkStart w:id="734" w:name="_Toc67403427"/>
      <w:bookmarkStart w:id="735" w:name="_Toc67403839"/>
      <w:bookmarkStart w:id="736" w:name="_Toc67403930"/>
      <w:bookmarkStart w:id="737" w:name="_Toc67406246"/>
      <w:bookmarkStart w:id="738" w:name="_Toc68086352"/>
      <w:bookmarkStart w:id="739" w:name="_Toc71274576"/>
      <w:bookmarkEnd w:id="728"/>
      <w:r w:rsidRPr="00F814C6">
        <w:rPr>
          <w:rStyle w:val="APRANORMALChar"/>
          <w:rFonts w:ascii="DIN OT Medium" w:hAnsi="DIN OT Medium" w:cstheme="majorBidi"/>
          <w:color w:val="012169"/>
          <w:lang w:val="en-AU"/>
        </w:rPr>
        <w:t>Definition of Common Equity Tier 1 capital</w:t>
      </w:r>
      <w:bookmarkEnd w:id="729"/>
      <w:bookmarkEnd w:id="730"/>
      <w:bookmarkEnd w:id="731"/>
      <w:bookmarkEnd w:id="732"/>
      <w:bookmarkEnd w:id="733"/>
      <w:bookmarkEnd w:id="734"/>
      <w:bookmarkEnd w:id="735"/>
      <w:bookmarkEnd w:id="736"/>
      <w:bookmarkEnd w:id="737"/>
      <w:bookmarkEnd w:id="738"/>
      <w:bookmarkEnd w:id="739"/>
    </w:p>
    <w:p w:rsidR="00F814C6" w:rsidRDefault="00F814C6" w:rsidP="00F814C6">
      <w:pPr>
        <w:pStyle w:val="APRANORMAL"/>
        <w:rPr>
          <w:rStyle w:val="APRANORMALChar"/>
        </w:rPr>
      </w:pPr>
      <w:r>
        <w:rPr>
          <w:rStyle w:val="APRANORMALChar"/>
        </w:rPr>
        <w:t>Under APS 111, t</w:t>
      </w:r>
      <w:r w:rsidRPr="00AA4D89">
        <w:rPr>
          <w:rStyle w:val="APRANORMALChar"/>
        </w:rPr>
        <w:t>here are a number of aspects of the definitions of A</w:t>
      </w:r>
      <w:r>
        <w:rPr>
          <w:rStyle w:val="APRANORMALChar"/>
        </w:rPr>
        <w:t>T1</w:t>
      </w:r>
      <w:r w:rsidRPr="00AA4D89">
        <w:rPr>
          <w:rStyle w:val="APRANORMALChar"/>
        </w:rPr>
        <w:t xml:space="preserve"> and Tier</w:t>
      </w:r>
      <w:r>
        <w:rPr>
          <w:rStyle w:val="APRANORMALChar"/>
        </w:rPr>
        <w:t> </w:t>
      </w:r>
      <w:r w:rsidRPr="00AA4D89">
        <w:rPr>
          <w:rStyle w:val="APRANORMALChar"/>
        </w:rPr>
        <w:t xml:space="preserve">2 </w:t>
      </w:r>
      <w:r>
        <w:rPr>
          <w:rStyle w:val="APRANORMALChar"/>
        </w:rPr>
        <w:t>c</w:t>
      </w:r>
      <w:r w:rsidRPr="00AA4D89">
        <w:rPr>
          <w:rStyle w:val="APRANORMALChar"/>
        </w:rPr>
        <w:t xml:space="preserve">apital which are more clearly specified than those for CET1 </w:t>
      </w:r>
      <w:r>
        <w:rPr>
          <w:rStyle w:val="APRANORMALChar"/>
        </w:rPr>
        <w:t>c</w:t>
      </w:r>
      <w:r w:rsidRPr="00AA4D89">
        <w:rPr>
          <w:rStyle w:val="APRANORMALChar"/>
        </w:rPr>
        <w:t xml:space="preserve">apital. </w:t>
      </w:r>
      <w:r>
        <w:rPr>
          <w:rStyle w:val="APRANORMALChar"/>
        </w:rPr>
        <w:t>This has reflected the more complex design of AT1 and Tier 2 capital instruments, compared to CET1 capital.</w:t>
      </w:r>
    </w:p>
    <w:p w:rsidR="00F814C6" w:rsidRPr="00AA4D89" w:rsidRDefault="00F814C6" w:rsidP="00F814C6">
      <w:pPr>
        <w:pStyle w:val="APRANORMAL"/>
        <w:rPr>
          <w:rStyle w:val="APRANORMALChar"/>
        </w:rPr>
      </w:pPr>
      <w:bookmarkStart w:id="740" w:name="_Hlk69325526"/>
      <w:r>
        <w:rPr>
          <w:rStyle w:val="APRANORMALChar"/>
        </w:rPr>
        <w:t>Recently, APRA has</w:t>
      </w:r>
      <w:r w:rsidRPr="00AA4D89">
        <w:rPr>
          <w:rStyle w:val="APRANORMALChar"/>
        </w:rPr>
        <w:t xml:space="preserve"> </w:t>
      </w:r>
      <w:r>
        <w:rPr>
          <w:rStyle w:val="APRANORMALChar"/>
        </w:rPr>
        <w:t>observed some ADIs attempting to use</w:t>
      </w:r>
      <w:r w:rsidRPr="00AA4D89">
        <w:rPr>
          <w:rStyle w:val="APRANORMALChar"/>
        </w:rPr>
        <w:t xml:space="preserve"> </w:t>
      </w:r>
      <w:r>
        <w:rPr>
          <w:rStyle w:val="APRANORMALChar"/>
        </w:rPr>
        <w:t>more complex</w:t>
      </w:r>
      <w:r w:rsidRPr="00AA4D89">
        <w:rPr>
          <w:rStyle w:val="APRANORMALChar"/>
        </w:rPr>
        <w:t xml:space="preserve"> equity arrangements to raise </w:t>
      </w:r>
      <w:r>
        <w:rPr>
          <w:rStyle w:val="APRANORMALChar"/>
        </w:rPr>
        <w:t>CET1 c</w:t>
      </w:r>
      <w:r w:rsidRPr="00AA4D89">
        <w:rPr>
          <w:rStyle w:val="APRANORMALChar"/>
        </w:rPr>
        <w:t>apital</w:t>
      </w:r>
      <w:r>
        <w:rPr>
          <w:rStyle w:val="APRANORMALChar"/>
        </w:rPr>
        <w:t xml:space="preserve"> in more challenging market conditions</w:t>
      </w:r>
      <w:r w:rsidRPr="00AA4D89">
        <w:rPr>
          <w:rStyle w:val="APRANORMALChar"/>
        </w:rPr>
        <w:t>. Some of these arrangements would not be permitted within the requirements for lower classes of capital</w:t>
      </w:r>
      <w:r>
        <w:rPr>
          <w:rStyle w:val="APRANORMALChar"/>
        </w:rPr>
        <w:t>, and would undermine the role of CET1 capital as the highest quality form of capital</w:t>
      </w:r>
      <w:r w:rsidRPr="00AA4D89">
        <w:rPr>
          <w:rStyle w:val="APRANORMALChar"/>
        </w:rPr>
        <w:t>.</w:t>
      </w:r>
    </w:p>
    <w:bookmarkEnd w:id="740"/>
    <w:p w:rsidR="00F814C6" w:rsidRDefault="00F814C6" w:rsidP="00F814C6">
      <w:pPr>
        <w:pStyle w:val="APRANORMAL"/>
      </w:pPr>
      <w:r>
        <w:rPr>
          <w:rStyle w:val="APRANORMALChar"/>
        </w:rPr>
        <w:t xml:space="preserve">APRA is proposing </w:t>
      </w:r>
      <w:r w:rsidRPr="00AA4D89">
        <w:rPr>
          <w:rStyle w:val="APRANORMALChar"/>
        </w:rPr>
        <w:t xml:space="preserve">that appropriately adapted versions of the following requirements for </w:t>
      </w:r>
      <w:r>
        <w:rPr>
          <w:rStyle w:val="APRANORMALChar"/>
        </w:rPr>
        <w:t>AT1</w:t>
      </w:r>
      <w:r w:rsidRPr="00AA4D89">
        <w:rPr>
          <w:rStyle w:val="APRANORMALChar"/>
        </w:rPr>
        <w:t xml:space="preserve"> and T</w:t>
      </w:r>
      <w:r>
        <w:rPr>
          <w:rStyle w:val="APRANORMALChar"/>
        </w:rPr>
        <w:t xml:space="preserve">ier </w:t>
      </w:r>
      <w:r w:rsidRPr="00AA4D89">
        <w:rPr>
          <w:rStyle w:val="APRANORMALChar"/>
        </w:rPr>
        <w:t xml:space="preserve">2 instruments </w:t>
      </w:r>
      <w:r>
        <w:rPr>
          <w:rStyle w:val="APRANORMALChar"/>
        </w:rPr>
        <w:t xml:space="preserve">also </w:t>
      </w:r>
      <w:r w:rsidRPr="00AA4D89">
        <w:rPr>
          <w:rStyle w:val="APRANORMALChar"/>
        </w:rPr>
        <w:t xml:space="preserve">be included in the definition of CET1 </w:t>
      </w:r>
      <w:r>
        <w:rPr>
          <w:rStyle w:val="APRANORMALChar"/>
        </w:rPr>
        <w:t>c</w:t>
      </w:r>
      <w:r w:rsidRPr="00AA4D89">
        <w:rPr>
          <w:rStyle w:val="APRANORMALChar"/>
        </w:rPr>
        <w:t>apital</w:t>
      </w:r>
      <w:r>
        <w:rPr>
          <w:rStyle w:val="APRANORMALChar"/>
        </w:rPr>
        <w:t>. This will provide</w:t>
      </w:r>
      <w:r w:rsidRPr="00AA4D89">
        <w:rPr>
          <w:rStyle w:val="APRANORMALChar"/>
        </w:rPr>
        <w:t xml:space="preserve"> further clarity on </w:t>
      </w:r>
      <w:r>
        <w:rPr>
          <w:rStyle w:val="APRANORMALChar"/>
        </w:rPr>
        <w:t>APRA’s</w:t>
      </w:r>
      <w:r w:rsidRPr="00AA4D89">
        <w:rPr>
          <w:rStyle w:val="APRANORMALChar"/>
        </w:rPr>
        <w:t xml:space="preserve"> expectations of </w:t>
      </w:r>
      <w:r>
        <w:rPr>
          <w:rStyle w:val="APRANORMALChar"/>
        </w:rPr>
        <w:t>CET1 capital</w:t>
      </w:r>
      <w:r w:rsidRPr="00AA4D89">
        <w:rPr>
          <w:rStyle w:val="APRANORMALChar"/>
        </w:rPr>
        <w:t>.</w:t>
      </w:r>
      <w:r>
        <w:rPr>
          <w:rStyle w:val="APRANORMALChar"/>
        </w:rPr>
        <w:t xml:space="preserve"> </w:t>
      </w:r>
      <w:r w:rsidRPr="008C082B">
        <w:t xml:space="preserve">Table 4 </w:t>
      </w:r>
      <w:r w:rsidRPr="00CE4E80">
        <w:t>outlines</w:t>
      </w:r>
      <w:r w:rsidRPr="007224D1">
        <w:t xml:space="preserve"> the proposed </w:t>
      </w:r>
      <w:r>
        <w:t>revisions</w:t>
      </w:r>
      <w:r w:rsidRPr="007224D1">
        <w:t xml:space="preserve"> </w:t>
      </w:r>
      <w:r>
        <w:t>that would apply to all forms of capital</w:t>
      </w:r>
      <w:r w:rsidRPr="007224D1">
        <w:t xml:space="preserve">. </w:t>
      </w:r>
    </w:p>
    <w:p w:rsidR="00F814C6" w:rsidRDefault="00F814C6" w:rsidP="00F814C6">
      <w:pPr>
        <w:pStyle w:val="Numberedtableheading"/>
      </w:pPr>
      <w:r>
        <w:t>Proposed revisions to CET1 capital requirements</w:t>
      </w:r>
    </w:p>
    <w:tbl>
      <w:tblPr>
        <w:tblStyle w:val="TableOption2"/>
        <w:tblW w:w="4947" w:type="pct"/>
        <w:tblLook w:val="04A0" w:firstRow="1" w:lastRow="0" w:firstColumn="1" w:lastColumn="0" w:noHBand="0" w:noVBand="1"/>
      </w:tblPr>
      <w:tblGrid>
        <w:gridCol w:w="2319"/>
        <w:gridCol w:w="6635"/>
      </w:tblGrid>
      <w:tr w:rsidR="00F814C6" w:rsidTr="00F81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rsidR="00F814C6" w:rsidRPr="007F793C" w:rsidRDefault="00F814C6" w:rsidP="007F793C">
            <w:pPr>
              <w:pStyle w:val="Tableheading0"/>
            </w:pPr>
            <w:r w:rsidRPr="007F793C">
              <w:t>Reference to draft revised APS 111 (October 2019)</w:t>
            </w:r>
          </w:p>
        </w:tc>
        <w:tc>
          <w:tcPr>
            <w:tcW w:w="3705" w:type="pct"/>
          </w:tcPr>
          <w:p w:rsidR="00F814C6" w:rsidRPr="007F793C" w:rsidRDefault="00F814C6" w:rsidP="007F793C">
            <w:pPr>
              <w:pStyle w:val="Tableheading0"/>
              <w:cnfStyle w:val="100000000000" w:firstRow="1" w:lastRow="0" w:firstColumn="0" w:lastColumn="0" w:oddVBand="0" w:evenVBand="0" w:oddHBand="0" w:evenHBand="0" w:firstRowFirstColumn="0" w:firstRowLastColumn="0" w:lastRowFirstColumn="0" w:lastRowLastColumn="0"/>
            </w:pPr>
            <w:r w:rsidRPr="007F793C">
              <w:t>Existing requirements for AT1 and Tier 2 that will apply to all tiers of capital, including CET1</w:t>
            </w:r>
          </w:p>
        </w:tc>
      </w:tr>
      <w:tr w:rsidR="00F814C6" w:rsidRPr="00E01BDE"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rsidR="00F814C6" w:rsidRPr="007F793C" w:rsidRDefault="00F814C6" w:rsidP="007F793C">
            <w:pPr>
              <w:pStyle w:val="Tableheading0"/>
            </w:pPr>
            <w:r w:rsidRPr="007F793C">
              <w:t xml:space="preserve">Attachment E paragraph 1(h) </w:t>
            </w:r>
          </w:p>
          <w:p w:rsidR="00F814C6" w:rsidRPr="007F793C" w:rsidRDefault="00F814C6" w:rsidP="007F793C">
            <w:pPr>
              <w:pStyle w:val="Tableheading0"/>
            </w:pPr>
            <w:r w:rsidRPr="007F793C">
              <w:t>Attachment G paragraph 1(h)</w:t>
            </w:r>
          </w:p>
        </w:tc>
        <w:tc>
          <w:tcPr>
            <w:tcW w:w="3705" w:type="pct"/>
          </w:tcPr>
          <w:p w:rsidR="00F814C6" w:rsidRPr="00E01BDE" w:rsidRDefault="00F814C6" w:rsidP="00B8092E">
            <w:pPr>
              <w:tabs>
                <w:tab w:val="num" w:pos="1492"/>
              </w:tabs>
              <w:spacing w:before="100" w:beforeAutospacing="1"/>
              <w:cnfStyle w:val="000000100000" w:firstRow="0" w:lastRow="0" w:firstColumn="0" w:lastColumn="0" w:oddVBand="0" w:evenVBand="0" w:oddHBand="1" w:evenHBand="0" w:firstRowFirstColumn="0" w:firstRowLastColumn="0" w:lastRowFirstColumn="0" w:lastRowLastColumn="0"/>
            </w:pPr>
            <w:r>
              <w:t>I</w:t>
            </w:r>
            <w:r w:rsidRPr="00D466C9">
              <w:t>ssuers must not assume, or create market expectations, that supervisory approval will be forthcoming for the issuer to redeem, call or purchase an instrument</w:t>
            </w:r>
            <w:r>
              <w:t>.</w:t>
            </w:r>
          </w:p>
        </w:tc>
      </w:tr>
      <w:tr w:rsidR="00F814C6" w:rsidRPr="00E01BDE"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rsidR="00F814C6" w:rsidRPr="007F793C" w:rsidRDefault="00F814C6" w:rsidP="007F793C">
            <w:pPr>
              <w:pStyle w:val="Tableheading0"/>
            </w:pPr>
            <w:r w:rsidRPr="007F793C">
              <w:t xml:space="preserve">Attachment E paragraph 1(o) </w:t>
            </w:r>
          </w:p>
          <w:p w:rsidR="00F814C6" w:rsidRPr="007F793C" w:rsidRDefault="00F814C6" w:rsidP="007F793C">
            <w:pPr>
              <w:pStyle w:val="Tableheading0"/>
            </w:pPr>
            <w:r w:rsidRPr="007F793C">
              <w:t>Attachment G paragraph 1(m)</w:t>
            </w:r>
          </w:p>
        </w:tc>
        <w:tc>
          <w:tcPr>
            <w:tcW w:w="3705" w:type="pct"/>
          </w:tcPr>
          <w:p w:rsidR="00F814C6" w:rsidRPr="00CB4B65" w:rsidRDefault="00F814C6" w:rsidP="00B8092E">
            <w:pPr>
              <w:tabs>
                <w:tab w:val="num" w:pos="1492"/>
              </w:tabs>
              <w:spacing w:before="100" w:beforeAutospacing="1"/>
              <w:cnfStyle w:val="000000010000" w:firstRow="0" w:lastRow="0" w:firstColumn="0" w:lastColumn="0" w:oddVBand="0" w:evenVBand="0" w:oddHBand="0" w:evenHBand="1" w:firstRowFirstColumn="0" w:firstRowLastColumn="0" w:lastRowFirstColumn="0" w:lastRowLastColumn="0"/>
            </w:pPr>
            <w:r w:rsidRPr="00CB4B65">
              <w:t>The instrument has no features that hinder recapitalisation of the issuer, or any other members of the group to which the issuer belongs. This includes features that require the issuer to compensate investors if a new instrument is issued at a lower price during a specified timeframe.</w:t>
            </w:r>
          </w:p>
        </w:tc>
      </w:tr>
      <w:tr w:rsidR="00F814C6" w:rsidRPr="00E01BDE" w:rsidTr="00F814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rsidR="00F814C6" w:rsidRPr="007F793C" w:rsidRDefault="00F814C6" w:rsidP="007F793C">
            <w:pPr>
              <w:pStyle w:val="Tableheading0"/>
            </w:pPr>
            <w:r w:rsidRPr="007F793C">
              <w:t xml:space="preserve">Attachment E paragraph 1(q) </w:t>
            </w:r>
          </w:p>
          <w:p w:rsidR="00F814C6" w:rsidRPr="007F793C" w:rsidRDefault="00F814C6" w:rsidP="007F793C">
            <w:pPr>
              <w:pStyle w:val="Tableheading0"/>
            </w:pPr>
            <w:r w:rsidRPr="007F793C">
              <w:t>Attachment G paragraph 1(o)</w:t>
            </w:r>
          </w:p>
        </w:tc>
        <w:tc>
          <w:tcPr>
            <w:tcW w:w="3705" w:type="pct"/>
          </w:tcPr>
          <w:p w:rsidR="00F814C6" w:rsidRPr="00CB4B65" w:rsidRDefault="00F814C6" w:rsidP="00B8092E">
            <w:pPr>
              <w:tabs>
                <w:tab w:val="num" w:pos="1492"/>
              </w:tabs>
              <w:spacing w:before="100" w:beforeAutospacing="1"/>
              <w:cnfStyle w:val="000000100000" w:firstRow="0" w:lastRow="0" w:firstColumn="0" w:lastColumn="0" w:oddVBand="0" w:evenVBand="0" w:oddHBand="1" w:evenHBand="0" w:firstRowFirstColumn="0" w:firstRowLastColumn="0" w:lastRowFirstColumn="0" w:lastRowLastColumn="0"/>
            </w:pPr>
            <w:r w:rsidRPr="00CB4B65">
              <w:t xml:space="preserve">The instrument does not contain any terms, covenants or restrictions that could inhibit the </w:t>
            </w:r>
            <w:r>
              <w:t>ADI</w:t>
            </w:r>
            <w:r w:rsidRPr="00CB4B65">
              <w:t xml:space="preserve">’s ability to be managed in a sound and prudent manner, particularly in times of financial difficulty, or restrict APRA’s ability </w:t>
            </w:r>
            <w:r>
              <w:t xml:space="preserve">in its role as prudential regulator </w:t>
            </w:r>
            <w:r w:rsidRPr="00CB4B65">
              <w:t xml:space="preserve">to resolve any problems encountered by the </w:t>
            </w:r>
            <w:r>
              <w:t>ADI</w:t>
            </w:r>
            <w:r w:rsidRPr="00CB4B65">
              <w:t>.</w:t>
            </w:r>
          </w:p>
        </w:tc>
      </w:tr>
      <w:tr w:rsidR="00F814C6" w:rsidRPr="00E01BDE" w:rsidTr="00F814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 w:type="pct"/>
          </w:tcPr>
          <w:p w:rsidR="00F814C6" w:rsidRPr="007F793C" w:rsidRDefault="00F814C6" w:rsidP="007F793C">
            <w:pPr>
              <w:pStyle w:val="Tableheading0"/>
            </w:pPr>
            <w:r w:rsidRPr="007F793C">
              <w:t xml:space="preserve">Attachment E paragraph 18 </w:t>
            </w:r>
          </w:p>
          <w:p w:rsidR="00F814C6" w:rsidRPr="007F793C" w:rsidRDefault="00F814C6" w:rsidP="007F793C">
            <w:pPr>
              <w:pStyle w:val="Tableheading0"/>
            </w:pPr>
            <w:r w:rsidRPr="007F793C">
              <w:t>Attachment G paragraph 18</w:t>
            </w:r>
          </w:p>
        </w:tc>
        <w:tc>
          <w:tcPr>
            <w:tcW w:w="3705" w:type="pct"/>
          </w:tcPr>
          <w:p w:rsidR="00F814C6" w:rsidRPr="00CB4B65" w:rsidRDefault="00F814C6" w:rsidP="00B8092E">
            <w:pPr>
              <w:tabs>
                <w:tab w:val="num" w:pos="1492"/>
              </w:tabs>
              <w:spacing w:before="100" w:beforeAutospacing="1"/>
              <w:cnfStyle w:val="000000010000" w:firstRow="0" w:lastRow="0" w:firstColumn="0" w:lastColumn="0" w:oddVBand="0" w:evenVBand="0" w:oddHBand="0" w:evenHBand="1" w:firstRowFirstColumn="0" w:firstRowLastColumn="0" w:lastRowFirstColumn="0" w:lastRowLastColumn="0"/>
            </w:pPr>
            <w:r w:rsidRPr="00CB4B65">
              <w:t>The instrument must not include any ‘repackaging’ arrangements that have the effect of compromising the quality of the capital raised.</w:t>
            </w:r>
          </w:p>
        </w:tc>
      </w:tr>
    </w:tbl>
    <w:p w:rsidR="00F814C6" w:rsidRDefault="00F814C6" w:rsidP="00FE5B7F">
      <w:pPr>
        <w:numPr>
          <w:ilvl w:val="0"/>
          <w:numId w:val="0"/>
        </w:numPr>
        <w:rPr>
          <w:rStyle w:val="APRANORMALChar"/>
          <w:rFonts w:cs="Arial"/>
        </w:rPr>
      </w:pPr>
      <w:r>
        <w:rPr>
          <w:rStyle w:val="APRANORMALChar"/>
          <w:rFonts w:cs="Arial"/>
        </w:rPr>
        <w:t>Consistent with these revisions</w:t>
      </w:r>
      <w:r w:rsidRPr="0090439B">
        <w:rPr>
          <w:rStyle w:val="APRANORMALChar"/>
          <w:rFonts w:cs="Arial"/>
        </w:rPr>
        <w:t xml:space="preserve">, APRA is </w:t>
      </w:r>
      <w:r>
        <w:rPr>
          <w:rStyle w:val="APRANORMALChar"/>
          <w:rFonts w:cs="Arial"/>
        </w:rPr>
        <w:t xml:space="preserve">also </w:t>
      </w:r>
      <w:r w:rsidRPr="0090439B">
        <w:rPr>
          <w:rStyle w:val="APRANORMALChar"/>
          <w:rFonts w:cs="Arial"/>
        </w:rPr>
        <w:t xml:space="preserve">proposing to clarify in paragraph 1(f) of Attachment B and paragraph 1(c) of Attachment I </w:t>
      </w:r>
      <w:r>
        <w:rPr>
          <w:rStyle w:val="APRANORMALChar"/>
          <w:rFonts w:cs="Arial"/>
        </w:rPr>
        <w:t xml:space="preserve">to the draft revised APS 111 (October 2019) </w:t>
      </w:r>
      <w:r w:rsidRPr="0090439B">
        <w:rPr>
          <w:rStyle w:val="APRANORMALChar"/>
          <w:rFonts w:cs="Arial"/>
        </w:rPr>
        <w:t>that payment of dividends is to be in the form of a cash payment. The proposed wording prohibits features that require an ADI to make payments in kind.</w:t>
      </w:r>
      <w:r>
        <w:rPr>
          <w:rStyle w:val="APRANORMALChar"/>
          <w:rFonts w:cs="Arial"/>
        </w:rPr>
        <w:t xml:space="preserve"> </w:t>
      </w:r>
    </w:p>
    <w:p w:rsidR="00F814C6" w:rsidRPr="00F814C6" w:rsidRDefault="00F814C6" w:rsidP="00F814C6">
      <w:pPr>
        <w:pStyle w:val="Heading2Numbers"/>
      </w:pPr>
      <w:bookmarkStart w:id="741" w:name="_Toc65857489"/>
      <w:bookmarkStart w:id="742" w:name="_Toc66268346"/>
      <w:bookmarkStart w:id="743" w:name="_Toc66283814"/>
      <w:bookmarkStart w:id="744" w:name="_Toc66283951"/>
      <w:bookmarkStart w:id="745" w:name="_Toc66906208"/>
      <w:bookmarkStart w:id="746" w:name="_Toc67403428"/>
      <w:bookmarkStart w:id="747" w:name="_Toc67403840"/>
      <w:bookmarkStart w:id="748" w:name="_Toc67403931"/>
      <w:bookmarkStart w:id="749" w:name="_Toc67406247"/>
      <w:bookmarkStart w:id="750" w:name="_Toc68086353"/>
      <w:bookmarkStart w:id="751" w:name="_Toc71274577"/>
      <w:r w:rsidRPr="00F814C6">
        <w:rPr>
          <w:rStyle w:val="APRANORMALChar"/>
          <w:rFonts w:ascii="DIN OT Medium" w:hAnsi="DIN OT Medium" w:cstheme="majorBidi"/>
          <w:color w:val="012169"/>
          <w:lang w:val="en-AU"/>
        </w:rPr>
        <w:t xml:space="preserve">Other </w:t>
      </w:r>
      <w:bookmarkEnd w:id="741"/>
      <w:bookmarkEnd w:id="742"/>
      <w:bookmarkEnd w:id="743"/>
      <w:bookmarkEnd w:id="744"/>
      <w:bookmarkEnd w:id="745"/>
      <w:r w:rsidRPr="00F814C6">
        <w:rPr>
          <w:rStyle w:val="APRANORMALChar"/>
          <w:rFonts w:ascii="DIN OT Medium" w:hAnsi="DIN OT Medium" w:cstheme="majorBidi"/>
          <w:color w:val="012169"/>
          <w:lang w:val="en-AU"/>
        </w:rPr>
        <w:t>amendments</w:t>
      </w:r>
      <w:bookmarkEnd w:id="746"/>
      <w:bookmarkEnd w:id="747"/>
      <w:bookmarkEnd w:id="748"/>
      <w:bookmarkEnd w:id="749"/>
      <w:bookmarkEnd w:id="750"/>
      <w:bookmarkEnd w:id="751"/>
    </w:p>
    <w:p w:rsidR="00F814C6" w:rsidRPr="00F814C6" w:rsidRDefault="00F814C6" w:rsidP="00F814C6">
      <w:pPr>
        <w:pStyle w:val="Heading3Numbers"/>
        <w:numPr>
          <w:ilvl w:val="2"/>
          <w:numId w:val="38"/>
        </w:numPr>
      </w:pPr>
      <w:bookmarkStart w:id="752" w:name="_Toc66906209"/>
      <w:bookmarkStart w:id="753" w:name="_Toc67403429"/>
      <w:bookmarkStart w:id="754" w:name="_Toc67403841"/>
      <w:bookmarkStart w:id="755" w:name="_Toc67403932"/>
      <w:bookmarkStart w:id="756" w:name="_Toc67406248"/>
      <w:bookmarkStart w:id="757" w:name="_Toc68086354"/>
      <w:bookmarkStart w:id="758" w:name="_Toc71274578"/>
      <w:r w:rsidRPr="00F814C6">
        <w:t>Conversion or write off of capital instruments</w:t>
      </w:r>
      <w:bookmarkEnd w:id="752"/>
      <w:bookmarkEnd w:id="753"/>
      <w:bookmarkEnd w:id="754"/>
      <w:bookmarkEnd w:id="755"/>
      <w:bookmarkEnd w:id="756"/>
      <w:bookmarkEnd w:id="757"/>
      <w:bookmarkEnd w:id="758"/>
    </w:p>
    <w:p w:rsidR="00F814C6" w:rsidRPr="00CE16C6" w:rsidRDefault="00F814C6" w:rsidP="00F814C6">
      <w:pPr>
        <w:rPr>
          <w:rFonts w:cs="Arial"/>
          <w:lang w:val="en-GB"/>
        </w:rPr>
      </w:pPr>
      <w:r>
        <w:rPr>
          <w:rStyle w:val="APRANORMALChar"/>
        </w:rPr>
        <w:t xml:space="preserve">In its October 2019 consultation, APRA proposed </w:t>
      </w:r>
      <w:r w:rsidRPr="00CE16C6">
        <w:rPr>
          <w:rFonts w:cs="Arial"/>
          <w:lang w:val="en-GB"/>
        </w:rPr>
        <w:t xml:space="preserve">changes </w:t>
      </w:r>
      <w:r>
        <w:rPr>
          <w:rFonts w:cs="Arial"/>
          <w:lang w:val="en-GB"/>
        </w:rPr>
        <w:t xml:space="preserve">to </w:t>
      </w:r>
      <w:r w:rsidRPr="00CE16C6">
        <w:rPr>
          <w:rFonts w:cs="Arial"/>
          <w:lang w:val="en-GB"/>
        </w:rPr>
        <w:t>para</w:t>
      </w:r>
      <w:r>
        <w:rPr>
          <w:rFonts w:cs="Arial"/>
          <w:lang w:val="en-GB"/>
        </w:rPr>
        <w:t>graph</w:t>
      </w:r>
      <w:r w:rsidRPr="00CE16C6">
        <w:rPr>
          <w:rFonts w:cs="Arial"/>
          <w:lang w:val="en-GB"/>
        </w:rPr>
        <w:t xml:space="preserve"> 7</w:t>
      </w:r>
      <w:r>
        <w:rPr>
          <w:rFonts w:cs="Arial"/>
          <w:lang w:val="en-GB"/>
        </w:rPr>
        <w:t xml:space="preserve"> of </w:t>
      </w:r>
      <w:r w:rsidRPr="00CE16C6">
        <w:rPr>
          <w:rFonts w:cs="Arial"/>
          <w:lang w:val="en-GB"/>
        </w:rPr>
        <w:t>Attachment F</w:t>
      </w:r>
      <w:r>
        <w:rPr>
          <w:rFonts w:cs="Arial"/>
          <w:lang w:val="en-GB"/>
        </w:rPr>
        <w:t xml:space="preserve"> to</w:t>
      </w:r>
      <w:r w:rsidRPr="00CE16C6">
        <w:rPr>
          <w:rFonts w:cs="Arial"/>
          <w:lang w:val="en-GB"/>
        </w:rPr>
        <w:t xml:space="preserve"> </w:t>
      </w:r>
      <w:r>
        <w:rPr>
          <w:rFonts w:cs="Arial"/>
          <w:lang w:val="en-GB"/>
        </w:rPr>
        <w:t>APS 111</w:t>
      </w:r>
      <w:r w:rsidRPr="00CE16C6">
        <w:rPr>
          <w:rFonts w:cs="Arial"/>
          <w:lang w:val="en-GB"/>
        </w:rPr>
        <w:t xml:space="preserve"> to ensure that only the </w:t>
      </w:r>
      <w:r>
        <w:rPr>
          <w:rFonts w:cs="Arial"/>
          <w:lang w:val="en-GB"/>
        </w:rPr>
        <w:t>realisable v</w:t>
      </w:r>
      <w:r w:rsidRPr="00CE16C6">
        <w:rPr>
          <w:rFonts w:cs="Arial"/>
          <w:lang w:val="en-GB"/>
        </w:rPr>
        <w:t>alue resulting from either conversion or write off of A</w:t>
      </w:r>
      <w:r>
        <w:rPr>
          <w:rFonts w:cs="Arial"/>
          <w:lang w:val="en-GB"/>
        </w:rPr>
        <w:t>T1</w:t>
      </w:r>
      <w:r w:rsidRPr="00CE16C6">
        <w:rPr>
          <w:rFonts w:cs="Arial"/>
          <w:lang w:val="en-GB"/>
        </w:rPr>
        <w:t xml:space="preserve"> capital instruments (after offsets) may be counted in </w:t>
      </w:r>
      <w:r>
        <w:rPr>
          <w:rFonts w:cs="Arial"/>
          <w:lang w:val="en-GB"/>
        </w:rPr>
        <w:t xml:space="preserve">regulatory </w:t>
      </w:r>
      <w:r w:rsidRPr="00CE16C6">
        <w:rPr>
          <w:rFonts w:cs="Arial"/>
          <w:lang w:val="en-GB"/>
        </w:rPr>
        <w:t>capital. A</w:t>
      </w:r>
      <w:r>
        <w:rPr>
          <w:rFonts w:cs="Arial"/>
          <w:lang w:val="en-GB"/>
        </w:rPr>
        <w:t xml:space="preserve">PRA is now proposing a </w:t>
      </w:r>
      <w:r w:rsidRPr="00CE16C6">
        <w:rPr>
          <w:rFonts w:cs="Arial"/>
          <w:lang w:val="en-GB"/>
        </w:rPr>
        <w:t xml:space="preserve">corresponding change </w:t>
      </w:r>
      <w:r>
        <w:rPr>
          <w:rFonts w:cs="Arial"/>
          <w:lang w:val="en-GB"/>
        </w:rPr>
        <w:t xml:space="preserve">to </w:t>
      </w:r>
      <w:r w:rsidRPr="00CE16C6">
        <w:rPr>
          <w:rFonts w:cs="Arial"/>
          <w:lang w:val="en-GB"/>
        </w:rPr>
        <w:t>paragraph 10</w:t>
      </w:r>
      <w:r>
        <w:rPr>
          <w:rFonts w:cs="Arial"/>
          <w:lang w:val="en-GB"/>
        </w:rPr>
        <w:t xml:space="preserve"> of </w:t>
      </w:r>
      <w:r w:rsidRPr="00CE16C6">
        <w:rPr>
          <w:rFonts w:cs="Arial"/>
          <w:lang w:val="en-GB"/>
        </w:rPr>
        <w:t>Attachment H</w:t>
      </w:r>
      <w:r>
        <w:rPr>
          <w:rFonts w:cs="Arial"/>
          <w:lang w:val="en-GB"/>
        </w:rPr>
        <w:t xml:space="preserve"> to</w:t>
      </w:r>
      <w:r w:rsidRPr="00CE16C6">
        <w:rPr>
          <w:rFonts w:cs="Arial"/>
          <w:lang w:val="en-GB"/>
        </w:rPr>
        <w:t xml:space="preserve"> </w:t>
      </w:r>
      <w:r>
        <w:rPr>
          <w:rFonts w:cs="Arial"/>
          <w:lang w:val="en-GB"/>
        </w:rPr>
        <w:t xml:space="preserve">APS 111, to ensure appropriate alignment with this revised requirement. </w:t>
      </w:r>
    </w:p>
    <w:p w:rsidR="00F814C6" w:rsidRPr="00F814C6" w:rsidRDefault="00F814C6" w:rsidP="00F814C6">
      <w:pPr>
        <w:pStyle w:val="Heading3Numbers"/>
      </w:pPr>
      <w:bookmarkStart w:id="759" w:name="_Toc66906210"/>
      <w:bookmarkStart w:id="760" w:name="_Toc67403430"/>
      <w:bookmarkStart w:id="761" w:name="_Toc67403842"/>
      <w:bookmarkStart w:id="762" w:name="_Toc67403933"/>
      <w:bookmarkStart w:id="763" w:name="_Toc67406249"/>
      <w:bookmarkStart w:id="764" w:name="_Toc68086355"/>
      <w:bookmarkStart w:id="765" w:name="_Toc71274579"/>
      <w:r w:rsidRPr="00F814C6">
        <w:t>New APS 220</w:t>
      </w:r>
      <w:bookmarkEnd w:id="759"/>
      <w:bookmarkEnd w:id="760"/>
      <w:bookmarkEnd w:id="761"/>
      <w:bookmarkEnd w:id="762"/>
      <w:bookmarkEnd w:id="763"/>
      <w:bookmarkEnd w:id="764"/>
      <w:bookmarkEnd w:id="765"/>
    </w:p>
    <w:p w:rsidR="00F814C6" w:rsidRDefault="00F814C6" w:rsidP="00F814C6">
      <w:r>
        <w:rPr>
          <w:rFonts w:cs="Arial"/>
          <w:lang w:val="en-GB"/>
        </w:rPr>
        <w:t xml:space="preserve">APRA is also proposing new amendments to APS 111 to ensure appropriate alignment with the introduction of the new </w:t>
      </w:r>
      <w:r w:rsidRPr="00F57274">
        <w:rPr>
          <w:rFonts w:cs="Arial"/>
          <w:i/>
          <w:lang w:val="en-GB"/>
        </w:rPr>
        <w:t>Prudential Standard APS 220 Credit Risk Management</w:t>
      </w:r>
      <w:r>
        <w:rPr>
          <w:rFonts w:cs="Arial"/>
          <w:lang w:val="en-GB"/>
        </w:rPr>
        <w:t xml:space="preserve"> (APS 220). The new APS 220 is expected to be effective no later than 1 January 2022.</w:t>
      </w:r>
      <w:r>
        <w:rPr>
          <w:rStyle w:val="FootnoteReference"/>
          <w:rFonts w:cs="Arial"/>
          <w:lang w:val="en-GB"/>
        </w:rPr>
        <w:footnoteReference w:id="4"/>
      </w:r>
      <w:r w:rsidRPr="00F57274">
        <w:t xml:space="preserve"> </w:t>
      </w:r>
    </w:p>
    <w:p w:rsidR="00F814C6" w:rsidRDefault="00F814C6" w:rsidP="00F814C6">
      <w:pPr>
        <w:rPr>
          <w:rStyle w:val="APRANORMALChar"/>
        </w:rPr>
      </w:pPr>
      <w:r>
        <w:rPr>
          <w:rFonts w:cs="Arial"/>
          <w:lang w:val="en-GB"/>
        </w:rPr>
        <w:t>APRA is proposing to amend APS 111 to reflect the removal of the General Reserve for Credit Losses requirement from the new APS 220. Under the new proposed approach to APS 111, general p</w:t>
      </w:r>
      <w:r w:rsidRPr="00B46206">
        <w:rPr>
          <w:rFonts w:cs="Arial"/>
          <w:lang w:val="en-GB"/>
        </w:rPr>
        <w:t xml:space="preserve">rovisions </w:t>
      </w:r>
      <w:r>
        <w:rPr>
          <w:rFonts w:cs="Arial"/>
          <w:lang w:val="en-GB"/>
        </w:rPr>
        <w:t xml:space="preserve">held </w:t>
      </w:r>
      <w:r w:rsidRPr="00A514B4">
        <w:rPr>
          <w:rFonts w:cs="Arial"/>
          <w:lang w:val="en-GB"/>
        </w:rPr>
        <w:t xml:space="preserve">against the relevant exposures or holdings </w:t>
      </w:r>
      <w:r>
        <w:rPr>
          <w:rFonts w:cs="Arial"/>
          <w:lang w:val="en-GB"/>
        </w:rPr>
        <w:t>may continue to be included in Tier 2 capital subject to the relevant caps.</w:t>
      </w:r>
      <w:r>
        <w:rPr>
          <w:rStyle w:val="FootnoteReference"/>
          <w:rFonts w:cs="Arial"/>
          <w:lang w:val="en-GB"/>
        </w:rPr>
        <w:footnoteReference w:id="5"/>
      </w:r>
      <w:r w:rsidRPr="00B60D56">
        <w:rPr>
          <w:rStyle w:val="APRANORMALChar"/>
        </w:rPr>
        <w:t xml:space="preserve"> </w:t>
      </w:r>
    </w:p>
    <w:p w:rsidR="00F814C6" w:rsidRDefault="00F814C6" w:rsidP="00F814C6">
      <w:pPr>
        <w:rPr>
          <w:rStyle w:val="APRANORMALChar"/>
        </w:rPr>
      </w:pPr>
      <w:r w:rsidRPr="00260AA2">
        <w:rPr>
          <w:rStyle w:val="APRANORMALChar"/>
        </w:rPr>
        <w:t xml:space="preserve">For the purposes of deducting from the relevant category of </w:t>
      </w:r>
      <w:r>
        <w:rPr>
          <w:rStyle w:val="APRANORMALChar"/>
        </w:rPr>
        <w:t>r</w:t>
      </w:r>
      <w:r w:rsidRPr="00260AA2">
        <w:rPr>
          <w:rStyle w:val="APRANORMALChar"/>
        </w:rPr>
        <w:t xml:space="preserve">egulatory </w:t>
      </w:r>
      <w:r>
        <w:rPr>
          <w:rStyle w:val="APRANORMALChar"/>
        </w:rPr>
        <w:t>c</w:t>
      </w:r>
      <w:r w:rsidRPr="00260AA2">
        <w:rPr>
          <w:rStyle w:val="APRANORMALChar"/>
        </w:rPr>
        <w:t>apital</w:t>
      </w:r>
      <w:r>
        <w:rPr>
          <w:rStyle w:val="APRANORMALChar"/>
        </w:rPr>
        <w:t xml:space="preserve">, </w:t>
      </w:r>
      <w:r w:rsidRPr="00260AA2">
        <w:rPr>
          <w:rStyle w:val="APRANORMALChar"/>
        </w:rPr>
        <w:t>an ADI may</w:t>
      </w:r>
      <w:r>
        <w:rPr>
          <w:rStyle w:val="APRANORMALChar"/>
        </w:rPr>
        <w:t xml:space="preserve"> continue to </w:t>
      </w:r>
      <w:r w:rsidRPr="00260AA2">
        <w:rPr>
          <w:rStyle w:val="APRANORMALChar"/>
        </w:rPr>
        <w:t xml:space="preserve">net any </w:t>
      </w:r>
      <w:r>
        <w:rPr>
          <w:rStyle w:val="APRANORMALChar"/>
        </w:rPr>
        <w:t xml:space="preserve">specific provisions </w:t>
      </w:r>
      <w:r w:rsidRPr="00260AA2">
        <w:rPr>
          <w:rStyle w:val="APRANORMALChar"/>
        </w:rPr>
        <w:t>held against the relevant exposures or holdings, before making the necessary deductions.</w:t>
      </w:r>
      <w:r>
        <w:rPr>
          <w:rStyle w:val="APRANORMALChar"/>
        </w:rPr>
        <w:t xml:space="preserve"> </w:t>
      </w:r>
    </w:p>
    <w:p w:rsidR="00F814C6" w:rsidRPr="00F814C6" w:rsidRDefault="00F814C6" w:rsidP="00F814C6">
      <w:pPr>
        <w:pStyle w:val="Heading3Numbers"/>
      </w:pPr>
      <w:bookmarkStart w:id="766" w:name="_Toc68086356"/>
      <w:bookmarkStart w:id="767" w:name="_Toc71274580"/>
      <w:r w:rsidRPr="00F814C6">
        <w:t>Existing transition arrangements for capital instruments</w:t>
      </w:r>
      <w:bookmarkEnd w:id="766"/>
      <w:bookmarkEnd w:id="767"/>
    </w:p>
    <w:p w:rsidR="00F814C6" w:rsidRDefault="00F814C6" w:rsidP="00F814C6">
      <w:pPr>
        <w:rPr>
          <w:rStyle w:val="APRANORMALChar"/>
        </w:rPr>
      </w:pPr>
      <w:r w:rsidRPr="00484ACA">
        <w:rPr>
          <w:rStyle w:val="APRANORMALChar"/>
        </w:rPr>
        <w:t>APRA is proposing to remove the existing transition arrangements for capital instruments contained in Attachment L of the current APS 111. These arrangements relate to certain non-CET1 and Tier 2 capital instruments issued before 1 January 2013, made redundant with the final revised APS 111 effective from 1 January 2022.</w:t>
      </w:r>
    </w:p>
    <w:p w:rsidR="00F814C6" w:rsidRDefault="00F814C6" w:rsidP="00EA5199">
      <w:pPr>
        <w:numPr>
          <w:ilvl w:val="0"/>
          <w:numId w:val="0"/>
        </w:numPr>
        <w:ind w:right="119"/>
      </w:pPr>
    </w:p>
    <w:p w:rsidR="007F793C" w:rsidRDefault="007F793C" w:rsidP="007F793C">
      <w:pPr>
        <w:pStyle w:val="Heading1Numbers"/>
      </w:pPr>
      <w:bookmarkStart w:id="768" w:name="_Toc71274581"/>
      <w:r>
        <w:t>Consultation</w:t>
      </w:r>
      <w:bookmarkEnd w:id="768"/>
    </w:p>
    <w:p w:rsidR="007F793C" w:rsidRPr="007F793C" w:rsidRDefault="007F793C" w:rsidP="007F793C">
      <w:pPr>
        <w:pStyle w:val="Heading2"/>
        <w:rPr>
          <w:rFonts w:eastAsia="Times New Roman"/>
        </w:rPr>
      </w:pPr>
      <w:bookmarkStart w:id="769" w:name="_Toc71274582"/>
      <w:r w:rsidRPr="007F793C">
        <w:rPr>
          <w:rFonts w:eastAsia="Times New Roman"/>
        </w:rPr>
        <w:t>Request for submissions</w:t>
      </w:r>
      <w:bookmarkEnd w:id="769"/>
    </w:p>
    <w:p w:rsidR="007F793C" w:rsidRPr="007F793C" w:rsidRDefault="007F793C" w:rsidP="007F793C">
      <w:r w:rsidRPr="007F793C">
        <w:t xml:space="preserve">APRA invites written submissions on the proposals set out in Chapter 3 of this Discussion Paper. Written submissions should be sent to </w:t>
      </w:r>
      <w:hyperlink r:id="rId12" w:history="1">
        <w:r w:rsidRPr="007F793C">
          <w:rPr>
            <w:rStyle w:val="Hyperlink"/>
          </w:rPr>
          <w:t>ADIpolicy@apra.gov.au</w:t>
        </w:r>
      </w:hyperlink>
      <w:r w:rsidRPr="007F793C">
        <w:t xml:space="preserve"> by 10 June 2021 and addressed to: </w:t>
      </w:r>
    </w:p>
    <w:p w:rsidR="007F793C" w:rsidRPr="007F793C" w:rsidRDefault="007F793C" w:rsidP="007F793C">
      <w:pPr>
        <w:spacing w:after="0" w:line="276" w:lineRule="auto"/>
      </w:pPr>
      <w:r w:rsidRPr="007F793C">
        <w:t xml:space="preserve">General Manager </w:t>
      </w:r>
    </w:p>
    <w:p w:rsidR="007F793C" w:rsidRPr="007F793C" w:rsidRDefault="007F793C" w:rsidP="007F793C">
      <w:pPr>
        <w:spacing w:after="0" w:line="276" w:lineRule="auto"/>
      </w:pPr>
      <w:r w:rsidRPr="007F793C">
        <w:t xml:space="preserve">Policy Development </w:t>
      </w:r>
    </w:p>
    <w:p w:rsidR="007F793C" w:rsidRPr="007F793C" w:rsidRDefault="007F793C" w:rsidP="007F793C">
      <w:pPr>
        <w:spacing w:after="0" w:line="276" w:lineRule="auto"/>
      </w:pPr>
      <w:r w:rsidRPr="007F793C">
        <w:t xml:space="preserve">Policy and Advice Division </w:t>
      </w:r>
    </w:p>
    <w:p w:rsidR="007F793C" w:rsidRPr="007F793C" w:rsidRDefault="007F793C" w:rsidP="007F793C">
      <w:pPr>
        <w:spacing w:after="0" w:line="276" w:lineRule="auto"/>
      </w:pPr>
      <w:r w:rsidRPr="007F793C">
        <w:t>Australian Prudential Regulation Authority</w:t>
      </w:r>
    </w:p>
    <w:p w:rsidR="007F793C" w:rsidRPr="007F793C" w:rsidRDefault="007F793C" w:rsidP="007F793C">
      <w:pPr>
        <w:pStyle w:val="Heading2"/>
        <w:rPr>
          <w:rFonts w:eastAsia="Times New Roman"/>
        </w:rPr>
      </w:pPr>
      <w:bookmarkStart w:id="770" w:name="_Toc15987955"/>
      <w:bookmarkStart w:id="771" w:name="_Toc16067978"/>
      <w:bookmarkStart w:id="772" w:name="_Toc16752490"/>
      <w:bookmarkStart w:id="773" w:name="_Toc16759923"/>
      <w:bookmarkStart w:id="774" w:name="_Toc16765510"/>
      <w:bookmarkStart w:id="775" w:name="_Toc16773514"/>
      <w:bookmarkStart w:id="776" w:name="_Toc16773771"/>
      <w:bookmarkStart w:id="777" w:name="_Toc17097524"/>
      <w:bookmarkStart w:id="778" w:name="_Toc17103812"/>
      <w:bookmarkStart w:id="779" w:name="_Toc17105608"/>
      <w:bookmarkStart w:id="780" w:name="_Toc17276173"/>
      <w:bookmarkStart w:id="781" w:name="_Toc17283326"/>
      <w:bookmarkStart w:id="782" w:name="_Toc17291208"/>
      <w:bookmarkStart w:id="783" w:name="_Toc17375794"/>
      <w:bookmarkStart w:id="784" w:name="_Toc17376647"/>
      <w:bookmarkStart w:id="785" w:name="_Toc17450838"/>
      <w:bookmarkStart w:id="786" w:name="_Toc17468093"/>
      <w:bookmarkStart w:id="787" w:name="_Toc17811672"/>
      <w:bookmarkStart w:id="788" w:name="_Toc19122154"/>
      <w:bookmarkStart w:id="789" w:name="_Toc20405526"/>
      <w:bookmarkStart w:id="790" w:name="_Toc71274583"/>
      <w:r w:rsidRPr="007F793C">
        <w:rPr>
          <w:rFonts w:eastAsia="Times New Roman"/>
        </w:rPr>
        <w:t>Important disclosure notice – publication of submissions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rsidR="007F793C" w:rsidRPr="007F793C" w:rsidRDefault="007F793C" w:rsidP="007F793C">
      <w:r w:rsidRPr="007F793C">
        <w:t>All information in submissions will be made available to the public on the APRA website unless a respondent expressly requests that all or part of the submission is to remain in confidence. Automatically generated confidentiality statements in emails do not suffice for this purpose. Respondents who would like part of their submission to remain in confidence should provide this information marked as confidential in a separate attachment.</w:t>
      </w:r>
    </w:p>
    <w:p w:rsidR="007F793C" w:rsidRPr="007F793C" w:rsidRDefault="007F793C" w:rsidP="007F793C">
      <w:r w:rsidRPr="007F793C">
        <w:t>Submissions may be the subject of a request for access made under the Freedom of Information Act 1982 (FOIA). APRA will determine such requests, if any, in accordance with the provisions of the FOIA. Information in the submission about any APRA-regulated entity that is not in the public domain and that is identified as confidential will be protected by section 56 of the Australian Prudential Regulation Authority Act 1998 and will therefore be exempt from production under the FOIA.</w:t>
      </w:r>
    </w:p>
    <w:p w:rsidR="007F793C" w:rsidRPr="007F793C" w:rsidRDefault="007F793C" w:rsidP="007F793C">
      <w:pPr>
        <w:pStyle w:val="Heading2"/>
        <w:rPr>
          <w:rFonts w:eastAsia="Times New Roman"/>
        </w:rPr>
      </w:pPr>
      <w:bookmarkStart w:id="791" w:name="_Toc15987956"/>
      <w:bookmarkStart w:id="792" w:name="_Toc16067979"/>
      <w:bookmarkStart w:id="793" w:name="_Toc16752491"/>
      <w:bookmarkStart w:id="794" w:name="_Toc16759924"/>
      <w:bookmarkStart w:id="795" w:name="_Toc16765511"/>
      <w:bookmarkStart w:id="796" w:name="_Toc16773515"/>
      <w:bookmarkStart w:id="797" w:name="_Toc16773772"/>
      <w:bookmarkStart w:id="798" w:name="_Toc17097525"/>
      <w:bookmarkStart w:id="799" w:name="_Toc17103813"/>
      <w:bookmarkStart w:id="800" w:name="_Toc17105609"/>
      <w:bookmarkStart w:id="801" w:name="_Toc17276174"/>
      <w:bookmarkStart w:id="802" w:name="_Toc17283327"/>
      <w:bookmarkStart w:id="803" w:name="_Toc17291209"/>
      <w:bookmarkStart w:id="804" w:name="_Toc17375795"/>
      <w:bookmarkStart w:id="805" w:name="_Toc17376648"/>
      <w:bookmarkStart w:id="806" w:name="_Toc17450839"/>
      <w:bookmarkStart w:id="807" w:name="_Toc17468094"/>
      <w:bookmarkStart w:id="808" w:name="_Toc17811673"/>
      <w:bookmarkStart w:id="809" w:name="_Toc19122155"/>
      <w:bookmarkStart w:id="810" w:name="_Toc20405527"/>
      <w:bookmarkStart w:id="811" w:name="_Toc71274584"/>
      <w:r w:rsidRPr="007F793C">
        <w:rPr>
          <w:rFonts w:eastAsia="Times New Roman"/>
        </w:rPr>
        <w:t>Request for cost-benefit analysis information</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rsidR="007F793C" w:rsidRPr="007F793C" w:rsidRDefault="007F793C" w:rsidP="007F793C">
      <w:r w:rsidRPr="007F793C">
        <w:t>APRA requests that all interested stakeholders use this consultation opportunity to provide information on the compliance impact of the proposed changes and any other substantive costs associated with the changes. Compliance costs are defined as direct costs to businesses of performing activities associated with complying with government regulation. Specifically, information is sought on any increases or decreases to the compliance costs incurred by businesses as a result of APRA’s proposal.</w:t>
      </w:r>
    </w:p>
    <w:p w:rsidR="007F793C" w:rsidRPr="007F793C" w:rsidRDefault="007F793C" w:rsidP="007F793C">
      <w:r w:rsidRPr="007F793C">
        <w:t xml:space="preserve">Consistent with the Government’s approach, APRA will use the methodology behind the Regulatory Burden Measurement Tool to assess compliance costs. This tool is designed to capture the relevant costs in a structured way, including a separate assessment of upfront costs and ongoing costs. It is available at: </w:t>
      </w:r>
      <w:hyperlink r:id="rId13" w:history="1">
        <w:r w:rsidRPr="007F793C">
          <w:rPr>
            <w:rStyle w:val="Hyperlink"/>
          </w:rPr>
          <w:t>https://rbm.obpr.gov.au/home.aspx</w:t>
        </w:r>
      </w:hyperlink>
      <w:r w:rsidRPr="007F793C">
        <w:t xml:space="preserve">. </w:t>
      </w:r>
    </w:p>
    <w:p w:rsidR="002366C7" w:rsidRPr="007F793C" w:rsidRDefault="007F793C" w:rsidP="007F793C">
      <w:r w:rsidRPr="007F793C">
        <w:t>Respondents are requested to use this methodology to estimate costs to ensure that the data supplied to APRA can be aggregated and used in an industry-wide assessment. When submitting their cost assessment to APRA, respondents are asked to include any assumptions made and, where relevant, any limitations inherent in their assessment. Feedback should address the additional costs incurred as a result of complying with APRA’s requirements, not activities that institutions would undertake regardless of regulatory requirements in their ordinary course of business.</w:t>
      </w:r>
    </w:p>
    <w:p w:rsidR="002366C7" w:rsidRDefault="002366C7" w:rsidP="00C31C3D">
      <w:pPr>
        <w:numPr>
          <w:ilvl w:val="0"/>
          <w:numId w:val="0"/>
        </w:numPr>
        <w:ind w:left="-426"/>
      </w:pPr>
    </w:p>
    <w:p w:rsidR="000E6973" w:rsidRDefault="000E6973" w:rsidP="00C31C3D">
      <w:pPr>
        <w:numPr>
          <w:ilvl w:val="0"/>
          <w:numId w:val="0"/>
        </w:numPr>
        <w:ind w:left="-284"/>
        <w:sectPr w:rsidR="000E6973" w:rsidSect="00895A56">
          <w:footerReference w:type="default" r:id="rId14"/>
          <w:headerReference w:type="first" r:id="rId15"/>
          <w:pgSz w:w="11906" w:h="16838" w:code="9"/>
          <w:pgMar w:top="1440" w:right="1416" w:bottom="1440" w:left="1440" w:header="397" w:footer="567" w:gutter="0"/>
          <w:pgNumType w:start="1"/>
          <w:cols w:space="708"/>
          <w:titlePg/>
          <w:docGrid w:linePitch="360"/>
        </w:sectPr>
      </w:pPr>
    </w:p>
    <w:p w:rsidR="00F366D7" w:rsidRDefault="00F366D7" w:rsidP="00691276"/>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Pr="00F366D7" w:rsidRDefault="00F366D7" w:rsidP="00F366D7"/>
    <w:p w:rsidR="00F366D7" w:rsidRDefault="00F366D7" w:rsidP="00F366D7"/>
    <w:p w:rsidR="003A473C" w:rsidRPr="00F366D7" w:rsidRDefault="003A473C" w:rsidP="00F366D7"/>
    <w:sectPr w:rsidR="003A473C" w:rsidRPr="00F366D7" w:rsidSect="00AD7CB0">
      <w:headerReference w:type="first" r:id="rId16"/>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F1" w:rsidRPr="000D4EDE" w:rsidRDefault="000B47F1" w:rsidP="000D4EDE">
      <w:r>
        <w:separator/>
      </w:r>
    </w:p>
  </w:endnote>
  <w:endnote w:type="continuationSeparator" w:id="0">
    <w:p w:rsidR="000B47F1" w:rsidRPr="000D4EDE" w:rsidRDefault="000B47F1"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w:charset w:val="00"/>
    <w:family w:val="swiss"/>
    <w:pitch w:val="variable"/>
    <w:sig w:usb0="800000EF" w:usb1="4000A47B" w:usb2="00000000" w:usb3="00000000" w:csb0="000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Light">
    <w:altName w:val="MV Boli"/>
    <w:charset w:val="00"/>
    <w:family w:val="swiss"/>
    <w:pitch w:val="variable"/>
    <w:sig w:usb0="00000003" w:usb1="4000A47B" w:usb2="00000000" w:usb3="00000000" w:csb0="00000001" w:csb1="00000000"/>
  </w:font>
  <w:font w:name="DIN OT Medium">
    <w:altName w:val="Arial"/>
    <w:charset w:val="00"/>
    <w:family w:val="swiss"/>
    <w:pitch w:val="variable"/>
    <w:sig w:usb0="00000003"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DIN Offc">
    <w:altName w:val="Segoe Script"/>
    <w:charset w:val="00"/>
    <w:family w:val="swiss"/>
    <w:pitch w:val="variable"/>
    <w:sig w:usb0="00000003"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1A" w:rsidRDefault="002A641A" w:rsidP="002A641A">
    <w:pPr>
      <w:pStyle w:val="Footer"/>
    </w:pPr>
    <w:r w:rsidRPr="002A641A">
      <w:ptab w:relativeTo="margin" w:alignment="left" w:leader="none"/>
    </w:r>
    <w:r w:rsidR="00BB2437" w:rsidRPr="00BB2437">
      <w:t xml:space="preserve">AUSTRALIAN PRUDENTIAL REGULATION AUTHORITY </w:t>
    </w:r>
    <w:r w:rsidR="006379B5">
      <w:ptab w:relativeTo="margin" w:alignment="right" w:leader="none"/>
    </w:r>
    <w:r w:rsidR="006379B5">
      <w:fldChar w:fldCharType="begin"/>
    </w:r>
    <w:r w:rsidR="006379B5">
      <w:instrText xml:space="preserve"> PAGE  \* Arabic  \* MERGEFORMAT </w:instrText>
    </w:r>
    <w:r w:rsidR="006379B5">
      <w:fldChar w:fldCharType="separate"/>
    </w:r>
    <w:r w:rsidR="00F43A77">
      <w:rPr>
        <w:noProof/>
      </w:rPr>
      <w:t>2</w:t>
    </w:r>
    <w:r w:rsidR="006379B5">
      <w:fldChar w:fldCharType="end"/>
    </w:r>
  </w:p>
  <w:p w:rsidR="004D1532" w:rsidRDefault="00646695" w:rsidP="00553DCD">
    <w:pPr>
      <w:numPr>
        <w:ilvl w:val="0"/>
        <w:numId w:val="0"/>
      </w:numPr>
    </w:pPr>
    <w:r>
      <w:rPr>
        <w:noProof/>
        <w:lang w:eastAsia="en-AU"/>
      </w:rPr>
      <mc:AlternateContent>
        <mc:Choice Requires="wpg">
          <w:drawing>
            <wp:anchor distT="0" distB="0" distL="114300" distR="114300" simplePos="0" relativeHeight="251659264" behindDoc="0" locked="0" layoutInCell="1" allowOverlap="1" wp14:anchorId="122B6EC1" wp14:editId="5130DA11">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3"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650A74" id="Group 1" o:spid="_x0000_s1026" alt="Title: Footer Banner - Description: Footer Banner" style="position:absolute;margin-left:-1in;margin-top:33.05pt;width:1190.55pt;height:21.85pt;z-index:251659264"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">
              <v:rect id="Rectangle 5" o:spid="_x0000_s1027" alt="Footer Banner" style="position:absolute;width:151200;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GeacAA&#10;AADaAAAADwAAAGRycy9kb3ducmV2LnhtbESP3YrCMBSE7xd8h3AE79ZU8Y9qFBHEXoiguw9waI5N&#10;MTkpTdT69psFwcthZr5hVpvOWfGgNtSeFYyGGQji0uuaKwW/P/vvBYgQkTVaz6TgRQE2697XCnPt&#10;n3ymxyVWIkE45KjAxNjkUobSkMMw9A1x8q6+dRiTbCupW3wmuLNynGUz6bDmtGCwoZ2h8na5OwU2&#10;wzvNz4vT1Rwqnk9CYY+3QqlBv9suQUTq4if8bhdawRT+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7GeacAAAADaAAAADwAAAAAAAAAAAAAAAACYAgAAZHJzL2Rvd25y&#10;ZXYueG1sUEsFBgAAAAAEAAQA9QAAAIUDAAAAAA==&#10;" fillcolor="#00a9e0 [3205]" stroked="f" strokeweight="2pt"/>
              <v:rect id="Rectangle 3" o:spid="_x0000_s1028" alt="Footer Banner" style="position:absolute;left:9144;width:27324;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TcMMA&#10;AADaAAAADwAAAGRycy9kb3ducmV2LnhtbESPQWsCMRSE74L/ITyhN83aoshqlFqo9NiqlHp7bJ6b&#10;pZuXsMm6a3+9KQgeh5n5hllteluLCzWhcqxgOslAEBdOV1wqOB7exwsQISJrrB2TgisF2KyHgxXm&#10;2nX8RZd9LEWCcMhRgYnR51KGwpDFMHGeOHln11iMSTal1A12CW5r+Zxlc2mx4rRg0NOboeJ331oF&#10;fnf8PJ3N1nfz6/ds15ftz1/VKvU06l+XICL18RG+tz+0ghf4v5J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PTcMMAAADaAAAADwAAAAAAAAAAAAAAAACYAgAAZHJzL2Rv&#10;d25yZXYueG1sUEsFBgAAAAAEAAQA9QAAAIgDAAAAAA==&#10;" fillcolor="#012169 [3204]"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F1" w:rsidRPr="000D4EDE" w:rsidRDefault="000B47F1" w:rsidP="000D4EDE">
      <w:r>
        <w:separator/>
      </w:r>
    </w:p>
  </w:footnote>
  <w:footnote w:type="continuationSeparator" w:id="0">
    <w:p w:rsidR="000B47F1" w:rsidRPr="000D4EDE" w:rsidRDefault="000B47F1" w:rsidP="000D4EDE">
      <w:r>
        <w:continuationSeparator/>
      </w:r>
    </w:p>
  </w:footnote>
  <w:footnote w:id="1">
    <w:p w:rsidR="005034BA" w:rsidRDefault="005034BA" w:rsidP="005034BA">
      <w:pPr>
        <w:pStyle w:val="FootnoteText"/>
      </w:pPr>
      <w:r>
        <w:rPr>
          <w:rStyle w:val="FootnoteReference"/>
        </w:rPr>
        <w:footnoteRef/>
      </w:r>
      <w:r>
        <w:t xml:space="preserve"> APRA </w:t>
      </w:r>
      <w:r w:rsidRPr="001F01F3">
        <w:t xml:space="preserve">Discussion paper - </w:t>
      </w:r>
      <w:r w:rsidRPr="00900689">
        <w:rPr>
          <w:i/>
        </w:rPr>
        <w:t>Revisions to APS 111 Capital Adequacy: Measurement of Capital</w:t>
      </w:r>
      <w:r>
        <w:t>, October 2019.</w:t>
      </w:r>
    </w:p>
  </w:footnote>
  <w:footnote w:id="2">
    <w:p w:rsidR="00F814C6" w:rsidRDefault="00F814C6" w:rsidP="00F814C6">
      <w:pPr>
        <w:pStyle w:val="FootnoteText"/>
      </w:pPr>
      <w:r>
        <w:rPr>
          <w:rStyle w:val="FootnoteReference"/>
        </w:rPr>
        <w:footnoteRef/>
      </w:r>
      <w:r>
        <w:t xml:space="preserve"> APRA letter to all ADIs:</w:t>
      </w:r>
      <w:r w:rsidRPr="005C67C4">
        <w:t xml:space="preserve"> </w:t>
      </w:r>
      <w:r w:rsidRPr="003845C1">
        <w:rPr>
          <w:i/>
        </w:rPr>
        <w:t>Interim capital treatment of new or additional equity investments in banking and insurance subsidiaries</w:t>
      </w:r>
      <w:r>
        <w:t>, November 2020.</w:t>
      </w:r>
    </w:p>
  </w:footnote>
  <w:footnote w:id="3">
    <w:p w:rsidR="00F814C6" w:rsidRDefault="00F814C6" w:rsidP="00F814C6">
      <w:pPr>
        <w:pStyle w:val="FootnoteText"/>
      </w:pPr>
      <w:r>
        <w:rPr>
          <w:rStyle w:val="FootnoteReference"/>
        </w:rPr>
        <w:footnoteRef/>
      </w:r>
      <w:r>
        <w:t xml:space="preserve"> TLAC holdings do not include CET1, AT1 and Tier 2 capital instruments that qualify as regulatory capital. An ADI must deduct their TLAC holdings that do not otherwise qualify as regulatory capital from their own Tier 2 capital.</w:t>
      </w:r>
    </w:p>
  </w:footnote>
  <w:footnote w:id="4">
    <w:p w:rsidR="00F814C6" w:rsidRDefault="00F814C6" w:rsidP="00F814C6">
      <w:pPr>
        <w:pStyle w:val="FootnoteText"/>
      </w:pPr>
      <w:r>
        <w:rPr>
          <w:rStyle w:val="FootnoteReference"/>
        </w:rPr>
        <w:footnoteRef/>
      </w:r>
      <w:r>
        <w:t xml:space="preserve"> APRA Letter: </w:t>
      </w:r>
      <w:r w:rsidRPr="00F57274">
        <w:rPr>
          <w:i/>
        </w:rPr>
        <w:t>Consultation on revisions to the new Prudential Standard APS 220 Credit Risk Management</w:t>
      </w:r>
      <w:r>
        <w:rPr>
          <w:i/>
        </w:rPr>
        <w:t>,</w:t>
      </w:r>
      <w:r w:rsidRPr="00F57274">
        <w:t xml:space="preserve"> </w:t>
      </w:r>
      <w:r>
        <w:t>December 2020.</w:t>
      </w:r>
    </w:p>
  </w:footnote>
  <w:footnote w:id="5">
    <w:p w:rsidR="00F814C6" w:rsidRDefault="00F814C6" w:rsidP="00F814C6">
      <w:pPr>
        <w:pStyle w:val="FootnoteText"/>
      </w:pPr>
      <w:r>
        <w:rPr>
          <w:rStyle w:val="FootnoteReference"/>
        </w:rPr>
        <w:footnoteRef/>
      </w:r>
      <w:r>
        <w:t xml:space="preserve"> APRA Letter: </w:t>
      </w:r>
      <w:r w:rsidRPr="009E743F">
        <w:rPr>
          <w:i/>
        </w:rPr>
        <w:t>Provisions for regulatory purposes and AASB 9 Financial Instruments</w:t>
      </w:r>
      <w:r>
        <w:rPr>
          <w:i/>
        </w:rPr>
        <w:t xml:space="preserve">, </w:t>
      </w:r>
      <w:r w:rsidRPr="009E743F">
        <w:t>July 2017</w:t>
      </w:r>
      <w:r>
        <w:t>.</w:t>
      </w:r>
      <w:r w:rsidRPr="009E743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CB0" w:rsidRDefault="00FE5B7F">
    <w:pPr>
      <w:pStyle w:val="Heade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186055</wp:posOffset>
              </wp:positionV>
              <wp:extent cx="3019425" cy="914400"/>
              <wp:effectExtent l="0" t="0" r="9525" b="0"/>
              <wp:wrapNone/>
              <wp:docPr id="2" name="Rectangle 2"/>
              <wp:cNvGraphicFramePr/>
              <a:graphic xmlns:a="http://schemas.openxmlformats.org/drawingml/2006/main">
                <a:graphicData uri="http://schemas.microsoft.com/office/word/2010/wordprocessingShape">
                  <wps:wsp>
                    <wps:cNvSpPr/>
                    <wps:spPr>
                      <a:xfrm>
                        <a:off x="0" y="0"/>
                        <a:ext cx="3019425"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BFF6ED" id="Rectangle 2" o:spid="_x0000_s1026" style="position:absolute;margin-left:252pt;margin-top:14.65pt;width:237.75pt;height:1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" fillcolor="#012169 [3204]" stroked="f" strokeweight="2pt"/>
          </w:pict>
        </mc:Fallback>
      </mc:AlternateContent>
    </w:r>
    <w:r>
      <w:rPr>
        <w:noProof/>
        <w:lang w:eastAsia="en-AU"/>
      </w:rPr>
      <w:drawing>
        <wp:anchor distT="0" distB="0" distL="114300" distR="114300" simplePos="0" relativeHeight="251667456" behindDoc="0" locked="0" layoutInCell="1" allowOverlap="1">
          <wp:simplePos x="0" y="0"/>
          <wp:positionH relativeFrom="column">
            <wp:posOffset>3400425</wp:posOffset>
          </wp:positionH>
          <wp:positionV relativeFrom="paragraph">
            <wp:posOffset>328930</wp:posOffset>
          </wp:positionV>
          <wp:extent cx="2630724" cy="695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RA_logo_White-01.png"/>
                  <pic:cNvPicPr/>
                </pic:nvPicPr>
                <pic:blipFill>
                  <a:blip r:embed="rId1">
                    <a:extLst>
                      <a:ext uri="{28A0092B-C50C-407E-A947-70E740481C1C}">
                        <a14:useLocalDpi xmlns:a14="http://schemas.microsoft.com/office/drawing/2010/main" val="0"/>
                      </a:ext>
                    </a:extLst>
                  </a:blip>
                  <a:stretch>
                    <a:fillRect/>
                  </a:stretch>
                </pic:blipFill>
                <pic:spPr>
                  <a:xfrm>
                    <a:off x="0" y="0"/>
                    <a:ext cx="2630724" cy="695325"/>
                  </a:xfrm>
                  <a:prstGeom prst="rect">
                    <a:avLst/>
                  </a:prstGeom>
                </pic:spPr>
              </pic:pic>
            </a:graphicData>
          </a:graphic>
          <wp14:sizeRelH relativeFrom="margin">
            <wp14:pctWidth>0</wp14:pctWidth>
          </wp14:sizeRelH>
          <wp14:sizeRelV relativeFrom="margin">
            <wp14:pctHeight>0</wp14:pctHeight>
          </wp14:sizeRelV>
        </wp:anchor>
      </w:drawing>
    </w:r>
    <w:r w:rsidR="00F366D7">
      <w:rPr>
        <w:noProof/>
        <w:lang w:eastAsia="en-AU"/>
      </w:rPr>
      <w:drawing>
        <wp:anchor distT="0" distB="0" distL="114300" distR="114300" simplePos="0" relativeHeight="251665408" behindDoc="1" locked="0" layoutInCell="1" allowOverlap="1" wp14:anchorId="1C34C99F" wp14:editId="30279E5F">
          <wp:simplePos x="0" y="0"/>
          <wp:positionH relativeFrom="page">
            <wp:posOffset>0</wp:posOffset>
          </wp:positionH>
          <wp:positionV relativeFrom="page">
            <wp:posOffset>-1905</wp:posOffset>
          </wp:positionV>
          <wp:extent cx="7560000" cy="10699200"/>
          <wp:effectExtent l="0" t="0" r="3175" b="6985"/>
          <wp:wrapNone/>
          <wp:docPr id="9" name="Picture 9" descr="Logo and Background Image" title="Logo and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D20" w:rsidRDefault="00F366D7">
    <w:pPr>
      <w:pStyle w:val="Header"/>
    </w:pPr>
    <w:r w:rsidRPr="00F366D7">
      <w:rPr>
        <w:noProof/>
        <w:lang w:eastAsia="en-AU"/>
      </w:rPr>
      <mc:AlternateContent>
        <mc:Choice Requires="wps">
          <w:drawing>
            <wp:anchor distT="0" distB="0" distL="114300" distR="114300" simplePos="0" relativeHeight="251662336" behindDoc="0" locked="0" layoutInCell="1" allowOverlap="1" wp14:anchorId="726978B6" wp14:editId="5348D088">
              <wp:simplePos x="0" y="0"/>
              <wp:positionH relativeFrom="column">
                <wp:posOffset>-942975</wp:posOffset>
              </wp:positionH>
              <wp:positionV relativeFrom="paragraph">
                <wp:posOffset>-350520</wp:posOffset>
              </wp:positionV>
              <wp:extent cx="7586663" cy="10667365"/>
              <wp:effectExtent l="0" t="0" r="14605" b="19685"/>
              <wp:wrapNone/>
              <wp:docPr id="35" name="Rectangle 35"/>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DA6052" id="Rectangle 35" o:spid="_x0000_s1026" style="position:absolute;margin-left:-74.25pt;margin-top:-27.6pt;width:597.4pt;height:839.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" fillcolor="#012169 [3204]" strokecolor="#001034 [1604]" strokeweight="2pt"/>
          </w:pict>
        </mc:Fallback>
      </mc:AlternateContent>
    </w:r>
    <w:r w:rsidRPr="00F366D7">
      <w:rPr>
        <w:noProof/>
        <w:lang w:eastAsia="en-AU"/>
      </w:rPr>
      <w:drawing>
        <wp:anchor distT="0" distB="0" distL="114300" distR="114300" simplePos="0" relativeHeight="251663360" behindDoc="0" locked="0" layoutInCell="1" allowOverlap="1" wp14:anchorId="3CC2693F" wp14:editId="094C67C9">
          <wp:simplePos x="0" y="0"/>
          <wp:positionH relativeFrom="margin">
            <wp:posOffset>1408430</wp:posOffset>
          </wp:positionH>
          <wp:positionV relativeFrom="margin">
            <wp:posOffset>4164965</wp:posOffset>
          </wp:positionV>
          <wp:extent cx="2857500" cy="73342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5C8C044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9C35042"/>
    <w:multiLevelType w:val="hybridMultilevel"/>
    <w:tmpl w:val="56E03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ED128A4"/>
    <w:multiLevelType w:val="hybridMultilevel"/>
    <w:tmpl w:val="90661042"/>
    <w:lvl w:ilvl="0" w:tplc="4C886866">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FE1B54"/>
    <w:multiLevelType w:val="multilevel"/>
    <w:tmpl w:val="A34881FC"/>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12169"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color w:val="012169" w:themeColor="accen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786194A"/>
    <w:multiLevelType w:val="hybridMultilevel"/>
    <w:tmpl w:val="D4E4D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D900F2"/>
    <w:multiLevelType w:val="hybridMultilevel"/>
    <w:tmpl w:val="D054E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C03DC3"/>
    <w:multiLevelType w:val="hybridMultilevel"/>
    <w:tmpl w:val="0A6E887A"/>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3126302"/>
    <w:multiLevelType w:val="hybridMultilevel"/>
    <w:tmpl w:val="7AEC56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D64615C"/>
    <w:multiLevelType w:val="hybridMultilevel"/>
    <w:tmpl w:val="D6D6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8D5ECD"/>
    <w:multiLevelType w:val="hybridMultilevel"/>
    <w:tmpl w:val="3A64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E6E8A"/>
    <w:multiLevelType w:val="hybridMultilevel"/>
    <w:tmpl w:val="971451EA"/>
    <w:lvl w:ilvl="0" w:tplc="899ED676">
      <w:start w:val="1"/>
      <w:numFmt w:val="decimal"/>
      <w:pStyle w:val="Numberedtableheading"/>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9"/>
  </w:num>
  <w:num w:numId="5">
    <w:abstractNumId w:val="23"/>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7"/>
  </w:num>
  <w:num w:numId="11">
    <w:abstractNumId w:val="5"/>
  </w:num>
  <w:num w:numId="12">
    <w:abstractNumId w:val="4"/>
  </w:num>
  <w:num w:numId="13">
    <w:abstractNumId w:val="12"/>
  </w:num>
  <w:num w:numId="14">
    <w:abstractNumId w:val="9"/>
  </w:num>
  <w:num w:numId="15">
    <w:abstractNumId w:val="13"/>
  </w:num>
  <w:num w:numId="16">
    <w:abstractNumId w:val="21"/>
  </w:num>
  <w:num w:numId="17">
    <w:abstractNumId w:val="3"/>
  </w:num>
  <w:num w:numId="18">
    <w:abstractNumId w:val="26"/>
  </w:num>
  <w:num w:numId="19">
    <w:abstractNumId w:val="14"/>
  </w:num>
  <w:num w:numId="20">
    <w:abstractNumId w:val="26"/>
  </w:num>
  <w:num w:numId="21">
    <w:abstractNumId w:val="18"/>
  </w:num>
  <w:num w:numId="22">
    <w:abstractNumId w:val="15"/>
  </w:num>
  <w:num w:numId="23">
    <w:abstractNumId w:val="18"/>
  </w:num>
  <w:num w:numId="24">
    <w:abstractNumId w:val="26"/>
  </w:num>
  <w:num w:numId="25">
    <w:abstractNumId w:val="26"/>
  </w:num>
  <w:num w:numId="26">
    <w:abstractNumId w:val="18"/>
  </w:num>
  <w:num w:numId="27">
    <w:abstractNumId w:val="26"/>
  </w:num>
  <w:num w:numId="28">
    <w:abstractNumId w:val="1"/>
  </w:num>
  <w:num w:numId="29">
    <w:abstractNumId w:val="24"/>
  </w:num>
  <w:num w:numId="30">
    <w:abstractNumId w:val="20"/>
  </w:num>
  <w:num w:numId="31">
    <w:abstractNumId w:val="16"/>
  </w:num>
  <w:num w:numId="32">
    <w:abstractNumId w:val="17"/>
  </w:num>
  <w:num w:numId="33">
    <w:abstractNumId w:val="22"/>
  </w:num>
  <w:num w:numId="34">
    <w:abstractNumId w:val="10"/>
  </w:num>
  <w:num w:numId="35">
    <w:abstractNumId w:val="25"/>
  </w:num>
  <w:num w:numId="3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SortMethod w:val="0004"/>
  <w:documentProtection w:formatting="1" w:enforcement="0"/>
  <w:styleLockTheme/>
  <w:styleLockQFSet/>
  <w:defaultTabStop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F1"/>
    <w:rsid w:val="00005D98"/>
    <w:rsid w:val="00007262"/>
    <w:rsid w:val="00011C96"/>
    <w:rsid w:val="0001306B"/>
    <w:rsid w:val="000141B9"/>
    <w:rsid w:val="00014B42"/>
    <w:rsid w:val="00014DB5"/>
    <w:rsid w:val="00034A19"/>
    <w:rsid w:val="00036F9E"/>
    <w:rsid w:val="000413B3"/>
    <w:rsid w:val="00053BBA"/>
    <w:rsid w:val="000573E5"/>
    <w:rsid w:val="00057B71"/>
    <w:rsid w:val="0007202C"/>
    <w:rsid w:val="00072B30"/>
    <w:rsid w:val="0007319C"/>
    <w:rsid w:val="000732AA"/>
    <w:rsid w:val="00073915"/>
    <w:rsid w:val="000754C7"/>
    <w:rsid w:val="000767DD"/>
    <w:rsid w:val="0008011A"/>
    <w:rsid w:val="00084F8B"/>
    <w:rsid w:val="000851D0"/>
    <w:rsid w:val="0008689D"/>
    <w:rsid w:val="00086D07"/>
    <w:rsid w:val="00086F71"/>
    <w:rsid w:val="00093915"/>
    <w:rsid w:val="000939DF"/>
    <w:rsid w:val="000949AD"/>
    <w:rsid w:val="00095109"/>
    <w:rsid w:val="00096B0F"/>
    <w:rsid w:val="000A490E"/>
    <w:rsid w:val="000B04C5"/>
    <w:rsid w:val="000B47F1"/>
    <w:rsid w:val="000B63CA"/>
    <w:rsid w:val="000B74CA"/>
    <w:rsid w:val="000B752A"/>
    <w:rsid w:val="000C14D9"/>
    <w:rsid w:val="000C15C7"/>
    <w:rsid w:val="000D4EDE"/>
    <w:rsid w:val="000E2460"/>
    <w:rsid w:val="000E3427"/>
    <w:rsid w:val="000E43AC"/>
    <w:rsid w:val="000E54B4"/>
    <w:rsid w:val="000E6973"/>
    <w:rsid w:val="000E6E37"/>
    <w:rsid w:val="000F0E6F"/>
    <w:rsid w:val="0010067D"/>
    <w:rsid w:val="001018A5"/>
    <w:rsid w:val="00106F56"/>
    <w:rsid w:val="00115A39"/>
    <w:rsid w:val="00116F22"/>
    <w:rsid w:val="00121436"/>
    <w:rsid w:val="00123576"/>
    <w:rsid w:val="001241CB"/>
    <w:rsid w:val="00124B21"/>
    <w:rsid w:val="001327B8"/>
    <w:rsid w:val="0013471B"/>
    <w:rsid w:val="00134F0A"/>
    <w:rsid w:val="001352D4"/>
    <w:rsid w:val="00137B6C"/>
    <w:rsid w:val="00144295"/>
    <w:rsid w:val="00151D78"/>
    <w:rsid w:val="00157C98"/>
    <w:rsid w:val="0016272E"/>
    <w:rsid w:val="00162A81"/>
    <w:rsid w:val="001653B6"/>
    <w:rsid w:val="00165BF6"/>
    <w:rsid w:val="00174B0F"/>
    <w:rsid w:val="0018235E"/>
    <w:rsid w:val="00184187"/>
    <w:rsid w:val="001A4EA4"/>
    <w:rsid w:val="001A664F"/>
    <w:rsid w:val="001B02B5"/>
    <w:rsid w:val="001B2DB7"/>
    <w:rsid w:val="001B3A9F"/>
    <w:rsid w:val="001D0C02"/>
    <w:rsid w:val="001D3D43"/>
    <w:rsid w:val="001E0F51"/>
    <w:rsid w:val="001E39D3"/>
    <w:rsid w:val="001E55BF"/>
    <w:rsid w:val="001F6E1A"/>
    <w:rsid w:val="001F780A"/>
    <w:rsid w:val="001F7917"/>
    <w:rsid w:val="00200613"/>
    <w:rsid w:val="00214883"/>
    <w:rsid w:val="00217E47"/>
    <w:rsid w:val="00220550"/>
    <w:rsid w:val="002301A2"/>
    <w:rsid w:val="00231E61"/>
    <w:rsid w:val="00231EE0"/>
    <w:rsid w:val="002366C7"/>
    <w:rsid w:val="00236C2D"/>
    <w:rsid w:val="002374B7"/>
    <w:rsid w:val="00240126"/>
    <w:rsid w:val="00241FCC"/>
    <w:rsid w:val="00242384"/>
    <w:rsid w:val="0024304D"/>
    <w:rsid w:val="00243A58"/>
    <w:rsid w:val="00244826"/>
    <w:rsid w:val="00247ACA"/>
    <w:rsid w:val="002506A0"/>
    <w:rsid w:val="00252E6A"/>
    <w:rsid w:val="00255A20"/>
    <w:rsid w:val="0025625E"/>
    <w:rsid w:val="00256B55"/>
    <w:rsid w:val="0025782A"/>
    <w:rsid w:val="00263095"/>
    <w:rsid w:val="00263414"/>
    <w:rsid w:val="00264A2A"/>
    <w:rsid w:val="002661A6"/>
    <w:rsid w:val="00266C23"/>
    <w:rsid w:val="0027194D"/>
    <w:rsid w:val="00277D6C"/>
    <w:rsid w:val="00283DF4"/>
    <w:rsid w:val="00286EAD"/>
    <w:rsid w:val="0029389B"/>
    <w:rsid w:val="002A1894"/>
    <w:rsid w:val="002A2188"/>
    <w:rsid w:val="002A36F2"/>
    <w:rsid w:val="002A641A"/>
    <w:rsid w:val="002A7D14"/>
    <w:rsid w:val="002B0913"/>
    <w:rsid w:val="002B1D39"/>
    <w:rsid w:val="002B1EEB"/>
    <w:rsid w:val="002B28E4"/>
    <w:rsid w:val="002B3C7D"/>
    <w:rsid w:val="002B7504"/>
    <w:rsid w:val="002C0D97"/>
    <w:rsid w:val="002C25F8"/>
    <w:rsid w:val="002C66D1"/>
    <w:rsid w:val="002C7065"/>
    <w:rsid w:val="002C7F4A"/>
    <w:rsid w:val="002D2804"/>
    <w:rsid w:val="002D4B6C"/>
    <w:rsid w:val="002D5274"/>
    <w:rsid w:val="002F0135"/>
    <w:rsid w:val="002F0C2C"/>
    <w:rsid w:val="002F17FA"/>
    <w:rsid w:val="002F2A27"/>
    <w:rsid w:val="002F548F"/>
    <w:rsid w:val="00300655"/>
    <w:rsid w:val="00303D18"/>
    <w:rsid w:val="00307ADD"/>
    <w:rsid w:val="00307E55"/>
    <w:rsid w:val="003100EF"/>
    <w:rsid w:val="003109C5"/>
    <w:rsid w:val="00312A66"/>
    <w:rsid w:val="003130CA"/>
    <w:rsid w:val="00321582"/>
    <w:rsid w:val="0032180D"/>
    <w:rsid w:val="00332909"/>
    <w:rsid w:val="00355D40"/>
    <w:rsid w:val="00362355"/>
    <w:rsid w:val="0036683C"/>
    <w:rsid w:val="00371AAC"/>
    <w:rsid w:val="00371F54"/>
    <w:rsid w:val="0037770C"/>
    <w:rsid w:val="00377C8B"/>
    <w:rsid w:val="00383A95"/>
    <w:rsid w:val="00385CA0"/>
    <w:rsid w:val="00386B56"/>
    <w:rsid w:val="003A2733"/>
    <w:rsid w:val="003A3021"/>
    <w:rsid w:val="003A473C"/>
    <w:rsid w:val="003A627E"/>
    <w:rsid w:val="003A79EE"/>
    <w:rsid w:val="003B51A4"/>
    <w:rsid w:val="003B6E16"/>
    <w:rsid w:val="003C180A"/>
    <w:rsid w:val="003C1E25"/>
    <w:rsid w:val="003C7C98"/>
    <w:rsid w:val="003D27CB"/>
    <w:rsid w:val="003D329D"/>
    <w:rsid w:val="003E57CC"/>
    <w:rsid w:val="003E6BF6"/>
    <w:rsid w:val="003F0F0D"/>
    <w:rsid w:val="003F3A0D"/>
    <w:rsid w:val="0040173E"/>
    <w:rsid w:val="00416F15"/>
    <w:rsid w:val="00435288"/>
    <w:rsid w:val="00435339"/>
    <w:rsid w:val="004410DC"/>
    <w:rsid w:val="00443D94"/>
    <w:rsid w:val="0044447D"/>
    <w:rsid w:val="00450C67"/>
    <w:rsid w:val="00453810"/>
    <w:rsid w:val="00460CF7"/>
    <w:rsid w:val="00460E6B"/>
    <w:rsid w:val="00463FA8"/>
    <w:rsid w:val="00466648"/>
    <w:rsid w:val="00470E21"/>
    <w:rsid w:val="00472CBC"/>
    <w:rsid w:val="004765B3"/>
    <w:rsid w:val="0047769F"/>
    <w:rsid w:val="00484BF5"/>
    <w:rsid w:val="00493DAA"/>
    <w:rsid w:val="00494335"/>
    <w:rsid w:val="00494C26"/>
    <w:rsid w:val="00495A4C"/>
    <w:rsid w:val="004967A1"/>
    <w:rsid w:val="004A3B93"/>
    <w:rsid w:val="004B584E"/>
    <w:rsid w:val="004C1106"/>
    <w:rsid w:val="004C6D4B"/>
    <w:rsid w:val="004C766B"/>
    <w:rsid w:val="004D1532"/>
    <w:rsid w:val="004D33E3"/>
    <w:rsid w:val="004E2269"/>
    <w:rsid w:val="004E7DAB"/>
    <w:rsid w:val="004F3339"/>
    <w:rsid w:val="004F72A2"/>
    <w:rsid w:val="004F7BA8"/>
    <w:rsid w:val="005026D4"/>
    <w:rsid w:val="005034BA"/>
    <w:rsid w:val="00503A51"/>
    <w:rsid w:val="00506774"/>
    <w:rsid w:val="005113A6"/>
    <w:rsid w:val="00512309"/>
    <w:rsid w:val="005333B4"/>
    <w:rsid w:val="00541D54"/>
    <w:rsid w:val="00542522"/>
    <w:rsid w:val="00544DB1"/>
    <w:rsid w:val="0054526E"/>
    <w:rsid w:val="00545CE1"/>
    <w:rsid w:val="005476B5"/>
    <w:rsid w:val="0055170A"/>
    <w:rsid w:val="00553DCD"/>
    <w:rsid w:val="005549D7"/>
    <w:rsid w:val="005602DA"/>
    <w:rsid w:val="00562087"/>
    <w:rsid w:val="005678FC"/>
    <w:rsid w:val="00571F92"/>
    <w:rsid w:val="00573327"/>
    <w:rsid w:val="0058026A"/>
    <w:rsid w:val="005923AB"/>
    <w:rsid w:val="00592F64"/>
    <w:rsid w:val="005971F3"/>
    <w:rsid w:val="005A3F63"/>
    <w:rsid w:val="005A59D0"/>
    <w:rsid w:val="005B073E"/>
    <w:rsid w:val="005B227F"/>
    <w:rsid w:val="005B7801"/>
    <w:rsid w:val="005C5891"/>
    <w:rsid w:val="005D5FAE"/>
    <w:rsid w:val="005E0C27"/>
    <w:rsid w:val="005E4276"/>
    <w:rsid w:val="005E4BC9"/>
    <w:rsid w:val="005E64E6"/>
    <w:rsid w:val="005F29B7"/>
    <w:rsid w:val="00602D39"/>
    <w:rsid w:val="00606EB5"/>
    <w:rsid w:val="00606FC8"/>
    <w:rsid w:val="006142D7"/>
    <w:rsid w:val="006157C8"/>
    <w:rsid w:val="00616C90"/>
    <w:rsid w:val="00617492"/>
    <w:rsid w:val="00617FDA"/>
    <w:rsid w:val="0062116F"/>
    <w:rsid w:val="00623FD7"/>
    <w:rsid w:val="00626087"/>
    <w:rsid w:val="00634E4C"/>
    <w:rsid w:val="00636B8B"/>
    <w:rsid w:val="006379B5"/>
    <w:rsid w:val="00641EAA"/>
    <w:rsid w:val="006427FE"/>
    <w:rsid w:val="00646695"/>
    <w:rsid w:val="006506C1"/>
    <w:rsid w:val="00651840"/>
    <w:rsid w:val="006563B0"/>
    <w:rsid w:val="0065747A"/>
    <w:rsid w:val="00662E28"/>
    <w:rsid w:val="0066674D"/>
    <w:rsid w:val="00666A78"/>
    <w:rsid w:val="00676C12"/>
    <w:rsid w:val="00682EF5"/>
    <w:rsid w:val="00691276"/>
    <w:rsid w:val="0069375D"/>
    <w:rsid w:val="0069407C"/>
    <w:rsid w:val="00694C76"/>
    <w:rsid w:val="0069574E"/>
    <w:rsid w:val="006969C0"/>
    <w:rsid w:val="006A1921"/>
    <w:rsid w:val="006A2303"/>
    <w:rsid w:val="006A6CE6"/>
    <w:rsid w:val="006B667C"/>
    <w:rsid w:val="006C6C47"/>
    <w:rsid w:val="006D2A45"/>
    <w:rsid w:val="006D71B8"/>
    <w:rsid w:val="006E4272"/>
    <w:rsid w:val="006F145A"/>
    <w:rsid w:val="006F1B8E"/>
    <w:rsid w:val="006F27CB"/>
    <w:rsid w:val="006F359B"/>
    <w:rsid w:val="006F5865"/>
    <w:rsid w:val="006F72F5"/>
    <w:rsid w:val="00701EC6"/>
    <w:rsid w:val="0070322D"/>
    <w:rsid w:val="00706179"/>
    <w:rsid w:val="00714F78"/>
    <w:rsid w:val="007152B0"/>
    <w:rsid w:val="007170F7"/>
    <w:rsid w:val="00722F9F"/>
    <w:rsid w:val="007253B8"/>
    <w:rsid w:val="00736E7D"/>
    <w:rsid w:val="00745B65"/>
    <w:rsid w:val="00747398"/>
    <w:rsid w:val="007509A6"/>
    <w:rsid w:val="00753F83"/>
    <w:rsid w:val="007541B0"/>
    <w:rsid w:val="0075469B"/>
    <w:rsid w:val="00755163"/>
    <w:rsid w:val="007568F8"/>
    <w:rsid w:val="00756AAB"/>
    <w:rsid w:val="00757F63"/>
    <w:rsid w:val="007645AE"/>
    <w:rsid w:val="00764992"/>
    <w:rsid w:val="00775AA0"/>
    <w:rsid w:val="007770FA"/>
    <w:rsid w:val="00791738"/>
    <w:rsid w:val="00791780"/>
    <w:rsid w:val="00792D37"/>
    <w:rsid w:val="0079375C"/>
    <w:rsid w:val="007A0EB7"/>
    <w:rsid w:val="007A3F4C"/>
    <w:rsid w:val="007B18C3"/>
    <w:rsid w:val="007B6871"/>
    <w:rsid w:val="007C08B1"/>
    <w:rsid w:val="007C2CC2"/>
    <w:rsid w:val="007C38BD"/>
    <w:rsid w:val="007C79AA"/>
    <w:rsid w:val="007D31DA"/>
    <w:rsid w:val="007D72C5"/>
    <w:rsid w:val="007E525D"/>
    <w:rsid w:val="007E5D0C"/>
    <w:rsid w:val="007E7F27"/>
    <w:rsid w:val="007F0323"/>
    <w:rsid w:val="007F379E"/>
    <w:rsid w:val="007F471C"/>
    <w:rsid w:val="007F793C"/>
    <w:rsid w:val="00800C90"/>
    <w:rsid w:val="008071C6"/>
    <w:rsid w:val="008125F8"/>
    <w:rsid w:val="00834CE0"/>
    <w:rsid w:val="0084110F"/>
    <w:rsid w:val="00844B1D"/>
    <w:rsid w:val="00844F5C"/>
    <w:rsid w:val="00845843"/>
    <w:rsid w:val="00846D34"/>
    <w:rsid w:val="00863020"/>
    <w:rsid w:val="008637EC"/>
    <w:rsid w:val="00867B8C"/>
    <w:rsid w:val="00870BC6"/>
    <w:rsid w:val="00875DAD"/>
    <w:rsid w:val="00877B84"/>
    <w:rsid w:val="0088036D"/>
    <w:rsid w:val="00881155"/>
    <w:rsid w:val="00881F97"/>
    <w:rsid w:val="00882892"/>
    <w:rsid w:val="00885A14"/>
    <w:rsid w:val="0088689B"/>
    <w:rsid w:val="00890FA0"/>
    <w:rsid w:val="008947BF"/>
    <w:rsid w:val="00895A56"/>
    <w:rsid w:val="008A0CBE"/>
    <w:rsid w:val="008A1CA8"/>
    <w:rsid w:val="008A214D"/>
    <w:rsid w:val="008A3584"/>
    <w:rsid w:val="008A72D2"/>
    <w:rsid w:val="008A74A3"/>
    <w:rsid w:val="008B2BF9"/>
    <w:rsid w:val="008B6868"/>
    <w:rsid w:val="008B6D24"/>
    <w:rsid w:val="008C34F7"/>
    <w:rsid w:val="008C5D20"/>
    <w:rsid w:val="008C6A43"/>
    <w:rsid w:val="008D080C"/>
    <w:rsid w:val="008D6437"/>
    <w:rsid w:val="008D6EDF"/>
    <w:rsid w:val="008E3EF5"/>
    <w:rsid w:val="008F33B5"/>
    <w:rsid w:val="00902603"/>
    <w:rsid w:val="00906799"/>
    <w:rsid w:val="00922193"/>
    <w:rsid w:val="00924152"/>
    <w:rsid w:val="00926072"/>
    <w:rsid w:val="00926648"/>
    <w:rsid w:val="0093194D"/>
    <w:rsid w:val="00934C3F"/>
    <w:rsid w:val="009417AE"/>
    <w:rsid w:val="00945635"/>
    <w:rsid w:val="00945B3F"/>
    <w:rsid w:val="00947403"/>
    <w:rsid w:val="0095058A"/>
    <w:rsid w:val="00950DCB"/>
    <w:rsid w:val="00952D47"/>
    <w:rsid w:val="00952D4C"/>
    <w:rsid w:val="00953192"/>
    <w:rsid w:val="00960246"/>
    <w:rsid w:val="009720E1"/>
    <w:rsid w:val="00974F0E"/>
    <w:rsid w:val="00975CD7"/>
    <w:rsid w:val="00985E70"/>
    <w:rsid w:val="0098783B"/>
    <w:rsid w:val="00993C2B"/>
    <w:rsid w:val="0099595F"/>
    <w:rsid w:val="009979F4"/>
    <w:rsid w:val="009A45B2"/>
    <w:rsid w:val="009A5585"/>
    <w:rsid w:val="009A59D5"/>
    <w:rsid w:val="009B2CB7"/>
    <w:rsid w:val="009B3C9A"/>
    <w:rsid w:val="009D0FBD"/>
    <w:rsid w:val="009D2DDD"/>
    <w:rsid w:val="009E0C10"/>
    <w:rsid w:val="009E0F10"/>
    <w:rsid w:val="009E4116"/>
    <w:rsid w:val="00A10DA6"/>
    <w:rsid w:val="00A151E9"/>
    <w:rsid w:val="00A15DBB"/>
    <w:rsid w:val="00A21CAA"/>
    <w:rsid w:val="00A259F2"/>
    <w:rsid w:val="00A2758A"/>
    <w:rsid w:val="00A33802"/>
    <w:rsid w:val="00A37162"/>
    <w:rsid w:val="00A37E51"/>
    <w:rsid w:val="00A41226"/>
    <w:rsid w:val="00A519AE"/>
    <w:rsid w:val="00A51CDF"/>
    <w:rsid w:val="00A51E2D"/>
    <w:rsid w:val="00A5319F"/>
    <w:rsid w:val="00A53690"/>
    <w:rsid w:val="00A62D31"/>
    <w:rsid w:val="00A63380"/>
    <w:rsid w:val="00A80A71"/>
    <w:rsid w:val="00A8129D"/>
    <w:rsid w:val="00A85B02"/>
    <w:rsid w:val="00A865C7"/>
    <w:rsid w:val="00A909CC"/>
    <w:rsid w:val="00A964A5"/>
    <w:rsid w:val="00A97E3B"/>
    <w:rsid w:val="00AA00CB"/>
    <w:rsid w:val="00AA0CA8"/>
    <w:rsid w:val="00AA20A1"/>
    <w:rsid w:val="00AA41F2"/>
    <w:rsid w:val="00AB039E"/>
    <w:rsid w:val="00AB4206"/>
    <w:rsid w:val="00AC1C12"/>
    <w:rsid w:val="00AC7E54"/>
    <w:rsid w:val="00AD393D"/>
    <w:rsid w:val="00AD7CB0"/>
    <w:rsid w:val="00AE6A4E"/>
    <w:rsid w:val="00AE7B98"/>
    <w:rsid w:val="00AF129F"/>
    <w:rsid w:val="00B12DC9"/>
    <w:rsid w:val="00B13F84"/>
    <w:rsid w:val="00B14604"/>
    <w:rsid w:val="00B15ABA"/>
    <w:rsid w:val="00B20DFD"/>
    <w:rsid w:val="00B24DD4"/>
    <w:rsid w:val="00B34339"/>
    <w:rsid w:val="00B42B2F"/>
    <w:rsid w:val="00B43B73"/>
    <w:rsid w:val="00B44900"/>
    <w:rsid w:val="00B467F6"/>
    <w:rsid w:val="00B472E1"/>
    <w:rsid w:val="00B52821"/>
    <w:rsid w:val="00B6214D"/>
    <w:rsid w:val="00B71170"/>
    <w:rsid w:val="00B80BCE"/>
    <w:rsid w:val="00B81524"/>
    <w:rsid w:val="00B81740"/>
    <w:rsid w:val="00B81F11"/>
    <w:rsid w:val="00B83542"/>
    <w:rsid w:val="00B85D7B"/>
    <w:rsid w:val="00B900EA"/>
    <w:rsid w:val="00B91069"/>
    <w:rsid w:val="00B92842"/>
    <w:rsid w:val="00BA2713"/>
    <w:rsid w:val="00BA2941"/>
    <w:rsid w:val="00BA4C61"/>
    <w:rsid w:val="00BA627A"/>
    <w:rsid w:val="00BA7C0B"/>
    <w:rsid w:val="00BB1E49"/>
    <w:rsid w:val="00BB22FA"/>
    <w:rsid w:val="00BB2437"/>
    <w:rsid w:val="00BB2A6F"/>
    <w:rsid w:val="00BB6983"/>
    <w:rsid w:val="00BB7EB9"/>
    <w:rsid w:val="00BC7F49"/>
    <w:rsid w:val="00BD12A1"/>
    <w:rsid w:val="00BD1D09"/>
    <w:rsid w:val="00BD7B83"/>
    <w:rsid w:val="00BE27B8"/>
    <w:rsid w:val="00BF17C6"/>
    <w:rsid w:val="00BF6F09"/>
    <w:rsid w:val="00C00FDA"/>
    <w:rsid w:val="00C02EB9"/>
    <w:rsid w:val="00C0373C"/>
    <w:rsid w:val="00C04E4B"/>
    <w:rsid w:val="00C11531"/>
    <w:rsid w:val="00C11B56"/>
    <w:rsid w:val="00C14C04"/>
    <w:rsid w:val="00C16045"/>
    <w:rsid w:val="00C21E27"/>
    <w:rsid w:val="00C2332A"/>
    <w:rsid w:val="00C24B14"/>
    <w:rsid w:val="00C31C3D"/>
    <w:rsid w:val="00C339FE"/>
    <w:rsid w:val="00C37F8B"/>
    <w:rsid w:val="00C42EA5"/>
    <w:rsid w:val="00C47C54"/>
    <w:rsid w:val="00C54528"/>
    <w:rsid w:val="00C62BF5"/>
    <w:rsid w:val="00C636DA"/>
    <w:rsid w:val="00C64BDA"/>
    <w:rsid w:val="00C67E22"/>
    <w:rsid w:val="00C72271"/>
    <w:rsid w:val="00C72A17"/>
    <w:rsid w:val="00C81356"/>
    <w:rsid w:val="00C813CD"/>
    <w:rsid w:val="00C858D9"/>
    <w:rsid w:val="00C87DA0"/>
    <w:rsid w:val="00C91E77"/>
    <w:rsid w:val="00CA4E4D"/>
    <w:rsid w:val="00CA6FF9"/>
    <w:rsid w:val="00CB4238"/>
    <w:rsid w:val="00CB5938"/>
    <w:rsid w:val="00CB5B27"/>
    <w:rsid w:val="00CC1A64"/>
    <w:rsid w:val="00CC34EB"/>
    <w:rsid w:val="00CC66EA"/>
    <w:rsid w:val="00CD3C17"/>
    <w:rsid w:val="00CE1F9C"/>
    <w:rsid w:val="00CE2D14"/>
    <w:rsid w:val="00CE2E48"/>
    <w:rsid w:val="00CE7A06"/>
    <w:rsid w:val="00CF0184"/>
    <w:rsid w:val="00CF55F6"/>
    <w:rsid w:val="00CF59E0"/>
    <w:rsid w:val="00CF6672"/>
    <w:rsid w:val="00D021F7"/>
    <w:rsid w:val="00D052E8"/>
    <w:rsid w:val="00D053A7"/>
    <w:rsid w:val="00D069C7"/>
    <w:rsid w:val="00D078A2"/>
    <w:rsid w:val="00D20607"/>
    <w:rsid w:val="00D20A4A"/>
    <w:rsid w:val="00D21123"/>
    <w:rsid w:val="00D26BB7"/>
    <w:rsid w:val="00D367EB"/>
    <w:rsid w:val="00D36C91"/>
    <w:rsid w:val="00D4064C"/>
    <w:rsid w:val="00D41871"/>
    <w:rsid w:val="00D45954"/>
    <w:rsid w:val="00D461C2"/>
    <w:rsid w:val="00D54811"/>
    <w:rsid w:val="00D57146"/>
    <w:rsid w:val="00D61AAE"/>
    <w:rsid w:val="00D64CB8"/>
    <w:rsid w:val="00D72FD8"/>
    <w:rsid w:val="00D84920"/>
    <w:rsid w:val="00D92A45"/>
    <w:rsid w:val="00D9697A"/>
    <w:rsid w:val="00DA4C48"/>
    <w:rsid w:val="00DA727D"/>
    <w:rsid w:val="00DB34F0"/>
    <w:rsid w:val="00DB53A7"/>
    <w:rsid w:val="00DD01CB"/>
    <w:rsid w:val="00DD170F"/>
    <w:rsid w:val="00DD5719"/>
    <w:rsid w:val="00DE0A8A"/>
    <w:rsid w:val="00DE730A"/>
    <w:rsid w:val="00DF68E4"/>
    <w:rsid w:val="00DF6E54"/>
    <w:rsid w:val="00E04228"/>
    <w:rsid w:val="00E04457"/>
    <w:rsid w:val="00E04BBC"/>
    <w:rsid w:val="00E10450"/>
    <w:rsid w:val="00E1478E"/>
    <w:rsid w:val="00E157DD"/>
    <w:rsid w:val="00E159D7"/>
    <w:rsid w:val="00E213AB"/>
    <w:rsid w:val="00E21653"/>
    <w:rsid w:val="00E21C9B"/>
    <w:rsid w:val="00E2414E"/>
    <w:rsid w:val="00E26830"/>
    <w:rsid w:val="00E26FAF"/>
    <w:rsid w:val="00E31AE8"/>
    <w:rsid w:val="00E40B36"/>
    <w:rsid w:val="00E44F72"/>
    <w:rsid w:val="00E51672"/>
    <w:rsid w:val="00E522FC"/>
    <w:rsid w:val="00E55EE5"/>
    <w:rsid w:val="00E61784"/>
    <w:rsid w:val="00E625B3"/>
    <w:rsid w:val="00E64743"/>
    <w:rsid w:val="00E7257D"/>
    <w:rsid w:val="00E728CB"/>
    <w:rsid w:val="00E7336F"/>
    <w:rsid w:val="00E74F3B"/>
    <w:rsid w:val="00E76262"/>
    <w:rsid w:val="00E84A6B"/>
    <w:rsid w:val="00E910A2"/>
    <w:rsid w:val="00E92385"/>
    <w:rsid w:val="00E93F74"/>
    <w:rsid w:val="00E96DEA"/>
    <w:rsid w:val="00EA1585"/>
    <w:rsid w:val="00EA40AE"/>
    <w:rsid w:val="00EA48AE"/>
    <w:rsid w:val="00EA5199"/>
    <w:rsid w:val="00EB09E2"/>
    <w:rsid w:val="00EB74A5"/>
    <w:rsid w:val="00EC4983"/>
    <w:rsid w:val="00ED3CD3"/>
    <w:rsid w:val="00EE0126"/>
    <w:rsid w:val="00EE47FE"/>
    <w:rsid w:val="00EE50C6"/>
    <w:rsid w:val="00EE70EE"/>
    <w:rsid w:val="00EE766D"/>
    <w:rsid w:val="00EF2A15"/>
    <w:rsid w:val="00EF4AFB"/>
    <w:rsid w:val="00EF5BFD"/>
    <w:rsid w:val="00F00470"/>
    <w:rsid w:val="00F01C6F"/>
    <w:rsid w:val="00F0509B"/>
    <w:rsid w:val="00F06EE2"/>
    <w:rsid w:val="00F074DC"/>
    <w:rsid w:val="00F131E8"/>
    <w:rsid w:val="00F13371"/>
    <w:rsid w:val="00F15632"/>
    <w:rsid w:val="00F17535"/>
    <w:rsid w:val="00F24F8F"/>
    <w:rsid w:val="00F30097"/>
    <w:rsid w:val="00F303B2"/>
    <w:rsid w:val="00F307E0"/>
    <w:rsid w:val="00F31637"/>
    <w:rsid w:val="00F34D63"/>
    <w:rsid w:val="00F366D7"/>
    <w:rsid w:val="00F43A77"/>
    <w:rsid w:val="00F442CF"/>
    <w:rsid w:val="00F479C1"/>
    <w:rsid w:val="00F57F7A"/>
    <w:rsid w:val="00F61362"/>
    <w:rsid w:val="00F62D33"/>
    <w:rsid w:val="00F6570B"/>
    <w:rsid w:val="00F67615"/>
    <w:rsid w:val="00F76C98"/>
    <w:rsid w:val="00F804CD"/>
    <w:rsid w:val="00F80750"/>
    <w:rsid w:val="00F814C6"/>
    <w:rsid w:val="00F85F59"/>
    <w:rsid w:val="00F86538"/>
    <w:rsid w:val="00F86717"/>
    <w:rsid w:val="00F86DD4"/>
    <w:rsid w:val="00F97C7A"/>
    <w:rsid w:val="00FA2909"/>
    <w:rsid w:val="00FA3CEC"/>
    <w:rsid w:val="00FB4CF2"/>
    <w:rsid w:val="00FB5F02"/>
    <w:rsid w:val="00FC398C"/>
    <w:rsid w:val="00FC4845"/>
    <w:rsid w:val="00FC6B03"/>
    <w:rsid w:val="00FD05C9"/>
    <w:rsid w:val="00FD06D5"/>
    <w:rsid w:val="00FD28FF"/>
    <w:rsid w:val="00FD57F5"/>
    <w:rsid w:val="00FD68A1"/>
    <w:rsid w:val="00FE110C"/>
    <w:rsid w:val="00FE419E"/>
    <w:rsid w:val="00FE5B7F"/>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nhideWhenUsed="1" w:qFormat="1"/>
    <w:lsdException w:name="List Number 5" w:semiHidden="1" w:unhideWhenUsed="1"/>
    <w:lsdException w:name="Title" w:uiPriority="3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5034BA"/>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5034BA"/>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7F793C"/>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aliases w:val=" Char"/>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aliases w:val=" Char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D20A4A"/>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014B42"/>
    <w:pPr>
      <w:numPr>
        <w:numId w:val="22"/>
      </w:numPr>
    </w:pPr>
  </w:style>
  <w:style w:type="paragraph" w:customStyle="1" w:styleId="Heading2Numbers">
    <w:name w:val="Heading 2 Numbers"/>
    <w:basedOn w:val="Heading2"/>
    <w:next w:val="Normal"/>
    <w:uiPriority w:val="9"/>
    <w:qFormat/>
    <w:rsid w:val="00134F0A"/>
    <w:pPr>
      <w:numPr>
        <w:ilvl w:val="1"/>
        <w:numId w:val="22"/>
      </w:numPr>
      <w:ind w:left="851"/>
    </w:pPr>
    <w:rPr>
      <w:bCs w:val="0"/>
      <w:color w:val="012169"/>
    </w:rPr>
  </w:style>
  <w:style w:type="paragraph" w:customStyle="1" w:styleId="Heading3Numbers">
    <w:name w:val="Heading 3 Numbers"/>
    <w:basedOn w:val="Heading3"/>
    <w:next w:val="Normal"/>
    <w:uiPriority w:val="9"/>
    <w:qFormat/>
    <w:rsid w:val="00BB1E49"/>
    <w:pPr>
      <w:numPr>
        <w:ilvl w:val="2"/>
        <w:numId w:val="22"/>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7A3F4C"/>
    <w:pPr>
      <w:numPr>
        <w:numId w:val="27"/>
      </w:numPr>
      <w:spacing w:before="100" w:beforeAutospacing="1" w:after="100" w:afterAutospacing="1" w:line="360" w:lineRule="auto"/>
    </w:pPr>
  </w:style>
  <w:style w:type="paragraph" w:customStyle="1" w:styleId="Numberedfigureheading">
    <w:name w:val="Numbered figure heading"/>
    <w:basedOn w:val="Numberedtableheading"/>
    <w:qFormat/>
    <w:rsid w:val="00EA5199"/>
    <w:pPr>
      <w:numPr>
        <w:numId w:val="26"/>
      </w:numPr>
      <w:ind w:left="360"/>
    </w:pPr>
  </w:style>
  <w:style w:type="paragraph" w:customStyle="1" w:styleId="Tableheader">
    <w:name w:val="Table header"/>
    <w:basedOn w:val="Normal"/>
    <w:link w:val="TableheaderChar"/>
    <w:qFormat/>
    <w:rsid w:val="0036683C"/>
    <w:pPr>
      <w:numPr>
        <w:numId w:val="0"/>
      </w:numPr>
      <w:spacing w:before="60" w:after="60"/>
    </w:pPr>
    <w:rPr>
      <w:color w:val="FFFFFF" w:themeColor="background1"/>
      <w:sz w:val="18"/>
    </w:rPr>
  </w:style>
  <w:style w:type="paragraph" w:customStyle="1" w:styleId="Tablecopy">
    <w:name w:val="Table copy"/>
    <w:basedOn w:val="Normal"/>
    <w:link w:val="TablecopyChar"/>
    <w:qFormat/>
    <w:rsid w:val="0036683C"/>
    <w:pPr>
      <w:numPr>
        <w:numId w:val="0"/>
      </w:numPr>
      <w:spacing w:before="60" w:after="60"/>
    </w:pPr>
    <w:rPr>
      <w:sz w:val="18"/>
    </w:rPr>
  </w:style>
  <w:style w:type="character" w:customStyle="1" w:styleId="TableheaderChar">
    <w:name w:val="Table header Char"/>
    <w:basedOn w:val="DefaultParagraphFont"/>
    <w:link w:val="Tableheader"/>
    <w:rsid w:val="0036683C"/>
    <w:rPr>
      <w:rFonts w:ascii="DIN OT Light" w:hAnsi="DIN OT Light"/>
      <w:color w:val="FFFFFF" w:themeColor="background1"/>
      <w:sz w:val="18"/>
    </w:rPr>
  </w:style>
  <w:style w:type="paragraph" w:customStyle="1" w:styleId="Style2">
    <w:name w:val="Style2"/>
    <w:basedOn w:val="Normal"/>
    <w:link w:val="Style2Char"/>
    <w:qFormat/>
    <w:rsid w:val="00EA40AE"/>
    <w:pPr>
      <w:numPr>
        <w:numId w:val="0"/>
      </w:numPr>
      <w:spacing w:after="0"/>
    </w:pPr>
    <w:rPr>
      <w:color w:val="FFFFFF" w:themeColor="background1"/>
      <w:sz w:val="18"/>
    </w:rPr>
  </w:style>
  <w:style w:type="character" w:customStyle="1" w:styleId="TablecopyChar">
    <w:name w:val="Table copy Char"/>
    <w:basedOn w:val="DefaultParagraphFont"/>
    <w:link w:val="Tablecopy"/>
    <w:rsid w:val="0036683C"/>
    <w:rPr>
      <w:rFonts w:ascii="DIN OT Light" w:hAnsi="DIN OT Light"/>
      <w:sz w:val="18"/>
    </w:rPr>
  </w:style>
  <w:style w:type="paragraph" w:customStyle="1" w:styleId="BasicParagraph">
    <w:name w:val="[Basic Paragraph]"/>
    <w:basedOn w:val="Normal"/>
    <w:uiPriority w:val="99"/>
    <w:rsid w:val="005923AB"/>
    <w:pPr>
      <w:numPr>
        <w:numId w:val="0"/>
      </w:numPr>
      <w:autoSpaceDE w:val="0"/>
      <w:autoSpaceDN w:val="0"/>
      <w:adjustRightInd w:val="0"/>
      <w:spacing w:after="0"/>
      <w:textAlignment w:val="center"/>
    </w:pPr>
    <w:rPr>
      <w:rFonts w:ascii="Minion Pro" w:hAnsi="Minion Pro" w:cs="Minion Pro"/>
      <w:sz w:val="24"/>
      <w:szCs w:val="24"/>
      <w:lang w:val="en-GB"/>
    </w:rPr>
  </w:style>
  <w:style w:type="character" w:customStyle="1" w:styleId="Style2Char">
    <w:name w:val="Style2 Char"/>
    <w:basedOn w:val="DefaultParagraphFont"/>
    <w:link w:val="Style2"/>
    <w:rsid w:val="00EA40AE"/>
    <w:rPr>
      <w:rFonts w:ascii="DIN OT Light" w:hAnsi="DIN OT Light"/>
      <w:color w:val="FFFFFF" w:themeColor="background1"/>
      <w:sz w:val="18"/>
    </w:rPr>
  </w:style>
  <w:style w:type="paragraph" w:customStyle="1" w:styleId="APRANORMAL">
    <w:name w:val="APRA NORMAL"/>
    <w:basedOn w:val="Normal"/>
    <w:link w:val="APRANORMALChar"/>
    <w:qFormat/>
    <w:rsid w:val="005923AB"/>
    <w:pPr>
      <w:numPr>
        <w:numId w:val="0"/>
      </w:numPr>
    </w:pPr>
    <w:rPr>
      <w:rFonts w:cs="Times New Roman"/>
      <w:color w:val="auto"/>
      <w:lang w:val="en-GB"/>
    </w:rPr>
  </w:style>
  <w:style w:type="character" w:customStyle="1" w:styleId="APRANORMALChar">
    <w:name w:val="APRA NORMAL Char"/>
    <w:basedOn w:val="DefaultParagraphFont"/>
    <w:link w:val="APRANORMAL"/>
    <w:rsid w:val="005923AB"/>
    <w:rPr>
      <w:rFonts w:ascii="DIN OT Light" w:hAnsi="DIN OT Light" w:cs="Times New Roman"/>
      <w:color w:val="auto"/>
      <w:lang w:val="en-GB"/>
    </w:rPr>
  </w:style>
  <w:style w:type="paragraph" w:customStyle="1" w:styleId="tablecopy0">
    <w:name w:val="table copy"/>
    <w:basedOn w:val="Normal"/>
    <w:link w:val="tablecopyChar0"/>
    <w:qFormat/>
    <w:rsid w:val="003E57CC"/>
    <w:pPr>
      <w:numPr>
        <w:numId w:val="0"/>
      </w:numPr>
      <w:spacing w:before="60" w:after="60"/>
    </w:pPr>
    <w:rPr>
      <w:color w:val="auto"/>
      <w:sz w:val="18"/>
    </w:rPr>
  </w:style>
  <w:style w:type="paragraph" w:customStyle="1" w:styleId="Tableheading0">
    <w:name w:val="Table heading"/>
    <w:basedOn w:val="tablecopy0"/>
    <w:link w:val="TableheadingChar"/>
    <w:qFormat/>
    <w:rsid w:val="007F793C"/>
    <w:pPr>
      <w:spacing w:before="80" w:after="80"/>
    </w:pPr>
    <w:rPr>
      <w:b/>
      <w:sz w:val="20"/>
    </w:rPr>
  </w:style>
  <w:style w:type="character" w:customStyle="1" w:styleId="tablecopyChar0">
    <w:name w:val="table copy Char"/>
    <w:basedOn w:val="DefaultParagraphFont"/>
    <w:link w:val="tablecopy0"/>
    <w:rsid w:val="003E57CC"/>
    <w:rPr>
      <w:rFonts w:ascii="DIN OT Light" w:hAnsi="DIN OT Light"/>
      <w:color w:val="auto"/>
      <w:sz w:val="18"/>
    </w:rPr>
  </w:style>
  <w:style w:type="character" w:customStyle="1" w:styleId="TableheadingChar">
    <w:name w:val="Table heading Char"/>
    <w:basedOn w:val="tablecopyChar0"/>
    <w:link w:val="Tableheading0"/>
    <w:rsid w:val="007F793C"/>
    <w:rPr>
      <w:rFonts w:ascii="DIN OT Light" w:hAnsi="DIN OT Light"/>
      <w:b/>
      <w:color w:val="auto"/>
      <w:sz w:val="20"/>
    </w:rPr>
  </w:style>
  <w:style w:type="paragraph" w:customStyle="1" w:styleId="APRAHEADING5">
    <w:name w:val="APRA HEADING 5"/>
    <w:basedOn w:val="Normal"/>
    <w:link w:val="APRAHEADING5Char"/>
    <w:qFormat/>
    <w:rsid w:val="00F814C6"/>
    <w:pPr>
      <w:numPr>
        <w:numId w:val="0"/>
      </w:numPr>
      <w:suppressAutoHyphens/>
      <w:autoSpaceDE w:val="0"/>
      <w:autoSpaceDN w:val="0"/>
      <w:adjustRightInd w:val="0"/>
      <w:spacing w:before="240" w:after="60" w:line="288" w:lineRule="auto"/>
      <w:textAlignment w:val="center"/>
    </w:pPr>
    <w:rPr>
      <w:rFonts w:ascii="DIN OT Medium" w:hAnsi="DIN OT Medium" w:cs="DIN Offc"/>
      <w:bCs/>
      <w:i/>
      <w:color w:val="auto"/>
      <w:lang w:val="en-GB"/>
    </w:rPr>
  </w:style>
  <w:style w:type="character" w:customStyle="1" w:styleId="APRAHEADING5Char">
    <w:name w:val="APRA HEADING 5 Char"/>
    <w:basedOn w:val="DefaultParagraphFont"/>
    <w:link w:val="APRAHEADING5"/>
    <w:rsid w:val="00F814C6"/>
    <w:rPr>
      <w:rFonts w:ascii="DIN OT Medium" w:hAnsi="DIN OT Medium" w:cs="DIN Offc"/>
      <w:bCs/>
      <w:i/>
      <w:color w:val="auto"/>
      <w:lang w:val="en-GB"/>
    </w:rPr>
  </w:style>
  <w:style w:type="paragraph" w:customStyle="1" w:styleId="APRAHEADING2">
    <w:name w:val="APRA HEADING 2"/>
    <w:link w:val="APRAHEADING2Char"/>
    <w:qFormat/>
    <w:rsid w:val="00F814C6"/>
    <w:pPr>
      <w:pBdr>
        <w:bottom w:val="single" w:sz="4" w:space="1" w:color="D9D9D9" w:themeColor="background1" w:themeShade="D9"/>
      </w:pBdr>
      <w:spacing w:before="360" w:line="288" w:lineRule="auto"/>
    </w:pPr>
    <w:rPr>
      <w:rFonts w:ascii="DIN OT Medium" w:hAnsi="DIN OT Medium" w:cs="Times New Roman"/>
      <w:color w:val="002060"/>
      <w:sz w:val="30"/>
      <w:szCs w:val="28"/>
    </w:rPr>
  </w:style>
  <w:style w:type="character" w:customStyle="1" w:styleId="APRAHEADING2Char">
    <w:name w:val="APRA HEADING 2 Char"/>
    <w:basedOn w:val="DefaultParagraphFont"/>
    <w:link w:val="APRAHEADING2"/>
    <w:rsid w:val="00F814C6"/>
    <w:rPr>
      <w:rFonts w:ascii="DIN OT Medium" w:hAnsi="DIN OT Medium" w:cs="Times New Roman"/>
      <w:color w:val="002060"/>
      <w:sz w:val="30"/>
      <w:szCs w:val="28"/>
    </w:rPr>
  </w:style>
  <w:style w:type="paragraph" w:customStyle="1" w:styleId="APRAHEADING3">
    <w:name w:val="APRA HEADING 3"/>
    <w:basedOn w:val="APRANORMAL"/>
    <w:link w:val="APRAHEADING3Char"/>
    <w:qFormat/>
    <w:rsid w:val="00F814C6"/>
    <w:pPr>
      <w:spacing w:before="360" w:after="120"/>
    </w:pPr>
    <w:rPr>
      <w:rFonts w:ascii="DIN OT Medium" w:hAnsi="DIN OT Medium"/>
      <w:color w:val="002060"/>
      <w:sz w:val="26"/>
      <w:szCs w:val="24"/>
    </w:rPr>
  </w:style>
  <w:style w:type="character" w:customStyle="1" w:styleId="APRAHEADING3Char">
    <w:name w:val="APRA HEADING 3 Char"/>
    <w:basedOn w:val="APRANORMALChar"/>
    <w:link w:val="APRAHEADING3"/>
    <w:rsid w:val="00F814C6"/>
    <w:rPr>
      <w:rFonts w:ascii="DIN OT Medium" w:hAnsi="DIN OT Medium" w:cs="Times New Roman"/>
      <w:color w:val="002060"/>
      <w:sz w:val="26"/>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870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yperlink" Target="https://rbm.obpr.gov.au/hom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Ipolicy@apr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ra.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3.0/au/" TargetMode="External"/><Relationship Id="rId4"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5605</Words>
  <Characters>31951</Characters>
  <Application>Microsoft Office Word</Application>
  <DocSecurity>0</DocSecurity>
  <Lines>266</Lines>
  <Paragraphs>74</Paragraphs>
  <ScaleCrop>false</ScaleCrop>
  <Company/>
  <LinksUpToDate>false</LinksUpToDate>
  <CharactersWithSpaces>37482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2021-08-02T03:31:00Z</dcterms:created>
  <dcterms:modified xsi:type="dcterms:W3CDTF">2021-08-02T03:31:00Z</dcterms:modified>
  <cp:category/>
</cp:coreProperties>
</file>